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58CBB" w14:textId="435FF434" w:rsidR="00040C3A" w:rsidRPr="00E9543F" w:rsidRDefault="00D306D1" w:rsidP="00627C9F">
      <w:pPr>
        <w:jc w:val="both"/>
        <w:rPr>
          <w:rFonts w:asciiTheme="majorHAnsi" w:hAnsiTheme="majorHAnsi" w:cs="Univers"/>
          <w:b/>
          <w:bCs/>
          <w:sz w:val="22"/>
          <w:szCs w:val="22"/>
          <w:lang w:val="es-ES"/>
        </w:rPr>
      </w:pPr>
      <w:r w:rsidRPr="00E9543F">
        <w:rPr>
          <w:rFonts w:asciiTheme="majorHAnsi" w:hAnsiTheme="majorHAnsi"/>
          <w:noProof/>
          <w:sz w:val="22"/>
          <w:szCs w:val="22"/>
          <w:lang w:val="es-ES"/>
        </w:rPr>
        <mc:AlternateContent>
          <mc:Choice Requires="wps">
            <w:drawing>
              <wp:anchor distT="0" distB="0" distL="114300" distR="114300" simplePos="0" relativeHeight="251658240" behindDoc="0" locked="0" layoutInCell="1" allowOverlap="1" wp14:anchorId="13EB9AD5" wp14:editId="509FAC94">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ACFC6" id="Rectangle 1" o:spid="_x0000_s1026" style="position:absolute;margin-left:-32.75pt;margin-top:-34.6pt;width:121.5pt;height:71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E9543F">
        <w:rPr>
          <w:rFonts w:asciiTheme="majorHAnsi" w:hAnsiTheme="majorHAnsi"/>
          <w:noProof/>
          <w:sz w:val="22"/>
          <w:szCs w:val="22"/>
          <w:lang w:val="es-ES"/>
        </w:rPr>
        <mc:AlternateContent>
          <mc:Choice Requires="wps">
            <w:drawing>
              <wp:anchor distT="0" distB="0" distL="114300" distR="114300" simplePos="0" relativeHeight="251658244" behindDoc="0" locked="0" layoutInCell="1" allowOverlap="1" wp14:anchorId="18AC8362" wp14:editId="2D39035F">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65D62F" w14:textId="77777777" w:rsidR="00CB2660" w:rsidRDefault="00AE5488" w:rsidP="00AE5488">
                            <w:r>
                              <w:rPr>
                                <w:noProof/>
                              </w:rPr>
                              <w:drawing>
                                <wp:inline distT="0" distB="0" distL="0" distR="0" wp14:anchorId="3999A2AA" wp14:editId="5602244E">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C8362"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1C65D62F" w14:textId="77777777" w:rsidR="00CB2660" w:rsidRDefault="00AE5488" w:rsidP="00AE5488">
                      <w:r>
                        <w:rPr>
                          <w:noProof/>
                        </w:rPr>
                        <w:drawing>
                          <wp:inline distT="0" distB="0" distL="0" distR="0" wp14:anchorId="3999A2AA" wp14:editId="5602244E">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r w:rsidR="003761CE">
        <w:rPr>
          <w:rFonts w:asciiTheme="majorHAnsi" w:hAnsiTheme="majorHAnsi" w:cs="Univers"/>
          <w:b/>
          <w:bCs/>
          <w:sz w:val="22"/>
          <w:szCs w:val="22"/>
          <w:lang w:val="es-ES"/>
        </w:rPr>
        <w:t>aliza</w:t>
      </w:r>
    </w:p>
    <w:p w14:paraId="78C4CD27" w14:textId="77777777" w:rsidR="00040C3A" w:rsidRPr="00E9543F" w:rsidRDefault="00040C3A" w:rsidP="00040C3A">
      <w:pPr>
        <w:tabs>
          <w:tab w:val="center" w:pos="5400"/>
        </w:tabs>
        <w:suppressAutoHyphens/>
        <w:jc w:val="both"/>
        <w:rPr>
          <w:rFonts w:asciiTheme="majorHAnsi" w:hAnsiTheme="majorHAnsi"/>
          <w:sz w:val="22"/>
          <w:szCs w:val="22"/>
          <w:lang w:val="es-ES"/>
        </w:rPr>
      </w:pPr>
    </w:p>
    <w:p w14:paraId="30FF4EAD" w14:textId="77777777" w:rsidR="00040C3A" w:rsidRPr="00E9543F" w:rsidRDefault="00040C3A" w:rsidP="00040C3A">
      <w:pPr>
        <w:tabs>
          <w:tab w:val="center" w:pos="5400"/>
        </w:tabs>
        <w:suppressAutoHyphens/>
        <w:jc w:val="both"/>
        <w:rPr>
          <w:rFonts w:asciiTheme="majorHAnsi" w:hAnsiTheme="majorHAnsi"/>
          <w:sz w:val="22"/>
          <w:szCs w:val="22"/>
          <w:lang w:val="es-ES"/>
        </w:rPr>
      </w:pPr>
    </w:p>
    <w:p w14:paraId="4D79FFEA" w14:textId="77777777" w:rsidR="005128E4" w:rsidRPr="00E9543F" w:rsidRDefault="005128E4" w:rsidP="00040C3A">
      <w:pPr>
        <w:tabs>
          <w:tab w:val="center" w:pos="5400"/>
        </w:tabs>
        <w:suppressAutoHyphens/>
        <w:rPr>
          <w:rFonts w:asciiTheme="majorHAnsi" w:hAnsiTheme="majorHAnsi"/>
          <w:sz w:val="22"/>
          <w:szCs w:val="22"/>
          <w:lang w:val="es-ES"/>
        </w:rPr>
      </w:pPr>
    </w:p>
    <w:p w14:paraId="5C5B8F45" w14:textId="77777777" w:rsidR="005128E4" w:rsidRPr="00E9543F" w:rsidRDefault="005128E4" w:rsidP="00040C3A">
      <w:pPr>
        <w:tabs>
          <w:tab w:val="center" w:pos="5400"/>
        </w:tabs>
        <w:suppressAutoHyphens/>
        <w:rPr>
          <w:rFonts w:asciiTheme="majorHAnsi" w:hAnsiTheme="majorHAnsi"/>
          <w:sz w:val="22"/>
          <w:szCs w:val="22"/>
          <w:lang w:val="es-ES"/>
        </w:rPr>
      </w:pPr>
    </w:p>
    <w:p w14:paraId="3F942D0C" w14:textId="77777777" w:rsidR="005128E4" w:rsidRPr="00E9543F" w:rsidRDefault="005128E4" w:rsidP="00040C3A">
      <w:pPr>
        <w:tabs>
          <w:tab w:val="center" w:pos="5400"/>
        </w:tabs>
        <w:suppressAutoHyphens/>
        <w:rPr>
          <w:rFonts w:asciiTheme="majorHAnsi" w:hAnsiTheme="majorHAnsi"/>
          <w:sz w:val="22"/>
          <w:szCs w:val="22"/>
          <w:lang w:val="es-ES"/>
        </w:rPr>
      </w:pPr>
    </w:p>
    <w:p w14:paraId="3290FD2D" w14:textId="77777777" w:rsidR="00040C3A" w:rsidRPr="00E9543F" w:rsidRDefault="00040C3A" w:rsidP="005128E4">
      <w:pPr>
        <w:tabs>
          <w:tab w:val="center" w:pos="5400"/>
        </w:tabs>
        <w:suppressAutoHyphens/>
        <w:jc w:val="center"/>
        <w:rPr>
          <w:rFonts w:asciiTheme="majorHAnsi" w:hAnsiTheme="majorHAnsi"/>
          <w:sz w:val="22"/>
          <w:szCs w:val="22"/>
          <w:lang w:val="es-ES"/>
        </w:rPr>
      </w:pPr>
    </w:p>
    <w:p w14:paraId="7F4D7CB0" w14:textId="77777777" w:rsidR="00040C3A" w:rsidRPr="00E9543F" w:rsidRDefault="00040C3A" w:rsidP="005128E4">
      <w:pPr>
        <w:tabs>
          <w:tab w:val="center" w:pos="5400"/>
        </w:tabs>
        <w:suppressAutoHyphens/>
        <w:jc w:val="center"/>
        <w:rPr>
          <w:rFonts w:asciiTheme="majorHAnsi" w:hAnsiTheme="majorHAnsi"/>
          <w:sz w:val="22"/>
          <w:szCs w:val="22"/>
          <w:lang w:val="es-ES"/>
        </w:rPr>
      </w:pPr>
    </w:p>
    <w:p w14:paraId="5AB567DE" w14:textId="77777777" w:rsidR="005B52B0" w:rsidRPr="00E9543F" w:rsidRDefault="005B52B0" w:rsidP="005128E4">
      <w:pPr>
        <w:tabs>
          <w:tab w:val="center" w:pos="5400"/>
        </w:tabs>
        <w:suppressAutoHyphens/>
        <w:jc w:val="center"/>
        <w:rPr>
          <w:rFonts w:asciiTheme="majorHAnsi" w:hAnsiTheme="majorHAnsi"/>
          <w:sz w:val="22"/>
          <w:szCs w:val="22"/>
          <w:lang w:val="es-ES"/>
        </w:rPr>
      </w:pPr>
    </w:p>
    <w:p w14:paraId="7C5E9A45" w14:textId="77777777" w:rsidR="005B52B0" w:rsidRPr="00E9543F" w:rsidRDefault="005B52B0" w:rsidP="005128E4">
      <w:pPr>
        <w:tabs>
          <w:tab w:val="center" w:pos="5400"/>
        </w:tabs>
        <w:suppressAutoHyphens/>
        <w:jc w:val="center"/>
        <w:rPr>
          <w:rFonts w:asciiTheme="majorHAnsi" w:hAnsiTheme="majorHAnsi"/>
          <w:sz w:val="22"/>
          <w:szCs w:val="22"/>
          <w:lang w:val="es-ES"/>
        </w:rPr>
      </w:pPr>
    </w:p>
    <w:p w14:paraId="5451351D" w14:textId="77777777" w:rsidR="005B52B0" w:rsidRPr="00E9543F" w:rsidRDefault="005B52B0" w:rsidP="005128E4">
      <w:pPr>
        <w:tabs>
          <w:tab w:val="center" w:pos="5400"/>
        </w:tabs>
        <w:suppressAutoHyphens/>
        <w:jc w:val="center"/>
        <w:rPr>
          <w:rFonts w:asciiTheme="majorHAnsi" w:hAnsiTheme="majorHAnsi"/>
          <w:sz w:val="22"/>
          <w:szCs w:val="22"/>
          <w:lang w:val="es-ES"/>
        </w:rPr>
      </w:pPr>
    </w:p>
    <w:p w14:paraId="4A6F70AD" w14:textId="77777777" w:rsidR="00040C3A" w:rsidRPr="00E9543F" w:rsidRDefault="00040C3A" w:rsidP="00040C3A">
      <w:pPr>
        <w:tabs>
          <w:tab w:val="center" w:pos="5400"/>
        </w:tabs>
        <w:suppressAutoHyphens/>
        <w:jc w:val="center"/>
        <w:rPr>
          <w:rFonts w:asciiTheme="majorHAnsi" w:hAnsiTheme="majorHAnsi"/>
          <w:sz w:val="22"/>
          <w:szCs w:val="22"/>
          <w:lang w:val="es-ES"/>
        </w:rPr>
      </w:pPr>
    </w:p>
    <w:p w14:paraId="30428034" w14:textId="77777777" w:rsidR="00040C3A" w:rsidRPr="00E9543F" w:rsidRDefault="00040C3A" w:rsidP="00040C3A">
      <w:pPr>
        <w:tabs>
          <w:tab w:val="center" w:pos="5400"/>
        </w:tabs>
        <w:suppressAutoHyphens/>
        <w:jc w:val="center"/>
        <w:rPr>
          <w:rFonts w:asciiTheme="majorHAnsi" w:hAnsiTheme="majorHAnsi"/>
          <w:sz w:val="22"/>
          <w:szCs w:val="22"/>
          <w:lang w:val="es-ES"/>
        </w:rPr>
      </w:pPr>
    </w:p>
    <w:p w14:paraId="023D1F30" w14:textId="77777777" w:rsidR="00040C3A" w:rsidRPr="00E9543F" w:rsidRDefault="003D3BC2" w:rsidP="00040C3A">
      <w:pPr>
        <w:tabs>
          <w:tab w:val="center" w:pos="5400"/>
        </w:tabs>
        <w:suppressAutoHyphens/>
        <w:jc w:val="center"/>
        <w:rPr>
          <w:rFonts w:asciiTheme="majorHAnsi" w:hAnsiTheme="majorHAnsi"/>
          <w:sz w:val="22"/>
          <w:szCs w:val="22"/>
          <w:lang w:val="es-ES"/>
        </w:rPr>
      </w:pPr>
      <w:r w:rsidRPr="00E9543F">
        <w:rPr>
          <w:rFonts w:asciiTheme="majorHAnsi" w:hAnsiTheme="majorHAnsi"/>
          <w:noProof/>
          <w:sz w:val="22"/>
          <w:szCs w:val="22"/>
          <w:lang w:val="es-ES"/>
        </w:rPr>
        <mc:AlternateContent>
          <mc:Choice Requires="wps">
            <w:drawing>
              <wp:anchor distT="0" distB="0" distL="114300" distR="114300" simplePos="0" relativeHeight="251658241" behindDoc="0" locked="0" layoutInCell="1" allowOverlap="1" wp14:anchorId="7F4312E6" wp14:editId="4B38F505">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D3DAA1" w14:textId="3CF397B7" w:rsidR="005B52B0" w:rsidRPr="00A4057E" w:rsidRDefault="005B52B0" w:rsidP="00997BC5">
                            <w:pPr>
                              <w:spacing w:line="276" w:lineRule="auto"/>
                              <w:rPr>
                                <w:rFonts w:asciiTheme="majorHAnsi" w:hAnsiTheme="majorHAnsi" w:cs="Arial"/>
                                <w:b/>
                                <w:bCs/>
                                <w:color w:val="0D0D0D" w:themeColor="text1" w:themeTint="F2"/>
                                <w:sz w:val="36"/>
                                <w:szCs w:val="22"/>
                                <w:lang w:val="es-US"/>
                              </w:rPr>
                            </w:pPr>
                            <w:r w:rsidRPr="00A4057E">
                              <w:rPr>
                                <w:rFonts w:asciiTheme="majorHAnsi" w:hAnsiTheme="majorHAnsi" w:cs="Arial"/>
                                <w:b/>
                                <w:bCs/>
                                <w:color w:val="0D0D0D" w:themeColor="text1" w:themeTint="F2"/>
                                <w:sz w:val="36"/>
                                <w:szCs w:val="22"/>
                                <w:lang w:val="es-US"/>
                              </w:rPr>
                              <w:t xml:space="preserve">INFORME </w:t>
                            </w:r>
                            <w:r w:rsidR="00477592" w:rsidRPr="00A4057E">
                              <w:rPr>
                                <w:rFonts w:asciiTheme="majorHAnsi" w:hAnsiTheme="majorHAnsi" w:cs="Arial"/>
                                <w:b/>
                                <w:bCs/>
                                <w:color w:val="0D0D0D" w:themeColor="text1" w:themeTint="F2"/>
                                <w:sz w:val="36"/>
                                <w:szCs w:val="40"/>
                                <w:lang w:val="es-US"/>
                              </w:rPr>
                              <w:t>No.</w:t>
                            </w:r>
                            <w:r w:rsidR="007C756A" w:rsidRPr="00A4057E">
                              <w:rPr>
                                <w:rFonts w:asciiTheme="majorHAnsi" w:hAnsiTheme="majorHAnsi" w:cs="Arial"/>
                                <w:b/>
                                <w:bCs/>
                                <w:color w:val="0D0D0D" w:themeColor="text1" w:themeTint="F2"/>
                                <w:sz w:val="36"/>
                                <w:szCs w:val="22"/>
                                <w:lang w:val="es-US"/>
                              </w:rPr>
                              <w:t xml:space="preserve"> </w:t>
                            </w:r>
                            <w:r w:rsidR="00A0068C">
                              <w:rPr>
                                <w:rFonts w:asciiTheme="majorHAnsi" w:hAnsiTheme="majorHAnsi" w:cs="Arial"/>
                                <w:b/>
                                <w:bCs/>
                                <w:color w:val="0D0D0D" w:themeColor="text1" w:themeTint="F2"/>
                                <w:sz w:val="36"/>
                                <w:szCs w:val="22"/>
                                <w:lang w:val="es-US"/>
                              </w:rPr>
                              <w:t>251</w:t>
                            </w:r>
                            <w:r w:rsidR="00BF7FAB">
                              <w:rPr>
                                <w:rFonts w:asciiTheme="majorHAnsi" w:hAnsiTheme="majorHAnsi" w:cs="Arial"/>
                                <w:b/>
                                <w:bCs/>
                                <w:color w:val="0D0D0D" w:themeColor="text1" w:themeTint="F2"/>
                                <w:sz w:val="36"/>
                                <w:szCs w:val="22"/>
                                <w:lang w:val="es-US"/>
                              </w:rPr>
                              <w:t>/2</w:t>
                            </w:r>
                            <w:r w:rsidR="00D766FB">
                              <w:rPr>
                                <w:rFonts w:asciiTheme="majorHAnsi" w:hAnsiTheme="majorHAnsi" w:cs="Arial"/>
                                <w:b/>
                                <w:bCs/>
                                <w:color w:val="0D0D0D" w:themeColor="text1" w:themeTint="F2"/>
                                <w:sz w:val="36"/>
                                <w:szCs w:val="22"/>
                                <w:lang w:val="es-US"/>
                              </w:rPr>
                              <w:t>5</w:t>
                            </w:r>
                          </w:p>
                          <w:p w14:paraId="4E7716F9" w14:textId="797941AB" w:rsidR="005B52B0" w:rsidRPr="00A4057E" w:rsidRDefault="005B52B0" w:rsidP="00997BC5">
                            <w:pPr>
                              <w:spacing w:line="276" w:lineRule="auto"/>
                              <w:rPr>
                                <w:rFonts w:asciiTheme="majorHAnsi" w:hAnsiTheme="majorHAnsi" w:cs="Arial"/>
                                <w:b/>
                                <w:color w:val="0D0D0D" w:themeColor="text1" w:themeTint="F2"/>
                                <w:sz w:val="36"/>
                                <w:szCs w:val="22"/>
                                <w:lang w:val="es-US"/>
                              </w:rPr>
                            </w:pPr>
                            <w:r w:rsidRPr="00A4057E">
                              <w:rPr>
                                <w:rFonts w:asciiTheme="majorHAnsi" w:hAnsiTheme="majorHAnsi" w:cs="Arial"/>
                                <w:b/>
                                <w:color w:val="0D0D0D" w:themeColor="text1" w:themeTint="F2"/>
                                <w:sz w:val="36"/>
                                <w:szCs w:val="22"/>
                                <w:lang w:val="es-US"/>
                              </w:rPr>
                              <w:t xml:space="preserve">CASO </w:t>
                            </w:r>
                            <w:r w:rsidR="00941189" w:rsidRPr="00A4057E">
                              <w:rPr>
                                <w:rFonts w:asciiTheme="majorHAnsi" w:hAnsiTheme="majorHAnsi" w:cs="Arial"/>
                                <w:b/>
                                <w:color w:val="0D0D0D" w:themeColor="text1" w:themeTint="F2"/>
                                <w:sz w:val="36"/>
                                <w:szCs w:val="22"/>
                                <w:lang w:val="es-US"/>
                              </w:rPr>
                              <w:t>14</w:t>
                            </w:r>
                            <w:r w:rsidR="00BB5D01" w:rsidRPr="00A4057E">
                              <w:rPr>
                                <w:rFonts w:asciiTheme="majorHAnsi" w:hAnsiTheme="majorHAnsi" w:cs="Arial"/>
                                <w:b/>
                                <w:color w:val="0D0D0D" w:themeColor="text1" w:themeTint="F2"/>
                                <w:sz w:val="36"/>
                                <w:szCs w:val="22"/>
                                <w:lang w:val="es-US"/>
                              </w:rPr>
                              <w:t>.</w:t>
                            </w:r>
                            <w:r w:rsidR="00941189" w:rsidRPr="00A4057E">
                              <w:rPr>
                                <w:rFonts w:asciiTheme="majorHAnsi" w:hAnsiTheme="majorHAnsi" w:cs="Arial"/>
                                <w:b/>
                                <w:color w:val="0D0D0D" w:themeColor="text1" w:themeTint="F2"/>
                                <w:sz w:val="36"/>
                                <w:szCs w:val="22"/>
                                <w:lang w:val="es-US"/>
                              </w:rPr>
                              <w:t>26</w:t>
                            </w:r>
                            <w:r w:rsidR="003973E8" w:rsidRPr="00A4057E">
                              <w:rPr>
                                <w:rFonts w:asciiTheme="majorHAnsi" w:hAnsiTheme="majorHAnsi" w:cs="Arial"/>
                                <w:b/>
                                <w:color w:val="0D0D0D" w:themeColor="text1" w:themeTint="F2"/>
                                <w:sz w:val="36"/>
                                <w:szCs w:val="22"/>
                                <w:lang w:val="es-US"/>
                              </w:rPr>
                              <w:t>4</w:t>
                            </w:r>
                          </w:p>
                          <w:p w14:paraId="49B9290C" w14:textId="219E3291" w:rsidR="005B52B0" w:rsidRPr="00647FCE" w:rsidRDefault="00BB5D01" w:rsidP="000158FD">
                            <w:pPr>
                              <w:spacing w:line="276" w:lineRule="auto"/>
                              <w:rPr>
                                <w:rFonts w:asciiTheme="majorHAnsi" w:hAnsiTheme="majorHAnsi" w:cs="Arial"/>
                                <w:szCs w:val="22"/>
                                <w:lang w:val="es-ES_tradnl"/>
                              </w:rPr>
                            </w:pPr>
                            <w:r w:rsidRPr="00DF6D64">
                              <w:rPr>
                                <w:rFonts w:asciiTheme="majorHAnsi" w:hAnsiTheme="majorHAnsi" w:cs="Arial"/>
                                <w:szCs w:val="22"/>
                                <w:lang w:val="es-ES_tradnl"/>
                              </w:rPr>
                              <w:t xml:space="preserve">INFORME DE ADMISIBILIDAD Y </w:t>
                            </w:r>
                            <w:r w:rsidRPr="000266A4">
                              <w:rPr>
                                <w:rFonts w:asciiTheme="majorHAnsi" w:hAnsiTheme="majorHAnsi" w:cs="Arial"/>
                                <w:szCs w:val="22"/>
                                <w:lang w:val="es-ES_tradnl"/>
                              </w:rPr>
                              <w:t xml:space="preserve">FONDO </w:t>
                            </w:r>
                            <w:r w:rsidR="008F43FD" w:rsidRPr="000266A4">
                              <w:rPr>
                                <w:rFonts w:asciiTheme="majorHAnsi" w:hAnsiTheme="majorHAnsi" w:cs="Arial"/>
                                <w:szCs w:val="22"/>
                                <w:lang w:val="es-ES_tradnl"/>
                              </w:rPr>
                              <w:t>(</w:t>
                            </w:r>
                            <w:r w:rsidR="00861FB3" w:rsidRPr="00A0068C">
                              <w:rPr>
                                <w:rFonts w:asciiTheme="majorHAnsi" w:hAnsiTheme="majorHAnsi" w:cs="Arial"/>
                                <w:szCs w:val="22"/>
                                <w:lang w:val="es-ES_tradnl"/>
                              </w:rPr>
                              <w:t>PUBLICACIÓN</w:t>
                            </w:r>
                            <w:r w:rsidR="008F43FD" w:rsidRPr="000266A4">
                              <w:rPr>
                                <w:rFonts w:asciiTheme="majorHAnsi" w:hAnsiTheme="majorHAnsi" w:cs="Arial"/>
                                <w:szCs w:val="22"/>
                                <w:lang w:val="es-ES_tradnl"/>
                              </w:rPr>
                              <w:t>)</w:t>
                            </w:r>
                          </w:p>
                          <w:p w14:paraId="5F687BF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p w14:paraId="6C8D7A64" w14:textId="77777777" w:rsidR="00941189" w:rsidRDefault="00941189" w:rsidP="00941189">
                            <w:pPr>
                              <w:spacing w:line="276" w:lineRule="auto"/>
                              <w:rPr>
                                <w:rFonts w:asciiTheme="majorHAnsi" w:hAnsiTheme="majorHAnsi" w:cs="Arial"/>
                                <w:color w:val="0D0D0D" w:themeColor="text1" w:themeTint="F2"/>
                                <w:szCs w:val="22"/>
                                <w:lang w:val="es-ES_tradnl"/>
                              </w:rPr>
                            </w:pPr>
                            <w:r>
                              <w:rPr>
                                <w:rFonts w:asciiTheme="majorHAnsi" w:hAnsiTheme="majorHAnsi" w:cs="Arial"/>
                                <w:color w:val="0D0D0D" w:themeColor="text1" w:themeTint="F2"/>
                                <w:szCs w:val="22"/>
                                <w:lang w:val="es-ES_tradnl"/>
                              </w:rPr>
                              <w:t>MAYKEL CASTILLO PÉREZ</w:t>
                            </w:r>
                            <w:bookmarkEnd w:id="0"/>
                          </w:p>
                          <w:p w14:paraId="617D326F" w14:textId="374BA88A" w:rsidR="005B52B0" w:rsidRPr="00AE5488" w:rsidRDefault="00ED6D2F" w:rsidP="00941189">
                            <w:pPr>
                              <w:spacing w:line="276" w:lineRule="auto"/>
                              <w:rPr>
                                <w:color w:val="0D0D0D" w:themeColor="text1" w:themeTint="F2"/>
                                <w:lang w:val="es-ES_tradnl"/>
                              </w:rPr>
                            </w:pPr>
                            <w:r>
                              <w:rPr>
                                <w:rFonts w:asciiTheme="majorHAnsi" w:hAnsiTheme="majorHAnsi" w:cs="Arial"/>
                                <w:color w:val="0D0D0D" w:themeColor="text1" w:themeTint="F2"/>
                                <w:szCs w:val="22"/>
                                <w:lang w:val="es-ES_tradnl"/>
                              </w:rPr>
                              <w:t>CUBA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312E6" id="Text Box 5" o:spid="_x0000_s1027" type="#_x0000_t202" style="position:absolute;left:0;text-align:left;margin-left:106.5pt;margin-top:8.45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04D3DAA1" w14:textId="3CF397B7" w:rsidR="005B52B0" w:rsidRPr="00A4057E" w:rsidRDefault="005B52B0" w:rsidP="00997BC5">
                      <w:pPr>
                        <w:spacing w:line="276" w:lineRule="auto"/>
                        <w:rPr>
                          <w:rFonts w:asciiTheme="majorHAnsi" w:hAnsiTheme="majorHAnsi" w:cs="Arial"/>
                          <w:b/>
                          <w:bCs/>
                          <w:color w:val="0D0D0D" w:themeColor="text1" w:themeTint="F2"/>
                          <w:sz w:val="36"/>
                          <w:szCs w:val="22"/>
                          <w:lang w:val="es-US"/>
                        </w:rPr>
                      </w:pPr>
                      <w:r w:rsidRPr="00A4057E">
                        <w:rPr>
                          <w:rFonts w:asciiTheme="majorHAnsi" w:hAnsiTheme="majorHAnsi" w:cs="Arial"/>
                          <w:b/>
                          <w:bCs/>
                          <w:color w:val="0D0D0D" w:themeColor="text1" w:themeTint="F2"/>
                          <w:sz w:val="36"/>
                          <w:szCs w:val="22"/>
                          <w:lang w:val="es-US"/>
                        </w:rPr>
                        <w:t xml:space="preserve">INFORME </w:t>
                      </w:r>
                      <w:r w:rsidR="00477592" w:rsidRPr="00A4057E">
                        <w:rPr>
                          <w:rFonts w:asciiTheme="majorHAnsi" w:hAnsiTheme="majorHAnsi" w:cs="Arial"/>
                          <w:b/>
                          <w:bCs/>
                          <w:color w:val="0D0D0D" w:themeColor="text1" w:themeTint="F2"/>
                          <w:sz w:val="36"/>
                          <w:szCs w:val="40"/>
                          <w:lang w:val="es-US"/>
                        </w:rPr>
                        <w:t>No.</w:t>
                      </w:r>
                      <w:r w:rsidR="007C756A" w:rsidRPr="00A4057E">
                        <w:rPr>
                          <w:rFonts w:asciiTheme="majorHAnsi" w:hAnsiTheme="majorHAnsi" w:cs="Arial"/>
                          <w:b/>
                          <w:bCs/>
                          <w:color w:val="0D0D0D" w:themeColor="text1" w:themeTint="F2"/>
                          <w:sz w:val="36"/>
                          <w:szCs w:val="22"/>
                          <w:lang w:val="es-US"/>
                        </w:rPr>
                        <w:t xml:space="preserve"> </w:t>
                      </w:r>
                      <w:r w:rsidR="00A0068C">
                        <w:rPr>
                          <w:rFonts w:asciiTheme="majorHAnsi" w:hAnsiTheme="majorHAnsi" w:cs="Arial"/>
                          <w:b/>
                          <w:bCs/>
                          <w:color w:val="0D0D0D" w:themeColor="text1" w:themeTint="F2"/>
                          <w:sz w:val="36"/>
                          <w:szCs w:val="22"/>
                          <w:lang w:val="es-US"/>
                        </w:rPr>
                        <w:t>251</w:t>
                      </w:r>
                      <w:r w:rsidR="00BF7FAB">
                        <w:rPr>
                          <w:rFonts w:asciiTheme="majorHAnsi" w:hAnsiTheme="majorHAnsi" w:cs="Arial"/>
                          <w:b/>
                          <w:bCs/>
                          <w:color w:val="0D0D0D" w:themeColor="text1" w:themeTint="F2"/>
                          <w:sz w:val="36"/>
                          <w:szCs w:val="22"/>
                          <w:lang w:val="es-US"/>
                        </w:rPr>
                        <w:t>/2</w:t>
                      </w:r>
                      <w:r w:rsidR="00D766FB">
                        <w:rPr>
                          <w:rFonts w:asciiTheme="majorHAnsi" w:hAnsiTheme="majorHAnsi" w:cs="Arial"/>
                          <w:b/>
                          <w:bCs/>
                          <w:color w:val="0D0D0D" w:themeColor="text1" w:themeTint="F2"/>
                          <w:sz w:val="36"/>
                          <w:szCs w:val="22"/>
                          <w:lang w:val="es-US"/>
                        </w:rPr>
                        <w:t>5</w:t>
                      </w:r>
                    </w:p>
                    <w:p w14:paraId="4E7716F9" w14:textId="797941AB" w:rsidR="005B52B0" w:rsidRPr="00A4057E" w:rsidRDefault="005B52B0" w:rsidP="00997BC5">
                      <w:pPr>
                        <w:spacing w:line="276" w:lineRule="auto"/>
                        <w:rPr>
                          <w:rFonts w:asciiTheme="majorHAnsi" w:hAnsiTheme="majorHAnsi" w:cs="Arial"/>
                          <w:b/>
                          <w:color w:val="0D0D0D" w:themeColor="text1" w:themeTint="F2"/>
                          <w:sz w:val="36"/>
                          <w:szCs w:val="22"/>
                          <w:lang w:val="es-US"/>
                        </w:rPr>
                      </w:pPr>
                      <w:r w:rsidRPr="00A4057E">
                        <w:rPr>
                          <w:rFonts w:asciiTheme="majorHAnsi" w:hAnsiTheme="majorHAnsi" w:cs="Arial"/>
                          <w:b/>
                          <w:color w:val="0D0D0D" w:themeColor="text1" w:themeTint="F2"/>
                          <w:sz w:val="36"/>
                          <w:szCs w:val="22"/>
                          <w:lang w:val="es-US"/>
                        </w:rPr>
                        <w:t xml:space="preserve">CASO </w:t>
                      </w:r>
                      <w:r w:rsidR="00941189" w:rsidRPr="00A4057E">
                        <w:rPr>
                          <w:rFonts w:asciiTheme="majorHAnsi" w:hAnsiTheme="majorHAnsi" w:cs="Arial"/>
                          <w:b/>
                          <w:color w:val="0D0D0D" w:themeColor="text1" w:themeTint="F2"/>
                          <w:sz w:val="36"/>
                          <w:szCs w:val="22"/>
                          <w:lang w:val="es-US"/>
                        </w:rPr>
                        <w:t>14</w:t>
                      </w:r>
                      <w:r w:rsidR="00BB5D01" w:rsidRPr="00A4057E">
                        <w:rPr>
                          <w:rFonts w:asciiTheme="majorHAnsi" w:hAnsiTheme="majorHAnsi" w:cs="Arial"/>
                          <w:b/>
                          <w:color w:val="0D0D0D" w:themeColor="text1" w:themeTint="F2"/>
                          <w:sz w:val="36"/>
                          <w:szCs w:val="22"/>
                          <w:lang w:val="es-US"/>
                        </w:rPr>
                        <w:t>.</w:t>
                      </w:r>
                      <w:r w:rsidR="00941189" w:rsidRPr="00A4057E">
                        <w:rPr>
                          <w:rFonts w:asciiTheme="majorHAnsi" w:hAnsiTheme="majorHAnsi" w:cs="Arial"/>
                          <w:b/>
                          <w:color w:val="0D0D0D" w:themeColor="text1" w:themeTint="F2"/>
                          <w:sz w:val="36"/>
                          <w:szCs w:val="22"/>
                          <w:lang w:val="es-US"/>
                        </w:rPr>
                        <w:t>26</w:t>
                      </w:r>
                      <w:r w:rsidR="003973E8" w:rsidRPr="00A4057E">
                        <w:rPr>
                          <w:rFonts w:asciiTheme="majorHAnsi" w:hAnsiTheme="majorHAnsi" w:cs="Arial"/>
                          <w:b/>
                          <w:color w:val="0D0D0D" w:themeColor="text1" w:themeTint="F2"/>
                          <w:sz w:val="36"/>
                          <w:szCs w:val="22"/>
                          <w:lang w:val="es-US"/>
                        </w:rPr>
                        <w:t>4</w:t>
                      </w:r>
                    </w:p>
                    <w:p w14:paraId="49B9290C" w14:textId="219E3291" w:rsidR="005B52B0" w:rsidRPr="00647FCE" w:rsidRDefault="00BB5D01" w:rsidP="000158FD">
                      <w:pPr>
                        <w:spacing w:line="276" w:lineRule="auto"/>
                        <w:rPr>
                          <w:rFonts w:asciiTheme="majorHAnsi" w:hAnsiTheme="majorHAnsi" w:cs="Arial"/>
                          <w:szCs w:val="22"/>
                          <w:lang w:val="es-ES_tradnl"/>
                        </w:rPr>
                      </w:pPr>
                      <w:r w:rsidRPr="00DF6D64">
                        <w:rPr>
                          <w:rFonts w:asciiTheme="majorHAnsi" w:hAnsiTheme="majorHAnsi" w:cs="Arial"/>
                          <w:szCs w:val="22"/>
                          <w:lang w:val="es-ES_tradnl"/>
                        </w:rPr>
                        <w:t xml:space="preserve">INFORME DE ADMISIBILIDAD Y </w:t>
                      </w:r>
                      <w:r w:rsidRPr="000266A4">
                        <w:rPr>
                          <w:rFonts w:asciiTheme="majorHAnsi" w:hAnsiTheme="majorHAnsi" w:cs="Arial"/>
                          <w:szCs w:val="22"/>
                          <w:lang w:val="es-ES_tradnl"/>
                        </w:rPr>
                        <w:t xml:space="preserve">FONDO </w:t>
                      </w:r>
                      <w:r w:rsidR="008F43FD" w:rsidRPr="000266A4">
                        <w:rPr>
                          <w:rFonts w:asciiTheme="majorHAnsi" w:hAnsiTheme="majorHAnsi" w:cs="Arial"/>
                          <w:szCs w:val="22"/>
                          <w:lang w:val="es-ES_tradnl"/>
                        </w:rPr>
                        <w:t>(</w:t>
                      </w:r>
                      <w:r w:rsidR="00861FB3" w:rsidRPr="00A0068C">
                        <w:rPr>
                          <w:rFonts w:asciiTheme="majorHAnsi" w:hAnsiTheme="majorHAnsi" w:cs="Arial"/>
                          <w:szCs w:val="22"/>
                          <w:lang w:val="es-ES_tradnl"/>
                        </w:rPr>
                        <w:t>PUBLICACIÓN</w:t>
                      </w:r>
                      <w:r w:rsidR="008F43FD" w:rsidRPr="000266A4">
                        <w:rPr>
                          <w:rFonts w:asciiTheme="majorHAnsi" w:hAnsiTheme="majorHAnsi" w:cs="Arial"/>
                          <w:szCs w:val="22"/>
                          <w:lang w:val="es-ES_tradnl"/>
                        </w:rPr>
                        <w:t>)</w:t>
                      </w:r>
                    </w:p>
                    <w:p w14:paraId="5F687BF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p w14:paraId="6C8D7A64" w14:textId="77777777" w:rsidR="00941189" w:rsidRDefault="00941189" w:rsidP="00941189">
                      <w:pPr>
                        <w:spacing w:line="276" w:lineRule="auto"/>
                        <w:rPr>
                          <w:rFonts w:asciiTheme="majorHAnsi" w:hAnsiTheme="majorHAnsi" w:cs="Arial"/>
                          <w:color w:val="0D0D0D" w:themeColor="text1" w:themeTint="F2"/>
                          <w:szCs w:val="22"/>
                          <w:lang w:val="es-ES_tradnl"/>
                        </w:rPr>
                      </w:pPr>
                      <w:r>
                        <w:rPr>
                          <w:rFonts w:asciiTheme="majorHAnsi" w:hAnsiTheme="majorHAnsi" w:cs="Arial"/>
                          <w:color w:val="0D0D0D" w:themeColor="text1" w:themeTint="F2"/>
                          <w:szCs w:val="22"/>
                          <w:lang w:val="es-ES_tradnl"/>
                        </w:rPr>
                        <w:t>MAYKEL CASTILLO PÉREZ</w:t>
                      </w:r>
                      <w:bookmarkEnd w:id="1"/>
                    </w:p>
                    <w:p w14:paraId="617D326F" w14:textId="374BA88A" w:rsidR="005B52B0" w:rsidRPr="00AE5488" w:rsidRDefault="00ED6D2F" w:rsidP="00941189">
                      <w:pPr>
                        <w:spacing w:line="276" w:lineRule="auto"/>
                        <w:rPr>
                          <w:color w:val="0D0D0D" w:themeColor="text1" w:themeTint="F2"/>
                          <w:lang w:val="es-ES_tradnl"/>
                        </w:rPr>
                      </w:pPr>
                      <w:r>
                        <w:rPr>
                          <w:rFonts w:asciiTheme="majorHAnsi" w:hAnsiTheme="majorHAnsi" w:cs="Arial"/>
                          <w:color w:val="0D0D0D" w:themeColor="text1" w:themeTint="F2"/>
                          <w:szCs w:val="22"/>
                          <w:lang w:val="es-ES_tradnl"/>
                        </w:rPr>
                        <w:t>CUBA</w:t>
                      </w:r>
                    </w:p>
                  </w:txbxContent>
                </v:textbox>
              </v:shape>
            </w:pict>
          </mc:Fallback>
        </mc:AlternateContent>
      </w:r>
      <w:r w:rsidR="004E2649" w:rsidRPr="00E9543F">
        <w:rPr>
          <w:rFonts w:asciiTheme="majorHAnsi" w:hAnsiTheme="majorHAnsi"/>
          <w:noProof/>
          <w:sz w:val="22"/>
          <w:szCs w:val="22"/>
          <w:lang w:val="es-ES"/>
        </w:rPr>
        <mc:AlternateContent>
          <mc:Choice Requires="wps">
            <w:drawing>
              <wp:anchor distT="0" distB="0" distL="114300" distR="114300" simplePos="0" relativeHeight="251658243" behindDoc="0" locked="0" layoutInCell="1" allowOverlap="1" wp14:anchorId="631C9735" wp14:editId="5AE1B6A7">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F13937" w14:textId="7F475750" w:rsidR="00627C9F" w:rsidRPr="00552C7C" w:rsidRDefault="007C756A" w:rsidP="007A5817">
                            <w:pPr>
                              <w:spacing w:line="276" w:lineRule="auto"/>
                              <w:jc w:val="right"/>
                              <w:rPr>
                                <w:rFonts w:asciiTheme="minorHAnsi" w:hAnsiTheme="minorHAnsi"/>
                                <w:color w:val="FFFFFF" w:themeColor="background1"/>
                                <w:sz w:val="22"/>
                                <w:lang w:val="es-US"/>
                              </w:rPr>
                            </w:pPr>
                            <w:r w:rsidRPr="00552C7C">
                              <w:rPr>
                                <w:rFonts w:asciiTheme="minorHAnsi" w:hAnsiTheme="minorHAnsi"/>
                                <w:color w:val="FFFFFF" w:themeColor="background1"/>
                                <w:sz w:val="22"/>
                                <w:lang w:val="es-US"/>
                              </w:rPr>
                              <w:t>OEA/Ser.L/V/II</w:t>
                            </w:r>
                          </w:p>
                          <w:p w14:paraId="4A2CB0DF" w14:textId="40A17EC3" w:rsidR="00627C9F" w:rsidRPr="00BF7FAB" w:rsidRDefault="00627C9F" w:rsidP="007A5817">
                            <w:pPr>
                              <w:spacing w:line="276" w:lineRule="auto"/>
                              <w:jc w:val="right"/>
                              <w:rPr>
                                <w:rFonts w:asciiTheme="minorHAnsi" w:hAnsiTheme="minorHAnsi"/>
                                <w:color w:val="FFFFFF" w:themeColor="background1"/>
                                <w:sz w:val="22"/>
                                <w:lang w:val="es-US"/>
                              </w:rPr>
                            </w:pPr>
                            <w:r w:rsidRPr="00BF7FAB">
                              <w:rPr>
                                <w:rFonts w:asciiTheme="minorHAnsi" w:hAnsiTheme="minorHAnsi"/>
                                <w:color w:val="FFFFFF" w:themeColor="background1"/>
                                <w:sz w:val="22"/>
                                <w:lang w:val="es-US"/>
                              </w:rPr>
                              <w:t xml:space="preserve">Doc. </w:t>
                            </w:r>
                            <w:r w:rsidR="00B0001E">
                              <w:rPr>
                                <w:rFonts w:asciiTheme="minorHAnsi" w:hAnsiTheme="minorHAnsi"/>
                                <w:color w:val="FFFFFF" w:themeColor="background1"/>
                                <w:sz w:val="22"/>
                                <w:lang w:val="es-US"/>
                              </w:rPr>
                              <w:t>266</w:t>
                            </w:r>
                          </w:p>
                          <w:p w14:paraId="2F8A3633" w14:textId="6143BB01" w:rsidR="00627C9F" w:rsidRPr="007C756A" w:rsidRDefault="00A0068C" w:rsidP="007A5817">
                            <w:pPr>
                              <w:spacing w:line="276" w:lineRule="auto"/>
                              <w:jc w:val="right"/>
                              <w:rPr>
                                <w:rFonts w:asciiTheme="minorHAnsi" w:hAnsiTheme="minorHAnsi"/>
                                <w:color w:val="FFFFFF" w:themeColor="background1"/>
                                <w:sz w:val="22"/>
                                <w:lang w:val="es-US"/>
                              </w:rPr>
                            </w:pPr>
                            <w:r>
                              <w:rPr>
                                <w:rFonts w:asciiTheme="minorHAnsi" w:hAnsiTheme="minorHAnsi"/>
                                <w:color w:val="FFFFFF" w:themeColor="background1"/>
                                <w:sz w:val="22"/>
                                <w:lang w:val="es-US"/>
                              </w:rPr>
                              <w:t>3 diciembre</w:t>
                            </w:r>
                            <w:r w:rsidR="00BF7FAB">
                              <w:rPr>
                                <w:rFonts w:asciiTheme="minorHAnsi" w:hAnsiTheme="minorHAnsi"/>
                                <w:color w:val="FFFFFF" w:themeColor="background1"/>
                                <w:sz w:val="22"/>
                                <w:lang w:val="es-US"/>
                              </w:rPr>
                              <w:t xml:space="preserve"> 202</w:t>
                            </w:r>
                            <w:r w:rsidR="00A8644A">
                              <w:rPr>
                                <w:rFonts w:asciiTheme="minorHAnsi" w:hAnsiTheme="minorHAnsi"/>
                                <w:color w:val="FFFFFF" w:themeColor="background1"/>
                                <w:sz w:val="22"/>
                                <w:lang w:val="es-US"/>
                              </w:rPr>
                              <w:t>5</w:t>
                            </w:r>
                          </w:p>
                          <w:p w14:paraId="644E1E8A" w14:textId="77777777" w:rsidR="00627C9F" w:rsidRPr="007C756A" w:rsidRDefault="00E0340B" w:rsidP="007A5817">
                            <w:pPr>
                              <w:spacing w:line="276" w:lineRule="auto"/>
                              <w:jc w:val="right"/>
                              <w:rPr>
                                <w:rFonts w:asciiTheme="minorHAnsi" w:hAnsiTheme="minorHAnsi"/>
                                <w:color w:val="FFFFFF" w:themeColor="background1"/>
                                <w:sz w:val="22"/>
                                <w:lang w:val="es-US"/>
                              </w:rPr>
                            </w:pPr>
                            <w:r w:rsidRPr="007C756A">
                              <w:rPr>
                                <w:rFonts w:asciiTheme="minorHAnsi" w:hAnsiTheme="minorHAnsi"/>
                                <w:color w:val="FFFFFF" w:themeColor="background1"/>
                                <w:sz w:val="22"/>
                                <w:lang w:val="es-US"/>
                              </w:rPr>
                              <w:t xml:space="preserve">Original: </w:t>
                            </w:r>
                            <w:r w:rsidR="008B12F5" w:rsidRPr="007C756A">
                              <w:rPr>
                                <w:rFonts w:asciiTheme="minorHAnsi" w:hAnsiTheme="minorHAnsi"/>
                                <w:color w:val="FFFFFF" w:themeColor="background1"/>
                                <w:sz w:val="22"/>
                                <w:lang w:val="es-US"/>
                              </w:rPr>
                              <w:t>e</w:t>
                            </w:r>
                            <w:r w:rsidR="00627C9F" w:rsidRPr="007C756A">
                              <w:rPr>
                                <w:rFonts w:asciiTheme="minorHAnsi" w:hAnsiTheme="minorHAnsi"/>
                                <w:color w:val="FFFFFF" w:themeColor="background1"/>
                                <w:sz w:val="22"/>
                                <w:lang w:val="es-US"/>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C9735"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1DF13937" w14:textId="7F475750" w:rsidR="00627C9F" w:rsidRPr="00552C7C" w:rsidRDefault="007C756A" w:rsidP="007A5817">
                      <w:pPr>
                        <w:spacing w:line="276" w:lineRule="auto"/>
                        <w:jc w:val="right"/>
                        <w:rPr>
                          <w:rFonts w:asciiTheme="minorHAnsi" w:hAnsiTheme="minorHAnsi"/>
                          <w:color w:val="FFFFFF" w:themeColor="background1"/>
                          <w:sz w:val="22"/>
                          <w:lang w:val="es-US"/>
                        </w:rPr>
                      </w:pPr>
                      <w:r w:rsidRPr="00552C7C">
                        <w:rPr>
                          <w:rFonts w:asciiTheme="minorHAnsi" w:hAnsiTheme="minorHAnsi"/>
                          <w:color w:val="FFFFFF" w:themeColor="background1"/>
                          <w:sz w:val="22"/>
                          <w:lang w:val="es-US"/>
                        </w:rPr>
                        <w:t>OEA/Ser.L/V/II</w:t>
                      </w:r>
                    </w:p>
                    <w:p w14:paraId="4A2CB0DF" w14:textId="40A17EC3" w:rsidR="00627C9F" w:rsidRPr="00BF7FAB" w:rsidRDefault="00627C9F" w:rsidP="007A5817">
                      <w:pPr>
                        <w:spacing w:line="276" w:lineRule="auto"/>
                        <w:jc w:val="right"/>
                        <w:rPr>
                          <w:rFonts w:asciiTheme="minorHAnsi" w:hAnsiTheme="minorHAnsi"/>
                          <w:color w:val="FFFFFF" w:themeColor="background1"/>
                          <w:sz w:val="22"/>
                          <w:lang w:val="es-US"/>
                        </w:rPr>
                      </w:pPr>
                      <w:r w:rsidRPr="00BF7FAB">
                        <w:rPr>
                          <w:rFonts w:asciiTheme="minorHAnsi" w:hAnsiTheme="minorHAnsi"/>
                          <w:color w:val="FFFFFF" w:themeColor="background1"/>
                          <w:sz w:val="22"/>
                          <w:lang w:val="es-US"/>
                        </w:rPr>
                        <w:t xml:space="preserve">Doc. </w:t>
                      </w:r>
                      <w:r w:rsidR="00B0001E">
                        <w:rPr>
                          <w:rFonts w:asciiTheme="minorHAnsi" w:hAnsiTheme="minorHAnsi"/>
                          <w:color w:val="FFFFFF" w:themeColor="background1"/>
                          <w:sz w:val="22"/>
                          <w:lang w:val="es-US"/>
                        </w:rPr>
                        <w:t>266</w:t>
                      </w:r>
                    </w:p>
                    <w:p w14:paraId="2F8A3633" w14:textId="6143BB01" w:rsidR="00627C9F" w:rsidRPr="007C756A" w:rsidRDefault="00A0068C" w:rsidP="007A5817">
                      <w:pPr>
                        <w:spacing w:line="276" w:lineRule="auto"/>
                        <w:jc w:val="right"/>
                        <w:rPr>
                          <w:rFonts w:asciiTheme="minorHAnsi" w:hAnsiTheme="minorHAnsi"/>
                          <w:color w:val="FFFFFF" w:themeColor="background1"/>
                          <w:sz w:val="22"/>
                          <w:lang w:val="es-US"/>
                        </w:rPr>
                      </w:pPr>
                      <w:r>
                        <w:rPr>
                          <w:rFonts w:asciiTheme="minorHAnsi" w:hAnsiTheme="minorHAnsi"/>
                          <w:color w:val="FFFFFF" w:themeColor="background1"/>
                          <w:sz w:val="22"/>
                          <w:lang w:val="es-US"/>
                        </w:rPr>
                        <w:t>3 diciembre</w:t>
                      </w:r>
                      <w:r w:rsidR="00BF7FAB">
                        <w:rPr>
                          <w:rFonts w:asciiTheme="minorHAnsi" w:hAnsiTheme="minorHAnsi"/>
                          <w:color w:val="FFFFFF" w:themeColor="background1"/>
                          <w:sz w:val="22"/>
                          <w:lang w:val="es-US"/>
                        </w:rPr>
                        <w:t xml:space="preserve"> 202</w:t>
                      </w:r>
                      <w:r w:rsidR="00A8644A">
                        <w:rPr>
                          <w:rFonts w:asciiTheme="minorHAnsi" w:hAnsiTheme="minorHAnsi"/>
                          <w:color w:val="FFFFFF" w:themeColor="background1"/>
                          <w:sz w:val="22"/>
                          <w:lang w:val="es-US"/>
                        </w:rPr>
                        <w:t>5</w:t>
                      </w:r>
                    </w:p>
                    <w:p w14:paraId="644E1E8A" w14:textId="77777777" w:rsidR="00627C9F" w:rsidRPr="007C756A" w:rsidRDefault="00E0340B" w:rsidP="007A5817">
                      <w:pPr>
                        <w:spacing w:line="276" w:lineRule="auto"/>
                        <w:jc w:val="right"/>
                        <w:rPr>
                          <w:rFonts w:asciiTheme="minorHAnsi" w:hAnsiTheme="minorHAnsi"/>
                          <w:color w:val="FFFFFF" w:themeColor="background1"/>
                          <w:sz w:val="22"/>
                          <w:lang w:val="es-US"/>
                        </w:rPr>
                      </w:pPr>
                      <w:r w:rsidRPr="007C756A">
                        <w:rPr>
                          <w:rFonts w:asciiTheme="minorHAnsi" w:hAnsiTheme="minorHAnsi"/>
                          <w:color w:val="FFFFFF" w:themeColor="background1"/>
                          <w:sz w:val="22"/>
                          <w:lang w:val="es-US"/>
                        </w:rPr>
                        <w:t xml:space="preserve">Original: </w:t>
                      </w:r>
                      <w:r w:rsidR="008B12F5" w:rsidRPr="007C756A">
                        <w:rPr>
                          <w:rFonts w:asciiTheme="minorHAnsi" w:hAnsiTheme="minorHAnsi"/>
                          <w:color w:val="FFFFFF" w:themeColor="background1"/>
                          <w:sz w:val="22"/>
                          <w:lang w:val="es-US"/>
                        </w:rPr>
                        <w:t>e</w:t>
                      </w:r>
                      <w:r w:rsidR="00627C9F" w:rsidRPr="007C756A">
                        <w:rPr>
                          <w:rFonts w:asciiTheme="minorHAnsi" w:hAnsiTheme="minorHAnsi"/>
                          <w:color w:val="FFFFFF" w:themeColor="background1"/>
                          <w:sz w:val="22"/>
                          <w:lang w:val="es-US"/>
                        </w:rPr>
                        <w:t>spañol</w:t>
                      </w:r>
                    </w:p>
                  </w:txbxContent>
                </v:textbox>
              </v:shape>
            </w:pict>
          </mc:Fallback>
        </mc:AlternateContent>
      </w:r>
    </w:p>
    <w:p w14:paraId="7DE2352C" w14:textId="77777777" w:rsidR="00040C3A" w:rsidRPr="00E9543F" w:rsidRDefault="00040C3A" w:rsidP="00040C3A">
      <w:pPr>
        <w:tabs>
          <w:tab w:val="center" w:pos="5400"/>
        </w:tabs>
        <w:suppressAutoHyphens/>
        <w:jc w:val="center"/>
        <w:rPr>
          <w:rFonts w:asciiTheme="majorHAnsi" w:hAnsiTheme="majorHAnsi"/>
          <w:sz w:val="22"/>
          <w:szCs w:val="22"/>
          <w:lang w:val="es-ES"/>
        </w:rPr>
      </w:pPr>
    </w:p>
    <w:p w14:paraId="6A1ED6CA" w14:textId="77777777" w:rsidR="00040C3A" w:rsidRPr="00E9543F" w:rsidRDefault="00040C3A" w:rsidP="00040C3A">
      <w:pPr>
        <w:tabs>
          <w:tab w:val="center" w:pos="5400"/>
        </w:tabs>
        <w:suppressAutoHyphens/>
        <w:jc w:val="center"/>
        <w:rPr>
          <w:rFonts w:asciiTheme="majorHAnsi" w:hAnsiTheme="majorHAnsi"/>
          <w:sz w:val="22"/>
          <w:szCs w:val="22"/>
          <w:lang w:val="es-ES"/>
        </w:rPr>
      </w:pPr>
    </w:p>
    <w:p w14:paraId="3C22F340" w14:textId="77777777" w:rsidR="00040C3A" w:rsidRPr="00E9543F" w:rsidRDefault="00040C3A" w:rsidP="00040C3A">
      <w:pPr>
        <w:tabs>
          <w:tab w:val="center" w:pos="5400"/>
        </w:tabs>
        <w:suppressAutoHyphens/>
        <w:jc w:val="center"/>
        <w:rPr>
          <w:rFonts w:asciiTheme="majorHAnsi" w:hAnsiTheme="majorHAnsi" w:cs="Arial"/>
          <w:sz w:val="22"/>
          <w:szCs w:val="22"/>
          <w:lang w:val="es-ES"/>
        </w:rPr>
      </w:pPr>
    </w:p>
    <w:p w14:paraId="23DABF5C" w14:textId="77777777" w:rsidR="00040C3A" w:rsidRPr="00E9543F" w:rsidRDefault="00040C3A" w:rsidP="00040C3A">
      <w:pPr>
        <w:tabs>
          <w:tab w:val="center" w:pos="5400"/>
        </w:tabs>
        <w:suppressAutoHyphens/>
        <w:jc w:val="center"/>
        <w:rPr>
          <w:rFonts w:asciiTheme="majorHAnsi" w:hAnsiTheme="majorHAnsi"/>
          <w:sz w:val="22"/>
          <w:szCs w:val="22"/>
          <w:lang w:val="es-ES"/>
        </w:rPr>
      </w:pPr>
    </w:p>
    <w:p w14:paraId="19EBEF7C" w14:textId="77777777" w:rsidR="00040C3A" w:rsidRPr="00E9543F" w:rsidRDefault="00040C3A" w:rsidP="00040C3A">
      <w:pPr>
        <w:tabs>
          <w:tab w:val="center" w:pos="5400"/>
        </w:tabs>
        <w:suppressAutoHyphens/>
        <w:jc w:val="center"/>
        <w:rPr>
          <w:rFonts w:asciiTheme="majorHAnsi" w:hAnsiTheme="majorHAnsi"/>
          <w:sz w:val="22"/>
          <w:szCs w:val="22"/>
          <w:lang w:val="es-ES"/>
        </w:rPr>
      </w:pPr>
    </w:p>
    <w:p w14:paraId="0B4F3155" w14:textId="77777777" w:rsidR="00040C3A" w:rsidRPr="00E9543F" w:rsidRDefault="00040C3A" w:rsidP="00040C3A">
      <w:pPr>
        <w:tabs>
          <w:tab w:val="center" w:pos="5400"/>
        </w:tabs>
        <w:suppressAutoHyphens/>
        <w:jc w:val="center"/>
        <w:rPr>
          <w:rFonts w:asciiTheme="majorHAnsi" w:hAnsiTheme="majorHAnsi"/>
          <w:sz w:val="22"/>
          <w:szCs w:val="22"/>
          <w:lang w:val="es-ES"/>
        </w:rPr>
      </w:pPr>
    </w:p>
    <w:p w14:paraId="78242FB7" w14:textId="77777777" w:rsidR="00040C3A" w:rsidRPr="00E9543F" w:rsidRDefault="00040C3A" w:rsidP="00040C3A">
      <w:pPr>
        <w:tabs>
          <w:tab w:val="center" w:pos="5400"/>
        </w:tabs>
        <w:suppressAutoHyphens/>
        <w:jc w:val="center"/>
        <w:rPr>
          <w:rFonts w:asciiTheme="majorHAnsi" w:hAnsiTheme="majorHAnsi"/>
          <w:sz w:val="22"/>
          <w:szCs w:val="22"/>
          <w:lang w:val="es-ES"/>
        </w:rPr>
      </w:pPr>
    </w:p>
    <w:p w14:paraId="1F477545" w14:textId="77777777" w:rsidR="005128E4" w:rsidRPr="00E9543F" w:rsidRDefault="005128E4" w:rsidP="00040C3A">
      <w:pPr>
        <w:tabs>
          <w:tab w:val="center" w:pos="5400"/>
        </w:tabs>
        <w:suppressAutoHyphens/>
        <w:jc w:val="center"/>
        <w:rPr>
          <w:rFonts w:asciiTheme="majorHAnsi" w:hAnsiTheme="majorHAnsi"/>
          <w:sz w:val="22"/>
          <w:szCs w:val="22"/>
          <w:lang w:val="es-ES"/>
        </w:rPr>
      </w:pPr>
    </w:p>
    <w:p w14:paraId="136AA03A" w14:textId="77777777" w:rsidR="00040C3A" w:rsidRPr="00E9543F" w:rsidRDefault="00040C3A" w:rsidP="00040C3A">
      <w:pPr>
        <w:tabs>
          <w:tab w:val="center" w:pos="5400"/>
        </w:tabs>
        <w:suppressAutoHyphens/>
        <w:jc w:val="center"/>
        <w:rPr>
          <w:rFonts w:asciiTheme="majorHAnsi" w:hAnsiTheme="majorHAnsi"/>
          <w:sz w:val="22"/>
          <w:szCs w:val="22"/>
          <w:lang w:val="es-ES"/>
        </w:rPr>
      </w:pPr>
    </w:p>
    <w:p w14:paraId="7C918178" w14:textId="77777777" w:rsidR="005128E4" w:rsidRPr="00E9543F" w:rsidRDefault="005128E4" w:rsidP="00040C3A">
      <w:pPr>
        <w:tabs>
          <w:tab w:val="center" w:pos="5400"/>
        </w:tabs>
        <w:suppressAutoHyphens/>
        <w:jc w:val="center"/>
        <w:rPr>
          <w:rFonts w:asciiTheme="majorHAnsi" w:hAnsiTheme="majorHAnsi"/>
          <w:sz w:val="22"/>
          <w:szCs w:val="22"/>
          <w:lang w:val="es-ES"/>
        </w:rPr>
      </w:pPr>
    </w:p>
    <w:p w14:paraId="7520E5D5" w14:textId="77777777" w:rsidR="005128E4" w:rsidRPr="00E9543F" w:rsidRDefault="005128E4" w:rsidP="00040C3A">
      <w:pPr>
        <w:tabs>
          <w:tab w:val="center" w:pos="5400"/>
        </w:tabs>
        <w:suppressAutoHyphens/>
        <w:jc w:val="center"/>
        <w:rPr>
          <w:rFonts w:asciiTheme="majorHAnsi" w:hAnsiTheme="majorHAnsi"/>
          <w:sz w:val="22"/>
          <w:szCs w:val="22"/>
          <w:lang w:val="es-ES"/>
        </w:rPr>
      </w:pPr>
    </w:p>
    <w:p w14:paraId="0A1E055B" w14:textId="77777777" w:rsidR="005128E4" w:rsidRPr="00E9543F" w:rsidRDefault="005128E4" w:rsidP="00040C3A">
      <w:pPr>
        <w:tabs>
          <w:tab w:val="center" w:pos="5400"/>
        </w:tabs>
        <w:suppressAutoHyphens/>
        <w:jc w:val="center"/>
        <w:rPr>
          <w:rFonts w:asciiTheme="majorHAnsi" w:hAnsiTheme="majorHAnsi"/>
          <w:sz w:val="22"/>
          <w:szCs w:val="22"/>
          <w:lang w:val="es-ES"/>
        </w:rPr>
      </w:pPr>
    </w:p>
    <w:p w14:paraId="3CC039F8" w14:textId="77777777" w:rsidR="00040C3A" w:rsidRPr="00E9543F" w:rsidRDefault="00040C3A" w:rsidP="00040C3A">
      <w:pPr>
        <w:tabs>
          <w:tab w:val="center" w:pos="5400"/>
        </w:tabs>
        <w:suppressAutoHyphens/>
        <w:jc w:val="center"/>
        <w:rPr>
          <w:rFonts w:asciiTheme="majorHAnsi" w:hAnsiTheme="majorHAnsi"/>
          <w:sz w:val="22"/>
          <w:szCs w:val="22"/>
          <w:lang w:val="es-ES"/>
        </w:rPr>
      </w:pPr>
    </w:p>
    <w:p w14:paraId="357CA4A1" w14:textId="77777777" w:rsidR="00040C3A" w:rsidRPr="00E9543F" w:rsidRDefault="00040C3A" w:rsidP="00040C3A">
      <w:pPr>
        <w:tabs>
          <w:tab w:val="center" w:pos="5400"/>
        </w:tabs>
        <w:suppressAutoHyphens/>
        <w:jc w:val="center"/>
        <w:rPr>
          <w:rFonts w:asciiTheme="majorHAnsi" w:hAnsiTheme="majorHAnsi"/>
          <w:sz w:val="22"/>
          <w:szCs w:val="22"/>
          <w:lang w:val="es-ES"/>
        </w:rPr>
      </w:pPr>
    </w:p>
    <w:p w14:paraId="09C47D8C" w14:textId="77777777" w:rsidR="00A50FCF" w:rsidRPr="00E9543F" w:rsidRDefault="00A50FCF" w:rsidP="00040C3A">
      <w:pPr>
        <w:tabs>
          <w:tab w:val="center" w:pos="5400"/>
        </w:tabs>
        <w:suppressAutoHyphens/>
        <w:jc w:val="center"/>
        <w:rPr>
          <w:rFonts w:asciiTheme="majorHAnsi" w:hAnsiTheme="majorHAnsi"/>
          <w:sz w:val="18"/>
          <w:szCs w:val="22"/>
          <w:lang w:val="es-ES"/>
        </w:rPr>
      </w:pPr>
    </w:p>
    <w:p w14:paraId="52111B28" w14:textId="77777777" w:rsidR="00A50FCF" w:rsidRPr="00E9543F" w:rsidRDefault="00A50FCF" w:rsidP="00040C3A">
      <w:pPr>
        <w:tabs>
          <w:tab w:val="center" w:pos="5400"/>
        </w:tabs>
        <w:suppressAutoHyphens/>
        <w:jc w:val="center"/>
        <w:rPr>
          <w:rFonts w:asciiTheme="majorHAnsi" w:hAnsiTheme="majorHAnsi"/>
          <w:sz w:val="18"/>
          <w:szCs w:val="22"/>
          <w:lang w:val="es-ES"/>
        </w:rPr>
      </w:pPr>
    </w:p>
    <w:p w14:paraId="754BA951" w14:textId="77777777" w:rsidR="00A50FCF" w:rsidRPr="00E9543F" w:rsidRDefault="00A50FCF" w:rsidP="00040C3A">
      <w:pPr>
        <w:tabs>
          <w:tab w:val="center" w:pos="5400"/>
        </w:tabs>
        <w:suppressAutoHyphens/>
        <w:jc w:val="center"/>
        <w:rPr>
          <w:rFonts w:asciiTheme="majorHAnsi" w:hAnsiTheme="majorHAnsi"/>
          <w:sz w:val="18"/>
          <w:szCs w:val="22"/>
          <w:lang w:val="es-ES"/>
        </w:rPr>
      </w:pPr>
    </w:p>
    <w:p w14:paraId="72AB75D1" w14:textId="77777777" w:rsidR="00A50FCF" w:rsidRPr="00E9543F" w:rsidRDefault="00A50FCF" w:rsidP="00040C3A">
      <w:pPr>
        <w:tabs>
          <w:tab w:val="center" w:pos="5400"/>
        </w:tabs>
        <w:suppressAutoHyphens/>
        <w:jc w:val="center"/>
        <w:rPr>
          <w:rFonts w:asciiTheme="majorHAnsi" w:hAnsiTheme="majorHAnsi"/>
          <w:sz w:val="18"/>
          <w:szCs w:val="22"/>
          <w:lang w:val="es-ES"/>
        </w:rPr>
      </w:pPr>
    </w:p>
    <w:p w14:paraId="36D3DA9F" w14:textId="77777777" w:rsidR="00A50FCF" w:rsidRPr="00E9543F" w:rsidRDefault="00A50FCF" w:rsidP="00040C3A">
      <w:pPr>
        <w:tabs>
          <w:tab w:val="center" w:pos="5400"/>
        </w:tabs>
        <w:suppressAutoHyphens/>
        <w:jc w:val="center"/>
        <w:rPr>
          <w:rFonts w:asciiTheme="majorHAnsi" w:hAnsiTheme="majorHAnsi"/>
          <w:sz w:val="18"/>
          <w:szCs w:val="22"/>
          <w:lang w:val="es-ES"/>
        </w:rPr>
      </w:pPr>
    </w:p>
    <w:p w14:paraId="7876DDCD" w14:textId="77777777" w:rsidR="00A50FCF" w:rsidRPr="00E9543F" w:rsidRDefault="00A50FCF" w:rsidP="00040C3A">
      <w:pPr>
        <w:tabs>
          <w:tab w:val="center" w:pos="5400"/>
        </w:tabs>
        <w:suppressAutoHyphens/>
        <w:jc w:val="center"/>
        <w:rPr>
          <w:rFonts w:asciiTheme="majorHAnsi" w:hAnsiTheme="majorHAnsi"/>
          <w:sz w:val="18"/>
          <w:szCs w:val="22"/>
          <w:lang w:val="es-ES"/>
        </w:rPr>
      </w:pPr>
    </w:p>
    <w:p w14:paraId="0327EBBA" w14:textId="77777777" w:rsidR="00A50FCF" w:rsidRPr="00E9543F" w:rsidRDefault="00A50FCF" w:rsidP="00040C3A">
      <w:pPr>
        <w:tabs>
          <w:tab w:val="center" w:pos="5400"/>
        </w:tabs>
        <w:suppressAutoHyphens/>
        <w:jc w:val="center"/>
        <w:rPr>
          <w:rFonts w:asciiTheme="majorHAnsi" w:hAnsiTheme="majorHAnsi"/>
          <w:sz w:val="18"/>
          <w:szCs w:val="22"/>
          <w:lang w:val="es-ES"/>
        </w:rPr>
      </w:pPr>
    </w:p>
    <w:p w14:paraId="2D8AE190" w14:textId="77777777" w:rsidR="00A50FCF" w:rsidRPr="00E9543F" w:rsidRDefault="00A50FCF" w:rsidP="00040C3A">
      <w:pPr>
        <w:tabs>
          <w:tab w:val="center" w:pos="5400"/>
        </w:tabs>
        <w:suppressAutoHyphens/>
        <w:jc w:val="center"/>
        <w:rPr>
          <w:rFonts w:asciiTheme="majorHAnsi" w:hAnsiTheme="majorHAnsi"/>
          <w:sz w:val="18"/>
          <w:szCs w:val="22"/>
          <w:lang w:val="es-ES"/>
        </w:rPr>
      </w:pPr>
    </w:p>
    <w:p w14:paraId="43FC247C" w14:textId="77777777" w:rsidR="00A50FCF" w:rsidRPr="00E9543F" w:rsidRDefault="00A50FCF" w:rsidP="00040C3A">
      <w:pPr>
        <w:tabs>
          <w:tab w:val="center" w:pos="5400"/>
        </w:tabs>
        <w:suppressAutoHyphens/>
        <w:jc w:val="center"/>
        <w:rPr>
          <w:rFonts w:asciiTheme="majorHAnsi" w:hAnsiTheme="majorHAnsi"/>
          <w:sz w:val="18"/>
          <w:szCs w:val="22"/>
          <w:lang w:val="es-ES"/>
        </w:rPr>
      </w:pPr>
    </w:p>
    <w:p w14:paraId="3B108B5A" w14:textId="77777777" w:rsidR="00A50FCF" w:rsidRPr="00E9543F" w:rsidRDefault="00A50FCF" w:rsidP="00040C3A">
      <w:pPr>
        <w:tabs>
          <w:tab w:val="center" w:pos="5400"/>
        </w:tabs>
        <w:suppressAutoHyphens/>
        <w:jc w:val="center"/>
        <w:rPr>
          <w:rFonts w:asciiTheme="majorHAnsi" w:hAnsiTheme="majorHAnsi"/>
          <w:sz w:val="18"/>
          <w:szCs w:val="22"/>
          <w:lang w:val="es-ES"/>
        </w:rPr>
      </w:pPr>
    </w:p>
    <w:p w14:paraId="04BEE187" w14:textId="77777777" w:rsidR="00A50FCF" w:rsidRPr="00E9543F" w:rsidRDefault="00A50FCF" w:rsidP="00040C3A">
      <w:pPr>
        <w:tabs>
          <w:tab w:val="center" w:pos="5400"/>
        </w:tabs>
        <w:suppressAutoHyphens/>
        <w:jc w:val="center"/>
        <w:rPr>
          <w:rFonts w:asciiTheme="majorHAnsi" w:hAnsiTheme="majorHAnsi"/>
          <w:sz w:val="18"/>
          <w:szCs w:val="22"/>
          <w:lang w:val="es-ES"/>
        </w:rPr>
      </w:pPr>
    </w:p>
    <w:p w14:paraId="29DEA5C0" w14:textId="77777777" w:rsidR="00A50FCF" w:rsidRPr="00E9543F" w:rsidRDefault="00A50FCF" w:rsidP="00040C3A">
      <w:pPr>
        <w:tabs>
          <w:tab w:val="center" w:pos="5400"/>
        </w:tabs>
        <w:suppressAutoHyphens/>
        <w:jc w:val="center"/>
        <w:rPr>
          <w:rFonts w:asciiTheme="majorHAnsi" w:hAnsiTheme="majorHAnsi"/>
          <w:sz w:val="18"/>
          <w:szCs w:val="22"/>
          <w:lang w:val="es-ES"/>
        </w:rPr>
      </w:pPr>
    </w:p>
    <w:p w14:paraId="5D8988F2" w14:textId="77777777" w:rsidR="00A50FCF" w:rsidRPr="00E9543F" w:rsidRDefault="00A50FCF" w:rsidP="00040C3A">
      <w:pPr>
        <w:tabs>
          <w:tab w:val="center" w:pos="5400"/>
        </w:tabs>
        <w:suppressAutoHyphens/>
        <w:jc w:val="center"/>
        <w:rPr>
          <w:rFonts w:asciiTheme="majorHAnsi" w:hAnsiTheme="majorHAnsi"/>
          <w:sz w:val="18"/>
          <w:szCs w:val="22"/>
          <w:lang w:val="es-ES"/>
        </w:rPr>
      </w:pPr>
    </w:p>
    <w:p w14:paraId="00578FB9" w14:textId="77777777" w:rsidR="00A50FCF" w:rsidRPr="00E9543F" w:rsidRDefault="00A50FCF" w:rsidP="00040C3A">
      <w:pPr>
        <w:tabs>
          <w:tab w:val="center" w:pos="5400"/>
        </w:tabs>
        <w:suppressAutoHyphens/>
        <w:jc w:val="center"/>
        <w:rPr>
          <w:rFonts w:asciiTheme="majorHAnsi" w:hAnsiTheme="majorHAnsi"/>
          <w:sz w:val="18"/>
          <w:szCs w:val="22"/>
          <w:lang w:val="es-ES"/>
        </w:rPr>
      </w:pPr>
    </w:p>
    <w:p w14:paraId="3A315D96" w14:textId="77777777" w:rsidR="00A50FCF" w:rsidRPr="00E9543F" w:rsidRDefault="0090270B" w:rsidP="00040C3A">
      <w:pPr>
        <w:tabs>
          <w:tab w:val="center" w:pos="5400"/>
        </w:tabs>
        <w:suppressAutoHyphens/>
        <w:jc w:val="center"/>
        <w:rPr>
          <w:rFonts w:asciiTheme="majorHAnsi" w:hAnsiTheme="majorHAnsi"/>
          <w:sz w:val="18"/>
          <w:szCs w:val="22"/>
          <w:lang w:val="es-ES"/>
        </w:rPr>
      </w:pPr>
      <w:r w:rsidRPr="00E9543F">
        <w:rPr>
          <w:rFonts w:asciiTheme="majorHAnsi" w:hAnsiTheme="majorHAnsi"/>
          <w:noProof/>
          <w:sz w:val="22"/>
          <w:szCs w:val="22"/>
          <w:lang w:val="es-ES"/>
        </w:rPr>
        <mc:AlternateContent>
          <mc:Choice Requires="wps">
            <w:drawing>
              <wp:anchor distT="0" distB="0" distL="114300" distR="114300" simplePos="0" relativeHeight="251658242" behindDoc="0" locked="0" layoutInCell="1" allowOverlap="1" wp14:anchorId="2028FBD0" wp14:editId="5F51178D">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FC4F50" w14:textId="43D97B55" w:rsidR="005B52B0" w:rsidRDefault="00032214" w:rsidP="0059191A">
                            <w:pPr>
                              <w:tabs>
                                <w:tab w:val="center" w:pos="5400"/>
                              </w:tabs>
                              <w:suppressAutoHyphens/>
                              <w:spacing w:before="60"/>
                              <w:rPr>
                                <w:rFonts w:asciiTheme="majorHAnsi" w:hAnsiTheme="majorHAnsi" w:cs="Univers"/>
                                <w:color w:val="0D0D0D" w:themeColor="text1" w:themeTint="F2"/>
                                <w:sz w:val="18"/>
                                <w:szCs w:val="20"/>
                                <w:lang w:val="es-ES_tradnl"/>
                              </w:rPr>
                            </w:pPr>
                            <w:r>
                              <w:rPr>
                                <w:rFonts w:asciiTheme="majorHAnsi" w:hAnsiTheme="majorHAnsi"/>
                                <w:color w:val="0D0D0D" w:themeColor="text1" w:themeTint="F2"/>
                                <w:sz w:val="18"/>
                                <w:szCs w:val="20"/>
                                <w:lang w:val="es-ES"/>
                              </w:rPr>
                              <w:t>Aprobado</w:t>
                            </w:r>
                            <w:r w:rsidR="005B52B0" w:rsidRPr="00890650">
                              <w:rPr>
                                <w:rFonts w:asciiTheme="majorHAnsi" w:hAnsiTheme="majorHAnsi"/>
                                <w:color w:val="0D0D0D" w:themeColor="text1" w:themeTint="F2"/>
                                <w:sz w:val="18"/>
                                <w:szCs w:val="20"/>
                                <w:lang w:val="es-ES"/>
                              </w:rPr>
                              <w:t xml:space="preserve"> </w:t>
                            </w:r>
                            <w:r w:rsidR="000106DC">
                              <w:rPr>
                                <w:rFonts w:asciiTheme="majorHAnsi" w:hAnsiTheme="majorHAnsi"/>
                                <w:color w:val="0D0D0D" w:themeColor="text1" w:themeTint="F2"/>
                                <w:sz w:val="18"/>
                                <w:szCs w:val="20"/>
                                <w:lang w:val="es-ES"/>
                              </w:rPr>
                              <w:t>electr</w:t>
                            </w:r>
                            <w:r w:rsidR="000106DC">
                              <w:rPr>
                                <w:rFonts w:asciiTheme="majorHAnsi" w:hAnsiTheme="majorHAnsi"/>
                                <w:color w:val="0D0D0D" w:themeColor="text1" w:themeTint="F2"/>
                                <w:sz w:val="18"/>
                                <w:szCs w:val="20"/>
                                <w:lang w:val="es-US"/>
                              </w:rPr>
                              <w:t>ó</w:t>
                            </w:r>
                            <w:r w:rsidR="000106DC">
                              <w:rPr>
                                <w:rFonts w:asciiTheme="majorHAnsi" w:hAnsiTheme="majorHAnsi"/>
                                <w:color w:val="0D0D0D" w:themeColor="text1" w:themeTint="F2"/>
                                <w:sz w:val="18"/>
                                <w:szCs w:val="20"/>
                                <w:lang w:val="es-ES"/>
                              </w:rPr>
                              <w:t xml:space="preserve">nicamente </w:t>
                            </w:r>
                            <w:r w:rsidR="005B52B0" w:rsidRPr="00890650">
                              <w:rPr>
                                <w:rFonts w:asciiTheme="majorHAnsi" w:hAnsiTheme="majorHAnsi"/>
                                <w:color w:val="0D0D0D" w:themeColor="text1" w:themeTint="F2"/>
                                <w:sz w:val="18"/>
                                <w:szCs w:val="20"/>
                                <w:lang w:val="es-ES"/>
                              </w:rPr>
                              <w:t xml:space="preserve">por la Comisión </w:t>
                            </w:r>
                            <w:r w:rsidR="00A8644A">
                              <w:rPr>
                                <w:rFonts w:asciiTheme="majorHAnsi" w:hAnsiTheme="majorHAnsi"/>
                                <w:color w:val="0D0D0D" w:themeColor="text1" w:themeTint="F2"/>
                                <w:sz w:val="18"/>
                                <w:szCs w:val="20"/>
                                <w:lang w:val="es-ES"/>
                              </w:rPr>
                              <w:t xml:space="preserve">el </w:t>
                            </w:r>
                            <w:r w:rsidR="00A0068C">
                              <w:rPr>
                                <w:rFonts w:asciiTheme="majorHAnsi" w:hAnsiTheme="majorHAnsi"/>
                                <w:color w:val="0D0D0D" w:themeColor="text1" w:themeTint="F2"/>
                                <w:sz w:val="18"/>
                                <w:szCs w:val="20"/>
                                <w:lang w:val="es-ES"/>
                              </w:rPr>
                              <w:t>3</w:t>
                            </w:r>
                            <w:r w:rsidR="000106DC">
                              <w:rPr>
                                <w:rFonts w:asciiTheme="majorHAnsi" w:hAnsiTheme="majorHAnsi"/>
                                <w:color w:val="0D0D0D" w:themeColor="text1" w:themeTint="F2"/>
                                <w:sz w:val="18"/>
                                <w:szCs w:val="20"/>
                                <w:lang w:val="es-ES"/>
                              </w:rPr>
                              <w:t xml:space="preserve"> de </w:t>
                            </w:r>
                            <w:r w:rsidR="00A0068C">
                              <w:rPr>
                                <w:rFonts w:asciiTheme="majorHAnsi" w:hAnsiTheme="majorHAnsi"/>
                                <w:color w:val="0D0D0D" w:themeColor="text1" w:themeTint="F2"/>
                                <w:sz w:val="18"/>
                                <w:szCs w:val="20"/>
                                <w:lang w:val="es-ES"/>
                              </w:rPr>
                              <w:t xml:space="preserve">diciembre </w:t>
                            </w:r>
                            <w:r w:rsidR="00BF7FAB">
                              <w:rPr>
                                <w:rFonts w:asciiTheme="majorHAnsi" w:hAnsiTheme="majorHAnsi"/>
                                <w:color w:val="0D0D0D" w:themeColor="text1" w:themeTint="F2"/>
                                <w:sz w:val="18"/>
                                <w:szCs w:val="20"/>
                                <w:lang w:val="es-ES"/>
                              </w:rPr>
                              <w:t>de 202</w:t>
                            </w:r>
                            <w:r w:rsidR="00A8644A">
                              <w:rPr>
                                <w:rFonts w:asciiTheme="majorHAnsi" w:hAnsiTheme="majorHAnsi"/>
                                <w:color w:val="0D0D0D" w:themeColor="text1" w:themeTint="F2"/>
                                <w:sz w:val="18"/>
                                <w:szCs w:val="20"/>
                                <w:lang w:val="es-ES"/>
                              </w:rPr>
                              <w:t>5</w:t>
                            </w:r>
                          </w:p>
                          <w:p w14:paraId="3C7BAF24" w14:textId="77777777" w:rsidR="00044112" w:rsidRDefault="00044112" w:rsidP="0059191A">
                            <w:pPr>
                              <w:tabs>
                                <w:tab w:val="center" w:pos="5400"/>
                              </w:tabs>
                              <w:suppressAutoHyphens/>
                              <w:spacing w:before="60"/>
                              <w:rPr>
                                <w:rFonts w:asciiTheme="majorHAnsi" w:hAnsiTheme="majorHAnsi" w:cs="Univers"/>
                                <w:color w:val="0D0D0D" w:themeColor="text1" w:themeTint="F2"/>
                                <w:sz w:val="18"/>
                                <w:szCs w:val="20"/>
                                <w:lang w:val="es-ES_tradnl"/>
                              </w:rPr>
                            </w:pPr>
                          </w:p>
                          <w:p w14:paraId="6FFAD450" w14:textId="77777777" w:rsidR="00044112" w:rsidRPr="00027A6B" w:rsidRDefault="00044112" w:rsidP="0059191A">
                            <w:pPr>
                              <w:tabs>
                                <w:tab w:val="center" w:pos="5400"/>
                              </w:tabs>
                              <w:suppressAutoHyphens/>
                              <w:spacing w:before="60"/>
                              <w:rPr>
                                <w:rFonts w:asciiTheme="majorHAnsi" w:hAnsiTheme="majorHAnsi" w:cs="Univers"/>
                                <w:color w:val="0D0D0D" w:themeColor="text1" w:themeTint="F2"/>
                                <w:sz w:val="18"/>
                                <w:szCs w:val="20"/>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8FBD0" id="Text Box 7" o:spid="_x0000_s1029" type="#_x0000_t202" style="position:absolute;left:0;text-align:left;margin-left:105.65pt;margin-top:1.8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7AFC4F50" w14:textId="43D97B55" w:rsidR="005B52B0" w:rsidRDefault="00032214" w:rsidP="0059191A">
                      <w:pPr>
                        <w:tabs>
                          <w:tab w:val="center" w:pos="5400"/>
                        </w:tabs>
                        <w:suppressAutoHyphens/>
                        <w:spacing w:before="60"/>
                        <w:rPr>
                          <w:rFonts w:asciiTheme="majorHAnsi" w:hAnsiTheme="majorHAnsi" w:cs="Univers"/>
                          <w:color w:val="0D0D0D" w:themeColor="text1" w:themeTint="F2"/>
                          <w:sz w:val="18"/>
                          <w:szCs w:val="20"/>
                          <w:lang w:val="es-ES_tradnl"/>
                        </w:rPr>
                      </w:pPr>
                      <w:r>
                        <w:rPr>
                          <w:rFonts w:asciiTheme="majorHAnsi" w:hAnsiTheme="majorHAnsi"/>
                          <w:color w:val="0D0D0D" w:themeColor="text1" w:themeTint="F2"/>
                          <w:sz w:val="18"/>
                          <w:szCs w:val="20"/>
                          <w:lang w:val="es-ES"/>
                        </w:rPr>
                        <w:t>Aprobado</w:t>
                      </w:r>
                      <w:r w:rsidR="005B52B0" w:rsidRPr="00890650">
                        <w:rPr>
                          <w:rFonts w:asciiTheme="majorHAnsi" w:hAnsiTheme="majorHAnsi"/>
                          <w:color w:val="0D0D0D" w:themeColor="text1" w:themeTint="F2"/>
                          <w:sz w:val="18"/>
                          <w:szCs w:val="20"/>
                          <w:lang w:val="es-ES"/>
                        </w:rPr>
                        <w:t xml:space="preserve"> </w:t>
                      </w:r>
                      <w:r w:rsidR="000106DC">
                        <w:rPr>
                          <w:rFonts w:asciiTheme="majorHAnsi" w:hAnsiTheme="majorHAnsi"/>
                          <w:color w:val="0D0D0D" w:themeColor="text1" w:themeTint="F2"/>
                          <w:sz w:val="18"/>
                          <w:szCs w:val="20"/>
                          <w:lang w:val="es-ES"/>
                        </w:rPr>
                        <w:t>electr</w:t>
                      </w:r>
                      <w:r w:rsidR="000106DC">
                        <w:rPr>
                          <w:rFonts w:asciiTheme="majorHAnsi" w:hAnsiTheme="majorHAnsi"/>
                          <w:color w:val="0D0D0D" w:themeColor="text1" w:themeTint="F2"/>
                          <w:sz w:val="18"/>
                          <w:szCs w:val="20"/>
                          <w:lang w:val="es-US"/>
                        </w:rPr>
                        <w:t>ó</w:t>
                      </w:r>
                      <w:r w:rsidR="000106DC">
                        <w:rPr>
                          <w:rFonts w:asciiTheme="majorHAnsi" w:hAnsiTheme="majorHAnsi"/>
                          <w:color w:val="0D0D0D" w:themeColor="text1" w:themeTint="F2"/>
                          <w:sz w:val="18"/>
                          <w:szCs w:val="20"/>
                          <w:lang w:val="es-ES"/>
                        </w:rPr>
                        <w:t xml:space="preserve">nicamente </w:t>
                      </w:r>
                      <w:r w:rsidR="005B52B0" w:rsidRPr="00890650">
                        <w:rPr>
                          <w:rFonts w:asciiTheme="majorHAnsi" w:hAnsiTheme="majorHAnsi"/>
                          <w:color w:val="0D0D0D" w:themeColor="text1" w:themeTint="F2"/>
                          <w:sz w:val="18"/>
                          <w:szCs w:val="20"/>
                          <w:lang w:val="es-ES"/>
                        </w:rPr>
                        <w:t xml:space="preserve">por la Comisión </w:t>
                      </w:r>
                      <w:r w:rsidR="00A8644A">
                        <w:rPr>
                          <w:rFonts w:asciiTheme="majorHAnsi" w:hAnsiTheme="majorHAnsi"/>
                          <w:color w:val="0D0D0D" w:themeColor="text1" w:themeTint="F2"/>
                          <w:sz w:val="18"/>
                          <w:szCs w:val="20"/>
                          <w:lang w:val="es-ES"/>
                        </w:rPr>
                        <w:t xml:space="preserve">el </w:t>
                      </w:r>
                      <w:r w:rsidR="00A0068C">
                        <w:rPr>
                          <w:rFonts w:asciiTheme="majorHAnsi" w:hAnsiTheme="majorHAnsi"/>
                          <w:color w:val="0D0D0D" w:themeColor="text1" w:themeTint="F2"/>
                          <w:sz w:val="18"/>
                          <w:szCs w:val="20"/>
                          <w:lang w:val="es-ES"/>
                        </w:rPr>
                        <w:t>3</w:t>
                      </w:r>
                      <w:r w:rsidR="000106DC">
                        <w:rPr>
                          <w:rFonts w:asciiTheme="majorHAnsi" w:hAnsiTheme="majorHAnsi"/>
                          <w:color w:val="0D0D0D" w:themeColor="text1" w:themeTint="F2"/>
                          <w:sz w:val="18"/>
                          <w:szCs w:val="20"/>
                          <w:lang w:val="es-ES"/>
                        </w:rPr>
                        <w:t xml:space="preserve"> de </w:t>
                      </w:r>
                      <w:r w:rsidR="00A0068C">
                        <w:rPr>
                          <w:rFonts w:asciiTheme="majorHAnsi" w:hAnsiTheme="majorHAnsi"/>
                          <w:color w:val="0D0D0D" w:themeColor="text1" w:themeTint="F2"/>
                          <w:sz w:val="18"/>
                          <w:szCs w:val="20"/>
                          <w:lang w:val="es-ES"/>
                        </w:rPr>
                        <w:t xml:space="preserve">diciembre </w:t>
                      </w:r>
                      <w:r w:rsidR="00BF7FAB">
                        <w:rPr>
                          <w:rFonts w:asciiTheme="majorHAnsi" w:hAnsiTheme="majorHAnsi"/>
                          <w:color w:val="0D0D0D" w:themeColor="text1" w:themeTint="F2"/>
                          <w:sz w:val="18"/>
                          <w:szCs w:val="20"/>
                          <w:lang w:val="es-ES"/>
                        </w:rPr>
                        <w:t>de 202</w:t>
                      </w:r>
                      <w:r w:rsidR="00A8644A">
                        <w:rPr>
                          <w:rFonts w:asciiTheme="majorHAnsi" w:hAnsiTheme="majorHAnsi"/>
                          <w:color w:val="0D0D0D" w:themeColor="text1" w:themeTint="F2"/>
                          <w:sz w:val="18"/>
                          <w:szCs w:val="20"/>
                          <w:lang w:val="es-ES"/>
                        </w:rPr>
                        <w:t>5</w:t>
                      </w:r>
                    </w:p>
                    <w:p w14:paraId="3C7BAF24" w14:textId="77777777" w:rsidR="00044112" w:rsidRDefault="00044112" w:rsidP="0059191A">
                      <w:pPr>
                        <w:tabs>
                          <w:tab w:val="center" w:pos="5400"/>
                        </w:tabs>
                        <w:suppressAutoHyphens/>
                        <w:spacing w:before="60"/>
                        <w:rPr>
                          <w:rFonts w:asciiTheme="majorHAnsi" w:hAnsiTheme="majorHAnsi" w:cs="Univers"/>
                          <w:color w:val="0D0D0D" w:themeColor="text1" w:themeTint="F2"/>
                          <w:sz w:val="18"/>
                          <w:szCs w:val="20"/>
                          <w:lang w:val="es-ES_tradnl"/>
                        </w:rPr>
                      </w:pPr>
                    </w:p>
                    <w:p w14:paraId="6FFAD450" w14:textId="77777777" w:rsidR="00044112" w:rsidRPr="00027A6B" w:rsidRDefault="00044112" w:rsidP="0059191A">
                      <w:pPr>
                        <w:tabs>
                          <w:tab w:val="center" w:pos="5400"/>
                        </w:tabs>
                        <w:suppressAutoHyphens/>
                        <w:spacing w:before="60"/>
                        <w:rPr>
                          <w:rFonts w:asciiTheme="majorHAnsi" w:hAnsiTheme="majorHAnsi" w:cs="Univers"/>
                          <w:color w:val="0D0D0D" w:themeColor="text1" w:themeTint="F2"/>
                          <w:sz w:val="18"/>
                          <w:szCs w:val="20"/>
                          <w:lang w:val="es-ES_tradnl"/>
                        </w:rPr>
                      </w:pPr>
                    </w:p>
                  </w:txbxContent>
                </v:textbox>
              </v:shape>
            </w:pict>
          </mc:Fallback>
        </mc:AlternateContent>
      </w:r>
    </w:p>
    <w:p w14:paraId="12E011DF" w14:textId="77777777" w:rsidR="00A50FCF" w:rsidRPr="00E9543F" w:rsidRDefault="00A50FCF" w:rsidP="00040C3A">
      <w:pPr>
        <w:tabs>
          <w:tab w:val="center" w:pos="5400"/>
        </w:tabs>
        <w:suppressAutoHyphens/>
        <w:jc w:val="center"/>
        <w:rPr>
          <w:rFonts w:asciiTheme="majorHAnsi" w:hAnsiTheme="majorHAnsi"/>
          <w:sz w:val="18"/>
          <w:szCs w:val="22"/>
          <w:lang w:val="es-ES"/>
        </w:rPr>
      </w:pPr>
    </w:p>
    <w:p w14:paraId="391A59B9" w14:textId="77777777" w:rsidR="00A50FCF" w:rsidRPr="00E9543F" w:rsidRDefault="00A50FCF" w:rsidP="00040C3A">
      <w:pPr>
        <w:tabs>
          <w:tab w:val="center" w:pos="5400"/>
        </w:tabs>
        <w:suppressAutoHyphens/>
        <w:jc w:val="center"/>
        <w:rPr>
          <w:rFonts w:asciiTheme="majorHAnsi" w:hAnsiTheme="majorHAnsi"/>
          <w:sz w:val="18"/>
          <w:szCs w:val="22"/>
          <w:lang w:val="es-ES"/>
        </w:rPr>
      </w:pPr>
    </w:p>
    <w:p w14:paraId="42F0F383" w14:textId="77777777" w:rsidR="00A50FCF" w:rsidRPr="00E9543F" w:rsidRDefault="00A50FCF" w:rsidP="00040C3A">
      <w:pPr>
        <w:tabs>
          <w:tab w:val="center" w:pos="5400"/>
        </w:tabs>
        <w:suppressAutoHyphens/>
        <w:jc w:val="center"/>
        <w:rPr>
          <w:rFonts w:asciiTheme="majorHAnsi" w:hAnsiTheme="majorHAnsi"/>
          <w:sz w:val="18"/>
          <w:szCs w:val="22"/>
          <w:lang w:val="es-ES"/>
        </w:rPr>
      </w:pPr>
    </w:p>
    <w:p w14:paraId="30BAB23F" w14:textId="77777777" w:rsidR="00A50FCF" w:rsidRPr="00E9543F" w:rsidRDefault="00A50FCF" w:rsidP="00040C3A">
      <w:pPr>
        <w:tabs>
          <w:tab w:val="center" w:pos="5400"/>
        </w:tabs>
        <w:suppressAutoHyphens/>
        <w:jc w:val="center"/>
        <w:rPr>
          <w:rFonts w:asciiTheme="majorHAnsi" w:hAnsiTheme="majorHAnsi"/>
          <w:sz w:val="18"/>
          <w:szCs w:val="22"/>
          <w:lang w:val="es-ES"/>
        </w:rPr>
      </w:pPr>
    </w:p>
    <w:p w14:paraId="0554E392" w14:textId="77777777" w:rsidR="00A50FCF" w:rsidRPr="00E9543F" w:rsidRDefault="0090270B" w:rsidP="00040C3A">
      <w:pPr>
        <w:tabs>
          <w:tab w:val="center" w:pos="5400"/>
        </w:tabs>
        <w:suppressAutoHyphens/>
        <w:jc w:val="center"/>
        <w:rPr>
          <w:rFonts w:asciiTheme="majorHAnsi" w:hAnsiTheme="majorHAnsi"/>
          <w:sz w:val="18"/>
          <w:szCs w:val="22"/>
          <w:lang w:val="es-ES"/>
        </w:rPr>
      </w:pPr>
      <w:r w:rsidRPr="00E9543F">
        <w:rPr>
          <w:rFonts w:asciiTheme="majorHAnsi" w:hAnsiTheme="majorHAnsi"/>
          <w:noProof/>
          <w:sz w:val="18"/>
          <w:szCs w:val="22"/>
          <w:lang w:val="es-ES"/>
        </w:rPr>
        <mc:AlternateContent>
          <mc:Choice Requires="wps">
            <w:drawing>
              <wp:anchor distT="0" distB="0" distL="114300" distR="114300" simplePos="0" relativeHeight="251658245" behindDoc="0" locked="0" layoutInCell="1" allowOverlap="1" wp14:anchorId="450176E1" wp14:editId="643A7CD6">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E01A09" w14:textId="4BEC5140" w:rsidR="00113F73" w:rsidRPr="007C756A" w:rsidRDefault="00113F73" w:rsidP="003B5F32">
                            <w:pPr>
                              <w:spacing w:line="276" w:lineRule="auto"/>
                              <w:jc w:val="both"/>
                              <w:rPr>
                                <w:rFonts w:asciiTheme="majorHAnsi" w:hAnsiTheme="majorHAnsi"/>
                                <w:color w:val="595959" w:themeColor="text1" w:themeTint="A6"/>
                                <w:sz w:val="18"/>
                                <w:szCs w:val="18"/>
                                <w:lang w:val="es-US"/>
                              </w:rPr>
                            </w:pPr>
                            <w:r w:rsidRPr="00DF6D64">
                              <w:rPr>
                                <w:rFonts w:asciiTheme="majorHAnsi" w:hAnsiTheme="majorHAnsi"/>
                                <w:b/>
                                <w:color w:val="595959" w:themeColor="text1" w:themeTint="A6"/>
                                <w:sz w:val="18"/>
                                <w:szCs w:val="18"/>
                                <w:lang w:val="pt-BR"/>
                              </w:rPr>
                              <w:t>Citar como:</w:t>
                            </w:r>
                            <w:r w:rsidR="00C75282" w:rsidRPr="00DF6D64">
                              <w:rPr>
                                <w:rFonts w:asciiTheme="majorHAnsi" w:hAnsiTheme="majorHAnsi"/>
                                <w:color w:val="595959" w:themeColor="text1" w:themeTint="A6"/>
                                <w:sz w:val="18"/>
                                <w:szCs w:val="18"/>
                                <w:lang w:val="pt-BR"/>
                              </w:rPr>
                              <w:t xml:space="preserve"> CIDH.</w:t>
                            </w:r>
                            <w:r w:rsidRPr="00DF6D64">
                              <w:rPr>
                                <w:rFonts w:asciiTheme="majorHAnsi" w:hAnsiTheme="majorHAnsi"/>
                                <w:color w:val="595959" w:themeColor="text1" w:themeTint="A6"/>
                                <w:sz w:val="18"/>
                                <w:szCs w:val="18"/>
                                <w:lang w:val="pt-BR"/>
                              </w:rPr>
                              <w:t xml:space="preserve"> Informe No. </w:t>
                            </w:r>
                            <w:r w:rsidR="00A0068C">
                              <w:rPr>
                                <w:rFonts w:asciiTheme="majorHAnsi" w:hAnsiTheme="majorHAnsi"/>
                                <w:color w:val="595959" w:themeColor="text1" w:themeTint="A6"/>
                                <w:sz w:val="18"/>
                                <w:szCs w:val="18"/>
                                <w:lang w:val="pt-BR"/>
                              </w:rPr>
                              <w:t>251</w:t>
                            </w:r>
                            <w:r w:rsidR="00BF7FAB" w:rsidRPr="00131404">
                              <w:rPr>
                                <w:rFonts w:asciiTheme="majorHAnsi" w:hAnsiTheme="majorHAnsi"/>
                                <w:color w:val="595959" w:themeColor="text1" w:themeTint="A6"/>
                                <w:sz w:val="18"/>
                                <w:szCs w:val="18"/>
                                <w:lang w:val="pt-BR"/>
                              </w:rPr>
                              <w:t>/2</w:t>
                            </w:r>
                            <w:r w:rsidR="00A8644A" w:rsidRPr="00131404">
                              <w:rPr>
                                <w:rFonts w:asciiTheme="majorHAnsi" w:hAnsiTheme="majorHAnsi"/>
                                <w:color w:val="595959" w:themeColor="text1" w:themeTint="A6"/>
                                <w:sz w:val="18"/>
                                <w:szCs w:val="18"/>
                                <w:lang w:val="pt-BR"/>
                              </w:rPr>
                              <w:t>5</w:t>
                            </w:r>
                            <w:r w:rsidR="00C75282" w:rsidRPr="00131404">
                              <w:rPr>
                                <w:rFonts w:asciiTheme="majorHAnsi" w:hAnsiTheme="majorHAnsi"/>
                                <w:color w:val="595959" w:themeColor="text1" w:themeTint="A6"/>
                                <w:sz w:val="18"/>
                                <w:szCs w:val="18"/>
                                <w:lang w:val="pt-BR"/>
                              </w:rPr>
                              <w:t>.</w:t>
                            </w:r>
                            <w:r w:rsidR="007C756A" w:rsidRPr="00131404">
                              <w:rPr>
                                <w:rFonts w:asciiTheme="majorHAnsi" w:hAnsiTheme="majorHAnsi"/>
                                <w:color w:val="595959" w:themeColor="text1" w:themeTint="A6"/>
                                <w:sz w:val="18"/>
                                <w:szCs w:val="18"/>
                                <w:lang w:val="pt-BR"/>
                              </w:rPr>
                              <w:t xml:space="preserve"> </w:t>
                            </w:r>
                            <w:r w:rsidR="007C756A" w:rsidRPr="00DF6D64">
                              <w:rPr>
                                <w:rFonts w:asciiTheme="majorHAnsi" w:hAnsiTheme="majorHAnsi"/>
                                <w:color w:val="595959" w:themeColor="text1" w:themeTint="A6"/>
                                <w:sz w:val="18"/>
                                <w:szCs w:val="18"/>
                                <w:lang w:val="es-ES_tradnl"/>
                              </w:rPr>
                              <w:t xml:space="preserve">Caso </w:t>
                            </w:r>
                            <w:r w:rsidR="00D3526F">
                              <w:rPr>
                                <w:rFonts w:asciiTheme="majorHAnsi" w:hAnsiTheme="majorHAnsi"/>
                                <w:color w:val="595959" w:themeColor="text1" w:themeTint="A6"/>
                                <w:sz w:val="18"/>
                                <w:szCs w:val="18"/>
                                <w:lang w:val="es-ES_tradnl"/>
                              </w:rPr>
                              <w:t>14</w:t>
                            </w:r>
                            <w:r w:rsidR="00027A6B" w:rsidRPr="00DF6D64">
                              <w:rPr>
                                <w:rFonts w:asciiTheme="majorHAnsi" w:hAnsiTheme="majorHAnsi"/>
                                <w:color w:val="595959" w:themeColor="text1" w:themeTint="A6"/>
                                <w:sz w:val="18"/>
                                <w:szCs w:val="18"/>
                                <w:lang w:val="es-ES_tradnl"/>
                              </w:rPr>
                              <w:t>.</w:t>
                            </w:r>
                            <w:r w:rsidR="00D3526F">
                              <w:rPr>
                                <w:rFonts w:asciiTheme="majorHAnsi" w:hAnsiTheme="majorHAnsi"/>
                                <w:color w:val="595959" w:themeColor="text1" w:themeTint="A6"/>
                                <w:sz w:val="18"/>
                                <w:szCs w:val="18"/>
                                <w:lang w:val="es-ES_tradnl"/>
                              </w:rPr>
                              <w:t>26</w:t>
                            </w:r>
                            <w:r w:rsidR="003973E8">
                              <w:rPr>
                                <w:rFonts w:asciiTheme="majorHAnsi" w:hAnsiTheme="majorHAnsi"/>
                                <w:color w:val="595959" w:themeColor="text1" w:themeTint="A6"/>
                                <w:sz w:val="18"/>
                                <w:szCs w:val="18"/>
                                <w:lang w:val="es-ES_tradnl"/>
                              </w:rPr>
                              <w:t>4</w:t>
                            </w:r>
                            <w:r w:rsidR="007C756A" w:rsidRPr="00DF6D64">
                              <w:rPr>
                                <w:rFonts w:asciiTheme="majorHAnsi" w:hAnsiTheme="majorHAnsi"/>
                                <w:color w:val="595959" w:themeColor="text1" w:themeTint="A6"/>
                                <w:sz w:val="18"/>
                                <w:szCs w:val="18"/>
                                <w:lang w:val="es-ES_tradnl"/>
                              </w:rPr>
                              <w:t xml:space="preserve">. </w:t>
                            </w:r>
                            <w:r w:rsidR="00D3526F">
                              <w:rPr>
                                <w:rFonts w:asciiTheme="majorHAnsi" w:hAnsiTheme="majorHAnsi"/>
                                <w:color w:val="595959" w:themeColor="text1" w:themeTint="A6"/>
                                <w:sz w:val="18"/>
                                <w:szCs w:val="18"/>
                                <w:lang w:val="es-ES_tradnl"/>
                              </w:rPr>
                              <w:t xml:space="preserve">Admisibilidad y </w:t>
                            </w:r>
                            <w:r w:rsidR="007C756A" w:rsidRPr="00DF6D64">
                              <w:rPr>
                                <w:rFonts w:asciiTheme="majorHAnsi" w:hAnsiTheme="majorHAnsi"/>
                                <w:color w:val="595959" w:themeColor="text1" w:themeTint="A6"/>
                                <w:sz w:val="18"/>
                                <w:szCs w:val="18"/>
                                <w:lang w:val="es-ES_tradnl"/>
                              </w:rPr>
                              <w:t>Fondo</w:t>
                            </w:r>
                            <w:r w:rsidR="008F43FD">
                              <w:rPr>
                                <w:rFonts w:asciiTheme="majorHAnsi" w:hAnsiTheme="majorHAnsi"/>
                                <w:color w:val="595959" w:themeColor="text1" w:themeTint="A6"/>
                                <w:sz w:val="18"/>
                                <w:szCs w:val="18"/>
                                <w:lang w:val="es-ES_tradnl"/>
                              </w:rPr>
                              <w:t xml:space="preserve"> </w:t>
                            </w:r>
                            <w:r w:rsidR="008F43FD" w:rsidRPr="000106DC">
                              <w:rPr>
                                <w:rFonts w:asciiTheme="majorHAnsi" w:hAnsiTheme="majorHAnsi"/>
                                <w:color w:val="595959" w:themeColor="text1" w:themeTint="A6"/>
                                <w:sz w:val="18"/>
                                <w:szCs w:val="18"/>
                                <w:lang w:val="es-ES_tradnl"/>
                              </w:rPr>
                              <w:t>(</w:t>
                            </w:r>
                            <w:r w:rsidR="00471BA9">
                              <w:rPr>
                                <w:rFonts w:asciiTheme="majorHAnsi" w:hAnsiTheme="majorHAnsi"/>
                                <w:color w:val="595959" w:themeColor="text1" w:themeTint="A6"/>
                                <w:sz w:val="18"/>
                                <w:szCs w:val="18"/>
                                <w:lang w:val="es-ES_tradnl"/>
                              </w:rPr>
                              <w:t>Publicación</w:t>
                            </w:r>
                            <w:r w:rsidR="008F43FD" w:rsidRPr="000106DC">
                              <w:rPr>
                                <w:rFonts w:asciiTheme="majorHAnsi" w:hAnsiTheme="majorHAnsi"/>
                                <w:color w:val="595959" w:themeColor="text1" w:themeTint="A6"/>
                                <w:sz w:val="18"/>
                                <w:szCs w:val="18"/>
                                <w:lang w:val="es-ES_tradnl"/>
                              </w:rPr>
                              <w:t>)</w:t>
                            </w:r>
                            <w:r w:rsidRPr="000106DC">
                              <w:rPr>
                                <w:rFonts w:asciiTheme="majorHAnsi" w:hAnsiTheme="majorHAnsi"/>
                                <w:color w:val="595959" w:themeColor="text1" w:themeTint="A6"/>
                                <w:sz w:val="18"/>
                                <w:szCs w:val="18"/>
                                <w:lang w:val="es-ES_tradnl"/>
                              </w:rPr>
                              <w:t>.</w:t>
                            </w:r>
                            <w:r w:rsidRPr="00DF6D64">
                              <w:rPr>
                                <w:rFonts w:asciiTheme="majorHAnsi" w:hAnsiTheme="majorHAnsi"/>
                                <w:color w:val="595959" w:themeColor="text1" w:themeTint="A6"/>
                                <w:sz w:val="18"/>
                                <w:szCs w:val="18"/>
                                <w:lang w:val="es-ES_tradnl"/>
                              </w:rPr>
                              <w:t xml:space="preserve"> </w:t>
                            </w:r>
                            <w:r w:rsidR="00D3526F">
                              <w:rPr>
                                <w:rFonts w:asciiTheme="majorHAnsi" w:hAnsiTheme="majorHAnsi"/>
                                <w:color w:val="595959" w:themeColor="text1" w:themeTint="A6"/>
                                <w:sz w:val="18"/>
                                <w:szCs w:val="18"/>
                                <w:lang w:val="es-ES_tradnl"/>
                              </w:rPr>
                              <w:t>Maykel Castillo Pérez</w:t>
                            </w:r>
                            <w:r w:rsidR="00027A6B" w:rsidRPr="00DF6D64">
                              <w:rPr>
                                <w:rFonts w:asciiTheme="majorHAnsi" w:hAnsiTheme="majorHAnsi"/>
                                <w:color w:val="595959" w:themeColor="text1" w:themeTint="A6"/>
                                <w:sz w:val="18"/>
                                <w:szCs w:val="18"/>
                                <w:lang w:val="es-ES_tradnl"/>
                              </w:rPr>
                              <w:t xml:space="preserve">. </w:t>
                            </w:r>
                            <w:r w:rsidR="00D3526F">
                              <w:rPr>
                                <w:rFonts w:asciiTheme="majorHAnsi" w:hAnsiTheme="majorHAnsi"/>
                                <w:color w:val="595959" w:themeColor="text1" w:themeTint="A6"/>
                                <w:sz w:val="18"/>
                                <w:szCs w:val="18"/>
                                <w:lang w:val="es-ES_tradnl"/>
                              </w:rPr>
                              <w:t>Cuba</w:t>
                            </w:r>
                            <w:r w:rsidRPr="00DF6D64">
                              <w:rPr>
                                <w:rFonts w:asciiTheme="majorHAnsi" w:hAnsiTheme="majorHAnsi"/>
                                <w:color w:val="595959" w:themeColor="text1" w:themeTint="A6"/>
                                <w:sz w:val="18"/>
                                <w:szCs w:val="18"/>
                                <w:lang w:val="es-ES_tradnl"/>
                              </w:rPr>
                              <w:t xml:space="preserve">. </w:t>
                            </w:r>
                            <w:r w:rsidR="00B0001E">
                              <w:rPr>
                                <w:rFonts w:asciiTheme="majorHAnsi" w:hAnsiTheme="majorHAnsi"/>
                                <w:color w:val="595959" w:themeColor="text1" w:themeTint="A6"/>
                                <w:sz w:val="18"/>
                                <w:szCs w:val="18"/>
                                <w:lang w:val="es-ES_tradnl"/>
                              </w:rPr>
                              <w:t>3</w:t>
                            </w:r>
                            <w:r w:rsidR="00471BA9">
                              <w:rPr>
                                <w:rFonts w:asciiTheme="majorHAnsi" w:hAnsiTheme="majorHAnsi"/>
                                <w:color w:val="595959" w:themeColor="text1" w:themeTint="A6"/>
                                <w:sz w:val="18"/>
                                <w:szCs w:val="18"/>
                                <w:lang w:val="es-ES_tradnl"/>
                              </w:rPr>
                              <w:t xml:space="preserve"> de </w:t>
                            </w:r>
                            <w:r w:rsidR="00B0001E">
                              <w:rPr>
                                <w:rFonts w:asciiTheme="majorHAnsi" w:hAnsiTheme="majorHAnsi"/>
                                <w:color w:val="595959" w:themeColor="text1" w:themeTint="A6"/>
                                <w:sz w:val="18"/>
                                <w:szCs w:val="18"/>
                                <w:lang w:val="es-ES_tradnl"/>
                              </w:rPr>
                              <w:t>diciembre</w:t>
                            </w:r>
                            <w:r w:rsidR="00032214" w:rsidRPr="00DF6D64">
                              <w:rPr>
                                <w:rFonts w:asciiTheme="majorHAnsi" w:hAnsiTheme="majorHAnsi"/>
                                <w:color w:val="595959" w:themeColor="text1" w:themeTint="A6"/>
                                <w:sz w:val="18"/>
                                <w:szCs w:val="18"/>
                                <w:lang w:val="es-ES_tradnl"/>
                              </w:rPr>
                              <w:t xml:space="preserve"> de </w:t>
                            </w:r>
                            <w:r w:rsidR="00BF7FAB">
                              <w:rPr>
                                <w:rFonts w:asciiTheme="majorHAnsi" w:hAnsiTheme="majorHAnsi"/>
                                <w:color w:val="595959" w:themeColor="text1" w:themeTint="A6"/>
                                <w:sz w:val="18"/>
                                <w:szCs w:val="18"/>
                                <w:lang w:val="es-ES_tradnl"/>
                              </w:rPr>
                              <w:t>202</w:t>
                            </w:r>
                            <w:r w:rsidR="008F43FD">
                              <w:rPr>
                                <w:rFonts w:asciiTheme="majorHAnsi" w:hAnsiTheme="majorHAnsi"/>
                                <w:color w:val="595959" w:themeColor="text1" w:themeTint="A6"/>
                                <w:sz w:val="18"/>
                                <w:szCs w:val="18"/>
                                <w:lang w:val="es-ES_tradnl"/>
                              </w:rPr>
                              <w:t>5</w:t>
                            </w:r>
                            <w:r w:rsidR="00032214" w:rsidRPr="00DF6D64">
                              <w:rPr>
                                <w:rFonts w:asciiTheme="majorHAnsi" w:hAnsiTheme="majorHAnsi"/>
                                <w:color w:val="595959" w:themeColor="text1" w:themeTint="A6"/>
                                <w:sz w:val="18"/>
                                <w:szCs w:val="18"/>
                                <w:lang w:val="es-ES_tradnl"/>
                              </w:rPr>
                              <w:t>.</w:t>
                            </w:r>
                            <w:r w:rsidR="00032214">
                              <w:rPr>
                                <w:rFonts w:asciiTheme="majorHAnsi" w:hAnsiTheme="majorHAnsi"/>
                                <w:color w:val="595959" w:themeColor="text1" w:themeTint="A6"/>
                                <w:sz w:val="18"/>
                                <w:szCs w:val="18"/>
                                <w:lang w:val="es-ES_tradn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176E1" id="Text Box 10" o:spid="_x0000_s1030" type="#_x0000_t202" style="position:absolute;left:0;text-align:left;margin-left:105pt;margin-top:.4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6CE01A09" w14:textId="4BEC5140" w:rsidR="00113F73" w:rsidRPr="007C756A" w:rsidRDefault="00113F73" w:rsidP="003B5F32">
                      <w:pPr>
                        <w:spacing w:line="276" w:lineRule="auto"/>
                        <w:jc w:val="both"/>
                        <w:rPr>
                          <w:rFonts w:asciiTheme="majorHAnsi" w:hAnsiTheme="majorHAnsi"/>
                          <w:color w:val="595959" w:themeColor="text1" w:themeTint="A6"/>
                          <w:sz w:val="18"/>
                          <w:szCs w:val="18"/>
                          <w:lang w:val="es-US"/>
                        </w:rPr>
                      </w:pPr>
                      <w:r w:rsidRPr="00DF6D64">
                        <w:rPr>
                          <w:rFonts w:asciiTheme="majorHAnsi" w:hAnsiTheme="majorHAnsi"/>
                          <w:b/>
                          <w:color w:val="595959" w:themeColor="text1" w:themeTint="A6"/>
                          <w:sz w:val="18"/>
                          <w:szCs w:val="18"/>
                          <w:lang w:val="pt-BR"/>
                        </w:rPr>
                        <w:t>Citar como:</w:t>
                      </w:r>
                      <w:r w:rsidR="00C75282" w:rsidRPr="00DF6D64">
                        <w:rPr>
                          <w:rFonts w:asciiTheme="majorHAnsi" w:hAnsiTheme="majorHAnsi"/>
                          <w:color w:val="595959" w:themeColor="text1" w:themeTint="A6"/>
                          <w:sz w:val="18"/>
                          <w:szCs w:val="18"/>
                          <w:lang w:val="pt-BR"/>
                        </w:rPr>
                        <w:t xml:space="preserve"> CIDH.</w:t>
                      </w:r>
                      <w:r w:rsidRPr="00DF6D64">
                        <w:rPr>
                          <w:rFonts w:asciiTheme="majorHAnsi" w:hAnsiTheme="majorHAnsi"/>
                          <w:color w:val="595959" w:themeColor="text1" w:themeTint="A6"/>
                          <w:sz w:val="18"/>
                          <w:szCs w:val="18"/>
                          <w:lang w:val="pt-BR"/>
                        </w:rPr>
                        <w:t xml:space="preserve"> Informe No. </w:t>
                      </w:r>
                      <w:r w:rsidR="00A0068C">
                        <w:rPr>
                          <w:rFonts w:asciiTheme="majorHAnsi" w:hAnsiTheme="majorHAnsi"/>
                          <w:color w:val="595959" w:themeColor="text1" w:themeTint="A6"/>
                          <w:sz w:val="18"/>
                          <w:szCs w:val="18"/>
                          <w:lang w:val="pt-BR"/>
                        </w:rPr>
                        <w:t>251</w:t>
                      </w:r>
                      <w:r w:rsidR="00BF7FAB" w:rsidRPr="00131404">
                        <w:rPr>
                          <w:rFonts w:asciiTheme="majorHAnsi" w:hAnsiTheme="majorHAnsi"/>
                          <w:color w:val="595959" w:themeColor="text1" w:themeTint="A6"/>
                          <w:sz w:val="18"/>
                          <w:szCs w:val="18"/>
                          <w:lang w:val="pt-BR"/>
                        </w:rPr>
                        <w:t>/2</w:t>
                      </w:r>
                      <w:r w:rsidR="00A8644A" w:rsidRPr="00131404">
                        <w:rPr>
                          <w:rFonts w:asciiTheme="majorHAnsi" w:hAnsiTheme="majorHAnsi"/>
                          <w:color w:val="595959" w:themeColor="text1" w:themeTint="A6"/>
                          <w:sz w:val="18"/>
                          <w:szCs w:val="18"/>
                          <w:lang w:val="pt-BR"/>
                        </w:rPr>
                        <w:t>5</w:t>
                      </w:r>
                      <w:r w:rsidR="00C75282" w:rsidRPr="00131404">
                        <w:rPr>
                          <w:rFonts w:asciiTheme="majorHAnsi" w:hAnsiTheme="majorHAnsi"/>
                          <w:color w:val="595959" w:themeColor="text1" w:themeTint="A6"/>
                          <w:sz w:val="18"/>
                          <w:szCs w:val="18"/>
                          <w:lang w:val="pt-BR"/>
                        </w:rPr>
                        <w:t>.</w:t>
                      </w:r>
                      <w:r w:rsidR="007C756A" w:rsidRPr="00131404">
                        <w:rPr>
                          <w:rFonts w:asciiTheme="majorHAnsi" w:hAnsiTheme="majorHAnsi"/>
                          <w:color w:val="595959" w:themeColor="text1" w:themeTint="A6"/>
                          <w:sz w:val="18"/>
                          <w:szCs w:val="18"/>
                          <w:lang w:val="pt-BR"/>
                        </w:rPr>
                        <w:t xml:space="preserve"> </w:t>
                      </w:r>
                      <w:r w:rsidR="007C756A" w:rsidRPr="00DF6D64">
                        <w:rPr>
                          <w:rFonts w:asciiTheme="majorHAnsi" w:hAnsiTheme="majorHAnsi"/>
                          <w:color w:val="595959" w:themeColor="text1" w:themeTint="A6"/>
                          <w:sz w:val="18"/>
                          <w:szCs w:val="18"/>
                          <w:lang w:val="es-ES_tradnl"/>
                        </w:rPr>
                        <w:t xml:space="preserve">Caso </w:t>
                      </w:r>
                      <w:r w:rsidR="00D3526F">
                        <w:rPr>
                          <w:rFonts w:asciiTheme="majorHAnsi" w:hAnsiTheme="majorHAnsi"/>
                          <w:color w:val="595959" w:themeColor="text1" w:themeTint="A6"/>
                          <w:sz w:val="18"/>
                          <w:szCs w:val="18"/>
                          <w:lang w:val="es-ES_tradnl"/>
                        </w:rPr>
                        <w:t>14</w:t>
                      </w:r>
                      <w:r w:rsidR="00027A6B" w:rsidRPr="00DF6D64">
                        <w:rPr>
                          <w:rFonts w:asciiTheme="majorHAnsi" w:hAnsiTheme="majorHAnsi"/>
                          <w:color w:val="595959" w:themeColor="text1" w:themeTint="A6"/>
                          <w:sz w:val="18"/>
                          <w:szCs w:val="18"/>
                          <w:lang w:val="es-ES_tradnl"/>
                        </w:rPr>
                        <w:t>.</w:t>
                      </w:r>
                      <w:r w:rsidR="00D3526F">
                        <w:rPr>
                          <w:rFonts w:asciiTheme="majorHAnsi" w:hAnsiTheme="majorHAnsi"/>
                          <w:color w:val="595959" w:themeColor="text1" w:themeTint="A6"/>
                          <w:sz w:val="18"/>
                          <w:szCs w:val="18"/>
                          <w:lang w:val="es-ES_tradnl"/>
                        </w:rPr>
                        <w:t>26</w:t>
                      </w:r>
                      <w:r w:rsidR="003973E8">
                        <w:rPr>
                          <w:rFonts w:asciiTheme="majorHAnsi" w:hAnsiTheme="majorHAnsi"/>
                          <w:color w:val="595959" w:themeColor="text1" w:themeTint="A6"/>
                          <w:sz w:val="18"/>
                          <w:szCs w:val="18"/>
                          <w:lang w:val="es-ES_tradnl"/>
                        </w:rPr>
                        <w:t>4</w:t>
                      </w:r>
                      <w:r w:rsidR="007C756A" w:rsidRPr="00DF6D64">
                        <w:rPr>
                          <w:rFonts w:asciiTheme="majorHAnsi" w:hAnsiTheme="majorHAnsi"/>
                          <w:color w:val="595959" w:themeColor="text1" w:themeTint="A6"/>
                          <w:sz w:val="18"/>
                          <w:szCs w:val="18"/>
                          <w:lang w:val="es-ES_tradnl"/>
                        </w:rPr>
                        <w:t xml:space="preserve">. </w:t>
                      </w:r>
                      <w:r w:rsidR="00D3526F">
                        <w:rPr>
                          <w:rFonts w:asciiTheme="majorHAnsi" w:hAnsiTheme="majorHAnsi"/>
                          <w:color w:val="595959" w:themeColor="text1" w:themeTint="A6"/>
                          <w:sz w:val="18"/>
                          <w:szCs w:val="18"/>
                          <w:lang w:val="es-ES_tradnl"/>
                        </w:rPr>
                        <w:t xml:space="preserve">Admisibilidad y </w:t>
                      </w:r>
                      <w:r w:rsidR="007C756A" w:rsidRPr="00DF6D64">
                        <w:rPr>
                          <w:rFonts w:asciiTheme="majorHAnsi" w:hAnsiTheme="majorHAnsi"/>
                          <w:color w:val="595959" w:themeColor="text1" w:themeTint="A6"/>
                          <w:sz w:val="18"/>
                          <w:szCs w:val="18"/>
                          <w:lang w:val="es-ES_tradnl"/>
                        </w:rPr>
                        <w:t>Fondo</w:t>
                      </w:r>
                      <w:r w:rsidR="008F43FD">
                        <w:rPr>
                          <w:rFonts w:asciiTheme="majorHAnsi" w:hAnsiTheme="majorHAnsi"/>
                          <w:color w:val="595959" w:themeColor="text1" w:themeTint="A6"/>
                          <w:sz w:val="18"/>
                          <w:szCs w:val="18"/>
                          <w:lang w:val="es-ES_tradnl"/>
                        </w:rPr>
                        <w:t xml:space="preserve"> </w:t>
                      </w:r>
                      <w:r w:rsidR="008F43FD" w:rsidRPr="000106DC">
                        <w:rPr>
                          <w:rFonts w:asciiTheme="majorHAnsi" w:hAnsiTheme="majorHAnsi"/>
                          <w:color w:val="595959" w:themeColor="text1" w:themeTint="A6"/>
                          <w:sz w:val="18"/>
                          <w:szCs w:val="18"/>
                          <w:lang w:val="es-ES_tradnl"/>
                        </w:rPr>
                        <w:t>(</w:t>
                      </w:r>
                      <w:r w:rsidR="00471BA9">
                        <w:rPr>
                          <w:rFonts w:asciiTheme="majorHAnsi" w:hAnsiTheme="majorHAnsi"/>
                          <w:color w:val="595959" w:themeColor="text1" w:themeTint="A6"/>
                          <w:sz w:val="18"/>
                          <w:szCs w:val="18"/>
                          <w:lang w:val="es-ES_tradnl"/>
                        </w:rPr>
                        <w:t>Publicación</w:t>
                      </w:r>
                      <w:r w:rsidR="008F43FD" w:rsidRPr="000106DC">
                        <w:rPr>
                          <w:rFonts w:asciiTheme="majorHAnsi" w:hAnsiTheme="majorHAnsi"/>
                          <w:color w:val="595959" w:themeColor="text1" w:themeTint="A6"/>
                          <w:sz w:val="18"/>
                          <w:szCs w:val="18"/>
                          <w:lang w:val="es-ES_tradnl"/>
                        </w:rPr>
                        <w:t>)</w:t>
                      </w:r>
                      <w:r w:rsidRPr="000106DC">
                        <w:rPr>
                          <w:rFonts w:asciiTheme="majorHAnsi" w:hAnsiTheme="majorHAnsi"/>
                          <w:color w:val="595959" w:themeColor="text1" w:themeTint="A6"/>
                          <w:sz w:val="18"/>
                          <w:szCs w:val="18"/>
                          <w:lang w:val="es-ES_tradnl"/>
                        </w:rPr>
                        <w:t>.</w:t>
                      </w:r>
                      <w:r w:rsidRPr="00DF6D64">
                        <w:rPr>
                          <w:rFonts w:asciiTheme="majorHAnsi" w:hAnsiTheme="majorHAnsi"/>
                          <w:color w:val="595959" w:themeColor="text1" w:themeTint="A6"/>
                          <w:sz w:val="18"/>
                          <w:szCs w:val="18"/>
                          <w:lang w:val="es-ES_tradnl"/>
                        </w:rPr>
                        <w:t xml:space="preserve"> </w:t>
                      </w:r>
                      <w:r w:rsidR="00D3526F">
                        <w:rPr>
                          <w:rFonts w:asciiTheme="majorHAnsi" w:hAnsiTheme="majorHAnsi"/>
                          <w:color w:val="595959" w:themeColor="text1" w:themeTint="A6"/>
                          <w:sz w:val="18"/>
                          <w:szCs w:val="18"/>
                          <w:lang w:val="es-ES_tradnl"/>
                        </w:rPr>
                        <w:t>Maykel Castillo Pérez</w:t>
                      </w:r>
                      <w:r w:rsidR="00027A6B" w:rsidRPr="00DF6D64">
                        <w:rPr>
                          <w:rFonts w:asciiTheme="majorHAnsi" w:hAnsiTheme="majorHAnsi"/>
                          <w:color w:val="595959" w:themeColor="text1" w:themeTint="A6"/>
                          <w:sz w:val="18"/>
                          <w:szCs w:val="18"/>
                          <w:lang w:val="es-ES_tradnl"/>
                        </w:rPr>
                        <w:t xml:space="preserve">. </w:t>
                      </w:r>
                      <w:r w:rsidR="00D3526F">
                        <w:rPr>
                          <w:rFonts w:asciiTheme="majorHAnsi" w:hAnsiTheme="majorHAnsi"/>
                          <w:color w:val="595959" w:themeColor="text1" w:themeTint="A6"/>
                          <w:sz w:val="18"/>
                          <w:szCs w:val="18"/>
                          <w:lang w:val="es-ES_tradnl"/>
                        </w:rPr>
                        <w:t>Cuba</w:t>
                      </w:r>
                      <w:r w:rsidRPr="00DF6D64">
                        <w:rPr>
                          <w:rFonts w:asciiTheme="majorHAnsi" w:hAnsiTheme="majorHAnsi"/>
                          <w:color w:val="595959" w:themeColor="text1" w:themeTint="A6"/>
                          <w:sz w:val="18"/>
                          <w:szCs w:val="18"/>
                          <w:lang w:val="es-ES_tradnl"/>
                        </w:rPr>
                        <w:t xml:space="preserve">. </w:t>
                      </w:r>
                      <w:r w:rsidR="00B0001E">
                        <w:rPr>
                          <w:rFonts w:asciiTheme="majorHAnsi" w:hAnsiTheme="majorHAnsi"/>
                          <w:color w:val="595959" w:themeColor="text1" w:themeTint="A6"/>
                          <w:sz w:val="18"/>
                          <w:szCs w:val="18"/>
                          <w:lang w:val="es-ES_tradnl"/>
                        </w:rPr>
                        <w:t>3</w:t>
                      </w:r>
                      <w:r w:rsidR="00471BA9">
                        <w:rPr>
                          <w:rFonts w:asciiTheme="majorHAnsi" w:hAnsiTheme="majorHAnsi"/>
                          <w:color w:val="595959" w:themeColor="text1" w:themeTint="A6"/>
                          <w:sz w:val="18"/>
                          <w:szCs w:val="18"/>
                          <w:lang w:val="es-ES_tradnl"/>
                        </w:rPr>
                        <w:t xml:space="preserve"> de </w:t>
                      </w:r>
                      <w:r w:rsidR="00B0001E">
                        <w:rPr>
                          <w:rFonts w:asciiTheme="majorHAnsi" w:hAnsiTheme="majorHAnsi"/>
                          <w:color w:val="595959" w:themeColor="text1" w:themeTint="A6"/>
                          <w:sz w:val="18"/>
                          <w:szCs w:val="18"/>
                          <w:lang w:val="es-ES_tradnl"/>
                        </w:rPr>
                        <w:t>diciembre</w:t>
                      </w:r>
                      <w:r w:rsidR="00032214" w:rsidRPr="00DF6D64">
                        <w:rPr>
                          <w:rFonts w:asciiTheme="majorHAnsi" w:hAnsiTheme="majorHAnsi"/>
                          <w:color w:val="595959" w:themeColor="text1" w:themeTint="A6"/>
                          <w:sz w:val="18"/>
                          <w:szCs w:val="18"/>
                          <w:lang w:val="es-ES_tradnl"/>
                        </w:rPr>
                        <w:t xml:space="preserve"> de </w:t>
                      </w:r>
                      <w:r w:rsidR="00BF7FAB">
                        <w:rPr>
                          <w:rFonts w:asciiTheme="majorHAnsi" w:hAnsiTheme="majorHAnsi"/>
                          <w:color w:val="595959" w:themeColor="text1" w:themeTint="A6"/>
                          <w:sz w:val="18"/>
                          <w:szCs w:val="18"/>
                          <w:lang w:val="es-ES_tradnl"/>
                        </w:rPr>
                        <w:t>202</w:t>
                      </w:r>
                      <w:r w:rsidR="008F43FD">
                        <w:rPr>
                          <w:rFonts w:asciiTheme="majorHAnsi" w:hAnsiTheme="majorHAnsi"/>
                          <w:color w:val="595959" w:themeColor="text1" w:themeTint="A6"/>
                          <w:sz w:val="18"/>
                          <w:szCs w:val="18"/>
                          <w:lang w:val="es-ES_tradnl"/>
                        </w:rPr>
                        <w:t>5</w:t>
                      </w:r>
                      <w:r w:rsidR="00032214" w:rsidRPr="00DF6D64">
                        <w:rPr>
                          <w:rFonts w:asciiTheme="majorHAnsi" w:hAnsiTheme="majorHAnsi"/>
                          <w:color w:val="595959" w:themeColor="text1" w:themeTint="A6"/>
                          <w:sz w:val="18"/>
                          <w:szCs w:val="18"/>
                          <w:lang w:val="es-ES_tradnl"/>
                        </w:rPr>
                        <w:t>.</w:t>
                      </w:r>
                      <w:r w:rsidR="00032214">
                        <w:rPr>
                          <w:rFonts w:asciiTheme="majorHAnsi" w:hAnsiTheme="majorHAnsi"/>
                          <w:color w:val="595959" w:themeColor="text1" w:themeTint="A6"/>
                          <w:sz w:val="18"/>
                          <w:szCs w:val="18"/>
                          <w:lang w:val="es-ES_tradnl"/>
                        </w:rPr>
                        <w:t xml:space="preserve"> </w:t>
                      </w:r>
                    </w:p>
                  </w:txbxContent>
                </v:textbox>
              </v:shape>
            </w:pict>
          </mc:Fallback>
        </mc:AlternateContent>
      </w:r>
    </w:p>
    <w:p w14:paraId="24AB12DC" w14:textId="77777777" w:rsidR="00A50FCF" w:rsidRPr="00E9543F" w:rsidRDefault="00A50FCF" w:rsidP="00040C3A">
      <w:pPr>
        <w:tabs>
          <w:tab w:val="center" w:pos="5400"/>
        </w:tabs>
        <w:suppressAutoHyphens/>
        <w:jc w:val="center"/>
        <w:rPr>
          <w:rFonts w:asciiTheme="majorHAnsi" w:hAnsiTheme="majorHAnsi"/>
          <w:sz w:val="18"/>
          <w:szCs w:val="22"/>
          <w:lang w:val="es-ES"/>
        </w:rPr>
      </w:pPr>
    </w:p>
    <w:p w14:paraId="51FF4BF3" w14:textId="77777777" w:rsidR="0090270B" w:rsidRPr="00E9543F" w:rsidRDefault="00D306D1" w:rsidP="005516A1">
      <w:pPr>
        <w:tabs>
          <w:tab w:val="center" w:pos="5400"/>
        </w:tabs>
        <w:suppressAutoHyphens/>
        <w:jc w:val="center"/>
        <w:rPr>
          <w:rFonts w:asciiTheme="majorHAnsi" w:hAnsiTheme="majorHAnsi"/>
          <w:b/>
          <w:sz w:val="20"/>
          <w:lang w:val="es-ES"/>
        </w:rPr>
      </w:pPr>
      <w:r w:rsidRPr="00E9543F">
        <w:rPr>
          <w:rFonts w:asciiTheme="majorHAnsi" w:hAnsiTheme="majorHAnsi"/>
          <w:noProof/>
          <w:sz w:val="18"/>
          <w:szCs w:val="22"/>
          <w:lang w:val="es-ES"/>
        </w:rPr>
        <mc:AlternateContent>
          <mc:Choice Requires="wps">
            <w:drawing>
              <wp:anchor distT="0" distB="0" distL="114300" distR="114300" simplePos="0" relativeHeight="251658246" behindDoc="0" locked="0" layoutInCell="1" allowOverlap="1" wp14:anchorId="32D41B8C" wp14:editId="0E31A2BA">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16FC4A" w14:textId="77777777" w:rsidR="00D72DC6" w:rsidRPr="00D72DC6" w:rsidRDefault="00914740" w:rsidP="00F02AD1">
                            <w:pPr>
                              <w:rPr>
                                <w:color w:val="FFFFFF" w:themeColor="background1"/>
                                <w14:textFill>
                                  <w14:noFill/>
                                </w14:textFill>
                              </w:rPr>
                            </w:pPr>
                            <w:r>
                              <w:rPr>
                                <w:noProof/>
                                <w:color w:val="FFFFFF" w:themeColor="background1"/>
                              </w:rPr>
                              <w:drawing>
                                <wp:inline distT="0" distB="0" distL="0" distR="0" wp14:anchorId="2B37A84B" wp14:editId="11400490">
                                  <wp:extent cx="1658203" cy="4265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A-ESP-Main-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61725" cy="42743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41B8C" id="Text Box 9" o:spid="_x0000_s1031" type="#_x0000_t202" style="position:absolute;left:0;text-align:left;margin-left:104.7pt;margin-top:50.3pt;width:322.55pt;height:44.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CZij94egIAAGwF&#10;AAAOAAAAAAAAAAAAAAAAAC4CAABkcnMvZTJvRG9jLnhtbFBLAQItABQABgAIAAAAIQC62CAw4AAA&#10;AAsBAAAPAAAAAAAAAAAAAAAAANQEAABkcnMvZG93bnJldi54bWxQSwUGAAAAAAQABADzAAAA4QUA&#10;AAAA&#10;" fillcolor="white [3201]" stroked="f" strokeweight=".5pt">
                <v:textbox>
                  <w:txbxContent>
                    <w:p w14:paraId="6216FC4A" w14:textId="77777777" w:rsidR="00D72DC6" w:rsidRPr="00D72DC6" w:rsidRDefault="00914740" w:rsidP="00F02AD1">
                      <w:pPr>
                        <w:rPr>
                          <w:color w:val="FFFFFF" w:themeColor="background1"/>
                          <w14:textFill>
                            <w14:noFill/>
                          </w14:textFill>
                        </w:rPr>
                      </w:pPr>
                      <w:r>
                        <w:rPr>
                          <w:noProof/>
                          <w:color w:val="FFFFFF" w:themeColor="background1"/>
                        </w:rPr>
                        <w:drawing>
                          <wp:inline distT="0" distB="0" distL="0" distR="0" wp14:anchorId="2B37A84B" wp14:editId="11400490">
                            <wp:extent cx="1658203" cy="4265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A-ESP-Main-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61725" cy="427433"/>
                                    </a:xfrm>
                                    <a:prstGeom prst="rect">
                                      <a:avLst/>
                                    </a:prstGeom>
                                  </pic:spPr>
                                </pic:pic>
                              </a:graphicData>
                            </a:graphic>
                          </wp:inline>
                        </w:drawing>
                      </w:r>
                    </w:p>
                  </w:txbxContent>
                </v:textbox>
              </v:shape>
            </w:pict>
          </mc:Fallback>
        </mc:AlternateContent>
      </w:r>
      <w:r w:rsidRPr="00E9543F">
        <w:rPr>
          <w:rFonts w:asciiTheme="majorHAnsi" w:hAnsiTheme="majorHAnsi"/>
          <w:noProof/>
          <w:sz w:val="22"/>
          <w:szCs w:val="22"/>
          <w:lang w:val="es-ES"/>
        </w:rPr>
        <mc:AlternateContent>
          <mc:Choice Requires="wps">
            <w:drawing>
              <wp:anchor distT="0" distB="0" distL="114300" distR="114300" simplePos="0" relativeHeight="251658247" behindDoc="0" locked="0" layoutInCell="1" allowOverlap="1" wp14:anchorId="213C7D62" wp14:editId="28A2DAD7">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60DF88"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C7D62" id="Text Box 4" o:spid="_x0000_s1032"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CiY7SEbAIAAEQFAAAOAAAAAAAAAAAA&#10;AAAAAC4CAABkcnMvZTJvRG9jLnhtbFBLAQItABQABgAIAAAAIQBdLTBP4gAAAAsBAAAPAAAAAAAA&#10;AAAAAAAAAMYEAABkcnMvZG93bnJldi54bWxQSwUGAAAAAAQABADzAAAA1QUAAAAA&#10;" filled="f" stroked="f" strokeweight=".5pt">
                <v:textbox>
                  <w:txbxContent>
                    <w:p w14:paraId="0560DF88"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4A1194CD" w14:textId="77777777" w:rsidR="0070697F" w:rsidRPr="00E9543F" w:rsidRDefault="0070697F" w:rsidP="00032214">
      <w:pPr>
        <w:tabs>
          <w:tab w:val="center" w:pos="5400"/>
        </w:tabs>
        <w:suppressAutoHyphens/>
        <w:rPr>
          <w:rFonts w:asciiTheme="majorHAnsi" w:hAnsiTheme="majorHAnsi"/>
          <w:b/>
          <w:sz w:val="20"/>
          <w:lang w:val="es-ES"/>
        </w:rPr>
        <w:sectPr w:rsidR="0070697F" w:rsidRPr="00E9543F" w:rsidSect="00C054DF">
          <w:headerReference w:type="even" r:id="rId13"/>
          <w:headerReference w:type="default" r:id="rId14"/>
          <w:footerReference w:type="default" r:id="rId15"/>
          <w:headerReference w:type="first" r:id="rId16"/>
          <w:footerReference w:type="first" r:id="rId17"/>
          <w:type w:val="oddPage"/>
          <w:pgSz w:w="12240" w:h="15840"/>
          <w:pgMar w:top="1440" w:right="1440" w:bottom="1440" w:left="1440" w:header="720" w:footer="720" w:gutter="0"/>
          <w:pgNumType w:start="0"/>
          <w:cols w:space="720"/>
          <w:titlePg/>
          <w:docGrid w:linePitch="326"/>
        </w:sectPr>
      </w:pPr>
    </w:p>
    <w:p w14:paraId="1F86490D" w14:textId="77777777" w:rsidR="00722C9F" w:rsidRPr="00BA67A4" w:rsidRDefault="00722C9F" w:rsidP="749ACC70">
      <w:pPr>
        <w:tabs>
          <w:tab w:val="center" w:pos="5400"/>
        </w:tabs>
        <w:suppressAutoHyphens/>
        <w:spacing w:line="276" w:lineRule="auto"/>
        <w:rPr>
          <w:rFonts w:asciiTheme="majorHAnsi" w:hAnsiTheme="majorHAnsi"/>
          <w:lang w:val="es-ES"/>
        </w:rPr>
      </w:pPr>
    </w:p>
    <w:p w14:paraId="7DAD439F" w14:textId="77777777" w:rsidR="00722C9F" w:rsidRPr="00220A9F" w:rsidRDefault="00722C9F" w:rsidP="749ACC70">
      <w:pPr>
        <w:tabs>
          <w:tab w:val="center" w:pos="5400"/>
        </w:tabs>
        <w:suppressAutoHyphens/>
        <w:spacing w:line="276" w:lineRule="auto"/>
        <w:jc w:val="center"/>
        <w:rPr>
          <w:rFonts w:ascii="Cambria" w:hAnsi="Cambria"/>
          <w:b/>
          <w:bCs/>
          <w:lang w:val="es-ES"/>
        </w:rPr>
      </w:pPr>
      <w:r w:rsidRPr="00220A9F">
        <w:rPr>
          <w:rFonts w:ascii="Cambria" w:hAnsi="Cambria"/>
          <w:b/>
          <w:bCs/>
          <w:lang w:val="es-ES"/>
        </w:rPr>
        <w:t>ÍNDICE</w:t>
      </w:r>
    </w:p>
    <w:p w14:paraId="7B082B09" w14:textId="77777777" w:rsidR="008D768D" w:rsidRPr="00220A9F" w:rsidRDefault="008D768D" w:rsidP="749ACC70">
      <w:pPr>
        <w:tabs>
          <w:tab w:val="center" w:pos="5400"/>
        </w:tabs>
        <w:suppressAutoHyphens/>
        <w:spacing w:line="276" w:lineRule="auto"/>
        <w:rPr>
          <w:rFonts w:ascii="Cambria" w:hAnsi="Cambria"/>
          <w:lang w:val="es-ES"/>
        </w:rPr>
      </w:pPr>
    </w:p>
    <w:p w14:paraId="1A41031F" w14:textId="557D11A2" w:rsidR="00220A9F" w:rsidRPr="00220A9F" w:rsidRDefault="0083046E">
      <w:pPr>
        <w:pStyle w:val="TOC1"/>
        <w:tabs>
          <w:tab w:val="left" w:pos="1440"/>
          <w:tab w:val="right" w:leader="dot" w:pos="9350"/>
        </w:tabs>
        <w:rPr>
          <w:rFonts w:ascii="Cambria" w:eastAsiaTheme="minorEastAsia" w:hAnsi="Cambria" w:cstheme="minorBidi"/>
          <w:noProof/>
          <w:kern w:val="2"/>
          <w:sz w:val="24"/>
          <w:bdr w:val="none" w:sz="0" w:space="0" w:color="auto"/>
          <w14:ligatures w14:val="standardContextual"/>
        </w:rPr>
      </w:pPr>
      <w:r w:rsidRPr="00220A9F">
        <w:rPr>
          <w:rFonts w:ascii="Cambria" w:hAnsi="Cambria"/>
          <w:b/>
          <w:bCs/>
          <w:sz w:val="24"/>
          <w:lang w:val="es-ES"/>
        </w:rPr>
        <w:fldChar w:fldCharType="begin"/>
      </w:r>
      <w:r w:rsidRPr="00220A9F">
        <w:rPr>
          <w:rFonts w:ascii="Cambria" w:hAnsi="Cambria"/>
          <w:b/>
          <w:bCs/>
          <w:sz w:val="24"/>
          <w:lang w:val="es-ES"/>
        </w:rPr>
        <w:instrText xml:space="preserve"> TOC \o "1-2" \h \z \u </w:instrText>
      </w:r>
      <w:r w:rsidRPr="00220A9F">
        <w:rPr>
          <w:rFonts w:ascii="Cambria" w:hAnsi="Cambria"/>
          <w:b/>
          <w:bCs/>
          <w:sz w:val="24"/>
          <w:lang w:val="es-ES"/>
        </w:rPr>
        <w:fldChar w:fldCharType="separate"/>
      </w:r>
      <w:hyperlink w:anchor="_Toc216356071" w:history="1">
        <w:r w:rsidR="00220A9F" w:rsidRPr="00220A9F">
          <w:rPr>
            <w:rStyle w:val="Hyperlink"/>
            <w:rFonts w:ascii="Cambria" w:hAnsi="Cambria"/>
            <w:noProof/>
            <w:sz w:val="24"/>
          </w:rPr>
          <w:t>I.</w:t>
        </w:r>
        <w:r w:rsidR="00220A9F" w:rsidRPr="00220A9F">
          <w:rPr>
            <w:rFonts w:ascii="Cambria" w:eastAsiaTheme="minorEastAsia" w:hAnsi="Cambria" w:cstheme="minorBidi"/>
            <w:noProof/>
            <w:kern w:val="2"/>
            <w:sz w:val="24"/>
            <w:bdr w:val="none" w:sz="0" w:space="0" w:color="auto"/>
            <w14:ligatures w14:val="standardContextual"/>
          </w:rPr>
          <w:tab/>
        </w:r>
        <w:r w:rsidR="00220A9F" w:rsidRPr="00220A9F">
          <w:rPr>
            <w:rStyle w:val="Hyperlink"/>
            <w:rFonts w:ascii="Cambria" w:hAnsi="Cambria"/>
            <w:noProof/>
            <w:sz w:val="24"/>
          </w:rPr>
          <w:t>INTRODUCCIÓN</w:t>
        </w:r>
        <w:r w:rsidR="00220A9F" w:rsidRPr="00220A9F">
          <w:rPr>
            <w:rFonts w:ascii="Cambria" w:hAnsi="Cambria"/>
            <w:noProof/>
            <w:webHidden/>
            <w:sz w:val="24"/>
          </w:rPr>
          <w:tab/>
        </w:r>
        <w:r w:rsidR="00220A9F" w:rsidRPr="00220A9F">
          <w:rPr>
            <w:rFonts w:ascii="Cambria" w:hAnsi="Cambria"/>
            <w:noProof/>
            <w:webHidden/>
            <w:sz w:val="24"/>
          </w:rPr>
          <w:fldChar w:fldCharType="begin"/>
        </w:r>
        <w:r w:rsidR="00220A9F" w:rsidRPr="00220A9F">
          <w:rPr>
            <w:rFonts w:ascii="Cambria" w:hAnsi="Cambria"/>
            <w:noProof/>
            <w:webHidden/>
            <w:sz w:val="24"/>
          </w:rPr>
          <w:instrText xml:space="preserve"> PAGEREF _Toc216356071 \h </w:instrText>
        </w:r>
        <w:r w:rsidR="00220A9F" w:rsidRPr="00220A9F">
          <w:rPr>
            <w:rFonts w:ascii="Cambria" w:hAnsi="Cambria"/>
            <w:noProof/>
            <w:webHidden/>
            <w:sz w:val="24"/>
          </w:rPr>
        </w:r>
        <w:r w:rsidR="00220A9F" w:rsidRPr="00220A9F">
          <w:rPr>
            <w:rFonts w:ascii="Cambria" w:hAnsi="Cambria"/>
            <w:noProof/>
            <w:webHidden/>
            <w:sz w:val="24"/>
          </w:rPr>
          <w:fldChar w:fldCharType="separate"/>
        </w:r>
        <w:r w:rsidR="0046446B">
          <w:rPr>
            <w:rFonts w:ascii="Cambria" w:hAnsi="Cambria"/>
            <w:noProof/>
            <w:webHidden/>
            <w:sz w:val="24"/>
          </w:rPr>
          <w:t>2</w:t>
        </w:r>
        <w:r w:rsidR="00220A9F" w:rsidRPr="00220A9F">
          <w:rPr>
            <w:rFonts w:ascii="Cambria" w:hAnsi="Cambria"/>
            <w:noProof/>
            <w:webHidden/>
            <w:sz w:val="24"/>
          </w:rPr>
          <w:fldChar w:fldCharType="end"/>
        </w:r>
      </w:hyperlink>
    </w:p>
    <w:p w14:paraId="4B217655" w14:textId="202E7970" w:rsidR="00220A9F" w:rsidRPr="00220A9F" w:rsidRDefault="00220A9F">
      <w:pPr>
        <w:pStyle w:val="TOC1"/>
        <w:tabs>
          <w:tab w:val="left" w:pos="1440"/>
          <w:tab w:val="right" w:leader="dot" w:pos="9350"/>
        </w:tabs>
        <w:rPr>
          <w:rFonts w:ascii="Cambria" w:eastAsiaTheme="minorEastAsia" w:hAnsi="Cambria" w:cstheme="minorBidi"/>
          <w:noProof/>
          <w:kern w:val="2"/>
          <w:sz w:val="24"/>
          <w:bdr w:val="none" w:sz="0" w:space="0" w:color="auto"/>
          <w14:ligatures w14:val="standardContextual"/>
        </w:rPr>
      </w:pPr>
      <w:hyperlink w:anchor="_Toc216356072" w:history="1">
        <w:r w:rsidRPr="00220A9F">
          <w:rPr>
            <w:rStyle w:val="Hyperlink"/>
            <w:rFonts w:ascii="Cambria" w:hAnsi="Cambria"/>
            <w:noProof/>
            <w:sz w:val="24"/>
          </w:rPr>
          <w:t>II.</w:t>
        </w:r>
        <w:r w:rsidRPr="00220A9F">
          <w:rPr>
            <w:rFonts w:ascii="Cambria" w:eastAsiaTheme="minorEastAsia" w:hAnsi="Cambria" w:cstheme="minorBidi"/>
            <w:noProof/>
            <w:kern w:val="2"/>
            <w:sz w:val="24"/>
            <w:bdr w:val="none" w:sz="0" w:space="0" w:color="auto"/>
            <w14:ligatures w14:val="standardContextual"/>
          </w:rPr>
          <w:tab/>
        </w:r>
        <w:r w:rsidRPr="00220A9F">
          <w:rPr>
            <w:rStyle w:val="Hyperlink"/>
            <w:rFonts w:ascii="Cambria" w:hAnsi="Cambria"/>
            <w:noProof/>
            <w:sz w:val="24"/>
          </w:rPr>
          <w:t>ALEGATOS DE LAS PARTES</w:t>
        </w:r>
        <w:r w:rsidRPr="00220A9F">
          <w:rPr>
            <w:rFonts w:ascii="Cambria" w:hAnsi="Cambria"/>
            <w:noProof/>
            <w:webHidden/>
            <w:sz w:val="24"/>
          </w:rPr>
          <w:tab/>
        </w:r>
        <w:r w:rsidRPr="00220A9F">
          <w:rPr>
            <w:rFonts w:ascii="Cambria" w:hAnsi="Cambria"/>
            <w:noProof/>
            <w:webHidden/>
            <w:sz w:val="24"/>
          </w:rPr>
          <w:fldChar w:fldCharType="begin"/>
        </w:r>
        <w:r w:rsidRPr="00220A9F">
          <w:rPr>
            <w:rFonts w:ascii="Cambria" w:hAnsi="Cambria"/>
            <w:noProof/>
            <w:webHidden/>
            <w:sz w:val="24"/>
          </w:rPr>
          <w:instrText xml:space="preserve"> PAGEREF _Toc216356072 \h </w:instrText>
        </w:r>
        <w:r w:rsidRPr="00220A9F">
          <w:rPr>
            <w:rFonts w:ascii="Cambria" w:hAnsi="Cambria"/>
            <w:noProof/>
            <w:webHidden/>
            <w:sz w:val="24"/>
          </w:rPr>
        </w:r>
        <w:r w:rsidRPr="00220A9F">
          <w:rPr>
            <w:rFonts w:ascii="Cambria" w:hAnsi="Cambria"/>
            <w:noProof/>
            <w:webHidden/>
            <w:sz w:val="24"/>
          </w:rPr>
          <w:fldChar w:fldCharType="separate"/>
        </w:r>
        <w:r w:rsidR="0046446B">
          <w:rPr>
            <w:rFonts w:ascii="Cambria" w:hAnsi="Cambria"/>
            <w:noProof/>
            <w:webHidden/>
            <w:sz w:val="24"/>
          </w:rPr>
          <w:t>2</w:t>
        </w:r>
        <w:r w:rsidRPr="00220A9F">
          <w:rPr>
            <w:rFonts w:ascii="Cambria" w:hAnsi="Cambria"/>
            <w:noProof/>
            <w:webHidden/>
            <w:sz w:val="24"/>
          </w:rPr>
          <w:fldChar w:fldCharType="end"/>
        </w:r>
      </w:hyperlink>
    </w:p>
    <w:p w14:paraId="5DC56BF3" w14:textId="32870CF6" w:rsidR="00220A9F" w:rsidRPr="00220A9F" w:rsidRDefault="00220A9F">
      <w:pPr>
        <w:pStyle w:val="TOC2"/>
        <w:rPr>
          <w:rFonts w:ascii="Cambria" w:eastAsiaTheme="minorEastAsia" w:hAnsi="Cambria" w:cstheme="minorBidi"/>
          <w:noProof/>
          <w:kern w:val="2"/>
          <w:bdr w:val="none" w:sz="0" w:space="0" w:color="auto"/>
          <w14:ligatures w14:val="standardContextual"/>
        </w:rPr>
      </w:pPr>
      <w:hyperlink w:anchor="_Toc216356073" w:history="1">
        <w:r w:rsidRPr="00220A9F">
          <w:rPr>
            <w:rStyle w:val="Hyperlink"/>
            <w:rFonts w:ascii="Cambria" w:hAnsi="Cambria"/>
            <w:noProof/>
          </w:rPr>
          <w:t>A.</w:t>
        </w:r>
        <w:r w:rsidRPr="00220A9F">
          <w:rPr>
            <w:rFonts w:ascii="Cambria" w:eastAsiaTheme="minorEastAsia" w:hAnsi="Cambria" w:cstheme="minorBidi"/>
            <w:noProof/>
            <w:kern w:val="2"/>
            <w:bdr w:val="none" w:sz="0" w:space="0" w:color="auto"/>
            <w14:ligatures w14:val="standardContextual"/>
          </w:rPr>
          <w:tab/>
        </w:r>
        <w:r w:rsidRPr="00220A9F">
          <w:rPr>
            <w:rStyle w:val="Hyperlink"/>
            <w:rFonts w:ascii="Cambria" w:hAnsi="Cambria"/>
            <w:noProof/>
          </w:rPr>
          <w:t>Parte peticionaria</w:t>
        </w:r>
        <w:r w:rsidRPr="00220A9F">
          <w:rPr>
            <w:rFonts w:ascii="Cambria" w:hAnsi="Cambria"/>
            <w:noProof/>
            <w:webHidden/>
          </w:rPr>
          <w:tab/>
        </w:r>
        <w:r w:rsidRPr="00220A9F">
          <w:rPr>
            <w:rFonts w:ascii="Cambria" w:hAnsi="Cambria"/>
            <w:noProof/>
            <w:webHidden/>
          </w:rPr>
          <w:fldChar w:fldCharType="begin"/>
        </w:r>
        <w:r w:rsidRPr="00220A9F">
          <w:rPr>
            <w:rFonts w:ascii="Cambria" w:hAnsi="Cambria"/>
            <w:noProof/>
            <w:webHidden/>
          </w:rPr>
          <w:instrText xml:space="preserve"> PAGEREF _Toc216356073 \h </w:instrText>
        </w:r>
        <w:r w:rsidRPr="00220A9F">
          <w:rPr>
            <w:rFonts w:ascii="Cambria" w:hAnsi="Cambria"/>
            <w:noProof/>
            <w:webHidden/>
          </w:rPr>
        </w:r>
        <w:r w:rsidRPr="00220A9F">
          <w:rPr>
            <w:rFonts w:ascii="Cambria" w:hAnsi="Cambria"/>
            <w:noProof/>
            <w:webHidden/>
          </w:rPr>
          <w:fldChar w:fldCharType="separate"/>
        </w:r>
        <w:r w:rsidR="0046446B">
          <w:rPr>
            <w:rFonts w:ascii="Cambria" w:hAnsi="Cambria"/>
            <w:noProof/>
            <w:webHidden/>
          </w:rPr>
          <w:t>2</w:t>
        </w:r>
        <w:r w:rsidRPr="00220A9F">
          <w:rPr>
            <w:rFonts w:ascii="Cambria" w:hAnsi="Cambria"/>
            <w:noProof/>
            <w:webHidden/>
          </w:rPr>
          <w:fldChar w:fldCharType="end"/>
        </w:r>
      </w:hyperlink>
    </w:p>
    <w:p w14:paraId="79CB37A5" w14:textId="30C56ED7" w:rsidR="00220A9F" w:rsidRPr="00220A9F" w:rsidRDefault="00220A9F">
      <w:pPr>
        <w:pStyle w:val="TOC2"/>
        <w:rPr>
          <w:rFonts w:ascii="Cambria" w:eastAsiaTheme="minorEastAsia" w:hAnsi="Cambria" w:cstheme="minorBidi"/>
          <w:noProof/>
          <w:kern w:val="2"/>
          <w:bdr w:val="none" w:sz="0" w:space="0" w:color="auto"/>
          <w14:ligatures w14:val="standardContextual"/>
        </w:rPr>
      </w:pPr>
      <w:hyperlink w:anchor="_Toc216356074" w:history="1">
        <w:r w:rsidRPr="00220A9F">
          <w:rPr>
            <w:rStyle w:val="Hyperlink"/>
            <w:rFonts w:ascii="Cambria" w:hAnsi="Cambria"/>
            <w:noProof/>
          </w:rPr>
          <w:t>B.</w:t>
        </w:r>
        <w:r w:rsidRPr="00220A9F">
          <w:rPr>
            <w:rFonts w:ascii="Cambria" w:eastAsiaTheme="minorEastAsia" w:hAnsi="Cambria" w:cstheme="minorBidi"/>
            <w:noProof/>
            <w:kern w:val="2"/>
            <w:bdr w:val="none" w:sz="0" w:space="0" w:color="auto"/>
            <w14:ligatures w14:val="standardContextual"/>
          </w:rPr>
          <w:tab/>
        </w:r>
        <w:r w:rsidRPr="00220A9F">
          <w:rPr>
            <w:rStyle w:val="Hyperlink"/>
            <w:rFonts w:ascii="Cambria" w:hAnsi="Cambria"/>
            <w:noProof/>
          </w:rPr>
          <w:t>Estado</w:t>
        </w:r>
        <w:r w:rsidRPr="00220A9F">
          <w:rPr>
            <w:rFonts w:ascii="Cambria" w:hAnsi="Cambria"/>
            <w:noProof/>
            <w:webHidden/>
          </w:rPr>
          <w:tab/>
        </w:r>
        <w:r w:rsidRPr="00220A9F">
          <w:rPr>
            <w:rFonts w:ascii="Cambria" w:hAnsi="Cambria"/>
            <w:noProof/>
            <w:webHidden/>
          </w:rPr>
          <w:fldChar w:fldCharType="begin"/>
        </w:r>
        <w:r w:rsidRPr="00220A9F">
          <w:rPr>
            <w:rFonts w:ascii="Cambria" w:hAnsi="Cambria"/>
            <w:noProof/>
            <w:webHidden/>
          </w:rPr>
          <w:instrText xml:space="preserve"> PAGEREF _Toc216356074 \h </w:instrText>
        </w:r>
        <w:r w:rsidRPr="00220A9F">
          <w:rPr>
            <w:rFonts w:ascii="Cambria" w:hAnsi="Cambria"/>
            <w:noProof/>
            <w:webHidden/>
          </w:rPr>
        </w:r>
        <w:r w:rsidRPr="00220A9F">
          <w:rPr>
            <w:rFonts w:ascii="Cambria" w:hAnsi="Cambria"/>
            <w:noProof/>
            <w:webHidden/>
          </w:rPr>
          <w:fldChar w:fldCharType="separate"/>
        </w:r>
        <w:r w:rsidR="0046446B">
          <w:rPr>
            <w:rFonts w:ascii="Cambria" w:hAnsi="Cambria"/>
            <w:noProof/>
            <w:webHidden/>
          </w:rPr>
          <w:t>2</w:t>
        </w:r>
        <w:r w:rsidRPr="00220A9F">
          <w:rPr>
            <w:rFonts w:ascii="Cambria" w:hAnsi="Cambria"/>
            <w:noProof/>
            <w:webHidden/>
          </w:rPr>
          <w:fldChar w:fldCharType="end"/>
        </w:r>
      </w:hyperlink>
    </w:p>
    <w:p w14:paraId="0422A424" w14:textId="4AB732EF" w:rsidR="00220A9F" w:rsidRPr="00220A9F" w:rsidRDefault="00220A9F">
      <w:pPr>
        <w:pStyle w:val="TOC1"/>
        <w:tabs>
          <w:tab w:val="left" w:pos="1440"/>
          <w:tab w:val="right" w:leader="dot" w:pos="9350"/>
        </w:tabs>
        <w:rPr>
          <w:rFonts w:ascii="Cambria" w:eastAsiaTheme="minorEastAsia" w:hAnsi="Cambria" w:cstheme="minorBidi"/>
          <w:noProof/>
          <w:kern w:val="2"/>
          <w:sz w:val="24"/>
          <w:bdr w:val="none" w:sz="0" w:space="0" w:color="auto"/>
          <w14:ligatures w14:val="standardContextual"/>
        </w:rPr>
      </w:pPr>
      <w:hyperlink w:anchor="_Toc216356075" w:history="1">
        <w:r w:rsidRPr="00220A9F">
          <w:rPr>
            <w:rStyle w:val="Hyperlink"/>
            <w:rFonts w:ascii="Cambria" w:hAnsi="Cambria"/>
            <w:noProof/>
            <w:sz w:val="24"/>
          </w:rPr>
          <w:t>III.</w:t>
        </w:r>
        <w:r w:rsidRPr="00220A9F">
          <w:rPr>
            <w:rFonts w:ascii="Cambria" w:eastAsiaTheme="minorEastAsia" w:hAnsi="Cambria" w:cstheme="minorBidi"/>
            <w:noProof/>
            <w:kern w:val="2"/>
            <w:sz w:val="24"/>
            <w:bdr w:val="none" w:sz="0" w:space="0" w:color="auto"/>
            <w14:ligatures w14:val="standardContextual"/>
          </w:rPr>
          <w:tab/>
        </w:r>
        <w:r w:rsidRPr="00220A9F">
          <w:rPr>
            <w:rStyle w:val="Hyperlink"/>
            <w:rFonts w:ascii="Cambria" w:hAnsi="Cambria"/>
            <w:noProof/>
            <w:sz w:val="24"/>
          </w:rPr>
          <w:t>ANÁLISIS DE ADMISIBILIDAD</w:t>
        </w:r>
        <w:r w:rsidRPr="00220A9F">
          <w:rPr>
            <w:rFonts w:ascii="Cambria" w:hAnsi="Cambria"/>
            <w:noProof/>
            <w:webHidden/>
            <w:sz w:val="24"/>
          </w:rPr>
          <w:tab/>
        </w:r>
        <w:r w:rsidRPr="00220A9F">
          <w:rPr>
            <w:rFonts w:ascii="Cambria" w:hAnsi="Cambria"/>
            <w:noProof/>
            <w:webHidden/>
            <w:sz w:val="24"/>
          </w:rPr>
          <w:fldChar w:fldCharType="begin"/>
        </w:r>
        <w:r w:rsidRPr="00220A9F">
          <w:rPr>
            <w:rFonts w:ascii="Cambria" w:hAnsi="Cambria"/>
            <w:noProof/>
            <w:webHidden/>
            <w:sz w:val="24"/>
          </w:rPr>
          <w:instrText xml:space="preserve"> PAGEREF _Toc216356075 \h </w:instrText>
        </w:r>
        <w:r w:rsidRPr="00220A9F">
          <w:rPr>
            <w:rFonts w:ascii="Cambria" w:hAnsi="Cambria"/>
            <w:noProof/>
            <w:webHidden/>
            <w:sz w:val="24"/>
          </w:rPr>
        </w:r>
        <w:r w:rsidRPr="00220A9F">
          <w:rPr>
            <w:rFonts w:ascii="Cambria" w:hAnsi="Cambria"/>
            <w:noProof/>
            <w:webHidden/>
            <w:sz w:val="24"/>
          </w:rPr>
          <w:fldChar w:fldCharType="separate"/>
        </w:r>
        <w:r w:rsidR="0046446B">
          <w:rPr>
            <w:rFonts w:ascii="Cambria" w:hAnsi="Cambria"/>
            <w:noProof/>
            <w:webHidden/>
            <w:sz w:val="24"/>
          </w:rPr>
          <w:t>3</w:t>
        </w:r>
        <w:r w:rsidRPr="00220A9F">
          <w:rPr>
            <w:rFonts w:ascii="Cambria" w:hAnsi="Cambria"/>
            <w:noProof/>
            <w:webHidden/>
            <w:sz w:val="24"/>
          </w:rPr>
          <w:fldChar w:fldCharType="end"/>
        </w:r>
      </w:hyperlink>
    </w:p>
    <w:p w14:paraId="3FFF9B78" w14:textId="6C26B70F" w:rsidR="00220A9F" w:rsidRPr="00220A9F" w:rsidRDefault="00220A9F">
      <w:pPr>
        <w:pStyle w:val="TOC2"/>
        <w:rPr>
          <w:rFonts w:ascii="Cambria" w:eastAsiaTheme="minorEastAsia" w:hAnsi="Cambria" w:cstheme="minorBidi"/>
          <w:noProof/>
          <w:kern w:val="2"/>
          <w:bdr w:val="none" w:sz="0" w:space="0" w:color="auto"/>
          <w14:ligatures w14:val="standardContextual"/>
        </w:rPr>
      </w:pPr>
      <w:hyperlink w:anchor="_Toc216356076" w:history="1">
        <w:r w:rsidRPr="00220A9F">
          <w:rPr>
            <w:rStyle w:val="Hyperlink"/>
            <w:rFonts w:ascii="Cambria" w:hAnsi="Cambria"/>
            <w:noProof/>
          </w:rPr>
          <w:t xml:space="preserve">A. </w:t>
        </w:r>
        <w:r w:rsidRPr="00220A9F">
          <w:rPr>
            <w:rFonts w:ascii="Cambria" w:eastAsiaTheme="minorEastAsia" w:hAnsi="Cambria" w:cstheme="minorBidi"/>
            <w:noProof/>
            <w:kern w:val="2"/>
            <w:bdr w:val="none" w:sz="0" w:space="0" w:color="auto"/>
            <w14:ligatures w14:val="standardContextual"/>
          </w:rPr>
          <w:tab/>
        </w:r>
        <w:r w:rsidRPr="00220A9F">
          <w:rPr>
            <w:rStyle w:val="Hyperlink"/>
            <w:rFonts w:ascii="Cambria" w:hAnsi="Cambria"/>
            <w:noProof/>
          </w:rPr>
          <w:t>Competencia, duplicación de procedimientos y cosa juzgada internacional</w:t>
        </w:r>
        <w:r w:rsidRPr="00220A9F">
          <w:rPr>
            <w:rFonts w:ascii="Cambria" w:hAnsi="Cambria"/>
            <w:noProof/>
            <w:webHidden/>
          </w:rPr>
          <w:tab/>
        </w:r>
        <w:r w:rsidRPr="00220A9F">
          <w:rPr>
            <w:rFonts w:ascii="Cambria" w:hAnsi="Cambria"/>
            <w:noProof/>
            <w:webHidden/>
          </w:rPr>
          <w:fldChar w:fldCharType="begin"/>
        </w:r>
        <w:r w:rsidRPr="00220A9F">
          <w:rPr>
            <w:rFonts w:ascii="Cambria" w:hAnsi="Cambria"/>
            <w:noProof/>
            <w:webHidden/>
          </w:rPr>
          <w:instrText xml:space="preserve"> PAGEREF _Toc216356076 \h </w:instrText>
        </w:r>
        <w:r w:rsidRPr="00220A9F">
          <w:rPr>
            <w:rFonts w:ascii="Cambria" w:hAnsi="Cambria"/>
            <w:noProof/>
            <w:webHidden/>
          </w:rPr>
        </w:r>
        <w:r w:rsidRPr="00220A9F">
          <w:rPr>
            <w:rFonts w:ascii="Cambria" w:hAnsi="Cambria"/>
            <w:noProof/>
            <w:webHidden/>
          </w:rPr>
          <w:fldChar w:fldCharType="separate"/>
        </w:r>
        <w:r w:rsidR="0046446B">
          <w:rPr>
            <w:rFonts w:ascii="Cambria" w:hAnsi="Cambria"/>
            <w:noProof/>
            <w:webHidden/>
          </w:rPr>
          <w:t>3</w:t>
        </w:r>
        <w:r w:rsidRPr="00220A9F">
          <w:rPr>
            <w:rFonts w:ascii="Cambria" w:hAnsi="Cambria"/>
            <w:noProof/>
            <w:webHidden/>
          </w:rPr>
          <w:fldChar w:fldCharType="end"/>
        </w:r>
      </w:hyperlink>
    </w:p>
    <w:p w14:paraId="4BFC32BE" w14:textId="37AD96E7" w:rsidR="00220A9F" w:rsidRPr="00220A9F" w:rsidRDefault="00220A9F">
      <w:pPr>
        <w:pStyle w:val="TOC2"/>
        <w:rPr>
          <w:rFonts w:ascii="Cambria" w:eastAsiaTheme="minorEastAsia" w:hAnsi="Cambria" w:cstheme="minorBidi"/>
          <w:noProof/>
          <w:kern w:val="2"/>
          <w:bdr w:val="none" w:sz="0" w:space="0" w:color="auto"/>
          <w14:ligatures w14:val="standardContextual"/>
        </w:rPr>
      </w:pPr>
      <w:hyperlink w:anchor="_Toc216356077" w:history="1">
        <w:r w:rsidRPr="00220A9F">
          <w:rPr>
            <w:rStyle w:val="Hyperlink"/>
            <w:rFonts w:ascii="Cambria" w:hAnsi="Cambria"/>
            <w:noProof/>
          </w:rPr>
          <w:t xml:space="preserve">B. </w:t>
        </w:r>
        <w:r w:rsidRPr="00220A9F">
          <w:rPr>
            <w:rFonts w:ascii="Cambria" w:eastAsiaTheme="minorEastAsia" w:hAnsi="Cambria" w:cstheme="minorBidi"/>
            <w:noProof/>
            <w:kern w:val="2"/>
            <w:bdr w:val="none" w:sz="0" w:space="0" w:color="auto"/>
            <w14:ligatures w14:val="standardContextual"/>
          </w:rPr>
          <w:tab/>
        </w:r>
        <w:r w:rsidRPr="00220A9F">
          <w:rPr>
            <w:rStyle w:val="Hyperlink"/>
            <w:rFonts w:ascii="Cambria" w:hAnsi="Cambria"/>
            <w:noProof/>
          </w:rPr>
          <w:t>Agotamiento de los recursos internos y plazo de presentación</w:t>
        </w:r>
        <w:r w:rsidRPr="00220A9F">
          <w:rPr>
            <w:rFonts w:ascii="Cambria" w:hAnsi="Cambria"/>
            <w:noProof/>
            <w:webHidden/>
          </w:rPr>
          <w:tab/>
        </w:r>
        <w:r w:rsidRPr="00220A9F">
          <w:rPr>
            <w:rFonts w:ascii="Cambria" w:hAnsi="Cambria"/>
            <w:noProof/>
            <w:webHidden/>
          </w:rPr>
          <w:fldChar w:fldCharType="begin"/>
        </w:r>
        <w:r w:rsidRPr="00220A9F">
          <w:rPr>
            <w:rFonts w:ascii="Cambria" w:hAnsi="Cambria"/>
            <w:noProof/>
            <w:webHidden/>
          </w:rPr>
          <w:instrText xml:space="preserve"> PAGEREF _Toc216356077 \h </w:instrText>
        </w:r>
        <w:r w:rsidRPr="00220A9F">
          <w:rPr>
            <w:rFonts w:ascii="Cambria" w:hAnsi="Cambria"/>
            <w:noProof/>
            <w:webHidden/>
          </w:rPr>
        </w:r>
        <w:r w:rsidRPr="00220A9F">
          <w:rPr>
            <w:rFonts w:ascii="Cambria" w:hAnsi="Cambria"/>
            <w:noProof/>
            <w:webHidden/>
          </w:rPr>
          <w:fldChar w:fldCharType="separate"/>
        </w:r>
        <w:r w:rsidR="0046446B">
          <w:rPr>
            <w:rFonts w:ascii="Cambria" w:hAnsi="Cambria"/>
            <w:noProof/>
            <w:webHidden/>
          </w:rPr>
          <w:t>3</w:t>
        </w:r>
        <w:r w:rsidRPr="00220A9F">
          <w:rPr>
            <w:rFonts w:ascii="Cambria" w:hAnsi="Cambria"/>
            <w:noProof/>
            <w:webHidden/>
          </w:rPr>
          <w:fldChar w:fldCharType="end"/>
        </w:r>
      </w:hyperlink>
    </w:p>
    <w:p w14:paraId="25338F4C" w14:textId="50CFFD00" w:rsidR="00220A9F" w:rsidRPr="00220A9F" w:rsidRDefault="00220A9F">
      <w:pPr>
        <w:pStyle w:val="TOC2"/>
        <w:rPr>
          <w:rFonts w:ascii="Cambria" w:eastAsiaTheme="minorEastAsia" w:hAnsi="Cambria" w:cstheme="minorBidi"/>
          <w:noProof/>
          <w:kern w:val="2"/>
          <w:bdr w:val="none" w:sz="0" w:space="0" w:color="auto"/>
          <w14:ligatures w14:val="standardContextual"/>
        </w:rPr>
      </w:pPr>
      <w:hyperlink w:anchor="_Toc216356078" w:history="1">
        <w:r w:rsidRPr="00220A9F">
          <w:rPr>
            <w:rStyle w:val="Hyperlink"/>
            <w:rFonts w:ascii="Cambria" w:hAnsi="Cambria"/>
            <w:noProof/>
          </w:rPr>
          <w:t xml:space="preserve">C. </w:t>
        </w:r>
        <w:r w:rsidRPr="00220A9F">
          <w:rPr>
            <w:rFonts w:ascii="Cambria" w:eastAsiaTheme="minorEastAsia" w:hAnsi="Cambria" w:cstheme="minorBidi"/>
            <w:noProof/>
            <w:kern w:val="2"/>
            <w:bdr w:val="none" w:sz="0" w:space="0" w:color="auto"/>
            <w14:ligatures w14:val="standardContextual"/>
          </w:rPr>
          <w:tab/>
        </w:r>
        <w:r w:rsidRPr="00220A9F">
          <w:rPr>
            <w:rStyle w:val="Hyperlink"/>
            <w:rFonts w:ascii="Cambria" w:hAnsi="Cambria"/>
            <w:noProof/>
          </w:rPr>
          <w:t>Caracterización de los hechos alegados</w:t>
        </w:r>
        <w:r w:rsidRPr="00220A9F">
          <w:rPr>
            <w:rFonts w:ascii="Cambria" w:hAnsi="Cambria"/>
            <w:noProof/>
            <w:webHidden/>
          </w:rPr>
          <w:tab/>
        </w:r>
        <w:r w:rsidRPr="00220A9F">
          <w:rPr>
            <w:rFonts w:ascii="Cambria" w:hAnsi="Cambria"/>
            <w:noProof/>
            <w:webHidden/>
          </w:rPr>
          <w:fldChar w:fldCharType="begin"/>
        </w:r>
        <w:r w:rsidRPr="00220A9F">
          <w:rPr>
            <w:rFonts w:ascii="Cambria" w:hAnsi="Cambria"/>
            <w:noProof/>
            <w:webHidden/>
          </w:rPr>
          <w:instrText xml:space="preserve"> PAGEREF _Toc216356078 \h </w:instrText>
        </w:r>
        <w:r w:rsidRPr="00220A9F">
          <w:rPr>
            <w:rFonts w:ascii="Cambria" w:hAnsi="Cambria"/>
            <w:noProof/>
            <w:webHidden/>
          </w:rPr>
        </w:r>
        <w:r w:rsidRPr="00220A9F">
          <w:rPr>
            <w:rFonts w:ascii="Cambria" w:hAnsi="Cambria"/>
            <w:noProof/>
            <w:webHidden/>
          </w:rPr>
          <w:fldChar w:fldCharType="separate"/>
        </w:r>
        <w:r w:rsidR="0046446B">
          <w:rPr>
            <w:rFonts w:ascii="Cambria" w:hAnsi="Cambria"/>
            <w:noProof/>
            <w:webHidden/>
          </w:rPr>
          <w:t>3</w:t>
        </w:r>
        <w:r w:rsidRPr="00220A9F">
          <w:rPr>
            <w:rFonts w:ascii="Cambria" w:hAnsi="Cambria"/>
            <w:noProof/>
            <w:webHidden/>
          </w:rPr>
          <w:fldChar w:fldCharType="end"/>
        </w:r>
      </w:hyperlink>
    </w:p>
    <w:p w14:paraId="460D1C25" w14:textId="1C69552A" w:rsidR="00220A9F" w:rsidRPr="00220A9F" w:rsidRDefault="00220A9F">
      <w:pPr>
        <w:pStyle w:val="TOC1"/>
        <w:tabs>
          <w:tab w:val="left" w:pos="1440"/>
          <w:tab w:val="right" w:leader="dot" w:pos="9350"/>
        </w:tabs>
        <w:rPr>
          <w:rFonts w:ascii="Cambria" w:eastAsiaTheme="minorEastAsia" w:hAnsi="Cambria" w:cstheme="minorBidi"/>
          <w:noProof/>
          <w:kern w:val="2"/>
          <w:sz w:val="24"/>
          <w:bdr w:val="none" w:sz="0" w:space="0" w:color="auto"/>
          <w14:ligatures w14:val="standardContextual"/>
        </w:rPr>
      </w:pPr>
      <w:hyperlink w:anchor="_Toc216356079" w:history="1">
        <w:r w:rsidRPr="00220A9F">
          <w:rPr>
            <w:rStyle w:val="Hyperlink"/>
            <w:rFonts w:ascii="Cambria" w:hAnsi="Cambria"/>
            <w:noProof/>
            <w:sz w:val="24"/>
          </w:rPr>
          <w:t>IV.</w:t>
        </w:r>
        <w:r w:rsidRPr="00220A9F">
          <w:rPr>
            <w:rFonts w:ascii="Cambria" w:eastAsiaTheme="minorEastAsia" w:hAnsi="Cambria" w:cstheme="minorBidi"/>
            <w:noProof/>
            <w:kern w:val="2"/>
            <w:sz w:val="24"/>
            <w:bdr w:val="none" w:sz="0" w:space="0" w:color="auto"/>
            <w14:ligatures w14:val="standardContextual"/>
          </w:rPr>
          <w:tab/>
        </w:r>
        <w:r w:rsidRPr="00220A9F">
          <w:rPr>
            <w:rStyle w:val="Hyperlink"/>
            <w:rFonts w:ascii="Cambria" w:hAnsi="Cambria"/>
            <w:noProof/>
            <w:sz w:val="24"/>
          </w:rPr>
          <w:t>DETERMINACIONES DE HECHO</w:t>
        </w:r>
        <w:r w:rsidRPr="00220A9F">
          <w:rPr>
            <w:rFonts w:ascii="Cambria" w:hAnsi="Cambria"/>
            <w:noProof/>
            <w:webHidden/>
            <w:sz w:val="24"/>
          </w:rPr>
          <w:tab/>
        </w:r>
        <w:r w:rsidRPr="00220A9F">
          <w:rPr>
            <w:rFonts w:ascii="Cambria" w:hAnsi="Cambria"/>
            <w:noProof/>
            <w:webHidden/>
            <w:sz w:val="24"/>
          </w:rPr>
          <w:fldChar w:fldCharType="begin"/>
        </w:r>
        <w:r w:rsidRPr="00220A9F">
          <w:rPr>
            <w:rFonts w:ascii="Cambria" w:hAnsi="Cambria"/>
            <w:noProof/>
            <w:webHidden/>
            <w:sz w:val="24"/>
          </w:rPr>
          <w:instrText xml:space="preserve"> PAGEREF _Toc216356079 \h </w:instrText>
        </w:r>
        <w:r w:rsidRPr="00220A9F">
          <w:rPr>
            <w:rFonts w:ascii="Cambria" w:hAnsi="Cambria"/>
            <w:noProof/>
            <w:webHidden/>
            <w:sz w:val="24"/>
          </w:rPr>
        </w:r>
        <w:r w:rsidRPr="00220A9F">
          <w:rPr>
            <w:rFonts w:ascii="Cambria" w:hAnsi="Cambria"/>
            <w:noProof/>
            <w:webHidden/>
            <w:sz w:val="24"/>
          </w:rPr>
          <w:fldChar w:fldCharType="separate"/>
        </w:r>
        <w:r w:rsidR="0046446B">
          <w:rPr>
            <w:rFonts w:ascii="Cambria" w:hAnsi="Cambria"/>
            <w:noProof/>
            <w:webHidden/>
            <w:sz w:val="24"/>
          </w:rPr>
          <w:t>4</w:t>
        </w:r>
        <w:r w:rsidRPr="00220A9F">
          <w:rPr>
            <w:rFonts w:ascii="Cambria" w:hAnsi="Cambria"/>
            <w:noProof/>
            <w:webHidden/>
            <w:sz w:val="24"/>
          </w:rPr>
          <w:fldChar w:fldCharType="end"/>
        </w:r>
      </w:hyperlink>
    </w:p>
    <w:p w14:paraId="7FFD807E" w14:textId="451A68B6" w:rsidR="00220A9F" w:rsidRPr="00220A9F" w:rsidRDefault="00220A9F">
      <w:pPr>
        <w:pStyle w:val="TOC2"/>
        <w:rPr>
          <w:rFonts w:ascii="Cambria" w:eastAsiaTheme="minorEastAsia" w:hAnsi="Cambria" w:cstheme="minorBidi"/>
          <w:noProof/>
          <w:kern w:val="2"/>
          <w:bdr w:val="none" w:sz="0" w:space="0" w:color="auto"/>
          <w14:ligatures w14:val="standardContextual"/>
        </w:rPr>
      </w:pPr>
      <w:hyperlink w:anchor="_Toc216356080" w:history="1">
        <w:r w:rsidRPr="00220A9F">
          <w:rPr>
            <w:rStyle w:val="Hyperlink"/>
            <w:rFonts w:ascii="Cambria" w:hAnsi="Cambria"/>
            <w:noProof/>
          </w:rPr>
          <w:t>A.</w:t>
        </w:r>
        <w:r w:rsidRPr="00220A9F">
          <w:rPr>
            <w:rFonts w:ascii="Cambria" w:eastAsiaTheme="minorEastAsia" w:hAnsi="Cambria" w:cstheme="minorBidi"/>
            <w:noProof/>
            <w:kern w:val="2"/>
            <w:bdr w:val="none" w:sz="0" w:space="0" w:color="auto"/>
            <w14:ligatures w14:val="standardContextual"/>
          </w:rPr>
          <w:tab/>
        </w:r>
        <w:r w:rsidRPr="00220A9F">
          <w:rPr>
            <w:rStyle w:val="Hyperlink"/>
            <w:rFonts w:ascii="Cambria" w:hAnsi="Cambria"/>
            <w:noProof/>
          </w:rPr>
          <w:t>Cuestión previa</w:t>
        </w:r>
        <w:r w:rsidRPr="00220A9F">
          <w:rPr>
            <w:rFonts w:ascii="Cambria" w:hAnsi="Cambria"/>
            <w:noProof/>
            <w:webHidden/>
          </w:rPr>
          <w:tab/>
        </w:r>
        <w:r w:rsidRPr="00220A9F">
          <w:rPr>
            <w:rFonts w:ascii="Cambria" w:hAnsi="Cambria"/>
            <w:noProof/>
            <w:webHidden/>
          </w:rPr>
          <w:fldChar w:fldCharType="begin"/>
        </w:r>
        <w:r w:rsidRPr="00220A9F">
          <w:rPr>
            <w:rFonts w:ascii="Cambria" w:hAnsi="Cambria"/>
            <w:noProof/>
            <w:webHidden/>
          </w:rPr>
          <w:instrText xml:space="preserve"> PAGEREF _Toc216356080 \h </w:instrText>
        </w:r>
        <w:r w:rsidRPr="00220A9F">
          <w:rPr>
            <w:rFonts w:ascii="Cambria" w:hAnsi="Cambria"/>
            <w:noProof/>
            <w:webHidden/>
          </w:rPr>
        </w:r>
        <w:r w:rsidRPr="00220A9F">
          <w:rPr>
            <w:rFonts w:ascii="Cambria" w:hAnsi="Cambria"/>
            <w:noProof/>
            <w:webHidden/>
          </w:rPr>
          <w:fldChar w:fldCharType="separate"/>
        </w:r>
        <w:r w:rsidR="0046446B">
          <w:rPr>
            <w:rFonts w:ascii="Cambria" w:hAnsi="Cambria"/>
            <w:noProof/>
            <w:webHidden/>
          </w:rPr>
          <w:t>4</w:t>
        </w:r>
        <w:r w:rsidRPr="00220A9F">
          <w:rPr>
            <w:rFonts w:ascii="Cambria" w:hAnsi="Cambria"/>
            <w:noProof/>
            <w:webHidden/>
          </w:rPr>
          <w:fldChar w:fldCharType="end"/>
        </w:r>
      </w:hyperlink>
    </w:p>
    <w:p w14:paraId="3B3765CC" w14:textId="4760C27A" w:rsidR="00220A9F" w:rsidRPr="00220A9F" w:rsidRDefault="00220A9F">
      <w:pPr>
        <w:pStyle w:val="TOC2"/>
        <w:rPr>
          <w:rFonts w:ascii="Cambria" w:eastAsiaTheme="minorEastAsia" w:hAnsi="Cambria" w:cstheme="minorBidi"/>
          <w:noProof/>
          <w:kern w:val="2"/>
          <w:bdr w:val="none" w:sz="0" w:space="0" w:color="auto"/>
          <w14:ligatures w14:val="standardContextual"/>
        </w:rPr>
      </w:pPr>
      <w:hyperlink w:anchor="_Toc216356081" w:history="1">
        <w:r w:rsidRPr="00220A9F">
          <w:rPr>
            <w:rStyle w:val="Hyperlink"/>
            <w:rFonts w:ascii="Cambria" w:hAnsi="Cambria"/>
            <w:noProof/>
          </w:rPr>
          <w:t>B.</w:t>
        </w:r>
        <w:r w:rsidRPr="00220A9F">
          <w:rPr>
            <w:rFonts w:ascii="Cambria" w:eastAsiaTheme="minorEastAsia" w:hAnsi="Cambria" w:cstheme="minorBidi"/>
            <w:noProof/>
            <w:kern w:val="2"/>
            <w:bdr w:val="none" w:sz="0" w:space="0" w:color="auto"/>
            <w14:ligatures w14:val="standardContextual"/>
          </w:rPr>
          <w:tab/>
        </w:r>
        <w:r w:rsidRPr="00220A9F">
          <w:rPr>
            <w:rStyle w:val="Hyperlink"/>
            <w:rFonts w:ascii="Cambria" w:hAnsi="Cambria"/>
            <w:noProof/>
          </w:rPr>
          <w:t>Contexto</w:t>
        </w:r>
        <w:r w:rsidRPr="00220A9F">
          <w:rPr>
            <w:rFonts w:ascii="Cambria" w:hAnsi="Cambria"/>
            <w:noProof/>
            <w:webHidden/>
          </w:rPr>
          <w:tab/>
        </w:r>
        <w:r w:rsidRPr="00220A9F">
          <w:rPr>
            <w:rFonts w:ascii="Cambria" w:hAnsi="Cambria"/>
            <w:noProof/>
            <w:webHidden/>
          </w:rPr>
          <w:fldChar w:fldCharType="begin"/>
        </w:r>
        <w:r w:rsidRPr="00220A9F">
          <w:rPr>
            <w:rFonts w:ascii="Cambria" w:hAnsi="Cambria"/>
            <w:noProof/>
            <w:webHidden/>
          </w:rPr>
          <w:instrText xml:space="preserve"> PAGEREF _Toc216356081 \h </w:instrText>
        </w:r>
        <w:r w:rsidRPr="00220A9F">
          <w:rPr>
            <w:rFonts w:ascii="Cambria" w:hAnsi="Cambria"/>
            <w:noProof/>
            <w:webHidden/>
          </w:rPr>
        </w:r>
        <w:r w:rsidRPr="00220A9F">
          <w:rPr>
            <w:rFonts w:ascii="Cambria" w:hAnsi="Cambria"/>
            <w:noProof/>
            <w:webHidden/>
          </w:rPr>
          <w:fldChar w:fldCharType="separate"/>
        </w:r>
        <w:r w:rsidR="0046446B">
          <w:rPr>
            <w:rFonts w:ascii="Cambria" w:hAnsi="Cambria"/>
            <w:noProof/>
            <w:webHidden/>
          </w:rPr>
          <w:t>4</w:t>
        </w:r>
        <w:r w:rsidRPr="00220A9F">
          <w:rPr>
            <w:rFonts w:ascii="Cambria" w:hAnsi="Cambria"/>
            <w:noProof/>
            <w:webHidden/>
          </w:rPr>
          <w:fldChar w:fldCharType="end"/>
        </w:r>
      </w:hyperlink>
    </w:p>
    <w:p w14:paraId="57491F0C" w14:textId="4AE8D65A" w:rsidR="00220A9F" w:rsidRPr="00220A9F" w:rsidRDefault="00220A9F">
      <w:pPr>
        <w:pStyle w:val="TOC2"/>
        <w:rPr>
          <w:rFonts w:ascii="Cambria" w:eastAsiaTheme="minorEastAsia" w:hAnsi="Cambria" w:cstheme="minorBidi"/>
          <w:noProof/>
          <w:kern w:val="2"/>
          <w:bdr w:val="none" w:sz="0" w:space="0" w:color="auto"/>
          <w14:ligatures w14:val="standardContextual"/>
        </w:rPr>
      </w:pPr>
      <w:hyperlink w:anchor="_Toc216356082" w:history="1">
        <w:r w:rsidRPr="00220A9F">
          <w:rPr>
            <w:rStyle w:val="Hyperlink"/>
            <w:rFonts w:ascii="Cambria" w:hAnsi="Cambria"/>
            <w:noProof/>
          </w:rPr>
          <w:t>C.</w:t>
        </w:r>
        <w:r w:rsidRPr="00220A9F">
          <w:rPr>
            <w:rFonts w:ascii="Cambria" w:eastAsiaTheme="minorEastAsia" w:hAnsi="Cambria" w:cstheme="minorBidi"/>
            <w:noProof/>
            <w:kern w:val="2"/>
            <w:bdr w:val="none" w:sz="0" w:space="0" w:color="auto"/>
            <w14:ligatures w14:val="standardContextual"/>
          </w:rPr>
          <w:tab/>
        </w:r>
        <w:r w:rsidRPr="00220A9F">
          <w:rPr>
            <w:rStyle w:val="Hyperlink"/>
            <w:rFonts w:ascii="Cambria" w:hAnsi="Cambria"/>
            <w:noProof/>
          </w:rPr>
          <w:t>Información disponible sobre la presunta víctima y familiares</w:t>
        </w:r>
        <w:r w:rsidRPr="00220A9F">
          <w:rPr>
            <w:rFonts w:ascii="Cambria" w:hAnsi="Cambria"/>
            <w:noProof/>
            <w:webHidden/>
          </w:rPr>
          <w:tab/>
        </w:r>
        <w:r w:rsidRPr="00220A9F">
          <w:rPr>
            <w:rFonts w:ascii="Cambria" w:hAnsi="Cambria"/>
            <w:noProof/>
            <w:webHidden/>
          </w:rPr>
          <w:fldChar w:fldCharType="begin"/>
        </w:r>
        <w:r w:rsidRPr="00220A9F">
          <w:rPr>
            <w:rFonts w:ascii="Cambria" w:hAnsi="Cambria"/>
            <w:noProof/>
            <w:webHidden/>
          </w:rPr>
          <w:instrText xml:space="preserve"> PAGEREF _Toc216356082 \h </w:instrText>
        </w:r>
        <w:r w:rsidRPr="00220A9F">
          <w:rPr>
            <w:rFonts w:ascii="Cambria" w:hAnsi="Cambria"/>
            <w:noProof/>
            <w:webHidden/>
          </w:rPr>
        </w:r>
        <w:r w:rsidRPr="00220A9F">
          <w:rPr>
            <w:rFonts w:ascii="Cambria" w:hAnsi="Cambria"/>
            <w:noProof/>
            <w:webHidden/>
          </w:rPr>
          <w:fldChar w:fldCharType="separate"/>
        </w:r>
        <w:r w:rsidR="0046446B">
          <w:rPr>
            <w:rFonts w:ascii="Cambria" w:hAnsi="Cambria"/>
            <w:noProof/>
            <w:webHidden/>
          </w:rPr>
          <w:t>5</w:t>
        </w:r>
        <w:r w:rsidRPr="00220A9F">
          <w:rPr>
            <w:rFonts w:ascii="Cambria" w:hAnsi="Cambria"/>
            <w:noProof/>
            <w:webHidden/>
          </w:rPr>
          <w:fldChar w:fldCharType="end"/>
        </w:r>
      </w:hyperlink>
    </w:p>
    <w:p w14:paraId="2B38E454" w14:textId="3FB46161" w:rsidR="00220A9F" w:rsidRPr="00220A9F" w:rsidRDefault="00220A9F">
      <w:pPr>
        <w:pStyle w:val="TOC2"/>
        <w:rPr>
          <w:rFonts w:ascii="Cambria" w:eastAsiaTheme="minorEastAsia" w:hAnsi="Cambria" w:cstheme="minorBidi"/>
          <w:noProof/>
          <w:kern w:val="2"/>
          <w:bdr w:val="none" w:sz="0" w:space="0" w:color="auto"/>
          <w14:ligatures w14:val="standardContextual"/>
        </w:rPr>
      </w:pPr>
      <w:hyperlink w:anchor="_Toc216356083" w:history="1">
        <w:r w:rsidRPr="00220A9F">
          <w:rPr>
            <w:rStyle w:val="Hyperlink"/>
            <w:rFonts w:ascii="Cambria" w:hAnsi="Cambria"/>
            <w:noProof/>
          </w:rPr>
          <w:t>D.</w:t>
        </w:r>
        <w:r w:rsidRPr="00220A9F">
          <w:rPr>
            <w:rFonts w:ascii="Cambria" w:eastAsiaTheme="minorEastAsia" w:hAnsi="Cambria" w:cstheme="minorBidi"/>
            <w:noProof/>
            <w:kern w:val="2"/>
            <w:bdr w:val="none" w:sz="0" w:space="0" w:color="auto"/>
            <w14:ligatures w14:val="standardContextual"/>
          </w:rPr>
          <w:tab/>
        </w:r>
        <w:r w:rsidRPr="00220A9F">
          <w:rPr>
            <w:rStyle w:val="Hyperlink"/>
            <w:rFonts w:ascii="Cambria" w:hAnsi="Cambria"/>
            <w:noProof/>
          </w:rPr>
          <w:t>Sobre lo sucedido el 22 de junio de 2018 y el proceso penal</w:t>
        </w:r>
        <w:r w:rsidRPr="00220A9F">
          <w:rPr>
            <w:rFonts w:ascii="Cambria" w:hAnsi="Cambria"/>
            <w:noProof/>
            <w:webHidden/>
          </w:rPr>
          <w:tab/>
        </w:r>
        <w:r w:rsidRPr="00220A9F">
          <w:rPr>
            <w:rFonts w:ascii="Cambria" w:hAnsi="Cambria"/>
            <w:noProof/>
            <w:webHidden/>
          </w:rPr>
          <w:fldChar w:fldCharType="begin"/>
        </w:r>
        <w:r w:rsidRPr="00220A9F">
          <w:rPr>
            <w:rFonts w:ascii="Cambria" w:hAnsi="Cambria"/>
            <w:noProof/>
            <w:webHidden/>
          </w:rPr>
          <w:instrText xml:space="preserve"> PAGEREF _Toc216356083 \h </w:instrText>
        </w:r>
        <w:r w:rsidRPr="00220A9F">
          <w:rPr>
            <w:rFonts w:ascii="Cambria" w:hAnsi="Cambria"/>
            <w:noProof/>
            <w:webHidden/>
          </w:rPr>
        </w:r>
        <w:r w:rsidRPr="00220A9F">
          <w:rPr>
            <w:rFonts w:ascii="Cambria" w:hAnsi="Cambria"/>
            <w:noProof/>
            <w:webHidden/>
          </w:rPr>
          <w:fldChar w:fldCharType="separate"/>
        </w:r>
        <w:r w:rsidR="0046446B">
          <w:rPr>
            <w:rFonts w:ascii="Cambria" w:hAnsi="Cambria"/>
            <w:noProof/>
            <w:webHidden/>
          </w:rPr>
          <w:t>5</w:t>
        </w:r>
        <w:r w:rsidRPr="00220A9F">
          <w:rPr>
            <w:rFonts w:ascii="Cambria" w:hAnsi="Cambria"/>
            <w:noProof/>
            <w:webHidden/>
          </w:rPr>
          <w:fldChar w:fldCharType="end"/>
        </w:r>
      </w:hyperlink>
    </w:p>
    <w:p w14:paraId="409C439B" w14:textId="1217A648" w:rsidR="00220A9F" w:rsidRPr="00220A9F" w:rsidRDefault="00220A9F">
      <w:pPr>
        <w:pStyle w:val="TOC2"/>
        <w:rPr>
          <w:rFonts w:ascii="Cambria" w:eastAsiaTheme="minorEastAsia" w:hAnsi="Cambria" w:cstheme="minorBidi"/>
          <w:noProof/>
          <w:kern w:val="2"/>
          <w:bdr w:val="none" w:sz="0" w:space="0" w:color="auto"/>
          <w14:ligatures w14:val="standardContextual"/>
        </w:rPr>
      </w:pPr>
      <w:hyperlink w:anchor="_Toc216356084" w:history="1">
        <w:r w:rsidRPr="00220A9F">
          <w:rPr>
            <w:rStyle w:val="Hyperlink"/>
            <w:rFonts w:ascii="Cambria" w:hAnsi="Cambria"/>
            <w:noProof/>
          </w:rPr>
          <w:t>E.</w:t>
        </w:r>
        <w:r w:rsidRPr="00220A9F">
          <w:rPr>
            <w:rFonts w:ascii="Cambria" w:eastAsiaTheme="minorEastAsia" w:hAnsi="Cambria" w:cstheme="minorBidi"/>
            <w:noProof/>
            <w:kern w:val="2"/>
            <w:bdr w:val="none" w:sz="0" w:space="0" w:color="auto"/>
            <w14:ligatures w14:val="standardContextual"/>
          </w:rPr>
          <w:tab/>
        </w:r>
        <w:r w:rsidRPr="00220A9F">
          <w:rPr>
            <w:rStyle w:val="Hyperlink"/>
            <w:rFonts w:ascii="Cambria" w:hAnsi="Cambria"/>
            <w:noProof/>
          </w:rPr>
          <w:t>Sobre la posterior situación de hostigamientos y detenciones del señor Castillo Pérez</w:t>
        </w:r>
        <w:r w:rsidRPr="00220A9F">
          <w:rPr>
            <w:rFonts w:ascii="Cambria" w:hAnsi="Cambria"/>
            <w:noProof/>
            <w:webHidden/>
          </w:rPr>
          <w:tab/>
        </w:r>
        <w:r w:rsidRPr="00220A9F">
          <w:rPr>
            <w:rFonts w:ascii="Cambria" w:hAnsi="Cambria"/>
            <w:noProof/>
            <w:webHidden/>
          </w:rPr>
          <w:fldChar w:fldCharType="begin"/>
        </w:r>
        <w:r w:rsidRPr="00220A9F">
          <w:rPr>
            <w:rFonts w:ascii="Cambria" w:hAnsi="Cambria"/>
            <w:noProof/>
            <w:webHidden/>
          </w:rPr>
          <w:instrText xml:space="preserve"> PAGEREF _Toc216356084 \h </w:instrText>
        </w:r>
        <w:r w:rsidRPr="00220A9F">
          <w:rPr>
            <w:rFonts w:ascii="Cambria" w:hAnsi="Cambria"/>
            <w:noProof/>
            <w:webHidden/>
          </w:rPr>
        </w:r>
        <w:r w:rsidRPr="00220A9F">
          <w:rPr>
            <w:rFonts w:ascii="Cambria" w:hAnsi="Cambria"/>
            <w:noProof/>
            <w:webHidden/>
          </w:rPr>
          <w:fldChar w:fldCharType="separate"/>
        </w:r>
        <w:r w:rsidR="0046446B">
          <w:rPr>
            <w:rFonts w:ascii="Cambria" w:hAnsi="Cambria"/>
            <w:noProof/>
            <w:webHidden/>
          </w:rPr>
          <w:t>8</w:t>
        </w:r>
        <w:r w:rsidRPr="00220A9F">
          <w:rPr>
            <w:rFonts w:ascii="Cambria" w:hAnsi="Cambria"/>
            <w:noProof/>
            <w:webHidden/>
          </w:rPr>
          <w:fldChar w:fldCharType="end"/>
        </w:r>
      </w:hyperlink>
    </w:p>
    <w:p w14:paraId="45DA6A06" w14:textId="71B44A88" w:rsidR="00220A9F" w:rsidRPr="00220A9F" w:rsidRDefault="00220A9F">
      <w:pPr>
        <w:pStyle w:val="TOC1"/>
        <w:tabs>
          <w:tab w:val="left" w:pos="1440"/>
          <w:tab w:val="right" w:leader="dot" w:pos="9350"/>
        </w:tabs>
        <w:rPr>
          <w:rFonts w:ascii="Cambria" w:eastAsiaTheme="minorEastAsia" w:hAnsi="Cambria" w:cstheme="minorBidi"/>
          <w:noProof/>
          <w:kern w:val="2"/>
          <w:sz w:val="24"/>
          <w:bdr w:val="none" w:sz="0" w:space="0" w:color="auto"/>
          <w14:ligatures w14:val="standardContextual"/>
        </w:rPr>
      </w:pPr>
      <w:hyperlink w:anchor="_Toc216356085" w:history="1">
        <w:r w:rsidRPr="00220A9F">
          <w:rPr>
            <w:rStyle w:val="Hyperlink"/>
            <w:rFonts w:ascii="Cambria" w:hAnsi="Cambria"/>
            <w:noProof/>
            <w:sz w:val="24"/>
          </w:rPr>
          <w:t>V.</w:t>
        </w:r>
        <w:r w:rsidRPr="00220A9F">
          <w:rPr>
            <w:rFonts w:ascii="Cambria" w:eastAsiaTheme="minorEastAsia" w:hAnsi="Cambria" w:cstheme="minorBidi"/>
            <w:noProof/>
            <w:kern w:val="2"/>
            <w:sz w:val="24"/>
            <w:bdr w:val="none" w:sz="0" w:space="0" w:color="auto"/>
            <w14:ligatures w14:val="standardContextual"/>
          </w:rPr>
          <w:tab/>
        </w:r>
        <w:r w:rsidRPr="00220A9F">
          <w:rPr>
            <w:rStyle w:val="Hyperlink"/>
            <w:rFonts w:ascii="Cambria" w:hAnsi="Cambria"/>
            <w:noProof/>
            <w:sz w:val="24"/>
          </w:rPr>
          <w:t>ANÁLISIS DE DERECHO</w:t>
        </w:r>
        <w:r w:rsidRPr="00220A9F">
          <w:rPr>
            <w:rFonts w:ascii="Cambria" w:hAnsi="Cambria"/>
            <w:noProof/>
            <w:webHidden/>
            <w:sz w:val="24"/>
          </w:rPr>
          <w:tab/>
        </w:r>
        <w:r w:rsidRPr="00220A9F">
          <w:rPr>
            <w:rFonts w:ascii="Cambria" w:hAnsi="Cambria"/>
            <w:noProof/>
            <w:webHidden/>
            <w:sz w:val="24"/>
          </w:rPr>
          <w:fldChar w:fldCharType="begin"/>
        </w:r>
        <w:r w:rsidRPr="00220A9F">
          <w:rPr>
            <w:rFonts w:ascii="Cambria" w:hAnsi="Cambria"/>
            <w:noProof/>
            <w:webHidden/>
            <w:sz w:val="24"/>
          </w:rPr>
          <w:instrText xml:space="preserve"> PAGEREF _Toc216356085 \h </w:instrText>
        </w:r>
        <w:r w:rsidRPr="00220A9F">
          <w:rPr>
            <w:rFonts w:ascii="Cambria" w:hAnsi="Cambria"/>
            <w:noProof/>
            <w:webHidden/>
            <w:sz w:val="24"/>
          </w:rPr>
        </w:r>
        <w:r w:rsidRPr="00220A9F">
          <w:rPr>
            <w:rFonts w:ascii="Cambria" w:hAnsi="Cambria"/>
            <w:noProof/>
            <w:webHidden/>
            <w:sz w:val="24"/>
          </w:rPr>
          <w:fldChar w:fldCharType="separate"/>
        </w:r>
        <w:r w:rsidR="0046446B">
          <w:rPr>
            <w:rFonts w:ascii="Cambria" w:hAnsi="Cambria"/>
            <w:noProof/>
            <w:webHidden/>
            <w:sz w:val="24"/>
          </w:rPr>
          <w:t>12</w:t>
        </w:r>
        <w:r w:rsidRPr="00220A9F">
          <w:rPr>
            <w:rFonts w:ascii="Cambria" w:hAnsi="Cambria"/>
            <w:noProof/>
            <w:webHidden/>
            <w:sz w:val="24"/>
          </w:rPr>
          <w:fldChar w:fldCharType="end"/>
        </w:r>
      </w:hyperlink>
    </w:p>
    <w:p w14:paraId="6722446A" w14:textId="0095B81D" w:rsidR="00220A9F" w:rsidRPr="00220A9F" w:rsidRDefault="00220A9F">
      <w:pPr>
        <w:pStyle w:val="TOC2"/>
        <w:rPr>
          <w:rFonts w:ascii="Cambria" w:eastAsiaTheme="minorEastAsia" w:hAnsi="Cambria" w:cstheme="minorBidi"/>
          <w:noProof/>
          <w:kern w:val="2"/>
          <w:bdr w:val="none" w:sz="0" w:space="0" w:color="auto"/>
          <w14:ligatures w14:val="standardContextual"/>
        </w:rPr>
      </w:pPr>
      <w:hyperlink w:anchor="_Toc216356086" w:history="1">
        <w:r w:rsidRPr="00220A9F">
          <w:rPr>
            <w:rStyle w:val="Hyperlink"/>
            <w:rFonts w:ascii="Cambria" w:hAnsi="Cambria"/>
            <w:noProof/>
          </w:rPr>
          <w:t>A.</w:t>
        </w:r>
        <w:r w:rsidRPr="00220A9F">
          <w:rPr>
            <w:rFonts w:ascii="Cambria" w:eastAsiaTheme="minorEastAsia" w:hAnsi="Cambria" w:cstheme="minorBidi"/>
            <w:noProof/>
            <w:kern w:val="2"/>
            <w:bdr w:val="none" w:sz="0" w:space="0" w:color="auto"/>
            <w14:ligatures w14:val="standardContextual"/>
          </w:rPr>
          <w:tab/>
        </w:r>
        <w:r w:rsidRPr="00220A9F">
          <w:rPr>
            <w:rStyle w:val="Hyperlink"/>
            <w:rFonts w:ascii="Cambria" w:hAnsi="Cambria"/>
            <w:noProof/>
          </w:rPr>
          <w:t>Cuestión previa</w:t>
        </w:r>
        <w:r w:rsidRPr="00220A9F">
          <w:rPr>
            <w:rFonts w:ascii="Cambria" w:hAnsi="Cambria"/>
            <w:noProof/>
            <w:webHidden/>
          </w:rPr>
          <w:tab/>
        </w:r>
        <w:r w:rsidRPr="00220A9F">
          <w:rPr>
            <w:rFonts w:ascii="Cambria" w:hAnsi="Cambria"/>
            <w:noProof/>
            <w:webHidden/>
          </w:rPr>
          <w:fldChar w:fldCharType="begin"/>
        </w:r>
        <w:r w:rsidRPr="00220A9F">
          <w:rPr>
            <w:rFonts w:ascii="Cambria" w:hAnsi="Cambria"/>
            <w:noProof/>
            <w:webHidden/>
          </w:rPr>
          <w:instrText xml:space="preserve"> PAGEREF _Toc216356086 \h </w:instrText>
        </w:r>
        <w:r w:rsidRPr="00220A9F">
          <w:rPr>
            <w:rFonts w:ascii="Cambria" w:hAnsi="Cambria"/>
            <w:noProof/>
            <w:webHidden/>
          </w:rPr>
        </w:r>
        <w:r w:rsidRPr="00220A9F">
          <w:rPr>
            <w:rFonts w:ascii="Cambria" w:hAnsi="Cambria"/>
            <w:noProof/>
            <w:webHidden/>
          </w:rPr>
          <w:fldChar w:fldCharType="separate"/>
        </w:r>
        <w:r w:rsidR="0046446B">
          <w:rPr>
            <w:rFonts w:ascii="Cambria" w:hAnsi="Cambria"/>
            <w:noProof/>
            <w:webHidden/>
          </w:rPr>
          <w:t>12</w:t>
        </w:r>
        <w:r w:rsidRPr="00220A9F">
          <w:rPr>
            <w:rFonts w:ascii="Cambria" w:hAnsi="Cambria"/>
            <w:noProof/>
            <w:webHidden/>
          </w:rPr>
          <w:fldChar w:fldCharType="end"/>
        </w:r>
      </w:hyperlink>
    </w:p>
    <w:p w14:paraId="28A7875A" w14:textId="3B7DDA84" w:rsidR="00220A9F" w:rsidRPr="00220A9F" w:rsidRDefault="00220A9F">
      <w:pPr>
        <w:pStyle w:val="TOC2"/>
        <w:rPr>
          <w:rFonts w:ascii="Cambria" w:eastAsiaTheme="minorEastAsia" w:hAnsi="Cambria" w:cstheme="minorBidi"/>
          <w:noProof/>
          <w:kern w:val="2"/>
          <w:bdr w:val="none" w:sz="0" w:space="0" w:color="auto"/>
          <w14:ligatures w14:val="standardContextual"/>
        </w:rPr>
      </w:pPr>
      <w:hyperlink w:anchor="_Toc216356087" w:history="1">
        <w:r w:rsidRPr="00220A9F">
          <w:rPr>
            <w:rStyle w:val="Hyperlink"/>
            <w:rFonts w:ascii="Cambria" w:hAnsi="Cambria"/>
            <w:noProof/>
          </w:rPr>
          <w:t>B.</w:t>
        </w:r>
        <w:r w:rsidRPr="00220A9F">
          <w:rPr>
            <w:rFonts w:ascii="Cambria" w:eastAsiaTheme="minorEastAsia" w:hAnsi="Cambria" w:cstheme="minorBidi"/>
            <w:noProof/>
            <w:kern w:val="2"/>
            <w:bdr w:val="none" w:sz="0" w:space="0" w:color="auto"/>
            <w14:ligatures w14:val="standardContextual"/>
          </w:rPr>
          <w:tab/>
        </w:r>
        <w:r w:rsidRPr="00220A9F">
          <w:rPr>
            <w:rStyle w:val="Hyperlink"/>
            <w:rFonts w:ascii="Cambria" w:hAnsi="Cambria"/>
            <w:noProof/>
          </w:rPr>
          <w:t>Derecho a la libertad personal (artículo XXV de la Declaración Americana)</w:t>
        </w:r>
        <w:r w:rsidRPr="00220A9F">
          <w:rPr>
            <w:rFonts w:ascii="Cambria" w:hAnsi="Cambria"/>
            <w:noProof/>
            <w:webHidden/>
          </w:rPr>
          <w:tab/>
        </w:r>
        <w:r w:rsidRPr="00220A9F">
          <w:rPr>
            <w:rFonts w:ascii="Cambria" w:hAnsi="Cambria"/>
            <w:noProof/>
            <w:webHidden/>
          </w:rPr>
          <w:fldChar w:fldCharType="begin"/>
        </w:r>
        <w:r w:rsidRPr="00220A9F">
          <w:rPr>
            <w:rFonts w:ascii="Cambria" w:hAnsi="Cambria"/>
            <w:noProof/>
            <w:webHidden/>
          </w:rPr>
          <w:instrText xml:space="preserve"> PAGEREF _Toc216356087 \h </w:instrText>
        </w:r>
        <w:r w:rsidRPr="00220A9F">
          <w:rPr>
            <w:rFonts w:ascii="Cambria" w:hAnsi="Cambria"/>
            <w:noProof/>
            <w:webHidden/>
          </w:rPr>
        </w:r>
        <w:r w:rsidRPr="00220A9F">
          <w:rPr>
            <w:rFonts w:ascii="Cambria" w:hAnsi="Cambria"/>
            <w:noProof/>
            <w:webHidden/>
          </w:rPr>
          <w:fldChar w:fldCharType="separate"/>
        </w:r>
        <w:r w:rsidR="0046446B">
          <w:rPr>
            <w:rFonts w:ascii="Cambria" w:hAnsi="Cambria"/>
            <w:noProof/>
            <w:webHidden/>
          </w:rPr>
          <w:t>13</w:t>
        </w:r>
        <w:r w:rsidRPr="00220A9F">
          <w:rPr>
            <w:rFonts w:ascii="Cambria" w:hAnsi="Cambria"/>
            <w:noProof/>
            <w:webHidden/>
          </w:rPr>
          <w:fldChar w:fldCharType="end"/>
        </w:r>
      </w:hyperlink>
    </w:p>
    <w:p w14:paraId="3E00504D" w14:textId="158C7EDA" w:rsidR="00220A9F" w:rsidRPr="00220A9F" w:rsidRDefault="00220A9F">
      <w:pPr>
        <w:pStyle w:val="TOC2"/>
        <w:rPr>
          <w:rFonts w:ascii="Cambria" w:eastAsiaTheme="minorEastAsia" w:hAnsi="Cambria" w:cstheme="minorBidi"/>
          <w:noProof/>
          <w:kern w:val="2"/>
          <w:bdr w:val="none" w:sz="0" w:space="0" w:color="auto"/>
          <w14:ligatures w14:val="standardContextual"/>
        </w:rPr>
      </w:pPr>
      <w:hyperlink w:anchor="_Toc216356088" w:history="1">
        <w:r w:rsidRPr="00220A9F">
          <w:rPr>
            <w:rStyle w:val="Hyperlink"/>
            <w:rFonts w:ascii="Cambria" w:hAnsi="Cambria"/>
            <w:noProof/>
          </w:rPr>
          <w:t>C.</w:t>
        </w:r>
        <w:r w:rsidRPr="00220A9F">
          <w:rPr>
            <w:rFonts w:ascii="Cambria" w:eastAsiaTheme="minorEastAsia" w:hAnsi="Cambria" w:cstheme="minorBidi"/>
            <w:noProof/>
            <w:kern w:val="2"/>
            <w:bdr w:val="none" w:sz="0" w:space="0" w:color="auto"/>
            <w14:ligatures w14:val="standardContextual"/>
          </w:rPr>
          <w:tab/>
        </w:r>
        <w:r w:rsidRPr="00220A9F">
          <w:rPr>
            <w:rStyle w:val="Hyperlink"/>
            <w:rFonts w:ascii="Cambria" w:hAnsi="Cambria"/>
            <w:noProof/>
          </w:rPr>
          <w:t xml:space="preserve">Derecho </w:t>
        </w:r>
        <w:r w:rsidRPr="00220A9F">
          <w:rPr>
            <w:rStyle w:val="Hyperlink"/>
            <w:rFonts w:ascii="Cambria" w:eastAsia="SimSun" w:hAnsi="Cambria"/>
            <w:noProof/>
          </w:rPr>
          <w:t>a la justicia y a un proceso regular</w:t>
        </w:r>
        <w:r w:rsidRPr="00220A9F">
          <w:rPr>
            <w:rStyle w:val="Hyperlink"/>
            <w:rFonts w:ascii="Cambria" w:hAnsi="Cambria"/>
            <w:noProof/>
          </w:rPr>
          <w:t xml:space="preserve"> (artículo XVIII y XXVI de la Declaración Americana)</w:t>
        </w:r>
        <w:r w:rsidRPr="00220A9F">
          <w:rPr>
            <w:rFonts w:ascii="Cambria" w:hAnsi="Cambria"/>
            <w:noProof/>
            <w:webHidden/>
          </w:rPr>
          <w:tab/>
        </w:r>
        <w:r w:rsidRPr="00220A9F">
          <w:rPr>
            <w:rFonts w:ascii="Cambria" w:hAnsi="Cambria"/>
            <w:noProof/>
            <w:webHidden/>
          </w:rPr>
          <w:fldChar w:fldCharType="begin"/>
        </w:r>
        <w:r w:rsidRPr="00220A9F">
          <w:rPr>
            <w:rFonts w:ascii="Cambria" w:hAnsi="Cambria"/>
            <w:noProof/>
            <w:webHidden/>
          </w:rPr>
          <w:instrText xml:space="preserve"> PAGEREF _Toc216356088 \h </w:instrText>
        </w:r>
        <w:r w:rsidRPr="00220A9F">
          <w:rPr>
            <w:rFonts w:ascii="Cambria" w:hAnsi="Cambria"/>
            <w:noProof/>
            <w:webHidden/>
          </w:rPr>
        </w:r>
        <w:r w:rsidRPr="00220A9F">
          <w:rPr>
            <w:rFonts w:ascii="Cambria" w:hAnsi="Cambria"/>
            <w:noProof/>
            <w:webHidden/>
          </w:rPr>
          <w:fldChar w:fldCharType="separate"/>
        </w:r>
        <w:r w:rsidR="0046446B">
          <w:rPr>
            <w:rFonts w:ascii="Cambria" w:hAnsi="Cambria"/>
            <w:noProof/>
            <w:webHidden/>
          </w:rPr>
          <w:t>16</w:t>
        </w:r>
        <w:r w:rsidRPr="00220A9F">
          <w:rPr>
            <w:rFonts w:ascii="Cambria" w:hAnsi="Cambria"/>
            <w:noProof/>
            <w:webHidden/>
          </w:rPr>
          <w:fldChar w:fldCharType="end"/>
        </w:r>
      </w:hyperlink>
    </w:p>
    <w:p w14:paraId="2D157430" w14:textId="5CFBEB61" w:rsidR="00220A9F" w:rsidRPr="00220A9F" w:rsidRDefault="00220A9F">
      <w:pPr>
        <w:pStyle w:val="TOC2"/>
        <w:rPr>
          <w:rFonts w:ascii="Cambria" w:eastAsiaTheme="minorEastAsia" w:hAnsi="Cambria" w:cstheme="minorBidi"/>
          <w:noProof/>
          <w:kern w:val="2"/>
          <w:bdr w:val="none" w:sz="0" w:space="0" w:color="auto"/>
          <w14:ligatures w14:val="standardContextual"/>
        </w:rPr>
      </w:pPr>
      <w:hyperlink w:anchor="_Toc216356089" w:history="1">
        <w:r w:rsidRPr="00220A9F">
          <w:rPr>
            <w:rStyle w:val="Hyperlink"/>
            <w:rFonts w:ascii="Cambria" w:hAnsi="Cambria"/>
            <w:noProof/>
          </w:rPr>
          <w:t>D.</w:t>
        </w:r>
        <w:r w:rsidRPr="00220A9F">
          <w:rPr>
            <w:rFonts w:ascii="Cambria" w:eastAsiaTheme="minorEastAsia" w:hAnsi="Cambria" w:cstheme="minorBidi"/>
            <w:noProof/>
            <w:kern w:val="2"/>
            <w:bdr w:val="none" w:sz="0" w:space="0" w:color="auto"/>
            <w14:ligatures w14:val="standardContextual"/>
          </w:rPr>
          <w:tab/>
        </w:r>
        <w:r w:rsidRPr="00220A9F">
          <w:rPr>
            <w:rStyle w:val="Hyperlink"/>
            <w:rFonts w:ascii="Cambria" w:eastAsia="SimSun" w:hAnsi="Cambria"/>
            <w:noProof/>
          </w:rPr>
          <w:t xml:space="preserve">Derecho a la libertad de </w:t>
        </w:r>
        <w:r w:rsidRPr="00220A9F">
          <w:rPr>
            <w:rStyle w:val="Hyperlink"/>
            <w:rFonts w:ascii="Cambria" w:hAnsi="Cambria"/>
            <w:noProof/>
          </w:rPr>
          <w:t>investigación</w:t>
        </w:r>
        <w:r w:rsidRPr="00220A9F">
          <w:rPr>
            <w:rStyle w:val="Hyperlink"/>
            <w:rFonts w:ascii="Cambria" w:eastAsia="SimSun" w:hAnsi="Cambria"/>
            <w:noProof/>
          </w:rPr>
          <w:t>, opinión, expresión y difusión; derecho a participar en la vida cultural de la comunidad; y derecho de asociación (artículos IV, XIII y XXII de la Declaración Americana)</w:t>
        </w:r>
        <w:r w:rsidRPr="00220A9F">
          <w:rPr>
            <w:rFonts w:ascii="Cambria" w:hAnsi="Cambria"/>
            <w:noProof/>
            <w:webHidden/>
          </w:rPr>
          <w:tab/>
        </w:r>
        <w:r w:rsidRPr="00220A9F">
          <w:rPr>
            <w:rFonts w:ascii="Cambria" w:hAnsi="Cambria"/>
            <w:noProof/>
            <w:webHidden/>
          </w:rPr>
          <w:fldChar w:fldCharType="begin"/>
        </w:r>
        <w:r w:rsidRPr="00220A9F">
          <w:rPr>
            <w:rFonts w:ascii="Cambria" w:hAnsi="Cambria"/>
            <w:noProof/>
            <w:webHidden/>
          </w:rPr>
          <w:instrText xml:space="preserve"> PAGEREF _Toc216356089 \h </w:instrText>
        </w:r>
        <w:r w:rsidRPr="00220A9F">
          <w:rPr>
            <w:rFonts w:ascii="Cambria" w:hAnsi="Cambria"/>
            <w:noProof/>
            <w:webHidden/>
          </w:rPr>
        </w:r>
        <w:r w:rsidRPr="00220A9F">
          <w:rPr>
            <w:rFonts w:ascii="Cambria" w:hAnsi="Cambria"/>
            <w:noProof/>
            <w:webHidden/>
          </w:rPr>
          <w:fldChar w:fldCharType="separate"/>
        </w:r>
        <w:r w:rsidR="0046446B">
          <w:rPr>
            <w:rFonts w:ascii="Cambria" w:hAnsi="Cambria"/>
            <w:noProof/>
            <w:webHidden/>
          </w:rPr>
          <w:t>18</w:t>
        </w:r>
        <w:r w:rsidRPr="00220A9F">
          <w:rPr>
            <w:rFonts w:ascii="Cambria" w:hAnsi="Cambria"/>
            <w:noProof/>
            <w:webHidden/>
          </w:rPr>
          <w:fldChar w:fldCharType="end"/>
        </w:r>
      </w:hyperlink>
    </w:p>
    <w:p w14:paraId="2B172397" w14:textId="59F9342D" w:rsidR="00220A9F" w:rsidRPr="00220A9F" w:rsidRDefault="00220A9F">
      <w:pPr>
        <w:pStyle w:val="TOC2"/>
        <w:rPr>
          <w:rFonts w:ascii="Cambria" w:eastAsiaTheme="minorEastAsia" w:hAnsi="Cambria" w:cstheme="minorBidi"/>
          <w:noProof/>
          <w:kern w:val="2"/>
          <w:bdr w:val="none" w:sz="0" w:space="0" w:color="auto"/>
          <w14:ligatures w14:val="standardContextual"/>
        </w:rPr>
      </w:pPr>
      <w:hyperlink w:anchor="_Toc216356090" w:history="1">
        <w:r w:rsidRPr="00220A9F">
          <w:rPr>
            <w:rStyle w:val="Hyperlink"/>
            <w:rFonts w:ascii="Cambria" w:hAnsi="Cambria"/>
            <w:noProof/>
          </w:rPr>
          <w:t>E.</w:t>
        </w:r>
        <w:r w:rsidRPr="00220A9F">
          <w:rPr>
            <w:rFonts w:ascii="Cambria" w:eastAsiaTheme="minorEastAsia" w:hAnsi="Cambria" w:cstheme="minorBidi"/>
            <w:noProof/>
            <w:kern w:val="2"/>
            <w:bdr w:val="none" w:sz="0" w:space="0" w:color="auto"/>
            <w14:ligatures w14:val="standardContextual"/>
          </w:rPr>
          <w:tab/>
        </w:r>
        <w:r w:rsidRPr="00220A9F">
          <w:rPr>
            <w:rStyle w:val="Hyperlink"/>
            <w:rFonts w:ascii="Cambria" w:hAnsi="Cambria"/>
            <w:noProof/>
          </w:rPr>
          <w:t xml:space="preserve">Derecho </w:t>
        </w:r>
        <w:r w:rsidRPr="00220A9F">
          <w:rPr>
            <w:rStyle w:val="Hyperlink"/>
            <w:rFonts w:ascii="Cambria" w:eastAsia="SimSun" w:hAnsi="Cambria"/>
            <w:noProof/>
          </w:rPr>
          <w:t xml:space="preserve">a la vida, a la libertad, a la seguridad e integridad de la persona </w:t>
        </w:r>
        <w:r w:rsidRPr="00220A9F">
          <w:rPr>
            <w:rStyle w:val="Hyperlink"/>
            <w:rFonts w:ascii="Cambria" w:hAnsi="Cambria"/>
            <w:noProof/>
          </w:rPr>
          <w:t>(artículo I de la Declaración Americana)</w:t>
        </w:r>
        <w:r w:rsidRPr="00220A9F">
          <w:rPr>
            <w:rFonts w:ascii="Cambria" w:hAnsi="Cambria"/>
            <w:noProof/>
            <w:webHidden/>
          </w:rPr>
          <w:tab/>
        </w:r>
        <w:r w:rsidRPr="00220A9F">
          <w:rPr>
            <w:rFonts w:ascii="Cambria" w:hAnsi="Cambria"/>
            <w:noProof/>
            <w:webHidden/>
          </w:rPr>
          <w:fldChar w:fldCharType="begin"/>
        </w:r>
        <w:r w:rsidRPr="00220A9F">
          <w:rPr>
            <w:rFonts w:ascii="Cambria" w:hAnsi="Cambria"/>
            <w:noProof/>
            <w:webHidden/>
          </w:rPr>
          <w:instrText xml:space="preserve"> PAGEREF _Toc216356090 \h </w:instrText>
        </w:r>
        <w:r w:rsidRPr="00220A9F">
          <w:rPr>
            <w:rFonts w:ascii="Cambria" w:hAnsi="Cambria"/>
            <w:noProof/>
            <w:webHidden/>
          </w:rPr>
        </w:r>
        <w:r w:rsidRPr="00220A9F">
          <w:rPr>
            <w:rFonts w:ascii="Cambria" w:hAnsi="Cambria"/>
            <w:noProof/>
            <w:webHidden/>
          </w:rPr>
          <w:fldChar w:fldCharType="separate"/>
        </w:r>
        <w:r w:rsidR="0046446B">
          <w:rPr>
            <w:rFonts w:ascii="Cambria" w:hAnsi="Cambria"/>
            <w:noProof/>
            <w:webHidden/>
          </w:rPr>
          <w:t>22</w:t>
        </w:r>
        <w:r w:rsidRPr="00220A9F">
          <w:rPr>
            <w:rFonts w:ascii="Cambria" w:hAnsi="Cambria"/>
            <w:noProof/>
            <w:webHidden/>
          </w:rPr>
          <w:fldChar w:fldCharType="end"/>
        </w:r>
      </w:hyperlink>
    </w:p>
    <w:p w14:paraId="31BD1CA4" w14:textId="4648C9AD" w:rsidR="00220A9F" w:rsidRPr="00220A9F" w:rsidRDefault="00220A9F">
      <w:pPr>
        <w:pStyle w:val="TOC1"/>
        <w:tabs>
          <w:tab w:val="left" w:pos="1440"/>
          <w:tab w:val="right" w:leader="dot" w:pos="9350"/>
        </w:tabs>
        <w:rPr>
          <w:rFonts w:ascii="Cambria" w:eastAsiaTheme="minorEastAsia" w:hAnsi="Cambria" w:cstheme="minorBidi"/>
          <w:noProof/>
          <w:kern w:val="2"/>
          <w:sz w:val="24"/>
          <w:bdr w:val="none" w:sz="0" w:space="0" w:color="auto"/>
          <w14:ligatures w14:val="standardContextual"/>
        </w:rPr>
      </w:pPr>
      <w:hyperlink w:anchor="_Toc216356091" w:history="1">
        <w:r w:rsidRPr="00220A9F">
          <w:rPr>
            <w:rStyle w:val="Hyperlink"/>
            <w:rFonts w:ascii="Cambria" w:hAnsi="Cambria"/>
            <w:noProof/>
            <w:sz w:val="24"/>
          </w:rPr>
          <w:t>VI.</w:t>
        </w:r>
        <w:r w:rsidRPr="00220A9F">
          <w:rPr>
            <w:rFonts w:ascii="Cambria" w:eastAsiaTheme="minorEastAsia" w:hAnsi="Cambria" w:cstheme="minorBidi"/>
            <w:noProof/>
            <w:kern w:val="2"/>
            <w:sz w:val="24"/>
            <w:bdr w:val="none" w:sz="0" w:space="0" w:color="auto"/>
            <w14:ligatures w14:val="standardContextual"/>
          </w:rPr>
          <w:tab/>
        </w:r>
        <w:r w:rsidRPr="00220A9F">
          <w:rPr>
            <w:rStyle w:val="Hyperlink"/>
            <w:rFonts w:ascii="Cambria" w:hAnsi="Cambria"/>
            <w:noProof/>
            <w:sz w:val="24"/>
          </w:rPr>
          <w:t>INFORME No. 199/24 E INFORMACIÓN SOBRE CUMPLIMIENTO</w:t>
        </w:r>
        <w:r w:rsidRPr="00220A9F">
          <w:rPr>
            <w:rFonts w:ascii="Cambria" w:hAnsi="Cambria"/>
            <w:noProof/>
            <w:webHidden/>
            <w:sz w:val="24"/>
          </w:rPr>
          <w:tab/>
        </w:r>
        <w:r w:rsidRPr="00220A9F">
          <w:rPr>
            <w:rFonts w:ascii="Cambria" w:hAnsi="Cambria"/>
            <w:noProof/>
            <w:webHidden/>
            <w:sz w:val="24"/>
          </w:rPr>
          <w:fldChar w:fldCharType="begin"/>
        </w:r>
        <w:r w:rsidRPr="00220A9F">
          <w:rPr>
            <w:rFonts w:ascii="Cambria" w:hAnsi="Cambria"/>
            <w:noProof/>
            <w:webHidden/>
            <w:sz w:val="24"/>
          </w:rPr>
          <w:instrText xml:space="preserve"> PAGEREF _Toc216356091 \h </w:instrText>
        </w:r>
        <w:r w:rsidRPr="00220A9F">
          <w:rPr>
            <w:rFonts w:ascii="Cambria" w:hAnsi="Cambria"/>
            <w:noProof/>
            <w:webHidden/>
            <w:sz w:val="24"/>
          </w:rPr>
        </w:r>
        <w:r w:rsidRPr="00220A9F">
          <w:rPr>
            <w:rFonts w:ascii="Cambria" w:hAnsi="Cambria"/>
            <w:noProof/>
            <w:webHidden/>
            <w:sz w:val="24"/>
          </w:rPr>
          <w:fldChar w:fldCharType="separate"/>
        </w:r>
        <w:r w:rsidR="0046446B">
          <w:rPr>
            <w:rFonts w:ascii="Cambria" w:hAnsi="Cambria"/>
            <w:noProof/>
            <w:webHidden/>
            <w:sz w:val="24"/>
          </w:rPr>
          <w:t>23</w:t>
        </w:r>
        <w:r w:rsidRPr="00220A9F">
          <w:rPr>
            <w:rFonts w:ascii="Cambria" w:hAnsi="Cambria"/>
            <w:noProof/>
            <w:webHidden/>
            <w:sz w:val="24"/>
          </w:rPr>
          <w:fldChar w:fldCharType="end"/>
        </w:r>
      </w:hyperlink>
    </w:p>
    <w:p w14:paraId="3F008FAD" w14:textId="1EE9510E" w:rsidR="00220A9F" w:rsidRPr="00220A9F" w:rsidRDefault="00220A9F">
      <w:pPr>
        <w:pStyle w:val="TOC1"/>
        <w:tabs>
          <w:tab w:val="left" w:pos="1440"/>
          <w:tab w:val="right" w:leader="dot" w:pos="9350"/>
        </w:tabs>
        <w:rPr>
          <w:rFonts w:ascii="Cambria" w:eastAsiaTheme="minorEastAsia" w:hAnsi="Cambria" w:cstheme="minorBidi"/>
          <w:noProof/>
          <w:kern w:val="2"/>
          <w:sz w:val="24"/>
          <w:bdr w:val="none" w:sz="0" w:space="0" w:color="auto"/>
          <w14:ligatures w14:val="standardContextual"/>
        </w:rPr>
      </w:pPr>
      <w:hyperlink w:anchor="_Toc216356092" w:history="1">
        <w:r w:rsidRPr="00220A9F">
          <w:rPr>
            <w:rStyle w:val="Hyperlink"/>
            <w:rFonts w:ascii="Cambria" w:hAnsi="Cambria"/>
            <w:noProof/>
            <w:sz w:val="24"/>
          </w:rPr>
          <w:t>VII.</w:t>
        </w:r>
        <w:r w:rsidRPr="00220A9F">
          <w:rPr>
            <w:rFonts w:ascii="Cambria" w:eastAsiaTheme="minorEastAsia" w:hAnsi="Cambria" w:cstheme="minorBidi"/>
            <w:noProof/>
            <w:kern w:val="2"/>
            <w:sz w:val="24"/>
            <w:bdr w:val="none" w:sz="0" w:space="0" w:color="auto"/>
            <w14:ligatures w14:val="standardContextual"/>
          </w:rPr>
          <w:tab/>
        </w:r>
        <w:r w:rsidRPr="00220A9F">
          <w:rPr>
            <w:rStyle w:val="Hyperlink"/>
            <w:rFonts w:ascii="Cambria" w:hAnsi="Cambria"/>
            <w:noProof/>
            <w:sz w:val="24"/>
          </w:rPr>
          <w:t>ACCIONES POSTERIORES AL INFORME No. 201/25</w:t>
        </w:r>
        <w:r w:rsidRPr="00220A9F">
          <w:rPr>
            <w:rFonts w:ascii="Cambria" w:hAnsi="Cambria"/>
            <w:noProof/>
            <w:webHidden/>
            <w:sz w:val="24"/>
          </w:rPr>
          <w:tab/>
        </w:r>
        <w:r w:rsidRPr="00220A9F">
          <w:rPr>
            <w:rFonts w:ascii="Cambria" w:hAnsi="Cambria"/>
            <w:noProof/>
            <w:webHidden/>
            <w:sz w:val="24"/>
          </w:rPr>
          <w:fldChar w:fldCharType="begin"/>
        </w:r>
        <w:r w:rsidRPr="00220A9F">
          <w:rPr>
            <w:rFonts w:ascii="Cambria" w:hAnsi="Cambria"/>
            <w:noProof/>
            <w:webHidden/>
            <w:sz w:val="24"/>
          </w:rPr>
          <w:instrText xml:space="preserve"> PAGEREF _Toc216356092 \h </w:instrText>
        </w:r>
        <w:r w:rsidRPr="00220A9F">
          <w:rPr>
            <w:rFonts w:ascii="Cambria" w:hAnsi="Cambria"/>
            <w:noProof/>
            <w:webHidden/>
            <w:sz w:val="24"/>
          </w:rPr>
        </w:r>
        <w:r w:rsidRPr="00220A9F">
          <w:rPr>
            <w:rFonts w:ascii="Cambria" w:hAnsi="Cambria"/>
            <w:noProof/>
            <w:webHidden/>
            <w:sz w:val="24"/>
          </w:rPr>
          <w:fldChar w:fldCharType="separate"/>
        </w:r>
        <w:r w:rsidR="0046446B">
          <w:rPr>
            <w:rFonts w:ascii="Cambria" w:hAnsi="Cambria"/>
            <w:noProof/>
            <w:webHidden/>
            <w:sz w:val="24"/>
          </w:rPr>
          <w:t>25</w:t>
        </w:r>
        <w:r w:rsidRPr="00220A9F">
          <w:rPr>
            <w:rFonts w:ascii="Cambria" w:hAnsi="Cambria"/>
            <w:noProof/>
            <w:webHidden/>
            <w:sz w:val="24"/>
          </w:rPr>
          <w:fldChar w:fldCharType="end"/>
        </w:r>
      </w:hyperlink>
    </w:p>
    <w:p w14:paraId="1394C05C" w14:textId="1B45E742" w:rsidR="00220A9F" w:rsidRPr="00220A9F" w:rsidRDefault="00220A9F">
      <w:pPr>
        <w:pStyle w:val="TOC1"/>
        <w:tabs>
          <w:tab w:val="left" w:pos="1440"/>
          <w:tab w:val="right" w:leader="dot" w:pos="9350"/>
        </w:tabs>
        <w:rPr>
          <w:rFonts w:ascii="Cambria" w:eastAsiaTheme="minorEastAsia" w:hAnsi="Cambria" w:cstheme="minorBidi"/>
          <w:noProof/>
          <w:kern w:val="2"/>
          <w:sz w:val="24"/>
          <w:bdr w:val="none" w:sz="0" w:space="0" w:color="auto"/>
          <w14:ligatures w14:val="standardContextual"/>
        </w:rPr>
      </w:pPr>
      <w:hyperlink w:anchor="_Toc216356093" w:history="1">
        <w:r w:rsidRPr="00220A9F">
          <w:rPr>
            <w:rStyle w:val="Hyperlink"/>
            <w:rFonts w:ascii="Cambria" w:hAnsi="Cambria"/>
            <w:noProof/>
            <w:sz w:val="24"/>
          </w:rPr>
          <w:t>VIII.</w:t>
        </w:r>
        <w:r w:rsidRPr="00220A9F">
          <w:rPr>
            <w:rFonts w:ascii="Cambria" w:eastAsiaTheme="minorEastAsia" w:hAnsi="Cambria" w:cstheme="minorBidi"/>
            <w:noProof/>
            <w:kern w:val="2"/>
            <w:sz w:val="24"/>
            <w:bdr w:val="none" w:sz="0" w:space="0" w:color="auto"/>
            <w14:ligatures w14:val="standardContextual"/>
          </w:rPr>
          <w:tab/>
        </w:r>
        <w:r w:rsidRPr="00220A9F">
          <w:rPr>
            <w:rStyle w:val="Hyperlink"/>
            <w:rFonts w:ascii="Cambria" w:hAnsi="Cambria"/>
            <w:noProof/>
            <w:sz w:val="24"/>
          </w:rPr>
          <w:t>CONCLUSIONES Y RECOMENDACIONES FINALES</w:t>
        </w:r>
        <w:r w:rsidRPr="00220A9F">
          <w:rPr>
            <w:rFonts w:ascii="Cambria" w:hAnsi="Cambria"/>
            <w:noProof/>
            <w:webHidden/>
            <w:sz w:val="24"/>
          </w:rPr>
          <w:tab/>
        </w:r>
        <w:r w:rsidRPr="00220A9F">
          <w:rPr>
            <w:rFonts w:ascii="Cambria" w:hAnsi="Cambria"/>
            <w:noProof/>
            <w:webHidden/>
            <w:sz w:val="24"/>
          </w:rPr>
          <w:fldChar w:fldCharType="begin"/>
        </w:r>
        <w:r w:rsidRPr="00220A9F">
          <w:rPr>
            <w:rFonts w:ascii="Cambria" w:hAnsi="Cambria"/>
            <w:noProof/>
            <w:webHidden/>
            <w:sz w:val="24"/>
          </w:rPr>
          <w:instrText xml:space="preserve"> PAGEREF _Toc216356093 \h </w:instrText>
        </w:r>
        <w:r w:rsidRPr="00220A9F">
          <w:rPr>
            <w:rFonts w:ascii="Cambria" w:hAnsi="Cambria"/>
            <w:noProof/>
            <w:webHidden/>
            <w:sz w:val="24"/>
          </w:rPr>
        </w:r>
        <w:r w:rsidRPr="00220A9F">
          <w:rPr>
            <w:rFonts w:ascii="Cambria" w:hAnsi="Cambria"/>
            <w:noProof/>
            <w:webHidden/>
            <w:sz w:val="24"/>
          </w:rPr>
          <w:fldChar w:fldCharType="separate"/>
        </w:r>
        <w:r w:rsidR="0046446B">
          <w:rPr>
            <w:rFonts w:ascii="Cambria" w:hAnsi="Cambria"/>
            <w:noProof/>
            <w:webHidden/>
            <w:sz w:val="24"/>
          </w:rPr>
          <w:t>25</w:t>
        </w:r>
        <w:r w:rsidRPr="00220A9F">
          <w:rPr>
            <w:rFonts w:ascii="Cambria" w:hAnsi="Cambria"/>
            <w:noProof/>
            <w:webHidden/>
            <w:sz w:val="24"/>
          </w:rPr>
          <w:fldChar w:fldCharType="end"/>
        </w:r>
      </w:hyperlink>
    </w:p>
    <w:p w14:paraId="4CA43B19" w14:textId="2B4CEC43" w:rsidR="00220A9F" w:rsidRPr="00220A9F" w:rsidRDefault="00220A9F">
      <w:pPr>
        <w:pStyle w:val="TOC1"/>
        <w:tabs>
          <w:tab w:val="left" w:pos="1440"/>
          <w:tab w:val="right" w:leader="dot" w:pos="9350"/>
        </w:tabs>
        <w:rPr>
          <w:rFonts w:ascii="Cambria" w:eastAsiaTheme="minorEastAsia" w:hAnsi="Cambria" w:cstheme="minorBidi"/>
          <w:noProof/>
          <w:kern w:val="2"/>
          <w:sz w:val="24"/>
          <w:bdr w:val="none" w:sz="0" w:space="0" w:color="auto"/>
          <w14:ligatures w14:val="standardContextual"/>
        </w:rPr>
      </w:pPr>
      <w:hyperlink w:anchor="_Toc216356094" w:history="1">
        <w:r w:rsidRPr="00220A9F">
          <w:rPr>
            <w:rStyle w:val="Hyperlink"/>
            <w:rFonts w:ascii="Cambria" w:eastAsia="SimSun" w:hAnsi="Cambria"/>
            <w:bCs/>
            <w:noProof/>
            <w:sz w:val="24"/>
          </w:rPr>
          <w:t>IX.</w:t>
        </w:r>
        <w:r w:rsidRPr="00220A9F">
          <w:rPr>
            <w:rFonts w:ascii="Cambria" w:eastAsiaTheme="minorEastAsia" w:hAnsi="Cambria" w:cstheme="minorBidi"/>
            <w:noProof/>
            <w:kern w:val="2"/>
            <w:sz w:val="24"/>
            <w:bdr w:val="none" w:sz="0" w:space="0" w:color="auto"/>
            <w14:ligatures w14:val="standardContextual"/>
          </w:rPr>
          <w:tab/>
        </w:r>
        <w:r w:rsidRPr="00220A9F">
          <w:rPr>
            <w:rStyle w:val="Hyperlink"/>
            <w:rFonts w:ascii="Cambria" w:eastAsia="SimSun" w:hAnsi="Cambria"/>
            <w:bCs/>
            <w:noProof/>
            <w:sz w:val="24"/>
          </w:rPr>
          <w:t>PUBLICACIÓN</w:t>
        </w:r>
        <w:r w:rsidRPr="00220A9F">
          <w:rPr>
            <w:rFonts w:ascii="Cambria" w:hAnsi="Cambria"/>
            <w:noProof/>
            <w:webHidden/>
            <w:sz w:val="24"/>
          </w:rPr>
          <w:tab/>
        </w:r>
        <w:r w:rsidRPr="00220A9F">
          <w:rPr>
            <w:rFonts w:ascii="Cambria" w:hAnsi="Cambria"/>
            <w:noProof/>
            <w:webHidden/>
            <w:sz w:val="24"/>
          </w:rPr>
          <w:fldChar w:fldCharType="begin"/>
        </w:r>
        <w:r w:rsidRPr="00220A9F">
          <w:rPr>
            <w:rFonts w:ascii="Cambria" w:hAnsi="Cambria"/>
            <w:noProof/>
            <w:webHidden/>
            <w:sz w:val="24"/>
          </w:rPr>
          <w:instrText xml:space="preserve"> PAGEREF _Toc216356094 \h </w:instrText>
        </w:r>
        <w:r w:rsidRPr="00220A9F">
          <w:rPr>
            <w:rFonts w:ascii="Cambria" w:hAnsi="Cambria"/>
            <w:noProof/>
            <w:webHidden/>
            <w:sz w:val="24"/>
          </w:rPr>
        </w:r>
        <w:r w:rsidRPr="00220A9F">
          <w:rPr>
            <w:rFonts w:ascii="Cambria" w:hAnsi="Cambria"/>
            <w:noProof/>
            <w:webHidden/>
            <w:sz w:val="24"/>
          </w:rPr>
          <w:fldChar w:fldCharType="separate"/>
        </w:r>
        <w:r w:rsidR="0046446B">
          <w:rPr>
            <w:rFonts w:ascii="Cambria" w:hAnsi="Cambria"/>
            <w:noProof/>
            <w:webHidden/>
            <w:sz w:val="24"/>
          </w:rPr>
          <w:t>26</w:t>
        </w:r>
        <w:r w:rsidRPr="00220A9F">
          <w:rPr>
            <w:rFonts w:ascii="Cambria" w:hAnsi="Cambria"/>
            <w:noProof/>
            <w:webHidden/>
            <w:sz w:val="24"/>
          </w:rPr>
          <w:fldChar w:fldCharType="end"/>
        </w:r>
      </w:hyperlink>
    </w:p>
    <w:p w14:paraId="5290049C" w14:textId="537C1854" w:rsidR="008D768D" w:rsidRPr="00220A9F" w:rsidRDefault="0083046E" w:rsidP="749ACC70">
      <w:pPr>
        <w:tabs>
          <w:tab w:val="center" w:pos="5400"/>
        </w:tabs>
        <w:suppressAutoHyphens/>
        <w:spacing w:line="276" w:lineRule="auto"/>
        <w:rPr>
          <w:rFonts w:ascii="Cambria" w:hAnsi="Cambria"/>
          <w:lang w:val="es-ES"/>
        </w:rPr>
      </w:pPr>
      <w:r w:rsidRPr="00220A9F">
        <w:rPr>
          <w:rFonts w:ascii="Cambria" w:hAnsi="Cambria"/>
          <w:b/>
          <w:bCs/>
          <w:lang w:val="es-ES"/>
        </w:rPr>
        <w:fldChar w:fldCharType="end"/>
      </w:r>
    </w:p>
    <w:p w14:paraId="7A0DB2C7" w14:textId="77777777" w:rsidR="00722C9F" w:rsidRPr="00220A9F" w:rsidRDefault="00722C9F" w:rsidP="749ACC70">
      <w:pPr>
        <w:rPr>
          <w:rFonts w:ascii="Cambria" w:hAnsi="Cambria" w:cs="Calibri"/>
          <w:lang w:val="es-ES"/>
        </w:rPr>
      </w:pPr>
      <w:r w:rsidRPr="00220A9F">
        <w:rPr>
          <w:rFonts w:ascii="Cambria" w:hAnsi="Cambria" w:cs="Calibri"/>
          <w:lang w:val="es-ES"/>
        </w:rPr>
        <w:br w:type="page"/>
      </w:r>
    </w:p>
    <w:p w14:paraId="7A9081E3" w14:textId="77777777" w:rsidR="00D12193" w:rsidRPr="00E9543F" w:rsidRDefault="00A03A30" w:rsidP="00471BA9">
      <w:pPr>
        <w:pStyle w:val="Heading1"/>
        <w:ind w:left="720"/>
      </w:pPr>
      <w:bookmarkStart w:id="2" w:name="_Toc216356071"/>
      <w:r w:rsidRPr="749ACC70">
        <w:lastRenderedPageBreak/>
        <w:t>INTRODUCCIÓN</w:t>
      </w:r>
      <w:bookmarkEnd w:id="2"/>
    </w:p>
    <w:p w14:paraId="5FB3D129" w14:textId="7048D053" w:rsidR="00CA33D3" w:rsidRPr="00E9543F" w:rsidRDefault="00CA33D3" w:rsidP="749ACC70">
      <w:pPr>
        <w:tabs>
          <w:tab w:val="left" w:pos="360"/>
        </w:tabs>
        <w:suppressAutoHyphens/>
        <w:rPr>
          <w:rFonts w:asciiTheme="majorHAnsi" w:hAnsiTheme="majorHAnsi"/>
          <w:b/>
          <w:bCs/>
          <w:sz w:val="20"/>
          <w:szCs w:val="20"/>
          <w:lang w:val="es-ES"/>
        </w:rPr>
      </w:pPr>
    </w:p>
    <w:p w14:paraId="19130C85" w14:textId="32F2FA24" w:rsidR="00CA33D3" w:rsidRPr="00E9543F" w:rsidRDefault="005C4CA5" w:rsidP="001A4728">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0" w:firstLine="0"/>
        <w:jc w:val="both"/>
        <w:rPr>
          <w:rFonts w:ascii="Cambria" w:hAnsi="Cambria"/>
          <w:sz w:val="20"/>
          <w:szCs w:val="20"/>
          <w:lang w:val="es-ES"/>
        </w:rPr>
      </w:pPr>
      <w:r w:rsidRPr="749ACC70">
        <w:rPr>
          <w:rFonts w:asciiTheme="majorHAnsi" w:hAnsiTheme="majorHAnsi" w:cstheme="minorBidi"/>
          <w:sz w:val="20"/>
          <w:szCs w:val="20"/>
          <w:lang w:val="es-ES"/>
        </w:rPr>
        <w:t xml:space="preserve">El </w:t>
      </w:r>
      <w:r w:rsidR="00941189" w:rsidRPr="749ACC70">
        <w:rPr>
          <w:rFonts w:asciiTheme="majorHAnsi" w:hAnsiTheme="majorHAnsi" w:cstheme="minorBidi"/>
          <w:sz w:val="20"/>
          <w:szCs w:val="20"/>
          <w:lang w:val="es-ES"/>
        </w:rPr>
        <w:t>4</w:t>
      </w:r>
      <w:r w:rsidRPr="749ACC70">
        <w:rPr>
          <w:rFonts w:asciiTheme="majorHAnsi" w:hAnsiTheme="majorHAnsi" w:cstheme="minorBidi"/>
          <w:sz w:val="20"/>
          <w:szCs w:val="20"/>
          <w:lang w:val="es-ES"/>
        </w:rPr>
        <w:t xml:space="preserve"> de </w:t>
      </w:r>
      <w:r w:rsidR="00941189" w:rsidRPr="749ACC70">
        <w:rPr>
          <w:rFonts w:asciiTheme="majorHAnsi" w:hAnsiTheme="majorHAnsi" w:cstheme="minorBidi"/>
          <w:sz w:val="20"/>
          <w:szCs w:val="20"/>
          <w:lang w:val="es-ES"/>
        </w:rPr>
        <w:t xml:space="preserve">octubre </w:t>
      </w:r>
      <w:r w:rsidRPr="749ACC70">
        <w:rPr>
          <w:rFonts w:asciiTheme="majorHAnsi" w:hAnsiTheme="majorHAnsi" w:cstheme="minorBidi"/>
          <w:sz w:val="20"/>
          <w:szCs w:val="20"/>
          <w:lang w:val="es-ES"/>
        </w:rPr>
        <w:t xml:space="preserve">de </w:t>
      </w:r>
      <w:r w:rsidR="00941189" w:rsidRPr="749ACC70">
        <w:rPr>
          <w:rFonts w:asciiTheme="majorHAnsi" w:hAnsiTheme="majorHAnsi" w:cstheme="minorBidi"/>
          <w:sz w:val="20"/>
          <w:szCs w:val="20"/>
          <w:lang w:val="es-ES"/>
        </w:rPr>
        <w:t xml:space="preserve">2018 </w:t>
      </w:r>
      <w:r w:rsidRPr="749ACC70">
        <w:rPr>
          <w:rFonts w:asciiTheme="majorHAnsi" w:hAnsiTheme="majorHAnsi" w:cstheme="minorBidi"/>
          <w:sz w:val="20"/>
          <w:szCs w:val="20"/>
          <w:lang w:val="es-ES"/>
        </w:rPr>
        <w:t xml:space="preserve">la Comisión Interamericana de Derechos Humanos (en adelante “la Comisión Interamericana”, “la Comisión” o “la CIDH”) recibió una petición presentada por </w:t>
      </w:r>
      <w:r w:rsidR="00941189" w:rsidRPr="749ACC70">
        <w:rPr>
          <w:rFonts w:asciiTheme="majorHAnsi" w:hAnsiTheme="majorHAnsi" w:cstheme="minorBidi"/>
          <w:sz w:val="20"/>
          <w:szCs w:val="20"/>
          <w:lang w:val="es-ES"/>
        </w:rPr>
        <w:t>CUBALEX</w:t>
      </w:r>
      <w:r w:rsidRPr="749ACC70">
        <w:rPr>
          <w:rFonts w:asciiTheme="majorHAnsi" w:hAnsiTheme="majorHAnsi" w:cstheme="minorBidi"/>
          <w:sz w:val="20"/>
          <w:szCs w:val="20"/>
          <w:lang w:val="es-ES"/>
        </w:rPr>
        <w:t xml:space="preserve"> (en adelante “la parte peticionaria”)</w:t>
      </w:r>
      <w:r w:rsidR="00BB01FB" w:rsidRPr="749ACC70">
        <w:rPr>
          <w:rFonts w:asciiTheme="majorHAnsi" w:hAnsiTheme="majorHAnsi" w:cstheme="minorBidi"/>
          <w:sz w:val="20"/>
          <w:szCs w:val="20"/>
          <w:lang w:val="es-ES"/>
        </w:rPr>
        <w:t xml:space="preserve">. </w:t>
      </w:r>
      <w:r w:rsidR="003567E6" w:rsidRPr="749ACC70">
        <w:rPr>
          <w:rFonts w:asciiTheme="majorHAnsi" w:hAnsiTheme="majorHAnsi" w:cstheme="minorBidi"/>
          <w:sz w:val="20"/>
          <w:szCs w:val="20"/>
          <w:lang w:val="es-ES"/>
        </w:rPr>
        <w:t xml:space="preserve">La parte peticionaria </w:t>
      </w:r>
      <w:r w:rsidRPr="749ACC70">
        <w:rPr>
          <w:rFonts w:asciiTheme="majorHAnsi" w:hAnsiTheme="majorHAnsi" w:cstheme="minorBidi"/>
          <w:sz w:val="20"/>
          <w:szCs w:val="20"/>
          <w:lang w:val="es-ES"/>
        </w:rPr>
        <w:t>aleg</w:t>
      </w:r>
      <w:r w:rsidR="00BB01FB" w:rsidRPr="749ACC70">
        <w:rPr>
          <w:rFonts w:asciiTheme="majorHAnsi" w:hAnsiTheme="majorHAnsi" w:cstheme="minorBidi"/>
          <w:sz w:val="20"/>
          <w:szCs w:val="20"/>
          <w:lang w:val="es-ES"/>
        </w:rPr>
        <w:t>ó</w:t>
      </w:r>
      <w:r w:rsidRPr="749ACC70">
        <w:rPr>
          <w:rFonts w:asciiTheme="majorHAnsi" w:hAnsiTheme="majorHAnsi" w:cstheme="minorBidi"/>
          <w:sz w:val="20"/>
          <w:szCs w:val="20"/>
          <w:lang w:val="es-ES"/>
        </w:rPr>
        <w:t xml:space="preserve"> la responsabilidad internacional de </w:t>
      </w:r>
      <w:r w:rsidR="00ED6D2F" w:rsidRPr="749ACC70">
        <w:rPr>
          <w:rFonts w:asciiTheme="majorHAnsi" w:hAnsiTheme="majorHAnsi" w:cstheme="minorBidi"/>
          <w:sz w:val="20"/>
          <w:szCs w:val="20"/>
          <w:lang w:val="es-ES"/>
        </w:rPr>
        <w:t>la República de Cuba</w:t>
      </w:r>
      <w:r w:rsidRPr="749ACC70">
        <w:rPr>
          <w:rFonts w:asciiTheme="majorHAnsi" w:hAnsiTheme="majorHAnsi" w:cstheme="minorBidi"/>
          <w:sz w:val="20"/>
          <w:szCs w:val="20"/>
          <w:lang w:val="es-ES"/>
        </w:rPr>
        <w:t xml:space="preserve"> (en adelante “el Estado </w:t>
      </w:r>
      <w:r w:rsidR="00ED6D2F" w:rsidRPr="749ACC70">
        <w:rPr>
          <w:rFonts w:asciiTheme="majorHAnsi" w:hAnsiTheme="majorHAnsi" w:cstheme="minorBidi"/>
          <w:sz w:val="20"/>
          <w:szCs w:val="20"/>
          <w:lang w:val="es-ES"/>
        </w:rPr>
        <w:t>cubano</w:t>
      </w:r>
      <w:r w:rsidRPr="749ACC70">
        <w:rPr>
          <w:rFonts w:asciiTheme="majorHAnsi" w:hAnsiTheme="majorHAnsi" w:cstheme="minorBidi"/>
          <w:sz w:val="20"/>
          <w:szCs w:val="20"/>
          <w:lang w:val="es-ES"/>
        </w:rPr>
        <w:t>”, “el Estado” o “</w:t>
      </w:r>
      <w:r w:rsidR="00ED6D2F" w:rsidRPr="749ACC70">
        <w:rPr>
          <w:rFonts w:asciiTheme="majorHAnsi" w:hAnsiTheme="majorHAnsi" w:cstheme="minorBidi"/>
          <w:sz w:val="20"/>
          <w:szCs w:val="20"/>
          <w:lang w:val="es-ES"/>
        </w:rPr>
        <w:t>Cuba”</w:t>
      </w:r>
      <w:r w:rsidRPr="749ACC70">
        <w:rPr>
          <w:rFonts w:asciiTheme="majorHAnsi" w:hAnsiTheme="majorHAnsi" w:cstheme="minorBidi"/>
          <w:sz w:val="20"/>
          <w:szCs w:val="20"/>
          <w:lang w:val="es-ES"/>
        </w:rPr>
        <w:t xml:space="preserve">) </w:t>
      </w:r>
      <w:r w:rsidR="00D41F9A" w:rsidRPr="749ACC70">
        <w:rPr>
          <w:rFonts w:asciiTheme="majorHAnsi" w:hAnsiTheme="majorHAnsi" w:cstheme="minorBidi"/>
          <w:sz w:val="20"/>
          <w:szCs w:val="20"/>
          <w:lang w:val="es-ES"/>
        </w:rPr>
        <w:t>por</w:t>
      </w:r>
      <w:r w:rsidR="00BB01FB" w:rsidRPr="749ACC70">
        <w:rPr>
          <w:rFonts w:asciiTheme="majorHAnsi" w:hAnsiTheme="majorHAnsi" w:cstheme="minorBidi"/>
          <w:sz w:val="20"/>
          <w:szCs w:val="20"/>
          <w:lang w:val="es-ES"/>
        </w:rPr>
        <w:t xml:space="preserve"> </w:t>
      </w:r>
      <w:r w:rsidR="0032742E" w:rsidRPr="749ACC70">
        <w:rPr>
          <w:rFonts w:asciiTheme="majorHAnsi" w:hAnsiTheme="majorHAnsi" w:cstheme="minorBidi"/>
          <w:sz w:val="20"/>
          <w:szCs w:val="20"/>
          <w:lang w:val="es-ES"/>
        </w:rPr>
        <w:t>la</w:t>
      </w:r>
      <w:r w:rsidR="00F10ABA" w:rsidRPr="749ACC70">
        <w:rPr>
          <w:rFonts w:asciiTheme="majorHAnsi" w:hAnsiTheme="majorHAnsi" w:cstheme="minorBidi"/>
          <w:sz w:val="20"/>
          <w:szCs w:val="20"/>
          <w:lang w:val="es-ES"/>
        </w:rPr>
        <w:t xml:space="preserve"> </w:t>
      </w:r>
      <w:r w:rsidR="00F10ABA" w:rsidRPr="749ACC70">
        <w:rPr>
          <w:rFonts w:ascii="Cambria" w:hAnsi="Cambria"/>
          <w:sz w:val="20"/>
          <w:szCs w:val="20"/>
          <w:lang w:val="es-ES"/>
        </w:rPr>
        <w:t xml:space="preserve">privación arbitraria de la libertad y </w:t>
      </w:r>
      <w:r w:rsidR="00510A24" w:rsidRPr="749ACC70">
        <w:rPr>
          <w:rFonts w:ascii="Cambria" w:hAnsi="Cambria"/>
          <w:sz w:val="20"/>
          <w:szCs w:val="20"/>
          <w:lang w:val="es-ES"/>
        </w:rPr>
        <w:t xml:space="preserve">las posteriores falencias del </w:t>
      </w:r>
      <w:r w:rsidR="00F10ABA" w:rsidRPr="749ACC70">
        <w:rPr>
          <w:rFonts w:ascii="Cambria" w:hAnsi="Cambria"/>
          <w:sz w:val="20"/>
          <w:szCs w:val="20"/>
          <w:lang w:val="es-ES"/>
        </w:rPr>
        <w:t xml:space="preserve">proceso judicial </w:t>
      </w:r>
      <w:r w:rsidR="00BB01FB" w:rsidRPr="749ACC70">
        <w:rPr>
          <w:rFonts w:asciiTheme="majorHAnsi" w:hAnsiTheme="majorHAnsi" w:cstheme="minorBidi"/>
          <w:sz w:val="20"/>
          <w:szCs w:val="20"/>
          <w:lang w:val="es-ES"/>
        </w:rPr>
        <w:t>en perjuicio de</w:t>
      </w:r>
      <w:r w:rsidR="003567E6" w:rsidRPr="749ACC70">
        <w:rPr>
          <w:rFonts w:asciiTheme="majorHAnsi" w:hAnsiTheme="majorHAnsi" w:cstheme="minorBidi"/>
          <w:sz w:val="20"/>
          <w:szCs w:val="20"/>
          <w:lang w:val="es-ES"/>
        </w:rPr>
        <w:t xml:space="preserve"> </w:t>
      </w:r>
      <w:r w:rsidR="00941189" w:rsidRPr="749ACC70">
        <w:rPr>
          <w:rFonts w:asciiTheme="majorHAnsi" w:hAnsiTheme="majorHAnsi" w:cstheme="minorBidi"/>
          <w:sz w:val="20"/>
          <w:szCs w:val="20"/>
          <w:lang w:val="es-ES"/>
        </w:rPr>
        <w:t>Maykel Castillo Pérez</w:t>
      </w:r>
      <w:r w:rsidR="003567E6" w:rsidRPr="749ACC70">
        <w:rPr>
          <w:rFonts w:asciiTheme="majorHAnsi" w:hAnsiTheme="majorHAnsi" w:cstheme="minorBidi"/>
          <w:sz w:val="20"/>
          <w:szCs w:val="20"/>
          <w:lang w:val="es-ES"/>
        </w:rPr>
        <w:t>, artista y defensor de derechos humanos</w:t>
      </w:r>
      <w:r w:rsidR="00BB01FB" w:rsidRPr="749ACC70">
        <w:rPr>
          <w:rFonts w:asciiTheme="majorHAnsi" w:hAnsiTheme="majorHAnsi" w:cstheme="minorBidi"/>
          <w:sz w:val="20"/>
          <w:szCs w:val="20"/>
          <w:lang w:val="es-ES"/>
        </w:rPr>
        <w:t>.</w:t>
      </w:r>
    </w:p>
    <w:p w14:paraId="00DACEB3" w14:textId="74D8B5EE" w:rsidR="00CA33D3" w:rsidRPr="00E9543F" w:rsidRDefault="00CA33D3"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jc w:val="both"/>
        <w:rPr>
          <w:rFonts w:ascii="Cambria" w:hAnsi="Cambria"/>
          <w:sz w:val="20"/>
          <w:szCs w:val="20"/>
          <w:lang w:val="es-ES"/>
        </w:rPr>
      </w:pPr>
    </w:p>
    <w:p w14:paraId="2D899F10" w14:textId="313C3406" w:rsidR="00CA33D3" w:rsidRPr="00BD6C53" w:rsidRDefault="00CA33D3" w:rsidP="001A4728">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0" w:firstLine="0"/>
        <w:jc w:val="both"/>
        <w:rPr>
          <w:rFonts w:ascii="Cambria" w:hAnsi="Cambria"/>
          <w:sz w:val="20"/>
          <w:szCs w:val="20"/>
          <w:lang w:val="es-ES"/>
        </w:rPr>
      </w:pPr>
      <w:r w:rsidRPr="00BD6C53">
        <w:rPr>
          <w:rFonts w:ascii="Cambria" w:hAnsi="Cambria"/>
          <w:sz w:val="20"/>
          <w:szCs w:val="20"/>
          <w:lang w:val="es-ES"/>
        </w:rPr>
        <w:t xml:space="preserve">El </w:t>
      </w:r>
      <w:r w:rsidR="00941189" w:rsidRPr="00BD6C53">
        <w:rPr>
          <w:rFonts w:ascii="Cambria" w:hAnsi="Cambria"/>
          <w:sz w:val="20"/>
          <w:szCs w:val="20"/>
          <w:lang w:val="es-ES"/>
        </w:rPr>
        <w:t>16</w:t>
      </w:r>
      <w:r w:rsidRPr="00BD6C53">
        <w:rPr>
          <w:rFonts w:ascii="Cambria" w:hAnsi="Cambria"/>
          <w:sz w:val="20"/>
          <w:szCs w:val="20"/>
          <w:lang w:val="es-ES"/>
        </w:rPr>
        <w:t xml:space="preserve"> de </w:t>
      </w:r>
      <w:r w:rsidR="00941189" w:rsidRPr="00BD6C53">
        <w:rPr>
          <w:rFonts w:ascii="Cambria" w:hAnsi="Cambria"/>
          <w:sz w:val="20"/>
          <w:szCs w:val="20"/>
          <w:lang w:val="es-ES"/>
        </w:rPr>
        <w:t xml:space="preserve">noviembre </w:t>
      </w:r>
      <w:r w:rsidRPr="00BD6C53">
        <w:rPr>
          <w:rFonts w:ascii="Cambria" w:hAnsi="Cambria"/>
          <w:sz w:val="20"/>
          <w:szCs w:val="20"/>
          <w:lang w:val="es-ES"/>
        </w:rPr>
        <w:t xml:space="preserve">de </w:t>
      </w:r>
      <w:r w:rsidR="00941189" w:rsidRPr="00BD6C53">
        <w:rPr>
          <w:rFonts w:ascii="Cambria" w:hAnsi="Cambria"/>
          <w:sz w:val="20"/>
          <w:szCs w:val="20"/>
          <w:lang w:val="es-ES"/>
        </w:rPr>
        <w:t>2020</w:t>
      </w:r>
      <w:r w:rsidR="00ED6D2F" w:rsidRPr="00BD6C53">
        <w:rPr>
          <w:rFonts w:ascii="Cambria" w:hAnsi="Cambria"/>
          <w:sz w:val="20"/>
          <w:szCs w:val="20"/>
          <w:lang w:val="es-ES"/>
        </w:rPr>
        <w:t xml:space="preserve"> </w:t>
      </w:r>
      <w:r w:rsidRPr="00BD6C53">
        <w:rPr>
          <w:rFonts w:ascii="Cambria" w:hAnsi="Cambria"/>
          <w:sz w:val="20"/>
          <w:szCs w:val="20"/>
          <w:lang w:val="es-ES"/>
        </w:rPr>
        <w:t xml:space="preserve">la CIDH notificó a las partes su decisión de aplicar el artículo 36.3 de su reglamento, en concordancia con su Resolución 1/16 sobre </w:t>
      </w:r>
      <w:r w:rsidRPr="749ACC70">
        <w:rPr>
          <w:rFonts w:ascii="Cambria" w:hAnsi="Cambria"/>
          <w:i/>
          <w:iCs/>
          <w:sz w:val="20"/>
          <w:szCs w:val="20"/>
          <w:lang w:val="es-ES"/>
        </w:rPr>
        <w:t>Medidas para reducir el atraso procesal</w:t>
      </w:r>
      <w:r w:rsidR="008D4242" w:rsidRPr="00BD6C53">
        <w:rPr>
          <w:rStyle w:val="FootnoteReference"/>
          <w:rFonts w:ascii="Cambria" w:hAnsi="Cambria"/>
          <w:sz w:val="20"/>
          <w:szCs w:val="20"/>
          <w:lang w:val="es-ES"/>
        </w:rPr>
        <w:footnoteReference w:id="2"/>
      </w:r>
      <w:r w:rsidRPr="00BD6C53">
        <w:rPr>
          <w:rFonts w:ascii="Cambria" w:hAnsi="Cambria"/>
          <w:sz w:val="20"/>
          <w:szCs w:val="20"/>
          <w:lang w:val="es-ES"/>
        </w:rPr>
        <w:t xml:space="preserve">. Por lo tanto, la CIDH determinó diferir el tratamiento de admisibilidad al de fondo del asunto. Las partes contaron con los plazos reglamentarios para presentar sus observaciones sobre el caso. Toda la información recibida fue debidamente trasladada entre las partes. </w:t>
      </w:r>
      <w:r w:rsidR="00ED6D2F" w:rsidRPr="00BD6C53">
        <w:rPr>
          <w:rFonts w:ascii="Cambria" w:hAnsi="Cambria"/>
          <w:sz w:val="20"/>
          <w:szCs w:val="20"/>
          <w:lang w:val="es-ES"/>
        </w:rPr>
        <w:t>El Estado no presentó observaciones de admisibilidad ni de fondo.</w:t>
      </w:r>
    </w:p>
    <w:p w14:paraId="46DEAE90" w14:textId="77777777" w:rsidR="00131431" w:rsidRPr="00E9543F" w:rsidRDefault="00131431"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jc w:val="both"/>
        <w:rPr>
          <w:rFonts w:ascii="Cambria" w:hAnsi="Cambria"/>
          <w:sz w:val="20"/>
          <w:szCs w:val="20"/>
          <w:lang w:val="es-ES"/>
        </w:rPr>
      </w:pPr>
    </w:p>
    <w:p w14:paraId="356046D1" w14:textId="77777777" w:rsidR="00D12193" w:rsidRPr="00E9543F" w:rsidRDefault="00D12193" w:rsidP="003D5660">
      <w:pPr>
        <w:pStyle w:val="Heading1"/>
        <w:ind w:left="720"/>
      </w:pPr>
      <w:bookmarkStart w:id="3" w:name="_Toc216356072"/>
      <w:r w:rsidRPr="749ACC70">
        <w:t>ALEGATOS DE LAS PARTES</w:t>
      </w:r>
      <w:bookmarkEnd w:id="3"/>
    </w:p>
    <w:p w14:paraId="49899BB6" w14:textId="38DDE83A" w:rsidR="0008768F" w:rsidRPr="00E9543F" w:rsidRDefault="0008768F" w:rsidP="749ACC70">
      <w:pPr>
        <w:tabs>
          <w:tab w:val="left" w:pos="360"/>
        </w:tabs>
        <w:suppressAutoHyphens/>
        <w:rPr>
          <w:rFonts w:asciiTheme="majorHAnsi" w:hAnsiTheme="majorHAnsi"/>
          <w:sz w:val="20"/>
          <w:szCs w:val="20"/>
          <w:lang w:val="es-ES"/>
        </w:rPr>
      </w:pPr>
    </w:p>
    <w:p w14:paraId="00598DBE" w14:textId="77777777" w:rsidR="00D12193" w:rsidRPr="00E9543F" w:rsidRDefault="0022273F" w:rsidP="00CA1314">
      <w:pPr>
        <w:pStyle w:val="Heading2"/>
      </w:pPr>
      <w:bookmarkStart w:id="4" w:name="_Toc216356073"/>
      <w:r>
        <w:t>Parte peticionaria</w:t>
      </w:r>
      <w:bookmarkEnd w:id="4"/>
      <w:r>
        <w:t xml:space="preserve"> </w:t>
      </w:r>
    </w:p>
    <w:p w14:paraId="08B9F1F2" w14:textId="23513D3F" w:rsidR="00166189" w:rsidRPr="00E9543F" w:rsidRDefault="00166189"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color w:val="000000" w:themeColor="text1"/>
          <w:sz w:val="20"/>
          <w:szCs w:val="20"/>
          <w:lang w:val="es-ES"/>
        </w:rPr>
      </w:pPr>
    </w:p>
    <w:p w14:paraId="572C8F1D" w14:textId="7BF52AFE" w:rsidR="003B0B55" w:rsidRPr="00BF7FAB" w:rsidRDefault="00BB01FB" w:rsidP="001A4728">
      <w:pPr>
        <w:numPr>
          <w:ilvl w:val="0"/>
          <w:numId w:val="60"/>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suppressAutoHyphens/>
        <w:ind w:left="0" w:firstLine="0"/>
        <w:jc w:val="both"/>
        <w:rPr>
          <w:rFonts w:ascii="Cambria" w:hAnsi="Cambria"/>
          <w:sz w:val="20"/>
          <w:szCs w:val="20"/>
          <w:lang w:val="es-US"/>
        </w:rPr>
      </w:pPr>
      <w:r w:rsidRPr="00BF7FAB">
        <w:rPr>
          <w:rFonts w:ascii="Cambria" w:hAnsi="Cambria"/>
          <w:sz w:val="20"/>
          <w:szCs w:val="20"/>
          <w:lang w:val="es-US"/>
        </w:rPr>
        <w:t xml:space="preserve">La parte peticionaria alega que el Estado es responsable </w:t>
      </w:r>
      <w:r w:rsidR="00F10ABA" w:rsidRPr="00BF7FAB">
        <w:rPr>
          <w:rFonts w:ascii="Cambria" w:hAnsi="Cambria"/>
          <w:sz w:val="20"/>
          <w:szCs w:val="20"/>
          <w:lang w:val="es-US"/>
        </w:rPr>
        <w:t>por la privación arbitraria de la libertad del señor Maykel Castillo Pérez</w:t>
      </w:r>
      <w:r w:rsidR="003567E6" w:rsidRPr="00BF7FAB">
        <w:rPr>
          <w:rFonts w:ascii="Cambria" w:hAnsi="Cambria"/>
          <w:sz w:val="20"/>
          <w:szCs w:val="20"/>
          <w:lang w:val="es-US"/>
        </w:rPr>
        <w:t xml:space="preserve">, artista y defensor de derechos humanos, </w:t>
      </w:r>
      <w:r w:rsidR="00F10ABA" w:rsidRPr="00BF7FAB">
        <w:rPr>
          <w:rFonts w:ascii="Cambria" w:hAnsi="Cambria"/>
          <w:sz w:val="20"/>
          <w:szCs w:val="20"/>
          <w:lang w:val="es-US"/>
        </w:rPr>
        <w:t xml:space="preserve">y las posteriores falencias en </w:t>
      </w:r>
      <w:r w:rsidR="005A1DC2" w:rsidRPr="00BF7FAB">
        <w:rPr>
          <w:rFonts w:ascii="Cambria" w:hAnsi="Cambria"/>
          <w:sz w:val="20"/>
          <w:szCs w:val="20"/>
          <w:lang w:val="es-US"/>
        </w:rPr>
        <w:t>el</w:t>
      </w:r>
      <w:r w:rsidR="00F10ABA" w:rsidRPr="00BF7FAB">
        <w:rPr>
          <w:rFonts w:ascii="Cambria" w:hAnsi="Cambria"/>
          <w:sz w:val="20"/>
          <w:szCs w:val="20"/>
          <w:lang w:val="es-US"/>
        </w:rPr>
        <w:t xml:space="preserve"> proceso </w:t>
      </w:r>
      <w:r w:rsidR="005A1DC2" w:rsidRPr="00BF7FAB">
        <w:rPr>
          <w:rFonts w:ascii="Cambria" w:hAnsi="Cambria"/>
          <w:sz w:val="20"/>
          <w:szCs w:val="20"/>
          <w:lang w:val="es-US"/>
        </w:rPr>
        <w:t>penal seguido en su contra</w:t>
      </w:r>
      <w:r w:rsidR="00F10ABA" w:rsidRPr="00BF7FAB">
        <w:rPr>
          <w:rFonts w:ascii="Cambria" w:hAnsi="Cambria"/>
          <w:sz w:val="20"/>
          <w:szCs w:val="20"/>
          <w:lang w:val="es-US"/>
        </w:rPr>
        <w:t xml:space="preserve">. </w:t>
      </w:r>
      <w:r w:rsidRPr="00BF7FAB">
        <w:rPr>
          <w:rFonts w:ascii="Cambria" w:hAnsi="Cambria"/>
          <w:sz w:val="20"/>
          <w:szCs w:val="20"/>
          <w:lang w:val="es-US"/>
        </w:rPr>
        <w:t xml:space="preserve"> </w:t>
      </w:r>
      <w:r w:rsidR="005C67BB" w:rsidRPr="00BF7FAB">
        <w:rPr>
          <w:rFonts w:ascii="Cambria" w:hAnsi="Cambria"/>
          <w:sz w:val="20"/>
          <w:szCs w:val="20"/>
          <w:lang w:val="es-US"/>
        </w:rPr>
        <w:t xml:space="preserve">Señala que el señor Castillo Pérez se identifica como </w:t>
      </w:r>
      <w:r w:rsidR="70F86E4C" w:rsidRPr="00BF7FAB">
        <w:rPr>
          <w:rFonts w:ascii="Cambria" w:hAnsi="Cambria"/>
          <w:sz w:val="20"/>
          <w:szCs w:val="20"/>
          <w:lang w:val="es-US"/>
        </w:rPr>
        <w:t>“</w:t>
      </w:r>
      <w:r w:rsidR="005C67BB" w:rsidRPr="00BF7FAB">
        <w:rPr>
          <w:rFonts w:ascii="Cambria" w:hAnsi="Cambria"/>
          <w:sz w:val="20"/>
          <w:szCs w:val="20"/>
          <w:lang w:val="es-US"/>
        </w:rPr>
        <w:t>un rapero contestatario</w:t>
      </w:r>
      <w:r w:rsidR="470A03AE" w:rsidRPr="00BF7FAB">
        <w:rPr>
          <w:rFonts w:ascii="Cambria" w:hAnsi="Cambria"/>
          <w:sz w:val="20"/>
          <w:szCs w:val="20"/>
          <w:lang w:val="es-US"/>
        </w:rPr>
        <w:t xml:space="preserve">” </w:t>
      </w:r>
      <w:r w:rsidR="005C67BB" w:rsidRPr="00BF7FAB">
        <w:rPr>
          <w:rFonts w:ascii="Cambria" w:hAnsi="Cambria"/>
          <w:sz w:val="20"/>
          <w:szCs w:val="20"/>
          <w:lang w:val="es-US"/>
        </w:rPr>
        <w:t>y e</w:t>
      </w:r>
      <w:r w:rsidR="00F10ABA" w:rsidRPr="00BF7FAB">
        <w:rPr>
          <w:rFonts w:ascii="Cambria" w:hAnsi="Cambria"/>
          <w:sz w:val="20"/>
          <w:szCs w:val="20"/>
          <w:lang w:val="es-US"/>
        </w:rPr>
        <w:t xml:space="preserve">xplica que los hechos </w:t>
      </w:r>
      <w:r w:rsidR="00A14E25" w:rsidRPr="00BF7FAB">
        <w:rPr>
          <w:rFonts w:ascii="Cambria" w:hAnsi="Cambria"/>
          <w:sz w:val="20"/>
          <w:szCs w:val="20"/>
          <w:lang w:val="es-US"/>
        </w:rPr>
        <w:t xml:space="preserve">se dan en un contexto donde los artistas independientes son víctimas de la represión por parte del Estado cubano, aspecto que se ha intensificado desde 2017 con restricciones en el uso de espacios públicos y normativa que </w:t>
      </w:r>
      <w:r w:rsidR="10805C9A" w:rsidRPr="00BF7FAB">
        <w:rPr>
          <w:rFonts w:ascii="Cambria" w:hAnsi="Cambria"/>
          <w:sz w:val="20"/>
          <w:szCs w:val="20"/>
          <w:lang w:val="es-US"/>
        </w:rPr>
        <w:t xml:space="preserve">limita </w:t>
      </w:r>
      <w:r w:rsidR="00A14E25" w:rsidRPr="00BF7FAB">
        <w:rPr>
          <w:rFonts w:ascii="Cambria" w:hAnsi="Cambria"/>
          <w:sz w:val="20"/>
          <w:szCs w:val="20"/>
          <w:lang w:val="es-US"/>
        </w:rPr>
        <w:t xml:space="preserve">la creación artística. </w:t>
      </w:r>
    </w:p>
    <w:p w14:paraId="2B3F9BB0" w14:textId="60F55464" w:rsidR="003B0B55" w:rsidRPr="00E9543F" w:rsidRDefault="003B0B55"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jc w:val="both"/>
        <w:rPr>
          <w:rFonts w:ascii="Cambria" w:hAnsi="Cambria"/>
          <w:sz w:val="20"/>
          <w:szCs w:val="20"/>
          <w:lang w:val="es-ES"/>
        </w:rPr>
      </w:pPr>
    </w:p>
    <w:p w14:paraId="618F2EFE" w14:textId="42E06563" w:rsidR="003B0B55" w:rsidRPr="00E9543F" w:rsidRDefault="003567E6" w:rsidP="001A4728">
      <w:pPr>
        <w:numPr>
          <w:ilvl w:val="0"/>
          <w:numId w:val="60"/>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suppressAutoHyphens/>
        <w:ind w:left="0" w:firstLine="0"/>
        <w:jc w:val="both"/>
        <w:rPr>
          <w:rFonts w:ascii="Cambria" w:hAnsi="Cambria"/>
          <w:sz w:val="20"/>
          <w:szCs w:val="20"/>
          <w:lang w:val="es-ES"/>
        </w:rPr>
      </w:pPr>
      <w:r w:rsidRPr="749ACC70">
        <w:rPr>
          <w:rFonts w:ascii="Cambria" w:hAnsi="Cambria"/>
          <w:sz w:val="20"/>
          <w:szCs w:val="20"/>
          <w:lang w:val="es-ES"/>
        </w:rPr>
        <w:t>En relación con la admisibilidad del presente asunto, la parte peticionaria a</w:t>
      </w:r>
      <w:r w:rsidR="1869E553" w:rsidRPr="749ACC70">
        <w:rPr>
          <w:rFonts w:ascii="Cambria" w:hAnsi="Cambria"/>
          <w:sz w:val="20"/>
          <w:szCs w:val="20"/>
          <w:lang w:val="es-ES"/>
        </w:rPr>
        <w:t xml:space="preserve">duce </w:t>
      </w:r>
      <w:r w:rsidR="009A5E52" w:rsidRPr="749ACC70">
        <w:rPr>
          <w:rFonts w:ascii="Cambria" w:hAnsi="Cambria"/>
          <w:sz w:val="20"/>
          <w:szCs w:val="20"/>
          <w:lang w:val="es-ES"/>
        </w:rPr>
        <w:t xml:space="preserve">que </w:t>
      </w:r>
      <w:r w:rsidR="009A5E52" w:rsidRPr="749ACC70">
        <w:rPr>
          <w:rStyle w:val="normaltextrun"/>
          <w:rFonts w:ascii="Cambria" w:hAnsi="Cambria"/>
          <w:sz w:val="20"/>
          <w:szCs w:val="20"/>
          <w:lang w:val="es-ES"/>
        </w:rPr>
        <w:t xml:space="preserve">“no existen las garantías básicas de justicia”. Por ello, sostiene que no existió un debido proceso legal a nivel interno que permita agotar los recursos de forma correcta y proteja los derechos vulnerados del señor Castillo Pérez. </w:t>
      </w:r>
    </w:p>
    <w:p w14:paraId="20BEC7AB" w14:textId="327F0E10" w:rsidR="003B0B55" w:rsidRPr="00E9543F" w:rsidRDefault="003B0B55"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jc w:val="both"/>
        <w:rPr>
          <w:rFonts w:ascii="Cambria" w:hAnsi="Cambria"/>
          <w:sz w:val="20"/>
          <w:szCs w:val="20"/>
          <w:lang w:val="es-ES"/>
        </w:rPr>
      </w:pPr>
    </w:p>
    <w:p w14:paraId="1FCAD65B" w14:textId="059130DA" w:rsidR="003B0B55" w:rsidRPr="00BD6C53" w:rsidRDefault="003567E6" w:rsidP="001A4728">
      <w:pPr>
        <w:numPr>
          <w:ilvl w:val="0"/>
          <w:numId w:val="60"/>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suppressAutoHyphens/>
        <w:ind w:left="0" w:firstLine="0"/>
        <w:jc w:val="both"/>
        <w:rPr>
          <w:rStyle w:val="normaltextrun"/>
          <w:rFonts w:ascii="Cambria" w:hAnsi="Cambria"/>
          <w:sz w:val="20"/>
          <w:szCs w:val="20"/>
          <w:lang w:val="es-ES"/>
        </w:rPr>
      </w:pPr>
      <w:r w:rsidRPr="749ACC70">
        <w:rPr>
          <w:rFonts w:ascii="Cambria" w:hAnsi="Cambria"/>
          <w:sz w:val="20"/>
          <w:szCs w:val="20"/>
          <w:lang w:val="es-ES"/>
        </w:rPr>
        <w:t xml:space="preserve">Respecto del fondo del caso, la parte peticionaria </w:t>
      </w:r>
      <w:r w:rsidR="3486B957" w:rsidRPr="749ACC70">
        <w:rPr>
          <w:rFonts w:ascii="Cambria" w:hAnsi="Cambria"/>
          <w:sz w:val="20"/>
          <w:szCs w:val="20"/>
          <w:lang w:val="es-ES"/>
        </w:rPr>
        <w:t xml:space="preserve">argumenta </w:t>
      </w:r>
      <w:r w:rsidRPr="749ACC70">
        <w:rPr>
          <w:rFonts w:ascii="Cambria" w:hAnsi="Cambria"/>
          <w:sz w:val="20"/>
          <w:szCs w:val="20"/>
          <w:lang w:val="es-ES"/>
        </w:rPr>
        <w:t>que Maykel Castillo Pérez fue retenido el 22 de junio de 2018 por agentes policiales cuando filmaba un registro domiciliario realizado por dich</w:t>
      </w:r>
      <w:r w:rsidR="005A1DC2" w:rsidRPr="749ACC70">
        <w:rPr>
          <w:rFonts w:ascii="Cambria" w:hAnsi="Cambria"/>
          <w:sz w:val="20"/>
          <w:szCs w:val="20"/>
          <w:lang w:val="es-ES"/>
        </w:rPr>
        <w:t>a</w:t>
      </w:r>
      <w:r w:rsidRPr="749ACC70">
        <w:rPr>
          <w:rFonts w:ascii="Cambria" w:hAnsi="Cambria"/>
          <w:sz w:val="20"/>
          <w:szCs w:val="20"/>
          <w:lang w:val="es-ES"/>
        </w:rPr>
        <w:t xml:space="preserve">s </w:t>
      </w:r>
      <w:r w:rsidR="005A1DC2" w:rsidRPr="749ACC70">
        <w:rPr>
          <w:rFonts w:ascii="Cambria" w:hAnsi="Cambria"/>
          <w:sz w:val="20"/>
          <w:szCs w:val="20"/>
          <w:lang w:val="es-ES"/>
        </w:rPr>
        <w:t>autoridades</w:t>
      </w:r>
      <w:r w:rsidRPr="749ACC70">
        <w:rPr>
          <w:rFonts w:ascii="Cambria" w:hAnsi="Cambria"/>
          <w:sz w:val="20"/>
          <w:szCs w:val="20"/>
          <w:lang w:val="es-ES"/>
        </w:rPr>
        <w:t xml:space="preserve"> a una vivienda. Indica que se le impuso una sanción administrativa, la cual pagó y fue puesto en libertad. </w:t>
      </w:r>
      <w:r w:rsidR="16FF7858" w:rsidRPr="749ACC70">
        <w:rPr>
          <w:rFonts w:ascii="Cambria" w:hAnsi="Cambria"/>
          <w:sz w:val="20"/>
          <w:szCs w:val="20"/>
          <w:lang w:val="es-ES"/>
        </w:rPr>
        <w:t xml:space="preserve">Describe </w:t>
      </w:r>
      <w:r w:rsidRPr="749ACC70">
        <w:rPr>
          <w:rFonts w:ascii="Cambria" w:hAnsi="Cambria"/>
          <w:sz w:val="20"/>
          <w:szCs w:val="20"/>
          <w:lang w:val="es-ES"/>
        </w:rPr>
        <w:t xml:space="preserve">que luego fue acusado de delito de </w:t>
      </w:r>
      <w:r w:rsidR="61835D7B" w:rsidRPr="749ACC70">
        <w:rPr>
          <w:rFonts w:ascii="Cambria" w:hAnsi="Cambria"/>
          <w:sz w:val="20"/>
          <w:szCs w:val="20"/>
          <w:lang w:val="es-ES"/>
        </w:rPr>
        <w:t>“</w:t>
      </w:r>
      <w:r w:rsidRPr="749ACC70">
        <w:rPr>
          <w:rFonts w:ascii="Cambria" w:hAnsi="Cambria"/>
          <w:sz w:val="20"/>
          <w:szCs w:val="20"/>
          <w:lang w:val="es-ES"/>
        </w:rPr>
        <w:t>atentado</w:t>
      </w:r>
      <w:r w:rsidR="6F132AB6" w:rsidRPr="749ACC70">
        <w:rPr>
          <w:rFonts w:ascii="Cambria" w:hAnsi="Cambria"/>
          <w:sz w:val="20"/>
          <w:szCs w:val="20"/>
          <w:lang w:val="es-ES"/>
        </w:rPr>
        <w:t xml:space="preserve">” </w:t>
      </w:r>
      <w:r w:rsidRPr="749ACC70">
        <w:rPr>
          <w:rFonts w:ascii="Cambria" w:hAnsi="Cambria"/>
          <w:sz w:val="20"/>
          <w:szCs w:val="20"/>
          <w:lang w:val="es-ES"/>
        </w:rPr>
        <w:t>por el mismo hecho y detenido nuevamente el 25 de septiembre de 2018</w:t>
      </w:r>
      <w:r w:rsidR="004348AA" w:rsidRPr="749ACC70">
        <w:rPr>
          <w:rFonts w:ascii="Cambria" w:hAnsi="Cambria"/>
          <w:sz w:val="20"/>
          <w:szCs w:val="20"/>
          <w:lang w:val="es-ES"/>
        </w:rPr>
        <w:t xml:space="preserve"> en su domicilio, de forma arbitraria y por agentes estales.</w:t>
      </w:r>
      <w:r w:rsidR="005A1DC2" w:rsidRPr="749ACC70">
        <w:rPr>
          <w:rFonts w:ascii="Cambria" w:hAnsi="Cambria"/>
          <w:sz w:val="20"/>
          <w:szCs w:val="20"/>
          <w:lang w:val="es-ES"/>
        </w:rPr>
        <w:t xml:space="preserve"> </w:t>
      </w:r>
      <w:r w:rsidR="003B0B55" w:rsidRPr="749ACC70">
        <w:rPr>
          <w:rStyle w:val="normaltextrun"/>
          <w:rFonts w:ascii="Cambria" w:hAnsi="Cambria"/>
          <w:sz w:val="20"/>
          <w:szCs w:val="20"/>
          <w:lang w:val="es-ES"/>
        </w:rPr>
        <w:t xml:space="preserve">La parte peticionaria manifiesta que, a raíz de la detención, se presentó un </w:t>
      </w:r>
      <w:r w:rsidR="003B0B55" w:rsidRPr="749ACC70">
        <w:rPr>
          <w:rStyle w:val="normaltextrun"/>
          <w:rFonts w:ascii="Cambria" w:hAnsi="Cambria"/>
          <w:i/>
          <w:iCs/>
          <w:sz w:val="20"/>
          <w:szCs w:val="20"/>
          <w:lang w:val="es-ES"/>
        </w:rPr>
        <w:t>h</w:t>
      </w:r>
      <w:r w:rsidR="794B4376" w:rsidRPr="749ACC70">
        <w:rPr>
          <w:rStyle w:val="normaltextrun"/>
          <w:rFonts w:ascii="Cambria" w:hAnsi="Cambria"/>
          <w:i/>
          <w:iCs/>
          <w:sz w:val="20"/>
          <w:szCs w:val="20"/>
          <w:lang w:val="es-ES"/>
        </w:rPr>
        <w:t>a</w:t>
      </w:r>
      <w:r w:rsidR="003B0B55" w:rsidRPr="749ACC70">
        <w:rPr>
          <w:rStyle w:val="normaltextrun"/>
          <w:rFonts w:ascii="Cambria" w:hAnsi="Cambria"/>
          <w:i/>
          <w:iCs/>
          <w:sz w:val="20"/>
          <w:szCs w:val="20"/>
          <w:lang w:val="es-ES"/>
        </w:rPr>
        <w:t xml:space="preserve">beas corpus </w:t>
      </w:r>
      <w:r w:rsidR="003B0B55" w:rsidRPr="749ACC70">
        <w:rPr>
          <w:rStyle w:val="normaltextrun"/>
          <w:rFonts w:ascii="Cambria" w:hAnsi="Cambria"/>
          <w:sz w:val="20"/>
          <w:szCs w:val="20"/>
          <w:lang w:val="es-ES"/>
        </w:rPr>
        <w:t xml:space="preserve">que fue </w:t>
      </w:r>
      <w:r w:rsidR="00E85618" w:rsidRPr="749ACC70">
        <w:rPr>
          <w:rStyle w:val="normaltextrun"/>
          <w:rFonts w:ascii="Cambria" w:hAnsi="Cambria"/>
          <w:sz w:val="20"/>
          <w:szCs w:val="20"/>
          <w:lang w:val="es-ES"/>
        </w:rPr>
        <w:t>desestimado</w:t>
      </w:r>
      <w:r w:rsidR="00E85618" w:rsidRPr="749ACC70">
        <w:rPr>
          <w:rFonts w:ascii="Cambria" w:hAnsi="Cambria"/>
          <w:sz w:val="20"/>
          <w:szCs w:val="20"/>
          <w:lang w:val="es-ES"/>
        </w:rPr>
        <w:t>.</w:t>
      </w:r>
    </w:p>
    <w:p w14:paraId="056FB943" w14:textId="1BBD2ACD" w:rsidR="003B0B55" w:rsidRPr="00E9543F" w:rsidRDefault="003B0B55"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jc w:val="both"/>
        <w:rPr>
          <w:rStyle w:val="normaltextrun"/>
          <w:rFonts w:ascii="Cambria" w:hAnsi="Cambria"/>
          <w:sz w:val="20"/>
          <w:szCs w:val="20"/>
          <w:lang w:val="es-ES"/>
        </w:rPr>
      </w:pPr>
    </w:p>
    <w:p w14:paraId="6BEEF5B3" w14:textId="235022BC" w:rsidR="003B0B55" w:rsidRPr="00E9543F" w:rsidRDefault="17CA8F15" w:rsidP="001A4728">
      <w:pPr>
        <w:numPr>
          <w:ilvl w:val="0"/>
          <w:numId w:val="60"/>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suppressAutoHyphens/>
        <w:ind w:left="0" w:firstLine="0"/>
        <w:jc w:val="both"/>
        <w:rPr>
          <w:rFonts w:ascii="Cambria" w:hAnsi="Cambria"/>
          <w:sz w:val="20"/>
          <w:szCs w:val="20"/>
          <w:lang w:val="es-ES"/>
        </w:rPr>
      </w:pPr>
      <w:r w:rsidRPr="749ACC70">
        <w:rPr>
          <w:rFonts w:ascii="Cambria" w:hAnsi="Cambria"/>
          <w:sz w:val="20"/>
          <w:szCs w:val="20"/>
          <w:lang w:val="es-ES"/>
        </w:rPr>
        <w:t xml:space="preserve">Resalta </w:t>
      </w:r>
      <w:r w:rsidR="003B0B55" w:rsidRPr="749ACC70">
        <w:rPr>
          <w:rStyle w:val="normaltextrun"/>
          <w:rFonts w:ascii="Cambria" w:hAnsi="Cambria"/>
          <w:sz w:val="20"/>
          <w:szCs w:val="20"/>
          <w:lang w:val="es-ES"/>
        </w:rPr>
        <w:t>que el proceso penal que le siguió afectó</w:t>
      </w:r>
      <w:r w:rsidR="00A50F29" w:rsidRPr="749ACC70">
        <w:rPr>
          <w:rStyle w:val="normaltextrun"/>
          <w:rFonts w:ascii="Cambria" w:hAnsi="Cambria"/>
          <w:sz w:val="20"/>
          <w:szCs w:val="20"/>
          <w:lang w:val="es-ES"/>
        </w:rPr>
        <w:t xml:space="preserve"> el </w:t>
      </w:r>
      <w:r w:rsidR="003B0B55" w:rsidRPr="749ACC70">
        <w:rPr>
          <w:rStyle w:val="normaltextrun"/>
          <w:rFonts w:ascii="Cambria" w:hAnsi="Cambria"/>
          <w:sz w:val="20"/>
          <w:szCs w:val="20"/>
          <w:lang w:val="es-ES"/>
        </w:rPr>
        <w:t xml:space="preserve">derecho a la defensa y el principio de inocencia debido a </w:t>
      </w:r>
      <w:r w:rsidR="00A50F29" w:rsidRPr="749ACC70">
        <w:rPr>
          <w:rStyle w:val="normaltextrun"/>
          <w:rFonts w:ascii="Cambria" w:hAnsi="Cambria"/>
          <w:sz w:val="20"/>
          <w:szCs w:val="20"/>
          <w:lang w:val="es-ES"/>
        </w:rPr>
        <w:t xml:space="preserve">que no contó con una defensa técnica en los primeros momentos del proceso y, una vez contratada una abogada para el caso, la </w:t>
      </w:r>
      <w:r w:rsidR="0D5FFFCB" w:rsidRPr="749ACC70">
        <w:rPr>
          <w:rStyle w:val="normaltextrun"/>
          <w:rFonts w:ascii="Cambria" w:hAnsi="Cambria"/>
          <w:sz w:val="20"/>
          <w:szCs w:val="20"/>
          <w:lang w:val="es-ES"/>
        </w:rPr>
        <w:t xml:space="preserve">letrada </w:t>
      </w:r>
      <w:r w:rsidR="00A50F29" w:rsidRPr="749ACC70">
        <w:rPr>
          <w:rStyle w:val="normaltextrun"/>
          <w:rFonts w:ascii="Cambria" w:hAnsi="Cambria"/>
          <w:sz w:val="20"/>
          <w:szCs w:val="20"/>
          <w:lang w:val="es-ES"/>
        </w:rPr>
        <w:t xml:space="preserve">no fue diligente </w:t>
      </w:r>
      <w:r w:rsidR="1D29F314" w:rsidRPr="749ACC70">
        <w:rPr>
          <w:rStyle w:val="normaltextrun"/>
          <w:rFonts w:ascii="Cambria" w:hAnsi="Cambria"/>
          <w:sz w:val="20"/>
          <w:szCs w:val="20"/>
          <w:lang w:val="es-ES"/>
        </w:rPr>
        <w:t xml:space="preserve">ni </w:t>
      </w:r>
      <w:r w:rsidR="00A50F29" w:rsidRPr="749ACC70">
        <w:rPr>
          <w:rStyle w:val="normaltextrun"/>
          <w:rFonts w:ascii="Cambria" w:hAnsi="Cambria"/>
          <w:sz w:val="20"/>
          <w:szCs w:val="20"/>
          <w:lang w:val="es-ES"/>
        </w:rPr>
        <w:t xml:space="preserve">estuvo presente </w:t>
      </w:r>
      <w:r w:rsidR="005A1DC2" w:rsidRPr="749ACC70">
        <w:rPr>
          <w:rStyle w:val="normaltextrun"/>
          <w:rFonts w:ascii="Cambria" w:hAnsi="Cambria"/>
          <w:sz w:val="20"/>
          <w:szCs w:val="20"/>
          <w:lang w:val="es-ES"/>
        </w:rPr>
        <w:t>durante la causa</w:t>
      </w:r>
      <w:r w:rsidR="00A50F29" w:rsidRPr="749ACC70">
        <w:rPr>
          <w:rStyle w:val="normaltextrun"/>
          <w:rFonts w:ascii="Cambria" w:hAnsi="Cambria"/>
          <w:sz w:val="20"/>
          <w:szCs w:val="20"/>
          <w:lang w:val="es-ES"/>
        </w:rPr>
        <w:t xml:space="preserve">. </w:t>
      </w:r>
      <w:r w:rsidR="003B0B55" w:rsidRPr="749ACC70">
        <w:rPr>
          <w:rStyle w:val="normaltextrun"/>
          <w:rFonts w:ascii="Cambria" w:hAnsi="Cambria"/>
          <w:sz w:val="20"/>
          <w:szCs w:val="20"/>
          <w:lang w:val="es-ES"/>
        </w:rPr>
        <w:t xml:space="preserve">Agrega que Cuba es responsable por la violación del principio de legalidad </w:t>
      </w:r>
      <w:r w:rsidR="00C473AC" w:rsidRPr="749ACC70">
        <w:rPr>
          <w:rStyle w:val="normaltextrun"/>
          <w:rFonts w:ascii="Cambria" w:hAnsi="Cambria"/>
          <w:sz w:val="20"/>
          <w:szCs w:val="20"/>
          <w:lang w:val="es-ES"/>
        </w:rPr>
        <w:t>dado que la Fiscalía fue en contra de sus propias decisiones y de la normativa interna cubana al decidir revocar la multa administrativa impuesta y determinar la configuración del delito de “atentado”.</w:t>
      </w:r>
      <w:r w:rsidR="003B0B55" w:rsidRPr="749ACC70">
        <w:rPr>
          <w:rStyle w:val="normaltextrun"/>
          <w:lang w:val="es-ES"/>
        </w:rPr>
        <w:t> </w:t>
      </w:r>
      <w:r w:rsidR="003B0B55" w:rsidRPr="749ACC70">
        <w:rPr>
          <w:rStyle w:val="normaltextrun"/>
          <w:rFonts w:ascii="Cambria" w:hAnsi="Cambria"/>
          <w:sz w:val="20"/>
          <w:szCs w:val="20"/>
          <w:lang w:val="es-ES"/>
        </w:rPr>
        <w:t xml:space="preserve">Finalmente, la parte peticionaria </w:t>
      </w:r>
      <w:r w:rsidR="61E27E6C" w:rsidRPr="749ACC70">
        <w:rPr>
          <w:rStyle w:val="normaltextrun"/>
          <w:rFonts w:ascii="Cambria" w:hAnsi="Cambria"/>
          <w:sz w:val="20"/>
          <w:szCs w:val="20"/>
          <w:lang w:val="es-ES"/>
        </w:rPr>
        <w:t xml:space="preserve">alega </w:t>
      </w:r>
      <w:r w:rsidR="003B0B55" w:rsidRPr="749ACC70">
        <w:rPr>
          <w:rStyle w:val="normaltextrun"/>
          <w:rFonts w:ascii="Cambria" w:hAnsi="Cambria"/>
          <w:sz w:val="20"/>
          <w:szCs w:val="20"/>
          <w:lang w:val="es-ES"/>
        </w:rPr>
        <w:t>que los actos de hostigamientos y criminalización hacia el señor Castillo Pérez continuaron luego de salir en libertad.</w:t>
      </w:r>
      <w:r w:rsidR="3C77BEF8" w:rsidRPr="749ACC70">
        <w:rPr>
          <w:rStyle w:val="normaltextrun"/>
          <w:rFonts w:ascii="Cambria" w:hAnsi="Cambria"/>
          <w:sz w:val="20"/>
          <w:szCs w:val="20"/>
          <w:lang w:val="es-ES"/>
        </w:rPr>
        <w:t xml:space="preserve"> </w:t>
      </w:r>
    </w:p>
    <w:p w14:paraId="26B92074" w14:textId="55642DD6" w:rsidR="003B0B55" w:rsidRPr="00E9543F" w:rsidRDefault="003B0B55"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jc w:val="both"/>
        <w:rPr>
          <w:rFonts w:ascii="Cambria" w:hAnsi="Cambria"/>
          <w:sz w:val="20"/>
          <w:szCs w:val="20"/>
          <w:lang w:val="es-ES"/>
        </w:rPr>
      </w:pPr>
    </w:p>
    <w:p w14:paraId="7F3A7642" w14:textId="78F4082D" w:rsidR="003B0B55" w:rsidRPr="00E9543F" w:rsidRDefault="003B0B55" w:rsidP="001A4728">
      <w:pPr>
        <w:numPr>
          <w:ilvl w:val="0"/>
          <w:numId w:val="60"/>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suppressAutoHyphens/>
        <w:ind w:left="0" w:firstLine="0"/>
        <w:jc w:val="both"/>
        <w:rPr>
          <w:rFonts w:ascii="Cambria" w:hAnsi="Cambria"/>
          <w:sz w:val="20"/>
          <w:szCs w:val="20"/>
          <w:lang w:val="es-ES"/>
        </w:rPr>
      </w:pPr>
      <w:r w:rsidRPr="749ACC70">
        <w:rPr>
          <w:rStyle w:val="normaltextrun"/>
          <w:rFonts w:ascii="Cambria" w:hAnsi="Cambria"/>
          <w:sz w:val="20"/>
          <w:szCs w:val="20"/>
          <w:lang w:val="es-ES"/>
        </w:rPr>
        <w:t>Explica que</w:t>
      </w:r>
      <w:r w:rsidR="69F24F12" w:rsidRPr="749ACC70">
        <w:rPr>
          <w:rStyle w:val="normaltextrun"/>
          <w:rFonts w:ascii="Cambria" w:hAnsi="Cambria"/>
          <w:sz w:val="20"/>
          <w:szCs w:val="20"/>
          <w:lang w:val="es-ES"/>
        </w:rPr>
        <w:t>,</w:t>
      </w:r>
      <w:r w:rsidRPr="749ACC70">
        <w:rPr>
          <w:rStyle w:val="normaltextrun"/>
          <w:rFonts w:ascii="Cambria" w:hAnsi="Cambria"/>
          <w:sz w:val="20"/>
          <w:szCs w:val="20"/>
          <w:lang w:val="es-ES"/>
        </w:rPr>
        <w:t xml:space="preserve"> en virtud de todo lo señalado, el Estado de Cuba es responsable por la violación de los </w:t>
      </w:r>
      <w:r w:rsidR="003F4419" w:rsidRPr="749ACC70">
        <w:rPr>
          <w:rStyle w:val="normaltextrun"/>
          <w:rFonts w:ascii="Cambria" w:hAnsi="Cambria"/>
          <w:sz w:val="20"/>
          <w:szCs w:val="20"/>
          <w:lang w:val="es-ES"/>
        </w:rPr>
        <w:t>artículos I, II, IV, XIII y XVIII d</w:t>
      </w:r>
      <w:r w:rsidRPr="749ACC70">
        <w:rPr>
          <w:rStyle w:val="normaltextrun"/>
          <w:rFonts w:ascii="Cambria" w:hAnsi="Cambria"/>
          <w:sz w:val="20"/>
          <w:szCs w:val="20"/>
          <w:lang w:val="es-ES"/>
        </w:rPr>
        <w:t>e la Declaración Americana</w:t>
      </w:r>
      <w:r w:rsidR="673413F8" w:rsidRPr="749ACC70">
        <w:rPr>
          <w:rStyle w:val="normaltextrun"/>
          <w:rFonts w:ascii="Cambria" w:hAnsi="Cambria"/>
          <w:sz w:val="20"/>
          <w:szCs w:val="20"/>
          <w:lang w:val="es-ES"/>
        </w:rPr>
        <w:t xml:space="preserve"> de Derechos y Deberes del Hombre (en adelante “Declaración Americana”)</w:t>
      </w:r>
      <w:r w:rsidRPr="749ACC70">
        <w:rPr>
          <w:rStyle w:val="normaltextrun"/>
          <w:rFonts w:ascii="Cambria" w:hAnsi="Cambria"/>
          <w:sz w:val="20"/>
          <w:szCs w:val="20"/>
          <w:lang w:val="es-ES"/>
        </w:rPr>
        <w:t>.</w:t>
      </w:r>
    </w:p>
    <w:p w14:paraId="0EEF1412" w14:textId="77777777" w:rsidR="009D41F5" w:rsidRPr="00E9543F" w:rsidRDefault="009D41F5" w:rsidP="004B1C8A">
      <w:pPr>
        <w:rPr>
          <w:lang w:val="es-ES"/>
        </w:rPr>
      </w:pPr>
    </w:p>
    <w:p w14:paraId="68E551A6" w14:textId="77777777" w:rsidR="00D12193" w:rsidRPr="00E9543F" w:rsidRDefault="0022273F" w:rsidP="00CA1314">
      <w:pPr>
        <w:pStyle w:val="Heading2"/>
      </w:pPr>
      <w:bookmarkStart w:id="5" w:name="_Toc216356074"/>
      <w:r>
        <w:t>Estado</w:t>
      </w:r>
      <w:bookmarkEnd w:id="5"/>
      <w:r w:rsidR="00CC63CF">
        <w:t xml:space="preserve"> </w:t>
      </w:r>
    </w:p>
    <w:p w14:paraId="407A35D4" w14:textId="77777777" w:rsidR="007C756A" w:rsidRPr="00E9543F" w:rsidRDefault="007C756A" w:rsidP="749ACC70">
      <w:pPr>
        <w:tabs>
          <w:tab w:val="left" w:pos="360"/>
        </w:tabs>
        <w:suppressAutoHyphens/>
        <w:rPr>
          <w:rFonts w:asciiTheme="majorHAnsi" w:hAnsiTheme="majorHAnsi"/>
          <w:sz w:val="20"/>
          <w:szCs w:val="20"/>
          <w:lang w:val="es-ES"/>
        </w:rPr>
      </w:pPr>
    </w:p>
    <w:p w14:paraId="37EB0B1B" w14:textId="06CBD036" w:rsidR="00ED6D2F" w:rsidRPr="00E9543F" w:rsidRDefault="00ED6D2F" w:rsidP="001A4728">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0" w:firstLine="0"/>
        <w:jc w:val="both"/>
        <w:rPr>
          <w:rFonts w:ascii="Cambria" w:hAnsi="Cambria"/>
          <w:color w:val="000000" w:themeColor="text1"/>
          <w:sz w:val="20"/>
          <w:szCs w:val="20"/>
          <w:lang w:val="es-ES"/>
        </w:rPr>
      </w:pPr>
      <w:bookmarkStart w:id="6" w:name="_Hlk172884893"/>
      <w:r w:rsidRPr="749ACC70">
        <w:rPr>
          <w:rFonts w:ascii="Cambria" w:hAnsi="Cambria"/>
          <w:sz w:val="20"/>
          <w:szCs w:val="20"/>
          <w:lang w:val="es-ES"/>
        </w:rPr>
        <w:t>El Estado no ha proporcionado sus observaciones sobre la admisibilidad ni fondo del caso.</w:t>
      </w:r>
      <w:bookmarkEnd w:id="6"/>
    </w:p>
    <w:p w14:paraId="783D44EB" w14:textId="77777777" w:rsidR="00ED6D2F" w:rsidRPr="00E9543F" w:rsidRDefault="00ED6D2F" w:rsidP="749ACC70">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mbria" w:hAnsi="Cambria"/>
          <w:sz w:val="20"/>
          <w:szCs w:val="20"/>
          <w:lang w:val="es-ES"/>
        </w:rPr>
      </w:pPr>
    </w:p>
    <w:p w14:paraId="6189EC8C" w14:textId="77777777" w:rsidR="00ED6D2F" w:rsidRPr="00E9543F" w:rsidRDefault="00ED6D2F" w:rsidP="003D5660">
      <w:pPr>
        <w:pStyle w:val="Heading1"/>
        <w:ind w:left="720"/>
      </w:pPr>
      <w:bookmarkStart w:id="7" w:name="_Toc110398961"/>
      <w:bookmarkStart w:id="8" w:name="_Toc216356075"/>
      <w:r w:rsidRPr="749ACC70">
        <w:lastRenderedPageBreak/>
        <w:t>ANÁLISIS DE ADMISIBILIDAD</w:t>
      </w:r>
      <w:bookmarkEnd w:id="7"/>
      <w:bookmarkEnd w:id="8"/>
    </w:p>
    <w:p w14:paraId="03449666" w14:textId="77777777" w:rsidR="00ED6D2F" w:rsidRPr="00E9543F" w:rsidRDefault="00ED6D2F" w:rsidP="00ED6D2F">
      <w:pPr>
        <w:ind w:left="360" w:hanging="360"/>
        <w:rPr>
          <w:sz w:val="20"/>
          <w:szCs w:val="20"/>
          <w:lang w:val="es-ES"/>
        </w:rPr>
      </w:pPr>
    </w:p>
    <w:p w14:paraId="36F2C01C" w14:textId="37216BE0" w:rsidR="00ED6D2F" w:rsidRPr="00E9543F" w:rsidRDefault="00ED6D2F" w:rsidP="00CA1314">
      <w:pPr>
        <w:pStyle w:val="Heading2"/>
        <w:numPr>
          <w:ilvl w:val="0"/>
          <w:numId w:val="0"/>
        </w:numPr>
      </w:pPr>
      <w:bookmarkStart w:id="9" w:name="_Toc110398962"/>
      <w:bookmarkStart w:id="10" w:name="_Toc216356076"/>
      <w:r>
        <w:t xml:space="preserve">A. </w:t>
      </w:r>
      <w:r>
        <w:tab/>
        <w:t>Competencia, duplicación de procedimientos y cosa juzgada internacional</w:t>
      </w:r>
      <w:bookmarkEnd w:id="9"/>
      <w:bookmarkEnd w:id="10"/>
      <w:r>
        <w:t xml:space="preserve"> </w:t>
      </w:r>
    </w:p>
    <w:p w14:paraId="2A2F64B9" w14:textId="77777777" w:rsidR="00ED6D2F" w:rsidRPr="00E9543F" w:rsidRDefault="00ED6D2F" w:rsidP="00ED6D2F">
      <w:pPr>
        <w:rPr>
          <w:lang w:val="es-ES"/>
        </w:rPr>
      </w:pPr>
    </w:p>
    <w:tbl>
      <w:tblPr>
        <w:tblpPr w:leftFromText="180" w:rightFromText="180" w:vertAnchor="text" w:horzAnchor="margin" w:tblpX="108" w:tblpY="10"/>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492"/>
        <w:gridCol w:w="5575"/>
      </w:tblGrid>
      <w:tr w:rsidR="00ED6D2F" w:rsidRPr="00BD6C53" w14:paraId="4790380B" w14:textId="77777777" w:rsidTr="749ACC70">
        <w:trPr>
          <w:cantSplit/>
          <w:trHeight w:val="260"/>
        </w:trPr>
        <w:tc>
          <w:tcPr>
            <w:tcW w:w="3492" w:type="dxa"/>
            <w:tcBorders>
              <w:top w:val="single" w:sz="4" w:space="0" w:color="auto"/>
              <w:bottom w:val="single" w:sz="6" w:space="0" w:color="auto"/>
            </w:tcBorders>
            <w:shd w:val="clear" w:color="auto" w:fill="386294"/>
            <w:vAlign w:val="center"/>
          </w:tcPr>
          <w:p w14:paraId="19C0CD83" w14:textId="77777777" w:rsidR="00ED6D2F" w:rsidRPr="00BD6C53" w:rsidRDefault="00ED6D2F" w:rsidP="749ACC70">
            <w:pPr>
              <w:rPr>
                <w:rFonts w:ascii="Cambria" w:hAnsi="Cambria"/>
                <w:b/>
                <w:bCs/>
                <w:i/>
                <w:iCs/>
                <w:color w:val="FFFFFF"/>
                <w:sz w:val="20"/>
                <w:szCs w:val="20"/>
                <w:lang w:val="es-ES"/>
              </w:rPr>
            </w:pPr>
            <w:r w:rsidRPr="749ACC70">
              <w:rPr>
                <w:rFonts w:ascii="Cambria" w:hAnsi="Cambria"/>
                <w:b/>
                <w:bCs/>
                <w:color w:val="FFFFFF" w:themeColor="background1"/>
                <w:sz w:val="20"/>
                <w:szCs w:val="20"/>
                <w:lang w:val="es-ES"/>
              </w:rPr>
              <w:t>Competencia</w:t>
            </w:r>
            <w:r w:rsidRPr="749ACC70">
              <w:rPr>
                <w:rFonts w:ascii="Cambria" w:hAnsi="Cambria"/>
                <w:b/>
                <w:bCs/>
                <w:i/>
                <w:iCs/>
                <w:color w:val="FFFFFF" w:themeColor="background1"/>
                <w:sz w:val="20"/>
                <w:szCs w:val="20"/>
                <w:lang w:val="es-ES"/>
              </w:rPr>
              <w:t xml:space="preserve"> Ratione personae:</w:t>
            </w:r>
          </w:p>
        </w:tc>
        <w:tc>
          <w:tcPr>
            <w:tcW w:w="5575" w:type="dxa"/>
            <w:shd w:val="clear" w:color="auto" w:fill="auto"/>
            <w:vAlign w:val="center"/>
          </w:tcPr>
          <w:p w14:paraId="1498DE2E" w14:textId="77777777" w:rsidR="00ED6D2F" w:rsidRPr="00E9543F" w:rsidRDefault="00ED6D2F" w:rsidP="749ACC70">
            <w:pPr>
              <w:rPr>
                <w:rFonts w:ascii="Cambria" w:hAnsi="Cambria"/>
                <w:sz w:val="20"/>
                <w:szCs w:val="20"/>
                <w:lang w:val="es-ES"/>
              </w:rPr>
            </w:pPr>
            <w:r w:rsidRPr="749ACC70">
              <w:rPr>
                <w:rFonts w:ascii="Cambria" w:hAnsi="Cambria" w:cs="Univers"/>
                <w:color w:val="0D0D0D" w:themeColor="text1" w:themeTint="F2"/>
                <w:sz w:val="20"/>
                <w:szCs w:val="20"/>
                <w:lang w:val="es-ES"/>
              </w:rPr>
              <w:t>Sí</w:t>
            </w:r>
          </w:p>
        </w:tc>
      </w:tr>
      <w:tr w:rsidR="00ED6D2F" w:rsidRPr="00BD6C53" w14:paraId="5FB241E9" w14:textId="77777777" w:rsidTr="749ACC70">
        <w:trPr>
          <w:cantSplit/>
          <w:trHeight w:val="300"/>
        </w:trPr>
        <w:tc>
          <w:tcPr>
            <w:tcW w:w="3492" w:type="dxa"/>
            <w:tcBorders>
              <w:top w:val="single" w:sz="6" w:space="0" w:color="auto"/>
              <w:bottom w:val="single" w:sz="6" w:space="0" w:color="auto"/>
            </w:tcBorders>
            <w:shd w:val="clear" w:color="auto" w:fill="386294"/>
            <w:vAlign w:val="center"/>
          </w:tcPr>
          <w:p w14:paraId="02C2D3B8" w14:textId="77777777" w:rsidR="00ED6D2F" w:rsidRPr="00BD6C53" w:rsidRDefault="00ED6D2F" w:rsidP="7EC42DB7">
            <w:pPr>
              <w:rPr>
                <w:rFonts w:ascii="Cambria" w:hAnsi="Cambria"/>
                <w:b/>
                <w:bCs/>
                <w:color w:val="FFFFFF"/>
                <w:sz w:val="20"/>
                <w:szCs w:val="20"/>
                <w:lang w:val="es-ES"/>
              </w:rPr>
            </w:pPr>
            <w:r w:rsidRPr="749ACC70">
              <w:rPr>
                <w:rFonts w:ascii="Cambria" w:hAnsi="Cambria"/>
                <w:b/>
                <w:bCs/>
                <w:color w:val="FFFFFF" w:themeColor="background1"/>
                <w:sz w:val="20"/>
                <w:szCs w:val="20"/>
                <w:lang w:val="es-ES"/>
              </w:rPr>
              <w:t>Competencia</w:t>
            </w:r>
            <w:r w:rsidRPr="749ACC70">
              <w:rPr>
                <w:rFonts w:ascii="Cambria" w:hAnsi="Cambria"/>
                <w:b/>
                <w:bCs/>
                <w:i/>
                <w:iCs/>
                <w:color w:val="FFFFFF" w:themeColor="background1"/>
                <w:sz w:val="20"/>
                <w:szCs w:val="20"/>
                <w:lang w:val="es-ES"/>
              </w:rPr>
              <w:t xml:space="preserve"> Ratione loci</w:t>
            </w:r>
            <w:r w:rsidRPr="749ACC70">
              <w:rPr>
                <w:rFonts w:ascii="Cambria" w:hAnsi="Cambria"/>
                <w:b/>
                <w:bCs/>
                <w:color w:val="FFFFFF" w:themeColor="background1"/>
                <w:sz w:val="20"/>
                <w:szCs w:val="20"/>
                <w:lang w:val="es-ES"/>
              </w:rPr>
              <w:t>:</w:t>
            </w:r>
          </w:p>
        </w:tc>
        <w:tc>
          <w:tcPr>
            <w:tcW w:w="5575" w:type="dxa"/>
            <w:shd w:val="clear" w:color="auto" w:fill="auto"/>
            <w:vAlign w:val="center"/>
          </w:tcPr>
          <w:p w14:paraId="0740E588" w14:textId="77777777" w:rsidR="00ED6D2F" w:rsidRPr="00E9543F" w:rsidRDefault="00ED6D2F" w:rsidP="749ACC70">
            <w:pPr>
              <w:rPr>
                <w:rFonts w:ascii="Cambria" w:hAnsi="Cambria"/>
                <w:sz w:val="20"/>
                <w:szCs w:val="20"/>
                <w:lang w:val="es-ES"/>
              </w:rPr>
            </w:pPr>
            <w:r w:rsidRPr="749ACC70">
              <w:rPr>
                <w:rFonts w:ascii="Cambria" w:hAnsi="Cambria" w:cs="Univers"/>
                <w:color w:val="0D0D0D" w:themeColor="text1" w:themeTint="F2"/>
                <w:sz w:val="20"/>
                <w:szCs w:val="20"/>
                <w:lang w:val="es-ES"/>
              </w:rPr>
              <w:t>Sí</w:t>
            </w:r>
          </w:p>
        </w:tc>
      </w:tr>
      <w:tr w:rsidR="00ED6D2F" w:rsidRPr="00BD6C53" w14:paraId="2E61A984" w14:textId="77777777" w:rsidTr="749ACC70">
        <w:trPr>
          <w:cantSplit/>
          <w:trHeight w:val="282"/>
        </w:trPr>
        <w:tc>
          <w:tcPr>
            <w:tcW w:w="3492" w:type="dxa"/>
            <w:tcBorders>
              <w:top w:val="single" w:sz="6" w:space="0" w:color="auto"/>
              <w:bottom w:val="single" w:sz="6" w:space="0" w:color="auto"/>
            </w:tcBorders>
            <w:shd w:val="clear" w:color="auto" w:fill="386294"/>
            <w:vAlign w:val="center"/>
          </w:tcPr>
          <w:p w14:paraId="54977E9F" w14:textId="77777777" w:rsidR="00ED6D2F" w:rsidRPr="00BD6C53" w:rsidRDefault="00ED6D2F" w:rsidP="7EC42DB7">
            <w:pPr>
              <w:rPr>
                <w:rFonts w:ascii="Cambria" w:hAnsi="Cambria"/>
                <w:b/>
                <w:bCs/>
                <w:color w:val="FFFFFF"/>
                <w:sz w:val="20"/>
                <w:szCs w:val="20"/>
                <w:lang w:val="es-ES"/>
              </w:rPr>
            </w:pPr>
            <w:r w:rsidRPr="749ACC70">
              <w:rPr>
                <w:rFonts w:ascii="Cambria" w:hAnsi="Cambria"/>
                <w:b/>
                <w:bCs/>
                <w:color w:val="FFFFFF" w:themeColor="background1"/>
                <w:sz w:val="20"/>
                <w:szCs w:val="20"/>
                <w:lang w:val="es-ES"/>
              </w:rPr>
              <w:t>Competencia</w:t>
            </w:r>
            <w:r w:rsidRPr="749ACC70">
              <w:rPr>
                <w:rFonts w:ascii="Cambria" w:hAnsi="Cambria"/>
                <w:b/>
                <w:bCs/>
                <w:i/>
                <w:iCs/>
                <w:color w:val="FFFFFF" w:themeColor="background1"/>
                <w:sz w:val="20"/>
                <w:szCs w:val="20"/>
                <w:lang w:val="es-ES"/>
              </w:rPr>
              <w:t xml:space="preserve"> Ratione temporis</w:t>
            </w:r>
            <w:r w:rsidRPr="749ACC70">
              <w:rPr>
                <w:rFonts w:ascii="Cambria" w:hAnsi="Cambria"/>
                <w:b/>
                <w:bCs/>
                <w:color w:val="FFFFFF" w:themeColor="background1"/>
                <w:sz w:val="20"/>
                <w:szCs w:val="20"/>
                <w:lang w:val="es-ES"/>
              </w:rPr>
              <w:t>:</w:t>
            </w:r>
          </w:p>
        </w:tc>
        <w:tc>
          <w:tcPr>
            <w:tcW w:w="5575" w:type="dxa"/>
            <w:shd w:val="clear" w:color="auto" w:fill="auto"/>
            <w:vAlign w:val="center"/>
          </w:tcPr>
          <w:p w14:paraId="52E17566" w14:textId="77777777" w:rsidR="00ED6D2F" w:rsidRPr="00E9543F" w:rsidRDefault="00ED6D2F" w:rsidP="749ACC70">
            <w:pPr>
              <w:rPr>
                <w:rFonts w:ascii="Cambria" w:hAnsi="Cambria"/>
                <w:sz w:val="20"/>
                <w:szCs w:val="20"/>
                <w:lang w:val="es-ES"/>
              </w:rPr>
            </w:pPr>
            <w:r w:rsidRPr="749ACC70">
              <w:rPr>
                <w:rFonts w:ascii="Cambria" w:hAnsi="Cambria" w:cs="Univers"/>
                <w:color w:val="0D0D0D" w:themeColor="text1" w:themeTint="F2"/>
                <w:sz w:val="20"/>
                <w:szCs w:val="20"/>
                <w:lang w:val="es-ES"/>
              </w:rPr>
              <w:t>Sí</w:t>
            </w:r>
          </w:p>
        </w:tc>
      </w:tr>
      <w:tr w:rsidR="00ED6D2F" w:rsidRPr="00C00886" w14:paraId="4F3AD648" w14:textId="77777777" w:rsidTr="749ACC70">
        <w:trPr>
          <w:cantSplit/>
          <w:trHeight w:val="516"/>
        </w:trPr>
        <w:tc>
          <w:tcPr>
            <w:tcW w:w="3492" w:type="dxa"/>
            <w:tcBorders>
              <w:top w:val="single" w:sz="6" w:space="0" w:color="auto"/>
              <w:bottom w:val="single" w:sz="6" w:space="0" w:color="auto"/>
            </w:tcBorders>
            <w:shd w:val="clear" w:color="auto" w:fill="386294"/>
            <w:vAlign w:val="center"/>
          </w:tcPr>
          <w:p w14:paraId="73B0F029" w14:textId="77777777" w:rsidR="00ED6D2F" w:rsidRPr="00BD6C53" w:rsidRDefault="00ED6D2F" w:rsidP="7EC42DB7">
            <w:pPr>
              <w:rPr>
                <w:rFonts w:ascii="Cambria" w:hAnsi="Cambria"/>
                <w:b/>
                <w:bCs/>
                <w:color w:val="FFFFFF"/>
                <w:sz w:val="20"/>
                <w:szCs w:val="20"/>
                <w:lang w:val="es-ES"/>
              </w:rPr>
            </w:pPr>
            <w:r w:rsidRPr="749ACC70">
              <w:rPr>
                <w:rFonts w:ascii="Cambria" w:hAnsi="Cambria"/>
                <w:b/>
                <w:bCs/>
                <w:color w:val="FFFFFF" w:themeColor="background1"/>
                <w:sz w:val="20"/>
                <w:szCs w:val="20"/>
                <w:lang w:val="es-ES"/>
              </w:rPr>
              <w:t>Competencia</w:t>
            </w:r>
            <w:r w:rsidRPr="749ACC70">
              <w:rPr>
                <w:rFonts w:ascii="Cambria" w:hAnsi="Cambria"/>
                <w:b/>
                <w:bCs/>
                <w:i/>
                <w:iCs/>
                <w:color w:val="FFFFFF" w:themeColor="background1"/>
                <w:sz w:val="20"/>
                <w:szCs w:val="20"/>
                <w:lang w:val="es-ES"/>
              </w:rPr>
              <w:t xml:space="preserve"> Ratione materiae</w:t>
            </w:r>
            <w:r w:rsidRPr="749ACC70">
              <w:rPr>
                <w:rFonts w:ascii="Cambria" w:hAnsi="Cambria"/>
                <w:b/>
                <w:bCs/>
                <w:color w:val="FFFFFF" w:themeColor="background1"/>
                <w:sz w:val="20"/>
                <w:szCs w:val="20"/>
                <w:lang w:val="es-ES"/>
              </w:rPr>
              <w:t>:</w:t>
            </w:r>
          </w:p>
        </w:tc>
        <w:tc>
          <w:tcPr>
            <w:tcW w:w="5575" w:type="dxa"/>
            <w:shd w:val="clear" w:color="auto" w:fill="auto"/>
            <w:vAlign w:val="center"/>
          </w:tcPr>
          <w:p w14:paraId="65FA5279" w14:textId="77777777" w:rsidR="00ED6D2F" w:rsidRPr="00E9543F" w:rsidRDefault="00ED6D2F" w:rsidP="749ACC70">
            <w:pPr>
              <w:jc w:val="both"/>
              <w:rPr>
                <w:rFonts w:ascii="Cambria" w:hAnsi="Cambria"/>
                <w:sz w:val="20"/>
                <w:szCs w:val="20"/>
                <w:lang w:val="es-ES"/>
              </w:rPr>
            </w:pPr>
            <w:r w:rsidRPr="749ACC70">
              <w:rPr>
                <w:rFonts w:ascii="Cambria" w:hAnsi="Cambria" w:cs="Univers"/>
                <w:color w:val="0D0D0D" w:themeColor="text1" w:themeTint="F2"/>
                <w:sz w:val="20"/>
                <w:szCs w:val="20"/>
                <w:lang w:val="es-ES"/>
              </w:rPr>
              <w:t xml:space="preserve">Sí, </w:t>
            </w:r>
            <w:r w:rsidRPr="749ACC70">
              <w:rPr>
                <w:rFonts w:ascii="Cambria" w:hAnsi="Cambria"/>
                <w:sz w:val="20"/>
                <w:szCs w:val="20"/>
                <w:lang w:val="es-ES"/>
              </w:rPr>
              <w:t>Declaración Americana (depósito del instrumento de ratificación de la Carta de la OEA realizado el 16 de julio de 1952)</w:t>
            </w:r>
          </w:p>
        </w:tc>
      </w:tr>
      <w:tr w:rsidR="00ED6D2F" w:rsidRPr="00BD6C53" w14:paraId="39936532" w14:textId="77777777" w:rsidTr="749ACC70">
        <w:trPr>
          <w:cantSplit/>
          <w:trHeight w:val="516"/>
        </w:trPr>
        <w:tc>
          <w:tcPr>
            <w:tcW w:w="3492" w:type="dxa"/>
            <w:tcBorders>
              <w:top w:val="single" w:sz="6" w:space="0" w:color="auto"/>
              <w:bottom w:val="single" w:sz="6" w:space="0" w:color="auto"/>
            </w:tcBorders>
            <w:shd w:val="clear" w:color="auto" w:fill="386294"/>
            <w:vAlign w:val="center"/>
          </w:tcPr>
          <w:p w14:paraId="1F3B5855" w14:textId="19CD85A2" w:rsidR="00ED6D2F" w:rsidRPr="00E9543F" w:rsidRDefault="00ED6D2F" w:rsidP="002129D5">
            <w:pPr>
              <w:rPr>
                <w:rFonts w:ascii="Cambria" w:hAnsi="Cambria"/>
                <w:b/>
                <w:bCs/>
                <w:color w:val="FFFFFF"/>
                <w:sz w:val="20"/>
                <w:szCs w:val="20"/>
                <w:lang w:val="es-ES"/>
              </w:rPr>
            </w:pPr>
            <w:r w:rsidRPr="749ACC70">
              <w:rPr>
                <w:rFonts w:ascii="Cambria" w:hAnsi="Cambria"/>
                <w:b/>
                <w:bCs/>
                <w:color w:val="FFFFFF" w:themeColor="background1"/>
                <w:sz w:val="20"/>
                <w:szCs w:val="20"/>
                <w:lang w:val="es-ES"/>
              </w:rPr>
              <w:t>Duplicación de procedimientos y cosa juzgada internacional</w:t>
            </w:r>
          </w:p>
        </w:tc>
        <w:tc>
          <w:tcPr>
            <w:tcW w:w="5575" w:type="dxa"/>
            <w:shd w:val="clear" w:color="auto" w:fill="auto"/>
            <w:vAlign w:val="center"/>
          </w:tcPr>
          <w:p w14:paraId="42B875FE" w14:textId="77777777" w:rsidR="00ED6D2F" w:rsidRPr="00E9543F" w:rsidRDefault="00ED6D2F" w:rsidP="002129D5">
            <w:pPr>
              <w:rPr>
                <w:rFonts w:ascii="Cambria" w:hAnsi="Cambria" w:cs="Univers"/>
                <w:color w:val="0D0D0D"/>
                <w:sz w:val="20"/>
                <w:szCs w:val="20"/>
                <w:lang w:val="es-ES"/>
              </w:rPr>
            </w:pPr>
            <w:r w:rsidRPr="749ACC70">
              <w:rPr>
                <w:rFonts w:ascii="Cambria" w:hAnsi="Cambria" w:cs="Univers"/>
                <w:color w:val="0D0D0D" w:themeColor="text1" w:themeTint="F2"/>
                <w:sz w:val="20"/>
                <w:szCs w:val="20"/>
                <w:lang w:val="es-ES"/>
              </w:rPr>
              <w:t>No</w:t>
            </w:r>
          </w:p>
        </w:tc>
      </w:tr>
    </w:tbl>
    <w:p w14:paraId="669DF36C" w14:textId="77777777" w:rsidR="00ED6D2F" w:rsidRPr="00E9543F" w:rsidRDefault="00ED6D2F" w:rsidP="00CA1314">
      <w:pPr>
        <w:pStyle w:val="Heading2"/>
        <w:numPr>
          <w:ilvl w:val="0"/>
          <w:numId w:val="0"/>
        </w:numPr>
      </w:pPr>
    </w:p>
    <w:p w14:paraId="54906248" w14:textId="77777777" w:rsidR="00ED6D2F" w:rsidRPr="00E9543F" w:rsidRDefault="00ED6D2F" w:rsidP="00CA1314">
      <w:pPr>
        <w:pStyle w:val="Heading2"/>
        <w:numPr>
          <w:ilvl w:val="0"/>
          <w:numId w:val="0"/>
        </w:numPr>
      </w:pPr>
      <w:bookmarkStart w:id="11" w:name="_Toc110398963"/>
      <w:bookmarkStart w:id="12" w:name="_Toc216356077"/>
      <w:r>
        <w:t xml:space="preserve">B. </w:t>
      </w:r>
      <w:r>
        <w:tab/>
      </w:r>
      <w:bookmarkStart w:id="13" w:name="_Toc110398964"/>
      <w:bookmarkEnd w:id="11"/>
      <w:r>
        <w:t>Agotamiento de los recursos internos y plazo de presentación</w:t>
      </w:r>
      <w:bookmarkEnd w:id="12"/>
      <w:r>
        <w:t xml:space="preserve"> </w:t>
      </w:r>
      <w:bookmarkEnd w:id="13"/>
    </w:p>
    <w:p w14:paraId="42173B26" w14:textId="77777777" w:rsidR="00ED6D2F" w:rsidRPr="00E9543F" w:rsidRDefault="00ED6D2F" w:rsidP="749ACC70">
      <w:pPr>
        <w:pBdr>
          <w:top w:val="none" w:sz="0" w:space="0" w:color="auto"/>
          <w:left w:val="none" w:sz="0" w:space="0" w:color="auto"/>
          <w:bottom w:val="none" w:sz="0" w:space="0" w:color="auto"/>
          <w:right w:val="none" w:sz="0" w:space="0" w:color="auto"/>
          <w:between w:val="none" w:sz="0" w:space="0" w:color="auto"/>
          <w:bar w:val="none" w:sz="0" w:color="auto"/>
        </w:pBdr>
        <w:suppressAutoHyphens/>
        <w:ind w:right="288"/>
        <w:jc w:val="both"/>
        <w:rPr>
          <w:rFonts w:ascii="Cambria" w:hAnsi="Cambria"/>
          <w:sz w:val="20"/>
          <w:szCs w:val="20"/>
          <w:lang w:val="es-ES"/>
        </w:rPr>
      </w:pPr>
    </w:p>
    <w:p w14:paraId="3695A2AD" w14:textId="06C798C4" w:rsidR="00ED6D2F" w:rsidRPr="00BD6C53" w:rsidRDefault="00ED6D2F" w:rsidP="001A4728">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0" w:firstLine="0"/>
        <w:jc w:val="both"/>
        <w:rPr>
          <w:rFonts w:ascii="Cambria" w:hAnsi="Cambria"/>
          <w:sz w:val="20"/>
          <w:szCs w:val="20"/>
          <w:lang w:val="es-ES"/>
        </w:rPr>
      </w:pPr>
      <w:r w:rsidRPr="00BD6C53">
        <w:rPr>
          <w:rFonts w:ascii="Cambria" w:hAnsi="Cambria"/>
          <w:sz w:val="20"/>
          <w:szCs w:val="20"/>
          <w:lang w:val="es-ES"/>
        </w:rPr>
        <w:t>El artículo 31.1 del Reglamento de la CIDH exige el previo agotamiento de los recursos disponibles en la jurisdicción interna conforme a los principios de derecho internacional generalmente reconocidos, como requisito para la admisión de los reclamos presentados en la petición. Este requisito tiene como objeto permitir que las autoridades nacionales conozcan sobre la supuesta violación de un derecho protegido y, de ser apropiado, solucionen la situación antes de que sea conocida por una instancia internacional. Por su parte, el artículo 31.2 del Reglamento prevé que el requisito de previo agotamiento de los recursos internos no resulta aplicable cuando: i) no exista en la legislación interna del Estado de que se trata el debido proceso legal para la protección del derecho o derechos que se alega han sido violados; ii) no se haya permitido al presunto lesionado en sus derechos el acceso a los recursos a la jurisdicción interna, o haya sido impedido de agotarlos; o iii) haya retardo injustificado en la decisión sobre los mencionados recursos</w:t>
      </w:r>
      <w:r w:rsidRPr="00BD6C53">
        <w:rPr>
          <w:rStyle w:val="FootnoteReference"/>
          <w:rFonts w:ascii="Cambria" w:hAnsi="Cambria"/>
          <w:sz w:val="20"/>
          <w:szCs w:val="20"/>
          <w:lang w:val="es-ES"/>
        </w:rPr>
        <w:footnoteReference w:id="3"/>
      </w:r>
      <w:r w:rsidRPr="00BD6C53">
        <w:rPr>
          <w:rFonts w:ascii="Cambria" w:hAnsi="Cambria"/>
          <w:sz w:val="20"/>
          <w:szCs w:val="20"/>
          <w:lang w:val="es-ES"/>
        </w:rPr>
        <w:t>.</w:t>
      </w:r>
    </w:p>
    <w:p w14:paraId="3A92B740" w14:textId="748ACE99" w:rsidR="00ED6D2F" w:rsidRPr="00E9543F" w:rsidRDefault="00ED6D2F"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jc w:val="both"/>
        <w:rPr>
          <w:rFonts w:ascii="Cambria" w:hAnsi="Cambria"/>
          <w:sz w:val="20"/>
          <w:szCs w:val="20"/>
          <w:lang w:val="es-ES"/>
        </w:rPr>
      </w:pPr>
    </w:p>
    <w:p w14:paraId="2277CCAC" w14:textId="766F8F87" w:rsidR="00ED6D2F" w:rsidRPr="00E9543F" w:rsidRDefault="003B0B55" w:rsidP="001A4728">
      <w:pPr>
        <w:numPr>
          <w:ilvl w:val="0"/>
          <w:numId w:val="60"/>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suppressAutoHyphens/>
        <w:ind w:left="0" w:firstLine="0"/>
        <w:jc w:val="both"/>
        <w:rPr>
          <w:rStyle w:val="eop"/>
          <w:rFonts w:ascii="Cambria" w:hAnsi="Cambria"/>
          <w:sz w:val="20"/>
          <w:szCs w:val="20"/>
          <w:lang w:val="es-ES"/>
        </w:rPr>
      </w:pPr>
      <w:r w:rsidRPr="749ACC70">
        <w:rPr>
          <w:rStyle w:val="normaltextrun"/>
          <w:rFonts w:ascii="Cambria" w:hAnsi="Cambria"/>
          <w:sz w:val="20"/>
          <w:szCs w:val="20"/>
          <w:lang w:val="es-ES"/>
        </w:rPr>
        <w:t xml:space="preserve">La parte peticionaria </w:t>
      </w:r>
      <w:r w:rsidR="2BF193E6" w:rsidRPr="749ACC70">
        <w:rPr>
          <w:rStyle w:val="normaltextrun"/>
          <w:rFonts w:ascii="Cambria" w:hAnsi="Cambria"/>
          <w:sz w:val="20"/>
          <w:szCs w:val="20"/>
          <w:lang w:val="es-ES"/>
        </w:rPr>
        <w:t xml:space="preserve">planteó </w:t>
      </w:r>
      <w:r w:rsidRPr="749ACC70">
        <w:rPr>
          <w:rStyle w:val="normaltextrun"/>
          <w:rFonts w:ascii="Cambria" w:hAnsi="Cambria"/>
          <w:sz w:val="20"/>
          <w:szCs w:val="20"/>
          <w:lang w:val="es-ES"/>
        </w:rPr>
        <w:t>que no existió un debido proceso legal a nivel interno que permita agotar los recursos de forma correcta</w:t>
      </w:r>
      <w:r w:rsidR="00212978" w:rsidRPr="749ACC70">
        <w:rPr>
          <w:rStyle w:val="normaltextrun"/>
          <w:rFonts w:ascii="Cambria" w:hAnsi="Cambria"/>
          <w:sz w:val="20"/>
          <w:szCs w:val="20"/>
          <w:lang w:val="es-ES"/>
        </w:rPr>
        <w:t xml:space="preserve"> y proteja los derechos </w:t>
      </w:r>
      <w:r w:rsidR="009A5E52" w:rsidRPr="749ACC70">
        <w:rPr>
          <w:rStyle w:val="normaltextrun"/>
          <w:rFonts w:ascii="Cambria" w:hAnsi="Cambria"/>
          <w:sz w:val="20"/>
          <w:szCs w:val="20"/>
          <w:lang w:val="es-ES"/>
        </w:rPr>
        <w:t>vulnerados</w:t>
      </w:r>
      <w:r w:rsidRPr="749ACC70">
        <w:rPr>
          <w:rStyle w:val="normaltextrun"/>
          <w:rFonts w:ascii="Cambria" w:hAnsi="Cambria"/>
          <w:sz w:val="20"/>
          <w:szCs w:val="20"/>
          <w:lang w:val="es-ES"/>
        </w:rPr>
        <w:t>. Sostuvo que</w:t>
      </w:r>
      <w:r w:rsidR="272EECF2" w:rsidRPr="749ACC70">
        <w:rPr>
          <w:rStyle w:val="normaltextrun"/>
          <w:rFonts w:ascii="Cambria" w:hAnsi="Cambria"/>
          <w:sz w:val="20"/>
          <w:szCs w:val="20"/>
          <w:lang w:val="es-ES"/>
        </w:rPr>
        <w:t>,</w:t>
      </w:r>
      <w:r w:rsidRPr="749ACC70">
        <w:rPr>
          <w:rStyle w:val="normaltextrun"/>
          <w:rFonts w:ascii="Cambria" w:hAnsi="Cambria"/>
          <w:sz w:val="20"/>
          <w:szCs w:val="20"/>
          <w:lang w:val="es-ES"/>
        </w:rPr>
        <w:t xml:space="preserve"> debido a ello corresponde aplicar la excepción al agotamiento de recursos internos conforme al artículo </w:t>
      </w:r>
      <w:r w:rsidR="00212978" w:rsidRPr="749ACC70">
        <w:rPr>
          <w:rFonts w:ascii="Cambria" w:hAnsi="Cambria"/>
          <w:sz w:val="20"/>
          <w:szCs w:val="20"/>
          <w:lang w:val="es-ES"/>
        </w:rPr>
        <w:t>el artículo 31.2.i) del Reglamento de la CIDH</w:t>
      </w:r>
      <w:r w:rsidRPr="749ACC70">
        <w:rPr>
          <w:rFonts w:ascii="Cambria" w:hAnsi="Cambria"/>
          <w:sz w:val="20"/>
          <w:szCs w:val="20"/>
          <w:lang w:val="es-ES"/>
        </w:rPr>
        <w:t>. </w:t>
      </w:r>
      <w:r w:rsidR="005A1DC2" w:rsidRPr="749ACC70">
        <w:rPr>
          <w:rFonts w:ascii="Cambria" w:hAnsi="Cambria"/>
          <w:sz w:val="20"/>
          <w:szCs w:val="20"/>
          <w:lang w:val="es-ES"/>
        </w:rPr>
        <w:t xml:space="preserve">El Estado de Cuba no presentó observaciones sobre este alegato. </w:t>
      </w:r>
      <w:r w:rsidRPr="749ACC70">
        <w:rPr>
          <w:rFonts w:ascii="Cambria" w:hAnsi="Cambria"/>
          <w:sz w:val="20"/>
          <w:szCs w:val="20"/>
          <w:lang w:val="es-ES"/>
        </w:rPr>
        <w:t> </w:t>
      </w:r>
    </w:p>
    <w:p w14:paraId="5C2757C7" w14:textId="3EE7C5C6" w:rsidR="00ED6D2F" w:rsidRPr="00E9543F" w:rsidRDefault="00ED6D2F"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jc w:val="both"/>
        <w:rPr>
          <w:rStyle w:val="eop"/>
          <w:rFonts w:ascii="Cambria" w:hAnsi="Cambria"/>
          <w:sz w:val="20"/>
          <w:szCs w:val="20"/>
          <w:lang w:val="es-ES"/>
        </w:rPr>
      </w:pPr>
    </w:p>
    <w:p w14:paraId="5163A02A" w14:textId="6EC8764D" w:rsidR="00ED6D2F" w:rsidRPr="00E9543F" w:rsidRDefault="003B0B55" w:rsidP="001A4728">
      <w:pPr>
        <w:numPr>
          <w:ilvl w:val="0"/>
          <w:numId w:val="60"/>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suppressAutoHyphens/>
        <w:ind w:left="0" w:firstLine="0"/>
        <w:jc w:val="both"/>
        <w:rPr>
          <w:rFonts w:ascii="Cambria" w:hAnsi="Cambria"/>
          <w:sz w:val="20"/>
          <w:szCs w:val="20"/>
          <w:lang w:val="es-ES"/>
        </w:rPr>
      </w:pPr>
      <w:r w:rsidRPr="749ACC70">
        <w:rPr>
          <w:rStyle w:val="normaltextrun"/>
          <w:rFonts w:ascii="Cambria" w:hAnsi="Cambria"/>
          <w:color w:val="000000" w:themeColor="text1"/>
          <w:sz w:val="20"/>
          <w:szCs w:val="20"/>
          <w:lang w:val="es-ES"/>
        </w:rPr>
        <w:t xml:space="preserve">Al respecto, la CIDH </w:t>
      </w:r>
      <w:r w:rsidR="005A1DC2" w:rsidRPr="749ACC70">
        <w:rPr>
          <w:rStyle w:val="normaltextrun"/>
          <w:rFonts w:ascii="Cambria" w:hAnsi="Cambria"/>
          <w:color w:val="000000" w:themeColor="text1"/>
          <w:sz w:val="20"/>
          <w:szCs w:val="20"/>
          <w:lang w:val="es-ES"/>
        </w:rPr>
        <w:t>t</w:t>
      </w:r>
      <w:r w:rsidRPr="749ACC70">
        <w:rPr>
          <w:rStyle w:val="normaltextrun"/>
          <w:rFonts w:ascii="Cambria" w:hAnsi="Cambria"/>
          <w:color w:val="000000" w:themeColor="text1"/>
          <w:sz w:val="20"/>
          <w:szCs w:val="20"/>
          <w:lang w:val="es-ES"/>
        </w:rPr>
        <w:t>oma nota de que</w:t>
      </w:r>
      <w:r w:rsidR="004348AA" w:rsidRPr="749ACC70">
        <w:rPr>
          <w:rStyle w:val="normaltextrun"/>
          <w:rFonts w:ascii="Cambria" w:hAnsi="Cambria"/>
          <w:color w:val="000000" w:themeColor="text1"/>
          <w:sz w:val="20"/>
          <w:szCs w:val="20"/>
          <w:lang w:val="es-ES"/>
        </w:rPr>
        <w:t>,</w:t>
      </w:r>
      <w:r w:rsidRPr="749ACC70">
        <w:rPr>
          <w:rStyle w:val="normaltextrun"/>
          <w:rFonts w:ascii="Cambria" w:hAnsi="Cambria"/>
          <w:color w:val="000000" w:themeColor="text1"/>
          <w:sz w:val="20"/>
          <w:szCs w:val="20"/>
          <w:lang w:val="es-ES"/>
        </w:rPr>
        <w:t xml:space="preserve"> frente a la detención del señor Castillo Pérez</w:t>
      </w:r>
      <w:r w:rsidR="7B309A09" w:rsidRPr="749ACC70">
        <w:rPr>
          <w:rStyle w:val="normaltextrun"/>
          <w:rFonts w:ascii="Cambria" w:hAnsi="Cambria"/>
          <w:color w:val="000000" w:themeColor="text1"/>
          <w:sz w:val="20"/>
          <w:szCs w:val="20"/>
          <w:lang w:val="es-ES"/>
        </w:rPr>
        <w:t>,</w:t>
      </w:r>
      <w:r w:rsidRPr="749ACC70">
        <w:rPr>
          <w:rStyle w:val="normaltextrun"/>
          <w:rFonts w:ascii="Cambria" w:hAnsi="Cambria"/>
          <w:color w:val="000000" w:themeColor="text1"/>
          <w:sz w:val="20"/>
          <w:szCs w:val="20"/>
          <w:lang w:val="es-ES"/>
        </w:rPr>
        <w:t xml:space="preserve"> se presentó un recurso de </w:t>
      </w:r>
      <w:r w:rsidRPr="749ACC70">
        <w:rPr>
          <w:rStyle w:val="normaltextrun"/>
          <w:rFonts w:ascii="Cambria" w:hAnsi="Cambria"/>
          <w:i/>
          <w:iCs/>
          <w:color w:val="000000" w:themeColor="text1"/>
          <w:sz w:val="20"/>
          <w:szCs w:val="20"/>
          <w:lang w:val="es-ES"/>
        </w:rPr>
        <w:t>h</w:t>
      </w:r>
      <w:r w:rsidR="04086A66" w:rsidRPr="749ACC70">
        <w:rPr>
          <w:rStyle w:val="normaltextrun"/>
          <w:rFonts w:ascii="Cambria" w:hAnsi="Cambria"/>
          <w:i/>
          <w:iCs/>
          <w:color w:val="000000" w:themeColor="text1"/>
          <w:sz w:val="20"/>
          <w:szCs w:val="20"/>
          <w:lang w:val="es-ES"/>
        </w:rPr>
        <w:t>a</w:t>
      </w:r>
      <w:r w:rsidRPr="749ACC70">
        <w:rPr>
          <w:rStyle w:val="normaltextrun"/>
          <w:rFonts w:ascii="Cambria" w:hAnsi="Cambria"/>
          <w:i/>
          <w:iCs/>
          <w:color w:val="000000" w:themeColor="text1"/>
          <w:sz w:val="20"/>
          <w:szCs w:val="20"/>
          <w:lang w:val="es-ES"/>
        </w:rPr>
        <w:t>beas corpus</w:t>
      </w:r>
      <w:r w:rsidR="00BB5D05" w:rsidRPr="749ACC70">
        <w:rPr>
          <w:rStyle w:val="normaltextrun"/>
          <w:rFonts w:ascii="Cambria" w:hAnsi="Cambria"/>
          <w:i/>
          <w:iCs/>
          <w:color w:val="000000" w:themeColor="text1"/>
          <w:sz w:val="20"/>
          <w:szCs w:val="20"/>
          <w:lang w:val="es-ES"/>
        </w:rPr>
        <w:t xml:space="preserve"> </w:t>
      </w:r>
      <w:r w:rsidR="00BB5D05" w:rsidRPr="749ACC70">
        <w:rPr>
          <w:rStyle w:val="normaltextrun"/>
          <w:rFonts w:ascii="Cambria" w:hAnsi="Cambria"/>
          <w:color w:val="000000" w:themeColor="text1"/>
          <w:sz w:val="20"/>
          <w:szCs w:val="20"/>
          <w:lang w:val="es-ES"/>
        </w:rPr>
        <w:t>el</w:t>
      </w:r>
      <w:r w:rsidRPr="749ACC70">
        <w:rPr>
          <w:rStyle w:val="normaltextrun"/>
          <w:rFonts w:ascii="Cambria" w:hAnsi="Cambria"/>
          <w:color w:val="000000" w:themeColor="text1"/>
          <w:sz w:val="20"/>
          <w:szCs w:val="20"/>
          <w:lang w:val="es-ES"/>
        </w:rPr>
        <w:t xml:space="preserve"> </w:t>
      </w:r>
      <w:r w:rsidR="00B706C4" w:rsidRPr="749ACC70">
        <w:rPr>
          <w:rStyle w:val="normaltextrun"/>
          <w:rFonts w:ascii="Cambria" w:hAnsi="Cambria"/>
          <w:color w:val="000000" w:themeColor="text1"/>
          <w:sz w:val="20"/>
          <w:szCs w:val="20"/>
          <w:lang w:val="es-ES"/>
        </w:rPr>
        <w:t xml:space="preserve">1 de octubre de 2018, </w:t>
      </w:r>
      <w:r w:rsidRPr="749ACC70">
        <w:rPr>
          <w:rStyle w:val="normaltextrun"/>
          <w:rFonts w:ascii="Cambria" w:hAnsi="Cambria"/>
          <w:color w:val="000000" w:themeColor="text1"/>
          <w:sz w:val="20"/>
          <w:szCs w:val="20"/>
          <w:lang w:val="es-ES"/>
        </w:rPr>
        <w:t xml:space="preserve">el cual fue desestimado por </w:t>
      </w:r>
      <w:r w:rsidR="00B706C4" w:rsidRPr="749ACC70">
        <w:rPr>
          <w:rStyle w:val="normaltextrun"/>
          <w:rFonts w:ascii="Cambria" w:hAnsi="Cambria"/>
          <w:color w:val="000000" w:themeColor="text1"/>
          <w:sz w:val="20"/>
          <w:szCs w:val="20"/>
          <w:lang w:val="es-ES"/>
        </w:rPr>
        <w:t>el Tribunal</w:t>
      </w:r>
      <w:r w:rsidR="00B706C4" w:rsidRPr="749ACC70">
        <w:rPr>
          <w:rFonts w:ascii="Cambria" w:hAnsi="Cambria"/>
          <w:sz w:val="20"/>
          <w:szCs w:val="20"/>
          <w:lang w:val="es-ES"/>
        </w:rPr>
        <w:t xml:space="preserve"> Provincial Popular de La Habana, Sala Cuarta de lo Penal</w:t>
      </w:r>
      <w:r w:rsidRPr="749ACC70">
        <w:rPr>
          <w:rStyle w:val="normaltextrun"/>
          <w:rFonts w:ascii="Cambria" w:hAnsi="Cambria"/>
          <w:color w:val="000000" w:themeColor="text1"/>
          <w:sz w:val="20"/>
          <w:szCs w:val="20"/>
          <w:lang w:val="es-ES"/>
        </w:rPr>
        <w:t xml:space="preserve">. Posteriormente se apeló dicha decisión, y el </w:t>
      </w:r>
      <w:r w:rsidR="00850DB7" w:rsidRPr="749ACC70">
        <w:rPr>
          <w:rStyle w:val="normaltextrun"/>
          <w:rFonts w:ascii="Cambria" w:hAnsi="Cambria"/>
          <w:color w:val="000000" w:themeColor="text1"/>
          <w:sz w:val="20"/>
          <w:szCs w:val="20"/>
          <w:lang w:val="es-ES"/>
        </w:rPr>
        <w:t xml:space="preserve">1 de enero </w:t>
      </w:r>
      <w:r w:rsidR="00850DB7" w:rsidRPr="749ACC70">
        <w:rPr>
          <w:rFonts w:ascii="Cambria" w:hAnsi="Cambria"/>
          <w:sz w:val="20"/>
          <w:szCs w:val="20"/>
          <w:lang w:val="es-ES"/>
        </w:rPr>
        <w:t>de 2019 el Tribunal Supremo Popular</w:t>
      </w:r>
      <w:r w:rsidR="00A50F29" w:rsidRPr="749ACC70">
        <w:rPr>
          <w:rFonts w:ascii="Cambria" w:hAnsi="Cambria"/>
          <w:sz w:val="20"/>
          <w:szCs w:val="20"/>
          <w:lang w:val="es-ES"/>
        </w:rPr>
        <w:t xml:space="preserve"> </w:t>
      </w:r>
      <w:r w:rsidR="005A1DC2" w:rsidRPr="749ACC70">
        <w:rPr>
          <w:rFonts w:ascii="Cambria" w:hAnsi="Cambria"/>
          <w:sz w:val="20"/>
          <w:szCs w:val="20"/>
          <w:lang w:val="es-ES"/>
        </w:rPr>
        <w:t xml:space="preserve">confirmó el rechazo y </w:t>
      </w:r>
      <w:r w:rsidR="00850DB7" w:rsidRPr="749ACC70">
        <w:rPr>
          <w:rFonts w:ascii="Cambria" w:hAnsi="Cambria"/>
          <w:sz w:val="20"/>
          <w:szCs w:val="20"/>
          <w:lang w:val="es-ES"/>
        </w:rPr>
        <w:t>dispuso la apertura de juicio oral por el delito de atentado</w:t>
      </w:r>
      <w:r w:rsidRPr="749ACC70">
        <w:rPr>
          <w:rStyle w:val="normaltextrun"/>
          <w:rFonts w:ascii="Cambria" w:hAnsi="Cambria"/>
          <w:color w:val="000000" w:themeColor="text1"/>
          <w:sz w:val="20"/>
          <w:szCs w:val="20"/>
          <w:lang w:val="es-ES"/>
        </w:rPr>
        <w:t xml:space="preserve">. Adicionalmente, la Comisión </w:t>
      </w:r>
      <w:r w:rsidR="004348AA" w:rsidRPr="749ACC70">
        <w:rPr>
          <w:rStyle w:val="normaltextrun"/>
          <w:rFonts w:ascii="Cambria" w:hAnsi="Cambria"/>
          <w:color w:val="000000" w:themeColor="text1"/>
          <w:sz w:val="20"/>
          <w:szCs w:val="20"/>
          <w:lang w:val="es-ES"/>
        </w:rPr>
        <w:t>observa</w:t>
      </w:r>
      <w:r w:rsidRPr="749ACC70">
        <w:rPr>
          <w:rStyle w:val="normaltextrun"/>
          <w:rFonts w:ascii="Cambria" w:hAnsi="Cambria"/>
          <w:color w:val="000000" w:themeColor="text1"/>
          <w:sz w:val="20"/>
          <w:szCs w:val="20"/>
          <w:lang w:val="es-ES"/>
        </w:rPr>
        <w:t xml:space="preserve"> que el proceso penal seguido al señor Castillo Pérez culminó con una sentencia condenatoria el 22 de abril de 2019.</w:t>
      </w:r>
      <w:r w:rsidRPr="749ACC70">
        <w:rPr>
          <w:rStyle w:val="eop"/>
          <w:rFonts w:ascii="Cambria" w:hAnsi="Cambria"/>
          <w:color w:val="000000" w:themeColor="text1"/>
          <w:sz w:val="20"/>
          <w:szCs w:val="20"/>
          <w:lang w:val="es-ES"/>
        </w:rPr>
        <w:t> </w:t>
      </w:r>
    </w:p>
    <w:p w14:paraId="2C1E80EC" w14:textId="0C76D3D7" w:rsidR="00ED6D2F" w:rsidRPr="00E9543F" w:rsidRDefault="00ED6D2F"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jc w:val="both"/>
        <w:rPr>
          <w:rFonts w:ascii="Cambria" w:hAnsi="Cambria"/>
          <w:sz w:val="20"/>
          <w:szCs w:val="20"/>
          <w:lang w:val="es-ES"/>
        </w:rPr>
      </w:pPr>
    </w:p>
    <w:p w14:paraId="1D5BC054" w14:textId="047665B4" w:rsidR="00ED6D2F" w:rsidRPr="00BD6C53" w:rsidRDefault="00F65F7C" w:rsidP="001A4728">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0" w:firstLine="0"/>
        <w:jc w:val="both"/>
        <w:rPr>
          <w:rFonts w:ascii="Cambria" w:hAnsi="Cambria"/>
          <w:sz w:val="20"/>
          <w:szCs w:val="20"/>
          <w:lang w:val="es-ES"/>
        </w:rPr>
      </w:pPr>
      <w:r w:rsidRPr="749ACC70">
        <w:rPr>
          <w:rFonts w:ascii="Cambria" w:hAnsi="Cambria"/>
          <w:color w:val="000000" w:themeColor="text1"/>
          <w:sz w:val="20"/>
          <w:szCs w:val="20"/>
          <w:lang w:val="es-ES"/>
        </w:rPr>
        <w:t>En vista de lo señalado,</w:t>
      </w:r>
      <w:r w:rsidR="009D00C1" w:rsidRPr="749ACC70">
        <w:rPr>
          <w:rFonts w:ascii="Cambria" w:hAnsi="Cambria"/>
          <w:color w:val="000000" w:themeColor="text1"/>
          <w:sz w:val="20"/>
          <w:szCs w:val="20"/>
          <w:lang w:val="es-ES"/>
        </w:rPr>
        <w:t xml:space="preserve"> y que el Estad</w:t>
      </w:r>
      <w:r w:rsidR="001C32DB" w:rsidRPr="749ACC70">
        <w:rPr>
          <w:rFonts w:ascii="Cambria" w:hAnsi="Cambria"/>
          <w:color w:val="000000" w:themeColor="text1"/>
          <w:sz w:val="20"/>
          <w:szCs w:val="20"/>
          <w:lang w:val="es-ES"/>
        </w:rPr>
        <w:t>o</w:t>
      </w:r>
      <w:r w:rsidR="009D00C1" w:rsidRPr="749ACC70">
        <w:rPr>
          <w:rFonts w:ascii="Cambria" w:hAnsi="Cambria"/>
          <w:color w:val="000000" w:themeColor="text1"/>
          <w:sz w:val="20"/>
          <w:szCs w:val="20"/>
          <w:lang w:val="es-ES"/>
        </w:rPr>
        <w:t xml:space="preserve"> no presentó ninguna excepción preliminar par</w:t>
      </w:r>
      <w:r w:rsidR="001C32DB" w:rsidRPr="749ACC70">
        <w:rPr>
          <w:rFonts w:ascii="Cambria" w:hAnsi="Cambria"/>
          <w:color w:val="000000" w:themeColor="text1"/>
          <w:sz w:val="20"/>
          <w:szCs w:val="20"/>
          <w:lang w:val="es-ES"/>
        </w:rPr>
        <w:t>a</w:t>
      </w:r>
      <w:r w:rsidR="009D00C1" w:rsidRPr="749ACC70">
        <w:rPr>
          <w:rFonts w:ascii="Cambria" w:hAnsi="Cambria"/>
          <w:color w:val="000000" w:themeColor="text1"/>
          <w:sz w:val="20"/>
          <w:szCs w:val="20"/>
          <w:lang w:val="es-ES"/>
        </w:rPr>
        <w:t xml:space="preserve"> objetar la admisibilidad del caso,</w:t>
      </w:r>
      <w:r w:rsidRPr="749ACC70">
        <w:rPr>
          <w:rFonts w:ascii="Cambria" w:hAnsi="Cambria"/>
          <w:color w:val="000000" w:themeColor="text1"/>
          <w:sz w:val="20"/>
          <w:szCs w:val="20"/>
          <w:lang w:val="es-ES"/>
        </w:rPr>
        <w:t xml:space="preserve"> la CIDH concluye que con la sentencia condenatoria de 22 de abril de 2019 se cumplió con el requisito de agotamiento de recursos internos conforme al </w:t>
      </w:r>
      <w:r w:rsidRPr="749ACC70">
        <w:rPr>
          <w:rStyle w:val="normaltextrun"/>
          <w:rFonts w:ascii="Cambria" w:hAnsi="Cambria"/>
          <w:color w:val="000000" w:themeColor="text1"/>
          <w:sz w:val="20"/>
          <w:szCs w:val="20"/>
          <w:lang w:val="es-ES"/>
        </w:rPr>
        <w:t>artículo 31.1 del Reglamento de la CIDH</w:t>
      </w:r>
      <w:r w:rsidRPr="749ACC70">
        <w:rPr>
          <w:rFonts w:ascii="Cambria" w:hAnsi="Cambria"/>
          <w:sz w:val="20"/>
          <w:szCs w:val="20"/>
          <w:lang w:val="es-ES"/>
        </w:rPr>
        <w:t>. Asimismo, tomando en cuenta que la petición fue presentada el 4 de octubre de 2018, y la última decisión fue emitida el 22 de abril de 2019, la petición fue presentada de forma oportuna, con lo cual se satisface el requisito dispuesto en el artículo 32 del Reglamento de la Comisión.</w:t>
      </w:r>
    </w:p>
    <w:p w14:paraId="1ABF8CDD" w14:textId="77777777" w:rsidR="00ED6D2F" w:rsidRPr="00E9543F" w:rsidRDefault="00ED6D2F"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jc w:val="both"/>
        <w:rPr>
          <w:rFonts w:ascii="Cambria" w:hAnsi="Cambria"/>
          <w:sz w:val="20"/>
          <w:szCs w:val="20"/>
          <w:lang w:val="es-ES"/>
        </w:rPr>
      </w:pPr>
    </w:p>
    <w:p w14:paraId="418BAFA2" w14:textId="43B07DE9" w:rsidR="00ED6D2F" w:rsidRPr="00E9543F" w:rsidRDefault="00ED6D2F" w:rsidP="00CA1314">
      <w:pPr>
        <w:pStyle w:val="Heading2"/>
        <w:numPr>
          <w:ilvl w:val="0"/>
          <w:numId w:val="0"/>
        </w:numPr>
      </w:pPr>
      <w:bookmarkStart w:id="14" w:name="_Toc110398966"/>
      <w:bookmarkStart w:id="15" w:name="_Toc216356078"/>
      <w:r>
        <w:t xml:space="preserve">C. </w:t>
      </w:r>
      <w:r>
        <w:tab/>
        <w:t>Caracterización de los hechos alegados</w:t>
      </w:r>
      <w:bookmarkEnd w:id="14"/>
      <w:bookmarkEnd w:id="15"/>
    </w:p>
    <w:p w14:paraId="26DDC048" w14:textId="77777777" w:rsidR="00ED6D2F" w:rsidRPr="00E9543F" w:rsidRDefault="00ED6D2F" w:rsidP="4AEC06F1">
      <w:pPr>
        <w:rPr>
          <w:rFonts w:ascii="Cambria" w:eastAsia="SimSun" w:hAnsi="Cambria"/>
          <w:sz w:val="20"/>
          <w:szCs w:val="20"/>
          <w:lang w:val="es-ES"/>
        </w:rPr>
      </w:pPr>
    </w:p>
    <w:p w14:paraId="4002CD29" w14:textId="6CF40C56" w:rsidR="003B0B55" w:rsidRPr="00E9543F" w:rsidRDefault="00B706C4" w:rsidP="001A4728">
      <w:pPr>
        <w:numPr>
          <w:ilvl w:val="0"/>
          <w:numId w:val="60"/>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suppressAutoHyphens/>
        <w:ind w:left="0" w:firstLine="0"/>
        <w:jc w:val="both"/>
        <w:rPr>
          <w:rFonts w:ascii="Cambria" w:hAnsi="Cambria"/>
          <w:sz w:val="20"/>
          <w:szCs w:val="20"/>
          <w:lang w:val="es-ES"/>
        </w:rPr>
      </w:pPr>
      <w:r w:rsidRPr="749ACC70">
        <w:rPr>
          <w:rFonts w:ascii="Cambria" w:hAnsi="Cambria"/>
          <w:sz w:val="20"/>
          <w:szCs w:val="20"/>
          <w:lang w:val="es-ES"/>
        </w:rPr>
        <w:t>A los efectos de la admisibilidad, la Comisión debe decidir si los hechos alegados pueden caracterizar una violación de derechos, según lo estipulado en el artículo 47(b) de la Convención Americana</w:t>
      </w:r>
      <w:r w:rsidR="54D97030" w:rsidRPr="749ACC70">
        <w:rPr>
          <w:rFonts w:ascii="Cambria" w:hAnsi="Cambria"/>
          <w:sz w:val="20"/>
          <w:szCs w:val="20"/>
          <w:lang w:val="es-ES"/>
        </w:rPr>
        <w:t>;</w:t>
      </w:r>
      <w:r w:rsidRPr="749ACC70">
        <w:rPr>
          <w:rFonts w:ascii="Cambria" w:hAnsi="Cambria"/>
          <w:sz w:val="20"/>
          <w:szCs w:val="20"/>
          <w:lang w:val="es-ES"/>
        </w:rPr>
        <w:t xml:space="preserve"> o si la petición es </w:t>
      </w:r>
      <w:r w:rsidR="20451F46" w:rsidRPr="749ACC70">
        <w:rPr>
          <w:rFonts w:ascii="Cambria" w:hAnsi="Cambria"/>
          <w:sz w:val="20"/>
          <w:szCs w:val="20"/>
          <w:lang w:val="es-ES"/>
        </w:rPr>
        <w:t>“</w:t>
      </w:r>
      <w:r w:rsidRPr="749ACC70">
        <w:rPr>
          <w:rFonts w:ascii="Cambria" w:hAnsi="Cambria"/>
          <w:sz w:val="20"/>
          <w:szCs w:val="20"/>
          <w:lang w:val="es-ES"/>
        </w:rPr>
        <w:t>manifiestamente infundada</w:t>
      </w:r>
      <w:r w:rsidR="77FACD92" w:rsidRPr="749ACC70">
        <w:rPr>
          <w:rFonts w:ascii="Cambria" w:hAnsi="Cambria"/>
          <w:sz w:val="20"/>
          <w:szCs w:val="20"/>
          <w:lang w:val="es-ES"/>
        </w:rPr>
        <w:t>”"</w:t>
      </w:r>
      <w:r w:rsidRPr="749ACC70">
        <w:rPr>
          <w:rFonts w:ascii="Cambria" w:hAnsi="Cambria"/>
          <w:sz w:val="20"/>
          <w:szCs w:val="20"/>
          <w:lang w:val="es-ES"/>
        </w:rPr>
        <w:t xml:space="preserve"> o es </w:t>
      </w:r>
      <w:r w:rsidR="586B0908" w:rsidRPr="749ACC70">
        <w:rPr>
          <w:rFonts w:ascii="Cambria" w:hAnsi="Cambria"/>
          <w:sz w:val="20"/>
          <w:szCs w:val="20"/>
          <w:lang w:val="es-ES"/>
        </w:rPr>
        <w:t>“</w:t>
      </w:r>
      <w:r w:rsidRPr="749ACC70">
        <w:rPr>
          <w:rFonts w:ascii="Cambria" w:hAnsi="Cambria"/>
          <w:sz w:val="20"/>
          <w:szCs w:val="20"/>
          <w:lang w:val="es-ES"/>
        </w:rPr>
        <w:t>evidente su total improcedencia</w:t>
      </w:r>
      <w:r w:rsidR="19C4384B" w:rsidRPr="749ACC70">
        <w:rPr>
          <w:rFonts w:ascii="Cambria" w:hAnsi="Cambria"/>
          <w:sz w:val="20"/>
          <w:szCs w:val="20"/>
          <w:lang w:val="es-ES"/>
        </w:rPr>
        <w:t>”</w:t>
      </w:r>
      <w:r w:rsidRPr="749ACC70">
        <w:rPr>
          <w:rFonts w:ascii="Cambria" w:hAnsi="Cambria"/>
          <w:sz w:val="20"/>
          <w:szCs w:val="20"/>
          <w:lang w:val="es-ES"/>
        </w:rPr>
        <w:t xml:space="preserve">, conforme al inciso (c) de dicho artículo. </w:t>
      </w:r>
      <w:r w:rsidRPr="749ACC70">
        <w:rPr>
          <w:rFonts w:ascii="Cambria" w:hAnsi="Cambria"/>
          <w:sz w:val="20"/>
          <w:szCs w:val="20"/>
          <w:lang w:val="es-ES"/>
        </w:rPr>
        <w:lastRenderedPageBreak/>
        <w:t xml:space="preserve">El criterio de evaluación de esos requisitos difiere del que se utiliza para pronunciarse sobre el fondo de un caso. La Comisión debe realizar una evaluación </w:t>
      </w:r>
      <w:r w:rsidRPr="749ACC70">
        <w:rPr>
          <w:rFonts w:ascii="Cambria" w:hAnsi="Cambria"/>
          <w:i/>
          <w:iCs/>
          <w:sz w:val="20"/>
          <w:szCs w:val="20"/>
          <w:lang w:val="es-ES"/>
        </w:rPr>
        <w:t>prima facie</w:t>
      </w:r>
      <w:r w:rsidRPr="749ACC70">
        <w:rPr>
          <w:rFonts w:ascii="Cambria" w:hAnsi="Cambria"/>
          <w:sz w:val="20"/>
          <w:szCs w:val="20"/>
          <w:lang w:val="es-ES"/>
        </w:rPr>
        <w:t xml:space="preserve"> para determinar si la petición establece el fundamento de la violación, posible o potencial, de un derecho garantizado por la Convención, pero no </w:t>
      </w:r>
      <w:r w:rsidR="5AF28C17" w:rsidRPr="749ACC70">
        <w:rPr>
          <w:rFonts w:ascii="Cambria" w:hAnsi="Cambria"/>
          <w:sz w:val="20"/>
          <w:szCs w:val="20"/>
          <w:lang w:val="es-ES"/>
        </w:rPr>
        <w:t>para definir</w:t>
      </w:r>
      <w:r w:rsidRPr="749ACC70">
        <w:rPr>
          <w:rFonts w:ascii="Cambria" w:hAnsi="Cambria"/>
          <w:sz w:val="20"/>
          <w:szCs w:val="20"/>
          <w:lang w:val="es-ES"/>
        </w:rPr>
        <w:t xml:space="preserve"> la existencia de una violación de derechos. Esta determinación constituye un análisis primario, que no implica prejuzgar sobre el fondo del </w:t>
      </w:r>
      <w:r w:rsidRPr="749ACC70">
        <w:rPr>
          <w:rStyle w:val="normaltextrun"/>
          <w:rFonts w:ascii="Cambria" w:hAnsi="Cambria"/>
          <w:color w:val="000000" w:themeColor="text1"/>
          <w:sz w:val="20"/>
          <w:szCs w:val="20"/>
          <w:lang w:val="es-ES"/>
        </w:rPr>
        <w:t>asunto.</w:t>
      </w:r>
    </w:p>
    <w:p w14:paraId="2F4F984D" w14:textId="47276C02" w:rsidR="003B0B55" w:rsidRPr="00E9543F" w:rsidRDefault="003B0B55"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jc w:val="both"/>
        <w:rPr>
          <w:rFonts w:ascii="Cambria" w:hAnsi="Cambria"/>
          <w:sz w:val="20"/>
          <w:szCs w:val="20"/>
          <w:lang w:val="es-ES"/>
        </w:rPr>
      </w:pPr>
    </w:p>
    <w:p w14:paraId="380A3AE6" w14:textId="28658D99" w:rsidR="003B0B55" w:rsidRPr="00E9543F" w:rsidRDefault="003B0B55" w:rsidP="001A4728">
      <w:pPr>
        <w:numPr>
          <w:ilvl w:val="0"/>
          <w:numId w:val="60"/>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suppressAutoHyphens/>
        <w:ind w:left="0" w:firstLine="0"/>
        <w:jc w:val="both"/>
        <w:rPr>
          <w:rStyle w:val="eop"/>
          <w:rFonts w:ascii="Cambria" w:hAnsi="Cambria"/>
          <w:sz w:val="20"/>
          <w:szCs w:val="20"/>
          <w:lang w:val="es-ES"/>
        </w:rPr>
      </w:pPr>
      <w:r w:rsidRPr="749ACC70">
        <w:rPr>
          <w:rStyle w:val="normaltextrun"/>
          <w:rFonts w:ascii="Cambria" w:hAnsi="Cambria"/>
          <w:color w:val="000000" w:themeColor="text1"/>
          <w:sz w:val="20"/>
          <w:szCs w:val="20"/>
          <w:lang w:val="es-ES"/>
        </w:rPr>
        <w:t>En vista de lo</w:t>
      </w:r>
      <w:r w:rsidR="4D06B905" w:rsidRPr="749ACC70">
        <w:rPr>
          <w:rStyle w:val="normaltextrun"/>
          <w:rFonts w:ascii="Cambria" w:hAnsi="Cambria"/>
          <w:color w:val="000000" w:themeColor="text1"/>
          <w:sz w:val="20"/>
          <w:szCs w:val="20"/>
          <w:lang w:val="es-ES"/>
        </w:rPr>
        <w:t xml:space="preserve"> presentado </w:t>
      </w:r>
      <w:r w:rsidRPr="749ACC70">
        <w:rPr>
          <w:rStyle w:val="normaltextrun"/>
          <w:rFonts w:ascii="Cambria" w:hAnsi="Cambria"/>
          <w:color w:val="000000" w:themeColor="text1"/>
          <w:sz w:val="20"/>
          <w:szCs w:val="20"/>
          <w:lang w:val="es-ES"/>
        </w:rPr>
        <w:t>por</w:t>
      </w:r>
      <w:r w:rsidRPr="749ACC70">
        <w:rPr>
          <w:rStyle w:val="normaltextrun"/>
          <w:rFonts w:ascii="Cambria" w:hAnsi="Cambria"/>
          <w:sz w:val="20"/>
          <w:szCs w:val="20"/>
          <w:lang w:val="es-ES"/>
        </w:rPr>
        <w:t xml:space="preserve"> la parte peticionaria, la CIDH considera que se pueden caracterizar violaciones de los </w:t>
      </w:r>
      <w:r w:rsidRPr="749ACC70">
        <w:rPr>
          <w:rFonts w:ascii="Cambria" w:eastAsia="SimSun" w:hAnsi="Cambria"/>
          <w:sz w:val="20"/>
          <w:szCs w:val="20"/>
          <w:lang w:val="es-ES"/>
        </w:rPr>
        <w:t>derechos</w:t>
      </w:r>
      <w:r w:rsidRPr="749ACC70">
        <w:rPr>
          <w:rStyle w:val="normaltextrun"/>
          <w:rFonts w:ascii="Cambria" w:hAnsi="Cambria"/>
          <w:sz w:val="20"/>
          <w:szCs w:val="20"/>
          <w:lang w:val="es-ES"/>
        </w:rPr>
        <w:t xml:space="preserve"> protegidos en los artículos I</w:t>
      </w:r>
      <w:r w:rsidR="00165CF6" w:rsidRPr="749ACC70">
        <w:rPr>
          <w:rStyle w:val="normaltextrun"/>
          <w:rFonts w:ascii="Cambria" w:hAnsi="Cambria"/>
          <w:sz w:val="20"/>
          <w:szCs w:val="20"/>
          <w:lang w:val="es-ES"/>
        </w:rPr>
        <w:t xml:space="preserve"> (</w:t>
      </w:r>
      <w:r w:rsidR="00165CF6" w:rsidRPr="749ACC70">
        <w:rPr>
          <w:rFonts w:ascii="Cambria" w:hAnsi="Cambria"/>
          <w:sz w:val="20"/>
          <w:szCs w:val="20"/>
          <w:lang w:val="es-ES"/>
        </w:rPr>
        <w:t>derecho a la vida, a la libertad, a la seguridad e integridad de la persona</w:t>
      </w:r>
      <w:r w:rsidR="00165CF6" w:rsidRPr="749ACC70">
        <w:rPr>
          <w:rStyle w:val="normaltextrun"/>
          <w:rFonts w:ascii="Cambria" w:hAnsi="Cambria"/>
          <w:sz w:val="20"/>
          <w:szCs w:val="20"/>
          <w:lang w:val="es-ES"/>
        </w:rPr>
        <w:t>)</w:t>
      </w:r>
      <w:r w:rsidRPr="749ACC70">
        <w:rPr>
          <w:rStyle w:val="normaltextrun"/>
          <w:rFonts w:ascii="Cambria" w:hAnsi="Cambria"/>
          <w:sz w:val="20"/>
          <w:szCs w:val="20"/>
          <w:lang w:val="es-ES"/>
        </w:rPr>
        <w:t>, II</w:t>
      </w:r>
      <w:r w:rsidR="00165CF6" w:rsidRPr="749ACC70">
        <w:rPr>
          <w:rStyle w:val="normaltextrun"/>
          <w:rFonts w:ascii="Cambria" w:hAnsi="Cambria"/>
          <w:sz w:val="20"/>
          <w:szCs w:val="20"/>
          <w:lang w:val="es-ES"/>
        </w:rPr>
        <w:t xml:space="preserve"> (</w:t>
      </w:r>
      <w:r w:rsidR="00165CF6" w:rsidRPr="749ACC70">
        <w:rPr>
          <w:rFonts w:ascii="Cambria" w:hAnsi="Cambria"/>
          <w:sz w:val="20"/>
          <w:szCs w:val="20"/>
          <w:lang w:val="es-ES"/>
        </w:rPr>
        <w:t>principio de igualdad ante la ley)</w:t>
      </w:r>
      <w:r w:rsidRPr="749ACC70">
        <w:rPr>
          <w:rStyle w:val="normaltextrun"/>
          <w:rFonts w:ascii="Cambria" w:hAnsi="Cambria"/>
          <w:sz w:val="20"/>
          <w:szCs w:val="20"/>
          <w:lang w:val="es-ES"/>
        </w:rPr>
        <w:t xml:space="preserve">, </w:t>
      </w:r>
      <w:r w:rsidRPr="749ACC70">
        <w:rPr>
          <w:rStyle w:val="normaltextrun"/>
          <w:rFonts w:ascii="Cambria" w:hAnsi="Cambria"/>
          <w:color w:val="000000" w:themeColor="text1"/>
          <w:sz w:val="20"/>
          <w:szCs w:val="20"/>
          <w:lang w:val="es-ES"/>
        </w:rPr>
        <w:t>IV</w:t>
      </w:r>
      <w:r w:rsidR="00165CF6" w:rsidRPr="749ACC70">
        <w:rPr>
          <w:rStyle w:val="normaltextrun"/>
          <w:rFonts w:ascii="Cambria" w:hAnsi="Cambria"/>
          <w:color w:val="000000" w:themeColor="text1"/>
          <w:sz w:val="20"/>
          <w:szCs w:val="20"/>
          <w:lang w:val="es-ES"/>
        </w:rPr>
        <w:t xml:space="preserve"> (derecho </w:t>
      </w:r>
      <w:r w:rsidR="00165CF6" w:rsidRPr="749ACC70">
        <w:rPr>
          <w:rFonts w:ascii="Cambria" w:hAnsi="Cambria"/>
          <w:sz w:val="20"/>
          <w:szCs w:val="20"/>
          <w:lang w:val="es-ES"/>
        </w:rPr>
        <w:t>a la libertad de investigación, opinión, expresión y difusión</w:t>
      </w:r>
      <w:r w:rsidR="00165CF6" w:rsidRPr="749ACC70">
        <w:rPr>
          <w:rStyle w:val="normaltextrun"/>
          <w:rFonts w:ascii="Cambria" w:hAnsi="Cambria"/>
          <w:color w:val="000000" w:themeColor="text1"/>
          <w:sz w:val="20"/>
          <w:szCs w:val="20"/>
          <w:lang w:val="es-ES"/>
        </w:rPr>
        <w:t>)</w:t>
      </w:r>
      <w:r w:rsidRPr="749ACC70">
        <w:rPr>
          <w:rStyle w:val="normaltextrun"/>
          <w:rFonts w:ascii="Cambria" w:hAnsi="Cambria"/>
          <w:color w:val="000000" w:themeColor="text1"/>
          <w:sz w:val="20"/>
          <w:szCs w:val="20"/>
          <w:lang w:val="es-ES"/>
        </w:rPr>
        <w:t>, XIII</w:t>
      </w:r>
      <w:r w:rsidR="00165CF6" w:rsidRPr="749ACC70">
        <w:rPr>
          <w:rStyle w:val="normaltextrun"/>
          <w:rFonts w:ascii="Cambria" w:hAnsi="Cambria"/>
          <w:color w:val="000000" w:themeColor="text1"/>
          <w:sz w:val="20"/>
          <w:szCs w:val="20"/>
          <w:lang w:val="es-ES"/>
        </w:rPr>
        <w:t xml:space="preserve"> (</w:t>
      </w:r>
      <w:r w:rsidR="00165CF6" w:rsidRPr="749ACC70">
        <w:rPr>
          <w:rFonts w:ascii="Cambria" w:hAnsi="Cambria"/>
          <w:sz w:val="20"/>
          <w:szCs w:val="20"/>
          <w:lang w:val="es-ES"/>
        </w:rPr>
        <w:t>derecho a participar en la vida cultural de la comunidad)</w:t>
      </w:r>
      <w:r w:rsidRPr="749ACC70">
        <w:rPr>
          <w:rStyle w:val="normaltextrun"/>
          <w:rFonts w:ascii="Cambria" w:hAnsi="Cambria"/>
          <w:color w:val="000000" w:themeColor="text1"/>
          <w:sz w:val="20"/>
          <w:szCs w:val="20"/>
          <w:lang w:val="es-ES"/>
        </w:rPr>
        <w:t>, XVIII</w:t>
      </w:r>
      <w:r w:rsidR="00165CF6" w:rsidRPr="749ACC70">
        <w:rPr>
          <w:rStyle w:val="normaltextrun"/>
          <w:rFonts w:ascii="Cambria" w:hAnsi="Cambria"/>
          <w:color w:val="000000" w:themeColor="text1"/>
          <w:sz w:val="20"/>
          <w:szCs w:val="20"/>
          <w:lang w:val="es-ES"/>
        </w:rPr>
        <w:t xml:space="preserve"> (derecho a la justicia)</w:t>
      </w:r>
      <w:r w:rsidRPr="749ACC70">
        <w:rPr>
          <w:rStyle w:val="normaltextrun"/>
          <w:rFonts w:ascii="Cambria" w:hAnsi="Cambria"/>
          <w:color w:val="000000" w:themeColor="text1"/>
          <w:sz w:val="20"/>
          <w:szCs w:val="20"/>
          <w:lang w:val="es-ES"/>
        </w:rPr>
        <w:t>, XXII</w:t>
      </w:r>
      <w:r w:rsidR="29C97A42" w:rsidRPr="749ACC70">
        <w:rPr>
          <w:rStyle w:val="normaltextrun"/>
          <w:rFonts w:ascii="Cambria" w:hAnsi="Cambria"/>
          <w:color w:val="000000" w:themeColor="text1"/>
          <w:sz w:val="20"/>
          <w:szCs w:val="20"/>
          <w:lang w:val="es-ES"/>
        </w:rPr>
        <w:t xml:space="preserve"> (derecho de asociación)</w:t>
      </w:r>
      <w:r w:rsidRPr="749ACC70">
        <w:rPr>
          <w:rStyle w:val="normaltextrun"/>
          <w:rFonts w:ascii="Cambria" w:hAnsi="Cambria"/>
          <w:color w:val="000000" w:themeColor="text1"/>
          <w:sz w:val="20"/>
          <w:szCs w:val="20"/>
          <w:lang w:val="es-ES"/>
        </w:rPr>
        <w:t xml:space="preserve">, XXV </w:t>
      </w:r>
      <w:r w:rsidR="00165CF6" w:rsidRPr="749ACC70">
        <w:rPr>
          <w:rStyle w:val="normaltextrun"/>
          <w:rFonts w:ascii="Cambria" w:hAnsi="Cambria"/>
          <w:color w:val="000000" w:themeColor="text1"/>
          <w:sz w:val="20"/>
          <w:szCs w:val="20"/>
          <w:lang w:val="es-ES"/>
        </w:rPr>
        <w:t xml:space="preserve">(derecho a la libertad personal) </w:t>
      </w:r>
      <w:r w:rsidRPr="749ACC70">
        <w:rPr>
          <w:rStyle w:val="normaltextrun"/>
          <w:rFonts w:ascii="Cambria" w:hAnsi="Cambria"/>
          <w:color w:val="000000" w:themeColor="text1"/>
          <w:sz w:val="20"/>
          <w:szCs w:val="20"/>
          <w:lang w:val="es-ES"/>
        </w:rPr>
        <w:t xml:space="preserve">y XXVI </w:t>
      </w:r>
      <w:r w:rsidR="00165CF6" w:rsidRPr="749ACC70">
        <w:rPr>
          <w:rStyle w:val="normaltextrun"/>
          <w:rFonts w:ascii="Cambria" w:hAnsi="Cambria"/>
          <w:color w:val="000000" w:themeColor="text1"/>
          <w:sz w:val="20"/>
          <w:szCs w:val="20"/>
          <w:lang w:val="es-ES"/>
        </w:rPr>
        <w:t xml:space="preserve">(derecho a un proceso regular) </w:t>
      </w:r>
      <w:r w:rsidRPr="749ACC70">
        <w:rPr>
          <w:rStyle w:val="normaltextrun"/>
          <w:rFonts w:ascii="Cambria" w:hAnsi="Cambria"/>
          <w:color w:val="000000" w:themeColor="text1"/>
          <w:sz w:val="20"/>
          <w:szCs w:val="20"/>
          <w:lang w:val="es-ES"/>
        </w:rPr>
        <w:t xml:space="preserve">de la Declaración Americana </w:t>
      </w:r>
      <w:r w:rsidRPr="749ACC70">
        <w:rPr>
          <w:rStyle w:val="normaltextrun"/>
          <w:rFonts w:ascii="Cambria" w:hAnsi="Cambria"/>
          <w:sz w:val="20"/>
          <w:szCs w:val="20"/>
          <w:lang w:val="es-ES"/>
        </w:rPr>
        <w:t>de Derechos y Deberes del Hombre. </w:t>
      </w:r>
      <w:r w:rsidRPr="749ACC70">
        <w:rPr>
          <w:rStyle w:val="eop"/>
          <w:rFonts w:ascii="Cambria" w:hAnsi="Cambria"/>
          <w:sz w:val="20"/>
          <w:szCs w:val="20"/>
          <w:lang w:val="es-ES"/>
        </w:rPr>
        <w:t> </w:t>
      </w:r>
      <w:r w:rsidR="00165CF6" w:rsidRPr="749ACC70">
        <w:rPr>
          <w:rStyle w:val="eop"/>
          <w:rFonts w:ascii="Cambria" w:hAnsi="Cambria"/>
          <w:sz w:val="20"/>
          <w:szCs w:val="20"/>
          <w:lang w:val="es-ES"/>
        </w:rPr>
        <w:t xml:space="preserve"> </w:t>
      </w:r>
    </w:p>
    <w:p w14:paraId="2A396DFD" w14:textId="77777777" w:rsidR="00ED6D2F" w:rsidRPr="00E9543F" w:rsidRDefault="00ED6D2F"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color w:val="000000" w:themeColor="text1"/>
          <w:sz w:val="20"/>
          <w:szCs w:val="20"/>
          <w:lang w:val="es-ES"/>
        </w:rPr>
      </w:pPr>
    </w:p>
    <w:p w14:paraId="58EE94B0" w14:textId="038326A7" w:rsidR="0026270A" w:rsidRPr="00E9543F" w:rsidRDefault="00D12193" w:rsidP="003D5660">
      <w:pPr>
        <w:pStyle w:val="Heading1"/>
        <w:ind w:left="720"/>
      </w:pPr>
      <w:bookmarkStart w:id="16" w:name="_Toc216356079"/>
      <w:r w:rsidRPr="749ACC70">
        <w:t>DETERMINACIONES DE HECHO</w:t>
      </w:r>
      <w:bookmarkEnd w:id="16"/>
      <w:r w:rsidR="008A078F" w:rsidRPr="749ACC70">
        <w:t xml:space="preserve"> </w:t>
      </w:r>
    </w:p>
    <w:p w14:paraId="0092034F" w14:textId="77777777" w:rsidR="0026270A" w:rsidRPr="00EB2F17" w:rsidRDefault="0026270A" w:rsidP="749ACC70">
      <w:pPr>
        <w:tabs>
          <w:tab w:val="left" w:pos="360"/>
        </w:tabs>
        <w:rPr>
          <w:rFonts w:asciiTheme="majorHAnsi" w:hAnsiTheme="majorHAnsi"/>
          <w:b/>
          <w:bCs/>
          <w:sz w:val="20"/>
          <w:szCs w:val="20"/>
          <w:lang w:val="es-ES"/>
        </w:rPr>
      </w:pPr>
    </w:p>
    <w:p w14:paraId="344204F0" w14:textId="32A509E9" w:rsidR="009A33C5" w:rsidRPr="00E9543F" w:rsidRDefault="009A33C5" w:rsidP="001A4728">
      <w:pPr>
        <w:pStyle w:val="Heading2"/>
        <w:numPr>
          <w:ilvl w:val="0"/>
          <w:numId w:val="64"/>
        </w:numPr>
      </w:pPr>
      <w:bookmarkStart w:id="17" w:name="_Toc216356080"/>
      <w:r>
        <w:t xml:space="preserve">Cuestión </w:t>
      </w:r>
      <w:r w:rsidR="403B1E0C">
        <w:t>p</w:t>
      </w:r>
      <w:r>
        <w:t>revia</w:t>
      </w:r>
      <w:bookmarkEnd w:id="17"/>
    </w:p>
    <w:p w14:paraId="5769A1D7" w14:textId="77777777" w:rsidR="009A33C5" w:rsidRPr="00E9543F" w:rsidRDefault="009A33C5" w:rsidP="004B1C8A">
      <w:pPr>
        <w:rPr>
          <w:lang w:val="es-ES"/>
        </w:rPr>
      </w:pPr>
    </w:p>
    <w:p w14:paraId="69E25490" w14:textId="0B881D13" w:rsidR="009A33C5" w:rsidRPr="00BD6C53" w:rsidRDefault="00223BEB" w:rsidP="001A4728">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ind w:left="0" w:firstLine="0"/>
        <w:jc w:val="both"/>
        <w:rPr>
          <w:rFonts w:ascii="Cambria" w:hAnsi="Cambria"/>
          <w:sz w:val="20"/>
          <w:szCs w:val="20"/>
          <w:lang w:val="es-ES"/>
        </w:rPr>
      </w:pPr>
      <w:r w:rsidRPr="749ACC70">
        <w:rPr>
          <w:rFonts w:ascii="Cambria" w:eastAsia="Times New Roman" w:hAnsi="Cambria"/>
          <w:color w:val="000000"/>
          <w:sz w:val="20"/>
          <w:szCs w:val="20"/>
          <w:bdr w:val="none" w:sz="0" w:space="0" w:color="auto"/>
          <w:lang w:val="es-ES"/>
        </w:rPr>
        <w:t xml:space="preserve">La Comisión recuerda que el artículo 38 de su Reglamento determina que se </w:t>
      </w:r>
      <w:r w:rsidRPr="00BD6C53">
        <w:rPr>
          <w:rFonts w:ascii="Cambria" w:hAnsi="Cambria"/>
          <w:sz w:val="20"/>
          <w:szCs w:val="20"/>
          <w:lang w:val="es-ES"/>
        </w:rPr>
        <w:t>presumirán verdaderos los hechos alegados en la petición cuyas partes pertinentes hayan sido transmitidas al Estado en cuestión, si éste no suministra información relevante para controvertirlos dentro del plazo fijado por la Comisión en el procedimiento de fondo, siempre que de otros elementos de convicción no resulte una conclusión contraria.</w:t>
      </w:r>
    </w:p>
    <w:p w14:paraId="00D6CE07" w14:textId="77777777" w:rsidR="00223BEB" w:rsidRPr="00E9543F" w:rsidRDefault="00223BEB" w:rsidP="004B1C8A">
      <w:pPr>
        <w:rPr>
          <w:lang w:val="es-ES"/>
        </w:rPr>
      </w:pPr>
    </w:p>
    <w:p w14:paraId="3C064D08" w14:textId="3BD34D1C" w:rsidR="00E94F44" w:rsidRPr="00E9543F" w:rsidRDefault="0022273F" w:rsidP="00CA1314">
      <w:pPr>
        <w:pStyle w:val="Heading2"/>
      </w:pPr>
      <w:bookmarkStart w:id="18" w:name="_Toc216356081"/>
      <w:r>
        <w:t>Contexto</w:t>
      </w:r>
      <w:bookmarkEnd w:id="18"/>
    </w:p>
    <w:p w14:paraId="7381A2DF" w14:textId="77777777" w:rsidR="00ED6D2F" w:rsidRPr="00E9543F" w:rsidRDefault="00ED6D2F" w:rsidP="004B1C8A">
      <w:pPr>
        <w:rPr>
          <w:lang w:val="es-ES"/>
        </w:rPr>
      </w:pPr>
    </w:p>
    <w:p w14:paraId="1C7F55F8" w14:textId="0971DE47" w:rsidR="00ED6D2F" w:rsidRPr="00BD6C53" w:rsidRDefault="00ED6D2F" w:rsidP="001A4728">
      <w:pPr>
        <w:numPr>
          <w:ilvl w:val="0"/>
          <w:numId w:val="60"/>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suppressAutoHyphens/>
        <w:ind w:left="0" w:firstLine="0"/>
        <w:jc w:val="both"/>
        <w:rPr>
          <w:rFonts w:ascii="Cambria" w:hAnsi="Cambria"/>
          <w:sz w:val="20"/>
          <w:szCs w:val="20"/>
          <w:lang w:val="es-ES"/>
        </w:rPr>
      </w:pPr>
      <w:r w:rsidRPr="00BD6C53">
        <w:rPr>
          <w:rFonts w:ascii="Cambria" w:hAnsi="Cambria"/>
          <w:sz w:val="20"/>
          <w:szCs w:val="20"/>
          <w:lang w:val="es-ES"/>
        </w:rPr>
        <w:t xml:space="preserve">La Comisión resalta </w:t>
      </w:r>
      <w:r w:rsidR="009D00C1" w:rsidRPr="00BD6C53">
        <w:rPr>
          <w:rFonts w:ascii="Cambria" w:hAnsi="Cambria"/>
          <w:sz w:val="20"/>
          <w:szCs w:val="20"/>
          <w:lang w:val="es-ES"/>
        </w:rPr>
        <w:t>que,</w:t>
      </w:r>
      <w:r w:rsidRPr="00BD6C53">
        <w:rPr>
          <w:rFonts w:ascii="Cambria" w:hAnsi="Cambria"/>
          <w:sz w:val="20"/>
          <w:szCs w:val="20"/>
          <w:lang w:val="es-ES"/>
        </w:rPr>
        <w:t xml:space="preserve"> en el marco de sus funciones de monitoreo, así como en el sistema de peticiones y casos, se ha pronunciado sobre la situación en Cuba en relación con la persecución a disidentes políticos y </w:t>
      </w:r>
      <w:r w:rsidR="005A1DC2" w:rsidRPr="00BD6C53">
        <w:rPr>
          <w:rFonts w:ascii="Cambria" w:hAnsi="Cambria"/>
          <w:sz w:val="20"/>
          <w:szCs w:val="20"/>
          <w:lang w:val="es-ES"/>
        </w:rPr>
        <w:t xml:space="preserve">personas </w:t>
      </w:r>
      <w:r w:rsidRPr="00BD6C53">
        <w:rPr>
          <w:rFonts w:ascii="Cambria" w:hAnsi="Cambria"/>
          <w:sz w:val="20"/>
          <w:szCs w:val="20"/>
          <w:lang w:val="es-ES"/>
        </w:rPr>
        <w:t>defensor</w:t>
      </w:r>
      <w:r w:rsidR="005A1DC2" w:rsidRPr="00BD6C53">
        <w:rPr>
          <w:rFonts w:ascii="Cambria" w:hAnsi="Cambria"/>
          <w:sz w:val="20"/>
          <w:szCs w:val="20"/>
          <w:lang w:val="es-ES"/>
        </w:rPr>
        <w:t>a</w:t>
      </w:r>
      <w:r w:rsidRPr="00BD6C53">
        <w:rPr>
          <w:rFonts w:ascii="Cambria" w:hAnsi="Cambria"/>
          <w:sz w:val="20"/>
          <w:szCs w:val="20"/>
          <w:lang w:val="es-ES"/>
        </w:rPr>
        <w:t xml:space="preserve">s de derechos humanos. Es </w:t>
      </w:r>
      <w:r w:rsidRPr="00BD6C53">
        <w:rPr>
          <w:rFonts w:ascii="Cambria" w:hAnsi="Cambria" w:cs="Cambria"/>
          <w:color w:val="000000"/>
          <w:sz w:val="20"/>
          <w:szCs w:val="20"/>
          <w:lang w:val="es-ES" w:eastAsia="es-ES"/>
        </w:rPr>
        <w:t>así</w:t>
      </w:r>
      <w:r w:rsidRPr="00BD6C53">
        <w:rPr>
          <w:rFonts w:ascii="Cambria" w:hAnsi="Cambria"/>
          <w:sz w:val="20"/>
          <w:szCs w:val="20"/>
          <w:lang w:val="es-ES"/>
        </w:rPr>
        <w:t xml:space="preserve"> c</w:t>
      </w:r>
      <w:r w:rsidR="3EB62507" w:rsidRPr="00BD6C53">
        <w:rPr>
          <w:rFonts w:ascii="Cambria" w:hAnsi="Cambria"/>
          <w:sz w:val="20"/>
          <w:szCs w:val="20"/>
          <w:lang w:val="es-ES"/>
        </w:rPr>
        <w:t>ó</w:t>
      </w:r>
      <w:r w:rsidRPr="00BD6C53">
        <w:rPr>
          <w:rFonts w:ascii="Cambria" w:hAnsi="Cambria"/>
          <w:sz w:val="20"/>
          <w:szCs w:val="20"/>
          <w:lang w:val="es-ES"/>
        </w:rPr>
        <w:t xml:space="preserve">mo ha considerado que en Cuba existe un marco legal y un ejercicio del </w:t>
      </w:r>
      <w:r w:rsidRPr="00BD6C53">
        <w:rPr>
          <w:rFonts w:ascii="Cambria" w:eastAsia="SimSun" w:hAnsi="Cambria"/>
          <w:sz w:val="20"/>
          <w:szCs w:val="20"/>
          <w:lang w:val="es-ES"/>
        </w:rPr>
        <w:t>poder</w:t>
      </w:r>
      <w:r w:rsidRPr="00BD6C53">
        <w:rPr>
          <w:rFonts w:ascii="Cambria" w:hAnsi="Cambria"/>
          <w:sz w:val="20"/>
          <w:szCs w:val="20"/>
          <w:lang w:val="es-ES"/>
        </w:rPr>
        <w:t xml:space="preserve"> político por parte de las fuerzas estatales que limitan el pluralismo político</w:t>
      </w:r>
      <w:r w:rsidRPr="00BD6C53">
        <w:rPr>
          <w:rStyle w:val="FootnoteReference"/>
          <w:rFonts w:ascii="Cambria" w:hAnsi="Cambria"/>
          <w:sz w:val="20"/>
          <w:szCs w:val="20"/>
          <w:lang w:val="es-ES"/>
        </w:rPr>
        <w:footnoteReference w:id="4"/>
      </w:r>
      <w:r w:rsidRPr="00BD6C53">
        <w:rPr>
          <w:rFonts w:ascii="Cambria" w:hAnsi="Cambria"/>
          <w:sz w:val="20"/>
          <w:szCs w:val="20"/>
          <w:lang w:val="es-ES"/>
        </w:rPr>
        <w:t xml:space="preserve">. Esto ha generado </w:t>
      </w:r>
      <w:r w:rsidRPr="7AB0424C">
        <w:rPr>
          <w:rFonts w:ascii="Cambria" w:eastAsiaTheme="minorEastAsia" w:hAnsi="Cambria"/>
          <w:sz w:val="20"/>
          <w:szCs w:val="20"/>
          <w:bdr w:val="none" w:sz="0" w:space="0" w:color="auto"/>
          <w:lang w:val="es-ES"/>
        </w:rPr>
        <w:t>una falta de espacios que permitan la participación de una pluralidad de líneas de pensamiento y expresión</w:t>
      </w:r>
      <w:r w:rsidRPr="7AB0424C">
        <w:rPr>
          <w:rStyle w:val="FootnoteReference"/>
          <w:rFonts w:ascii="Cambria" w:eastAsiaTheme="minorEastAsia" w:hAnsi="Cambria"/>
          <w:sz w:val="20"/>
          <w:szCs w:val="20"/>
          <w:bdr w:val="none" w:sz="0" w:space="0" w:color="auto"/>
          <w:lang w:val="es-ES"/>
        </w:rPr>
        <w:footnoteReference w:id="5"/>
      </w:r>
      <w:r w:rsidRPr="7AB0424C">
        <w:rPr>
          <w:rFonts w:ascii="Cambria" w:eastAsiaTheme="minorEastAsia" w:hAnsi="Cambria"/>
          <w:sz w:val="20"/>
          <w:szCs w:val="20"/>
          <w:bdr w:val="none" w:sz="0" w:space="0" w:color="auto"/>
          <w:lang w:val="es-ES"/>
        </w:rPr>
        <w:t xml:space="preserve">. </w:t>
      </w:r>
      <w:r w:rsidRPr="00BD6C53">
        <w:rPr>
          <w:rFonts w:ascii="Cambria" w:hAnsi="Cambria"/>
          <w:spacing w:val="-1"/>
          <w:sz w:val="20"/>
          <w:szCs w:val="20"/>
          <w:lang w:val="es-ES"/>
        </w:rPr>
        <w:t>La</w:t>
      </w:r>
      <w:r w:rsidRPr="00BD6C53">
        <w:rPr>
          <w:rFonts w:ascii="Cambria" w:hAnsi="Cambria"/>
          <w:spacing w:val="-14"/>
          <w:sz w:val="20"/>
          <w:szCs w:val="20"/>
          <w:lang w:val="es-ES"/>
        </w:rPr>
        <w:t xml:space="preserve"> </w:t>
      </w:r>
      <w:r w:rsidRPr="00BD6C53">
        <w:rPr>
          <w:rFonts w:ascii="Cambria" w:hAnsi="Cambria"/>
          <w:spacing w:val="-1"/>
          <w:sz w:val="20"/>
          <w:szCs w:val="20"/>
          <w:lang w:val="es-ES"/>
        </w:rPr>
        <w:t>Comisión</w:t>
      </w:r>
      <w:r w:rsidRPr="00BD6C53">
        <w:rPr>
          <w:rFonts w:ascii="Cambria" w:hAnsi="Cambria"/>
          <w:spacing w:val="-14"/>
          <w:sz w:val="20"/>
          <w:szCs w:val="20"/>
          <w:lang w:val="es-ES"/>
        </w:rPr>
        <w:t xml:space="preserve"> </w:t>
      </w:r>
      <w:r w:rsidRPr="00BD6C53">
        <w:rPr>
          <w:rFonts w:ascii="Cambria" w:hAnsi="Cambria"/>
          <w:spacing w:val="-1"/>
          <w:sz w:val="20"/>
          <w:szCs w:val="20"/>
          <w:lang w:val="es-ES"/>
        </w:rPr>
        <w:t>ha</w:t>
      </w:r>
      <w:r w:rsidRPr="00BD6C53">
        <w:rPr>
          <w:rFonts w:ascii="Cambria" w:hAnsi="Cambria"/>
          <w:spacing w:val="-14"/>
          <w:sz w:val="20"/>
          <w:szCs w:val="20"/>
          <w:lang w:val="es-ES"/>
        </w:rPr>
        <w:t xml:space="preserve"> </w:t>
      </w:r>
      <w:r w:rsidRPr="00BD6C53">
        <w:rPr>
          <w:rFonts w:ascii="Cambria" w:hAnsi="Cambria"/>
          <w:spacing w:val="-1"/>
          <w:sz w:val="20"/>
          <w:szCs w:val="20"/>
          <w:lang w:val="es-ES"/>
        </w:rPr>
        <w:t>sostenido que en Cuba</w:t>
      </w:r>
      <w:r w:rsidRPr="00BD6C53">
        <w:rPr>
          <w:rFonts w:ascii="Cambria" w:hAnsi="Cambria"/>
          <w:spacing w:val="-14"/>
          <w:sz w:val="20"/>
          <w:szCs w:val="20"/>
          <w:lang w:val="es-ES"/>
        </w:rPr>
        <w:t xml:space="preserve"> </w:t>
      </w:r>
      <w:r w:rsidRPr="00BD6C53">
        <w:rPr>
          <w:rFonts w:ascii="Cambria" w:hAnsi="Cambria"/>
          <w:sz w:val="20"/>
          <w:szCs w:val="20"/>
          <w:lang w:val="es-ES"/>
        </w:rPr>
        <w:t>hay ausencia</w:t>
      </w:r>
      <w:r w:rsidRPr="00BD6C53">
        <w:rPr>
          <w:rFonts w:ascii="Cambria" w:hAnsi="Cambria"/>
          <w:spacing w:val="-14"/>
          <w:sz w:val="20"/>
          <w:szCs w:val="20"/>
          <w:lang w:val="es-ES"/>
        </w:rPr>
        <w:t xml:space="preserve"> </w:t>
      </w:r>
      <w:r w:rsidRPr="00BD6C53">
        <w:rPr>
          <w:rFonts w:ascii="Cambria" w:hAnsi="Cambria"/>
          <w:sz w:val="20"/>
          <w:szCs w:val="20"/>
          <w:lang w:val="es-ES"/>
        </w:rPr>
        <w:t>de</w:t>
      </w:r>
      <w:r w:rsidRPr="00BD6C53">
        <w:rPr>
          <w:rFonts w:ascii="Cambria" w:hAnsi="Cambria"/>
          <w:spacing w:val="-14"/>
          <w:sz w:val="20"/>
          <w:szCs w:val="20"/>
          <w:lang w:val="es-ES"/>
        </w:rPr>
        <w:t xml:space="preserve"> </w:t>
      </w:r>
      <w:r w:rsidRPr="00BD6C53">
        <w:rPr>
          <w:rFonts w:ascii="Cambria" w:hAnsi="Cambria"/>
          <w:sz w:val="20"/>
          <w:szCs w:val="20"/>
          <w:lang w:val="es-ES"/>
        </w:rPr>
        <w:t>elementos</w:t>
      </w:r>
      <w:r w:rsidRPr="00BD6C53">
        <w:rPr>
          <w:rFonts w:ascii="Cambria" w:hAnsi="Cambria"/>
          <w:spacing w:val="-14"/>
          <w:sz w:val="20"/>
          <w:szCs w:val="20"/>
          <w:lang w:val="es-ES"/>
        </w:rPr>
        <w:t xml:space="preserve"> </w:t>
      </w:r>
      <w:r w:rsidRPr="00BD6C53">
        <w:rPr>
          <w:rFonts w:ascii="Cambria" w:hAnsi="Cambria"/>
          <w:sz w:val="20"/>
          <w:szCs w:val="20"/>
          <w:lang w:val="es-ES"/>
        </w:rPr>
        <w:t>esenciales</w:t>
      </w:r>
      <w:r w:rsidRPr="00BD6C53">
        <w:rPr>
          <w:rFonts w:ascii="Cambria" w:hAnsi="Cambria"/>
          <w:spacing w:val="-14"/>
          <w:sz w:val="20"/>
          <w:szCs w:val="20"/>
          <w:lang w:val="es-ES"/>
        </w:rPr>
        <w:t xml:space="preserve"> </w:t>
      </w:r>
      <w:r w:rsidRPr="00BD6C53">
        <w:rPr>
          <w:rFonts w:ascii="Cambria" w:hAnsi="Cambria"/>
          <w:sz w:val="20"/>
          <w:szCs w:val="20"/>
          <w:lang w:val="es-ES"/>
        </w:rPr>
        <w:t>de</w:t>
      </w:r>
      <w:r w:rsidRPr="00BD6C53">
        <w:rPr>
          <w:rFonts w:ascii="Cambria" w:hAnsi="Cambria"/>
          <w:spacing w:val="-14"/>
          <w:sz w:val="20"/>
          <w:szCs w:val="20"/>
          <w:lang w:val="es-ES"/>
        </w:rPr>
        <w:t xml:space="preserve"> </w:t>
      </w:r>
      <w:r w:rsidRPr="00BD6C53">
        <w:rPr>
          <w:rFonts w:ascii="Cambria" w:hAnsi="Cambria"/>
          <w:sz w:val="20"/>
          <w:szCs w:val="20"/>
          <w:lang w:val="es-ES"/>
        </w:rPr>
        <w:t>la</w:t>
      </w:r>
      <w:r w:rsidRPr="00BD6C53">
        <w:rPr>
          <w:rFonts w:ascii="Cambria" w:hAnsi="Cambria"/>
          <w:spacing w:val="-14"/>
          <w:sz w:val="20"/>
          <w:szCs w:val="20"/>
          <w:lang w:val="es-ES"/>
        </w:rPr>
        <w:t xml:space="preserve"> </w:t>
      </w:r>
      <w:r w:rsidRPr="00BD6C53">
        <w:rPr>
          <w:rFonts w:ascii="Cambria" w:hAnsi="Cambria"/>
          <w:sz w:val="20"/>
          <w:szCs w:val="20"/>
          <w:lang w:val="es-ES"/>
        </w:rPr>
        <w:t>democracia representativa y sus instituciones que “permitan una genuina participación política de sectores de diversa línea de pensamiento; en particular, la celebración de elecciones carentes de</w:t>
      </w:r>
      <w:r w:rsidRPr="00BD6C53">
        <w:rPr>
          <w:rFonts w:ascii="Cambria" w:hAnsi="Cambria"/>
          <w:spacing w:val="1"/>
          <w:sz w:val="20"/>
          <w:szCs w:val="20"/>
          <w:lang w:val="es-ES"/>
        </w:rPr>
        <w:t xml:space="preserve"> </w:t>
      </w:r>
      <w:r w:rsidRPr="00BD6C53">
        <w:rPr>
          <w:rFonts w:ascii="Cambria" w:hAnsi="Cambria"/>
          <w:sz w:val="20"/>
          <w:szCs w:val="20"/>
          <w:lang w:val="es-ES"/>
        </w:rPr>
        <w:t>pluralidad</w:t>
      </w:r>
      <w:r w:rsidRPr="00BD6C53">
        <w:rPr>
          <w:rFonts w:ascii="Cambria" w:hAnsi="Cambria"/>
          <w:spacing w:val="1"/>
          <w:sz w:val="20"/>
          <w:szCs w:val="20"/>
          <w:lang w:val="es-ES"/>
        </w:rPr>
        <w:t xml:space="preserve"> </w:t>
      </w:r>
      <w:r w:rsidRPr="00BD6C53">
        <w:rPr>
          <w:rFonts w:ascii="Cambria" w:hAnsi="Cambria"/>
          <w:sz w:val="20"/>
          <w:szCs w:val="20"/>
          <w:lang w:val="es-ES"/>
        </w:rPr>
        <w:t>e</w:t>
      </w:r>
      <w:r w:rsidRPr="00BD6C53">
        <w:rPr>
          <w:rFonts w:ascii="Cambria" w:hAnsi="Cambria"/>
          <w:spacing w:val="1"/>
          <w:sz w:val="20"/>
          <w:szCs w:val="20"/>
          <w:lang w:val="es-ES"/>
        </w:rPr>
        <w:t xml:space="preserve"> </w:t>
      </w:r>
      <w:r w:rsidRPr="00BD6C53">
        <w:rPr>
          <w:rFonts w:ascii="Cambria" w:hAnsi="Cambria"/>
          <w:sz w:val="20"/>
          <w:szCs w:val="20"/>
          <w:lang w:val="es-ES"/>
        </w:rPr>
        <w:t>independencia,</w:t>
      </w:r>
      <w:r w:rsidRPr="00BD6C53">
        <w:rPr>
          <w:rFonts w:ascii="Cambria" w:hAnsi="Cambria"/>
          <w:spacing w:val="1"/>
          <w:sz w:val="20"/>
          <w:szCs w:val="20"/>
          <w:lang w:val="es-ES"/>
        </w:rPr>
        <w:t xml:space="preserve"> </w:t>
      </w:r>
      <w:r w:rsidRPr="00BD6C53">
        <w:rPr>
          <w:rFonts w:ascii="Cambria" w:hAnsi="Cambria"/>
          <w:sz w:val="20"/>
          <w:szCs w:val="20"/>
          <w:lang w:val="es-ES"/>
        </w:rPr>
        <w:t>obstáculos</w:t>
      </w:r>
      <w:r w:rsidRPr="00BD6C53">
        <w:rPr>
          <w:rFonts w:ascii="Cambria" w:hAnsi="Cambria"/>
          <w:spacing w:val="1"/>
          <w:sz w:val="20"/>
          <w:szCs w:val="20"/>
          <w:lang w:val="es-ES"/>
        </w:rPr>
        <w:t xml:space="preserve"> </w:t>
      </w:r>
      <w:r w:rsidRPr="00BD6C53">
        <w:rPr>
          <w:rFonts w:ascii="Cambria" w:hAnsi="Cambria"/>
          <w:sz w:val="20"/>
          <w:szCs w:val="20"/>
          <w:lang w:val="es-ES"/>
        </w:rPr>
        <w:t>que</w:t>
      </w:r>
      <w:r w:rsidRPr="00BD6C53">
        <w:rPr>
          <w:rFonts w:ascii="Cambria" w:hAnsi="Cambria"/>
          <w:spacing w:val="1"/>
          <w:sz w:val="20"/>
          <w:szCs w:val="20"/>
          <w:lang w:val="es-ES"/>
        </w:rPr>
        <w:t xml:space="preserve"> </w:t>
      </w:r>
      <w:r w:rsidRPr="00BD6C53">
        <w:rPr>
          <w:rFonts w:ascii="Cambria" w:hAnsi="Cambria"/>
          <w:sz w:val="20"/>
          <w:szCs w:val="20"/>
          <w:lang w:val="es-ES"/>
        </w:rPr>
        <w:t>impiden</w:t>
      </w:r>
      <w:r w:rsidRPr="00BD6C53">
        <w:rPr>
          <w:rFonts w:ascii="Cambria" w:hAnsi="Cambria"/>
          <w:spacing w:val="1"/>
          <w:sz w:val="20"/>
          <w:szCs w:val="20"/>
          <w:lang w:val="es-ES"/>
        </w:rPr>
        <w:t xml:space="preserve"> </w:t>
      </w:r>
      <w:r w:rsidRPr="00BD6C53">
        <w:rPr>
          <w:rFonts w:ascii="Cambria" w:hAnsi="Cambria"/>
          <w:sz w:val="20"/>
          <w:szCs w:val="20"/>
          <w:lang w:val="es-ES"/>
        </w:rPr>
        <w:t>el</w:t>
      </w:r>
      <w:r w:rsidRPr="00BD6C53">
        <w:rPr>
          <w:rFonts w:ascii="Cambria" w:hAnsi="Cambria"/>
          <w:spacing w:val="1"/>
          <w:sz w:val="20"/>
          <w:szCs w:val="20"/>
          <w:lang w:val="es-ES"/>
        </w:rPr>
        <w:t xml:space="preserve"> </w:t>
      </w:r>
      <w:r w:rsidRPr="00BD6C53">
        <w:rPr>
          <w:rFonts w:ascii="Cambria" w:hAnsi="Cambria"/>
          <w:sz w:val="20"/>
          <w:szCs w:val="20"/>
          <w:lang w:val="es-ES"/>
        </w:rPr>
        <w:t>acceso</w:t>
      </w:r>
      <w:r w:rsidRPr="00BD6C53">
        <w:rPr>
          <w:rFonts w:ascii="Cambria" w:hAnsi="Cambria"/>
          <w:spacing w:val="1"/>
          <w:sz w:val="20"/>
          <w:szCs w:val="20"/>
          <w:lang w:val="es-ES"/>
        </w:rPr>
        <w:t xml:space="preserve"> </w:t>
      </w:r>
      <w:r w:rsidRPr="00BD6C53">
        <w:rPr>
          <w:rFonts w:ascii="Cambria" w:hAnsi="Cambria"/>
          <w:sz w:val="20"/>
          <w:szCs w:val="20"/>
          <w:lang w:val="es-ES"/>
        </w:rPr>
        <w:t>libre</w:t>
      </w:r>
      <w:r w:rsidRPr="00BD6C53">
        <w:rPr>
          <w:rFonts w:ascii="Cambria" w:hAnsi="Cambria"/>
          <w:spacing w:val="1"/>
          <w:sz w:val="20"/>
          <w:szCs w:val="20"/>
          <w:lang w:val="es-ES"/>
        </w:rPr>
        <w:t xml:space="preserve"> </w:t>
      </w:r>
      <w:r w:rsidRPr="00BD6C53">
        <w:rPr>
          <w:rFonts w:ascii="Cambria" w:hAnsi="Cambria"/>
          <w:sz w:val="20"/>
          <w:szCs w:val="20"/>
          <w:lang w:val="es-ES"/>
        </w:rPr>
        <w:t>a</w:t>
      </w:r>
      <w:r w:rsidRPr="00BD6C53">
        <w:rPr>
          <w:rFonts w:ascii="Cambria" w:hAnsi="Cambria"/>
          <w:spacing w:val="1"/>
          <w:sz w:val="20"/>
          <w:szCs w:val="20"/>
          <w:lang w:val="es-ES"/>
        </w:rPr>
        <w:t xml:space="preserve"> </w:t>
      </w:r>
      <w:r w:rsidRPr="00BD6C53">
        <w:rPr>
          <w:rFonts w:ascii="Cambria" w:hAnsi="Cambria"/>
          <w:sz w:val="20"/>
          <w:szCs w:val="20"/>
          <w:lang w:val="es-ES"/>
        </w:rPr>
        <w:t>diversas</w:t>
      </w:r>
      <w:r w:rsidRPr="00BD6C53">
        <w:rPr>
          <w:rFonts w:ascii="Cambria" w:hAnsi="Cambria"/>
          <w:spacing w:val="1"/>
          <w:sz w:val="20"/>
          <w:szCs w:val="20"/>
          <w:lang w:val="es-ES"/>
        </w:rPr>
        <w:t xml:space="preserve"> </w:t>
      </w:r>
      <w:r w:rsidRPr="00BD6C53">
        <w:rPr>
          <w:rFonts w:ascii="Cambria" w:hAnsi="Cambria"/>
          <w:sz w:val="20"/>
          <w:szCs w:val="20"/>
          <w:lang w:val="es-ES"/>
        </w:rPr>
        <w:t>fuentes</w:t>
      </w:r>
      <w:r w:rsidRPr="00BD6C53">
        <w:rPr>
          <w:rFonts w:ascii="Cambria" w:hAnsi="Cambria"/>
          <w:spacing w:val="1"/>
          <w:sz w:val="20"/>
          <w:szCs w:val="20"/>
          <w:lang w:val="es-ES"/>
        </w:rPr>
        <w:t xml:space="preserve"> </w:t>
      </w:r>
      <w:r w:rsidRPr="00BD6C53">
        <w:rPr>
          <w:rFonts w:ascii="Cambria" w:hAnsi="Cambria"/>
          <w:sz w:val="20"/>
          <w:szCs w:val="20"/>
          <w:lang w:val="es-ES"/>
        </w:rPr>
        <w:t>de</w:t>
      </w:r>
      <w:r w:rsidRPr="00BD6C53">
        <w:rPr>
          <w:rFonts w:ascii="Cambria" w:hAnsi="Cambria"/>
          <w:spacing w:val="1"/>
          <w:sz w:val="20"/>
          <w:szCs w:val="20"/>
          <w:lang w:val="es-ES"/>
        </w:rPr>
        <w:t xml:space="preserve"> </w:t>
      </w:r>
      <w:r w:rsidRPr="00BD6C53">
        <w:rPr>
          <w:rFonts w:ascii="Cambria" w:hAnsi="Cambria"/>
          <w:sz w:val="20"/>
          <w:szCs w:val="20"/>
          <w:lang w:val="es-ES"/>
        </w:rPr>
        <w:t>información”</w:t>
      </w:r>
      <w:r w:rsidRPr="00BD6C53">
        <w:rPr>
          <w:rStyle w:val="FootnoteReference"/>
          <w:rFonts w:ascii="Cambria" w:hAnsi="Cambria"/>
          <w:sz w:val="20"/>
          <w:szCs w:val="20"/>
          <w:lang w:val="es-ES"/>
        </w:rPr>
        <w:footnoteReference w:id="6"/>
      </w:r>
      <w:r w:rsidRPr="00BD6C53">
        <w:rPr>
          <w:rFonts w:ascii="Cambria" w:hAnsi="Cambria"/>
          <w:sz w:val="20"/>
          <w:szCs w:val="20"/>
          <w:lang w:val="es-ES"/>
        </w:rPr>
        <w:t xml:space="preserve">. </w:t>
      </w:r>
    </w:p>
    <w:p w14:paraId="6059EBD0" w14:textId="21C84A2B" w:rsidR="00ED6D2F" w:rsidRPr="00E9543F" w:rsidRDefault="00ED6D2F"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jc w:val="both"/>
        <w:rPr>
          <w:rFonts w:ascii="Cambria" w:hAnsi="Cambria"/>
          <w:sz w:val="20"/>
          <w:szCs w:val="20"/>
          <w:lang w:val="es-ES"/>
        </w:rPr>
      </w:pPr>
    </w:p>
    <w:p w14:paraId="4FB204EF" w14:textId="11DF120A" w:rsidR="00ED6D2F" w:rsidRPr="00E9543F" w:rsidRDefault="00ED6D2F" w:rsidP="001A4728">
      <w:pPr>
        <w:numPr>
          <w:ilvl w:val="0"/>
          <w:numId w:val="60"/>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suppressAutoHyphens/>
        <w:ind w:left="0" w:firstLine="0"/>
        <w:jc w:val="both"/>
        <w:rPr>
          <w:rFonts w:ascii="Cambria" w:hAnsi="Cambria"/>
          <w:sz w:val="20"/>
          <w:szCs w:val="20"/>
          <w:lang w:val="es-ES"/>
        </w:rPr>
      </w:pPr>
      <w:r w:rsidRPr="00E9543F">
        <w:rPr>
          <w:rFonts w:ascii="Cambria" w:hAnsi="Cambria"/>
          <w:sz w:val="20"/>
          <w:szCs w:val="20"/>
          <w:lang w:val="es-ES"/>
        </w:rPr>
        <w:t>Asimismo, la Comisión ha identificado que las violaciones a los derechos de libertad de</w:t>
      </w:r>
      <w:r w:rsidRPr="00E9543F">
        <w:rPr>
          <w:rFonts w:ascii="Cambria" w:hAnsi="Cambria"/>
          <w:spacing w:val="1"/>
          <w:sz w:val="20"/>
          <w:szCs w:val="20"/>
          <w:lang w:val="es-ES"/>
        </w:rPr>
        <w:t xml:space="preserve"> </w:t>
      </w:r>
      <w:r w:rsidRPr="00E9543F">
        <w:rPr>
          <w:rFonts w:ascii="Cambria" w:hAnsi="Cambria"/>
          <w:sz w:val="20"/>
          <w:szCs w:val="20"/>
          <w:lang w:val="es-ES"/>
        </w:rPr>
        <w:t>expresión y asociación</w:t>
      </w:r>
      <w:r w:rsidR="10EA2A5A" w:rsidRPr="00E9543F">
        <w:rPr>
          <w:rFonts w:ascii="Cambria" w:hAnsi="Cambria"/>
          <w:sz w:val="20"/>
          <w:szCs w:val="20"/>
          <w:lang w:val="es-ES"/>
        </w:rPr>
        <w:t xml:space="preserve"> </w:t>
      </w:r>
      <w:r w:rsidR="10EA2A5A" w:rsidRPr="749ACC70">
        <w:rPr>
          <w:rFonts w:ascii="Cambria" w:hAnsi="Cambria"/>
          <w:sz w:val="20"/>
          <w:szCs w:val="20"/>
          <w:lang w:val="es-ES"/>
        </w:rPr>
        <w:t>han sido consideradas como</w:t>
      </w:r>
      <w:r w:rsidRPr="749ACC70">
        <w:rPr>
          <w:rFonts w:ascii="Cambria" w:hAnsi="Cambria"/>
          <w:sz w:val="20"/>
          <w:szCs w:val="20"/>
          <w:lang w:val="es-ES"/>
        </w:rPr>
        <w:t xml:space="preserve"> una </w:t>
      </w:r>
      <w:r w:rsidR="0EA57D46" w:rsidRPr="00E9543F">
        <w:rPr>
          <w:rFonts w:ascii="Cambria" w:hAnsi="Cambria"/>
          <w:sz w:val="20"/>
          <w:szCs w:val="20"/>
          <w:lang w:val="es-ES"/>
        </w:rPr>
        <w:t>“</w:t>
      </w:r>
      <w:r w:rsidRPr="00E9543F">
        <w:rPr>
          <w:rFonts w:ascii="Cambria" w:hAnsi="Cambria"/>
          <w:sz w:val="20"/>
          <w:szCs w:val="20"/>
          <w:lang w:val="es-ES"/>
        </w:rPr>
        <w:t>política del Estado cubano para</w:t>
      </w:r>
      <w:r w:rsidRPr="00E9543F">
        <w:rPr>
          <w:rFonts w:ascii="Cambria" w:hAnsi="Cambria"/>
          <w:spacing w:val="1"/>
          <w:sz w:val="20"/>
          <w:szCs w:val="20"/>
          <w:lang w:val="es-ES"/>
        </w:rPr>
        <w:t xml:space="preserve"> </w:t>
      </w:r>
      <w:r w:rsidRPr="00E9543F">
        <w:rPr>
          <w:rFonts w:ascii="Cambria" w:hAnsi="Cambria"/>
          <w:sz w:val="20"/>
          <w:szCs w:val="20"/>
          <w:lang w:val="es-ES"/>
        </w:rPr>
        <w:t>impedir</w:t>
      </w:r>
      <w:r w:rsidRPr="00E9543F">
        <w:rPr>
          <w:rFonts w:ascii="Cambria" w:hAnsi="Cambria"/>
          <w:spacing w:val="1"/>
          <w:sz w:val="20"/>
          <w:szCs w:val="20"/>
          <w:lang w:val="es-ES"/>
        </w:rPr>
        <w:t xml:space="preserve"> </w:t>
      </w:r>
      <w:r w:rsidRPr="00E9543F">
        <w:rPr>
          <w:rFonts w:ascii="Cambria" w:hAnsi="Cambria"/>
          <w:sz w:val="20"/>
          <w:szCs w:val="20"/>
          <w:lang w:val="es-ES"/>
        </w:rPr>
        <w:t>cualquier</w:t>
      </w:r>
      <w:r w:rsidRPr="00E9543F">
        <w:rPr>
          <w:rFonts w:ascii="Cambria" w:hAnsi="Cambria"/>
          <w:spacing w:val="1"/>
          <w:sz w:val="20"/>
          <w:szCs w:val="20"/>
          <w:lang w:val="es-ES"/>
        </w:rPr>
        <w:t xml:space="preserve"> </w:t>
      </w:r>
      <w:r w:rsidRPr="00E9543F">
        <w:rPr>
          <w:rFonts w:ascii="Cambria" w:hAnsi="Cambria"/>
          <w:sz w:val="20"/>
          <w:szCs w:val="20"/>
          <w:lang w:val="es-ES"/>
        </w:rPr>
        <w:t>posición</w:t>
      </w:r>
      <w:r w:rsidRPr="00E9543F">
        <w:rPr>
          <w:rFonts w:ascii="Cambria" w:hAnsi="Cambria"/>
          <w:spacing w:val="1"/>
          <w:sz w:val="20"/>
          <w:szCs w:val="20"/>
          <w:lang w:val="es-ES"/>
        </w:rPr>
        <w:t xml:space="preserve"> </w:t>
      </w:r>
      <w:r w:rsidRPr="00E9543F">
        <w:rPr>
          <w:rFonts w:ascii="Cambria" w:hAnsi="Cambria"/>
          <w:sz w:val="20"/>
          <w:szCs w:val="20"/>
          <w:lang w:val="es-ES"/>
        </w:rPr>
        <w:t>crítica</w:t>
      </w:r>
      <w:r w:rsidRPr="00E9543F">
        <w:rPr>
          <w:rFonts w:ascii="Cambria" w:hAnsi="Cambria"/>
          <w:spacing w:val="1"/>
          <w:sz w:val="20"/>
          <w:szCs w:val="20"/>
          <w:lang w:val="es-ES"/>
        </w:rPr>
        <w:t xml:space="preserve"> </w:t>
      </w:r>
      <w:r w:rsidRPr="00E9543F">
        <w:rPr>
          <w:rFonts w:ascii="Cambria" w:hAnsi="Cambria"/>
          <w:sz w:val="20"/>
          <w:szCs w:val="20"/>
          <w:lang w:val="es-ES"/>
        </w:rPr>
        <w:t>contraria</w:t>
      </w:r>
      <w:r w:rsidRPr="00E9543F">
        <w:rPr>
          <w:rFonts w:ascii="Cambria" w:hAnsi="Cambria"/>
          <w:spacing w:val="1"/>
          <w:sz w:val="20"/>
          <w:szCs w:val="20"/>
          <w:lang w:val="es-ES"/>
        </w:rPr>
        <w:t xml:space="preserve"> </w:t>
      </w:r>
      <w:r w:rsidRPr="7AB0424C">
        <w:rPr>
          <w:rFonts w:ascii="Cambria" w:eastAsiaTheme="minorEastAsia" w:hAnsi="Cambria"/>
          <w:sz w:val="20"/>
          <w:szCs w:val="20"/>
          <w:bdr w:val="none" w:sz="0" w:space="0" w:color="auto"/>
          <w:lang w:val="es-ES"/>
        </w:rPr>
        <w:t>al</w:t>
      </w:r>
      <w:r w:rsidRPr="00E9543F">
        <w:rPr>
          <w:rFonts w:ascii="Cambria" w:hAnsi="Cambria"/>
          <w:spacing w:val="1"/>
          <w:sz w:val="20"/>
          <w:szCs w:val="20"/>
          <w:lang w:val="es-ES"/>
        </w:rPr>
        <w:t xml:space="preserve"> </w:t>
      </w:r>
      <w:r w:rsidRPr="00E9543F">
        <w:rPr>
          <w:rFonts w:ascii="Cambria" w:hAnsi="Cambria"/>
          <w:sz w:val="20"/>
          <w:szCs w:val="20"/>
          <w:lang w:val="es-ES"/>
        </w:rPr>
        <w:t>régimen</w:t>
      </w:r>
      <w:r w:rsidRPr="00E9543F">
        <w:rPr>
          <w:rFonts w:ascii="Cambria" w:hAnsi="Cambria"/>
          <w:spacing w:val="1"/>
          <w:sz w:val="20"/>
          <w:szCs w:val="20"/>
          <w:lang w:val="es-ES"/>
        </w:rPr>
        <w:t xml:space="preserve"> </w:t>
      </w:r>
      <w:r w:rsidRPr="00E9543F">
        <w:rPr>
          <w:rFonts w:ascii="Cambria" w:hAnsi="Cambria"/>
          <w:sz w:val="20"/>
          <w:szCs w:val="20"/>
          <w:lang w:val="es-ES"/>
        </w:rPr>
        <w:t>o</w:t>
      </w:r>
      <w:r w:rsidRPr="00E9543F">
        <w:rPr>
          <w:rFonts w:ascii="Cambria" w:hAnsi="Cambria"/>
          <w:spacing w:val="1"/>
          <w:sz w:val="20"/>
          <w:szCs w:val="20"/>
          <w:lang w:val="es-ES"/>
        </w:rPr>
        <w:t xml:space="preserve"> </w:t>
      </w:r>
      <w:r w:rsidRPr="00E9543F">
        <w:rPr>
          <w:rFonts w:ascii="Cambria" w:hAnsi="Cambria"/>
          <w:sz w:val="20"/>
          <w:szCs w:val="20"/>
          <w:lang w:val="es-ES"/>
        </w:rPr>
        <w:t>a</w:t>
      </w:r>
      <w:r w:rsidRPr="00E9543F">
        <w:rPr>
          <w:rFonts w:ascii="Cambria" w:hAnsi="Cambria"/>
          <w:spacing w:val="1"/>
          <w:sz w:val="20"/>
          <w:szCs w:val="20"/>
          <w:lang w:val="es-ES"/>
        </w:rPr>
        <w:t xml:space="preserve"> </w:t>
      </w:r>
      <w:r w:rsidRPr="00E9543F">
        <w:rPr>
          <w:rFonts w:ascii="Cambria" w:hAnsi="Cambria"/>
          <w:sz w:val="20"/>
          <w:szCs w:val="20"/>
          <w:lang w:val="es-ES"/>
        </w:rPr>
        <w:t>la</w:t>
      </w:r>
      <w:r w:rsidRPr="00E9543F">
        <w:rPr>
          <w:rFonts w:ascii="Cambria" w:hAnsi="Cambria"/>
          <w:spacing w:val="1"/>
          <w:sz w:val="20"/>
          <w:szCs w:val="20"/>
          <w:lang w:val="es-ES"/>
        </w:rPr>
        <w:t xml:space="preserve"> </w:t>
      </w:r>
      <w:r w:rsidRPr="00E9543F">
        <w:rPr>
          <w:rFonts w:ascii="Cambria" w:hAnsi="Cambria"/>
          <w:sz w:val="20"/>
          <w:szCs w:val="20"/>
          <w:lang w:val="es-ES"/>
        </w:rPr>
        <w:t>situación</w:t>
      </w:r>
      <w:r w:rsidRPr="00E9543F">
        <w:rPr>
          <w:rFonts w:ascii="Cambria" w:hAnsi="Cambria"/>
          <w:spacing w:val="1"/>
          <w:sz w:val="20"/>
          <w:szCs w:val="20"/>
          <w:lang w:val="es-ES"/>
        </w:rPr>
        <w:t xml:space="preserve"> </w:t>
      </w:r>
      <w:r w:rsidRPr="00E9543F">
        <w:rPr>
          <w:rFonts w:ascii="Cambria" w:hAnsi="Cambria"/>
          <w:sz w:val="20"/>
          <w:szCs w:val="20"/>
          <w:lang w:val="es-ES"/>
        </w:rPr>
        <w:t>política,</w:t>
      </w:r>
      <w:r w:rsidRPr="00E9543F">
        <w:rPr>
          <w:rFonts w:ascii="Cambria" w:hAnsi="Cambria"/>
          <w:spacing w:val="1"/>
          <w:sz w:val="20"/>
          <w:szCs w:val="20"/>
          <w:lang w:val="es-ES"/>
        </w:rPr>
        <w:t xml:space="preserve"> </w:t>
      </w:r>
      <w:r w:rsidRPr="00E9543F">
        <w:rPr>
          <w:rFonts w:ascii="Cambria" w:hAnsi="Cambria"/>
          <w:sz w:val="20"/>
          <w:szCs w:val="20"/>
          <w:lang w:val="es-ES"/>
        </w:rPr>
        <w:t>laboral,</w:t>
      </w:r>
      <w:r w:rsidRPr="00E9543F">
        <w:rPr>
          <w:rFonts w:ascii="Cambria" w:hAnsi="Cambria"/>
          <w:spacing w:val="1"/>
          <w:sz w:val="20"/>
          <w:szCs w:val="20"/>
          <w:lang w:val="es-ES"/>
        </w:rPr>
        <w:t xml:space="preserve"> </w:t>
      </w:r>
      <w:r w:rsidRPr="00E9543F">
        <w:rPr>
          <w:rFonts w:ascii="Cambria" w:hAnsi="Cambria"/>
          <w:sz w:val="20"/>
          <w:szCs w:val="20"/>
          <w:lang w:val="es-ES"/>
        </w:rPr>
        <w:t>educacional,</w:t>
      </w:r>
      <w:r w:rsidRPr="00E9543F">
        <w:rPr>
          <w:rFonts w:ascii="Cambria" w:hAnsi="Cambria"/>
          <w:spacing w:val="-9"/>
          <w:sz w:val="20"/>
          <w:szCs w:val="20"/>
          <w:lang w:val="es-ES"/>
        </w:rPr>
        <w:t xml:space="preserve"> </w:t>
      </w:r>
      <w:r w:rsidRPr="00E9543F">
        <w:rPr>
          <w:rFonts w:ascii="Cambria" w:hAnsi="Cambria"/>
          <w:sz w:val="20"/>
          <w:szCs w:val="20"/>
          <w:lang w:val="es-ES"/>
        </w:rPr>
        <w:t>etc.”</w:t>
      </w:r>
      <w:r w:rsidRPr="00E9543F">
        <w:rPr>
          <w:rStyle w:val="FootnoteReference"/>
          <w:rFonts w:ascii="Cambria" w:hAnsi="Cambria"/>
          <w:sz w:val="20"/>
          <w:szCs w:val="20"/>
          <w:lang w:val="es-ES"/>
        </w:rPr>
        <w:footnoteReference w:id="7"/>
      </w:r>
      <w:r w:rsidRPr="00E9543F">
        <w:rPr>
          <w:rFonts w:ascii="Cambria" w:hAnsi="Cambria"/>
          <w:sz w:val="20"/>
          <w:szCs w:val="20"/>
          <w:lang w:val="es-ES"/>
        </w:rPr>
        <w:t>. Consecuentemente, la Comisión ha determinado que “la intolerancia sigue siendo la regla de las autoridades cubanas hacia toda forma de crítica u oposición, y la principal limitación a los derechos y libertades</w:t>
      </w:r>
      <w:r w:rsidRPr="00E9543F">
        <w:rPr>
          <w:rFonts w:ascii="Cambria" w:hAnsi="Cambria"/>
          <w:spacing w:val="1"/>
          <w:sz w:val="20"/>
          <w:szCs w:val="20"/>
          <w:lang w:val="es-ES"/>
        </w:rPr>
        <w:t xml:space="preserve"> </w:t>
      </w:r>
      <w:r w:rsidRPr="00E9543F">
        <w:rPr>
          <w:rFonts w:ascii="Cambria" w:hAnsi="Cambria"/>
          <w:sz w:val="20"/>
          <w:szCs w:val="20"/>
          <w:lang w:val="es-ES"/>
        </w:rPr>
        <w:t>fundamentales”</w:t>
      </w:r>
      <w:r w:rsidRPr="00E9543F">
        <w:rPr>
          <w:rStyle w:val="FootnoteReference"/>
          <w:rFonts w:ascii="Cambria" w:hAnsi="Cambria"/>
          <w:sz w:val="20"/>
          <w:szCs w:val="20"/>
          <w:lang w:val="es-ES"/>
        </w:rPr>
        <w:footnoteReference w:id="8"/>
      </w:r>
      <w:r w:rsidRPr="00E9543F">
        <w:rPr>
          <w:rFonts w:ascii="Cambria" w:hAnsi="Cambria"/>
          <w:sz w:val="20"/>
          <w:szCs w:val="20"/>
          <w:lang w:val="es-ES"/>
        </w:rPr>
        <w:t>.</w:t>
      </w:r>
    </w:p>
    <w:p w14:paraId="085EB73F" w14:textId="77777777" w:rsidR="00B54658" w:rsidRPr="00E9543F" w:rsidRDefault="00B54658"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eastAsiaTheme="minorEastAsia" w:hAnsi="Cambria"/>
          <w:sz w:val="20"/>
          <w:szCs w:val="20"/>
          <w:bdr w:val="none" w:sz="0" w:space="0" w:color="auto"/>
          <w:lang w:val="es-ES"/>
        </w:rPr>
      </w:pPr>
    </w:p>
    <w:p w14:paraId="7B741824" w14:textId="2685C253" w:rsidR="00ED6D2F" w:rsidRPr="00E9543F" w:rsidRDefault="00ED6D2F" w:rsidP="001A4728">
      <w:pPr>
        <w:numPr>
          <w:ilvl w:val="0"/>
          <w:numId w:val="60"/>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hAnsi="Cambria"/>
          <w:sz w:val="20"/>
          <w:szCs w:val="20"/>
          <w:lang w:val="es-ES"/>
        </w:rPr>
      </w:pPr>
      <w:r w:rsidRPr="00E9543F">
        <w:rPr>
          <w:rFonts w:ascii="Cambria" w:hAnsi="Cambria"/>
          <w:sz w:val="20"/>
          <w:szCs w:val="20"/>
          <w:lang w:val="es-ES"/>
        </w:rPr>
        <w:t>La Comisión también ha recibido información sobre la situación de disidentes políticos y personas defensoras de derechos humanos, quienes enfrentan tácticas</w:t>
      </w:r>
      <w:r w:rsidRPr="00E9543F">
        <w:rPr>
          <w:rFonts w:ascii="Cambria" w:hAnsi="Cambria"/>
          <w:spacing w:val="-7"/>
          <w:sz w:val="20"/>
          <w:szCs w:val="20"/>
          <w:lang w:val="es-ES"/>
        </w:rPr>
        <w:t xml:space="preserve"> </w:t>
      </w:r>
      <w:r w:rsidRPr="00E9543F">
        <w:rPr>
          <w:rFonts w:ascii="Cambria" w:hAnsi="Cambria"/>
          <w:sz w:val="20"/>
          <w:szCs w:val="20"/>
          <w:lang w:val="es-ES"/>
        </w:rPr>
        <w:t>represivas</w:t>
      </w:r>
      <w:r w:rsidRPr="00E9543F">
        <w:rPr>
          <w:rFonts w:ascii="Cambria" w:hAnsi="Cambria"/>
          <w:spacing w:val="-7"/>
          <w:sz w:val="20"/>
          <w:szCs w:val="20"/>
          <w:lang w:val="es-ES"/>
        </w:rPr>
        <w:t xml:space="preserve"> </w:t>
      </w:r>
      <w:r w:rsidRPr="00E9543F">
        <w:rPr>
          <w:rFonts w:ascii="Cambria" w:hAnsi="Cambria"/>
          <w:sz w:val="20"/>
          <w:szCs w:val="20"/>
          <w:lang w:val="es-ES"/>
        </w:rPr>
        <w:t>del</w:t>
      </w:r>
      <w:r w:rsidRPr="00E9543F">
        <w:rPr>
          <w:rFonts w:ascii="Cambria" w:hAnsi="Cambria"/>
          <w:spacing w:val="-7"/>
          <w:sz w:val="20"/>
          <w:szCs w:val="20"/>
          <w:lang w:val="es-ES"/>
        </w:rPr>
        <w:t xml:space="preserve"> </w:t>
      </w:r>
      <w:r w:rsidRPr="00E9543F">
        <w:rPr>
          <w:rFonts w:ascii="Cambria" w:hAnsi="Cambria"/>
          <w:sz w:val="20"/>
          <w:szCs w:val="20"/>
          <w:lang w:val="es-ES"/>
        </w:rPr>
        <w:t>gobierno</w:t>
      </w:r>
      <w:r w:rsidRPr="00E9543F">
        <w:rPr>
          <w:rFonts w:ascii="Cambria" w:hAnsi="Cambria"/>
          <w:spacing w:val="-7"/>
          <w:sz w:val="20"/>
          <w:szCs w:val="20"/>
          <w:lang w:val="es-ES"/>
        </w:rPr>
        <w:t xml:space="preserve"> </w:t>
      </w:r>
      <w:r w:rsidRPr="00E9543F">
        <w:rPr>
          <w:rFonts w:ascii="Cambria" w:hAnsi="Cambria"/>
          <w:sz w:val="20"/>
          <w:szCs w:val="20"/>
          <w:lang w:val="es-ES"/>
        </w:rPr>
        <w:t>cubano</w:t>
      </w:r>
      <w:r w:rsidRPr="00E9543F">
        <w:rPr>
          <w:rFonts w:ascii="Cambria" w:hAnsi="Cambria"/>
          <w:spacing w:val="-6"/>
          <w:sz w:val="20"/>
          <w:szCs w:val="20"/>
          <w:lang w:val="es-ES"/>
        </w:rPr>
        <w:t xml:space="preserve"> </w:t>
      </w:r>
      <w:r w:rsidRPr="00E9543F">
        <w:rPr>
          <w:rFonts w:ascii="Cambria" w:hAnsi="Cambria"/>
          <w:sz w:val="20"/>
          <w:szCs w:val="20"/>
          <w:lang w:val="es-ES"/>
        </w:rPr>
        <w:t>por</w:t>
      </w:r>
      <w:r w:rsidRPr="00E9543F">
        <w:rPr>
          <w:rFonts w:ascii="Cambria" w:hAnsi="Cambria"/>
          <w:spacing w:val="-7"/>
          <w:sz w:val="20"/>
          <w:szCs w:val="20"/>
          <w:lang w:val="es-ES"/>
        </w:rPr>
        <w:t xml:space="preserve"> </w:t>
      </w:r>
      <w:r w:rsidRPr="00E9543F">
        <w:rPr>
          <w:rFonts w:ascii="Cambria" w:hAnsi="Cambria"/>
          <w:sz w:val="20"/>
          <w:szCs w:val="20"/>
          <w:lang w:val="es-ES"/>
        </w:rPr>
        <w:t>denunciar</w:t>
      </w:r>
      <w:r w:rsidRPr="00E9543F">
        <w:rPr>
          <w:rFonts w:ascii="Cambria" w:hAnsi="Cambria"/>
          <w:spacing w:val="-7"/>
          <w:sz w:val="20"/>
          <w:szCs w:val="20"/>
          <w:lang w:val="es-ES"/>
        </w:rPr>
        <w:t xml:space="preserve"> </w:t>
      </w:r>
      <w:r w:rsidRPr="00E9543F">
        <w:rPr>
          <w:rFonts w:ascii="Cambria" w:hAnsi="Cambria"/>
          <w:sz w:val="20"/>
          <w:szCs w:val="20"/>
          <w:lang w:val="es-ES"/>
        </w:rPr>
        <w:t>“la</w:t>
      </w:r>
      <w:r w:rsidRPr="00E9543F">
        <w:rPr>
          <w:rFonts w:ascii="Cambria" w:hAnsi="Cambria"/>
          <w:spacing w:val="-7"/>
          <w:sz w:val="20"/>
          <w:szCs w:val="20"/>
          <w:lang w:val="es-ES"/>
        </w:rPr>
        <w:t xml:space="preserve"> </w:t>
      </w:r>
      <w:r w:rsidRPr="00E9543F">
        <w:rPr>
          <w:rFonts w:ascii="Cambria" w:hAnsi="Cambria"/>
          <w:sz w:val="20"/>
          <w:szCs w:val="20"/>
          <w:lang w:val="es-ES"/>
        </w:rPr>
        <w:t>falta</w:t>
      </w:r>
      <w:r w:rsidRPr="00E9543F">
        <w:rPr>
          <w:rFonts w:ascii="Cambria" w:hAnsi="Cambria"/>
          <w:spacing w:val="-5"/>
          <w:sz w:val="20"/>
          <w:szCs w:val="20"/>
          <w:lang w:val="es-ES"/>
        </w:rPr>
        <w:t xml:space="preserve"> </w:t>
      </w:r>
      <w:r w:rsidRPr="00E9543F">
        <w:rPr>
          <w:rFonts w:ascii="Cambria" w:hAnsi="Cambria"/>
          <w:sz w:val="20"/>
          <w:szCs w:val="20"/>
          <w:lang w:val="es-ES"/>
        </w:rPr>
        <w:t>de</w:t>
      </w:r>
      <w:r w:rsidRPr="00E9543F">
        <w:rPr>
          <w:rFonts w:ascii="Cambria" w:hAnsi="Cambria"/>
          <w:spacing w:val="-7"/>
          <w:sz w:val="20"/>
          <w:szCs w:val="20"/>
          <w:lang w:val="es-ES"/>
        </w:rPr>
        <w:t xml:space="preserve"> </w:t>
      </w:r>
      <w:r w:rsidRPr="00E9543F">
        <w:rPr>
          <w:rFonts w:ascii="Cambria" w:hAnsi="Cambria"/>
          <w:sz w:val="20"/>
          <w:szCs w:val="20"/>
          <w:lang w:val="es-ES"/>
        </w:rPr>
        <w:t>libertades</w:t>
      </w:r>
      <w:r w:rsidRPr="00E9543F">
        <w:rPr>
          <w:rFonts w:ascii="Cambria" w:hAnsi="Cambria"/>
          <w:spacing w:val="-7"/>
          <w:sz w:val="20"/>
          <w:szCs w:val="20"/>
          <w:lang w:val="es-ES"/>
        </w:rPr>
        <w:t xml:space="preserve"> </w:t>
      </w:r>
      <w:r w:rsidRPr="00E9543F">
        <w:rPr>
          <w:rFonts w:ascii="Cambria" w:hAnsi="Cambria"/>
          <w:sz w:val="20"/>
          <w:szCs w:val="20"/>
          <w:lang w:val="es-ES"/>
        </w:rPr>
        <w:t>y</w:t>
      </w:r>
      <w:r w:rsidRPr="00E9543F">
        <w:rPr>
          <w:rFonts w:ascii="Cambria" w:hAnsi="Cambria"/>
          <w:spacing w:val="-7"/>
          <w:sz w:val="20"/>
          <w:szCs w:val="20"/>
          <w:lang w:val="es-ES"/>
        </w:rPr>
        <w:t xml:space="preserve"> </w:t>
      </w:r>
      <w:r w:rsidRPr="00E9543F">
        <w:rPr>
          <w:rFonts w:ascii="Cambria" w:hAnsi="Cambria"/>
          <w:sz w:val="20"/>
          <w:szCs w:val="20"/>
          <w:lang w:val="es-ES"/>
        </w:rPr>
        <w:t>derechos</w:t>
      </w:r>
      <w:r w:rsidRPr="00E9543F">
        <w:rPr>
          <w:rFonts w:ascii="Cambria" w:hAnsi="Cambria"/>
          <w:spacing w:val="-7"/>
          <w:sz w:val="20"/>
          <w:szCs w:val="20"/>
          <w:lang w:val="es-ES"/>
        </w:rPr>
        <w:t xml:space="preserve"> </w:t>
      </w:r>
      <w:r w:rsidRPr="00E9543F">
        <w:rPr>
          <w:rFonts w:ascii="Cambria" w:hAnsi="Cambria"/>
          <w:sz w:val="20"/>
          <w:szCs w:val="20"/>
          <w:lang w:val="es-ES"/>
        </w:rPr>
        <w:t>políticos</w:t>
      </w:r>
      <w:r w:rsidRPr="00E9543F">
        <w:rPr>
          <w:rFonts w:ascii="Cambria" w:hAnsi="Cambria"/>
          <w:spacing w:val="-6"/>
          <w:sz w:val="20"/>
          <w:szCs w:val="20"/>
          <w:lang w:val="es-ES"/>
        </w:rPr>
        <w:t xml:space="preserve"> </w:t>
      </w:r>
      <w:r w:rsidRPr="00E9543F">
        <w:rPr>
          <w:rFonts w:ascii="Cambria" w:hAnsi="Cambria"/>
          <w:sz w:val="20"/>
          <w:szCs w:val="20"/>
          <w:lang w:val="es-ES"/>
        </w:rPr>
        <w:t>o simplemente por pretender opinar y participar en los asuntos políticos”</w:t>
      </w:r>
      <w:r w:rsidRPr="00E9543F">
        <w:rPr>
          <w:rStyle w:val="FootnoteReference"/>
          <w:rFonts w:ascii="Cambria" w:hAnsi="Cambria"/>
          <w:sz w:val="20"/>
          <w:szCs w:val="20"/>
          <w:lang w:val="es-ES"/>
        </w:rPr>
        <w:footnoteReference w:id="9"/>
      </w:r>
      <w:r w:rsidRPr="00E9543F">
        <w:rPr>
          <w:rFonts w:ascii="Cambria" w:hAnsi="Cambria"/>
          <w:sz w:val="20"/>
          <w:szCs w:val="20"/>
          <w:lang w:val="es-ES"/>
        </w:rPr>
        <w:t xml:space="preserve">. Es así </w:t>
      </w:r>
      <w:bookmarkStart w:id="19" w:name="_Int_YqpoRWrZ"/>
      <w:r w:rsidR="6318C972" w:rsidRPr="00E9543F">
        <w:rPr>
          <w:rFonts w:ascii="Cambria" w:hAnsi="Cambria"/>
          <w:sz w:val="20"/>
          <w:szCs w:val="20"/>
          <w:lang w:val="es-ES"/>
        </w:rPr>
        <w:t>cómo</w:t>
      </w:r>
      <w:bookmarkEnd w:id="19"/>
      <w:r w:rsidRPr="00E9543F">
        <w:rPr>
          <w:rFonts w:ascii="Cambria" w:hAnsi="Cambria"/>
          <w:sz w:val="20"/>
          <w:szCs w:val="20"/>
          <w:lang w:val="es-ES"/>
        </w:rPr>
        <w:t xml:space="preserve"> desde</w:t>
      </w:r>
      <w:r w:rsidRPr="00E9543F">
        <w:rPr>
          <w:rFonts w:ascii="Cambria" w:hAnsi="Cambria"/>
          <w:spacing w:val="56"/>
          <w:sz w:val="20"/>
          <w:szCs w:val="20"/>
          <w:lang w:val="es-ES"/>
        </w:rPr>
        <w:t xml:space="preserve"> </w:t>
      </w:r>
      <w:r w:rsidRPr="00E9543F">
        <w:rPr>
          <w:rFonts w:ascii="Cambria" w:hAnsi="Cambria"/>
          <w:sz w:val="20"/>
          <w:szCs w:val="20"/>
          <w:lang w:val="es-ES"/>
        </w:rPr>
        <w:t>hace</w:t>
      </w:r>
      <w:r w:rsidRPr="00E9543F">
        <w:rPr>
          <w:rFonts w:ascii="Cambria" w:hAnsi="Cambria"/>
          <w:spacing w:val="56"/>
          <w:sz w:val="20"/>
          <w:szCs w:val="20"/>
          <w:lang w:val="es-ES"/>
        </w:rPr>
        <w:t xml:space="preserve"> </w:t>
      </w:r>
      <w:r w:rsidRPr="00E9543F">
        <w:rPr>
          <w:rFonts w:ascii="Cambria" w:hAnsi="Cambria"/>
          <w:sz w:val="20"/>
          <w:szCs w:val="20"/>
          <w:lang w:val="es-ES"/>
        </w:rPr>
        <w:t>décadas</w:t>
      </w:r>
      <w:r w:rsidRPr="00E9543F">
        <w:rPr>
          <w:rFonts w:ascii="Cambria" w:hAnsi="Cambria"/>
          <w:spacing w:val="57"/>
          <w:sz w:val="20"/>
          <w:szCs w:val="20"/>
          <w:lang w:val="es-ES"/>
        </w:rPr>
        <w:t xml:space="preserve"> </w:t>
      </w:r>
      <w:r w:rsidRPr="00E9543F">
        <w:rPr>
          <w:rFonts w:ascii="Cambria" w:hAnsi="Cambria"/>
          <w:sz w:val="20"/>
          <w:szCs w:val="20"/>
          <w:lang w:val="es-ES"/>
        </w:rPr>
        <w:t>el</w:t>
      </w:r>
      <w:r w:rsidRPr="00E9543F">
        <w:rPr>
          <w:rFonts w:ascii="Cambria" w:hAnsi="Cambria"/>
          <w:spacing w:val="56"/>
          <w:sz w:val="20"/>
          <w:szCs w:val="20"/>
          <w:lang w:val="es-ES"/>
        </w:rPr>
        <w:t xml:space="preserve"> </w:t>
      </w:r>
      <w:r w:rsidRPr="00E9543F">
        <w:rPr>
          <w:rFonts w:ascii="Cambria" w:hAnsi="Cambria"/>
          <w:sz w:val="20"/>
          <w:szCs w:val="20"/>
          <w:lang w:val="es-ES"/>
        </w:rPr>
        <w:t>gobierno</w:t>
      </w:r>
      <w:r w:rsidRPr="00E9543F">
        <w:rPr>
          <w:rFonts w:ascii="Cambria" w:hAnsi="Cambria"/>
          <w:spacing w:val="56"/>
          <w:sz w:val="20"/>
          <w:szCs w:val="20"/>
          <w:lang w:val="es-ES"/>
        </w:rPr>
        <w:t xml:space="preserve"> </w:t>
      </w:r>
      <w:r w:rsidRPr="00E9543F">
        <w:rPr>
          <w:rFonts w:ascii="Cambria" w:hAnsi="Cambria"/>
          <w:sz w:val="20"/>
          <w:szCs w:val="20"/>
          <w:lang w:val="es-ES"/>
        </w:rPr>
        <w:t>cubano</w:t>
      </w:r>
      <w:r w:rsidRPr="00E9543F">
        <w:rPr>
          <w:rFonts w:ascii="Cambria" w:hAnsi="Cambria"/>
          <w:spacing w:val="56"/>
          <w:sz w:val="20"/>
          <w:szCs w:val="20"/>
          <w:lang w:val="es-ES"/>
        </w:rPr>
        <w:t xml:space="preserve"> </w:t>
      </w:r>
      <w:r w:rsidRPr="00E9543F">
        <w:rPr>
          <w:rFonts w:ascii="Cambria" w:hAnsi="Cambria"/>
          <w:sz w:val="20"/>
          <w:szCs w:val="20"/>
          <w:lang w:val="es-ES"/>
        </w:rPr>
        <w:t>mantiene</w:t>
      </w:r>
      <w:r w:rsidRPr="00E9543F">
        <w:rPr>
          <w:rFonts w:ascii="Cambria" w:hAnsi="Cambria"/>
          <w:spacing w:val="56"/>
          <w:sz w:val="20"/>
          <w:szCs w:val="20"/>
          <w:lang w:val="es-ES"/>
        </w:rPr>
        <w:t xml:space="preserve"> </w:t>
      </w:r>
      <w:r w:rsidRPr="00E9543F">
        <w:rPr>
          <w:rFonts w:ascii="Cambria" w:hAnsi="Cambria"/>
          <w:sz w:val="20"/>
          <w:szCs w:val="20"/>
          <w:lang w:val="es-ES"/>
        </w:rPr>
        <w:t>una</w:t>
      </w:r>
      <w:r w:rsidRPr="00E9543F">
        <w:rPr>
          <w:rFonts w:ascii="Cambria" w:hAnsi="Cambria"/>
          <w:spacing w:val="57"/>
          <w:sz w:val="20"/>
          <w:szCs w:val="20"/>
          <w:lang w:val="es-ES"/>
        </w:rPr>
        <w:t xml:space="preserve"> </w:t>
      </w:r>
      <w:r w:rsidRPr="00E9543F">
        <w:rPr>
          <w:rFonts w:ascii="Cambria" w:hAnsi="Cambria"/>
          <w:sz w:val="20"/>
          <w:szCs w:val="20"/>
          <w:lang w:val="es-ES"/>
        </w:rPr>
        <w:t>política</w:t>
      </w:r>
      <w:r w:rsidRPr="00E9543F">
        <w:rPr>
          <w:rFonts w:ascii="Cambria" w:hAnsi="Cambria"/>
          <w:spacing w:val="56"/>
          <w:sz w:val="20"/>
          <w:szCs w:val="20"/>
          <w:lang w:val="es-ES"/>
        </w:rPr>
        <w:t xml:space="preserve"> </w:t>
      </w:r>
      <w:r w:rsidRPr="00E9543F">
        <w:rPr>
          <w:rFonts w:ascii="Cambria" w:hAnsi="Cambria"/>
          <w:sz w:val="20"/>
          <w:szCs w:val="20"/>
          <w:lang w:val="es-ES"/>
        </w:rPr>
        <w:t>estricta</w:t>
      </w:r>
      <w:r w:rsidRPr="00E9543F">
        <w:rPr>
          <w:rFonts w:ascii="Cambria" w:hAnsi="Cambria"/>
          <w:spacing w:val="56"/>
          <w:sz w:val="20"/>
          <w:szCs w:val="20"/>
          <w:lang w:val="es-ES"/>
        </w:rPr>
        <w:t xml:space="preserve"> </w:t>
      </w:r>
      <w:r w:rsidRPr="00E9543F">
        <w:rPr>
          <w:rFonts w:ascii="Cambria" w:hAnsi="Cambria"/>
          <w:sz w:val="20"/>
          <w:szCs w:val="20"/>
          <w:lang w:val="es-ES"/>
        </w:rPr>
        <w:t>de represión</w:t>
      </w:r>
      <w:r w:rsidRPr="00E9543F">
        <w:rPr>
          <w:rFonts w:ascii="Cambria" w:hAnsi="Cambria"/>
          <w:spacing w:val="-4"/>
          <w:sz w:val="20"/>
          <w:szCs w:val="20"/>
          <w:lang w:val="es-ES"/>
        </w:rPr>
        <w:t xml:space="preserve"> </w:t>
      </w:r>
      <w:r w:rsidRPr="00E9543F">
        <w:rPr>
          <w:rFonts w:ascii="Cambria" w:hAnsi="Cambria"/>
          <w:sz w:val="20"/>
          <w:szCs w:val="20"/>
          <w:lang w:val="es-ES"/>
        </w:rPr>
        <w:t>sobre</w:t>
      </w:r>
      <w:r w:rsidRPr="00E9543F">
        <w:rPr>
          <w:rFonts w:ascii="Cambria" w:hAnsi="Cambria"/>
          <w:spacing w:val="-3"/>
          <w:sz w:val="20"/>
          <w:szCs w:val="20"/>
          <w:lang w:val="es-ES"/>
        </w:rPr>
        <w:t xml:space="preserve"> </w:t>
      </w:r>
      <w:r w:rsidRPr="00E9543F">
        <w:rPr>
          <w:rFonts w:ascii="Cambria" w:hAnsi="Cambria"/>
          <w:sz w:val="20"/>
          <w:szCs w:val="20"/>
          <w:lang w:val="es-ES"/>
        </w:rPr>
        <w:t>individuos</w:t>
      </w:r>
      <w:r w:rsidRPr="00E9543F">
        <w:rPr>
          <w:rFonts w:ascii="Cambria" w:hAnsi="Cambria"/>
          <w:spacing w:val="-4"/>
          <w:sz w:val="20"/>
          <w:szCs w:val="20"/>
          <w:lang w:val="es-ES"/>
        </w:rPr>
        <w:t xml:space="preserve"> </w:t>
      </w:r>
      <w:r w:rsidRPr="00E9543F">
        <w:rPr>
          <w:rFonts w:ascii="Cambria" w:hAnsi="Cambria"/>
          <w:sz w:val="20"/>
          <w:szCs w:val="20"/>
          <w:lang w:val="es-ES"/>
        </w:rPr>
        <w:t>y</w:t>
      </w:r>
      <w:r w:rsidRPr="00E9543F">
        <w:rPr>
          <w:rFonts w:ascii="Cambria" w:hAnsi="Cambria"/>
          <w:spacing w:val="-3"/>
          <w:sz w:val="20"/>
          <w:szCs w:val="20"/>
          <w:lang w:val="es-ES"/>
        </w:rPr>
        <w:t xml:space="preserve"> </w:t>
      </w:r>
      <w:r w:rsidRPr="00E9543F">
        <w:rPr>
          <w:rFonts w:ascii="Cambria" w:hAnsi="Cambria"/>
          <w:sz w:val="20"/>
          <w:szCs w:val="20"/>
          <w:lang w:val="es-ES"/>
        </w:rPr>
        <w:t>grupos</w:t>
      </w:r>
      <w:r w:rsidRPr="00E9543F">
        <w:rPr>
          <w:rFonts w:ascii="Cambria" w:hAnsi="Cambria"/>
          <w:spacing w:val="-4"/>
          <w:sz w:val="20"/>
          <w:szCs w:val="20"/>
          <w:lang w:val="es-ES"/>
        </w:rPr>
        <w:t xml:space="preserve"> </w:t>
      </w:r>
      <w:r w:rsidRPr="00E9543F">
        <w:rPr>
          <w:rFonts w:ascii="Cambria" w:hAnsi="Cambria"/>
          <w:sz w:val="20"/>
          <w:szCs w:val="20"/>
          <w:lang w:val="es-ES"/>
        </w:rPr>
        <w:t>que</w:t>
      </w:r>
      <w:r w:rsidRPr="00E9543F">
        <w:rPr>
          <w:rFonts w:ascii="Cambria" w:hAnsi="Cambria"/>
          <w:spacing w:val="-3"/>
          <w:sz w:val="20"/>
          <w:szCs w:val="20"/>
          <w:lang w:val="es-ES"/>
        </w:rPr>
        <w:t xml:space="preserve"> </w:t>
      </w:r>
      <w:r w:rsidRPr="00E9543F">
        <w:rPr>
          <w:rFonts w:ascii="Cambria" w:hAnsi="Cambria"/>
          <w:sz w:val="20"/>
          <w:szCs w:val="20"/>
          <w:lang w:val="es-ES"/>
        </w:rPr>
        <w:t>intentan</w:t>
      </w:r>
      <w:r w:rsidRPr="00E9543F">
        <w:rPr>
          <w:rFonts w:ascii="Cambria" w:hAnsi="Cambria"/>
          <w:spacing w:val="-3"/>
          <w:sz w:val="20"/>
          <w:szCs w:val="20"/>
          <w:lang w:val="es-ES"/>
        </w:rPr>
        <w:t xml:space="preserve"> </w:t>
      </w:r>
      <w:r w:rsidRPr="00E9543F">
        <w:rPr>
          <w:rFonts w:ascii="Cambria" w:hAnsi="Cambria"/>
          <w:sz w:val="20"/>
          <w:szCs w:val="20"/>
          <w:lang w:val="es-ES"/>
        </w:rPr>
        <w:t>criticar</w:t>
      </w:r>
      <w:r w:rsidRPr="00E9543F">
        <w:rPr>
          <w:rFonts w:ascii="Cambria" w:hAnsi="Cambria"/>
          <w:spacing w:val="-4"/>
          <w:sz w:val="20"/>
          <w:szCs w:val="20"/>
          <w:lang w:val="es-ES"/>
        </w:rPr>
        <w:t xml:space="preserve"> </w:t>
      </w:r>
      <w:r w:rsidRPr="00E9543F">
        <w:rPr>
          <w:rFonts w:ascii="Cambria" w:hAnsi="Cambria"/>
          <w:sz w:val="20"/>
          <w:szCs w:val="20"/>
          <w:lang w:val="es-ES"/>
        </w:rPr>
        <w:t>al</w:t>
      </w:r>
      <w:r w:rsidRPr="00E9543F">
        <w:rPr>
          <w:rFonts w:ascii="Cambria" w:hAnsi="Cambria"/>
          <w:spacing w:val="-3"/>
          <w:sz w:val="20"/>
          <w:szCs w:val="20"/>
          <w:lang w:val="es-ES"/>
        </w:rPr>
        <w:t xml:space="preserve"> </w:t>
      </w:r>
      <w:r w:rsidRPr="00E9543F">
        <w:rPr>
          <w:rFonts w:ascii="Cambria" w:hAnsi="Cambria"/>
          <w:sz w:val="20"/>
          <w:szCs w:val="20"/>
          <w:lang w:val="es-ES"/>
        </w:rPr>
        <w:t>régimen</w:t>
      </w:r>
      <w:r w:rsidRPr="00E9543F">
        <w:rPr>
          <w:rFonts w:ascii="Cambria" w:hAnsi="Cambria"/>
          <w:spacing w:val="-4"/>
          <w:sz w:val="20"/>
          <w:szCs w:val="20"/>
          <w:lang w:val="es-ES"/>
        </w:rPr>
        <w:t xml:space="preserve"> </w:t>
      </w:r>
      <w:r w:rsidRPr="00E9543F">
        <w:rPr>
          <w:rFonts w:ascii="Cambria" w:hAnsi="Cambria"/>
          <w:sz w:val="20"/>
          <w:szCs w:val="20"/>
          <w:lang w:val="es-ES"/>
        </w:rPr>
        <w:t>o</w:t>
      </w:r>
      <w:r w:rsidRPr="00E9543F">
        <w:rPr>
          <w:rFonts w:ascii="Cambria" w:hAnsi="Cambria"/>
          <w:spacing w:val="-3"/>
          <w:sz w:val="20"/>
          <w:szCs w:val="20"/>
          <w:lang w:val="es-ES"/>
        </w:rPr>
        <w:t xml:space="preserve"> </w:t>
      </w:r>
      <w:r w:rsidRPr="00E9543F">
        <w:rPr>
          <w:rFonts w:ascii="Cambria" w:hAnsi="Cambria"/>
          <w:sz w:val="20"/>
          <w:szCs w:val="20"/>
          <w:lang w:val="es-ES"/>
        </w:rPr>
        <w:t>buscan</w:t>
      </w:r>
      <w:r w:rsidRPr="00E9543F">
        <w:rPr>
          <w:rFonts w:ascii="Cambria" w:hAnsi="Cambria"/>
          <w:spacing w:val="-3"/>
          <w:sz w:val="20"/>
          <w:szCs w:val="20"/>
          <w:lang w:val="es-ES"/>
        </w:rPr>
        <w:t xml:space="preserve"> </w:t>
      </w:r>
      <w:r w:rsidRPr="00E9543F">
        <w:rPr>
          <w:rFonts w:ascii="Cambria" w:hAnsi="Cambria"/>
          <w:sz w:val="20"/>
          <w:szCs w:val="20"/>
          <w:lang w:val="es-ES"/>
        </w:rPr>
        <w:t>un</w:t>
      </w:r>
      <w:r w:rsidRPr="00E9543F">
        <w:rPr>
          <w:rFonts w:ascii="Cambria" w:hAnsi="Cambria"/>
          <w:spacing w:val="-4"/>
          <w:sz w:val="20"/>
          <w:szCs w:val="20"/>
          <w:lang w:val="es-ES"/>
        </w:rPr>
        <w:t xml:space="preserve"> </w:t>
      </w:r>
      <w:r w:rsidRPr="00E9543F">
        <w:rPr>
          <w:rFonts w:ascii="Cambria" w:hAnsi="Cambria"/>
          <w:sz w:val="20"/>
          <w:szCs w:val="20"/>
          <w:lang w:val="es-ES"/>
        </w:rPr>
        <w:t>ejercicio</w:t>
      </w:r>
      <w:r w:rsidRPr="00E9543F">
        <w:rPr>
          <w:rFonts w:ascii="Cambria" w:hAnsi="Cambria"/>
          <w:spacing w:val="-3"/>
          <w:sz w:val="20"/>
          <w:szCs w:val="20"/>
          <w:lang w:val="es-ES"/>
        </w:rPr>
        <w:t xml:space="preserve"> </w:t>
      </w:r>
      <w:r w:rsidRPr="00E9543F">
        <w:rPr>
          <w:rFonts w:ascii="Cambria" w:hAnsi="Cambria"/>
          <w:sz w:val="20"/>
          <w:szCs w:val="20"/>
          <w:lang w:val="es-ES"/>
        </w:rPr>
        <w:t>libre</w:t>
      </w:r>
      <w:r w:rsidRPr="00E9543F">
        <w:rPr>
          <w:rFonts w:ascii="Cambria" w:hAnsi="Cambria"/>
          <w:spacing w:val="-4"/>
          <w:sz w:val="20"/>
          <w:szCs w:val="20"/>
          <w:lang w:val="es-ES"/>
        </w:rPr>
        <w:t xml:space="preserve"> </w:t>
      </w:r>
      <w:r w:rsidRPr="00E9543F">
        <w:rPr>
          <w:rFonts w:ascii="Cambria" w:hAnsi="Cambria"/>
          <w:sz w:val="20"/>
          <w:szCs w:val="20"/>
          <w:lang w:val="es-ES"/>
        </w:rPr>
        <w:t>de</w:t>
      </w:r>
      <w:r w:rsidRPr="00E9543F">
        <w:rPr>
          <w:rFonts w:ascii="Cambria" w:hAnsi="Cambria"/>
          <w:spacing w:val="-57"/>
          <w:sz w:val="20"/>
          <w:szCs w:val="20"/>
          <w:lang w:val="es-ES"/>
        </w:rPr>
        <w:t xml:space="preserve"> </w:t>
      </w:r>
      <w:r w:rsidRPr="00E9543F">
        <w:rPr>
          <w:rFonts w:ascii="Cambria" w:hAnsi="Cambria"/>
          <w:sz w:val="20"/>
          <w:szCs w:val="20"/>
          <w:lang w:val="es-ES"/>
        </w:rPr>
        <w:t>los derechos humanos. E</w:t>
      </w:r>
      <w:r w:rsidR="57DC1762" w:rsidRPr="00E9543F">
        <w:rPr>
          <w:rFonts w:ascii="Cambria" w:hAnsi="Cambria"/>
          <w:sz w:val="20"/>
          <w:szCs w:val="20"/>
          <w:lang w:val="es-ES"/>
        </w:rPr>
        <w:t xml:space="preserve">n consecuencia, la CIDH </w:t>
      </w:r>
      <w:r w:rsidRPr="00E9543F">
        <w:rPr>
          <w:rFonts w:ascii="Cambria" w:hAnsi="Cambria"/>
          <w:sz w:val="20"/>
          <w:szCs w:val="20"/>
          <w:lang w:val="es-ES"/>
        </w:rPr>
        <w:t>ha sostenido que en Cuba se “puede</w:t>
      </w:r>
      <w:r w:rsidRPr="00E9543F">
        <w:rPr>
          <w:rFonts w:ascii="Cambria" w:hAnsi="Cambria"/>
          <w:spacing w:val="1"/>
          <w:sz w:val="20"/>
          <w:szCs w:val="20"/>
          <w:lang w:val="es-ES"/>
        </w:rPr>
        <w:t xml:space="preserve"> </w:t>
      </w:r>
      <w:r w:rsidRPr="00E9543F">
        <w:rPr>
          <w:rFonts w:ascii="Cambria" w:hAnsi="Cambria"/>
          <w:sz w:val="20"/>
          <w:szCs w:val="20"/>
          <w:lang w:val="es-ES"/>
        </w:rPr>
        <w:t xml:space="preserve">afirmar [...] categóricamente que no hay derecho </w:t>
      </w:r>
      <w:r w:rsidRPr="00E9543F">
        <w:rPr>
          <w:rFonts w:ascii="Cambria" w:hAnsi="Cambria"/>
          <w:sz w:val="20"/>
          <w:szCs w:val="20"/>
          <w:lang w:val="es-ES"/>
        </w:rPr>
        <w:lastRenderedPageBreak/>
        <w:t>a la libertad de expresión”</w:t>
      </w:r>
      <w:r w:rsidRPr="00E9543F">
        <w:rPr>
          <w:rStyle w:val="FootnoteReference"/>
          <w:rFonts w:ascii="Cambria" w:hAnsi="Cambria"/>
          <w:sz w:val="20"/>
          <w:szCs w:val="20"/>
          <w:lang w:val="es-ES"/>
        </w:rPr>
        <w:footnoteReference w:id="10"/>
      </w:r>
      <w:r w:rsidRPr="00E9543F">
        <w:rPr>
          <w:rFonts w:ascii="Cambria" w:hAnsi="Cambria"/>
          <w:sz w:val="20"/>
          <w:szCs w:val="20"/>
          <w:lang w:val="es-ES"/>
        </w:rPr>
        <w:t xml:space="preserve">. La Comisión </w:t>
      </w:r>
      <w:r w:rsidRPr="00E9543F">
        <w:rPr>
          <w:rFonts w:ascii="Cambria" w:hAnsi="Cambria"/>
          <w:spacing w:val="-1"/>
          <w:sz w:val="20"/>
          <w:szCs w:val="20"/>
          <w:lang w:val="es-ES"/>
        </w:rPr>
        <w:t xml:space="preserve">ha </w:t>
      </w:r>
      <w:r w:rsidRPr="00E9543F">
        <w:rPr>
          <w:rFonts w:ascii="Cambria" w:hAnsi="Cambria"/>
          <w:sz w:val="20"/>
          <w:szCs w:val="20"/>
          <w:lang w:val="es-ES"/>
        </w:rPr>
        <w:t>observado la</w:t>
      </w:r>
      <w:r w:rsidRPr="00E9543F">
        <w:rPr>
          <w:rFonts w:ascii="Cambria" w:hAnsi="Cambria"/>
          <w:spacing w:val="-1"/>
          <w:sz w:val="20"/>
          <w:szCs w:val="20"/>
          <w:lang w:val="es-ES"/>
        </w:rPr>
        <w:t xml:space="preserve"> </w:t>
      </w:r>
      <w:r w:rsidRPr="00E9543F">
        <w:rPr>
          <w:rFonts w:ascii="Cambria" w:hAnsi="Cambria"/>
          <w:sz w:val="20"/>
          <w:szCs w:val="20"/>
          <w:lang w:val="es-ES"/>
        </w:rPr>
        <w:t>falta</w:t>
      </w:r>
      <w:r w:rsidRPr="00E9543F">
        <w:rPr>
          <w:rFonts w:ascii="Cambria" w:hAnsi="Cambria"/>
          <w:spacing w:val="-1"/>
          <w:sz w:val="20"/>
          <w:szCs w:val="20"/>
          <w:lang w:val="es-ES"/>
        </w:rPr>
        <w:t xml:space="preserve"> </w:t>
      </w:r>
      <w:r w:rsidRPr="00E9543F">
        <w:rPr>
          <w:rFonts w:ascii="Cambria" w:hAnsi="Cambria"/>
          <w:sz w:val="20"/>
          <w:szCs w:val="20"/>
          <w:lang w:val="es-ES"/>
        </w:rPr>
        <w:t>de</w:t>
      </w:r>
      <w:r w:rsidRPr="00E9543F">
        <w:rPr>
          <w:rFonts w:ascii="Cambria" w:hAnsi="Cambria"/>
          <w:spacing w:val="-1"/>
          <w:sz w:val="20"/>
          <w:szCs w:val="20"/>
          <w:lang w:val="es-ES"/>
        </w:rPr>
        <w:t xml:space="preserve"> </w:t>
      </w:r>
      <w:r w:rsidRPr="00E9543F">
        <w:rPr>
          <w:rFonts w:ascii="Cambria" w:hAnsi="Cambria"/>
          <w:sz w:val="20"/>
          <w:szCs w:val="20"/>
          <w:lang w:val="es-ES"/>
        </w:rPr>
        <w:t>progreso en la</w:t>
      </w:r>
      <w:r w:rsidRPr="00E9543F">
        <w:rPr>
          <w:rFonts w:ascii="Cambria" w:hAnsi="Cambria"/>
          <w:spacing w:val="-1"/>
          <w:sz w:val="20"/>
          <w:szCs w:val="20"/>
          <w:lang w:val="es-ES"/>
        </w:rPr>
        <w:t xml:space="preserve"> </w:t>
      </w:r>
      <w:r w:rsidRPr="00E9543F">
        <w:rPr>
          <w:rFonts w:ascii="Cambria" w:hAnsi="Cambria"/>
          <w:sz w:val="20"/>
          <w:szCs w:val="20"/>
          <w:lang w:val="es-ES"/>
        </w:rPr>
        <w:t>situación durante un periodo prolongado de tiempo</w:t>
      </w:r>
      <w:r w:rsidRPr="00E9543F">
        <w:rPr>
          <w:rStyle w:val="FootnoteReference"/>
          <w:rFonts w:ascii="Cambria" w:hAnsi="Cambria"/>
          <w:sz w:val="20"/>
          <w:szCs w:val="20"/>
          <w:lang w:val="es-ES"/>
        </w:rPr>
        <w:footnoteReference w:id="11"/>
      </w:r>
      <w:r w:rsidRPr="00E9543F">
        <w:rPr>
          <w:rFonts w:ascii="Cambria" w:hAnsi="Cambria"/>
          <w:sz w:val="20"/>
          <w:szCs w:val="20"/>
          <w:lang w:val="es-ES"/>
        </w:rPr>
        <w:t>.</w:t>
      </w:r>
    </w:p>
    <w:p w14:paraId="2FCF1CAF" w14:textId="77777777" w:rsidR="00ED6D2F" w:rsidRPr="00E9543F" w:rsidRDefault="00ED6D2F" w:rsidP="00B54658">
      <w:pPr>
        <w:rPr>
          <w:lang w:val="es-ES"/>
        </w:rPr>
      </w:pPr>
    </w:p>
    <w:p w14:paraId="40BA57D8" w14:textId="03169863" w:rsidR="000A576A" w:rsidRPr="00E9543F" w:rsidRDefault="00ED6D2F" w:rsidP="001A4728">
      <w:pPr>
        <w:numPr>
          <w:ilvl w:val="0"/>
          <w:numId w:val="60"/>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hAnsi="Cambria"/>
          <w:sz w:val="20"/>
          <w:szCs w:val="20"/>
          <w:lang w:val="es-ES"/>
        </w:rPr>
      </w:pPr>
      <w:r w:rsidRPr="7AB0424C">
        <w:rPr>
          <w:rFonts w:ascii="Cambria" w:eastAsiaTheme="minorEastAsia" w:hAnsi="Cambria"/>
          <w:sz w:val="20"/>
          <w:szCs w:val="20"/>
          <w:lang w:val="es-ES"/>
        </w:rPr>
        <w:t xml:space="preserve">Entre las prácticas documentadas, la Comisión ha indicado que “se han destacado denuncias de hostigamientos, </w:t>
      </w:r>
      <w:r w:rsidRPr="00E9543F">
        <w:rPr>
          <w:rFonts w:ascii="Cambria" w:hAnsi="Cambria"/>
          <w:sz w:val="20"/>
          <w:szCs w:val="20"/>
          <w:lang w:val="es-ES"/>
        </w:rPr>
        <w:t>amenazas</w:t>
      </w:r>
      <w:r w:rsidRPr="7AB0424C">
        <w:rPr>
          <w:rFonts w:ascii="Cambria" w:eastAsiaTheme="minorEastAsia" w:hAnsi="Cambria"/>
          <w:sz w:val="20"/>
          <w:szCs w:val="20"/>
          <w:lang w:val="es-ES"/>
        </w:rPr>
        <w:t xml:space="preserve"> y represalias; detenciones arbitrarias; allanamientos de morada y confiscación de bienes, generalmente vinculados a causas penales “fabricadas”; obstáculos para reunirse con fines políticos; indebidas restricciones de salida del país y deportaciones de La Habana hacia otras provincias del interior; así como la estigmatización y el desprestigio</w:t>
      </w:r>
      <w:r w:rsidRPr="7AB0424C">
        <w:rPr>
          <w:rStyle w:val="FootnoteReference"/>
          <w:rFonts w:ascii="Cambria" w:eastAsiaTheme="minorEastAsia" w:hAnsi="Cambria"/>
          <w:sz w:val="20"/>
          <w:szCs w:val="20"/>
          <w:lang w:val="es-ES"/>
        </w:rPr>
        <w:footnoteReference w:id="12"/>
      </w:r>
      <w:r w:rsidRPr="7AB0424C">
        <w:rPr>
          <w:rFonts w:ascii="Cambria" w:eastAsiaTheme="minorEastAsia" w:hAnsi="Cambria"/>
          <w:sz w:val="20"/>
          <w:szCs w:val="20"/>
          <w:lang w:val="es-ES"/>
        </w:rPr>
        <w:t>.</w:t>
      </w:r>
      <w:r w:rsidR="00D27F08" w:rsidRPr="00E9543F">
        <w:rPr>
          <w:rFonts w:ascii="Cambria" w:hAnsi="Cambria"/>
          <w:sz w:val="20"/>
          <w:szCs w:val="20"/>
          <w:lang w:val="es-ES"/>
        </w:rPr>
        <w:t xml:space="preserve"> </w:t>
      </w:r>
      <w:r w:rsidRPr="00E9543F">
        <w:rPr>
          <w:rFonts w:ascii="Cambria" w:hAnsi="Cambria"/>
          <w:sz w:val="20"/>
          <w:szCs w:val="20"/>
          <w:lang w:val="es-ES"/>
        </w:rPr>
        <w:t>En</w:t>
      </w:r>
      <w:r w:rsidRPr="00E9543F">
        <w:rPr>
          <w:rFonts w:ascii="Cambria" w:hAnsi="Cambria"/>
          <w:spacing w:val="-12"/>
          <w:sz w:val="20"/>
          <w:szCs w:val="20"/>
          <w:lang w:val="es-ES"/>
        </w:rPr>
        <w:t xml:space="preserve"> </w:t>
      </w:r>
      <w:r w:rsidRPr="00E9543F">
        <w:rPr>
          <w:rFonts w:ascii="Cambria" w:hAnsi="Cambria"/>
          <w:sz w:val="20"/>
          <w:szCs w:val="20"/>
          <w:lang w:val="es-ES"/>
        </w:rPr>
        <w:t>particular,</w:t>
      </w:r>
      <w:r w:rsidRPr="00E9543F">
        <w:rPr>
          <w:rFonts w:ascii="Cambria" w:hAnsi="Cambria"/>
          <w:spacing w:val="-11"/>
          <w:sz w:val="20"/>
          <w:szCs w:val="20"/>
          <w:lang w:val="es-ES"/>
        </w:rPr>
        <w:t xml:space="preserve"> </w:t>
      </w:r>
      <w:r w:rsidRPr="00E9543F">
        <w:rPr>
          <w:rFonts w:ascii="Cambria" w:hAnsi="Cambria"/>
          <w:sz w:val="20"/>
          <w:szCs w:val="20"/>
          <w:lang w:val="es-ES"/>
        </w:rPr>
        <w:t>la</w:t>
      </w:r>
      <w:r w:rsidRPr="00E9543F">
        <w:rPr>
          <w:rFonts w:ascii="Cambria" w:hAnsi="Cambria"/>
          <w:spacing w:val="-12"/>
          <w:sz w:val="20"/>
          <w:szCs w:val="20"/>
          <w:lang w:val="es-ES"/>
        </w:rPr>
        <w:t xml:space="preserve"> </w:t>
      </w:r>
      <w:r w:rsidRPr="00E9543F">
        <w:rPr>
          <w:rFonts w:ascii="Cambria" w:hAnsi="Cambria"/>
          <w:sz w:val="20"/>
          <w:szCs w:val="20"/>
          <w:lang w:val="es-ES"/>
        </w:rPr>
        <w:t>Comisión</w:t>
      </w:r>
      <w:r w:rsidRPr="00E9543F">
        <w:rPr>
          <w:rFonts w:ascii="Cambria" w:hAnsi="Cambria"/>
          <w:spacing w:val="-11"/>
          <w:sz w:val="20"/>
          <w:szCs w:val="20"/>
          <w:lang w:val="es-ES"/>
        </w:rPr>
        <w:t xml:space="preserve"> </w:t>
      </w:r>
      <w:r w:rsidRPr="00E9543F">
        <w:rPr>
          <w:rFonts w:ascii="Cambria" w:hAnsi="Cambria"/>
          <w:sz w:val="20"/>
          <w:szCs w:val="20"/>
          <w:lang w:val="es-ES"/>
        </w:rPr>
        <w:t>ha</w:t>
      </w:r>
      <w:r w:rsidRPr="00E9543F">
        <w:rPr>
          <w:rFonts w:ascii="Cambria" w:hAnsi="Cambria"/>
          <w:spacing w:val="-12"/>
          <w:sz w:val="20"/>
          <w:szCs w:val="20"/>
          <w:lang w:val="es-ES"/>
        </w:rPr>
        <w:t xml:space="preserve"> </w:t>
      </w:r>
      <w:r w:rsidR="1CC2BED4" w:rsidRPr="7AB0424C">
        <w:rPr>
          <w:rFonts w:ascii="Cambria" w:hAnsi="Cambria"/>
          <w:sz w:val="20"/>
          <w:szCs w:val="20"/>
          <w:lang w:val="es-ES"/>
        </w:rPr>
        <w:t xml:space="preserve">identificado </w:t>
      </w:r>
      <w:r w:rsidRPr="00E9543F">
        <w:rPr>
          <w:rFonts w:ascii="Cambria" w:hAnsi="Cambria"/>
          <w:sz w:val="20"/>
          <w:szCs w:val="20"/>
          <w:lang w:val="es-ES"/>
        </w:rPr>
        <w:t>dos</w:t>
      </w:r>
      <w:r w:rsidRPr="00E9543F">
        <w:rPr>
          <w:rFonts w:ascii="Cambria" w:hAnsi="Cambria"/>
          <w:spacing w:val="-12"/>
          <w:sz w:val="20"/>
          <w:szCs w:val="20"/>
          <w:lang w:val="es-ES"/>
        </w:rPr>
        <w:t xml:space="preserve"> </w:t>
      </w:r>
      <w:r w:rsidRPr="00E9543F">
        <w:rPr>
          <w:rFonts w:ascii="Cambria" w:hAnsi="Cambria"/>
          <w:sz w:val="20"/>
          <w:szCs w:val="20"/>
          <w:lang w:val="es-ES"/>
        </w:rPr>
        <w:t>tipos</w:t>
      </w:r>
      <w:r w:rsidRPr="00E9543F">
        <w:rPr>
          <w:rFonts w:ascii="Cambria" w:hAnsi="Cambria"/>
          <w:spacing w:val="-11"/>
          <w:sz w:val="20"/>
          <w:szCs w:val="20"/>
          <w:lang w:val="es-ES"/>
        </w:rPr>
        <w:t xml:space="preserve"> </w:t>
      </w:r>
      <w:r w:rsidRPr="00E9543F">
        <w:rPr>
          <w:rFonts w:ascii="Cambria" w:hAnsi="Cambria"/>
          <w:sz w:val="20"/>
          <w:szCs w:val="20"/>
          <w:lang w:val="es-ES"/>
        </w:rPr>
        <w:t>de</w:t>
      </w:r>
      <w:r w:rsidRPr="00E9543F">
        <w:rPr>
          <w:rFonts w:ascii="Cambria" w:hAnsi="Cambria"/>
          <w:spacing w:val="-12"/>
          <w:sz w:val="20"/>
          <w:szCs w:val="20"/>
          <w:lang w:val="es-ES"/>
        </w:rPr>
        <w:t xml:space="preserve"> </w:t>
      </w:r>
      <w:r w:rsidR="47C75DF9" w:rsidRPr="7AB0424C">
        <w:rPr>
          <w:rFonts w:ascii="Cambria" w:hAnsi="Cambria"/>
          <w:sz w:val="20"/>
          <w:szCs w:val="20"/>
          <w:lang w:val="es-ES"/>
        </w:rPr>
        <w:t xml:space="preserve">restricciones </w:t>
      </w:r>
      <w:r w:rsidRPr="00E9543F">
        <w:rPr>
          <w:rFonts w:ascii="Cambria" w:hAnsi="Cambria"/>
          <w:sz w:val="20"/>
          <w:szCs w:val="20"/>
          <w:lang w:val="es-ES"/>
        </w:rPr>
        <w:t>e</w:t>
      </w:r>
      <w:r w:rsidRPr="00E9543F">
        <w:rPr>
          <w:rFonts w:ascii="Cambria" w:hAnsi="Cambria"/>
          <w:spacing w:val="-12"/>
          <w:sz w:val="20"/>
          <w:szCs w:val="20"/>
          <w:lang w:val="es-ES"/>
        </w:rPr>
        <w:t xml:space="preserve"> </w:t>
      </w:r>
      <w:r w:rsidRPr="00E9543F">
        <w:rPr>
          <w:rFonts w:ascii="Cambria" w:hAnsi="Cambria"/>
          <w:sz w:val="20"/>
          <w:szCs w:val="20"/>
          <w:lang w:val="es-ES"/>
        </w:rPr>
        <w:t>injerencia</w:t>
      </w:r>
      <w:r w:rsidR="3B948788" w:rsidRPr="00E9543F">
        <w:rPr>
          <w:rFonts w:ascii="Cambria" w:hAnsi="Cambria"/>
          <w:sz w:val="20"/>
          <w:szCs w:val="20"/>
          <w:lang w:val="es-ES"/>
        </w:rPr>
        <w:t>s</w:t>
      </w:r>
      <w:r w:rsidRPr="00E9543F">
        <w:rPr>
          <w:rFonts w:ascii="Cambria" w:hAnsi="Cambria"/>
          <w:spacing w:val="-11"/>
          <w:sz w:val="20"/>
          <w:szCs w:val="20"/>
          <w:lang w:val="es-ES"/>
        </w:rPr>
        <w:t xml:space="preserve"> </w:t>
      </w:r>
      <w:r w:rsidRPr="00E9543F">
        <w:rPr>
          <w:rFonts w:ascii="Cambria" w:hAnsi="Cambria"/>
          <w:sz w:val="20"/>
          <w:szCs w:val="20"/>
          <w:lang w:val="es-ES"/>
        </w:rPr>
        <w:t>que</w:t>
      </w:r>
      <w:r w:rsidRPr="00E9543F">
        <w:rPr>
          <w:rFonts w:ascii="Cambria" w:hAnsi="Cambria"/>
          <w:spacing w:val="-12"/>
          <w:sz w:val="20"/>
          <w:szCs w:val="20"/>
          <w:lang w:val="es-ES"/>
        </w:rPr>
        <w:t xml:space="preserve"> </w:t>
      </w:r>
      <w:r w:rsidRPr="00E9543F">
        <w:rPr>
          <w:rFonts w:ascii="Cambria" w:hAnsi="Cambria"/>
          <w:sz w:val="20"/>
          <w:szCs w:val="20"/>
          <w:lang w:val="es-ES"/>
        </w:rPr>
        <w:t>son</w:t>
      </w:r>
      <w:r w:rsidRPr="00E9543F">
        <w:rPr>
          <w:rFonts w:ascii="Cambria" w:hAnsi="Cambria"/>
          <w:spacing w:val="-11"/>
          <w:sz w:val="20"/>
          <w:szCs w:val="20"/>
          <w:lang w:val="es-ES"/>
        </w:rPr>
        <w:t xml:space="preserve"> </w:t>
      </w:r>
      <w:r w:rsidRPr="00E9543F">
        <w:rPr>
          <w:rFonts w:ascii="Cambria" w:hAnsi="Cambria"/>
          <w:sz w:val="20"/>
          <w:szCs w:val="20"/>
          <w:lang w:val="es-ES"/>
        </w:rPr>
        <w:t>relevantes</w:t>
      </w:r>
      <w:r w:rsidRPr="00E9543F">
        <w:rPr>
          <w:rFonts w:ascii="Cambria" w:hAnsi="Cambria"/>
          <w:spacing w:val="-12"/>
          <w:sz w:val="20"/>
          <w:szCs w:val="20"/>
          <w:lang w:val="es-ES"/>
        </w:rPr>
        <w:t xml:space="preserve"> </w:t>
      </w:r>
      <w:r w:rsidRPr="00E9543F">
        <w:rPr>
          <w:rFonts w:ascii="Cambria" w:hAnsi="Cambria"/>
          <w:sz w:val="20"/>
          <w:szCs w:val="20"/>
          <w:lang w:val="es-ES"/>
        </w:rPr>
        <w:t>para este caso: un patrón sistemático de detenciones y encarcelamiento arbitrario</w:t>
      </w:r>
      <w:r w:rsidRPr="00E9543F">
        <w:rPr>
          <w:rStyle w:val="FootnoteReference"/>
          <w:rFonts w:ascii="Cambria" w:hAnsi="Cambria"/>
          <w:sz w:val="20"/>
          <w:szCs w:val="20"/>
          <w:lang w:val="es-ES"/>
        </w:rPr>
        <w:footnoteReference w:id="13"/>
      </w:r>
      <w:r w:rsidRPr="00E9543F">
        <w:rPr>
          <w:rFonts w:ascii="Cambria" w:hAnsi="Cambria"/>
          <w:sz w:val="20"/>
          <w:szCs w:val="20"/>
          <w:vertAlign w:val="superscript"/>
          <w:lang w:val="es-ES"/>
        </w:rPr>
        <w:t xml:space="preserve"> </w:t>
      </w:r>
      <w:r w:rsidRPr="00E9543F">
        <w:rPr>
          <w:rFonts w:ascii="Cambria" w:hAnsi="Cambria"/>
          <w:sz w:val="20"/>
          <w:szCs w:val="20"/>
          <w:lang w:val="es-ES"/>
        </w:rPr>
        <w:t>y la</w:t>
      </w:r>
      <w:r w:rsidRPr="00E9543F">
        <w:rPr>
          <w:rFonts w:ascii="Cambria" w:hAnsi="Cambria"/>
          <w:spacing w:val="1"/>
          <w:sz w:val="20"/>
          <w:szCs w:val="20"/>
          <w:lang w:val="es-ES"/>
        </w:rPr>
        <w:t xml:space="preserve"> </w:t>
      </w:r>
      <w:r w:rsidRPr="00E9543F">
        <w:rPr>
          <w:rFonts w:ascii="Cambria" w:hAnsi="Cambria"/>
          <w:spacing w:val="-1"/>
          <w:sz w:val="20"/>
          <w:szCs w:val="20"/>
          <w:lang w:val="es-ES"/>
        </w:rPr>
        <w:t>utilización</w:t>
      </w:r>
      <w:r w:rsidRPr="00E9543F">
        <w:rPr>
          <w:rFonts w:ascii="Cambria" w:hAnsi="Cambria"/>
          <w:spacing w:val="-14"/>
          <w:sz w:val="20"/>
          <w:szCs w:val="20"/>
          <w:lang w:val="es-ES"/>
        </w:rPr>
        <w:t xml:space="preserve"> </w:t>
      </w:r>
      <w:r w:rsidRPr="00E9543F">
        <w:rPr>
          <w:rFonts w:ascii="Cambria" w:hAnsi="Cambria"/>
          <w:spacing w:val="-1"/>
          <w:sz w:val="20"/>
          <w:szCs w:val="20"/>
          <w:lang w:val="es-ES"/>
        </w:rPr>
        <w:t>indebida</w:t>
      </w:r>
      <w:r w:rsidRPr="00E9543F">
        <w:rPr>
          <w:rFonts w:ascii="Cambria" w:hAnsi="Cambria"/>
          <w:spacing w:val="-14"/>
          <w:sz w:val="20"/>
          <w:szCs w:val="20"/>
          <w:lang w:val="es-ES"/>
        </w:rPr>
        <w:t xml:space="preserve"> </w:t>
      </w:r>
      <w:r w:rsidRPr="00E9543F">
        <w:rPr>
          <w:rFonts w:ascii="Cambria" w:hAnsi="Cambria"/>
          <w:spacing w:val="-1"/>
          <w:sz w:val="20"/>
          <w:szCs w:val="20"/>
          <w:lang w:val="es-ES"/>
        </w:rPr>
        <w:t>del</w:t>
      </w:r>
      <w:r w:rsidRPr="00E9543F">
        <w:rPr>
          <w:rFonts w:ascii="Cambria" w:hAnsi="Cambria"/>
          <w:spacing w:val="-13"/>
          <w:sz w:val="20"/>
          <w:szCs w:val="20"/>
          <w:lang w:val="es-ES"/>
        </w:rPr>
        <w:t xml:space="preserve"> </w:t>
      </w:r>
      <w:r w:rsidRPr="00E9543F">
        <w:rPr>
          <w:rFonts w:ascii="Cambria" w:hAnsi="Cambria"/>
          <w:spacing w:val="-1"/>
          <w:sz w:val="20"/>
          <w:szCs w:val="20"/>
          <w:lang w:val="es-ES"/>
        </w:rPr>
        <w:t>derecho</w:t>
      </w:r>
      <w:r w:rsidRPr="00E9543F">
        <w:rPr>
          <w:rFonts w:ascii="Cambria" w:hAnsi="Cambria"/>
          <w:spacing w:val="-14"/>
          <w:sz w:val="20"/>
          <w:szCs w:val="20"/>
          <w:lang w:val="es-ES"/>
        </w:rPr>
        <w:t xml:space="preserve"> </w:t>
      </w:r>
      <w:r w:rsidRPr="00E9543F">
        <w:rPr>
          <w:rFonts w:ascii="Cambria" w:hAnsi="Cambria"/>
          <w:spacing w:val="-1"/>
          <w:sz w:val="20"/>
          <w:szCs w:val="20"/>
          <w:lang w:val="es-ES"/>
        </w:rPr>
        <w:t>penal</w:t>
      </w:r>
      <w:r w:rsidRPr="00E9543F">
        <w:rPr>
          <w:rFonts w:ascii="Cambria" w:hAnsi="Cambria"/>
          <w:spacing w:val="-13"/>
          <w:sz w:val="20"/>
          <w:szCs w:val="20"/>
          <w:lang w:val="es-ES"/>
        </w:rPr>
        <w:t xml:space="preserve"> </w:t>
      </w:r>
      <w:r w:rsidR="72531E23" w:rsidRPr="7AB0424C">
        <w:rPr>
          <w:rFonts w:ascii="Cambria" w:eastAsia="Cambria" w:hAnsi="Cambria" w:cs="Cambria"/>
          <w:sz w:val="20"/>
          <w:szCs w:val="20"/>
          <w:lang w:val="es"/>
        </w:rPr>
        <w:t>—</w:t>
      </w:r>
      <w:r w:rsidRPr="00E9543F">
        <w:rPr>
          <w:rFonts w:ascii="Cambria" w:hAnsi="Cambria"/>
          <w:sz w:val="20"/>
          <w:szCs w:val="20"/>
          <w:lang w:val="es-ES"/>
        </w:rPr>
        <w:t>la</w:t>
      </w:r>
      <w:r w:rsidRPr="00E9543F">
        <w:rPr>
          <w:rFonts w:ascii="Cambria" w:hAnsi="Cambria"/>
          <w:spacing w:val="-14"/>
          <w:sz w:val="20"/>
          <w:szCs w:val="20"/>
          <w:lang w:val="es-ES"/>
        </w:rPr>
        <w:t xml:space="preserve"> </w:t>
      </w:r>
      <w:r w:rsidRPr="00E9543F">
        <w:rPr>
          <w:rFonts w:ascii="Cambria" w:hAnsi="Cambria"/>
          <w:sz w:val="20"/>
          <w:szCs w:val="20"/>
          <w:lang w:val="es-ES"/>
        </w:rPr>
        <w:t>criminalización</w:t>
      </w:r>
      <w:r w:rsidR="4243E4D5" w:rsidRPr="7AB0424C">
        <w:rPr>
          <w:rFonts w:ascii="Cambria" w:eastAsia="Cambria" w:hAnsi="Cambria" w:cs="Cambria"/>
          <w:sz w:val="20"/>
          <w:szCs w:val="20"/>
          <w:lang w:val="es"/>
        </w:rPr>
        <w:t>—</w:t>
      </w:r>
      <w:r w:rsidRPr="00E9543F">
        <w:rPr>
          <w:rFonts w:ascii="Cambria" w:hAnsi="Cambria"/>
          <w:spacing w:val="-14"/>
          <w:sz w:val="20"/>
          <w:szCs w:val="20"/>
          <w:lang w:val="es-ES"/>
        </w:rPr>
        <w:t xml:space="preserve"> </w:t>
      </w:r>
      <w:r w:rsidRPr="00E9543F">
        <w:rPr>
          <w:rFonts w:ascii="Cambria" w:hAnsi="Cambria"/>
          <w:sz w:val="20"/>
          <w:szCs w:val="20"/>
          <w:lang w:val="es-ES"/>
        </w:rPr>
        <w:t>como</w:t>
      </w:r>
      <w:r w:rsidRPr="00E9543F">
        <w:rPr>
          <w:rFonts w:ascii="Cambria" w:hAnsi="Cambria"/>
          <w:spacing w:val="-14"/>
          <w:sz w:val="20"/>
          <w:szCs w:val="20"/>
          <w:lang w:val="es-ES"/>
        </w:rPr>
        <w:t xml:space="preserve"> </w:t>
      </w:r>
      <w:r w:rsidRPr="00E9543F">
        <w:rPr>
          <w:rFonts w:ascii="Cambria" w:hAnsi="Cambria"/>
          <w:sz w:val="20"/>
          <w:szCs w:val="20"/>
          <w:lang w:val="es-ES"/>
        </w:rPr>
        <w:t>mecanismo</w:t>
      </w:r>
      <w:r w:rsidRPr="00E9543F">
        <w:rPr>
          <w:rFonts w:ascii="Cambria" w:hAnsi="Cambria"/>
          <w:spacing w:val="-13"/>
          <w:sz w:val="20"/>
          <w:szCs w:val="20"/>
          <w:lang w:val="es-ES"/>
        </w:rPr>
        <w:t xml:space="preserve"> </w:t>
      </w:r>
      <w:r w:rsidRPr="00E9543F">
        <w:rPr>
          <w:rFonts w:ascii="Cambria" w:hAnsi="Cambria"/>
          <w:sz w:val="20"/>
          <w:szCs w:val="20"/>
          <w:lang w:val="es-ES"/>
        </w:rPr>
        <w:t>de</w:t>
      </w:r>
      <w:r w:rsidRPr="00E9543F">
        <w:rPr>
          <w:rFonts w:ascii="Cambria" w:hAnsi="Cambria"/>
          <w:spacing w:val="-14"/>
          <w:sz w:val="20"/>
          <w:szCs w:val="20"/>
          <w:lang w:val="es-ES"/>
        </w:rPr>
        <w:t xml:space="preserve"> </w:t>
      </w:r>
      <w:r w:rsidR="00B82A24" w:rsidRPr="00E9543F">
        <w:rPr>
          <w:rFonts w:ascii="Cambria" w:hAnsi="Cambria"/>
          <w:sz w:val="20"/>
          <w:szCs w:val="20"/>
          <w:lang w:val="es-ES"/>
        </w:rPr>
        <w:t>responsabilidades</w:t>
      </w:r>
      <w:r w:rsidR="00B82A24">
        <w:rPr>
          <w:rFonts w:ascii="Cambria" w:hAnsi="Cambria"/>
          <w:sz w:val="20"/>
          <w:szCs w:val="20"/>
          <w:lang w:val="es-ES"/>
        </w:rPr>
        <w:t xml:space="preserve"> ulteriores</w:t>
      </w:r>
      <w:r w:rsidRPr="00E9543F">
        <w:rPr>
          <w:rFonts w:ascii="Cambria" w:hAnsi="Cambria"/>
          <w:spacing w:val="-14"/>
          <w:sz w:val="20"/>
          <w:szCs w:val="20"/>
          <w:lang w:val="es-ES"/>
        </w:rPr>
        <w:t xml:space="preserve"> </w:t>
      </w:r>
      <w:r w:rsidRPr="00E9543F">
        <w:rPr>
          <w:rFonts w:ascii="Cambria" w:hAnsi="Cambria"/>
          <w:sz w:val="20"/>
          <w:szCs w:val="20"/>
          <w:lang w:val="es-ES"/>
        </w:rPr>
        <w:t>en</w:t>
      </w:r>
      <w:r w:rsidRPr="00E9543F">
        <w:rPr>
          <w:rFonts w:ascii="Cambria" w:hAnsi="Cambria"/>
          <w:spacing w:val="-14"/>
          <w:sz w:val="20"/>
          <w:szCs w:val="20"/>
          <w:lang w:val="es-ES"/>
        </w:rPr>
        <w:t xml:space="preserve"> </w:t>
      </w:r>
      <w:r w:rsidRPr="00E9543F">
        <w:rPr>
          <w:rFonts w:ascii="Cambria" w:hAnsi="Cambria"/>
          <w:sz w:val="20"/>
          <w:szCs w:val="20"/>
          <w:lang w:val="es-ES"/>
        </w:rPr>
        <w:t>perjuicio</w:t>
      </w:r>
      <w:r w:rsidRPr="00E9543F">
        <w:rPr>
          <w:rFonts w:ascii="Cambria" w:hAnsi="Cambria"/>
          <w:spacing w:val="-14"/>
          <w:sz w:val="20"/>
          <w:szCs w:val="20"/>
          <w:lang w:val="es-ES"/>
        </w:rPr>
        <w:t xml:space="preserve"> </w:t>
      </w:r>
      <w:r w:rsidRPr="00E9543F">
        <w:rPr>
          <w:rFonts w:ascii="Cambria" w:hAnsi="Cambria"/>
          <w:sz w:val="20"/>
          <w:szCs w:val="20"/>
          <w:lang w:val="es-ES"/>
        </w:rPr>
        <w:t>de</w:t>
      </w:r>
      <w:r w:rsidRPr="00E9543F">
        <w:rPr>
          <w:rFonts w:ascii="Cambria" w:hAnsi="Cambria"/>
          <w:spacing w:val="-14"/>
          <w:sz w:val="20"/>
          <w:szCs w:val="20"/>
          <w:lang w:val="es-ES"/>
        </w:rPr>
        <w:t xml:space="preserve"> </w:t>
      </w:r>
      <w:r w:rsidRPr="00E9543F">
        <w:rPr>
          <w:rFonts w:ascii="Cambria" w:hAnsi="Cambria"/>
          <w:sz w:val="20"/>
          <w:szCs w:val="20"/>
          <w:lang w:val="es-ES"/>
        </w:rPr>
        <w:t>las</w:t>
      </w:r>
      <w:r w:rsidRPr="00E9543F">
        <w:rPr>
          <w:rFonts w:ascii="Cambria" w:hAnsi="Cambria"/>
          <w:spacing w:val="-14"/>
          <w:sz w:val="20"/>
          <w:szCs w:val="20"/>
          <w:lang w:val="es-ES"/>
        </w:rPr>
        <w:t xml:space="preserve"> </w:t>
      </w:r>
      <w:r w:rsidRPr="00E9543F">
        <w:rPr>
          <w:rFonts w:ascii="Cambria" w:hAnsi="Cambria"/>
          <w:sz w:val="20"/>
          <w:szCs w:val="20"/>
          <w:lang w:val="es-ES"/>
        </w:rPr>
        <w:t>personas</w:t>
      </w:r>
      <w:r w:rsidRPr="00E9543F">
        <w:rPr>
          <w:rFonts w:ascii="Cambria" w:hAnsi="Cambria"/>
          <w:spacing w:val="-14"/>
          <w:sz w:val="20"/>
          <w:szCs w:val="20"/>
          <w:lang w:val="es-ES"/>
        </w:rPr>
        <w:t xml:space="preserve"> </w:t>
      </w:r>
      <w:r w:rsidRPr="00E9543F">
        <w:rPr>
          <w:rFonts w:ascii="Cambria" w:hAnsi="Cambria"/>
          <w:sz w:val="20"/>
          <w:szCs w:val="20"/>
          <w:lang w:val="es-ES"/>
        </w:rPr>
        <w:t>disidentes</w:t>
      </w:r>
      <w:r w:rsidRPr="00E9543F">
        <w:rPr>
          <w:rFonts w:ascii="Cambria" w:hAnsi="Cambria"/>
          <w:spacing w:val="-13"/>
          <w:sz w:val="20"/>
          <w:szCs w:val="20"/>
          <w:lang w:val="es-ES"/>
        </w:rPr>
        <w:t xml:space="preserve"> </w:t>
      </w:r>
      <w:r w:rsidRPr="00E9543F">
        <w:rPr>
          <w:rFonts w:ascii="Cambria" w:hAnsi="Cambria"/>
          <w:sz w:val="20"/>
          <w:szCs w:val="20"/>
          <w:lang w:val="es-ES"/>
        </w:rPr>
        <w:t>y</w:t>
      </w:r>
      <w:r w:rsidRPr="00E9543F">
        <w:rPr>
          <w:rFonts w:ascii="Cambria" w:hAnsi="Cambria"/>
          <w:spacing w:val="-14"/>
          <w:sz w:val="20"/>
          <w:szCs w:val="20"/>
          <w:lang w:val="es-ES"/>
        </w:rPr>
        <w:t xml:space="preserve"> </w:t>
      </w:r>
      <w:r w:rsidRPr="00E9543F">
        <w:rPr>
          <w:rFonts w:ascii="Cambria" w:hAnsi="Cambria"/>
          <w:sz w:val="20"/>
          <w:szCs w:val="20"/>
          <w:lang w:val="es-ES"/>
        </w:rPr>
        <w:t>a</w:t>
      </w:r>
      <w:r w:rsidRPr="00E9543F">
        <w:rPr>
          <w:rFonts w:ascii="Cambria" w:hAnsi="Cambria"/>
          <w:spacing w:val="-14"/>
          <w:sz w:val="20"/>
          <w:szCs w:val="20"/>
          <w:lang w:val="es-ES"/>
        </w:rPr>
        <w:t xml:space="preserve"> </w:t>
      </w:r>
      <w:r w:rsidRPr="00E9543F">
        <w:rPr>
          <w:rFonts w:ascii="Cambria" w:hAnsi="Cambria"/>
          <w:sz w:val="20"/>
          <w:szCs w:val="20"/>
          <w:lang w:val="es-ES"/>
        </w:rPr>
        <w:t>quienes</w:t>
      </w:r>
      <w:r w:rsidRPr="00E9543F">
        <w:rPr>
          <w:rFonts w:ascii="Cambria" w:hAnsi="Cambria"/>
          <w:spacing w:val="-14"/>
          <w:sz w:val="20"/>
          <w:szCs w:val="20"/>
          <w:lang w:val="es-ES"/>
        </w:rPr>
        <w:t xml:space="preserve"> </w:t>
      </w:r>
      <w:r w:rsidRPr="00E9543F">
        <w:rPr>
          <w:rFonts w:ascii="Cambria" w:hAnsi="Cambria"/>
          <w:sz w:val="20"/>
          <w:szCs w:val="20"/>
          <w:lang w:val="es-ES"/>
        </w:rPr>
        <w:t>expresan</w:t>
      </w:r>
      <w:r w:rsidRPr="00E9543F">
        <w:rPr>
          <w:rFonts w:ascii="Cambria" w:hAnsi="Cambria"/>
          <w:spacing w:val="-14"/>
          <w:sz w:val="20"/>
          <w:szCs w:val="20"/>
          <w:lang w:val="es-ES"/>
        </w:rPr>
        <w:t xml:space="preserve"> </w:t>
      </w:r>
      <w:r w:rsidRPr="00E9543F">
        <w:rPr>
          <w:rFonts w:ascii="Cambria" w:hAnsi="Cambria"/>
          <w:sz w:val="20"/>
          <w:szCs w:val="20"/>
          <w:lang w:val="es-ES"/>
        </w:rPr>
        <w:t>crítica</w:t>
      </w:r>
      <w:r w:rsidRPr="00E9543F">
        <w:rPr>
          <w:rFonts w:ascii="Cambria" w:hAnsi="Cambria"/>
          <w:spacing w:val="-14"/>
          <w:sz w:val="20"/>
          <w:szCs w:val="20"/>
          <w:lang w:val="es-ES"/>
        </w:rPr>
        <w:t xml:space="preserve"> </w:t>
      </w:r>
      <w:r w:rsidRPr="00E9543F">
        <w:rPr>
          <w:rFonts w:ascii="Cambria" w:hAnsi="Cambria"/>
          <w:sz w:val="20"/>
          <w:szCs w:val="20"/>
          <w:lang w:val="es-ES"/>
        </w:rPr>
        <w:t>sobre</w:t>
      </w:r>
      <w:r w:rsidRPr="00E9543F">
        <w:rPr>
          <w:rFonts w:ascii="Cambria" w:hAnsi="Cambria"/>
          <w:spacing w:val="-13"/>
          <w:sz w:val="20"/>
          <w:szCs w:val="20"/>
          <w:lang w:val="es-ES"/>
        </w:rPr>
        <w:t xml:space="preserve"> </w:t>
      </w:r>
      <w:r w:rsidRPr="00E9543F">
        <w:rPr>
          <w:rFonts w:ascii="Cambria" w:hAnsi="Cambria"/>
          <w:sz w:val="20"/>
          <w:szCs w:val="20"/>
          <w:lang w:val="es-ES"/>
        </w:rPr>
        <w:t>temas</w:t>
      </w:r>
      <w:r w:rsidRPr="00E9543F">
        <w:rPr>
          <w:rFonts w:ascii="Cambria" w:hAnsi="Cambria"/>
          <w:spacing w:val="-14"/>
          <w:sz w:val="20"/>
          <w:szCs w:val="20"/>
          <w:lang w:val="es-ES"/>
        </w:rPr>
        <w:t xml:space="preserve"> </w:t>
      </w:r>
      <w:r w:rsidRPr="00E9543F">
        <w:rPr>
          <w:rFonts w:ascii="Cambria" w:hAnsi="Cambria"/>
          <w:sz w:val="20"/>
          <w:szCs w:val="20"/>
          <w:lang w:val="es-ES"/>
        </w:rPr>
        <w:t>de</w:t>
      </w:r>
      <w:r w:rsidRPr="00E9543F">
        <w:rPr>
          <w:rFonts w:ascii="Cambria" w:hAnsi="Cambria"/>
          <w:spacing w:val="-14"/>
          <w:sz w:val="20"/>
          <w:szCs w:val="20"/>
          <w:lang w:val="es-ES"/>
        </w:rPr>
        <w:t xml:space="preserve"> </w:t>
      </w:r>
      <w:r w:rsidRPr="00E9543F">
        <w:rPr>
          <w:rFonts w:ascii="Cambria" w:hAnsi="Cambria"/>
          <w:sz w:val="20"/>
          <w:szCs w:val="20"/>
          <w:lang w:val="es-ES"/>
        </w:rPr>
        <w:t xml:space="preserve">interés </w:t>
      </w:r>
      <w:r w:rsidRPr="00E9543F">
        <w:rPr>
          <w:rFonts w:ascii="Cambria" w:hAnsi="Cambria"/>
          <w:spacing w:val="-58"/>
          <w:sz w:val="20"/>
          <w:szCs w:val="20"/>
          <w:lang w:val="es-ES"/>
        </w:rPr>
        <w:t xml:space="preserve">  </w:t>
      </w:r>
      <w:r w:rsidRPr="00E9543F">
        <w:rPr>
          <w:rFonts w:ascii="Cambria" w:hAnsi="Cambria"/>
          <w:sz w:val="20"/>
          <w:szCs w:val="20"/>
          <w:lang w:val="es-ES"/>
        </w:rPr>
        <w:t>público</w:t>
      </w:r>
      <w:r w:rsidRPr="00E9543F">
        <w:rPr>
          <w:rFonts w:ascii="Cambria" w:hAnsi="Cambria"/>
          <w:spacing w:val="-1"/>
          <w:sz w:val="20"/>
          <w:szCs w:val="20"/>
          <w:lang w:val="es-ES"/>
        </w:rPr>
        <w:t xml:space="preserve"> </w:t>
      </w:r>
      <w:r w:rsidRPr="00E9543F">
        <w:rPr>
          <w:rFonts w:ascii="Cambria" w:hAnsi="Cambria"/>
          <w:sz w:val="20"/>
          <w:szCs w:val="20"/>
          <w:lang w:val="es-ES"/>
        </w:rPr>
        <w:t>o del gobierno</w:t>
      </w:r>
      <w:r w:rsidRPr="00E9543F">
        <w:rPr>
          <w:rStyle w:val="FootnoteReference"/>
          <w:rFonts w:ascii="Cambria" w:hAnsi="Cambria"/>
          <w:sz w:val="20"/>
          <w:szCs w:val="20"/>
          <w:lang w:val="es-ES"/>
        </w:rPr>
        <w:footnoteReference w:id="14"/>
      </w:r>
      <w:r w:rsidRPr="00E9543F">
        <w:rPr>
          <w:rFonts w:ascii="Cambria" w:hAnsi="Cambria"/>
          <w:sz w:val="20"/>
          <w:szCs w:val="20"/>
          <w:lang w:val="es-ES"/>
        </w:rPr>
        <w:t xml:space="preserve">. </w:t>
      </w:r>
    </w:p>
    <w:p w14:paraId="47C8C033" w14:textId="77777777" w:rsidR="00E94F44" w:rsidRPr="00E9543F" w:rsidRDefault="00E94F44" w:rsidP="00914740">
      <w:pPr>
        <w:tabs>
          <w:tab w:val="left" w:pos="360"/>
        </w:tabs>
        <w:rPr>
          <w:lang w:val="es-ES"/>
        </w:rPr>
      </w:pPr>
    </w:p>
    <w:p w14:paraId="7B825059" w14:textId="12DFA562" w:rsidR="00D83D73" w:rsidRPr="00E9543F" w:rsidRDefault="0022273F" w:rsidP="00CA1314">
      <w:pPr>
        <w:pStyle w:val="Heading2"/>
      </w:pPr>
      <w:bookmarkStart w:id="20" w:name="_Toc216356082"/>
      <w:r>
        <w:t>Información disponible sobre la presunta víctima</w:t>
      </w:r>
      <w:r w:rsidR="00644885">
        <w:t xml:space="preserve"> y </w:t>
      </w:r>
      <w:r>
        <w:t>familiares</w:t>
      </w:r>
      <w:bookmarkEnd w:id="20"/>
      <w:r w:rsidR="00E125E2">
        <w:t xml:space="preserve"> </w:t>
      </w:r>
    </w:p>
    <w:p w14:paraId="51514EC8" w14:textId="77777777" w:rsidR="00E94F44" w:rsidRPr="00E9543F" w:rsidRDefault="00E94F44" w:rsidP="00914740">
      <w:pPr>
        <w:tabs>
          <w:tab w:val="left" w:pos="360"/>
        </w:tabs>
        <w:rPr>
          <w:lang w:val="es-ES"/>
        </w:rPr>
      </w:pPr>
    </w:p>
    <w:p w14:paraId="04D359A0" w14:textId="06127084" w:rsidR="00D4444A" w:rsidRPr="00BD6C53" w:rsidRDefault="00644885" w:rsidP="001A4728">
      <w:pPr>
        <w:numPr>
          <w:ilvl w:val="0"/>
          <w:numId w:val="60"/>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hAnsi="Cambria"/>
          <w:sz w:val="20"/>
          <w:szCs w:val="20"/>
          <w:lang w:val="es-ES"/>
        </w:rPr>
      </w:pPr>
      <w:r w:rsidRPr="749ACC70">
        <w:rPr>
          <w:rFonts w:asciiTheme="majorHAnsi" w:hAnsiTheme="majorHAnsi"/>
          <w:sz w:val="20"/>
          <w:szCs w:val="20"/>
          <w:lang w:val="es-ES"/>
        </w:rPr>
        <w:t>La</w:t>
      </w:r>
      <w:r w:rsidRPr="00BD6C53">
        <w:rPr>
          <w:rFonts w:ascii="Cambria" w:hAnsi="Cambria"/>
          <w:sz w:val="20"/>
          <w:szCs w:val="20"/>
          <w:lang w:val="es-ES"/>
        </w:rPr>
        <w:t xml:space="preserve"> Comisión toma nota de que en la época de los hechos </w:t>
      </w:r>
      <w:r w:rsidR="00602BA0" w:rsidRPr="00BD6C53">
        <w:rPr>
          <w:rFonts w:ascii="Cambria" w:hAnsi="Cambria"/>
          <w:sz w:val="20"/>
          <w:szCs w:val="20"/>
          <w:lang w:val="es-ES"/>
        </w:rPr>
        <w:t>Maykel Castillo Pérez, conocido como “May</w:t>
      </w:r>
      <w:r w:rsidR="00771AB8" w:rsidRPr="00BD6C53">
        <w:rPr>
          <w:rFonts w:ascii="Cambria" w:hAnsi="Cambria"/>
          <w:sz w:val="20"/>
          <w:szCs w:val="20"/>
          <w:lang w:val="es-ES"/>
        </w:rPr>
        <w:t>k</w:t>
      </w:r>
      <w:r w:rsidR="00602BA0" w:rsidRPr="00BD6C53">
        <w:rPr>
          <w:rFonts w:ascii="Cambria" w:hAnsi="Cambria"/>
          <w:sz w:val="20"/>
          <w:szCs w:val="20"/>
          <w:lang w:val="es-ES"/>
        </w:rPr>
        <w:t>el El Osor</w:t>
      </w:r>
      <w:r w:rsidR="005C67BB" w:rsidRPr="00BD6C53">
        <w:rPr>
          <w:rFonts w:ascii="Cambria" w:hAnsi="Cambria"/>
          <w:sz w:val="20"/>
          <w:szCs w:val="20"/>
          <w:lang w:val="es-ES"/>
        </w:rPr>
        <w:t>b</w:t>
      </w:r>
      <w:r w:rsidR="00602BA0" w:rsidRPr="00BD6C53">
        <w:rPr>
          <w:rFonts w:ascii="Cambria" w:hAnsi="Cambria"/>
          <w:sz w:val="20"/>
          <w:szCs w:val="20"/>
          <w:lang w:val="es-ES"/>
        </w:rPr>
        <w:t>o”</w:t>
      </w:r>
      <w:r w:rsidR="00D27F08" w:rsidRPr="00BD6C53">
        <w:rPr>
          <w:rFonts w:ascii="Cambria" w:hAnsi="Cambria"/>
          <w:sz w:val="20"/>
          <w:szCs w:val="20"/>
          <w:lang w:val="es-ES"/>
        </w:rPr>
        <w:t>,</w:t>
      </w:r>
      <w:r w:rsidRPr="00BD6C53">
        <w:rPr>
          <w:rFonts w:ascii="Cambria" w:hAnsi="Cambria"/>
          <w:sz w:val="20"/>
          <w:szCs w:val="20"/>
          <w:lang w:val="es-ES"/>
        </w:rPr>
        <w:t xml:space="preserve"> tenía </w:t>
      </w:r>
      <w:r w:rsidR="00771AB8" w:rsidRPr="00BD6C53">
        <w:rPr>
          <w:rFonts w:ascii="Cambria" w:hAnsi="Cambria"/>
          <w:sz w:val="20"/>
          <w:szCs w:val="20"/>
          <w:lang w:val="es-ES"/>
        </w:rPr>
        <w:t>35</w:t>
      </w:r>
      <w:r w:rsidRPr="00BD6C53">
        <w:rPr>
          <w:rFonts w:ascii="Cambria" w:hAnsi="Cambria"/>
          <w:sz w:val="20"/>
          <w:szCs w:val="20"/>
          <w:lang w:val="es-ES"/>
        </w:rPr>
        <w:t xml:space="preserve"> años de edad y se desempeñaba</w:t>
      </w:r>
      <w:r w:rsidR="00B4426F" w:rsidRPr="00BD6C53">
        <w:rPr>
          <w:rFonts w:ascii="Cambria" w:hAnsi="Cambria"/>
          <w:sz w:val="20"/>
          <w:szCs w:val="20"/>
          <w:lang w:val="es-ES"/>
        </w:rPr>
        <w:t xml:space="preserve"> como </w:t>
      </w:r>
      <w:r w:rsidR="00771AB8" w:rsidRPr="00BD6C53">
        <w:rPr>
          <w:rFonts w:ascii="Cambria" w:hAnsi="Cambria"/>
          <w:sz w:val="20"/>
          <w:szCs w:val="20"/>
          <w:lang w:val="es-ES"/>
        </w:rPr>
        <w:t>cantante de Hip-Hop y artista independiente</w:t>
      </w:r>
      <w:r w:rsidR="00B4426F" w:rsidRPr="00BD6C53">
        <w:rPr>
          <w:rFonts w:ascii="Cambria" w:hAnsi="Cambria"/>
          <w:sz w:val="20"/>
          <w:szCs w:val="20"/>
          <w:lang w:val="es-ES"/>
        </w:rPr>
        <w:t xml:space="preserve">. Su familia estaba compuesta por: i) </w:t>
      </w:r>
      <w:r w:rsidR="00771AB8" w:rsidRPr="00BD6C53">
        <w:rPr>
          <w:rFonts w:ascii="Cambria" w:hAnsi="Cambria"/>
          <w:sz w:val="20"/>
          <w:szCs w:val="20"/>
          <w:lang w:val="es-ES"/>
        </w:rPr>
        <w:t xml:space="preserve">Rosmelys Hernández </w:t>
      </w:r>
      <w:r w:rsidR="00B4426F" w:rsidRPr="00BD6C53">
        <w:rPr>
          <w:rFonts w:ascii="Cambria" w:hAnsi="Cambria"/>
          <w:sz w:val="20"/>
          <w:szCs w:val="20"/>
          <w:lang w:val="es-ES"/>
        </w:rPr>
        <w:t>(</w:t>
      </w:r>
      <w:r w:rsidR="00771AB8" w:rsidRPr="00BD6C53">
        <w:rPr>
          <w:rFonts w:ascii="Cambria" w:hAnsi="Cambria"/>
          <w:sz w:val="20"/>
          <w:szCs w:val="20"/>
          <w:lang w:val="es-ES"/>
        </w:rPr>
        <w:t>esposa</w:t>
      </w:r>
      <w:r w:rsidR="00B4426F" w:rsidRPr="00BD6C53">
        <w:rPr>
          <w:rFonts w:ascii="Cambria" w:hAnsi="Cambria"/>
          <w:sz w:val="20"/>
          <w:szCs w:val="20"/>
          <w:lang w:val="es-ES"/>
        </w:rPr>
        <w:t>)</w:t>
      </w:r>
      <w:r w:rsidR="00771AB8" w:rsidRPr="00BD6C53">
        <w:rPr>
          <w:rFonts w:ascii="Cambria" w:hAnsi="Cambria"/>
          <w:sz w:val="20"/>
          <w:szCs w:val="20"/>
          <w:lang w:val="es-ES"/>
        </w:rPr>
        <w:t>.</w:t>
      </w:r>
      <w:r w:rsidR="00E90B8A" w:rsidRPr="00BD6C53">
        <w:rPr>
          <w:rFonts w:ascii="Cambria" w:hAnsi="Cambria"/>
          <w:sz w:val="20"/>
          <w:szCs w:val="20"/>
          <w:lang w:val="es-ES"/>
        </w:rPr>
        <w:t xml:space="preserve"> Según la parte peticionaria el señor Castillo </w:t>
      </w:r>
      <w:r w:rsidR="00E85618" w:rsidRPr="00BD6C53">
        <w:rPr>
          <w:rFonts w:ascii="Cambria" w:hAnsi="Cambria"/>
          <w:sz w:val="20"/>
          <w:szCs w:val="20"/>
          <w:lang w:val="es-ES"/>
        </w:rPr>
        <w:t>Pérez</w:t>
      </w:r>
      <w:r w:rsidR="00E90B8A" w:rsidRPr="00BD6C53">
        <w:rPr>
          <w:rFonts w:ascii="Cambria" w:hAnsi="Cambria"/>
          <w:sz w:val="20"/>
          <w:szCs w:val="20"/>
          <w:lang w:val="es-ES"/>
        </w:rPr>
        <w:t xml:space="preserve"> se considera a sí mismo un “rapero contestatario” con temas dedicados a la crítica social y política</w:t>
      </w:r>
      <w:r w:rsidR="00D4444A" w:rsidRPr="00BD6C53">
        <w:rPr>
          <w:rStyle w:val="FootnoteReference"/>
          <w:rFonts w:ascii="Cambria" w:hAnsi="Cambria"/>
          <w:sz w:val="20"/>
          <w:szCs w:val="20"/>
          <w:lang w:val="es-ES"/>
        </w:rPr>
        <w:footnoteReference w:id="15"/>
      </w:r>
      <w:r w:rsidR="00D4444A" w:rsidRPr="00BD6C53">
        <w:rPr>
          <w:rFonts w:ascii="Cambria" w:hAnsi="Cambria"/>
          <w:sz w:val="20"/>
          <w:szCs w:val="20"/>
          <w:lang w:val="es-ES"/>
        </w:rPr>
        <w:t>.</w:t>
      </w:r>
      <w:r w:rsidR="00E90B8A" w:rsidRPr="00BD6C53">
        <w:rPr>
          <w:rFonts w:ascii="Cambria" w:hAnsi="Cambria"/>
          <w:sz w:val="20"/>
          <w:szCs w:val="20"/>
          <w:lang w:val="es-ES"/>
        </w:rPr>
        <w:t xml:space="preserve"> </w:t>
      </w:r>
    </w:p>
    <w:p w14:paraId="132AE211" w14:textId="6B43DB60" w:rsidR="00D4444A" w:rsidRPr="00E9543F" w:rsidRDefault="00D4444A"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lang w:val="es-ES"/>
        </w:rPr>
      </w:pPr>
    </w:p>
    <w:p w14:paraId="14A2B609" w14:textId="32309CC5" w:rsidR="00D4444A" w:rsidRPr="00E9543F" w:rsidRDefault="00E601D7" w:rsidP="001A4728">
      <w:pPr>
        <w:numPr>
          <w:ilvl w:val="0"/>
          <w:numId w:val="60"/>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hAnsi="Cambria"/>
          <w:sz w:val="20"/>
          <w:szCs w:val="20"/>
          <w:lang w:val="es-ES"/>
        </w:rPr>
      </w:pPr>
      <w:r w:rsidRPr="749ACC70">
        <w:rPr>
          <w:rFonts w:ascii="Cambria" w:hAnsi="Cambria"/>
          <w:sz w:val="20"/>
          <w:szCs w:val="20"/>
          <w:lang w:val="es-ES"/>
        </w:rPr>
        <w:t xml:space="preserve">La Comisión </w:t>
      </w:r>
      <w:r w:rsidR="5A47513E" w:rsidRPr="749ACC70">
        <w:rPr>
          <w:rFonts w:ascii="Cambria" w:hAnsi="Cambria"/>
          <w:sz w:val="20"/>
          <w:szCs w:val="20"/>
          <w:lang w:val="es-ES"/>
        </w:rPr>
        <w:t xml:space="preserve">advierte </w:t>
      </w:r>
      <w:r w:rsidRPr="749ACC70">
        <w:rPr>
          <w:rFonts w:ascii="Cambria" w:hAnsi="Cambria"/>
          <w:sz w:val="20"/>
          <w:szCs w:val="20"/>
          <w:lang w:val="es-ES"/>
        </w:rPr>
        <w:t xml:space="preserve">que el señor Castillo Pérez pertenece al Movimiento San Isidro (MSI) en Cuba. La CIDH en su Resolución 14/2021 otorgó medidas cautelares a favor de 20 miembros identificados del MSI, incluido Maykel Castillo Pérez, </w:t>
      </w:r>
      <w:r w:rsidR="00E85618" w:rsidRPr="749ACC70">
        <w:rPr>
          <w:rFonts w:ascii="Cambria" w:hAnsi="Cambria"/>
          <w:sz w:val="20"/>
          <w:szCs w:val="20"/>
          <w:lang w:val="es-ES"/>
        </w:rPr>
        <w:t xml:space="preserve">y </w:t>
      </w:r>
      <w:r w:rsidRPr="749ACC70">
        <w:rPr>
          <w:rFonts w:ascii="Cambria" w:hAnsi="Cambria"/>
          <w:sz w:val="20"/>
          <w:szCs w:val="20"/>
          <w:lang w:val="es-ES"/>
        </w:rPr>
        <w:t xml:space="preserve">describió el movimiento </w:t>
      </w:r>
      <w:r w:rsidR="00D27F08" w:rsidRPr="749ACC70">
        <w:rPr>
          <w:rFonts w:ascii="Cambria" w:hAnsi="Cambria"/>
          <w:sz w:val="20"/>
          <w:szCs w:val="20"/>
          <w:lang w:val="es-ES"/>
        </w:rPr>
        <w:t>de la siguiente manera</w:t>
      </w:r>
      <w:r w:rsidRPr="749ACC70">
        <w:rPr>
          <w:rFonts w:ascii="Cambria" w:hAnsi="Cambria"/>
          <w:sz w:val="20"/>
          <w:szCs w:val="20"/>
          <w:lang w:val="es-ES"/>
        </w:rPr>
        <w:t xml:space="preserve">: </w:t>
      </w:r>
    </w:p>
    <w:p w14:paraId="115EAD26" w14:textId="77777777" w:rsidR="00E601D7" w:rsidRPr="00BD6C53" w:rsidRDefault="00E601D7"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18"/>
          <w:szCs w:val="18"/>
          <w:lang w:val="es-ES"/>
        </w:rPr>
      </w:pPr>
    </w:p>
    <w:p w14:paraId="00694843" w14:textId="5EB56470" w:rsidR="0043663D" w:rsidRPr="00BD6C53" w:rsidRDefault="008C4951" w:rsidP="005827A7">
      <w:pPr>
        <w:pStyle w:val="ListParagraph"/>
        <w:numPr>
          <w:ilvl w:val="0"/>
          <w:numId w:val="0"/>
        </w:numPr>
        <w:ind w:left="720"/>
      </w:pPr>
      <w:r w:rsidRPr="00BD6C53">
        <w:t>[</w:t>
      </w:r>
      <w:r w:rsidR="00E85618" w:rsidRPr="00BD6C53">
        <w:t>D]</w:t>
      </w:r>
      <w:r w:rsidR="0043663D" w:rsidRPr="00BD6C53">
        <w:t>icho Movimiento abarca a personas del sector artístico y social, tales como defensores y periodistas. Como parte de las actividades del Movimiento, sus integrantes realizarían diversas manifestaciones en señal de protesta en el país o buscarían denunciar hechos ocurridos hacia sus integrantes. Por ejemplo, recientemente sus integrantes participaron en eventos de denuncia referidos a la detención y condena de uno de sus integrantes, el señor Solís González</w:t>
      </w:r>
      <w:r w:rsidR="00E601D7" w:rsidRPr="00BD6C53">
        <w:rPr>
          <w:rStyle w:val="FootnoteReference"/>
          <w:lang w:val="es-ES"/>
        </w:rPr>
        <w:footnoteReference w:id="16"/>
      </w:r>
      <w:r w:rsidR="0043663D" w:rsidRPr="00BD6C53">
        <w:t>.</w:t>
      </w:r>
    </w:p>
    <w:p w14:paraId="15DE6528" w14:textId="77777777" w:rsidR="0043663D" w:rsidRPr="00E9543F" w:rsidRDefault="0043663D"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lang w:val="es-ES"/>
        </w:rPr>
      </w:pPr>
    </w:p>
    <w:p w14:paraId="0ED12F32" w14:textId="667ED023" w:rsidR="00447FD3" w:rsidRPr="00E9543F" w:rsidRDefault="003B0B55" w:rsidP="001A4728">
      <w:pPr>
        <w:numPr>
          <w:ilvl w:val="0"/>
          <w:numId w:val="60"/>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hAnsi="Cambria"/>
          <w:sz w:val="20"/>
          <w:szCs w:val="20"/>
          <w:lang w:val="es-ES"/>
        </w:rPr>
      </w:pPr>
      <w:r w:rsidRPr="00E9543F">
        <w:rPr>
          <w:rFonts w:ascii="Cambria" w:hAnsi="Cambria"/>
          <w:sz w:val="20"/>
          <w:szCs w:val="20"/>
          <w:lang w:val="es-ES"/>
        </w:rPr>
        <w:t xml:space="preserve">La parte peticionaria informó que en el </w:t>
      </w:r>
      <w:r w:rsidR="00E90B8A" w:rsidRPr="00E9543F">
        <w:rPr>
          <w:rFonts w:ascii="Cambria" w:hAnsi="Cambria"/>
          <w:sz w:val="20"/>
          <w:szCs w:val="20"/>
          <w:lang w:val="es-ES"/>
        </w:rPr>
        <w:t xml:space="preserve">año 2014 </w:t>
      </w:r>
      <w:r w:rsidR="00E85618" w:rsidRPr="00E9543F">
        <w:rPr>
          <w:rFonts w:ascii="Cambria" w:hAnsi="Cambria"/>
          <w:sz w:val="20"/>
          <w:szCs w:val="20"/>
          <w:lang w:val="es-ES"/>
        </w:rPr>
        <w:t xml:space="preserve">Maykel Castillo Pérez </w:t>
      </w:r>
      <w:r w:rsidR="00E90B8A" w:rsidRPr="00E9543F">
        <w:rPr>
          <w:rFonts w:ascii="Cambria" w:hAnsi="Cambria"/>
          <w:sz w:val="20"/>
          <w:szCs w:val="20"/>
          <w:lang w:val="es-ES"/>
        </w:rPr>
        <w:t xml:space="preserve">compuso y grabó la canción “Por ti señor”, en la que culpa a Fidel Castro de diversos males de Cuba, motivo por el que fue condenado a un año de privación de libertad bajo el cargo de “desacato” en enero </w:t>
      </w:r>
      <w:r w:rsidR="27170035" w:rsidRPr="00E9543F">
        <w:rPr>
          <w:rFonts w:ascii="Cambria" w:hAnsi="Cambria"/>
          <w:sz w:val="20"/>
          <w:szCs w:val="20"/>
          <w:lang w:val="es-ES"/>
        </w:rPr>
        <w:t xml:space="preserve">de </w:t>
      </w:r>
      <w:r w:rsidR="00E90B8A" w:rsidRPr="00E9543F">
        <w:rPr>
          <w:rFonts w:ascii="Cambria" w:hAnsi="Cambria"/>
          <w:sz w:val="20"/>
          <w:szCs w:val="20"/>
          <w:lang w:val="es-ES"/>
        </w:rPr>
        <w:t>2015</w:t>
      </w:r>
      <w:r w:rsidR="00E90B8A" w:rsidRPr="00E9543F">
        <w:rPr>
          <w:rStyle w:val="FootnoteReference"/>
          <w:rFonts w:ascii="Cambria" w:hAnsi="Cambria"/>
          <w:sz w:val="20"/>
          <w:szCs w:val="20"/>
          <w:lang w:val="es-ES"/>
        </w:rPr>
        <w:footnoteReference w:id="17"/>
      </w:r>
      <w:r w:rsidR="00D4444A" w:rsidRPr="00E9543F">
        <w:rPr>
          <w:rFonts w:ascii="Cambria" w:hAnsi="Cambria"/>
          <w:sz w:val="20"/>
          <w:szCs w:val="20"/>
          <w:lang w:val="es-ES"/>
        </w:rPr>
        <w:t xml:space="preserve">. </w:t>
      </w:r>
      <w:r w:rsidR="00447FD3" w:rsidRPr="00E9543F">
        <w:rPr>
          <w:rFonts w:ascii="Cambria" w:hAnsi="Cambria"/>
          <w:sz w:val="20"/>
          <w:szCs w:val="20"/>
          <w:lang w:val="es-ES"/>
        </w:rPr>
        <w:t>La CIDH toma nota de información de conocimiento público</w:t>
      </w:r>
      <w:r w:rsidR="00D4444A" w:rsidRPr="00E9543F">
        <w:rPr>
          <w:rFonts w:ascii="Cambria" w:hAnsi="Cambria"/>
          <w:sz w:val="20"/>
          <w:szCs w:val="20"/>
          <w:lang w:val="es-ES"/>
        </w:rPr>
        <w:t xml:space="preserve">, como la coautoría del señor Castillo Pérez en la </w:t>
      </w:r>
      <w:r w:rsidR="00447FD3" w:rsidRPr="00E9543F">
        <w:rPr>
          <w:rFonts w:ascii="Cambria" w:hAnsi="Cambria"/>
          <w:sz w:val="20"/>
          <w:szCs w:val="20"/>
          <w:lang w:val="es-ES"/>
        </w:rPr>
        <w:t>canción “Patria y Vida”, un himno de protesta por su visión crítica del gobierno cubano</w:t>
      </w:r>
      <w:r w:rsidR="00E85618" w:rsidRPr="00E9543F">
        <w:rPr>
          <w:rFonts w:ascii="Cambria" w:hAnsi="Cambria"/>
          <w:sz w:val="20"/>
          <w:szCs w:val="20"/>
          <w:lang w:val="es-ES"/>
        </w:rPr>
        <w:t xml:space="preserve"> </w:t>
      </w:r>
      <w:r w:rsidR="00D4444A" w:rsidRPr="00E9543F">
        <w:rPr>
          <w:rFonts w:ascii="Cambria" w:hAnsi="Cambria"/>
          <w:sz w:val="20"/>
          <w:szCs w:val="20"/>
          <w:lang w:val="es-ES"/>
        </w:rPr>
        <w:t>que ha obtenido en dos ocasiones el premio Grammy Latino</w:t>
      </w:r>
      <w:r w:rsidR="00D4444A" w:rsidRPr="00E9543F">
        <w:rPr>
          <w:rStyle w:val="FootnoteReference"/>
          <w:rFonts w:ascii="Cambria" w:hAnsi="Cambria"/>
          <w:sz w:val="20"/>
          <w:szCs w:val="20"/>
          <w:lang w:val="es-ES"/>
        </w:rPr>
        <w:footnoteReference w:id="18"/>
      </w:r>
      <w:r w:rsidR="00D4444A" w:rsidRPr="00E9543F">
        <w:rPr>
          <w:rFonts w:ascii="Cambria" w:hAnsi="Cambria"/>
          <w:sz w:val="20"/>
          <w:szCs w:val="20"/>
          <w:lang w:val="es-ES"/>
        </w:rPr>
        <w:t>.</w:t>
      </w:r>
    </w:p>
    <w:p w14:paraId="5D3C99FC" w14:textId="77777777" w:rsidR="00644885" w:rsidRPr="00E9543F" w:rsidRDefault="00644885" w:rsidP="00914740">
      <w:pPr>
        <w:tabs>
          <w:tab w:val="left" w:pos="360"/>
        </w:tabs>
        <w:rPr>
          <w:rFonts w:ascii="Cambria" w:hAnsi="Cambria"/>
          <w:sz w:val="20"/>
          <w:szCs w:val="20"/>
          <w:lang w:val="es-ES"/>
        </w:rPr>
      </w:pPr>
    </w:p>
    <w:p w14:paraId="37483097" w14:textId="39F34C8F" w:rsidR="004D195F" w:rsidRPr="00E9543F" w:rsidRDefault="00A72532" w:rsidP="00CA1314">
      <w:pPr>
        <w:pStyle w:val="Heading2"/>
      </w:pPr>
      <w:bookmarkStart w:id="21" w:name="_Toc216356083"/>
      <w:r>
        <w:t xml:space="preserve">Sobre lo sucedido el </w:t>
      </w:r>
      <w:r w:rsidR="00A26A03">
        <w:t>2</w:t>
      </w:r>
      <w:r w:rsidR="00540B3F">
        <w:t>2</w:t>
      </w:r>
      <w:r>
        <w:t xml:space="preserve"> de </w:t>
      </w:r>
      <w:r w:rsidR="00540B3F">
        <w:t>junio</w:t>
      </w:r>
      <w:r>
        <w:t xml:space="preserve"> de </w:t>
      </w:r>
      <w:r w:rsidR="00A26A03">
        <w:t>2018</w:t>
      </w:r>
      <w:r w:rsidR="00540B3F">
        <w:t xml:space="preserve"> y el proceso </w:t>
      </w:r>
      <w:r w:rsidR="00824132">
        <w:t>penal</w:t>
      </w:r>
      <w:bookmarkEnd w:id="21"/>
    </w:p>
    <w:p w14:paraId="677CD3D7" w14:textId="35FEDDD8" w:rsidR="00E94F44" w:rsidRPr="00E9543F" w:rsidRDefault="00E94F44" w:rsidP="00914740">
      <w:pPr>
        <w:tabs>
          <w:tab w:val="left" w:pos="360"/>
        </w:tabs>
        <w:rPr>
          <w:lang w:val="es-ES"/>
        </w:rPr>
      </w:pPr>
    </w:p>
    <w:p w14:paraId="7F6C58E8" w14:textId="622E0FCB" w:rsidR="003B0B55" w:rsidRPr="00BD6C53" w:rsidRDefault="00D4444A" w:rsidP="001A4728">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lang w:val="es-ES"/>
        </w:rPr>
      </w:pPr>
      <w:r w:rsidRPr="00BD6C53">
        <w:rPr>
          <w:rFonts w:ascii="Cambria" w:hAnsi="Cambria"/>
          <w:sz w:val="20"/>
          <w:szCs w:val="20"/>
          <w:lang w:val="es-ES"/>
        </w:rPr>
        <w:t>La parte peticionaria indicó que el 2</w:t>
      </w:r>
      <w:r w:rsidR="00773302" w:rsidRPr="00BD6C53">
        <w:rPr>
          <w:rFonts w:ascii="Cambria" w:hAnsi="Cambria"/>
          <w:sz w:val="20"/>
          <w:szCs w:val="20"/>
          <w:lang w:val="es-ES"/>
        </w:rPr>
        <w:t>2</w:t>
      </w:r>
      <w:r w:rsidRPr="00BD6C53">
        <w:rPr>
          <w:rFonts w:ascii="Cambria" w:hAnsi="Cambria"/>
          <w:sz w:val="20"/>
          <w:szCs w:val="20"/>
          <w:lang w:val="es-ES"/>
        </w:rPr>
        <w:t xml:space="preserve"> de </w:t>
      </w:r>
      <w:r w:rsidR="00773302" w:rsidRPr="00BD6C53">
        <w:rPr>
          <w:rFonts w:ascii="Cambria" w:hAnsi="Cambria"/>
          <w:sz w:val="20"/>
          <w:szCs w:val="20"/>
          <w:lang w:val="es-ES"/>
        </w:rPr>
        <w:t>junio</w:t>
      </w:r>
      <w:r w:rsidRPr="00BD6C53">
        <w:rPr>
          <w:rFonts w:ascii="Cambria" w:hAnsi="Cambria"/>
          <w:sz w:val="20"/>
          <w:szCs w:val="20"/>
          <w:lang w:val="es-ES"/>
        </w:rPr>
        <w:t xml:space="preserve"> de 2018 </w:t>
      </w:r>
      <w:r w:rsidR="00D97533" w:rsidRPr="00BD6C53">
        <w:rPr>
          <w:rFonts w:ascii="Cambria" w:hAnsi="Cambria"/>
          <w:sz w:val="20"/>
          <w:szCs w:val="20"/>
          <w:lang w:val="es-ES"/>
        </w:rPr>
        <w:t xml:space="preserve">a las 02:00 p.m. </w:t>
      </w:r>
      <w:r w:rsidR="00773302" w:rsidRPr="00BD6C53">
        <w:rPr>
          <w:rFonts w:ascii="Cambria" w:hAnsi="Cambria"/>
          <w:sz w:val="20"/>
          <w:szCs w:val="20"/>
          <w:lang w:val="es-ES"/>
        </w:rPr>
        <w:t>se detuvo a Maykel Castillo Pérez en el parque Cristo</w:t>
      </w:r>
      <w:r w:rsidR="00D27F08" w:rsidRPr="00BD6C53">
        <w:rPr>
          <w:rFonts w:ascii="Cambria" w:hAnsi="Cambria"/>
          <w:sz w:val="20"/>
          <w:szCs w:val="20"/>
          <w:lang w:val="es-ES"/>
        </w:rPr>
        <w:t xml:space="preserve">, en la ciudad de </w:t>
      </w:r>
      <w:r w:rsidR="00773302" w:rsidRPr="00BD6C53">
        <w:rPr>
          <w:rFonts w:ascii="Cambria" w:hAnsi="Cambria"/>
          <w:sz w:val="20"/>
          <w:szCs w:val="20"/>
          <w:lang w:val="es-ES"/>
        </w:rPr>
        <w:t>La Habana</w:t>
      </w:r>
      <w:r w:rsidR="00997275" w:rsidRPr="00BD6C53">
        <w:rPr>
          <w:rFonts w:ascii="Cambria" w:hAnsi="Cambria"/>
          <w:sz w:val="20"/>
          <w:szCs w:val="20"/>
          <w:lang w:val="es-ES"/>
        </w:rPr>
        <w:t xml:space="preserve"> por parte de agentes estatales</w:t>
      </w:r>
      <w:r w:rsidR="001C05D3" w:rsidRPr="00BD6C53">
        <w:rPr>
          <w:rFonts w:ascii="Cambria" w:hAnsi="Cambria"/>
          <w:sz w:val="20"/>
          <w:szCs w:val="20"/>
          <w:lang w:val="es-ES"/>
        </w:rPr>
        <w:t xml:space="preserve">. </w:t>
      </w:r>
      <w:r w:rsidR="00D27F08" w:rsidRPr="00BD6C53">
        <w:rPr>
          <w:rFonts w:ascii="Cambria" w:hAnsi="Cambria"/>
          <w:sz w:val="20"/>
          <w:szCs w:val="20"/>
          <w:lang w:val="es-ES"/>
        </w:rPr>
        <w:t>Sostuvo</w:t>
      </w:r>
      <w:r w:rsidR="003B0B55" w:rsidRPr="00BD6C53">
        <w:rPr>
          <w:rFonts w:ascii="Cambria" w:hAnsi="Cambria"/>
          <w:sz w:val="20"/>
          <w:szCs w:val="20"/>
          <w:lang w:val="es-ES"/>
        </w:rPr>
        <w:t xml:space="preserve"> que se detuvo de forma “violenta” al </w:t>
      </w:r>
      <w:r w:rsidR="001C05D3" w:rsidRPr="00BD6C53">
        <w:rPr>
          <w:rFonts w:ascii="Cambria" w:hAnsi="Cambria"/>
          <w:sz w:val="20"/>
          <w:szCs w:val="20"/>
          <w:lang w:val="es-ES"/>
        </w:rPr>
        <w:t xml:space="preserve">señor Castillo Pérez cuando </w:t>
      </w:r>
      <w:r w:rsidR="00773302" w:rsidRPr="00BD6C53">
        <w:rPr>
          <w:rFonts w:ascii="Cambria" w:hAnsi="Cambria"/>
          <w:sz w:val="20"/>
          <w:szCs w:val="20"/>
          <w:lang w:val="es-ES"/>
        </w:rPr>
        <w:t xml:space="preserve">intentaba filmar </w:t>
      </w:r>
      <w:r w:rsidR="00D97533" w:rsidRPr="00BD6C53">
        <w:rPr>
          <w:rFonts w:ascii="Cambria" w:hAnsi="Cambria"/>
          <w:sz w:val="20"/>
          <w:szCs w:val="20"/>
          <w:lang w:val="es-ES"/>
        </w:rPr>
        <w:t xml:space="preserve">un </w:t>
      </w:r>
      <w:r w:rsidR="001C05D3" w:rsidRPr="00BD6C53">
        <w:rPr>
          <w:rFonts w:ascii="Cambria" w:hAnsi="Cambria"/>
          <w:sz w:val="20"/>
          <w:szCs w:val="20"/>
          <w:lang w:val="es-ES"/>
        </w:rPr>
        <w:t>registro domiciliario</w:t>
      </w:r>
      <w:r w:rsidR="00613E66" w:rsidRPr="00BD6C53">
        <w:rPr>
          <w:rFonts w:ascii="Cambria" w:hAnsi="Cambria"/>
          <w:sz w:val="20"/>
          <w:szCs w:val="20"/>
          <w:lang w:val="es-ES"/>
        </w:rPr>
        <w:t xml:space="preserve"> </w:t>
      </w:r>
      <w:r w:rsidR="00773302" w:rsidRPr="00BD6C53">
        <w:rPr>
          <w:rFonts w:ascii="Cambria" w:hAnsi="Cambria"/>
          <w:sz w:val="20"/>
          <w:szCs w:val="20"/>
          <w:lang w:val="es-ES"/>
        </w:rPr>
        <w:t>de una vivienda</w:t>
      </w:r>
      <w:r w:rsidR="00997275" w:rsidRPr="00BD6C53">
        <w:rPr>
          <w:rFonts w:ascii="Cambria" w:hAnsi="Cambria"/>
          <w:sz w:val="20"/>
          <w:szCs w:val="20"/>
          <w:lang w:val="es-ES"/>
        </w:rPr>
        <w:t xml:space="preserve"> realizado </w:t>
      </w:r>
      <w:r w:rsidR="00997275" w:rsidRPr="00BD6C53">
        <w:rPr>
          <w:rFonts w:ascii="Cambria" w:hAnsi="Cambria"/>
          <w:sz w:val="20"/>
          <w:szCs w:val="20"/>
          <w:lang w:val="es-ES"/>
        </w:rPr>
        <w:lastRenderedPageBreak/>
        <w:t xml:space="preserve">por funcionarios </w:t>
      </w:r>
      <w:r w:rsidR="00997275" w:rsidRPr="00E9543F">
        <w:rPr>
          <w:rFonts w:ascii="Cambria" w:hAnsi="Cambria"/>
          <w:sz w:val="20"/>
          <w:szCs w:val="20"/>
          <w:lang w:val="es-ES"/>
        </w:rPr>
        <w:t>públicos</w:t>
      </w:r>
      <w:r w:rsidR="00613E66" w:rsidRPr="00BD6C53">
        <w:rPr>
          <w:rStyle w:val="FootnoteReference"/>
          <w:rFonts w:ascii="Cambria" w:hAnsi="Cambria"/>
          <w:sz w:val="20"/>
          <w:szCs w:val="20"/>
          <w:lang w:val="es-ES"/>
        </w:rPr>
        <w:footnoteReference w:id="19"/>
      </w:r>
      <w:r w:rsidR="00773302" w:rsidRPr="00BD6C53">
        <w:rPr>
          <w:rFonts w:ascii="Cambria" w:hAnsi="Cambria"/>
          <w:sz w:val="20"/>
          <w:szCs w:val="20"/>
          <w:lang w:val="es-ES"/>
        </w:rPr>
        <w:t xml:space="preserve">. </w:t>
      </w:r>
      <w:r w:rsidR="003B0B55" w:rsidRPr="00BD6C53">
        <w:rPr>
          <w:rFonts w:ascii="Cambria" w:hAnsi="Cambria"/>
          <w:sz w:val="20"/>
          <w:szCs w:val="20"/>
          <w:lang w:val="es-ES"/>
        </w:rPr>
        <w:t>La CIDH no cuenta con mayor información sobre la duración ni las circunstancias de la detención del señor Pérez.</w:t>
      </w:r>
    </w:p>
    <w:p w14:paraId="4452AA84" w14:textId="77777777" w:rsidR="003B0B55" w:rsidRPr="00E9543F" w:rsidRDefault="003B0B55"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lang w:val="es-ES"/>
        </w:rPr>
      </w:pPr>
    </w:p>
    <w:p w14:paraId="0F39948C" w14:textId="27F2A7C2" w:rsidR="00613E66" w:rsidRPr="00E9543F" w:rsidRDefault="00997275" w:rsidP="001A4728">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lang w:val="es-ES"/>
        </w:rPr>
      </w:pPr>
      <w:r w:rsidRPr="749ACC70">
        <w:rPr>
          <w:rFonts w:ascii="Cambria" w:hAnsi="Cambria"/>
          <w:sz w:val="20"/>
          <w:szCs w:val="20"/>
          <w:lang w:val="es-ES"/>
        </w:rPr>
        <w:t>E</w:t>
      </w:r>
      <w:r w:rsidR="00090E1A" w:rsidRPr="749ACC70">
        <w:rPr>
          <w:rFonts w:ascii="Cambria" w:hAnsi="Cambria"/>
          <w:sz w:val="20"/>
          <w:szCs w:val="20"/>
          <w:lang w:val="es-ES"/>
        </w:rPr>
        <w:t xml:space="preserve">n el expediente </w:t>
      </w:r>
      <w:r w:rsidRPr="749ACC70">
        <w:rPr>
          <w:rFonts w:ascii="Cambria" w:hAnsi="Cambria"/>
          <w:sz w:val="20"/>
          <w:szCs w:val="20"/>
          <w:lang w:val="es-ES"/>
        </w:rPr>
        <w:t xml:space="preserve">del caso ante la CIDH consta </w:t>
      </w:r>
      <w:r w:rsidR="00090E1A" w:rsidRPr="749ACC70">
        <w:rPr>
          <w:rFonts w:ascii="Cambria" w:hAnsi="Cambria"/>
          <w:sz w:val="20"/>
          <w:szCs w:val="20"/>
          <w:lang w:val="es-ES"/>
        </w:rPr>
        <w:t>un oficio de la Fiscalía donde se indicó lo siguiente:</w:t>
      </w:r>
      <w:r w:rsidR="00613E66" w:rsidRPr="749ACC70">
        <w:rPr>
          <w:rFonts w:ascii="Cambria" w:hAnsi="Cambria"/>
          <w:sz w:val="20"/>
          <w:szCs w:val="20"/>
          <w:lang w:val="es-ES"/>
        </w:rPr>
        <w:t xml:space="preserve"> </w:t>
      </w:r>
    </w:p>
    <w:p w14:paraId="4A68BF3C" w14:textId="77777777" w:rsidR="00613E66" w:rsidRPr="00E9543F" w:rsidRDefault="00613E66"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lang w:val="es-ES"/>
        </w:rPr>
      </w:pPr>
    </w:p>
    <w:p w14:paraId="71A6F7BD" w14:textId="47ECD61B" w:rsidR="00613E66" w:rsidRPr="00BD6C53" w:rsidRDefault="00613E66" w:rsidP="005827A7">
      <w:pPr>
        <w:pStyle w:val="ListParagraph"/>
        <w:numPr>
          <w:ilvl w:val="0"/>
          <w:numId w:val="0"/>
        </w:numPr>
        <w:ind w:left="720"/>
      </w:pPr>
      <w:r w:rsidRPr="749ACC70">
        <w:t>(...) el acusado MAYKEL CASTILLO PÉREZ se encontraba transitando en un bici taxi por la calle Teniente Rey y Bernaza, Municipio Habana Vieja, lugar donde se encontraban el Mayor Juan José Rodríguez, Jefe de la Sección Antidroga de Centro Habana y el 1er Teniente Laider Moya, de la Sección Antidroga de Centro Habana, vestidos de civil los que realizaban un operativo en la zona, momento que el acusado Castillo Pérez filmó dicha acción y al ser requerido por los funcionarios, le profirió palabras ofensivas (que todos los policías eran unos singaos y unas putas, que sabían quién era el que vendía drogas y que no cogían a nadie, que no iba a borrar ni pinga)</w:t>
      </w:r>
      <w:r w:rsidR="001C05D3" w:rsidRPr="749ACC70">
        <w:t>.</w:t>
      </w:r>
      <w:r w:rsidRPr="749ACC70">
        <w:t xml:space="preserve"> </w:t>
      </w:r>
    </w:p>
    <w:p w14:paraId="712F8ACD" w14:textId="77777777" w:rsidR="001C05D3" w:rsidRPr="00BD6C53" w:rsidRDefault="001C05D3" w:rsidP="005827A7">
      <w:pPr>
        <w:pStyle w:val="ListParagraph"/>
        <w:numPr>
          <w:ilvl w:val="0"/>
          <w:numId w:val="0"/>
        </w:numPr>
        <w:ind w:left="720"/>
      </w:pPr>
    </w:p>
    <w:p w14:paraId="0445D989" w14:textId="1C27FCC0" w:rsidR="00613E66" w:rsidRPr="00BD6C53" w:rsidRDefault="00613E66" w:rsidP="005827A7">
      <w:pPr>
        <w:pStyle w:val="ListParagraph"/>
        <w:numPr>
          <w:ilvl w:val="0"/>
          <w:numId w:val="0"/>
        </w:numPr>
        <w:ind w:left="720"/>
      </w:pPr>
      <w:r w:rsidRPr="00BD6C53">
        <w:t>Acto seguido el Mayor Juan José Rodríguez, le comunicó que debía acompañarlo, reiterándole el acusado de forma ofensiva (que no lo iba acompañar ni pinga), continuando el acusado ofendiendo José Rodríguez, teniendo éste que neutralizarlo y reducirlo a la obediencia, proyectándose el acusado contra el Mayor Juan José Rodríguez, momento que ambos caen al suelo, ocasionándole lesiones consistentes en escoriaciones en muñe</w:t>
      </w:r>
      <w:r w:rsidR="001C05D3" w:rsidRPr="00BD6C53">
        <w:t>ca derech</w:t>
      </w:r>
      <w:r w:rsidR="009D00C1" w:rsidRPr="00BD6C53">
        <w:t>a</w:t>
      </w:r>
      <w:r w:rsidR="001C05D3" w:rsidRPr="00BD6C53">
        <w:t xml:space="preserve"> de más o menos un centímetro, un arañazo de 2 centímetro en el pómulo derecho con aumento de volumen de la cara y codo, las que no requirió asistencia médica, por lo que fue detenido el acusado y conducido a la Unidad de la Policía Nacional Revolucionaria, sito en Cuba y Chacón, dónde se formuló la denuncia</w:t>
      </w:r>
      <w:r w:rsidR="001C05D3" w:rsidRPr="00BD6C53">
        <w:rPr>
          <w:rStyle w:val="FootnoteReference"/>
          <w:lang w:val="es-ES"/>
        </w:rPr>
        <w:footnoteReference w:id="20"/>
      </w:r>
      <w:r w:rsidR="00E97FD1" w:rsidRPr="00BD6C53">
        <w:t>.</w:t>
      </w:r>
      <w:r w:rsidR="001C05D3" w:rsidRPr="00BD6C53">
        <w:t xml:space="preserve"> </w:t>
      </w:r>
    </w:p>
    <w:p w14:paraId="266EC25B" w14:textId="77777777" w:rsidR="00613E66" w:rsidRPr="00E9543F" w:rsidRDefault="00613E66"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lang w:val="es-ES"/>
        </w:rPr>
      </w:pPr>
    </w:p>
    <w:p w14:paraId="1704AAAB" w14:textId="4D99F02D" w:rsidR="00773302" w:rsidRPr="00E9543F" w:rsidRDefault="5C71BE5B" w:rsidP="001A4728">
      <w:pPr>
        <w:numPr>
          <w:ilvl w:val="0"/>
          <w:numId w:val="60"/>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hAnsi="Cambria"/>
          <w:sz w:val="20"/>
          <w:szCs w:val="20"/>
          <w:lang w:val="es-ES"/>
        </w:rPr>
      </w:pPr>
      <w:r w:rsidRPr="00E9543F">
        <w:rPr>
          <w:rFonts w:ascii="Cambria" w:hAnsi="Cambria"/>
          <w:sz w:val="20"/>
          <w:szCs w:val="20"/>
          <w:lang w:val="es-ES"/>
        </w:rPr>
        <w:t xml:space="preserve">La CIDH observa que </w:t>
      </w:r>
      <w:r w:rsidR="535167F1" w:rsidRPr="00E9543F">
        <w:rPr>
          <w:rFonts w:ascii="Cambria" w:hAnsi="Cambria"/>
          <w:sz w:val="20"/>
          <w:szCs w:val="20"/>
          <w:lang w:val="es-ES"/>
        </w:rPr>
        <w:t xml:space="preserve">el señor Castillo Pérez </w:t>
      </w:r>
      <w:r w:rsidR="68A2BEFF" w:rsidRPr="00E9543F">
        <w:rPr>
          <w:rFonts w:ascii="Cambria" w:hAnsi="Cambria"/>
          <w:sz w:val="20"/>
          <w:szCs w:val="20"/>
          <w:lang w:val="es-ES"/>
        </w:rPr>
        <w:t>fue liberado</w:t>
      </w:r>
      <w:r w:rsidR="004C6867" w:rsidRPr="00E9543F">
        <w:rPr>
          <w:rStyle w:val="FootnoteReference"/>
          <w:rFonts w:ascii="Cambria" w:hAnsi="Cambria"/>
          <w:sz w:val="20"/>
          <w:szCs w:val="20"/>
          <w:lang w:val="es-ES"/>
        </w:rPr>
        <w:footnoteReference w:id="21"/>
      </w:r>
      <w:r w:rsidR="363A3BB8" w:rsidRPr="00E9543F">
        <w:rPr>
          <w:rFonts w:ascii="Cambria" w:hAnsi="Cambria"/>
          <w:sz w:val="20"/>
          <w:szCs w:val="20"/>
          <w:lang w:val="es-ES"/>
        </w:rPr>
        <w:t>.</w:t>
      </w:r>
      <w:r w:rsidR="68A2BEFF" w:rsidRPr="00E9543F">
        <w:rPr>
          <w:rFonts w:ascii="Cambria" w:hAnsi="Cambria"/>
          <w:sz w:val="20"/>
          <w:szCs w:val="20"/>
          <w:lang w:val="es-ES"/>
        </w:rPr>
        <w:t xml:space="preserve"> </w:t>
      </w:r>
      <w:r w:rsidR="363A3BB8" w:rsidRPr="00E9543F">
        <w:rPr>
          <w:rFonts w:ascii="Cambria" w:hAnsi="Cambria"/>
          <w:sz w:val="20"/>
          <w:szCs w:val="20"/>
          <w:lang w:val="es-ES"/>
        </w:rPr>
        <w:t xml:space="preserve">La </w:t>
      </w:r>
      <w:r w:rsidRPr="00E9543F">
        <w:rPr>
          <w:rFonts w:ascii="Cambria" w:hAnsi="Cambria"/>
          <w:sz w:val="20"/>
          <w:szCs w:val="20"/>
          <w:lang w:val="es-ES"/>
        </w:rPr>
        <w:t>Comisión</w:t>
      </w:r>
      <w:r w:rsidR="363A3BB8" w:rsidRPr="00E9543F">
        <w:rPr>
          <w:rFonts w:ascii="Cambria" w:hAnsi="Cambria"/>
          <w:sz w:val="20"/>
          <w:szCs w:val="20"/>
          <w:lang w:val="es-ES"/>
        </w:rPr>
        <w:t xml:space="preserve"> nota que no consta en el expediente la fecha en que fue </w:t>
      </w:r>
      <w:r w:rsidR="6F453A08" w:rsidRPr="00E9543F">
        <w:rPr>
          <w:rFonts w:ascii="Cambria" w:hAnsi="Cambria"/>
          <w:sz w:val="20"/>
          <w:szCs w:val="20"/>
          <w:lang w:val="es-ES"/>
        </w:rPr>
        <w:t>puesto en libertad</w:t>
      </w:r>
      <w:r w:rsidR="363A3BB8" w:rsidRPr="00E9543F">
        <w:rPr>
          <w:rFonts w:ascii="Cambria" w:hAnsi="Cambria"/>
          <w:sz w:val="20"/>
          <w:szCs w:val="20"/>
          <w:lang w:val="es-ES"/>
        </w:rPr>
        <w:t xml:space="preserve">. Asimismo, </w:t>
      </w:r>
      <w:r w:rsidR="44C46221" w:rsidRPr="00E9543F">
        <w:rPr>
          <w:rFonts w:ascii="Cambria" w:hAnsi="Cambria"/>
          <w:sz w:val="20"/>
          <w:szCs w:val="20"/>
          <w:lang w:val="es-ES"/>
        </w:rPr>
        <w:t xml:space="preserve">se </w:t>
      </w:r>
      <w:r w:rsidR="68A2BEFF" w:rsidRPr="00E9543F">
        <w:rPr>
          <w:rFonts w:ascii="Cambria" w:hAnsi="Cambria"/>
          <w:sz w:val="20"/>
          <w:szCs w:val="20"/>
          <w:lang w:val="es-ES"/>
        </w:rPr>
        <w:t xml:space="preserve">le </w:t>
      </w:r>
      <w:r w:rsidR="44C46221" w:rsidRPr="00E9543F">
        <w:rPr>
          <w:rFonts w:ascii="Cambria" w:hAnsi="Cambria"/>
          <w:sz w:val="20"/>
          <w:szCs w:val="20"/>
          <w:lang w:val="es-ES"/>
        </w:rPr>
        <w:t>impuso una sanción administrativa de $1000.00 pesos CUP</w:t>
      </w:r>
      <w:r w:rsidR="542D36A3" w:rsidRPr="00E9543F">
        <w:rPr>
          <w:rFonts w:ascii="Cambria" w:hAnsi="Cambria"/>
          <w:sz w:val="20"/>
          <w:szCs w:val="20"/>
          <w:lang w:val="es-ES"/>
        </w:rPr>
        <w:t xml:space="preserve"> en virtud de la presunta comisión del delito de “Atentado”, regulado en el artículo 8.3 del Código Penal</w:t>
      </w:r>
      <w:r w:rsidR="00773302" w:rsidRPr="00E9543F">
        <w:rPr>
          <w:rStyle w:val="FootnoteReference"/>
          <w:rFonts w:ascii="Cambria" w:hAnsi="Cambria"/>
          <w:sz w:val="20"/>
          <w:szCs w:val="20"/>
          <w:lang w:val="es-ES"/>
        </w:rPr>
        <w:footnoteReference w:id="22"/>
      </w:r>
      <w:r w:rsidR="542D36A3" w:rsidRPr="00E9543F">
        <w:rPr>
          <w:rFonts w:ascii="Cambria" w:hAnsi="Cambria"/>
          <w:sz w:val="20"/>
          <w:szCs w:val="20"/>
          <w:lang w:val="es-ES"/>
        </w:rPr>
        <w:t>.</w:t>
      </w:r>
      <w:r w:rsidR="363A3BB8" w:rsidRPr="00E9543F">
        <w:rPr>
          <w:rFonts w:ascii="Cambria" w:hAnsi="Cambria"/>
          <w:sz w:val="20"/>
          <w:szCs w:val="20"/>
          <w:lang w:val="es-ES"/>
        </w:rPr>
        <w:t xml:space="preserve"> </w:t>
      </w:r>
      <w:r w:rsidRPr="00E9543F">
        <w:rPr>
          <w:rFonts w:ascii="Cambria" w:hAnsi="Cambria"/>
          <w:sz w:val="20"/>
          <w:szCs w:val="20"/>
          <w:lang w:val="es-ES"/>
        </w:rPr>
        <w:t>L</w:t>
      </w:r>
      <w:r w:rsidR="44C46221" w:rsidRPr="00E9543F">
        <w:rPr>
          <w:rFonts w:ascii="Cambria" w:hAnsi="Cambria"/>
          <w:sz w:val="20"/>
          <w:szCs w:val="20"/>
          <w:lang w:val="es-ES"/>
        </w:rPr>
        <w:t>a multa fue pagada el 2</w:t>
      </w:r>
      <w:r w:rsidR="43E29662" w:rsidRPr="00E9543F">
        <w:rPr>
          <w:rFonts w:ascii="Cambria" w:hAnsi="Cambria"/>
          <w:sz w:val="20"/>
          <w:szCs w:val="20"/>
          <w:lang w:val="es-ES"/>
        </w:rPr>
        <w:t>7</w:t>
      </w:r>
      <w:r w:rsidR="44C46221" w:rsidRPr="00E9543F">
        <w:rPr>
          <w:rFonts w:ascii="Cambria" w:hAnsi="Cambria"/>
          <w:sz w:val="20"/>
          <w:szCs w:val="20"/>
          <w:lang w:val="es-ES"/>
        </w:rPr>
        <w:t xml:space="preserve"> de </w:t>
      </w:r>
      <w:r w:rsidR="43E29662" w:rsidRPr="00E9543F">
        <w:rPr>
          <w:rFonts w:ascii="Cambria" w:hAnsi="Cambria"/>
          <w:sz w:val="20"/>
          <w:szCs w:val="20"/>
          <w:lang w:val="es-ES"/>
        </w:rPr>
        <w:t>junio</w:t>
      </w:r>
      <w:r w:rsidR="44C46221" w:rsidRPr="00E9543F">
        <w:rPr>
          <w:rFonts w:ascii="Cambria" w:hAnsi="Cambria"/>
          <w:sz w:val="20"/>
          <w:szCs w:val="20"/>
          <w:lang w:val="es-ES"/>
        </w:rPr>
        <w:t xml:space="preserve"> de 2018</w:t>
      </w:r>
      <w:r w:rsidR="00773302" w:rsidRPr="00E9543F">
        <w:rPr>
          <w:rStyle w:val="FootnoteReference"/>
          <w:rFonts w:ascii="Cambria" w:hAnsi="Cambria"/>
          <w:sz w:val="20"/>
          <w:szCs w:val="20"/>
          <w:lang w:val="es-ES"/>
        </w:rPr>
        <w:footnoteReference w:id="23"/>
      </w:r>
      <w:r w:rsidR="542D36A3" w:rsidRPr="00E9543F">
        <w:rPr>
          <w:rFonts w:ascii="Cambria" w:hAnsi="Cambria"/>
          <w:sz w:val="20"/>
          <w:szCs w:val="20"/>
          <w:lang w:val="es-ES"/>
        </w:rPr>
        <w:t>.</w:t>
      </w:r>
      <w:r w:rsidR="44C46221" w:rsidRPr="00E9543F">
        <w:rPr>
          <w:rFonts w:ascii="Cambria" w:hAnsi="Cambria"/>
          <w:sz w:val="20"/>
          <w:szCs w:val="20"/>
          <w:lang w:val="es-ES"/>
        </w:rPr>
        <w:t xml:space="preserve"> </w:t>
      </w:r>
      <w:r w:rsidRPr="00E9543F">
        <w:rPr>
          <w:rFonts w:ascii="Cambria" w:hAnsi="Cambria"/>
          <w:sz w:val="20"/>
          <w:szCs w:val="20"/>
          <w:lang w:val="es-ES"/>
        </w:rPr>
        <w:t>R</w:t>
      </w:r>
      <w:r w:rsidR="3A77DCEC" w:rsidRPr="00E9543F">
        <w:rPr>
          <w:rFonts w:ascii="Cambria" w:hAnsi="Cambria"/>
          <w:sz w:val="20"/>
          <w:szCs w:val="20"/>
          <w:lang w:val="es-ES"/>
        </w:rPr>
        <w:t xml:space="preserve">especto </w:t>
      </w:r>
      <w:r w:rsidRPr="00E9543F">
        <w:rPr>
          <w:rFonts w:ascii="Cambria" w:hAnsi="Cambria"/>
          <w:sz w:val="20"/>
          <w:szCs w:val="20"/>
          <w:lang w:val="es-ES"/>
        </w:rPr>
        <w:t>de</w:t>
      </w:r>
      <w:r w:rsidR="3A77DCEC" w:rsidRPr="00E9543F">
        <w:rPr>
          <w:rFonts w:ascii="Cambria" w:hAnsi="Cambria"/>
          <w:sz w:val="20"/>
          <w:szCs w:val="20"/>
          <w:lang w:val="es-ES"/>
        </w:rPr>
        <w:t xml:space="preserve"> la aceptación de </w:t>
      </w:r>
      <w:r w:rsidR="6F453A08" w:rsidRPr="00E9543F">
        <w:rPr>
          <w:rFonts w:ascii="Cambria" w:hAnsi="Cambria"/>
          <w:sz w:val="20"/>
          <w:szCs w:val="20"/>
          <w:lang w:val="es-ES"/>
        </w:rPr>
        <w:t>pagar la multa</w:t>
      </w:r>
      <w:r w:rsidRPr="00E9543F">
        <w:rPr>
          <w:rFonts w:ascii="Cambria" w:hAnsi="Cambria"/>
          <w:sz w:val="20"/>
          <w:szCs w:val="20"/>
          <w:lang w:val="es-ES"/>
        </w:rPr>
        <w:t>, la parte peticionaria manifestó</w:t>
      </w:r>
      <w:r w:rsidR="3A77DCEC" w:rsidRPr="00E9543F">
        <w:rPr>
          <w:rFonts w:ascii="Cambria" w:hAnsi="Cambria"/>
          <w:sz w:val="20"/>
          <w:szCs w:val="20"/>
          <w:lang w:val="es-ES"/>
        </w:rPr>
        <w:t xml:space="preserve"> lo siguiente: </w:t>
      </w:r>
    </w:p>
    <w:p w14:paraId="7687782B" w14:textId="77777777" w:rsidR="003B365A" w:rsidRPr="00E9543F" w:rsidRDefault="003B365A"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lang w:val="es-ES"/>
        </w:rPr>
      </w:pPr>
    </w:p>
    <w:p w14:paraId="3AC66613" w14:textId="29D3CBD5" w:rsidR="00C473AC" w:rsidRPr="00EB2F17" w:rsidRDefault="003B365A" w:rsidP="00AA6562">
      <w:pPr>
        <w:pStyle w:val="ListParagraph"/>
        <w:numPr>
          <w:ilvl w:val="0"/>
          <w:numId w:val="0"/>
        </w:numPr>
        <w:ind w:left="720"/>
      </w:pPr>
      <w:r w:rsidRPr="00EB2F17">
        <w:t>En los procesos juzgados por las autoridades policiales la persona llamada infractor por la ley penal, que acepta la imposición de la multa, reconoce implícitamente su culpabilidad (autodestrucción de la presunción de inocencia), sin que esta sea determinada por un juez competente. Durante la tramitación de este proceso no tienen acceso a un abogado que los asesore o aconseje sobre las implicaciones legales de auto inculparse</w:t>
      </w:r>
      <w:r w:rsidR="00C473AC" w:rsidRPr="00EB2F17">
        <w:t xml:space="preserve"> (…).</w:t>
      </w:r>
      <w:r w:rsidR="00997275" w:rsidRPr="00EB2F17">
        <w:t xml:space="preserve"> </w:t>
      </w:r>
      <w:r w:rsidR="00D160FD" w:rsidRPr="00EB2F17">
        <w:t xml:space="preserve">La </w:t>
      </w:r>
      <w:r w:rsidR="00D160FD" w:rsidRPr="00AA6562">
        <w:t xml:space="preserve">Disposición </w:t>
      </w:r>
      <w:r w:rsidR="00D160FD" w:rsidRPr="00EB2F17">
        <w:t xml:space="preserve">Especial </w:t>
      </w:r>
      <w:r w:rsidR="00D160FD" w:rsidRPr="00AA6562">
        <w:t xml:space="preserve">Única </w:t>
      </w:r>
      <w:r w:rsidR="00D160FD" w:rsidRPr="00EB2F17">
        <w:t xml:space="preserve">del </w:t>
      </w:r>
      <w:r w:rsidR="00D160FD" w:rsidRPr="00AA6562">
        <w:t xml:space="preserve">Código </w:t>
      </w:r>
      <w:r w:rsidR="00D160FD" w:rsidRPr="00EB2F17">
        <w:t xml:space="preserve">penal en su quinto </w:t>
      </w:r>
      <w:r w:rsidR="00D160FD" w:rsidRPr="00AA6562">
        <w:t xml:space="preserve">párrafo </w:t>
      </w:r>
      <w:r w:rsidR="00D160FD" w:rsidRPr="00EB2F17">
        <w:t xml:space="preserve">establece que </w:t>
      </w:r>
      <w:r w:rsidR="00D160FD" w:rsidRPr="00AA6562">
        <w:t>“si</w:t>
      </w:r>
      <w:r w:rsidR="00D160FD" w:rsidRPr="00EB2F17">
        <w:t xml:space="preserve"> el culpable satisface el pago de la multa </w:t>
      </w:r>
      <w:r w:rsidR="00D160FD" w:rsidRPr="00AA6562">
        <w:t xml:space="preserve">(…) </w:t>
      </w:r>
      <w:r w:rsidR="00D160FD" w:rsidRPr="00EB2F17">
        <w:t xml:space="preserve">dentro de los diez </w:t>
      </w:r>
      <w:r w:rsidR="00D160FD" w:rsidRPr="00AA6562">
        <w:t xml:space="preserve">días hábiles </w:t>
      </w:r>
      <w:r w:rsidR="00D160FD" w:rsidRPr="00EB2F17">
        <w:t xml:space="preserve">siguientes al de su </w:t>
      </w:r>
      <w:r w:rsidR="00D160FD" w:rsidRPr="00AA6562">
        <w:t xml:space="preserve">imposición, </w:t>
      </w:r>
      <w:r w:rsidR="00D160FD" w:rsidRPr="00EB2F17">
        <w:t xml:space="preserve">se </w:t>
      </w:r>
      <w:r w:rsidR="00D160FD" w:rsidRPr="00AA6562">
        <w:t xml:space="preserve">tendrán </w:t>
      </w:r>
      <w:r w:rsidR="00D160FD" w:rsidRPr="00EB2F17">
        <w:t xml:space="preserve">por concluidas las actuaciones y el hecho, a los efectos penales no </w:t>
      </w:r>
      <w:r w:rsidR="00D160FD" w:rsidRPr="00AA6562">
        <w:t xml:space="preserve">será </w:t>
      </w:r>
      <w:r w:rsidR="00D160FD" w:rsidRPr="00EB2F17">
        <w:t xml:space="preserve">considerado </w:t>
      </w:r>
      <w:r w:rsidR="00D160FD" w:rsidRPr="00AA6562">
        <w:t>delito”</w:t>
      </w:r>
      <w:r w:rsidR="00C473AC" w:rsidRPr="00AA6562">
        <w:rPr>
          <w:vertAlign w:val="superscript"/>
        </w:rPr>
        <w:footnoteReference w:id="24"/>
      </w:r>
      <w:r w:rsidR="00C473AC" w:rsidRPr="00EB2F17">
        <w:t>.</w:t>
      </w:r>
    </w:p>
    <w:p w14:paraId="322758D1" w14:textId="1CCA6683" w:rsidR="00C473AC" w:rsidRPr="00E9543F" w:rsidRDefault="00C473AC" w:rsidP="00C473AC">
      <w:pPr>
        <w:ind w:left="720" w:hanging="360"/>
        <w:rPr>
          <w:lang w:val="es-ES"/>
        </w:rPr>
      </w:pPr>
    </w:p>
    <w:p w14:paraId="74457F9B" w14:textId="3B81A225" w:rsidR="00A26A03" w:rsidRPr="00BD6C53" w:rsidRDefault="00D97533" w:rsidP="001A4728">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lang w:val="es-ES"/>
        </w:rPr>
      </w:pPr>
      <w:r w:rsidRPr="749ACC70">
        <w:rPr>
          <w:rFonts w:ascii="Cambria" w:hAnsi="Cambria"/>
          <w:sz w:val="20"/>
          <w:szCs w:val="20"/>
          <w:lang w:val="es-ES"/>
        </w:rPr>
        <w:t>La parte peticionaria señal</w:t>
      </w:r>
      <w:r w:rsidR="00997275" w:rsidRPr="749ACC70">
        <w:rPr>
          <w:rFonts w:ascii="Cambria" w:hAnsi="Cambria"/>
          <w:sz w:val="20"/>
          <w:szCs w:val="20"/>
          <w:lang w:val="es-ES"/>
        </w:rPr>
        <w:t>ó</w:t>
      </w:r>
      <w:r w:rsidRPr="749ACC70">
        <w:rPr>
          <w:rFonts w:ascii="Cambria" w:hAnsi="Cambria"/>
          <w:sz w:val="20"/>
          <w:szCs w:val="20"/>
          <w:lang w:val="es-ES"/>
        </w:rPr>
        <w:t xml:space="preserve"> que la </w:t>
      </w:r>
      <w:r w:rsidR="00773302" w:rsidRPr="749ACC70">
        <w:rPr>
          <w:rFonts w:ascii="Cambria" w:hAnsi="Cambria"/>
          <w:sz w:val="20"/>
          <w:szCs w:val="20"/>
          <w:lang w:val="es-ES"/>
        </w:rPr>
        <w:t>Fiscalía de Habana Vieja revocó la decisión</w:t>
      </w:r>
      <w:r w:rsidR="005D7795" w:rsidRPr="749ACC70">
        <w:rPr>
          <w:rFonts w:ascii="Cambria" w:hAnsi="Cambria"/>
          <w:sz w:val="20"/>
          <w:szCs w:val="20"/>
          <w:lang w:val="es-ES"/>
        </w:rPr>
        <w:t xml:space="preserve"> </w:t>
      </w:r>
      <w:r w:rsidR="00090E1A" w:rsidRPr="749ACC70">
        <w:rPr>
          <w:rFonts w:ascii="Cambria" w:hAnsi="Cambria"/>
          <w:sz w:val="20"/>
          <w:szCs w:val="20"/>
          <w:lang w:val="es-ES"/>
        </w:rPr>
        <w:t xml:space="preserve">de la multa administrativa con </w:t>
      </w:r>
      <w:r w:rsidR="005D7795" w:rsidRPr="749ACC70">
        <w:rPr>
          <w:rFonts w:ascii="Cambria" w:hAnsi="Cambria"/>
          <w:sz w:val="20"/>
          <w:szCs w:val="20"/>
          <w:lang w:val="es-ES"/>
        </w:rPr>
        <w:t>posterioridad</w:t>
      </w:r>
      <w:r w:rsidR="00773302" w:rsidRPr="749ACC70">
        <w:rPr>
          <w:rFonts w:ascii="Cambria" w:hAnsi="Cambria"/>
          <w:sz w:val="20"/>
          <w:szCs w:val="20"/>
          <w:lang w:val="es-ES"/>
        </w:rPr>
        <w:t xml:space="preserve"> y ordenó su detención</w:t>
      </w:r>
      <w:r w:rsidRPr="749ACC70">
        <w:rPr>
          <w:rFonts w:ascii="Cambria" w:hAnsi="Cambria"/>
          <w:sz w:val="20"/>
          <w:szCs w:val="20"/>
          <w:lang w:val="es-ES"/>
        </w:rPr>
        <w:t xml:space="preserve"> en razón de la comisión del delito de “Atentado”. </w:t>
      </w:r>
      <w:r w:rsidR="00791FEF" w:rsidRPr="749ACC70">
        <w:rPr>
          <w:rFonts w:ascii="Cambria" w:hAnsi="Cambria"/>
          <w:sz w:val="20"/>
          <w:szCs w:val="20"/>
          <w:lang w:val="es-ES"/>
        </w:rPr>
        <w:t>Agregó</w:t>
      </w:r>
      <w:r w:rsidR="00A26A03" w:rsidRPr="749ACC70">
        <w:rPr>
          <w:rFonts w:ascii="Cambria" w:hAnsi="Cambria"/>
          <w:sz w:val="20"/>
          <w:szCs w:val="20"/>
          <w:lang w:val="es-ES"/>
        </w:rPr>
        <w:t xml:space="preserve"> </w:t>
      </w:r>
      <w:r w:rsidR="00090E1A" w:rsidRPr="749ACC70">
        <w:rPr>
          <w:rFonts w:ascii="Cambria" w:hAnsi="Cambria"/>
          <w:sz w:val="20"/>
          <w:szCs w:val="20"/>
          <w:lang w:val="es-ES"/>
        </w:rPr>
        <w:t>lo siguiente</w:t>
      </w:r>
      <w:r w:rsidR="00A26A03" w:rsidRPr="749ACC70">
        <w:rPr>
          <w:rFonts w:ascii="Cambria" w:hAnsi="Cambria"/>
          <w:sz w:val="20"/>
          <w:szCs w:val="20"/>
          <w:lang w:val="es-ES"/>
        </w:rPr>
        <w:t xml:space="preserve">: </w:t>
      </w:r>
    </w:p>
    <w:p w14:paraId="66CCEA1E" w14:textId="77777777" w:rsidR="00A26A03" w:rsidRPr="00E9543F" w:rsidRDefault="00A26A03"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lang w:val="es-ES"/>
        </w:rPr>
      </w:pPr>
    </w:p>
    <w:p w14:paraId="64E0292A" w14:textId="740DBBB6" w:rsidR="00A26A03" w:rsidRPr="00EB2F17" w:rsidRDefault="00A26A03" w:rsidP="005827A7">
      <w:pPr>
        <w:pStyle w:val="ListParagraph"/>
        <w:numPr>
          <w:ilvl w:val="0"/>
          <w:numId w:val="0"/>
        </w:numPr>
        <w:ind w:left="720"/>
      </w:pPr>
      <w:r w:rsidRPr="00EB2F17">
        <w:t>En este caso los agentes policiales debieron requerir la aprobación del fiscal tal como exige el Apartado 3 del Artículo 8 Código Penal. La fiscalía no puede ir contra sus propias decisiones, y al revocar la decisión de la policía de sancionar con multa un delito, después que esta fue satisfecha en los términos establecidos en la ley, afecta la seguridad jurídica y la confianza necesaria que la ciudadanía debe tener, en que las autoridades realizarán los procedimientos legales, según lo establecido en el marco legal nacional</w:t>
      </w:r>
      <w:r w:rsidRPr="00EB2F17">
        <w:rPr>
          <w:rStyle w:val="FootnoteReference"/>
          <w:lang w:val="es-ES"/>
        </w:rPr>
        <w:footnoteReference w:id="25"/>
      </w:r>
      <w:r w:rsidRPr="00EB2F17">
        <w:t>.</w:t>
      </w:r>
    </w:p>
    <w:p w14:paraId="2F8A498F" w14:textId="77777777" w:rsidR="00A26A03" w:rsidRPr="00EB2F17" w:rsidRDefault="00A26A03" w:rsidP="00EB2F17">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right="720"/>
        <w:jc w:val="both"/>
        <w:rPr>
          <w:rFonts w:ascii="Cambria" w:hAnsi="Cambria"/>
          <w:sz w:val="18"/>
          <w:szCs w:val="18"/>
          <w:lang w:val="es-ES"/>
        </w:rPr>
      </w:pPr>
    </w:p>
    <w:p w14:paraId="1C539EC7" w14:textId="73D54340" w:rsidR="00E90B8A" w:rsidRPr="00BD6C53" w:rsidRDefault="00090E1A" w:rsidP="001A4728">
      <w:pPr>
        <w:numPr>
          <w:ilvl w:val="0"/>
          <w:numId w:val="60"/>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hAnsi="Cambria"/>
          <w:sz w:val="20"/>
          <w:szCs w:val="20"/>
          <w:lang w:val="es-ES"/>
        </w:rPr>
      </w:pPr>
      <w:r w:rsidRPr="00BD6C53">
        <w:rPr>
          <w:rFonts w:ascii="Cambria" w:hAnsi="Cambria"/>
          <w:sz w:val="20"/>
          <w:szCs w:val="20"/>
          <w:lang w:val="es-ES"/>
        </w:rPr>
        <w:t>E</w:t>
      </w:r>
      <w:r w:rsidR="00D97533" w:rsidRPr="00BD6C53">
        <w:rPr>
          <w:rFonts w:ascii="Cambria" w:hAnsi="Cambria"/>
          <w:sz w:val="20"/>
          <w:szCs w:val="20"/>
          <w:lang w:val="es-ES"/>
        </w:rPr>
        <w:t xml:space="preserve">l 25 de septiembre de 2018 a las 11.00 a.m. Maykel Castillo Pérez fue detenido </w:t>
      </w:r>
      <w:r w:rsidR="00890CA2" w:rsidRPr="00BD6C53">
        <w:rPr>
          <w:rFonts w:ascii="Cambria" w:hAnsi="Cambria"/>
          <w:sz w:val="20"/>
          <w:szCs w:val="20"/>
          <w:lang w:val="es-ES"/>
        </w:rPr>
        <w:t xml:space="preserve">en su domicilio y </w:t>
      </w:r>
      <w:r w:rsidR="00D97533" w:rsidRPr="00BD6C53">
        <w:rPr>
          <w:rFonts w:ascii="Cambria" w:hAnsi="Cambria"/>
          <w:sz w:val="20"/>
          <w:szCs w:val="20"/>
          <w:lang w:val="es-ES"/>
        </w:rPr>
        <w:t xml:space="preserve">trasladado </w:t>
      </w:r>
      <w:r w:rsidR="001C05D3" w:rsidRPr="00BD6C53">
        <w:rPr>
          <w:rFonts w:ascii="Cambria" w:hAnsi="Cambria"/>
          <w:sz w:val="20"/>
          <w:szCs w:val="20"/>
          <w:lang w:val="es-ES"/>
        </w:rPr>
        <w:t>a</w:t>
      </w:r>
      <w:r w:rsidR="00D97533" w:rsidRPr="00BD6C53">
        <w:rPr>
          <w:rFonts w:ascii="Cambria" w:hAnsi="Cambria"/>
          <w:sz w:val="20"/>
          <w:szCs w:val="20"/>
          <w:lang w:val="es-ES"/>
        </w:rPr>
        <w:t xml:space="preserve"> la estación policial “Punto 30”, ubicada </w:t>
      </w:r>
      <w:r w:rsidR="005D7795" w:rsidRPr="00BD6C53">
        <w:rPr>
          <w:rFonts w:ascii="Cambria" w:hAnsi="Cambria"/>
          <w:sz w:val="20"/>
          <w:szCs w:val="20"/>
          <w:lang w:val="es-ES"/>
        </w:rPr>
        <w:t xml:space="preserve">en </w:t>
      </w:r>
      <w:r w:rsidR="00D97533" w:rsidRPr="00BD6C53">
        <w:rPr>
          <w:rFonts w:ascii="Cambria" w:hAnsi="Cambria"/>
          <w:sz w:val="20"/>
          <w:szCs w:val="20"/>
          <w:lang w:val="es-ES"/>
        </w:rPr>
        <w:t>la Habana Vieja. Luego fue trasladado al centro de detención “Vivac” en el municipio Boyeros</w:t>
      </w:r>
      <w:r w:rsidRPr="00BD6C53">
        <w:rPr>
          <w:rFonts w:ascii="Cambria" w:hAnsi="Cambria"/>
          <w:sz w:val="20"/>
          <w:szCs w:val="20"/>
          <w:lang w:val="es-ES"/>
        </w:rPr>
        <w:t>. E</w:t>
      </w:r>
      <w:r w:rsidR="00D97533" w:rsidRPr="00BD6C53">
        <w:rPr>
          <w:rFonts w:ascii="Cambria" w:hAnsi="Cambria"/>
          <w:sz w:val="20"/>
          <w:szCs w:val="20"/>
          <w:lang w:val="es-ES"/>
        </w:rPr>
        <w:t>l 1 de octubre de 2018</w:t>
      </w:r>
      <w:r w:rsidR="00791FEF" w:rsidRPr="00BD6C53">
        <w:rPr>
          <w:rFonts w:ascii="Cambria" w:hAnsi="Cambria"/>
          <w:sz w:val="20"/>
          <w:szCs w:val="20"/>
          <w:lang w:val="es-ES"/>
        </w:rPr>
        <w:t xml:space="preserve"> el señor Castillo fue enviado</w:t>
      </w:r>
      <w:r w:rsidR="00D97533" w:rsidRPr="00BD6C53">
        <w:rPr>
          <w:rFonts w:ascii="Cambria" w:hAnsi="Cambria"/>
          <w:sz w:val="20"/>
          <w:szCs w:val="20"/>
          <w:lang w:val="es-ES"/>
        </w:rPr>
        <w:t xml:space="preserve"> al centro de Valle Grande, en el </w:t>
      </w:r>
      <w:r w:rsidR="00D97533" w:rsidRPr="00BD6C53">
        <w:rPr>
          <w:rFonts w:ascii="Cambria" w:hAnsi="Cambria"/>
          <w:sz w:val="20"/>
          <w:szCs w:val="20"/>
          <w:lang w:val="es-ES"/>
        </w:rPr>
        <w:lastRenderedPageBreak/>
        <w:t>municipio la Lisa, La Habana</w:t>
      </w:r>
      <w:r w:rsidR="00A26A03" w:rsidRPr="00BD6C53">
        <w:rPr>
          <w:rStyle w:val="FootnoteReference"/>
          <w:rFonts w:ascii="Cambria" w:hAnsi="Cambria"/>
          <w:sz w:val="20"/>
          <w:szCs w:val="20"/>
          <w:lang w:val="es-ES"/>
        </w:rPr>
        <w:footnoteReference w:id="26"/>
      </w:r>
      <w:r w:rsidR="00D97533" w:rsidRPr="00BD6C53">
        <w:rPr>
          <w:rFonts w:ascii="Cambria" w:hAnsi="Cambria"/>
          <w:sz w:val="20"/>
          <w:szCs w:val="20"/>
          <w:lang w:val="es-ES"/>
        </w:rPr>
        <w:t xml:space="preserve">. </w:t>
      </w:r>
      <w:r w:rsidR="00890CA2" w:rsidRPr="00BD6C53">
        <w:rPr>
          <w:rFonts w:ascii="Cambria" w:hAnsi="Cambria"/>
          <w:sz w:val="20"/>
          <w:szCs w:val="20"/>
          <w:lang w:val="es-ES"/>
        </w:rPr>
        <w:t>La CIDH no cuenta con mayor información sobre las circunstancias de la detención del señor Pérez.</w:t>
      </w:r>
    </w:p>
    <w:p w14:paraId="5FE4FD0F" w14:textId="29116F3C" w:rsidR="00E90B8A" w:rsidRPr="00BD6C53" w:rsidRDefault="00E90B8A" w:rsidP="749ACC70">
      <w:p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jc w:val="both"/>
        <w:rPr>
          <w:rFonts w:ascii="Cambria" w:hAnsi="Cambria"/>
          <w:sz w:val="20"/>
          <w:szCs w:val="20"/>
          <w:lang w:val="es-ES"/>
        </w:rPr>
      </w:pPr>
    </w:p>
    <w:p w14:paraId="3512B703" w14:textId="2FFA3427" w:rsidR="00E90B8A" w:rsidRPr="00BD6C53" w:rsidRDefault="00771AB8" w:rsidP="001A4728">
      <w:pPr>
        <w:numPr>
          <w:ilvl w:val="0"/>
          <w:numId w:val="60"/>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hAnsi="Cambria"/>
          <w:sz w:val="20"/>
          <w:szCs w:val="20"/>
          <w:lang w:val="es-ES"/>
        </w:rPr>
      </w:pPr>
      <w:r w:rsidRPr="00BD6C53">
        <w:rPr>
          <w:rFonts w:ascii="Cambria" w:hAnsi="Cambria"/>
          <w:sz w:val="20"/>
          <w:szCs w:val="20"/>
          <w:lang w:val="es-ES"/>
        </w:rPr>
        <w:t xml:space="preserve">El 1 de octubre de 2018 </w:t>
      </w:r>
      <w:r w:rsidR="00090E1A" w:rsidRPr="00BD6C53">
        <w:rPr>
          <w:rFonts w:ascii="Cambria" w:hAnsi="Cambria"/>
          <w:sz w:val="20"/>
          <w:szCs w:val="20"/>
          <w:lang w:val="es-ES"/>
        </w:rPr>
        <w:t xml:space="preserve">Rosmelys Hernández, </w:t>
      </w:r>
      <w:r w:rsidR="00C50243" w:rsidRPr="00BD6C53">
        <w:rPr>
          <w:rFonts w:ascii="Cambria" w:hAnsi="Cambria"/>
          <w:sz w:val="20"/>
          <w:szCs w:val="20"/>
          <w:lang w:val="es-ES"/>
        </w:rPr>
        <w:t>esposa</w:t>
      </w:r>
      <w:r w:rsidR="00090E1A" w:rsidRPr="00BD6C53">
        <w:rPr>
          <w:rFonts w:ascii="Cambria" w:hAnsi="Cambria"/>
          <w:sz w:val="20"/>
          <w:szCs w:val="20"/>
          <w:lang w:val="es-ES"/>
        </w:rPr>
        <w:t xml:space="preserve"> de Maykel Castillo Pérez,</w:t>
      </w:r>
      <w:r w:rsidRPr="00BD6C53">
        <w:rPr>
          <w:rFonts w:ascii="Cambria" w:hAnsi="Cambria"/>
          <w:sz w:val="20"/>
          <w:szCs w:val="20"/>
          <w:lang w:val="es-ES"/>
        </w:rPr>
        <w:t xml:space="preserve"> presentó un </w:t>
      </w:r>
      <w:r w:rsidR="00B44329" w:rsidRPr="749ACC70">
        <w:rPr>
          <w:rFonts w:ascii="Cambria" w:hAnsi="Cambria"/>
          <w:i/>
          <w:iCs/>
          <w:sz w:val="20"/>
          <w:szCs w:val="20"/>
          <w:lang w:val="es-ES"/>
        </w:rPr>
        <w:t>h</w:t>
      </w:r>
      <w:r w:rsidR="6A8476E6" w:rsidRPr="749ACC70">
        <w:rPr>
          <w:rFonts w:ascii="Cambria" w:hAnsi="Cambria"/>
          <w:i/>
          <w:iCs/>
          <w:sz w:val="20"/>
          <w:szCs w:val="20"/>
          <w:lang w:val="es-ES"/>
        </w:rPr>
        <w:t>a</w:t>
      </w:r>
      <w:r w:rsidRPr="749ACC70">
        <w:rPr>
          <w:rFonts w:ascii="Cambria" w:hAnsi="Cambria"/>
          <w:i/>
          <w:iCs/>
          <w:sz w:val="20"/>
          <w:szCs w:val="20"/>
          <w:lang w:val="es-ES"/>
        </w:rPr>
        <w:t xml:space="preserve">beas </w:t>
      </w:r>
      <w:r w:rsidR="00B44329" w:rsidRPr="749ACC70">
        <w:rPr>
          <w:rFonts w:ascii="Cambria" w:hAnsi="Cambria"/>
          <w:i/>
          <w:iCs/>
          <w:sz w:val="20"/>
          <w:szCs w:val="20"/>
          <w:lang w:val="es-ES"/>
        </w:rPr>
        <w:t>c</w:t>
      </w:r>
      <w:r w:rsidRPr="749ACC70">
        <w:rPr>
          <w:rFonts w:ascii="Cambria" w:hAnsi="Cambria"/>
          <w:i/>
          <w:iCs/>
          <w:sz w:val="20"/>
          <w:szCs w:val="20"/>
          <w:lang w:val="es-ES"/>
        </w:rPr>
        <w:t xml:space="preserve">orpus </w:t>
      </w:r>
      <w:r w:rsidR="0245095C" w:rsidRPr="00BD6C53">
        <w:rPr>
          <w:rFonts w:ascii="Cambria" w:hAnsi="Cambria"/>
          <w:sz w:val="20"/>
          <w:szCs w:val="20"/>
          <w:lang w:val="es-ES"/>
        </w:rPr>
        <w:t xml:space="preserve">en el que </w:t>
      </w:r>
      <w:r w:rsidR="001C05D3" w:rsidRPr="00BD6C53">
        <w:rPr>
          <w:rFonts w:ascii="Cambria" w:hAnsi="Cambria"/>
          <w:sz w:val="20"/>
          <w:szCs w:val="20"/>
          <w:lang w:val="es-ES"/>
        </w:rPr>
        <w:t>se solicitó la “inmediata libertad” del señor Castillo Pérez</w:t>
      </w:r>
      <w:r w:rsidR="001C05D3" w:rsidRPr="00BD6C53">
        <w:rPr>
          <w:rStyle w:val="FootnoteReference"/>
          <w:rFonts w:ascii="Cambria" w:hAnsi="Cambria"/>
          <w:sz w:val="20"/>
          <w:szCs w:val="20"/>
          <w:lang w:val="es-ES"/>
        </w:rPr>
        <w:footnoteReference w:id="27"/>
      </w:r>
      <w:r w:rsidR="00540B3F" w:rsidRPr="00BD6C53">
        <w:rPr>
          <w:rFonts w:ascii="Cambria" w:hAnsi="Cambria"/>
          <w:sz w:val="20"/>
          <w:szCs w:val="20"/>
          <w:lang w:val="es-ES"/>
        </w:rPr>
        <w:t xml:space="preserve">. </w:t>
      </w:r>
      <w:r w:rsidRPr="00BD6C53">
        <w:rPr>
          <w:rFonts w:ascii="Cambria" w:hAnsi="Cambria"/>
          <w:sz w:val="20"/>
          <w:szCs w:val="20"/>
          <w:lang w:val="es-ES"/>
        </w:rPr>
        <w:t>El 9 de octubre de 2018 el Tribunal Provincial Popular de La Habana, Sala Cuarta de lo Penal</w:t>
      </w:r>
      <w:r w:rsidR="4EFE3C04" w:rsidRPr="00BD6C53">
        <w:rPr>
          <w:rFonts w:ascii="Cambria" w:hAnsi="Cambria"/>
          <w:sz w:val="20"/>
          <w:szCs w:val="20"/>
          <w:lang w:val="es-ES"/>
        </w:rPr>
        <w:t>,</w:t>
      </w:r>
      <w:r w:rsidRPr="00BD6C53">
        <w:rPr>
          <w:rFonts w:ascii="Cambria" w:hAnsi="Cambria"/>
          <w:sz w:val="20"/>
          <w:szCs w:val="20"/>
          <w:lang w:val="es-ES"/>
        </w:rPr>
        <w:t xml:space="preserve"> resolvió rechazar el </w:t>
      </w:r>
      <w:r w:rsidR="323FDF5A" w:rsidRPr="749ACC70">
        <w:rPr>
          <w:rFonts w:ascii="Cambria" w:hAnsi="Cambria"/>
          <w:i/>
          <w:iCs/>
          <w:sz w:val="20"/>
          <w:szCs w:val="20"/>
          <w:lang w:val="es-ES"/>
        </w:rPr>
        <w:t>habeas corpus</w:t>
      </w:r>
      <w:r w:rsidRPr="00BD6C53">
        <w:rPr>
          <w:rFonts w:ascii="Cambria" w:hAnsi="Cambria"/>
          <w:sz w:val="20"/>
          <w:szCs w:val="20"/>
          <w:lang w:val="es-ES"/>
        </w:rPr>
        <w:t xml:space="preserve">. </w:t>
      </w:r>
      <w:r w:rsidR="004B3EC7" w:rsidRPr="00BD6C53">
        <w:rPr>
          <w:rFonts w:ascii="Cambria" w:hAnsi="Cambria"/>
          <w:sz w:val="20"/>
          <w:szCs w:val="20"/>
          <w:lang w:val="es-ES"/>
        </w:rPr>
        <w:t>El Tribunal indicó l</w:t>
      </w:r>
      <w:r w:rsidR="00090E1A" w:rsidRPr="00BD6C53">
        <w:rPr>
          <w:rFonts w:ascii="Cambria" w:hAnsi="Cambria"/>
          <w:sz w:val="20"/>
          <w:szCs w:val="20"/>
          <w:lang w:val="es-ES"/>
        </w:rPr>
        <w:t>o</w:t>
      </w:r>
      <w:r w:rsidR="004B3EC7" w:rsidRPr="00BD6C53">
        <w:rPr>
          <w:rFonts w:ascii="Cambria" w:hAnsi="Cambria"/>
          <w:sz w:val="20"/>
          <w:szCs w:val="20"/>
          <w:lang w:val="es-ES"/>
        </w:rPr>
        <w:t xml:space="preserve"> siguiente: </w:t>
      </w:r>
    </w:p>
    <w:p w14:paraId="4507E501" w14:textId="77777777" w:rsidR="004B3EC7" w:rsidRPr="00E9543F" w:rsidRDefault="004B3EC7"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lang w:val="es-ES"/>
        </w:rPr>
      </w:pPr>
    </w:p>
    <w:p w14:paraId="13098C20" w14:textId="16AB712B" w:rsidR="00DC5D77" w:rsidRPr="00EB2F17" w:rsidRDefault="6DFB8FD3" w:rsidP="005827A7">
      <w:pPr>
        <w:pStyle w:val="ListParagraph"/>
        <w:numPr>
          <w:ilvl w:val="0"/>
          <w:numId w:val="0"/>
        </w:numPr>
        <w:ind w:left="720"/>
      </w:pPr>
      <w:r w:rsidRPr="00EB2F17">
        <w:t>CONSIDERANDO: Que del análisis del escrito promocional, del presentado por la referida autoridad y de lo actuado en el expediente; se apreció que la última detención se produjo el día 25 de septiembre de 2018 tras haberse dispuesto por el fiscal en curso el expediente dejando sin efecto la aplicación del artículo 8.3 del Código Penal y se dispuso mediante el correspondiente auto de esa autoridad la medida cautelar de prisión provisional por esos hechos y no por las razones que aduce la promove</w:t>
      </w:r>
      <w:r w:rsidR="0026270A" w:rsidRPr="00EB2F17">
        <w:t>n</w:t>
      </w:r>
      <w:r w:rsidRPr="00EB2F17">
        <w:t xml:space="preserve">te, cuya resolución fundamente la carencia de sustento legal de la aplicación de </w:t>
      </w:r>
      <w:r w:rsidRPr="00EB2F17">
        <w:rPr>
          <w:color w:val="auto"/>
        </w:rPr>
        <w:t>dicho</w:t>
      </w:r>
      <w:r w:rsidRPr="00EB2F17">
        <w:t xml:space="preserve"> artículo 8.3 y con ello lo ilegal que resultó, sobre lo que se apreció lo cierto que según los hechos y el delito a que estos pueden dar lugar no procede tal decisión de imponer multa administrativa, lo que sumado a que fue el fiscal quien determinó la referida medida cautelar y es esta la autoridad facultada para ello y lo hizo mediante la debida resolución: no procede en el caso el </w:t>
      </w:r>
      <w:r w:rsidR="3C17492D" w:rsidRPr="00EB2F17">
        <w:t>hábeas corpus</w:t>
      </w:r>
      <w:r w:rsidRPr="00EB2F17">
        <w:t>; tal y como se establece en los artículos 467 y 475 de la Ley de Procedimiento Penal y en virtud se dispone lo que se dirá</w:t>
      </w:r>
      <w:r w:rsidR="142C7093" w:rsidRPr="00EB2F17">
        <w:t>.</w:t>
      </w:r>
    </w:p>
    <w:p w14:paraId="428379AA" w14:textId="77777777" w:rsidR="00DC5D77" w:rsidRPr="00EB2F17" w:rsidRDefault="00DC5D77" w:rsidP="005827A7">
      <w:pPr>
        <w:pStyle w:val="ListParagraph"/>
        <w:numPr>
          <w:ilvl w:val="0"/>
          <w:numId w:val="0"/>
        </w:numPr>
        <w:ind w:left="720"/>
      </w:pPr>
    </w:p>
    <w:p w14:paraId="7C0D72C9" w14:textId="6DCEDF7F" w:rsidR="004B3EC7" w:rsidRPr="00EB2F17" w:rsidRDefault="00DC5D77" w:rsidP="005827A7">
      <w:pPr>
        <w:pStyle w:val="ListParagraph"/>
        <w:numPr>
          <w:ilvl w:val="0"/>
          <w:numId w:val="0"/>
        </w:numPr>
        <w:ind w:left="720"/>
      </w:pPr>
      <w:r w:rsidRPr="00EB2F17">
        <w:t xml:space="preserve">LA SALA ACUERDA: Declarar SIN LUGAR el Procedimiento de </w:t>
      </w:r>
      <w:r w:rsidR="41348A5F" w:rsidRPr="00EB2F17">
        <w:t xml:space="preserve">hábeas corpus </w:t>
      </w:r>
      <w:r w:rsidRPr="00EB2F17">
        <w:t>promovido por Iris Ruiz Hernandez a favor de Maikel Castillo Perez y en consecuencia se mantiene a todos los efectos legales la medida cautelar de prisión provisional que le fuere impuesta por auto dictado por el Ministerio Público en el citado expediente de fase preparatoria</w:t>
      </w:r>
      <w:r w:rsidR="00540B3F" w:rsidRPr="00EB2F17">
        <w:rPr>
          <w:rStyle w:val="FootnoteReference"/>
          <w:lang w:val="es-ES"/>
        </w:rPr>
        <w:footnoteReference w:id="28"/>
      </w:r>
      <w:r w:rsidR="00540B3F" w:rsidRPr="00EB2F17">
        <w:t>.</w:t>
      </w:r>
    </w:p>
    <w:p w14:paraId="6E2DE63A" w14:textId="77777777" w:rsidR="004B3EC7" w:rsidRPr="00E9543F" w:rsidRDefault="004B3EC7"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lang w:val="es-ES"/>
        </w:rPr>
      </w:pPr>
    </w:p>
    <w:p w14:paraId="540DF4D4" w14:textId="0C8E4433" w:rsidR="009B54B5" w:rsidRPr="00E9543F" w:rsidRDefault="00771AB8" w:rsidP="001A4728">
      <w:pPr>
        <w:numPr>
          <w:ilvl w:val="0"/>
          <w:numId w:val="60"/>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hAnsi="Cambria"/>
          <w:sz w:val="20"/>
          <w:szCs w:val="20"/>
          <w:lang w:val="es-ES"/>
        </w:rPr>
      </w:pPr>
      <w:r w:rsidRPr="00E9543F">
        <w:rPr>
          <w:rFonts w:ascii="Cambria" w:hAnsi="Cambria"/>
          <w:sz w:val="20"/>
          <w:szCs w:val="20"/>
          <w:lang w:val="es-ES"/>
        </w:rPr>
        <w:t>La resolución fue apelada por la parte peticionaria el 12 de octubre de 2018</w:t>
      </w:r>
      <w:r w:rsidR="00090E1A" w:rsidRPr="00E9543F">
        <w:rPr>
          <w:rStyle w:val="FootnoteReference"/>
          <w:rFonts w:ascii="Cambria" w:hAnsi="Cambria"/>
          <w:sz w:val="20"/>
          <w:szCs w:val="20"/>
          <w:lang w:val="es-ES"/>
        </w:rPr>
        <w:footnoteReference w:id="29"/>
      </w:r>
      <w:r w:rsidRPr="00E9543F">
        <w:rPr>
          <w:rFonts w:ascii="Cambria" w:hAnsi="Cambria"/>
          <w:sz w:val="20"/>
          <w:szCs w:val="20"/>
          <w:lang w:val="es-ES"/>
        </w:rPr>
        <w:t xml:space="preserve">. </w:t>
      </w:r>
      <w:r w:rsidR="00090E1A" w:rsidRPr="00E9543F">
        <w:rPr>
          <w:rFonts w:ascii="Cambria" w:hAnsi="Cambria"/>
          <w:sz w:val="20"/>
          <w:szCs w:val="20"/>
          <w:lang w:val="es-ES"/>
        </w:rPr>
        <w:t>La Comisión nota que e</w:t>
      </w:r>
      <w:r w:rsidRPr="00E9543F">
        <w:rPr>
          <w:rFonts w:ascii="Cambria" w:hAnsi="Cambria"/>
          <w:sz w:val="20"/>
          <w:szCs w:val="20"/>
          <w:lang w:val="es-ES"/>
        </w:rPr>
        <w:t xml:space="preserve">l recurso de apelación </w:t>
      </w:r>
      <w:r w:rsidR="2A0663AD" w:rsidRPr="00E9543F">
        <w:rPr>
          <w:rFonts w:ascii="Cambria" w:hAnsi="Cambria"/>
          <w:sz w:val="20"/>
          <w:szCs w:val="20"/>
          <w:lang w:val="es-ES"/>
        </w:rPr>
        <w:t xml:space="preserve">no </w:t>
      </w:r>
      <w:r w:rsidR="0026270A" w:rsidRPr="00E9543F">
        <w:rPr>
          <w:rFonts w:ascii="Cambria" w:hAnsi="Cambria"/>
          <w:sz w:val="20"/>
          <w:szCs w:val="20"/>
          <w:lang w:val="es-ES"/>
        </w:rPr>
        <w:t>fue</w:t>
      </w:r>
      <w:r w:rsidR="001C32DB" w:rsidRPr="00E9543F">
        <w:rPr>
          <w:rFonts w:ascii="Cambria" w:hAnsi="Cambria"/>
          <w:sz w:val="20"/>
          <w:szCs w:val="20"/>
          <w:lang w:val="es-ES"/>
        </w:rPr>
        <w:t xml:space="preserve"> </w:t>
      </w:r>
      <w:r w:rsidR="0026270A" w:rsidRPr="00E9543F">
        <w:rPr>
          <w:rFonts w:ascii="Cambria" w:hAnsi="Cambria"/>
          <w:sz w:val="20"/>
          <w:szCs w:val="20"/>
          <w:lang w:val="es-ES"/>
        </w:rPr>
        <w:t xml:space="preserve">aportado por las partes al </w:t>
      </w:r>
      <w:r w:rsidRPr="00E9543F">
        <w:rPr>
          <w:rFonts w:ascii="Cambria" w:hAnsi="Cambria"/>
          <w:sz w:val="20"/>
          <w:szCs w:val="20"/>
          <w:lang w:val="es-ES"/>
        </w:rPr>
        <w:t xml:space="preserve">expediente. </w:t>
      </w:r>
      <w:r w:rsidR="00F65B15" w:rsidRPr="00E9543F">
        <w:rPr>
          <w:rFonts w:ascii="Cambria" w:hAnsi="Cambria"/>
          <w:sz w:val="20"/>
          <w:szCs w:val="20"/>
          <w:lang w:val="es-ES"/>
        </w:rPr>
        <w:t>En la misma fecha, e</w:t>
      </w:r>
      <w:r w:rsidR="00C50243" w:rsidRPr="00E9543F">
        <w:rPr>
          <w:rFonts w:ascii="Cambria" w:hAnsi="Cambria"/>
          <w:sz w:val="20"/>
          <w:szCs w:val="20"/>
          <w:lang w:val="es-ES"/>
        </w:rPr>
        <w:t xml:space="preserve">l Tribunal </w:t>
      </w:r>
      <w:r w:rsidR="6B6DB1B9" w:rsidRPr="00E9543F">
        <w:rPr>
          <w:rFonts w:ascii="Cambria" w:hAnsi="Cambria"/>
          <w:sz w:val="20"/>
          <w:szCs w:val="20"/>
          <w:lang w:val="es-ES"/>
        </w:rPr>
        <w:t xml:space="preserve">Provincial </w:t>
      </w:r>
      <w:r w:rsidR="004B3EC7" w:rsidRPr="00E9543F">
        <w:rPr>
          <w:rFonts w:ascii="Cambria" w:hAnsi="Cambria"/>
          <w:sz w:val="20"/>
          <w:szCs w:val="20"/>
          <w:lang w:val="es-ES"/>
        </w:rPr>
        <w:t xml:space="preserve">envió el </w:t>
      </w:r>
      <w:r w:rsidR="0026270A" w:rsidRPr="00E9543F">
        <w:rPr>
          <w:rFonts w:ascii="Cambria" w:hAnsi="Cambria"/>
          <w:sz w:val="20"/>
          <w:szCs w:val="20"/>
          <w:lang w:val="es-ES"/>
        </w:rPr>
        <w:t>asunto al</w:t>
      </w:r>
      <w:r w:rsidR="004B3EC7" w:rsidRPr="00E9543F">
        <w:rPr>
          <w:rFonts w:ascii="Cambria" w:hAnsi="Cambria"/>
          <w:sz w:val="20"/>
          <w:szCs w:val="20"/>
          <w:lang w:val="es-ES"/>
        </w:rPr>
        <w:t xml:space="preserve"> Tribunal Supremo Popular</w:t>
      </w:r>
      <w:r w:rsidR="00540B3F" w:rsidRPr="00E9543F">
        <w:rPr>
          <w:rStyle w:val="FootnoteReference"/>
          <w:rFonts w:ascii="Cambria" w:hAnsi="Cambria"/>
          <w:sz w:val="20"/>
          <w:szCs w:val="20"/>
          <w:lang w:val="es-ES"/>
        </w:rPr>
        <w:footnoteReference w:id="30"/>
      </w:r>
      <w:r w:rsidR="004B3EC7" w:rsidRPr="00E9543F">
        <w:rPr>
          <w:rFonts w:ascii="Cambria" w:hAnsi="Cambria"/>
          <w:sz w:val="20"/>
          <w:szCs w:val="20"/>
          <w:lang w:val="es-ES"/>
        </w:rPr>
        <w:t>. El 17 de octubre de 2018 las partes fueron notificadas de la aceptación del recurso de apelación</w:t>
      </w:r>
      <w:r w:rsidR="00540B3F" w:rsidRPr="00E9543F">
        <w:rPr>
          <w:rStyle w:val="FootnoteReference"/>
          <w:rFonts w:ascii="Cambria" w:hAnsi="Cambria"/>
          <w:sz w:val="20"/>
          <w:szCs w:val="20"/>
          <w:lang w:val="es-ES"/>
        </w:rPr>
        <w:footnoteReference w:id="31"/>
      </w:r>
      <w:r w:rsidR="004B3EC7" w:rsidRPr="00E9543F">
        <w:rPr>
          <w:rFonts w:ascii="Cambria" w:hAnsi="Cambria"/>
          <w:sz w:val="20"/>
          <w:szCs w:val="20"/>
          <w:lang w:val="es-ES"/>
        </w:rPr>
        <w:t xml:space="preserve">. </w:t>
      </w:r>
    </w:p>
    <w:p w14:paraId="72CA1366" w14:textId="77777777" w:rsidR="009B54B5" w:rsidRPr="00E9543F" w:rsidRDefault="009B54B5"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lang w:val="es-ES"/>
        </w:rPr>
      </w:pPr>
    </w:p>
    <w:p w14:paraId="671500F8" w14:textId="5E40974D" w:rsidR="00540B3F" w:rsidRPr="00E9543F" w:rsidRDefault="23DE4284" w:rsidP="001A4728">
      <w:pPr>
        <w:numPr>
          <w:ilvl w:val="0"/>
          <w:numId w:val="60"/>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hAnsi="Cambria"/>
          <w:sz w:val="20"/>
          <w:szCs w:val="20"/>
          <w:lang w:val="es-ES"/>
        </w:rPr>
      </w:pPr>
      <w:r w:rsidRPr="00E9543F">
        <w:rPr>
          <w:rFonts w:ascii="Cambria" w:hAnsi="Cambria"/>
          <w:sz w:val="20"/>
          <w:szCs w:val="20"/>
          <w:lang w:val="es-ES"/>
        </w:rPr>
        <w:t>La parte peticionaria informó que el 25 de octubre se contrató los servicios de un</w:t>
      </w:r>
      <w:r w:rsidR="11DB90C8" w:rsidRPr="00E9543F">
        <w:rPr>
          <w:rFonts w:ascii="Cambria" w:hAnsi="Cambria"/>
          <w:sz w:val="20"/>
          <w:szCs w:val="20"/>
          <w:lang w:val="es-ES"/>
        </w:rPr>
        <w:t>a</w:t>
      </w:r>
      <w:r w:rsidRPr="00E9543F">
        <w:rPr>
          <w:rFonts w:ascii="Cambria" w:hAnsi="Cambria"/>
          <w:sz w:val="20"/>
          <w:szCs w:val="20"/>
          <w:lang w:val="es-ES"/>
        </w:rPr>
        <w:t xml:space="preserve"> abogad</w:t>
      </w:r>
      <w:r w:rsidR="11DB90C8" w:rsidRPr="00E9543F">
        <w:rPr>
          <w:rFonts w:ascii="Cambria" w:hAnsi="Cambria"/>
          <w:sz w:val="20"/>
          <w:szCs w:val="20"/>
          <w:lang w:val="es-ES"/>
        </w:rPr>
        <w:t>a</w:t>
      </w:r>
      <w:r w:rsidRPr="00E9543F">
        <w:rPr>
          <w:rFonts w:ascii="Cambria" w:hAnsi="Cambria"/>
          <w:sz w:val="20"/>
          <w:szCs w:val="20"/>
          <w:lang w:val="es-ES"/>
        </w:rPr>
        <w:t xml:space="preserve"> de </w:t>
      </w:r>
      <w:r w:rsidR="11DB90C8" w:rsidRPr="00E9543F">
        <w:rPr>
          <w:rFonts w:ascii="Cambria" w:hAnsi="Cambria"/>
          <w:sz w:val="20"/>
          <w:szCs w:val="20"/>
          <w:lang w:val="es-ES"/>
        </w:rPr>
        <w:t>la Organización Nacional de Bufetes Colectivos</w:t>
      </w:r>
      <w:r w:rsidR="32445FC1" w:rsidRPr="00E9543F">
        <w:rPr>
          <w:rFonts w:ascii="Cambria" w:hAnsi="Cambria"/>
          <w:sz w:val="20"/>
          <w:szCs w:val="20"/>
          <w:lang w:val="es-ES"/>
        </w:rPr>
        <w:t xml:space="preserve"> (ONBC)</w:t>
      </w:r>
      <w:r w:rsidR="01EDCAD9" w:rsidRPr="00E9543F">
        <w:rPr>
          <w:rFonts w:ascii="Cambria" w:hAnsi="Cambria"/>
          <w:sz w:val="20"/>
          <w:szCs w:val="20"/>
          <w:lang w:val="es-ES"/>
        </w:rPr>
        <w:t>,</w:t>
      </w:r>
      <w:r w:rsidR="11DB90C8" w:rsidRPr="00E9543F">
        <w:rPr>
          <w:rFonts w:ascii="Cambria" w:hAnsi="Cambria"/>
          <w:sz w:val="20"/>
          <w:szCs w:val="20"/>
          <w:lang w:val="es-ES"/>
        </w:rPr>
        <w:t xml:space="preserve"> </w:t>
      </w:r>
      <w:r w:rsidRPr="00E9543F">
        <w:rPr>
          <w:rFonts w:ascii="Cambria" w:hAnsi="Cambria"/>
          <w:sz w:val="20"/>
          <w:szCs w:val="20"/>
          <w:lang w:val="es-ES"/>
        </w:rPr>
        <w:t xml:space="preserve">para que se presentara como parte recurrente en el </w:t>
      </w:r>
      <w:r w:rsidR="41EF9BE2" w:rsidRPr="00E9543F">
        <w:rPr>
          <w:rFonts w:ascii="Cambria" w:hAnsi="Cambria"/>
          <w:sz w:val="20"/>
          <w:szCs w:val="20"/>
          <w:lang w:val="es-ES"/>
        </w:rPr>
        <w:t>r</w:t>
      </w:r>
      <w:r w:rsidRPr="00E9543F">
        <w:rPr>
          <w:rFonts w:ascii="Cambria" w:hAnsi="Cambria"/>
          <w:sz w:val="20"/>
          <w:szCs w:val="20"/>
          <w:lang w:val="es-ES"/>
        </w:rPr>
        <w:t xml:space="preserve">ecurso de </w:t>
      </w:r>
      <w:r w:rsidR="41EF9BE2" w:rsidRPr="00E9543F">
        <w:rPr>
          <w:rFonts w:ascii="Cambria" w:hAnsi="Cambria"/>
          <w:sz w:val="20"/>
          <w:szCs w:val="20"/>
          <w:lang w:val="es-ES"/>
        </w:rPr>
        <w:t>a</w:t>
      </w:r>
      <w:r w:rsidRPr="00E9543F">
        <w:rPr>
          <w:rFonts w:ascii="Cambria" w:hAnsi="Cambria"/>
          <w:sz w:val="20"/>
          <w:szCs w:val="20"/>
          <w:lang w:val="es-ES"/>
        </w:rPr>
        <w:t>pelación admitido ante el Tribunal Supremo</w:t>
      </w:r>
      <w:r w:rsidR="24C4FE43" w:rsidRPr="00E9543F">
        <w:rPr>
          <w:rFonts w:ascii="Cambria" w:hAnsi="Cambria"/>
          <w:sz w:val="20"/>
          <w:szCs w:val="20"/>
          <w:lang w:val="es-ES"/>
        </w:rPr>
        <w:t>. Según la parte peticionaria</w:t>
      </w:r>
      <w:r w:rsidR="76FAF696" w:rsidRPr="00E9543F">
        <w:rPr>
          <w:rFonts w:ascii="Cambria" w:hAnsi="Cambria"/>
          <w:sz w:val="20"/>
          <w:szCs w:val="20"/>
          <w:lang w:val="es-ES"/>
        </w:rPr>
        <w:t>,</w:t>
      </w:r>
      <w:r w:rsidR="24C4FE43" w:rsidRPr="00E9543F">
        <w:rPr>
          <w:rFonts w:ascii="Cambria" w:hAnsi="Cambria"/>
          <w:sz w:val="20"/>
          <w:szCs w:val="20"/>
          <w:lang w:val="es-ES"/>
        </w:rPr>
        <w:t xml:space="preserve"> </w:t>
      </w:r>
      <w:r w:rsidR="3FB54678" w:rsidRPr="00E9543F">
        <w:rPr>
          <w:rFonts w:ascii="Cambria" w:hAnsi="Cambria"/>
          <w:sz w:val="20"/>
          <w:szCs w:val="20"/>
          <w:lang w:val="es-ES"/>
        </w:rPr>
        <w:t xml:space="preserve">se encontraron obligados a contratar abogados de dicha organización porque “los tribunales nacionales sólo aceptan </w:t>
      </w:r>
      <w:r w:rsidR="583B8D41" w:rsidRPr="00E9543F">
        <w:rPr>
          <w:rFonts w:ascii="Cambria" w:hAnsi="Cambria"/>
          <w:sz w:val="20"/>
          <w:szCs w:val="20"/>
          <w:lang w:val="es-ES"/>
        </w:rPr>
        <w:t>los con</w:t>
      </w:r>
      <w:r w:rsidR="6EFEB008" w:rsidRPr="00E9543F">
        <w:rPr>
          <w:rFonts w:ascii="Cambria" w:hAnsi="Cambria"/>
          <w:sz w:val="20"/>
          <w:szCs w:val="20"/>
          <w:lang w:val="es-ES"/>
        </w:rPr>
        <w:t xml:space="preserve">tratos </w:t>
      </w:r>
      <w:r w:rsidR="583B8D41" w:rsidRPr="00E9543F">
        <w:rPr>
          <w:rFonts w:ascii="Cambria" w:hAnsi="Cambria"/>
          <w:sz w:val="20"/>
          <w:szCs w:val="20"/>
          <w:lang w:val="es-ES"/>
        </w:rPr>
        <w:t xml:space="preserve">de servicios jurídicos que emite la </w:t>
      </w:r>
      <w:r w:rsidR="0E9A6F9B" w:rsidRPr="00E9543F">
        <w:rPr>
          <w:rFonts w:ascii="Cambria" w:hAnsi="Cambria"/>
          <w:sz w:val="20"/>
          <w:szCs w:val="20"/>
          <w:lang w:val="es-ES"/>
        </w:rPr>
        <w:t>ONBC”</w:t>
      </w:r>
      <w:r w:rsidR="4A19BC8D" w:rsidRPr="00E9543F">
        <w:rPr>
          <w:rFonts w:ascii="Cambria" w:hAnsi="Cambria"/>
          <w:sz w:val="20"/>
          <w:szCs w:val="20"/>
          <w:lang w:val="es-ES"/>
        </w:rPr>
        <w:t>. Asimismo, según la parte peticionaria</w:t>
      </w:r>
      <w:r w:rsidR="03879573" w:rsidRPr="00E9543F">
        <w:rPr>
          <w:rFonts w:ascii="Cambria" w:hAnsi="Cambria"/>
          <w:sz w:val="20"/>
          <w:szCs w:val="20"/>
          <w:lang w:val="es-ES"/>
        </w:rPr>
        <w:t>,</w:t>
      </w:r>
      <w:r w:rsidR="4A19BC8D" w:rsidRPr="00E9543F">
        <w:rPr>
          <w:rFonts w:ascii="Cambria" w:hAnsi="Cambria"/>
          <w:sz w:val="20"/>
          <w:szCs w:val="20"/>
          <w:lang w:val="es-ES"/>
        </w:rPr>
        <w:t xml:space="preserve"> la </w:t>
      </w:r>
      <w:r w:rsidR="24C4FE43" w:rsidRPr="00E9543F">
        <w:rPr>
          <w:rFonts w:ascii="Cambria" w:hAnsi="Cambria"/>
          <w:sz w:val="20"/>
          <w:szCs w:val="20"/>
          <w:lang w:val="es-ES"/>
        </w:rPr>
        <w:t xml:space="preserve">abogada contratada no </w:t>
      </w:r>
      <w:r w:rsidR="76FAF696" w:rsidRPr="00E9543F">
        <w:rPr>
          <w:rFonts w:ascii="Cambria" w:hAnsi="Cambria"/>
          <w:sz w:val="20"/>
          <w:szCs w:val="20"/>
          <w:lang w:val="es-ES"/>
        </w:rPr>
        <w:t>actuó</w:t>
      </w:r>
      <w:r w:rsidR="24C4FE43" w:rsidRPr="00E9543F">
        <w:rPr>
          <w:rFonts w:ascii="Cambria" w:hAnsi="Cambria"/>
          <w:sz w:val="20"/>
          <w:szCs w:val="20"/>
          <w:lang w:val="es-ES"/>
        </w:rPr>
        <w:t xml:space="preserve"> de forma diligente</w:t>
      </w:r>
      <w:r w:rsidRPr="00E9543F">
        <w:rPr>
          <w:rFonts w:ascii="Cambria" w:hAnsi="Cambria"/>
          <w:sz w:val="20"/>
          <w:szCs w:val="20"/>
          <w:lang w:val="es-ES"/>
        </w:rPr>
        <w:t xml:space="preserve">, </w:t>
      </w:r>
      <w:r w:rsidR="24C4FE43" w:rsidRPr="00E9543F">
        <w:rPr>
          <w:rFonts w:ascii="Cambria" w:hAnsi="Cambria"/>
          <w:sz w:val="20"/>
          <w:szCs w:val="20"/>
          <w:lang w:val="es-ES"/>
        </w:rPr>
        <w:t>ya que no s</w:t>
      </w:r>
      <w:r w:rsidR="76FAF696" w:rsidRPr="00E9543F">
        <w:rPr>
          <w:rFonts w:ascii="Cambria" w:hAnsi="Cambria"/>
          <w:sz w:val="20"/>
          <w:szCs w:val="20"/>
          <w:lang w:val="es-ES"/>
        </w:rPr>
        <w:t>e pud</w:t>
      </w:r>
      <w:r w:rsidR="2D5B1211" w:rsidRPr="00E9543F">
        <w:rPr>
          <w:rFonts w:ascii="Cambria" w:hAnsi="Cambria"/>
          <w:sz w:val="20"/>
          <w:szCs w:val="20"/>
          <w:lang w:val="es-ES"/>
        </w:rPr>
        <w:t xml:space="preserve">ieron </w:t>
      </w:r>
      <w:r w:rsidR="76FAF696" w:rsidRPr="00E9543F">
        <w:rPr>
          <w:rFonts w:ascii="Cambria" w:hAnsi="Cambria"/>
          <w:sz w:val="20"/>
          <w:szCs w:val="20"/>
          <w:lang w:val="es-ES"/>
        </w:rPr>
        <w:t xml:space="preserve">conocer </w:t>
      </w:r>
      <w:r w:rsidRPr="00E9543F">
        <w:rPr>
          <w:rFonts w:ascii="Cambria" w:hAnsi="Cambria"/>
          <w:sz w:val="20"/>
          <w:szCs w:val="20"/>
          <w:lang w:val="es-ES"/>
        </w:rPr>
        <w:t xml:space="preserve">las gestiones realizadas por </w:t>
      </w:r>
      <w:r w:rsidR="24C4FE43" w:rsidRPr="00E9543F">
        <w:rPr>
          <w:rFonts w:ascii="Cambria" w:hAnsi="Cambria"/>
          <w:sz w:val="20"/>
          <w:szCs w:val="20"/>
          <w:lang w:val="es-ES"/>
        </w:rPr>
        <w:t xml:space="preserve">ella </w:t>
      </w:r>
      <w:r w:rsidRPr="00E9543F">
        <w:rPr>
          <w:rFonts w:ascii="Cambria" w:hAnsi="Cambria"/>
          <w:sz w:val="20"/>
          <w:szCs w:val="20"/>
          <w:lang w:val="es-ES"/>
        </w:rPr>
        <w:t xml:space="preserve">ni la respuesta del Tribunal ante el recurso. </w:t>
      </w:r>
      <w:r w:rsidR="41EF9BE2" w:rsidRPr="00E9543F">
        <w:rPr>
          <w:rFonts w:ascii="Cambria" w:hAnsi="Cambria"/>
          <w:sz w:val="20"/>
          <w:szCs w:val="20"/>
          <w:lang w:val="es-ES"/>
        </w:rPr>
        <w:t>S</w:t>
      </w:r>
      <w:r w:rsidR="24C4FE43" w:rsidRPr="00E9543F">
        <w:rPr>
          <w:rFonts w:ascii="Cambria" w:hAnsi="Cambria"/>
          <w:sz w:val="20"/>
          <w:szCs w:val="20"/>
          <w:lang w:val="es-ES"/>
        </w:rPr>
        <w:t>eñal</w:t>
      </w:r>
      <w:r w:rsidR="361DB1FE" w:rsidRPr="00E9543F">
        <w:rPr>
          <w:rFonts w:ascii="Cambria" w:hAnsi="Cambria"/>
          <w:sz w:val="20"/>
          <w:szCs w:val="20"/>
          <w:lang w:val="es-ES"/>
        </w:rPr>
        <w:t>ó</w:t>
      </w:r>
      <w:r w:rsidR="24C4FE43" w:rsidRPr="00E9543F">
        <w:rPr>
          <w:rFonts w:ascii="Cambria" w:hAnsi="Cambria"/>
          <w:sz w:val="20"/>
          <w:szCs w:val="20"/>
          <w:lang w:val="es-ES"/>
        </w:rPr>
        <w:t xml:space="preserve"> que las conclusiones del </w:t>
      </w:r>
      <w:r w:rsidR="41408214" w:rsidRPr="00E9543F">
        <w:rPr>
          <w:rFonts w:ascii="Cambria" w:hAnsi="Cambria"/>
          <w:sz w:val="20"/>
          <w:szCs w:val="20"/>
          <w:lang w:val="es-ES"/>
        </w:rPr>
        <w:t>j</w:t>
      </w:r>
      <w:r w:rsidR="24C4FE43" w:rsidRPr="00E9543F">
        <w:rPr>
          <w:rFonts w:ascii="Cambria" w:hAnsi="Cambria"/>
          <w:sz w:val="20"/>
          <w:szCs w:val="20"/>
          <w:lang w:val="es-ES"/>
        </w:rPr>
        <w:t xml:space="preserve">uicio </w:t>
      </w:r>
      <w:r w:rsidR="21797C24" w:rsidRPr="00E9543F">
        <w:rPr>
          <w:rFonts w:ascii="Cambria" w:hAnsi="Cambria"/>
          <w:sz w:val="20"/>
          <w:szCs w:val="20"/>
          <w:lang w:val="es-ES"/>
        </w:rPr>
        <w:t>o</w:t>
      </w:r>
      <w:r w:rsidR="24C4FE43" w:rsidRPr="00E9543F">
        <w:rPr>
          <w:rFonts w:ascii="Cambria" w:hAnsi="Cambria"/>
          <w:sz w:val="20"/>
          <w:szCs w:val="20"/>
          <w:lang w:val="es-ES"/>
        </w:rPr>
        <w:t>ral se presentaron direct</w:t>
      </w:r>
      <w:r w:rsidR="41EF9BE2" w:rsidRPr="00E9543F">
        <w:rPr>
          <w:rFonts w:ascii="Cambria" w:hAnsi="Cambria"/>
          <w:sz w:val="20"/>
          <w:szCs w:val="20"/>
          <w:lang w:val="es-ES"/>
        </w:rPr>
        <w:t>amente</w:t>
      </w:r>
      <w:r w:rsidR="24C4FE43" w:rsidRPr="00E9543F">
        <w:rPr>
          <w:rFonts w:ascii="Cambria" w:hAnsi="Cambria"/>
          <w:sz w:val="20"/>
          <w:szCs w:val="20"/>
          <w:lang w:val="es-ES"/>
        </w:rPr>
        <w:t xml:space="preserve"> al señor Castillo Pérez ya</w:t>
      </w:r>
      <w:r w:rsidR="00B82A24">
        <w:rPr>
          <w:rFonts w:ascii="Cambria" w:hAnsi="Cambria"/>
          <w:sz w:val="20"/>
          <w:szCs w:val="20"/>
          <w:lang w:val="es-ES"/>
        </w:rPr>
        <w:t xml:space="preserve"> </w:t>
      </w:r>
      <w:r w:rsidR="24C4FE43" w:rsidRPr="00E9543F">
        <w:rPr>
          <w:rFonts w:ascii="Cambria" w:hAnsi="Cambria"/>
          <w:sz w:val="20"/>
          <w:szCs w:val="20"/>
          <w:lang w:val="es-ES"/>
        </w:rPr>
        <w:t>que se desconocía quién era su representante legal durante el juicio</w:t>
      </w:r>
      <w:r w:rsidR="009B54B5" w:rsidRPr="00E9543F">
        <w:rPr>
          <w:rStyle w:val="FootnoteReference"/>
          <w:rFonts w:ascii="Cambria" w:hAnsi="Cambria"/>
          <w:sz w:val="20"/>
          <w:szCs w:val="20"/>
          <w:lang w:val="es-ES"/>
        </w:rPr>
        <w:footnoteReference w:id="32"/>
      </w:r>
      <w:r w:rsidR="24C4FE43" w:rsidRPr="00E9543F">
        <w:rPr>
          <w:rFonts w:ascii="Cambria" w:hAnsi="Cambria"/>
          <w:sz w:val="20"/>
          <w:szCs w:val="20"/>
          <w:lang w:val="es-ES"/>
        </w:rPr>
        <w:t xml:space="preserve">. </w:t>
      </w:r>
    </w:p>
    <w:p w14:paraId="7C185628" w14:textId="0E7DE3F5" w:rsidR="4AEC06F1" w:rsidRPr="00E9543F" w:rsidRDefault="4AEC06F1" w:rsidP="749ACC70">
      <w:p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jc w:val="both"/>
        <w:rPr>
          <w:rFonts w:ascii="Cambria" w:hAnsi="Cambria"/>
          <w:sz w:val="20"/>
          <w:szCs w:val="20"/>
          <w:lang w:val="es-ES"/>
        </w:rPr>
      </w:pPr>
    </w:p>
    <w:p w14:paraId="53ADC92A" w14:textId="599AEDE2" w:rsidR="00F65B15" w:rsidRPr="00E9543F" w:rsidRDefault="00C00755" w:rsidP="001A4728">
      <w:pPr>
        <w:numPr>
          <w:ilvl w:val="0"/>
          <w:numId w:val="60"/>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hAnsi="Cambria"/>
          <w:sz w:val="20"/>
          <w:szCs w:val="20"/>
          <w:lang w:val="es-ES"/>
        </w:rPr>
      </w:pPr>
      <w:r w:rsidRPr="00E9543F">
        <w:rPr>
          <w:rFonts w:ascii="Cambria" w:hAnsi="Cambria"/>
          <w:sz w:val="20"/>
          <w:szCs w:val="20"/>
          <w:lang w:val="es-ES"/>
        </w:rPr>
        <w:t>El 14 de diciembre de 2018 la Fiscalía presentó sus Conclusiones Preliminares</w:t>
      </w:r>
      <w:r w:rsidR="007827C1" w:rsidRPr="00E9543F">
        <w:rPr>
          <w:rFonts w:ascii="Cambria" w:hAnsi="Cambria"/>
          <w:sz w:val="20"/>
          <w:szCs w:val="20"/>
          <w:lang w:val="es-ES"/>
        </w:rPr>
        <w:t xml:space="preserve"> y determinó que el señor Castillo Pérez cometió </w:t>
      </w:r>
      <w:r w:rsidR="00B44329" w:rsidRPr="00E9543F">
        <w:rPr>
          <w:rFonts w:ascii="Cambria" w:hAnsi="Cambria"/>
          <w:sz w:val="20"/>
          <w:szCs w:val="20"/>
          <w:lang w:val="es-ES"/>
        </w:rPr>
        <w:t xml:space="preserve">el </w:t>
      </w:r>
      <w:r w:rsidR="007827C1" w:rsidRPr="00E9543F">
        <w:rPr>
          <w:rFonts w:ascii="Cambria" w:hAnsi="Cambria"/>
          <w:sz w:val="20"/>
          <w:szCs w:val="20"/>
          <w:lang w:val="es-ES"/>
        </w:rPr>
        <w:t xml:space="preserve">delito de </w:t>
      </w:r>
      <w:r w:rsidR="7D9A14B8" w:rsidRPr="00E9543F">
        <w:rPr>
          <w:rFonts w:ascii="Cambria" w:hAnsi="Cambria"/>
          <w:sz w:val="20"/>
          <w:szCs w:val="20"/>
          <w:lang w:val="es-ES"/>
        </w:rPr>
        <w:t>a</w:t>
      </w:r>
      <w:r w:rsidR="007827C1" w:rsidRPr="00E9543F">
        <w:rPr>
          <w:rFonts w:ascii="Cambria" w:hAnsi="Cambria"/>
          <w:sz w:val="20"/>
          <w:szCs w:val="20"/>
          <w:lang w:val="es-ES"/>
        </w:rPr>
        <w:t>tentado, debiendo corresponderle tres años de privación de libertad.</w:t>
      </w:r>
      <w:r w:rsidR="00540B3F" w:rsidRPr="00E9543F">
        <w:rPr>
          <w:rFonts w:ascii="Cambria" w:hAnsi="Cambria"/>
          <w:sz w:val="20"/>
          <w:szCs w:val="20"/>
          <w:lang w:val="es-ES"/>
        </w:rPr>
        <w:t xml:space="preserve"> Asimismo, indicó una lista de testigos y ofreció prueba documental</w:t>
      </w:r>
      <w:r w:rsidR="00540B3F" w:rsidRPr="00E9543F">
        <w:rPr>
          <w:rFonts w:ascii="Cambria" w:hAnsi="Cambria"/>
          <w:sz w:val="20"/>
          <w:szCs w:val="20"/>
          <w:vertAlign w:val="superscript"/>
          <w:lang w:val="es-ES"/>
        </w:rPr>
        <w:footnoteReference w:id="33"/>
      </w:r>
      <w:r w:rsidR="00540B3F" w:rsidRPr="00E9543F">
        <w:rPr>
          <w:rFonts w:ascii="Cambria" w:hAnsi="Cambria"/>
          <w:sz w:val="20"/>
          <w:szCs w:val="20"/>
          <w:lang w:val="es-ES"/>
        </w:rPr>
        <w:t xml:space="preserve">. La CIDH toma nota que no cuenta con registro </w:t>
      </w:r>
      <w:r w:rsidR="00C50243" w:rsidRPr="00E9543F">
        <w:rPr>
          <w:rFonts w:ascii="Cambria" w:hAnsi="Cambria"/>
          <w:sz w:val="20"/>
          <w:szCs w:val="20"/>
          <w:lang w:val="es-ES"/>
        </w:rPr>
        <w:t>de la prueba documental mencionada</w:t>
      </w:r>
      <w:r w:rsidR="00C1693A" w:rsidRPr="00E9543F">
        <w:rPr>
          <w:rFonts w:ascii="Cambria" w:hAnsi="Cambria"/>
          <w:sz w:val="20"/>
          <w:szCs w:val="20"/>
          <w:lang w:val="es-ES"/>
        </w:rPr>
        <w:t xml:space="preserve"> ni con las declaraciones de los testigos</w:t>
      </w:r>
      <w:r w:rsidR="00540B3F" w:rsidRPr="00E9543F">
        <w:rPr>
          <w:rFonts w:ascii="Cambria" w:hAnsi="Cambria"/>
          <w:sz w:val="20"/>
          <w:szCs w:val="20"/>
          <w:lang w:val="es-ES"/>
        </w:rPr>
        <w:t>.</w:t>
      </w:r>
    </w:p>
    <w:p w14:paraId="66C5E1E1" w14:textId="31D5AE4E" w:rsidR="00771AB8" w:rsidRPr="00E9543F" w:rsidRDefault="00771AB8"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lang w:val="es-ES"/>
        </w:rPr>
      </w:pPr>
    </w:p>
    <w:p w14:paraId="2B5EA154" w14:textId="4949763A" w:rsidR="00E14A08" w:rsidRPr="00E9543F" w:rsidRDefault="00771AB8" w:rsidP="001A4728">
      <w:pPr>
        <w:numPr>
          <w:ilvl w:val="0"/>
          <w:numId w:val="60"/>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hAnsi="Cambria"/>
          <w:sz w:val="20"/>
          <w:szCs w:val="20"/>
          <w:lang w:val="es-ES"/>
        </w:rPr>
      </w:pPr>
      <w:r w:rsidRPr="00E9543F">
        <w:rPr>
          <w:rFonts w:ascii="Cambria" w:hAnsi="Cambria"/>
          <w:sz w:val="20"/>
          <w:szCs w:val="20"/>
          <w:lang w:val="es-ES"/>
        </w:rPr>
        <w:lastRenderedPageBreak/>
        <w:t>El 1</w:t>
      </w:r>
      <w:r w:rsidR="007827C1" w:rsidRPr="00E9543F">
        <w:rPr>
          <w:rFonts w:ascii="Cambria" w:hAnsi="Cambria"/>
          <w:sz w:val="20"/>
          <w:szCs w:val="20"/>
          <w:lang w:val="es-ES"/>
        </w:rPr>
        <w:t>8</w:t>
      </w:r>
      <w:r w:rsidRPr="00E9543F">
        <w:rPr>
          <w:rFonts w:ascii="Cambria" w:hAnsi="Cambria"/>
          <w:sz w:val="20"/>
          <w:szCs w:val="20"/>
          <w:lang w:val="es-ES"/>
        </w:rPr>
        <w:t xml:space="preserve"> de </w:t>
      </w:r>
      <w:r w:rsidR="007827C1" w:rsidRPr="00E9543F">
        <w:rPr>
          <w:rFonts w:ascii="Cambria" w:hAnsi="Cambria"/>
          <w:sz w:val="20"/>
          <w:szCs w:val="20"/>
          <w:lang w:val="es-ES"/>
        </w:rPr>
        <w:t xml:space="preserve">enero </w:t>
      </w:r>
      <w:r w:rsidRPr="00E9543F">
        <w:rPr>
          <w:rFonts w:ascii="Cambria" w:hAnsi="Cambria"/>
          <w:sz w:val="20"/>
          <w:szCs w:val="20"/>
          <w:lang w:val="es-ES"/>
        </w:rPr>
        <w:t>de 201</w:t>
      </w:r>
      <w:r w:rsidR="007827C1" w:rsidRPr="00E9543F">
        <w:rPr>
          <w:rFonts w:ascii="Cambria" w:hAnsi="Cambria"/>
          <w:sz w:val="20"/>
          <w:szCs w:val="20"/>
          <w:lang w:val="es-ES"/>
        </w:rPr>
        <w:t>9</w:t>
      </w:r>
      <w:r w:rsidRPr="00E9543F">
        <w:rPr>
          <w:rFonts w:ascii="Cambria" w:hAnsi="Cambria"/>
          <w:sz w:val="20"/>
          <w:szCs w:val="20"/>
          <w:lang w:val="es-ES"/>
        </w:rPr>
        <w:t xml:space="preserve"> el Tribunal </w:t>
      </w:r>
      <w:r w:rsidR="007827C1" w:rsidRPr="00E9543F">
        <w:rPr>
          <w:rFonts w:ascii="Cambria" w:hAnsi="Cambria"/>
          <w:sz w:val="20"/>
          <w:szCs w:val="20"/>
          <w:lang w:val="es-ES"/>
        </w:rPr>
        <w:t xml:space="preserve">Supremo Popular </w:t>
      </w:r>
      <w:r w:rsidRPr="00E9543F">
        <w:rPr>
          <w:rFonts w:ascii="Cambria" w:hAnsi="Cambria"/>
          <w:sz w:val="20"/>
          <w:szCs w:val="20"/>
          <w:lang w:val="es-ES"/>
        </w:rPr>
        <w:t xml:space="preserve">emitió una </w:t>
      </w:r>
      <w:r w:rsidR="007827C1" w:rsidRPr="00E9543F">
        <w:rPr>
          <w:rFonts w:ascii="Cambria" w:hAnsi="Cambria"/>
          <w:sz w:val="20"/>
          <w:szCs w:val="20"/>
          <w:lang w:val="es-ES"/>
        </w:rPr>
        <w:t xml:space="preserve">resolución donde determinó la apertura de juicio oral por el delito de </w:t>
      </w:r>
      <w:r w:rsidR="230D29FD" w:rsidRPr="00E9543F">
        <w:rPr>
          <w:rFonts w:ascii="Cambria" w:hAnsi="Cambria"/>
          <w:sz w:val="20"/>
          <w:szCs w:val="20"/>
          <w:lang w:val="es-ES"/>
        </w:rPr>
        <w:t>a</w:t>
      </w:r>
      <w:r w:rsidR="007827C1" w:rsidRPr="00E9543F">
        <w:rPr>
          <w:rFonts w:ascii="Cambria" w:hAnsi="Cambria"/>
          <w:sz w:val="20"/>
          <w:szCs w:val="20"/>
          <w:lang w:val="es-ES"/>
        </w:rPr>
        <w:t>tentado</w:t>
      </w:r>
      <w:r w:rsidRPr="00E9543F">
        <w:rPr>
          <w:rFonts w:ascii="Cambria" w:hAnsi="Cambria"/>
          <w:sz w:val="20"/>
          <w:szCs w:val="20"/>
          <w:lang w:val="es-ES"/>
        </w:rPr>
        <w:t xml:space="preserve"> </w:t>
      </w:r>
      <w:r w:rsidR="007827C1" w:rsidRPr="00E9543F">
        <w:rPr>
          <w:rFonts w:ascii="Cambria" w:hAnsi="Cambria"/>
          <w:sz w:val="20"/>
          <w:szCs w:val="20"/>
          <w:lang w:val="es-ES"/>
        </w:rPr>
        <w:t xml:space="preserve">y </w:t>
      </w:r>
      <w:r w:rsidR="00540B3F" w:rsidRPr="00E9543F">
        <w:rPr>
          <w:rFonts w:ascii="Cambria" w:hAnsi="Cambria"/>
          <w:sz w:val="20"/>
          <w:szCs w:val="20"/>
          <w:lang w:val="es-ES"/>
        </w:rPr>
        <w:t xml:space="preserve">mantuvo </w:t>
      </w:r>
      <w:r w:rsidR="007827C1" w:rsidRPr="00E9543F">
        <w:rPr>
          <w:rFonts w:ascii="Cambria" w:hAnsi="Cambria"/>
          <w:sz w:val="20"/>
          <w:szCs w:val="20"/>
          <w:lang w:val="es-ES"/>
        </w:rPr>
        <w:t xml:space="preserve">la prisión provisional </w:t>
      </w:r>
      <w:r w:rsidR="00540B3F" w:rsidRPr="00E9543F">
        <w:rPr>
          <w:rFonts w:ascii="Cambria" w:hAnsi="Cambria"/>
          <w:sz w:val="20"/>
          <w:szCs w:val="20"/>
          <w:lang w:val="es-ES"/>
        </w:rPr>
        <w:t>de</w:t>
      </w:r>
      <w:r w:rsidR="007827C1" w:rsidRPr="00E9543F">
        <w:rPr>
          <w:rFonts w:ascii="Cambria" w:hAnsi="Cambria"/>
          <w:sz w:val="20"/>
          <w:szCs w:val="20"/>
          <w:lang w:val="es-ES"/>
        </w:rPr>
        <w:t>l señor Castillo Pérez. Asimismo, el Tribunal solicitó al señor Castillo Pérez que designe un abogado para que lo defienda o se le asignaría uno de oficio</w:t>
      </w:r>
      <w:r w:rsidR="00540B3F" w:rsidRPr="00E9543F">
        <w:rPr>
          <w:rStyle w:val="FootnoteReference"/>
          <w:rFonts w:ascii="Cambria" w:hAnsi="Cambria"/>
          <w:sz w:val="20"/>
          <w:szCs w:val="20"/>
          <w:lang w:val="es-ES"/>
        </w:rPr>
        <w:footnoteReference w:id="34"/>
      </w:r>
      <w:r w:rsidR="007827C1" w:rsidRPr="00E9543F">
        <w:rPr>
          <w:rFonts w:ascii="Cambria" w:hAnsi="Cambria"/>
          <w:sz w:val="20"/>
          <w:szCs w:val="20"/>
          <w:lang w:val="es-ES"/>
        </w:rPr>
        <w:t xml:space="preserve">. </w:t>
      </w:r>
    </w:p>
    <w:p w14:paraId="4C79F7FE" w14:textId="77777777" w:rsidR="00CC3DB0" w:rsidRPr="00E9543F" w:rsidRDefault="00CC3DB0"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lang w:val="es-ES"/>
        </w:rPr>
      </w:pPr>
    </w:p>
    <w:p w14:paraId="204EA241" w14:textId="7630A8EF" w:rsidR="00E14A08" w:rsidRPr="00E9543F" w:rsidRDefault="00E14A08" w:rsidP="001A4728">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lang w:val="es-ES"/>
        </w:rPr>
      </w:pPr>
      <w:r w:rsidRPr="749ACC70">
        <w:rPr>
          <w:rFonts w:ascii="Cambria" w:hAnsi="Cambria"/>
          <w:sz w:val="20"/>
          <w:szCs w:val="20"/>
          <w:lang w:val="es-ES"/>
        </w:rPr>
        <w:t xml:space="preserve">La </w:t>
      </w:r>
      <w:r w:rsidR="00CC3DB0" w:rsidRPr="749ACC70">
        <w:rPr>
          <w:rFonts w:ascii="Cambria" w:hAnsi="Cambria"/>
          <w:sz w:val="20"/>
          <w:szCs w:val="20"/>
          <w:lang w:val="es-ES"/>
        </w:rPr>
        <w:t xml:space="preserve">Comisión toma nota que la </w:t>
      </w:r>
      <w:r w:rsidRPr="749ACC70">
        <w:rPr>
          <w:rFonts w:ascii="Cambria" w:hAnsi="Cambria"/>
          <w:sz w:val="20"/>
          <w:szCs w:val="20"/>
          <w:lang w:val="es-ES"/>
        </w:rPr>
        <w:t xml:space="preserve">parte peticionaria </w:t>
      </w:r>
      <w:r w:rsidR="00B44329" w:rsidRPr="749ACC70">
        <w:rPr>
          <w:rFonts w:ascii="Cambria" w:hAnsi="Cambria"/>
          <w:sz w:val="20"/>
          <w:szCs w:val="20"/>
          <w:lang w:val="es-ES"/>
        </w:rPr>
        <w:t>hizo referencia a los siguientes hechos que ocurrieron</w:t>
      </w:r>
      <w:r w:rsidR="00CC3DB0" w:rsidRPr="749ACC70">
        <w:rPr>
          <w:rFonts w:ascii="Cambria" w:hAnsi="Cambria"/>
          <w:sz w:val="20"/>
          <w:szCs w:val="20"/>
          <w:lang w:val="es-ES"/>
        </w:rPr>
        <w:t xml:space="preserve"> mientras el señor Castillo Pérez se encontraba detenido</w:t>
      </w:r>
      <w:r w:rsidR="00B44329" w:rsidRPr="749ACC70">
        <w:rPr>
          <w:rFonts w:ascii="Cambria" w:hAnsi="Cambria"/>
          <w:sz w:val="20"/>
          <w:szCs w:val="20"/>
          <w:lang w:val="es-ES"/>
        </w:rPr>
        <w:t>:</w:t>
      </w:r>
    </w:p>
    <w:p w14:paraId="4D5E041A" w14:textId="77777777" w:rsidR="005C0494" w:rsidRPr="00E9543F" w:rsidRDefault="005C0494"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lang w:val="es-ES"/>
        </w:rPr>
      </w:pPr>
    </w:p>
    <w:p w14:paraId="2E625D2B" w14:textId="36BADB9B" w:rsidR="00CC3DB0" w:rsidRPr="00BD6C53" w:rsidRDefault="00807CAC" w:rsidP="008D2EB9">
      <w:pPr>
        <w:pStyle w:val="ListParagraph"/>
        <w:numPr>
          <w:ilvl w:val="0"/>
          <w:numId w:val="1"/>
        </w:numPr>
      </w:pPr>
      <w:r w:rsidRPr="749ACC70">
        <w:t>El 15</w:t>
      </w:r>
      <w:r w:rsidR="00CC3DB0" w:rsidRPr="749ACC70">
        <w:t xml:space="preserve"> de marzo de 2</w:t>
      </w:r>
      <w:r w:rsidRPr="749ACC70">
        <w:t xml:space="preserve">019 </w:t>
      </w:r>
      <w:r w:rsidR="00E30B3F" w:rsidRPr="749ACC70">
        <w:t>el señor Castillo Pérez fue g</w:t>
      </w:r>
      <w:r w:rsidRPr="749ACC70">
        <w:t xml:space="preserve">olpeado por </w:t>
      </w:r>
      <w:r w:rsidR="00B44329" w:rsidRPr="749ACC70">
        <w:t>e</w:t>
      </w:r>
      <w:r w:rsidRPr="749ACC70">
        <w:t>l Jefe de Orden Interior, Yordani Cabrera Gómez</w:t>
      </w:r>
      <w:r w:rsidR="00B44329" w:rsidRPr="749ACC70">
        <w:t>,</w:t>
      </w:r>
      <w:r w:rsidRPr="749ACC70">
        <w:t xml:space="preserve"> con unos grilletes en el rostro causándole una herida en el pómulo al protestar por haberle negado atención médica y no llevarlo a la enfermería de la prisión de Valle Grande.</w:t>
      </w:r>
    </w:p>
    <w:p w14:paraId="190622F3" w14:textId="162E3FA4" w:rsidR="00410BAB" w:rsidRPr="00BD6C53" w:rsidRDefault="00807CAC" w:rsidP="008D2EB9">
      <w:pPr>
        <w:pStyle w:val="ListParagraph"/>
        <w:numPr>
          <w:ilvl w:val="0"/>
          <w:numId w:val="1"/>
        </w:numPr>
      </w:pPr>
      <w:r w:rsidRPr="00BD6C53">
        <w:t>El 18</w:t>
      </w:r>
      <w:r w:rsidR="00CC3DB0" w:rsidRPr="00BD6C53">
        <w:t xml:space="preserve"> de marzo de </w:t>
      </w:r>
      <w:r w:rsidRPr="00BD6C53">
        <w:t xml:space="preserve">2019 las autoridades carcelarias lo </w:t>
      </w:r>
      <w:r w:rsidR="00200A8F" w:rsidRPr="00BD6C53">
        <w:t>tuvieron que llevar</w:t>
      </w:r>
      <w:r w:rsidRPr="00BD6C53">
        <w:t xml:space="preserve"> al hospital Calixto García para que un neurólogo lo examinara debido a los intensos dolores de cabeza</w:t>
      </w:r>
      <w:r w:rsidR="00C50243" w:rsidRPr="00BD6C53">
        <w:t>. Allí no recibió a</w:t>
      </w:r>
      <w:r w:rsidRPr="00BD6C53">
        <w:t>tención</w:t>
      </w:r>
      <w:r w:rsidR="00C1693A" w:rsidRPr="00BD6C53">
        <w:t xml:space="preserve"> médica</w:t>
      </w:r>
      <w:r w:rsidRPr="00BD6C53">
        <w:t xml:space="preserve"> ante la ausencia de </w:t>
      </w:r>
      <w:r w:rsidR="00C1693A" w:rsidRPr="00BD6C53">
        <w:t>personal</w:t>
      </w:r>
      <w:r w:rsidR="004C6867" w:rsidRPr="00BD6C53">
        <w:rPr>
          <w:rStyle w:val="FootnoteReference"/>
          <w:lang w:val="es-ES"/>
        </w:rPr>
        <w:footnoteReference w:id="35"/>
      </w:r>
      <w:r w:rsidRPr="00BD6C53">
        <w:t>.</w:t>
      </w:r>
      <w:r w:rsidR="004C6867" w:rsidRPr="00BD6C53">
        <w:t xml:space="preserve"> </w:t>
      </w:r>
    </w:p>
    <w:p w14:paraId="2796638F" w14:textId="77777777" w:rsidR="004C6867" w:rsidRPr="00E9543F" w:rsidRDefault="004C6867" w:rsidP="005827A7">
      <w:pPr>
        <w:pStyle w:val="ListParagraph"/>
        <w:numPr>
          <w:ilvl w:val="0"/>
          <w:numId w:val="0"/>
        </w:numPr>
        <w:ind w:left="720"/>
      </w:pPr>
    </w:p>
    <w:p w14:paraId="61A58277" w14:textId="32645530" w:rsidR="001C7DE6" w:rsidRPr="00E9543F" w:rsidRDefault="00200A8F" w:rsidP="001A4728">
      <w:pPr>
        <w:numPr>
          <w:ilvl w:val="0"/>
          <w:numId w:val="60"/>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hAnsi="Cambria"/>
          <w:sz w:val="20"/>
          <w:szCs w:val="20"/>
          <w:lang w:val="es-ES"/>
        </w:rPr>
      </w:pPr>
      <w:r w:rsidRPr="00E9543F">
        <w:rPr>
          <w:rFonts w:ascii="Cambria" w:hAnsi="Cambria"/>
          <w:sz w:val="20"/>
          <w:szCs w:val="20"/>
          <w:lang w:val="es-ES"/>
        </w:rPr>
        <w:t>Según la parte peticionaria, el 12 de abril de 2019 se realizó el juicio oral y</w:t>
      </w:r>
      <w:r w:rsidR="2EBB932B" w:rsidRPr="00E9543F">
        <w:rPr>
          <w:rFonts w:ascii="Cambria" w:hAnsi="Cambria"/>
          <w:sz w:val="20"/>
          <w:szCs w:val="20"/>
          <w:lang w:val="es-ES"/>
        </w:rPr>
        <w:t>,</w:t>
      </w:r>
      <w:r w:rsidRPr="00E9543F">
        <w:rPr>
          <w:rFonts w:ascii="Cambria" w:hAnsi="Cambria"/>
          <w:sz w:val="20"/>
          <w:szCs w:val="20"/>
          <w:lang w:val="es-ES"/>
        </w:rPr>
        <w:t xml:space="preserve"> el 22 del mismo mes</w:t>
      </w:r>
      <w:r w:rsidR="5EA7CB03" w:rsidRPr="00E9543F">
        <w:rPr>
          <w:rFonts w:ascii="Cambria" w:hAnsi="Cambria"/>
          <w:sz w:val="20"/>
          <w:szCs w:val="20"/>
          <w:lang w:val="es-ES"/>
        </w:rPr>
        <w:t xml:space="preserve">, el Tribunal </w:t>
      </w:r>
      <w:r w:rsidR="014C1723" w:rsidRPr="00E9543F">
        <w:rPr>
          <w:rFonts w:ascii="Cambria" w:hAnsi="Cambria"/>
          <w:sz w:val="20"/>
          <w:szCs w:val="20"/>
          <w:lang w:val="es-ES"/>
        </w:rPr>
        <w:t xml:space="preserve">Supremo Popular </w:t>
      </w:r>
      <w:r w:rsidRPr="00E9543F">
        <w:rPr>
          <w:rFonts w:ascii="Cambria" w:hAnsi="Cambria"/>
          <w:sz w:val="20"/>
          <w:szCs w:val="20"/>
          <w:lang w:val="es-ES"/>
        </w:rPr>
        <w:t>condenó a Maykel Castillo Pérez a 1 año y 6 meses de prisión</w:t>
      </w:r>
      <w:r w:rsidR="005B7820" w:rsidRPr="00E9543F">
        <w:rPr>
          <w:rFonts w:ascii="Cambria" w:hAnsi="Cambria"/>
          <w:sz w:val="20"/>
          <w:szCs w:val="20"/>
          <w:lang w:val="es-ES"/>
        </w:rPr>
        <w:t>, plazo que termin</w:t>
      </w:r>
      <w:r w:rsidR="00E30B3F" w:rsidRPr="00E9543F">
        <w:rPr>
          <w:rFonts w:ascii="Cambria" w:hAnsi="Cambria"/>
          <w:sz w:val="20"/>
          <w:szCs w:val="20"/>
          <w:lang w:val="es-ES"/>
        </w:rPr>
        <w:t>ó</w:t>
      </w:r>
      <w:r w:rsidR="005B7820" w:rsidRPr="00E9543F">
        <w:rPr>
          <w:rFonts w:ascii="Cambria" w:hAnsi="Cambria"/>
          <w:sz w:val="20"/>
          <w:szCs w:val="20"/>
          <w:lang w:val="es-ES"/>
        </w:rPr>
        <w:t xml:space="preserve"> reducido a seis meses</w:t>
      </w:r>
      <w:r w:rsidRPr="00E9543F">
        <w:rPr>
          <w:rFonts w:ascii="Cambria" w:hAnsi="Cambria"/>
          <w:sz w:val="20"/>
          <w:szCs w:val="20"/>
          <w:lang w:val="es-ES"/>
        </w:rPr>
        <w:t>. Asimismo, se dispuso la prohibición de expedición de pasaporte y salida del territorio nacional hasta el cumplimiento efectivo de la sanción impuesta</w:t>
      </w:r>
      <w:r w:rsidR="001C7DE6" w:rsidRPr="00E9543F">
        <w:rPr>
          <w:rStyle w:val="FootnoteReference"/>
          <w:rFonts w:ascii="Cambria" w:hAnsi="Cambria"/>
          <w:sz w:val="20"/>
          <w:szCs w:val="20"/>
          <w:lang w:val="es-ES"/>
        </w:rPr>
        <w:footnoteReference w:id="36"/>
      </w:r>
      <w:r w:rsidRPr="00E9543F">
        <w:rPr>
          <w:rFonts w:ascii="Cambria" w:hAnsi="Cambria"/>
          <w:sz w:val="20"/>
          <w:szCs w:val="20"/>
          <w:lang w:val="es-ES"/>
        </w:rPr>
        <w:t xml:space="preserve">. </w:t>
      </w:r>
      <w:r w:rsidR="61CEE2C2" w:rsidRPr="00E9543F">
        <w:rPr>
          <w:rFonts w:ascii="Cambria" w:hAnsi="Cambria"/>
          <w:sz w:val="20"/>
          <w:szCs w:val="20"/>
          <w:lang w:val="es-ES"/>
        </w:rPr>
        <w:t xml:space="preserve">La CIDH nota que no cuenta con la sentencia condenatoria del 22 de </w:t>
      </w:r>
      <w:r w:rsidR="00E9543F">
        <w:rPr>
          <w:rFonts w:ascii="Cambria" w:hAnsi="Cambria"/>
          <w:sz w:val="20"/>
          <w:szCs w:val="20"/>
          <w:lang w:val="es-ES"/>
        </w:rPr>
        <w:t>abril</w:t>
      </w:r>
      <w:r w:rsidR="61CEE2C2" w:rsidRPr="00E9543F">
        <w:rPr>
          <w:rFonts w:ascii="Cambria" w:hAnsi="Cambria"/>
          <w:sz w:val="20"/>
          <w:szCs w:val="20"/>
          <w:lang w:val="es-ES"/>
        </w:rPr>
        <w:t xml:space="preserve"> de 2019. </w:t>
      </w:r>
    </w:p>
    <w:p w14:paraId="57D526F3" w14:textId="77777777" w:rsidR="005B7820" w:rsidRPr="00E9543F" w:rsidRDefault="005B7820"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lang w:val="es-ES"/>
        </w:rPr>
      </w:pPr>
    </w:p>
    <w:p w14:paraId="4A39228F" w14:textId="009654FC" w:rsidR="001C7DE6" w:rsidRPr="00BD6C53" w:rsidRDefault="001C7DE6" w:rsidP="001A4728">
      <w:pPr>
        <w:numPr>
          <w:ilvl w:val="0"/>
          <w:numId w:val="60"/>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hAnsi="Cambria"/>
          <w:sz w:val="20"/>
          <w:szCs w:val="20"/>
          <w:lang w:val="es-ES"/>
        </w:rPr>
      </w:pPr>
      <w:r w:rsidRPr="00BD6C53">
        <w:rPr>
          <w:rFonts w:ascii="Cambria" w:hAnsi="Cambria"/>
          <w:sz w:val="20"/>
          <w:szCs w:val="20"/>
          <w:lang w:val="es-ES"/>
        </w:rPr>
        <w:t>La parte peticionaria indicó que entre el 18 de junio y el 23 de octubre de 2019 el señor Castillo Pérez fue trasladado al menos cuatro veces entre distintos centros penitenciarios.</w:t>
      </w:r>
      <w:r w:rsidR="005C0494" w:rsidRPr="00BD6C53">
        <w:rPr>
          <w:rFonts w:ascii="Cambria" w:hAnsi="Cambria"/>
          <w:sz w:val="20"/>
          <w:szCs w:val="20"/>
          <w:lang w:val="es-ES"/>
        </w:rPr>
        <w:t xml:space="preserve"> </w:t>
      </w:r>
      <w:r w:rsidR="000A34C9" w:rsidRPr="00BD6C53">
        <w:rPr>
          <w:rFonts w:ascii="Cambria" w:hAnsi="Cambria"/>
          <w:sz w:val="20"/>
          <w:szCs w:val="20"/>
          <w:lang w:val="es-ES"/>
        </w:rPr>
        <w:t>Señaló</w:t>
      </w:r>
      <w:r w:rsidR="005C0494" w:rsidRPr="00BD6C53">
        <w:rPr>
          <w:rFonts w:ascii="Cambria" w:hAnsi="Cambria"/>
          <w:sz w:val="20"/>
          <w:szCs w:val="20"/>
          <w:lang w:val="es-ES"/>
        </w:rPr>
        <w:t xml:space="preserve"> que e</w:t>
      </w:r>
      <w:r w:rsidRPr="00BD6C53">
        <w:rPr>
          <w:rFonts w:ascii="Cambria" w:hAnsi="Cambria"/>
          <w:sz w:val="20"/>
          <w:szCs w:val="20"/>
          <w:lang w:val="es-ES"/>
        </w:rPr>
        <w:t xml:space="preserve">n la prisión “Kilo 5” de la provincia de Pinar del Río </w:t>
      </w:r>
      <w:r w:rsidR="004C6867" w:rsidRPr="00BD6C53">
        <w:rPr>
          <w:rFonts w:ascii="Cambria" w:hAnsi="Cambria"/>
          <w:sz w:val="20"/>
          <w:szCs w:val="20"/>
          <w:lang w:val="es-ES"/>
        </w:rPr>
        <w:t xml:space="preserve">“fue agredido de forma verbal y física por parte del </w:t>
      </w:r>
      <w:r w:rsidR="2553B34F" w:rsidRPr="00BD6C53">
        <w:rPr>
          <w:rFonts w:ascii="Cambria" w:hAnsi="Cambria"/>
          <w:sz w:val="20"/>
          <w:szCs w:val="20"/>
          <w:lang w:val="es-ES"/>
        </w:rPr>
        <w:t>Primer T</w:t>
      </w:r>
      <w:r w:rsidR="004C6867" w:rsidRPr="00BD6C53">
        <w:rPr>
          <w:rFonts w:ascii="Cambria" w:hAnsi="Cambria"/>
          <w:sz w:val="20"/>
          <w:szCs w:val="20"/>
          <w:lang w:val="es-ES"/>
        </w:rPr>
        <w:t>eniente Lázaro en la prisión 5 y medio”.</w:t>
      </w:r>
      <w:r w:rsidRPr="00BD6C53">
        <w:rPr>
          <w:rFonts w:ascii="Cambria" w:hAnsi="Cambria"/>
          <w:sz w:val="20"/>
          <w:szCs w:val="20"/>
          <w:lang w:val="es-ES"/>
        </w:rPr>
        <w:t xml:space="preserve"> El 23 de octubre de 2019 </w:t>
      </w:r>
      <w:r w:rsidR="005C0494" w:rsidRPr="00BD6C53">
        <w:rPr>
          <w:rFonts w:ascii="Cambria" w:hAnsi="Cambria"/>
          <w:sz w:val="20"/>
          <w:szCs w:val="20"/>
          <w:lang w:val="es-ES"/>
        </w:rPr>
        <w:t xml:space="preserve">Maykel Castillo </w:t>
      </w:r>
      <w:r w:rsidRPr="00BD6C53">
        <w:rPr>
          <w:rFonts w:ascii="Cambria" w:hAnsi="Cambria"/>
          <w:sz w:val="20"/>
          <w:szCs w:val="20"/>
          <w:lang w:val="es-ES"/>
        </w:rPr>
        <w:t>quedó en libertad</w:t>
      </w:r>
      <w:r w:rsidRPr="00BD6C53">
        <w:rPr>
          <w:rStyle w:val="FootnoteReference"/>
          <w:rFonts w:ascii="Cambria" w:hAnsi="Cambria"/>
          <w:sz w:val="20"/>
          <w:szCs w:val="20"/>
          <w:lang w:val="es-ES"/>
        </w:rPr>
        <w:footnoteReference w:id="37"/>
      </w:r>
      <w:r w:rsidRPr="00BD6C53">
        <w:rPr>
          <w:rFonts w:ascii="Cambria" w:hAnsi="Cambria"/>
          <w:sz w:val="20"/>
          <w:szCs w:val="20"/>
          <w:lang w:val="es-ES"/>
        </w:rPr>
        <w:t xml:space="preserve">. </w:t>
      </w:r>
      <w:r w:rsidR="00BB68C2" w:rsidRPr="00BD6C53">
        <w:rPr>
          <w:rFonts w:ascii="Cambria" w:hAnsi="Cambria"/>
          <w:sz w:val="20"/>
          <w:szCs w:val="20"/>
          <w:lang w:val="es-ES"/>
        </w:rPr>
        <w:t xml:space="preserve">La CIDH señala que no posee mayor información </w:t>
      </w:r>
      <w:r w:rsidR="004C6867" w:rsidRPr="00BD6C53">
        <w:rPr>
          <w:rFonts w:ascii="Cambria" w:hAnsi="Cambria"/>
          <w:sz w:val="20"/>
          <w:szCs w:val="20"/>
          <w:lang w:val="es-ES"/>
        </w:rPr>
        <w:t xml:space="preserve">sobre las presuntas agresiones en la prisión “Kilo 5” y </w:t>
      </w:r>
      <w:r w:rsidR="00BB68C2" w:rsidRPr="00BD6C53">
        <w:rPr>
          <w:rFonts w:ascii="Cambria" w:hAnsi="Cambria"/>
          <w:sz w:val="20"/>
          <w:szCs w:val="20"/>
          <w:lang w:val="es-ES"/>
        </w:rPr>
        <w:t xml:space="preserve">sobre el proceso interno. </w:t>
      </w:r>
    </w:p>
    <w:p w14:paraId="58D28BDE" w14:textId="77777777" w:rsidR="00C03B38" w:rsidRPr="00E9543F" w:rsidRDefault="00C03B38"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lang w:val="es-ES"/>
        </w:rPr>
      </w:pPr>
    </w:p>
    <w:p w14:paraId="39BDADFE" w14:textId="0D5576F2" w:rsidR="00C03B38" w:rsidRPr="00E9543F" w:rsidRDefault="00C03B38" w:rsidP="00CA1314">
      <w:pPr>
        <w:pStyle w:val="Heading2"/>
      </w:pPr>
      <w:bookmarkStart w:id="24" w:name="_Toc216356084"/>
      <w:r>
        <w:t>Sobre la posterior situación de hostigamientos y detenciones del señor Castillo Pérez</w:t>
      </w:r>
      <w:bookmarkEnd w:id="24"/>
    </w:p>
    <w:p w14:paraId="2447F37B" w14:textId="77777777" w:rsidR="005C0494" w:rsidRPr="00E9543F" w:rsidRDefault="005C0494"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lang w:val="es-ES"/>
        </w:rPr>
      </w:pPr>
    </w:p>
    <w:p w14:paraId="3016707D" w14:textId="103F8889" w:rsidR="005C0494" w:rsidRPr="00E9543F" w:rsidRDefault="005C0494" w:rsidP="001A4728">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lang w:val="es-ES"/>
        </w:rPr>
      </w:pPr>
      <w:r w:rsidRPr="749ACC70">
        <w:rPr>
          <w:rFonts w:ascii="Cambria" w:hAnsi="Cambria"/>
          <w:sz w:val="20"/>
          <w:szCs w:val="20"/>
          <w:lang w:val="es-ES"/>
        </w:rPr>
        <w:t xml:space="preserve">La Comisión toma nota </w:t>
      </w:r>
      <w:r w:rsidR="000A34C9" w:rsidRPr="749ACC70">
        <w:rPr>
          <w:rFonts w:ascii="Cambria" w:hAnsi="Cambria"/>
          <w:sz w:val="20"/>
          <w:szCs w:val="20"/>
          <w:lang w:val="es-ES"/>
        </w:rPr>
        <w:t xml:space="preserve">de </w:t>
      </w:r>
      <w:r w:rsidRPr="749ACC70">
        <w:rPr>
          <w:rFonts w:ascii="Cambria" w:hAnsi="Cambria"/>
          <w:sz w:val="20"/>
          <w:szCs w:val="20"/>
          <w:lang w:val="es-ES"/>
        </w:rPr>
        <w:t>que</w:t>
      </w:r>
      <w:r w:rsidR="005D2B31" w:rsidRPr="749ACC70">
        <w:rPr>
          <w:rFonts w:ascii="Cambria" w:hAnsi="Cambria"/>
          <w:sz w:val="20"/>
          <w:szCs w:val="20"/>
          <w:lang w:val="es-ES"/>
        </w:rPr>
        <w:t xml:space="preserve"> existe información sobre diversas detenciones, amenazas, hostigamientos y actos de violencia que habrían ocurrido en contra del señor Castillo Pérez </w:t>
      </w:r>
      <w:r w:rsidR="004C6867" w:rsidRPr="749ACC70">
        <w:rPr>
          <w:rFonts w:ascii="Cambria" w:hAnsi="Cambria"/>
          <w:sz w:val="20"/>
          <w:szCs w:val="20"/>
          <w:lang w:val="es-ES"/>
        </w:rPr>
        <w:t>entre</w:t>
      </w:r>
      <w:r w:rsidRPr="749ACC70">
        <w:rPr>
          <w:rFonts w:ascii="Cambria" w:hAnsi="Cambria"/>
          <w:sz w:val="20"/>
          <w:szCs w:val="20"/>
          <w:lang w:val="es-ES"/>
        </w:rPr>
        <w:t xml:space="preserve"> el 26 de diciembre de 2019 y el 3 de agosto de 2021</w:t>
      </w:r>
      <w:r w:rsidR="00E30B3F" w:rsidRPr="749ACC70">
        <w:rPr>
          <w:rFonts w:ascii="Cambria" w:hAnsi="Cambria" w:cs="TimesNewRomanPSMT"/>
          <w:sz w:val="20"/>
          <w:szCs w:val="20"/>
          <w:lang w:val="es-ES"/>
        </w:rPr>
        <w:t>:</w:t>
      </w:r>
    </w:p>
    <w:p w14:paraId="32FC86C3" w14:textId="77777777" w:rsidR="005C0494" w:rsidRPr="00E9543F" w:rsidRDefault="005C0494"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lang w:val="es-ES"/>
        </w:rPr>
      </w:pPr>
    </w:p>
    <w:p w14:paraId="7555206F" w14:textId="5F5C33B2" w:rsidR="008E46C1" w:rsidRPr="00E9543F" w:rsidRDefault="005D2B31" w:rsidP="001A4728">
      <w:pPr>
        <w:pStyle w:val="ListParagraph"/>
        <w:numPr>
          <w:ilvl w:val="0"/>
          <w:numId w:val="61"/>
        </w:numPr>
      </w:pPr>
      <w:r w:rsidRPr="00E9543F">
        <w:t>La parte peticionaria indicó que e</w:t>
      </w:r>
      <w:r w:rsidR="00066EA8" w:rsidRPr="00E9543F">
        <w:t>l 26</w:t>
      </w:r>
      <w:r w:rsidR="00F7222B" w:rsidRPr="00E9543F">
        <w:t xml:space="preserve"> de diciembre de 2</w:t>
      </w:r>
      <w:r w:rsidR="00066EA8" w:rsidRPr="00E9543F">
        <w:t xml:space="preserve">019 </w:t>
      </w:r>
      <w:r w:rsidR="004C6867" w:rsidRPr="00E9543F">
        <w:t xml:space="preserve">Maykel </w:t>
      </w:r>
      <w:r w:rsidR="00066EA8" w:rsidRPr="00E9543F">
        <w:t>Castillo Pérez</w:t>
      </w:r>
      <w:r w:rsidR="00F7222B" w:rsidRPr="00E9543F">
        <w:t xml:space="preserve"> junto con </w:t>
      </w:r>
      <w:r w:rsidRPr="00E9543F">
        <w:t>su</w:t>
      </w:r>
      <w:r w:rsidR="004C6867" w:rsidRPr="00E9543F">
        <w:t xml:space="preserve"> </w:t>
      </w:r>
      <w:r w:rsidR="00F7222B" w:rsidRPr="00E9543F">
        <w:t>novia</w:t>
      </w:r>
      <w:r w:rsidR="004C6867" w:rsidRPr="00E9543F">
        <w:t xml:space="preserve"> f</w:t>
      </w:r>
      <w:r w:rsidR="00066EA8" w:rsidRPr="00E9543F">
        <w:t xml:space="preserve">ueron llevados a </w:t>
      </w:r>
      <w:r w:rsidR="00F7222B" w:rsidRPr="00E9543F">
        <w:t xml:space="preserve">una </w:t>
      </w:r>
      <w:r w:rsidR="00066EA8" w:rsidRPr="00E9543F">
        <w:t xml:space="preserve">estación de policía de Zanja </w:t>
      </w:r>
      <w:r w:rsidR="00F7222B" w:rsidRPr="00E9543F">
        <w:t>por manifestar en un control policial que</w:t>
      </w:r>
      <w:r w:rsidRPr="00E9543F">
        <w:t xml:space="preserve"> Miguel</w:t>
      </w:r>
      <w:r w:rsidR="00F7222B" w:rsidRPr="00E9543F">
        <w:t xml:space="preserve"> Diaz</w:t>
      </w:r>
      <w:r w:rsidR="00410BAB" w:rsidRPr="00E9543F">
        <w:t>-</w:t>
      </w:r>
      <w:r w:rsidR="00F7222B" w:rsidRPr="00E9543F">
        <w:t xml:space="preserve">Canel no era su presidente. </w:t>
      </w:r>
      <w:r w:rsidRPr="00E9543F">
        <w:t>Sostuvo que d</w:t>
      </w:r>
      <w:r w:rsidR="00066EA8" w:rsidRPr="00E9543F">
        <w:t xml:space="preserve">os oficiales uniformados </w:t>
      </w:r>
      <w:r w:rsidR="008D4B73" w:rsidRPr="00E9543F">
        <w:t>golpearon a</w:t>
      </w:r>
      <w:r w:rsidR="00066EA8" w:rsidRPr="00E9543F">
        <w:t xml:space="preserve"> </w:t>
      </w:r>
      <w:r w:rsidR="00F7222B" w:rsidRPr="00E9543F">
        <w:t xml:space="preserve">la novia del </w:t>
      </w:r>
      <w:r w:rsidR="008D4B73" w:rsidRPr="00E9543F">
        <w:t>Maykel</w:t>
      </w:r>
      <w:r w:rsidR="00F7222B" w:rsidRPr="00E9543F">
        <w:t xml:space="preserve"> Castillo Pérez, el cual se a</w:t>
      </w:r>
      <w:r w:rsidR="00066EA8" w:rsidRPr="00E9543F">
        <w:t>lter</w:t>
      </w:r>
      <w:r w:rsidR="008D4B73" w:rsidRPr="00E9543F">
        <w:t>ó</w:t>
      </w:r>
      <w:r w:rsidR="0056538A" w:rsidRPr="00E9543F">
        <w:t>, reaccionó</w:t>
      </w:r>
      <w:r w:rsidR="008D4B73" w:rsidRPr="00E9543F">
        <w:t xml:space="preserve"> y fue</w:t>
      </w:r>
      <w:r w:rsidR="0056538A" w:rsidRPr="00E9543F">
        <w:t xml:space="preserve"> a su vez</w:t>
      </w:r>
      <w:r w:rsidR="008D4B73" w:rsidRPr="00E9543F">
        <w:t xml:space="preserve"> </w:t>
      </w:r>
      <w:r w:rsidR="00066EA8" w:rsidRPr="00E9543F">
        <w:t>golpeado</w:t>
      </w:r>
      <w:r w:rsidR="003F4419" w:rsidRPr="00E9543F">
        <w:rPr>
          <w:rStyle w:val="FootnoteReference"/>
          <w:rFonts w:cs="TimesNewRomanPSMT"/>
          <w:lang w:val="es-ES"/>
        </w:rPr>
        <w:footnoteReference w:id="38"/>
      </w:r>
      <w:r w:rsidR="00066EA8" w:rsidRPr="00E9543F">
        <w:t>.</w:t>
      </w:r>
    </w:p>
    <w:p w14:paraId="61479708" w14:textId="5E0986CD" w:rsidR="00066EA8" w:rsidRPr="00E9543F" w:rsidRDefault="008E46C1" w:rsidP="001A4728">
      <w:pPr>
        <w:pStyle w:val="ListParagraph"/>
        <w:numPr>
          <w:ilvl w:val="0"/>
          <w:numId w:val="61"/>
        </w:numPr>
      </w:pPr>
      <w:r w:rsidRPr="00E9543F">
        <w:t>A partir de</w:t>
      </w:r>
      <w:r w:rsidR="00066EA8" w:rsidRPr="00E9543F">
        <w:t>l 2 de</w:t>
      </w:r>
      <w:r w:rsidR="0012213C" w:rsidRPr="00E9543F">
        <w:t xml:space="preserve"> </w:t>
      </w:r>
      <w:r w:rsidR="00066EA8" w:rsidRPr="00E9543F">
        <w:t xml:space="preserve">enero </w:t>
      </w:r>
      <w:r w:rsidRPr="00E9543F">
        <w:t xml:space="preserve">de 2020 </w:t>
      </w:r>
      <w:r w:rsidR="008D4B73" w:rsidRPr="00E9543F">
        <w:t xml:space="preserve">la parte peticionaria </w:t>
      </w:r>
      <w:r w:rsidRPr="00E9543F">
        <w:t>señal</w:t>
      </w:r>
      <w:r w:rsidR="008D4B73" w:rsidRPr="00E9543F">
        <w:t>ó</w:t>
      </w:r>
      <w:r w:rsidRPr="00E9543F">
        <w:t xml:space="preserve"> que empezaron a </w:t>
      </w:r>
      <w:r w:rsidR="0056538A" w:rsidRPr="00E9543F">
        <w:t>estacionar</w:t>
      </w:r>
      <w:r w:rsidR="00066EA8" w:rsidRPr="00E9543F">
        <w:t xml:space="preserve"> patrullas al frente de la casa </w:t>
      </w:r>
      <w:r w:rsidRPr="00E9543F">
        <w:t xml:space="preserve">por un par de horas </w:t>
      </w:r>
      <w:r w:rsidR="0056538A" w:rsidRPr="00E9543F">
        <w:t>con el objetivo de</w:t>
      </w:r>
      <w:r w:rsidR="00066EA8" w:rsidRPr="00E9543F">
        <w:t xml:space="preserve"> que no saliera de la misma. </w:t>
      </w:r>
      <w:r w:rsidR="008D4B73" w:rsidRPr="00E9543F">
        <w:t>Ante la situación, el señor Castillo Pérez d</w:t>
      </w:r>
      <w:r w:rsidR="00066EA8" w:rsidRPr="00E9543F">
        <w:t>ecid</w:t>
      </w:r>
      <w:r w:rsidR="0056538A" w:rsidRPr="00E9543F">
        <w:t>ió</w:t>
      </w:r>
      <w:r w:rsidR="00066EA8" w:rsidRPr="00E9543F">
        <w:t xml:space="preserve"> mudarse </w:t>
      </w:r>
      <w:r w:rsidR="0056538A" w:rsidRPr="00E9543F">
        <w:t>al</w:t>
      </w:r>
      <w:r w:rsidR="00066EA8" w:rsidRPr="00E9543F">
        <w:t xml:space="preserve"> barrio Colón, </w:t>
      </w:r>
      <w:r w:rsidR="008D4B73" w:rsidRPr="00E9543F">
        <w:t xml:space="preserve">lugar donde </w:t>
      </w:r>
      <w:r w:rsidR="0056538A" w:rsidRPr="00E9543F">
        <w:t>se repitió la situación</w:t>
      </w:r>
      <w:r w:rsidR="003F4419" w:rsidRPr="00E9543F">
        <w:rPr>
          <w:rStyle w:val="FootnoteReference"/>
          <w:rFonts w:cs="TimesNewRomanPSMT"/>
          <w:lang w:val="es-ES"/>
        </w:rPr>
        <w:footnoteReference w:id="39"/>
      </w:r>
      <w:r w:rsidR="0056538A" w:rsidRPr="00E9543F">
        <w:t>.</w:t>
      </w:r>
    </w:p>
    <w:p w14:paraId="22156AE4" w14:textId="489ADDB4" w:rsidR="0078070F" w:rsidRPr="00E9543F" w:rsidRDefault="00066EA8" w:rsidP="001A4728">
      <w:pPr>
        <w:pStyle w:val="ListParagraph"/>
        <w:numPr>
          <w:ilvl w:val="0"/>
          <w:numId w:val="61"/>
        </w:numPr>
      </w:pPr>
      <w:r w:rsidRPr="00E9543F">
        <w:t>El 1</w:t>
      </w:r>
      <w:r w:rsidR="008E46C1" w:rsidRPr="00E9543F">
        <w:t xml:space="preserve">8 de enero de </w:t>
      </w:r>
      <w:r w:rsidRPr="00E9543F">
        <w:t>2020 Ca</w:t>
      </w:r>
      <w:r w:rsidR="0A9F29DB" w:rsidRPr="00E9543F">
        <w:t>s</w:t>
      </w:r>
      <w:r w:rsidRPr="00E9543F">
        <w:t xml:space="preserve">tillo </w:t>
      </w:r>
      <w:r w:rsidR="0E2241CD" w:rsidRPr="00E9543F">
        <w:t xml:space="preserve">Pérez </w:t>
      </w:r>
      <w:r w:rsidRPr="00E9543F">
        <w:t>tenía un concierto de 8</w:t>
      </w:r>
      <w:r w:rsidR="00266589" w:rsidRPr="00E9543F">
        <w:t xml:space="preserve"> a 1</w:t>
      </w:r>
      <w:r w:rsidRPr="00E9543F">
        <w:t xml:space="preserve">2 pm </w:t>
      </w:r>
      <w:r w:rsidR="008E46C1" w:rsidRPr="00E9543F">
        <w:t xml:space="preserve">con varios </w:t>
      </w:r>
      <w:r w:rsidRPr="00E9543F">
        <w:t>artistas invitados</w:t>
      </w:r>
      <w:r w:rsidR="008E46C1" w:rsidRPr="00E9543F">
        <w:t xml:space="preserve">. </w:t>
      </w:r>
      <w:r w:rsidR="008D4B73" w:rsidRPr="00E9543F">
        <w:t>Al</w:t>
      </w:r>
      <w:r w:rsidR="008E46C1" w:rsidRPr="00E9543F">
        <w:t xml:space="preserve"> acercarse al lugar </w:t>
      </w:r>
      <w:r w:rsidRPr="00E9543F">
        <w:t>como parte</w:t>
      </w:r>
      <w:r w:rsidR="0012213C" w:rsidRPr="00E9543F">
        <w:t xml:space="preserve"> </w:t>
      </w:r>
      <w:r w:rsidRPr="00E9543F">
        <w:t xml:space="preserve">del </w:t>
      </w:r>
      <w:r w:rsidR="00266589" w:rsidRPr="00E9543F">
        <w:t>M</w:t>
      </w:r>
      <w:r w:rsidRPr="00E9543F">
        <w:t>ovimiento San Isidro</w:t>
      </w:r>
      <w:r w:rsidR="008E46C1" w:rsidRPr="00E9543F">
        <w:t xml:space="preserve"> </w:t>
      </w:r>
      <w:r w:rsidR="008D4B73" w:rsidRPr="00E9543F">
        <w:t>se encontraron con</w:t>
      </w:r>
      <w:r w:rsidRPr="00E9543F">
        <w:t xml:space="preserve"> la seguridad</w:t>
      </w:r>
      <w:r w:rsidR="0012213C" w:rsidRPr="00E9543F">
        <w:t xml:space="preserve"> </w:t>
      </w:r>
      <w:r w:rsidRPr="00E9543F">
        <w:t>del Estado</w:t>
      </w:r>
      <w:r w:rsidR="008D4B73" w:rsidRPr="00E9543F">
        <w:t xml:space="preserve"> quienes</w:t>
      </w:r>
      <w:r w:rsidR="008E46C1" w:rsidRPr="00E9543F">
        <w:t xml:space="preserve"> l</w:t>
      </w:r>
      <w:r w:rsidRPr="00E9543F">
        <w:t xml:space="preserve">o </w:t>
      </w:r>
      <w:r w:rsidR="008D4B73" w:rsidRPr="00E9543F">
        <w:t>condujeron</w:t>
      </w:r>
      <w:r w:rsidRPr="00E9543F">
        <w:t xml:space="preserve"> a</w:t>
      </w:r>
      <w:r w:rsidR="008E46C1" w:rsidRPr="00E9543F">
        <w:t xml:space="preserve"> un calabozo y a la </w:t>
      </w:r>
      <w:r w:rsidR="00266589" w:rsidRPr="00E9543F">
        <w:t>Policía Nacional Revolucionaria</w:t>
      </w:r>
      <w:r w:rsidRPr="00E9543F">
        <w:t xml:space="preserve"> de Zanj</w:t>
      </w:r>
      <w:r w:rsidR="008E46C1" w:rsidRPr="00E9543F">
        <w:t xml:space="preserve">a, donde </w:t>
      </w:r>
      <w:r w:rsidR="5A958154" w:rsidRPr="00E9543F">
        <w:t>fue</w:t>
      </w:r>
      <w:r w:rsidR="008E46C1" w:rsidRPr="00E9543F">
        <w:t xml:space="preserve"> liberado a las </w:t>
      </w:r>
      <w:r w:rsidRPr="00E9543F">
        <w:t>12.30</w:t>
      </w:r>
      <w:r w:rsidR="008D4B73" w:rsidRPr="00E9543F">
        <w:t xml:space="preserve"> pm</w:t>
      </w:r>
      <w:r w:rsidR="003F4419" w:rsidRPr="00E9543F">
        <w:rPr>
          <w:rStyle w:val="FootnoteReference"/>
          <w:rFonts w:cs="TimesNewRomanPSMT"/>
          <w:lang w:val="es-ES"/>
        </w:rPr>
        <w:footnoteReference w:id="40"/>
      </w:r>
      <w:r w:rsidR="008E46C1" w:rsidRPr="00E9543F">
        <w:t xml:space="preserve">. </w:t>
      </w:r>
    </w:p>
    <w:p w14:paraId="4AEFE768" w14:textId="5A4C83FA" w:rsidR="00300A44" w:rsidRPr="00E9543F" w:rsidRDefault="00066EA8" w:rsidP="001A4728">
      <w:pPr>
        <w:pStyle w:val="ListParagraph"/>
        <w:numPr>
          <w:ilvl w:val="0"/>
          <w:numId w:val="61"/>
        </w:numPr>
      </w:pPr>
      <w:r w:rsidRPr="00E9543F">
        <w:t>E</w:t>
      </w:r>
      <w:r w:rsidR="008E46C1" w:rsidRPr="00E9543F">
        <w:t xml:space="preserve">n las fechas del </w:t>
      </w:r>
      <w:r w:rsidRPr="00E9543F">
        <w:t>16</w:t>
      </w:r>
      <w:r w:rsidR="008E46C1" w:rsidRPr="00E9543F">
        <w:t xml:space="preserve"> de marzo, 17 de abril y 11 de junio de 2020</w:t>
      </w:r>
      <w:r w:rsidRPr="00E9543F">
        <w:t xml:space="preserve"> </w:t>
      </w:r>
      <w:r w:rsidR="008E46C1" w:rsidRPr="00E9543F">
        <w:t xml:space="preserve">el señor Castillo Pérez </w:t>
      </w:r>
      <w:r w:rsidR="7B99C19D" w:rsidRPr="00E9543F">
        <w:t xml:space="preserve">fue </w:t>
      </w:r>
      <w:r w:rsidR="008E46C1" w:rsidRPr="00E9543F">
        <w:t xml:space="preserve">sujeto a demoras y detenciones por parte de la fuerza policial. En la última fecha mencionada </w:t>
      </w:r>
      <w:r w:rsidR="0056538A" w:rsidRPr="00E9543F">
        <w:t>fue</w:t>
      </w:r>
      <w:r w:rsidR="008E46C1" w:rsidRPr="00E9543F">
        <w:t xml:space="preserve"> </w:t>
      </w:r>
      <w:r w:rsidR="0078070F" w:rsidRPr="00E9543F">
        <w:t xml:space="preserve">golpeado con la tonfa en el estacionamiento y </w:t>
      </w:r>
      <w:r w:rsidR="0056538A" w:rsidRPr="00E9543F">
        <w:t>llevado</w:t>
      </w:r>
      <w:r w:rsidR="0078070F" w:rsidRPr="00E9543F">
        <w:t xml:space="preserve"> a la comisaría</w:t>
      </w:r>
      <w:r w:rsidR="00300A44" w:rsidRPr="00E9543F">
        <w:rPr>
          <w:rStyle w:val="FootnoteReference"/>
          <w:rFonts w:cs="TimesNewRomanPSMT"/>
          <w:lang w:val="es-ES"/>
        </w:rPr>
        <w:footnoteReference w:id="41"/>
      </w:r>
      <w:r w:rsidR="00300A44" w:rsidRPr="00E9543F">
        <w:t>.</w:t>
      </w:r>
      <w:r w:rsidR="0078070F" w:rsidRPr="00E9543F">
        <w:t xml:space="preserve"> </w:t>
      </w:r>
      <w:r w:rsidR="008F6B18" w:rsidRPr="00E9543F">
        <w:t xml:space="preserve">Respecto de tales hechos, la Comisión </w:t>
      </w:r>
      <w:r w:rsidR="008F6B18" w:rsidRPr="00E9543F">
        <w:lastRenderedPageBreak/>
        <w:t xml:space="preserve">toma nota de </w:t>
      </w:r>
      <w:r w:rsidR="00300A44" w:rsidRPr="00E9543F">
        <w:t>un video de prensa donde el señor Castillo Pérez aparece siendo detenido en una patrulla y luego ensangrentado dentro de la comisaría</w:t>
      </w:r>
      <w:r w:rsidR="00300A44" w:rsidRPr="00E9543F">
        <w:rPr>
          <w:rStyle w:val="FootnoteReference"/>
          <w:rFonts w:cs="TimesNewRomanPSMT"/>
          <w:lang w:val="es-ES"/>
        </w:rPr>
        <w:footnoteReference w:id="42"/>
      </w:r>
      <w:r w:rsidR="00300A44" w:rsidRPr="00E9543F">
        <w:t xml:space="preserve">. </w:t>
      </w:r>
    </w:p>
    <w:p w14:paraId="3C23DE51" w14:textId="192281D0" w:rsidR="0012213C" w:rsidRPr="00E9543F" w:rsidRDefault="0012213C" w:rsidP="001A4728">
      <w:pPr>
        <w:pStyle w:val="ListParagraph"/>
        <w:numPr>
          <w:ilvl w:val="0"/>
          <w:numId w:val="61"/>
        </w:numPr>
      </w:pPr>
      <w:r w:rsidRPr="00E9543F">
        <w:t>El 30</w:t>
      </w:r>
      <w:r w:rsidR="0078070F" w:rsidRPr="00E9543F">
        <w:t xml:space="preserve"> de junio de 2</w:t>
      </w:r>
      <w:r w:rsidRPr="00E9543F">
        <w:t>020</w:t>
      </w:r>
      <w:r w:rsidR="0078070F" w:rsidRPr="00E9543F">
        <w:t xml:space="preserve"> f</w:t>
      </w:r>
      <w:r w:rsidRPr="00E9543F">
        <w:t>ue detenido para evitar que participara en la manifestación pacífica por la muerte de Hansel Hernández</w:t>
      </w:r>
      <w:r w:rsidR="007D0F0D" w:rsidRPr="00E9543F">
        <w:t>, un joven asesinado en Guanabacoa</w:t>
      </w:r>
      <w:r w:rsidR="00300A44" w:rsidRPr="00E9543F">
        <w:rPr>
          <w:rStyle w:val="FootnoteReference"/>
          <w:rFonts w:cs="TimesNewRomanPSMT"/>
          <w:lang w:val="es-ES"/>
        </w:rPr>
        <w:footnoteReference w:id="43"/>
      </w:r>
      <w:r w:rsidRPr="00E9543F">
        <w:t>.</w:t>
      </w:r>
      <w:r w:rsidR="008F6B18" w:rsidRPr="00E9543F">
        <w:t xml:space="preserve"> </w:t>
      </w:r>
      <w:r w:rsidR="004938F1" w:rsidRPr="00E9543F">
        <w:t xml:space="preserve">Esta </w:t>
      </w:r>
      <w:r w:rsidR="008F6B18" w:rsidRPr="00E9543F">
        <w:t>información</w:t>
      </w:r>
      <w:r w:rsidR="004938F1" w:rsidRPr="00E9543F">
        <w:t xml:space="preserve"> fue también recogida por una nota de </w:t>
      </w:r>
      <w:r w:rsidR="008F6B18" w:rsidRPr="00E9543F">
        <w:t xml:space="preserve">prensa donde el señor </w:t>
      </w:r>
      <w:r w:rsidR="008F6B18" w:rsidRPr="00E9543F">
        <w:rPr>
          <w:rFonts w:cs="TimesNewRomanPS-BoldMT"/>
        </w:rPr>
        <w:t>Maykel Castillo Pérez señal</w:t>
      </w:r>
      <w:r w:rsidR="0056538A" w:rsidRPr="00E9543F">
        <w:rPr>
          <w:rFonts w:cs="TimesNewRomanPS-BoldMT"/>
        </w:rPr>
        <w:t>ó</w:t>
      </w:r>
      <w:r w:rsidR="008F6B18" w:rsidRPr="00E9543F">
        <w:rPr>
          <w:rFonts w:cs="TimesNewRomanPS-BoldMT"/>
        </w:rPr>
        <w:t xml:space="preserve"> la presencia de </w:t>
      </w:r>
      <w:r w:rsidR="008F6B18" w:rsidRPr="00E9543F">
        <w:t>3 patrullas, 8 motos y un despliegue de 20 oficiales afuera de su casa</w:t>
      </w:r>
      <w:r w:rsidR="008F6B18" w:rsidRPr="00E9543F">
        <w:rPr>
          <w:rStyle w:val="FootnoteReference"/>
          <w:rFonts w:cs="TimesNewRomanPSMT"/>
          <w:lang w:val="es-ES"/>
        </w:rPr>
        <w:footnoteReference w:id="44"/>
      </w:r>
      <w:r w:rsidR="008F6B18" w:rsidRPr="00E9543F">
        <w:t>.</w:t>
      </w:r>
    </w:p>
    <w:p w14:paraId="08091BCB" w14:textId="7D48FA82" w:rsidR="00E56E67" w:rsidRPr="00E9543F" w:rsidRDefault="0012213C" w:rsidP="001A4728">
      <w:pPr>
        <w:pStyle w:val="ListParagraph"/>
        <w:numPr>
          <w:ilvl w:val="0"/>
          <w:numId w:val="61"/>
        </w:numPr>
      </w:pPr>
      <w:r w:rsidRPr="00E9543F">
        <w:t>El 2</w:t>
      </w:r>
      <w:r w:rsidR="0078070F" w:rsidRPr="00E9543F">
        <w:t xml:space="preserve">0 de julio de </w:t>
      </w:r>
      <w:r w:rsidRPr="00E9543F">
        <w:t>2020</w:t>
      </w:r>
      <w:r w:rsidR="0078070F" w:rsidRPr="00E9543F">
        <w:t xml:space="preserve"> fue</w:t>
      </w:r>
      <w:r w:rsidRPr="00E9543F">
        <w:t xml:space="preserve"> detenido </w:t>
      </w:r>
      <w:r w:rsidR="0078070F" w:rsidRPr="00E9543F">
        <w:t>y se le dijo que iba a ser procesado por el delito de difamación a las instituciones</w:t>
      </w:r>
      <w:r w:rsidR="007D0F0D" w:rsidRPr="00E9543F">
        <w:t xml:space="preserve"> </w:t>
      </w:r>
      <w:r w:rsidR="0078070F" w:rsidRPr="00E9543F">
        <w:t>tras sus críticas sobre negligencias médicas relacionadas con la muerte de</w:t>
      </w:r>
      <w:r w:rsidR="0056538A" w:rsidRPr="00E9543F">
        <w:t>l</w:t>
      </w:r>
      <w:r w:rsidR="0078070F" w:rsidRPr="00E9543F">
        <w:t xml:space="preserve"> cantante “El Dany”</w:t>
      </w:r>
      <w:r w:rsidR="007D0F0D" w:rsidRPr="00E9543F">
        <w:t>. A</w:t>
      </w:r>
      <w:r w:rsidR="0078070F" w:rsidRPr="00E9543F">
        <w:t>demás</w:t>
      </w:r>
      <w:r w:rsidR="007D0F0D" w:rsidRPr="00E9543F">
        <w:t xml:space="preserve">, se le impuso </w:t>
      </w:r>
      <w:r w:rsidRPr="00E9543F">
        <w:t>una multa en virtud del</w:t>
      </w:r>
      <w:r w:rsidR="00247C25" w:rsidRPr="00E9543F">
        <w:t xml:space="preserve"> de</w:t>
      </w:r>
      <w:r w:rsidRPr="00E9543F">
        <w:t>creto Ley 3</w:t>
      </w:r>
      <w:r w:rsidR="00247C25" w:rsidRPr="00E9543F">
        <w:t>70</w:t>
      </w:r>
      <w:r w:rsidR="003F4419" w:rsidRPr="00E9543F">
        <w:rPr>
          <w:rStyle w:val="FootnoteReference"/>
          <w:rFonts w:cs="TimesNewRomanPSMT"/>
          <w:lang w:val="es-ES"/>
        </w:rPr>
        <w:footnoteReference w:id="45"/>
      </w:r>
      <w:r w:rsidR="0078070F" w:rsidRPr="00E9543F">
        <w:t>.</w:t>
      </w:r>
    </w:p>
    <w:p w14:paraId="7BAB7629" w14:textId="5E765A71" w:rsidR="00E56E67" w:rsidRPr="00E9543F" w:rsidRDefault="0012213C" w:rsidP="001A4728">
      <w:pPr>
        <w:pStyle w:val="ListParagraph"/>
        <w:numPr>
          <w:ilvl w:val="0"/>
          <w:numId w:val="61"/>
        </w:numPr>
      </w:pPr>
      <w:r w:rsidRPr="00E9543F">
        <w:t>El 2</w:t>
      </w:r>
      <w:r w:rsidR="0078070F" w:rsidRPr="00E9543F">
        <w:t xml:space="preserve">3 de julio </w:t>
      </w:r>
      <w:r w:rsidRPr="00E9543F">
        <w:t>2020</w:t>
      </w:r>
      <w:r w:rsidR="0078070F" w:rsidRPr="00E9543F">
        <w:t xml:space="preserve"> el señor Castillo Pérez d</w:t>
      </w:r>
      <w:r w:rsidRPr="00E9543F">
        <w:t>enunci</w:t>
      </w:r>
      <w:r w:rsidR="007D0F0D" w:rsidRPr="00E9543F">
        <w:t>ó</w:t>
      </w:r>
      <w:r w:rsidRPr="00E9543F">
        <w:t xml:space="preserve"> seguimiento y vigilancia policial</w:t>
      </w:r>
      <w:r w:rsidR="00A8681F" w:rsidRPr="00E9543F">
        <w:t xml:space="preserve"> por medio de una publicación en Facebook</w:t>
      </w:r>
      <w:r w:rsidR="00A8681F" w:rsidRPr="00E9543F">
        <w:rPr>
          <w:rStyle w:val="FootnoteReference"/>
          <w:rFonts w:cs="TimesNewRomanPSMT"/>
          <w:lang w:val="es-ES"/>
        </w:rPr>
        <w:footnoteReference w:id="46"/>
      </w:r>
      <w:r w:rsidR="00A8681F" w:rsidRPr="00E9543F">
        <w:t>.</w:t>
      </w:r>
      <w:r w:rsidRPr="00E9543F">
        <w:t xml:space="preserve"> Su esposa y su suegra </w:t>
      </w:r>
      <w:r w:rsidR="007D0F0D" w:rsidRPr="00E9543F">
        <w:t>fueron</w:t>
      </w:r>
      <w:r w:rsidRPr="00E9543F">
        <w:t xml:space="preserve"> citadas</w:t>
      </w:r>
      <w:r w:rsidR="0078070F" w:rsidRPr="00E9543F">
        <w:t xml:space="preserve"> y, dos días más tarde, se present</w:t>
      </w:r>
      <w:r w:rsidR="007D0F0D" w:rsidRPr="00E9543F">
        <w:t>aron</w:t>
      </w:r>
      <w:r w:rsidR="0078070F" w:rsidRPr="00E9543F">
        <w:t xml:space="preserve"> en la citación </w:t>
      </w:r>
      <w:r w:rsidR="0056538A" w:rsidRPr="00E9543F">
        <w:t>donde</w:t>
      </w:r>
      <w:r w:rsidR="0078070F" w:rsidRPr="00E9543F">
        <w:t xml:space="preserve"> un oficial los amenaz</w:t>
      </w:r>
      <w:r w:rsidR="00D77396" w:rsidRPr="00E9543F">
        <w:t>ó</w:t>
      </w:r>
      <w:r w:rsidR="0078070F" w:rsidRPr="00E9543F">
        <w:t xml:space="preserve"> c</w:t>
      </w:r>
      <w:r w:rsidRPr="00E9543F">
        <w:t>on despojarlos de la custodia de su hija de 4 años</w:t>
      </w:r>
      <w:r w:rsidR="006B7195" w:rsidRPr="00E9543F">
        <w:rPr>
          <w:rStyle w:val="FootnoteReference"/>
          <w:rFonts w:cs="TimesNewRomanPSMT"/>
          <w:lang w:val="es-ES"/>
        </w:rPr>
        <w:footnoteReference w:id="47"/>
      </w:r>
      <w:r w:rsidR="006B7195" w:rsidRPr="00E9543F">
        <w:t>.</w:t>
      </w:r>
      <w:r w:rsidRPr="00E9543F">
        <w:t xml:space="preserve"> </w:t>
      </w:r>
      <w:r w:rsidR="00D77396" w:rsidRPr="00E9543F">
        <w:t>La CIDH toma nota que la citación fue descripta por el señor Castillo Pérez en una transmisión en vivo por Facebook</w:t>
      </w:r>
      <w:r w:rsidR="00D77396" w:rsidRPr="00E9543F">
        <w:rPr>
          <w:rStyle w:val="FootnoteReference"/>
          <w:rFonts w:cs="TimesNewRomanPSMT"/>
          <w:lang w:val="es-ES"/>
        </w:rPr>
        <w:footnoteReference w:id="48"/>
      </w:r>
      <w:r w:rsidR="00D77396" w:rsidRPr="00E9543F">
        <w:t xml:space="preserve">. </w:t>
      </w:r>
    </w:p>
    <w:p w14:paraId="68D93016" w14:textId="7A6A07C1" w:rsidR="003F4419" w:rsidRPr="00BD6C53" w:rsidRDefault="00D94655" w:rsidP="001A4728">
      <w:pPr>
        <w:pStyle w:val="ListParagraph"/>
        <w:numPr>
          <w:ilvl w:val="0"/>
          <w:numId w:val="61"/>
        </w:numPr>
      </w:pPr>
      <w:r w:rsidRPr="00BD6C53">
        <w:t xml:space="preserve">Entre el 3 de agosto y el 14 de noviembre de 2020 </w:t>
      </w:r>
      <w:r w:rsidR="007D0F0D" w:rsidRPr="00BD6C53">
        <w:t xml:space="preserve">la parte peticionaria </w:t>
      </w:r>
      <w:r w:rsidRPr="00BD6C53">
        <w:t>report</w:t>
      </w:r>
      <w:r w:rsidR="007D0F0D" w:rsidRPr="00BD6C53">
        <w:t xml:space="preserve">ó </w:t>
      </w:r>
      <w:r w:rsidRPr="00BD6C53">
        <w:t xml:space="preserve">siete detenciones por cortos períodos de tiempo. </w:t>
      </w:r>
      <w:r w:rsidR="009B7CD6" w:rsidRPr="00BD6C53">
        <w:t>Respecto a tales hechos, la Comisión toma nota que se han publicado diversas noticias y videos en Youtube y Facebook sobre las detenciones</w:t>
      </w:r>
      <w:r w:rsidR="009B7CD6" w:rsidRPr="00BD6C53">
        <w:rPr>
          <w:rStyle w:val="FootnoteReference"/>
          <w:rFonts w:cs="TimesNewRomanPSMT"/>
          <w:lang w:val="es-ES"/>
        </w:rPr>
        <w:footnoteReference w:id="49"/>
      </w:r>
      <w:r w:rsidR="009B7CD6" w:rsidRPr="00BD6C53">
        <w:t>.</w:t>
      </w:r>
      <w:r w:rsidR="00844082" w:rsidRPr="00BD6C53">
        <w:t xml:space="preserve"> Particularmente, e</w:t>
      </w:r>
      <w:r w:rsidR="003F4419" w:rsidRPr="00BD6C53">
        <w:t xml:space="preserve">l 13 de noviembre de 2020, según la Resolución 14/2021 de la CIDH, miembros del MSI acordaron nuevamente solicitar información sobre los motivos de la detención del señor Solís González. Sin embargo, Maykel Castillo Pérez fue detenido por agentes </w:t>
      </w:r>
      <w:r w:rsidR="00266589" w:rsidRPr="00BD6C53">
        <w:t>estatales</w:t>
      </w:r>
      <w:r w:rsidR="003F4419" w:rsidRPr="00BD6C53">
        <w:t xml:space="preserve"> antes de poder llegar a la </w:t>
      </w:r>
      <w:r w:rsidR="00266589" w:rsidRPr="00BD6C53">
        <w:t xml:space="preserve">propia </w:t>
      </w:r>
      <w:r w:rsidR="003F4419" w:rsidRPr="00BD6C53">
        <w:t xml:space="preserve">estación policial, </w:t>
      </w:r>
      <w:r w:rsidR="00266589" w:rsidRPr="00BD6C53">
        <w:t xml:space="preserve">allí </w:t>
      </w:r>
      <w:r w:rsidR="003F4419" w:rsidRPr="00BD6C53">
        <w:t>lo trasladaron a dos estaciones policiales diferentes antes de dejarlo libre</w:t>
      </w:r>
      <w:r w:rsidR="003F4419" w:rsidRPr="00BD6C53">
        <w:rPr>
          <w:rStyle w:val="FootnoteReference"/>
          <w:lang w:val="es-ES"/>
        </w:rPr>
        <w:footnoteReference w:id="50"/>
      </w:r>
      <w:r w:rsidR="003F4419" w:rsidRPr="00BD6C53">
        <w:t>.</w:t>
      </w:r>
    </w:p>
    <w:p w14:paraId="406F83AB" w14:textId="0B2A17A1" w:rsidR="005F2A7B" w:rsidRPr="00E9543F" w:rsidRDefault="006F54E9" w:rsidP="001A4728">
      <w:pPr>
        <w:pStyle w:val="ListParagraph"/>
        <w:numPr>
          <w:ilvl w:val="0"/>
          <w:numId w:val="61"/>
        </w:numPr>
      </w:pPr>
      <w:r w:rsidRPr="00E9543F">
        <w:t xml:space="preserve">El 18 de noviembre de 2020 el señor Castillo Pérez </w:t>
      </w:r>
      <w:r w:rsidR="00735CAE" w:rsidRPr="00E9543F">
        <w:t>fue uno de los acuartelados de San Isidro, un grupo de artistas y activistas que</w:t>
      </w:r>
      <w:r w:rsidRPr="00E9543F">
        <w:t xml:space="preserve"> participaron en una </w:t>
      </w:r>
      <w:r w:rsidR="00735CAE" w:rsidRPr="00E9543F">
        <w:t>campaña por la liberación del también rapero Denis Solís</w:t>
      </w:r>
      <w:r w:rsidRPr="00E9543F">
        <w:t>. Durante la campaña</w:t>
      </w:r>
      <w:r w:rsidR="00735CAE" w:rsidRPr="00E9543F">
        <w:t xml:space="preserve">, </w:t>
      </w:r>
      <w:r w:rsidR="007D0F0D" w:rsidRPr="00E9543F">
        <w:t xml:space="preserve">la parte peticionaria observa que </w:t>
      </w:r>
      <w:r w:rsidR="00735CAE" w:rsidRPr="00E9543F">
        <w:t xml:space="preserve">se </w:t>
      </w:r>
      <w:r w:rsidR="007D0F0D" w:rsidRPr="00E9543F">
        <w:t>recibieron</w:t>
      </w:r>
      <w:r w:rsidR="00323E53" w:rsidRPr="00E9543F">
        <w:t xml:space="preserve"> </w:t>
      </w:r>
      <w:r w:rsidR="00735CAE" w:rsidRPr="00E9543F">
        <w:t>acciones de hostigamiento por parte de las fuerzas policiales</w:t>
      </w:r>
      <w:r w:rsidR="00323E53" w:rsidRPr="00E9543F">
        <w:t xml:space="preserve"> y </w:t>
      </w:r>
      <w:r w:rsidR="00735CAE" w:rsidRPr="00E9543F">
        <w:t xml:space="preserve">varios de los acuartelados decidieron entrar en huelga de hambre, </w:t>
      </w:r>
      <w:r w:rsidR="00323E53" w:rsidRPr="00E9543F">
        <w:t>incluyendo a la presunta víctima</w:t>
      </w:r>
      <w:r w:rsidR="003F4419" w:rsidRPr="00E9543F">
        <w:rPr>
          <w:rStyle w:val="FootnoteReference"/>
          <w:rFonts w:cs="TimesNewRomanPSMT"/>
          <w:lang w:val="es-ES"/>
        </w:rPr>
        <w:footnoteReference w:id="51"/>
      </w:r>
      <w:r w:rsidR="00323E53" w:rsidRPr="00E9543F">
        <w:t>.</w:t>
      </w:r>
      <w:r w:rsidR="00735CAE" w:rsidRPr="00E9543F">
        <w:t xml:space="preserve"> </w:t>
      </w:r>
    </w:p>
    <w:p w14:paraId="5F50144A" w14:textId="62F29C90" w:rsidR="00844082" w:rsidRPr="00BD6C53" w:rsidRDefault="00844082" w:rsidP="001A4728">
      <w:pPr>
        <w:pStyle w:val="ListParagraph"/>
        <w:numPr>
          <w:ilvl w:val="0"/>
          <w:numId w:val="61"/>
        </w:numPr>
        <w:rPr>
          <w:rFonts w:cs="TimesNewRomanPSMT"/>
        </w:rPr>
      </w:pPr>
      <w:r w:rsidRPr="00BD6C53">
        <w:t xml:space="preserve">El 21 de noviembre de 2020, según la </w:t>
      </w:r>
      <w:r w:rsidRPr="00BD6C53">
        <w:rPr>
          <w:rFonts w:cs="TimesNewRomanPSMT"/>
        </w:rPr>
        <w:t>Resolución 14/2021 de la CIDH, las autoridades maltrataron a la hija menor de edad</w:t>
      </w:r>
      <w:r w:rsidRPr="00BD6C53">
        <w:t xml:space="preserve"> de Maykel Castillo Pérez (5 años) </w:t>
      </w:r>
      <w:r w:rsidR="00266589" w:rsidRPr="00BD6C53">
        <w:t>impidiendo que pasara e</w:t>
      </w:r>
      <w:r w:rsidRPr="00BD6C53">
        <w:t xml:space="preserve">l cerco policial y </w:t>
      </w:r>
      <w:r w:rsidR="00266589" w:rsidRPr="00BD6C53">
        <w:t>le haga</w:t>
      </w:r>
      <w:r w:rsidRPr="00BD6C53">
        <w:t xml:space="preserve"> llegar agua y otros artículos de primera necesidad</w:t>
      </w:r>
      <w:r w:rsidR="00266589" w:rsidRPr="00BD6C53">
        <w:t xml:space="preserve"> a su padre</w:t>
      </w:r>
      <w:r w:rsidRPr="00BD6C53">
        <w:t xml:space="preserve">. También, fue maltratada </w:t>
      </w:r>
      <w:r w:rsidRPr="00BD6C53">
        <w:rPr>
          <w:rFonts w:cs="TimesNewRomanPSMT"/>
        </w:rPr>
        <w:t xml:space="preserve">Rosmelys Hernández, </w:t>
      </w:r>
      <w:r w:rsidRPr="00BD6C53">
        <w:t>esposa de Maykel Castillo Pérez</w:t>
      </w:r>
      <w:r w:rsidRPr="00BD6C53">
        <w:rPr>
          <w:rStyle w:val="FootnoteReference"/>
          <w:lang w:val="es-ES"/>
        </w:rPr>
        <w:footnoteReference w:id="52"/>
      </w:r>
      <w:r w:rsidRPr="00BD6C53">
        <w:t>.</w:t>
      </w:r>
      <w:r w:rsidRPr="00BD6C53">
        <w:rPr>
          <w:rFonts w:cs="TimesNewRomanPSMT"/>
        </w:rPr>
        <w:t xml:space="preserve"> </w:t>
      </w:r>
    </w:p>
    <w:p w14:paraId="0B008185" w14:textId="06CBD931" w:rsidR="00735CAE" w:rsidRPr="00E9543F" w:rsidRDefault="00735CAE" w:rsidP="001A4728">
      <w:pPr>
        <w:pStyle w:val="ListParagraph"/>
        <w:numPr>
          <w:ilvl w:val="0"/>
          <w:numId w:val="61"/>
        </w:numPr>
      </w:pPr>
      <w:r w:rsidRPr="00E9543F">
        <w:t>El 2</w:t>
      </w:r>
      <w:r w:rsidR="00323E53" w:rsidRPr="00E9543F">
        <w:t>6 de noviembre de 20</w:t>
      </w:r>
      <w:r w:rsidRPr="00E9543F">
        <w:t>20</w:t>
      </w:r>
      <w:r w:rsidR="00323E53" w:rsidRPr="00E9543F">
        <w:t xml:space="preserve"> </w:t>
      </w:r>
      <w:r w:rsidR="2CBCEB3B" w:rsidRPr="00E9543F">
        <w:t xml:space="preserve">Castillo Pérez </w:t>
      </w:r>
      <w:r w:rsidR="00323E53" w:rsidRPr="00E9543F">
        <w:t>f</w:t>
      </w:r>
      <w:r w:rsidRPr="00E9543F">
        <w:t>ue una de las 14 personas que se acuarteló en la sede del MSI</w:t>
      </w:r>
      <w:r w:rsidR="00323E53" w:rsidRPr="00E9543F">
        <w:t>, lugar donde fue</w:t>
      </w:r>
      <w:r w:rsidRPr="00E9543F">
        <w:t xml:space="preserve"> detenid</w:t>
      </w:r>
      <w:r w:rsidR="007D0F0D" w:rsidRPr="00E9543F">
        <w:t>o</w:t>
      </w:r>
      <w:r w:rsidR="00323E53" w:rsidRPr="00E9543F">
        <w:t xml:space="preserve">. </w:t>
      </w:r>
      <w:r w:rsidR="00BB68C2" w:rsidRPr="00E9543F">
        <w:t>Al día siguiente, varios jóvenes se reunieron en las afueras del Ministerio de Cultura y protagonizaron allí una acción de protesta colectiva. Tras una promesa de di</w:t>
      </w:r>
      <w:r w:rsidR="3893358F" w:rsidRPr="00E9543F">
        <w:t>á</w:t>
      </w:r>
      <w:r w:rsidR="00BB68C2" w:rsidRPr="00E9543F">
        <w:t xml:space="preserve">logo, se intensificó la represión </w:t>
      </w:r>
      <w:r w:rsidR="007D0F0D" w:rsidRPr="00E9543F">
        <w:t>con</w:t>
      </w:r>
      <w:r w:rsidR="00BB68C2" w:rsidRPr="00E9543F">
        <w:t xml:space="preserve"> reclusión y vigilancia domiciliarias involuntarias y detenciones arbitrarias a los artistas y activistas, además de una campaña de criminalización </w:t>
      </w:r>
      <w:r w:rsidR="007D0F0D" w:rsidRPr="00E9543F">
        <w:t xml:space="preserve">donde </w:t>
      </w:r>
      <w:r w:rsidR="007D0F0D" w:rsidRPr="00E9543F">
        <w:lastRenderedPageBreak/>
        <w:t>se los presentó</w:t>
      </w:r>
      <w:r w:rsidR="00BB68C2" w:rsidRPr="00E9543F">
        <w:t xml:space="preserve"> como mercenarios pagados por los Estados Unidos (</w:t>
      </w:r>
      <w:r w:rsidR="27453836" w:rsidRPr="00E9543F">
        <w:t>“</w:t>
      </w:r>
      <w:r w:rsidR="00BB68C2" w:rsidRPr="00E9543F">
        <w:t>el imperialismo yanqui</w:t>
      </w:r>
      <w:r w:rsidR="7C4CAE75" w:rsidRPr="00E9543F">
        <w:t>”</w:t>
      </w:r>
      <w:r w:rsidR="00BB68C2" w:rsidRPr="00E9543F">
        <w:t>) para desestabilizar al gobierno cubano</w:t>
      </w:r>
      <w:r w:rsidR="003F4419" w:rsidRPr="00E9543F">
        <w:rPr>
          <w:rStyle w:val="FootnoteReference"/>
          <w:rFonts w:cs="TimesNewRomanPSMT"/>
          <w:lang w:val="es-ES"/>
        </w:rPr>
        <w:footnoteReference w:id="53"/>
      </w:r>
      <w:r w:rsidR="00BB68C2" w:rsidRPr="00E9543F">
        <w:t>.</w:t>
      </w:r>
    </w:p>
    <w:p w14:paraId="568EF72C" w14:textId="69D46BE9" w:rsidR="00300A44" w:rsidRPr="00BD6C53" w:rsidRDefault="00735CAE" w:rsidP="001A4728">
      <w:pPr>
        <w:pStyle w:val="ListParagraph"/>
        <w:numPr>
          <w:ilvl w:val="0"/>
          <w:numId w:val="61"/>
        </w:numPr>
      </w:pPr>
      <w:r w:rsidRPr="00BD6C53">
        <w:t>Entre el 2</w:t>
      </w:r>
      <w:r w:rsidR="009D3279" w:rsidRPr="00BD6C53">
        <w:t xml:space="preserve">7 de noviembre </w:t>
      </w:r>
      <w:r w:rsidRPr="00BD6C53">
        <w:t>y el 1</w:t>
      </w:r>
      <w:r w:rsidR="009D3279" w:rsidRPr="00BD6C53">
        <w:t xml:space="preserve"> de diciembre de 2</w:t>
      </w:r>
      <w:r w:rsidRPr="00BD6C53">
        <w:t>020</w:t>
      </w:r>
      <w:r w:rsidR="00323E53" w:rsidRPr="00BD6C53">
        <w:t xml:space="preserve"> permaneció </w:t>
      </w:r>
      <w:r w:rsidRPr="00BD6C53">
        <w:t>sitiado en su domicilio, bajo cerco policial, sin posibilidad de salir ni comunicarse con sus amigos, en calidad de reclusión domiciliaria</w:t>
      </w:r>
      <w:r w:rsidR="00AB0D73" w:rsidRPr="00BD6C53">
        <w:rPr>
          <w:rStyle w:val="FootnoteReference"/>
          <w:rFonts w:cs="TimesNewRomanPSMT"/>
          <w:lang w:val="es-ES"/>
        </w:rPr>
        <w:footnoteReference w:id="54"/>
      </w:r>
      <w:r w:rsidR="00AB0D73" w:rsidRPr="00BD6C53">
        <w:t>.</w:t>
      </w:r>
      <w:r w:rsidR="00300A44" w:rsidRPr="00BD6C53">
        <w:t xml:space="preserve"> Respecto de tales hechos, la Comisión toma nota de un video de prensa donde la señora Anamely </w:t>
      </w:r>
      <w:r w:rsidR="00AB0D73" w:rsidRPr="00BD6C53">
        <w:t xml:space="preserve">Ramos González (miembro del Movimiento San Isidro) </w:t>
      </w:r>
      <w:r w:rsidR="00300A44" w:rsidRPr="00BD6C53">
        <w:t>comenta sobre la situación de cerco domiciliario del señor Castillo Pérez y señala que</w:t>
      </w:r>
      <w:r w:rsidR="00AB0D73" w:rsidRPr="00BD6C53">
        <w:t xml:space="preserve"> se encontraba “medio incomunicado” y “sin comer”</w:t>
      </w:r>
      <w:r w:rsidR="00AB0D73" w:rsidRPr="00BD6C53">
        <w:rPr>
          <w:rStyle w:val="FootnoteReference"/>
          <w:rFonts w:cs="TimesNewRomanPSMT"/>
          <w:lang w:val="es-ES"/>
        </w:rPr>
        <w:footnoteReference w:id="55"/>
      </w:r>
      <w:r w:rsidR="00AB0D73" w:rsidRPr="00BD6C53">
        <w:t xml:space="preserve">. </w:t>
      </w:r>
      <w:r w:rsidR="00300A44" w:rsidRPr="00BD6C53">
        <w:t xml:space="preserve"> </w:t>
      </w:r>
    </w:p>
    <w:p w14:paraId="6509316A" w14:textId="216DFBFA" w:rsidR="00E56E67" w:rsidRPr="00E9543F" w:rsidRDefault="00735CAE" w:rsidP="001A4728">
      <w:pPr>
        <w:pStyle w:val="ListParagraph"/>
        <w:numPr>
          <w:ilvl w:val="0"/>
          <w:numId w:val="61"/>
        </w:numPr>
      </w:pPr>
      <w:r w:rsidRPr="00E9543F">
        <w:t>E</w:t>
      </w:r>
      <w:r w:rsidR="00E829B8" w:rsidRPr="00E9543F">
        <w:t>ntre el 1</w:t>
      </w:r>
      <w:r w:rsidRPr="00E9543F">
        <w:t>5</w:t>
      </w:r>
      <w:r w:rsidR="009D3279" w:rsidRPr="00E9543F">
        <w:t xml:space="preserve"> de diciembre de 2</w:t>
      </w:r>
      <w:r w:rsidRPr="00E9543F">
        <w:t>020</w:t>
      </w:r>
      <w:r w:rsidR="00E829B8" w:rsidRPr="00E9543F">
        <w:t xml:space="preserve"> y el 23 de enero de 2021 fue detenido tres veces</w:t>
      </w:r>
      <w:r w:rsidR="00B00E22" w:rsidRPr="00E9543F">
        <w:rPr>
          <w:rStyle w:val="FootnoteReference"/>
          <w:rFonts w:cs="TimesNewRomanPSMT"/>
          <w:lang w:val="es-ES"/>
        </w:rPr>
        <w:footnoteReference w:id="56"/>
      </w:r>
      <w:r w:rsidR="00E829B8" w:rsidRPr="00E9543F">
        <w:t xml:space="preserve">. </w:t>
      </w:r>
      <w:r w:rsidR="00B00E22" w:rsidRPr="00E9543F">
        <w:t xml:space="preserve">Respecto a la detención </w:t>
      </w:r>
      <w:r w:rsidR="00A8681F" w:rsidRPr="00E9543F">
        <w:t>ocurrida e</w:t>
      </w:r>
      <w:r w:rsidR="00B00E22" w:rsidRPr="00E9543F">
        <w:t xml:space="preserve">l 15 de diciembre de 2020, la Comisión toma nota de una transmisión directa de Facebook </w:t>
      </w:r>
      <w:r w:rsidR="00266589" w:rsidRPr="00E9543F">
        <w:t xml:space="preserve">que </w:t>
      </w:r>
      <w:r w:rsidR="00B00E22" w:rsidRPr="00E9543F">
        <w:t>muestra la detención del señor Castillo Pérez a</w:t>
      </w:r>
      <w:r w:rsidR="00A8681F" w:rsidRPr="00E9543F">
        <w:t>l</w:t>
      </w:r>
      <w:r w:rsidR="00B00E22" w:rsidRPr="00E9543F">
        <w:t xml:space="preserve"> salir de la casa de una amiga activista</w:t>
      </w:r>
      <w:r w:rsidR="00B00E22" w:rsidRPr="00E9543F">
        <w:rPr>
          <w:rStyle w:val="FootnoteReference"/>
          <w:rFonts w:cs="TimesNewRomanPSMT"/>
          <w:lang w:val="es-ES"/>
        </w:rPr>
        <w:footnoteReference w:id="57"/>
      </w:r>
      <w:r w:rsidR="00B00E22" w:rsidRPr="00E9543F">
        <w:t xml:space="preserve">. </w:t>
      </w:r>
      <w:r w:rsidR="00A8681F" w:rsidRPr="00E9543F">
        <w:t xml:space="preserve">Asimismo, la CIDH </w:t>
      </w:r>
      <w:r w:rsidR="00266589" w:rsidRPr="00E9543F">
        <w:t>observa</w:t>
      </w:r>
      <w:r w:rsidR="00A8681F" w:rsidRPr="00E9543F">
        <w:t xml:space="preserve"> que u</w:t>
      </w:r>
      <w:r w:rsidR="00E829B8" w:rsidRPr="00E9543F">
        <w:t xml:space="preserve">na de </w:t>
      </w:r>
      <w:r w:rsidR="00A8681F" w:rsidRPr="00E9543F">
        <w:t xml:space="preserve">las detenciones ocurrió </w:t>
      </w:r>
      <w:r w:rsidR="00BB68C2" w:rsidRPr="00E9543F">
        <w:t xml:space="preserve">en el marco de </w:t>
      </w:r>
      <w:r w:rsidR="009D3279" w:rsidRPr="00E9543F">
        <w:t xml:space="preserve">una acción artístico-religiosa </w:t>
      </w:r>
      <w:r w:rsidR="00BB68C2" w:rsidRPr="00E9543F">
        <w:t>de peregrinación p</w:t>
      </w:r>
      <w:r w:rsidR="009D3279" w:rsidRPr="00E9543F">
        <w:t>ara pedir la liberación de un compañero</w:t>
      </w:r>
      <w:r w:rsidR="003F4419" w:rsidRPr="00E9543F">
        <w:rPr>
          <w:rStyle w:val="FootnoteReference"/>
          <w:rFonts w:cs="TimesNewRomanPSMT"/>
          <w:lang w:val="es-ES"/>
        </w:rPr>
        <w:footnoteReference w:id="58"/>
      </w:r>
      <w:r w:rsidR="009D3279" w:rsidRPr="00E9543F">
        <w:t>.</w:t>
      </w:r>
      <w:r w:rsidR="00A8681F" w:rsidRPr="00E9543F">
        <w:t xml:space="preserve"> </w:t>
      </w:r>
    </w:p>
    <w:p w14:paraId="2ED8A295" w14:textId="0E1ED710" w:rsidR="00E56E67" w:rsidRPr="00BD6C53" w:rsidRDefault="00735CAE" w:rsidP="001A4728">
      <w:pPr>
        <w:pStyle w:val="ListParagraph"/>
        <w:numPr>
          <w:ilvl w:val="0"/>
          <w:numId w:val="61"/>
        </w:numPr>
      </w:pPr>
      <w:r w:rsidRPr="00BD6C53">
        <w:t>El 27 de enero</w:t>
      </w:r>
      <w:r w:rsidR="00BB68C2" w:rsidRPr="00BD6C53">
        <w:t xml:space="preserve"> de 2021</w:t>
      </w:r>
      <w:r w:rsidRPr="00BD6C53">
        <w:t xml:space="preserve">, un grupo de jóvenes se </w:t>
      </w:r>
      <w:r w:rsidR="00DC5CBF" w:rsidRPr="00BD6C53">
        <w:t xml:space="preserve">había reunido </w:t>
      </w:r>
      <w:r w:rsidRPr="00BD6C53">
        <w:t>frente al Ministerio de Cultura</w:t>
      </w:r>
      <w:r w:rsidR="00DC5CBF" w:rsidRPr="00BD6C53">
        <w:t xml:space="preserve"> para exigir una reunión con el viceministro. La manifestación viró ante la detención de las artistas </w:t>
      </w:r>
      <w:r w:rsidR="00E829B8" w:rsidRPr="00BD6C53">
        <w:t>Katherine Bisquet, Tania Brugera y la periodista Camila Acosta</w:t>
      </w:r>
      <w:r w:rsidR="00DC5CBF" w:rsidRPr="00BD6C53">
        <w:t>, por lo que se reunieron para exigir su liberación</w:t>
      </w:r>
      <w:r w:rsidR="00E829B8" w:rsidRPr="00BD6C53">
        <w:t>. L</w:t>
      </w:r>
      <w:r w:rsidRPr="00BD6C53">
        <w:t xml:space="preserve">a situación </w:t>
      </w:r>
      <w:r w:rsidR="007D0F0D" w:rsidRPr="00BD6C53">
        <w:t xml:space="preserve">escaló </w:t>
      </w:r>
      <w:r w:rsidRPr="00BD6C53">
        <w:t>y</w:t>
      </w:r>
      <w:r w:rsidR="00E829B8" w:rsidRPr="00BD6C53">
        <w:t xml:space="preserve"> </w:t>
      </w:r>
      <w:r w:rsidRPr="00BD6C53">
        <w:t>concluyó con una detención masiva de los presentes</w:t>
      </w:r>
      <w:r w:rsidR="00DC5CBF" w:rsidRPr="00BD6C53">
        <w:t>, incluyendo al señor Castillo Pérez</w:t>
      </w:r>
      <w:r w:rsidR="00A8681F" w:rsidRPr="00BD6C53">
        <w:rPr>
          <w:rStyle w:val="FootnoteReference"/>
          <w:rFonts w:cs="TimesNewRomanPSMT"/>
          <w:lang w:val="es-ES"/>
        </w:rPr>
        <w:footnoteReference w:id="59"/>
      </w:r>
      <w:r w:rsidR="00E829B8" w:rsidRPr="00BD6C53">
        <w:t>.</w:t>
      </w:r>
      <w:r w:rsidR="00DC5CBF" w:rsidRPr="00BD6C53">
        <w:t xml:space="preserve"> La Comisión nota que los hechos relatados fueron receptados por diversas notas de prensa</w:t>
      </w:r>
      <w:r w:rsidR="00DC5CBF" w:rsidRPr="00BD6C53">
        <w:rPr>
          <w:rStyle w:val="FootnoteReference"/>
          <w:rFonts w:cs="TimesNewRomanPSMT"/>
          <w:lang w:val="es-ES"/>
        </w:rPr>
        <w:footnoteReference w:id="60"/>
      </w:r>
      <w:r w:rsidR="00DC5CBF" w:rsidRPr="00BD6C53">
        <w:t>.</w:t>
      </w:r>
      <w:r w:rsidR="00E829B8" w:rsidRPr="00BD6C53">
        <w:t xml:space="preserve"> E</w:t>
      </w:r>
      <w:r w:rsidRPr="00BD6C53">
        <w:t>n el caso de Maykel, s</w:t>
      </w:r>
      <w:r w:rsidR="00DC5CBF" w:rsidRPr="00BD6C53">
        <w:t>egún una nota de prensa, s</w:t>
      </w:r>
      <w:r w:rsidRPr="00BD6C53">
        <w:t>e lo llevaron separado del resto del grupo</w:t>
      </w:r>
      <w:r w:rsidR="007D0F0D" w:rsidRPr="00BD6C53">
        <w:t xml:space="preserve"> donde </w:t>
      </w:r>
      <w:r w:rsidRPr="00BD6C53">
        <w:t>le dijeron: “Tú eres un líder y a los líderes se les separa y se les maltrata”.</w:t>
      </w:r>
      <w:r w:rsidR="00DC5CBF" w:rsidRPr="00BD6C53">
        <w:t xml:space="preserve"> </w:t>
      </w:r>
      <w:r w:rsidRPr="00BD6C53">
        <w:t>Fue liberado en la madrugada del 28</w:t>
      </w:r>
      <w:r w:rsidR="007D0F0D" w:rsidRPr="00BD6C53">
        <w:t xml:space="preserve"> de enero</w:t>
      </w:r>
      <w:r w:rsidR="00DC5CBF" w:rsidRPr="00BD6C53">
        <w:rPr>
          <w:rStyle w:val="FootnoteReference"/>
          <w:rFonts w:cs="TimesNewRomanPSMT"/>
          <w:lang w:val="es-ES"/>
        </w:rPr>
        <w:footnoteReference w:id="61"/>
      </w:r>
      <w:r w:rsidR="00E829B8" w:rsidRPr="00BD6C53">
        <w:t xml:space="preserve">. </w:t>
      </w:r>
      <w:r w:rsidRPr="00BD6C53">
        <w:t>Los días siguientes, fue arrestado en varias ocasiones</w:t>
      </w:r>
      <w:r w:rsidR="00B00E22" w:rsidRPr="00BD6C53">
        <w:rPr>
          <w:rStyle w:val="FootnoteReference"/>
          <w:rFonts w:cs="TimesNewRomanPSMT"/>
          <w:lang w:val="es-ES"/>
        </w:rPr>
        <w:footnoteReference w:id="62"/>
      </w:r>
      <w:r w:rsidR="00E829B8" w:rsidRPr="00BD6C53">
        <w:t>.</w:t>
      </w:r>
      <w:r w:rsidR="00DC5CBF" w:rsidRPr="00BD6C53">
        <w:t xml:space="preserve"> </w:t>
      </w:r>
    </w:p>
    <w:p w14:paraId="7BA01820" w14:textId="5C7565F9" w:rsidR="00BB68C2" w:rsidRPr="00BD6C53" w:rsidRDefault="00735CAE" w:rsidP="001A4728">
      <w:pPr>
        <w:pStyle w:val="ListParagraph"/>
        <w:numPr>
          <w:ilvl w:val="0"/>
          <w:numId w:val="61"/>
        </w:numPr>
      </w:pPr>
      <w:r w:rsidRPr="00BD6C53">
        <w:t xml:space="preserve">El 1 de febrero fue </w:t>
      </w:r>
      <w:r w:rsidR="000F5828" w:rsidRPr="00BD6C53">
        <w:t>detenido en dos ocasiones</w:t>
      </w:r>
      <w:r w:rsidR="00D4204F" w:rsidRPr="00BD6C53">
        <w:t>. Por un lado,</w:t>
      </w:r>
      <w:r w:rsidR="000F5828" w:rsidRPr="00BD6C53">
        <w:t xml:space="preserve"> mientras realizaba </w:t>
      </w:r>
      <w:r w:rsidRPr="00BD6C53">
        <w:t xml:space="preserve">una </w:t>
      </w:r>
      <w:r w:rsidR="00D4204F" w:rsidRPr="00BD6C53">
        <w:t>transmisión en vivo</w:t>
      </w:r>
      <w:r w:rsidRPr="00BD6C53">
        <w:t xml:space="preserve"> en la que daba su opinión sobre </w:t>
      </w:r>
      <w:r w:rsidR="00D4204F" w:rsidRPr="00BD6C53">
        <w:t>el reclamo</w:t>
      </w:r>
      <w:r w:rsidRPr="00BD6C53">
        <w:t xml:space="preserve"> de</w:t>
      </w:r>
      <w:r w:rsidR="00F7222B" w:rsidRPr="00BD6C53">
        <w:t xml:space="preserve"> </w:t>
      </w:r>
      <w:r w:rsidRPr="00BD6C53">
        <w:t>destitución del Ministro de Cultura</w:t>
      </w:r>
      <w:r w:rsidR="00D4204F" w:rsidRPr="00BD6C53">
        <w:t xml:space="preserve"> y, por otro,</w:t>
      </w:r>
      <w:r w:rsidR="000F5828" w:rsidRPr="00BD6C53">
        <w:t xml:space="preserve"> </w:t>
      </w:r>
      <w:r w:rsidRPr="00BD6C53">
        <w:t>mientras realizaba un</w:t>
      </w:r>
      <w:r w:rsidR="00D4204F" w:rsidRPr="00BD6C53">
        <w:t xml:space="preserve"> directo</w:t>
      </w:r>
      <w:r w:rsidRPr="00BD6C53">
        <w:t xml:space="preserve"> para Facebook en relación a la detención de</w:t>
      </w:r>
      <w:r w:rsidR="000E2D77" w:rsidRPr="00BD6C53">
        <w:t>l activista</w:t>
      </w:r>
      <w:r w:rsidRPr="00BD6C53">
        <w:t xml:space="preserve"> Hanoi Morán.</w:t>
      </w:r>
      <w:r w:rsidR="000E2D77" w:rsidRPr="00BD6C53">
        <w:t xml:space="preserve"> F</w:t>
      </w:r>
      <w:r w:rsidR="000F5828" w:rsidRPr="00BD6C53">
        <w:t>ue</w:t>
      </w:r>
      <w:r w:rsidRPr="00BD6C53">
        <w:t xml:space="preserve"> detenido nuevamente el 9 de febrero</w:t>
      </w:r>
      <w:r w:rsidR="00BE35A4" w:rsidRPr="00BD6C53">
        <w:rPr>
          <w:rStyle w:val="FootnoteReference"/>
          <w:rFonts w:cs="TimesNewRomanPSMT"/>
          <w:lang w:val="es-ES"/>
        </w:rPr>
        <w:footnoteReference w:id="63"/>
      </w:r>
      <w:r w:rsidR="000E2D77" w:rsidRPr="00BD6C53">
        <w:t>. Respecto de tales hechos, la CIDH señala que la información fue recogida por noticas de prensa</w:t>
      </w:r>
      <w:r w:rsidR="000E2D77" w:rsidRPr="00BD6C53">
        <w:rPr>
          <w:rStyle w:val="FootnoteReference"/>
          <w:rFonts w:cs="TimesNewRomanPSMT"/>
          <w:lang w:val="es-ES"/>
        </w:rPr>
        <w:footnoteReference w:id="64"/>
      </w:r>
      <w:r w:rsidR="000E2D77" w:rsidRPr="00BD6C53">
        <w:t>.</w:t>
      </w:r>
    </w:p>
    <w:p w14:paraId="36DF8AC1" w14:textId="0C0E6E25" w:rsidR="00BE35A4" w:rsidRPr="00E9543F" w:rsidRDefault="00BB68C2" w:rsidP="001A4728">
      <w:pPr>
        <w:pStyle w:val="ListParagraph"/>
        <w:numPr>
          <w:ilvl w:val="0"/>
          <w:numId w:val="61"/>
        </w:numPr>
      </w:pPr>
      <w:r w:rsidRPr="00E9543F">
        <w:t>El 6 de febrero de 2021 un vecino se acercó al señor Castillo Pérez cuando este se dirigía a la casa de</w:t>
      </w:r>
      <w:r w:rsidR="00BE35A4" w:rsidRPr="00E9543F">
        <w:t>l activista</w:t>
      </w:r>
      <w:r w:rsidRPr="00E9543F">
        <w:t xml:space="preserve"> Luis Manuel Otero Alcántara y le dio un </w:t>
      </w:r>
      <w:r w:rsidR="0056538A" w:rsidRPr="00E9543F">
        <w:t>golpe</w:t>
      </w:r>
      <w:r w:rsidRPr="00E9543F">
        <w:t xml:space="preserve"> con un machete. Esto dejó una lesión en Maykel</w:t>
      </w:r>
      <w:r w:rsidR="00B00E22" w:rsidRPr="00E9543F">
        <w:rPr>
          <w:rStyle w:val="FootnoteReference"/>
          <w:rFonts w:cs="TimesNewRomanPSMT"/>
          <w:lang w:val="es-ES"/>
        </w:rPr>
        <w:footnoteReference w:id="65"/>
      </w:r>
      <w:r w:rsidRPr="00E9543F">
        <w:t xml:space="preserve">. </w:t>
      </w:r>
      <w:r w:rsidR="000E2D77" w:rsidRPr="00E9543F">
        <w:t xml:space="preserve">La Comisión </w:t>
      </w:r>
      <w:r w:rsidR="00BE35A4" w:rsidRPr="00E9543F">
        <w:t xml:space="preserve">nota dos videos de transmisión de Facebook donde el señor Maykel Castillo Pérez hace un descargo describiendo la situación, muestra la marca que le dejó el machete </w:t>
      </w:r>
      <w:r w:rsidR="0056538A" w:rsidRPr="00E9543F">
        <w:t xml:space="preserve">en su espalda </w:t>
      </w:r>
      <w:r w:rsidR="00BE35A4" w:rsidRPr="00E9543F">
        <w:t>y critica la situación de violencia en Cuba</w:t>
      </w:r>
      <w:r w:rsidR="00BE35A4" w:rsidRPr="00E9543F">
        <w:rPr>
          <w:rStyle w:val="FootnoteReference"/>
          <w:rFonts w:cs="TimesNewRomanPSMT"/>
          <w:lang w:val="es-ES"/>
        </w:rPr>
        <w:footnoteReference w:id="66"/>
      </w:r>
      <w:r w:rsidR="00BE35A4" w:rsidRPr="00E9543F">
        <w:t>.</w:t>
      </w:r>
    </w:p>
    <w:p w14:paraId="41C3603C" w14:textId="62DFAA28" w:rsidR="0012213C" w:rsidRPr="00E9543F" w:rsidRDefault="000A34C9" w:rsidP="001A4728">
      <w:pPr>
        <w:pStyle w:val="ListParagraph"/>
        <w:numPr>
          <w:ilvl w:val="0"/>
          <w:numId w:val="61"/>
        </w:numPr>
      </w:pPr>
      <w:r w:rsidRPr="00E9543F">
        <w:t>El</w:t>
      </w:r>
      <w:r w:rsidR="0077580F" w:rsidRPr="00E9543F">
        <w:t xml:space="preserve"> </w:t>
      </w:r>
      <w:r w:rsidR="00735CAE" w:rsidRPr="00E9543F">
        <w:t>6</w:t>
      </w:r>
      <w:r w:rsidR="009D3279" w:rsidRPr="00E9543F">
        <w:t xml:space="preserve"> de marzo de 2021</w:t>
      </w:r>
      <w:r w:rsidR="00735CAE" w:rsidRPr="00E9543F">
        <w:t xml:space="preserve"> </w:t>
      </w:r>
      <w:r w:rsidR="000F5828" w:rsidRPr="00E9543F">
        <w:t xml:space="preserve">y 12 de marzo de 2021 </w:t>
      </w:r>
      <w:r w:rsidR="00735CAE" w:rsidRPr="00E9543F">
        <w:t xml:space="preserve">Maykel Castillo Pérez fue detenido </w:t>
      </w:r>
      <w:r w:rsidR="000F5828" w:rsidRPr="00E9543F">
        <w:t>por fuerzas policiales</w:t>
      </w:r>
      <w:r w:rsidR="003803D7" w:rsidRPr="00E9543F">
        <w:rPr>
          <w:rStyle w:val="FootnoteReference"/>
          <w:rFonts w:cs="TimesNewRomanPSMT"/>
          <w:lang w:val="es-ES"/>
        </w:rPr>
        <w:footnoteReference w:id="67"/>
      </w:r>
      <w:r w:rsidR="00300A44" w:rsidRPr="00E9543F">
        <w:t>.</w:t>
      </w:r>
    </w:p>
    <w:p w14:paraId="48109425" w14:textId="37F05D86" w:rsidR="009B7CD6" w:rsidRPr="00E9543F" w:rsidRDefault="009B7CD6"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lang w:val="es-ES"/>
        </w:rPr>
      </w:pPr>
    </w:p>
    <w:p w14:paraId="64C307C4" w14:textId="7D379D63" w:rsidR="00015735" w:rsidRPr="00E9543F" w:rsidRDefault="00015735" w:rsidP="001A4728">
      <w:pPr>
        <w:numPr>
          <w:ilvl w:val="0"/>
          <w:numId w:val="60"/>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hAnsi="Cambria"/>
          <w:sz w:val="20"/>
          <w:szCs w:val="20"/>
          <w:lang w:val="es-ES"/>
        </w:rPr>
      </w:pPr>
      <w:r w:rsidRPr="749ACC70">
        <w:rPr>
          <w:rFonts w:asciiTheme="majorHAnsi" w:hAnsiTheme="majorHAnsi"/>
          <w:sz w:val="20"/>
          <w:szCs w:val="20"/>
          <w:lang w:val="es-ES"/>
        </w:rPr>
        <w:lastRenderedPageBreak/>
        <w:t xml:space="preserve">La Comisión observa que </w:t>
      </w:r>
      <w:r w:rsidR="005D2B31" w:rsidRPr="749ACC70">
        <w:rPr>
          <w:rFonts w:asciiTheme="majorHAnsi" w:hAnsiTheme="majorHAnsi"/>
          <w:sz w:val="20"/>
          <w:szCs w:val="20"/>
          <w:lang w:val="es-ES"/>
        </w:rPr>
        <w:t xml:space="preserve">existen </w:t>
      </w:r>
      <w:r w:rsidRPr="749ACC70">
        <w:rPr>
          <w:rFonts w:asciiTheme="majorHAnsi" w:hAnsiTheme="majorHAnsi"/>
          <w:sz w:val="20"/>
          <w:szCs w:val="20"/>
          <w:lang w:val="es-ES"/>
        </w:rPr>
        <w:t xml:space="preserve">hechos posteriores relacionados con el señor Castillo Pérez </w:t>
      </w:r>
      <w:r w:rsidR="005D2B31" w:rsidRPr="749ACC70">
        <w:rPr>
          <w:rFonts w:asciiTheme="majorHAnsi" w:hAnsiTheme="majorHAnsi"/>
          <w:sz w:val="20"/>
          <w:szCs w:val="20"/>
          <w:lang w:val="es-ES"/>
        </w:rPr>
        <w:t xml:space="preserve">que </w:t>
      </w:r>
      <w:r w:rsidRPr="749ACC70">
        <w:rPr>
          <w:rFonts w:asciiTheme="majorHAnsi" w:hAnsiTheme="majorHAnsi"/>
          <w:sz w:val="20"/>
          <w:szCs w:val="20"/>
          <w:lang w:val="es-ES"/>
        </w:rPr>
        <w:t xml:space="preserve">han sido </w:t>
      </w:r>
      <w:r w:rsidR="005D2B31" w:rsidRPr="749ACC70">
        <w:rPr>
          <w:rFonts w:asciiTheme="majorHAnsi" w:hAnsiTheme="majorHAnsi"/>
          <w:sz w:val="20"/>
          <w:szCs w:val="20"/>
          <w:lang w:val="es-ES"/>
        </w:rPr>
        <w:t>identificados</w:t>
      </w:r>
      <w:r w:rsidRPr="749ACC70">
        <w:rPr>
          <w:rFonts w:asciiTheme="majorHAnsi" w:hAnsiTheme="majorHAnsi"/>
          <w:sz w:val="20"/>
          <w:szCs w:val="20"/>
          <w:lang w:val="es-ES"/>
        </w:rPr>
        <w:t xml:space="preserve"> en medios digitales</w:t>
      </w:r>
      <w:r w:rsidR="005D2B31" w:rsidRPr="749ACC70">
        <w:rPr>
          <w:rFonts w:asciiTheme="majorHAnsi" w:hAnsiTheme="majorHAnsi"/>
          <w:sz w:val="20"/>
          <w:szCs w:val="20"/>
          <w:lang w:val="es-ES"/>
        </w:rPr>
        <w:t>,</w:t>
      </w:r>
      <w:r w:rsidRPr="749ACC70">
        <w:rPr>
          <w:rFonts w:asciiTheme="majorHAnsi" w:hAnsiTheme="majorHAnsi"/>
          <w:sz w:val="20"/>
          <w:szCs w:val="20"/>
          <w:lang w:val="es-ES"/>
        </w:rPr>
        <w:t xml:space="preserve"> y comunicaciones de </w:t>
      </w:r>
      <w:r w:rsidR="005D2B31" w:rsidRPr="749ACC70">
        <w:rPr>
          <w:rFonts w:asciiTheme="majorHAnsi" w:hAnsiTheme="majorHAnsi"/>
          <w:sz w:val="20"/>
          <w:szCs w:val="20"/>
          <w:lang w:val="es-ES"/>
        </w:rPr>
        <w:t>o</w:t>
      </w:r>
      <w:r w:rsidR="64F340F9" w:rsidRPr="749ACC70">
        <w:rPr>
          <w:rFonts w:asciiTheme="majorHAnsi" w:hAnsiTheme="majorHAnsi"/>
          <w:sz w:val="20"/>
          <w:szCs w:val="20"/>
          <w:lang w:val="es-ES"/>
        </w:rPr>
        <w:t xml:space="preserve">rganizaciones </w:t>
      </w:r>
      <w:r w:rsidR="005D2B31" w:rsidRPr="749ACC70">
        <w:rPr>
          <w:rFonts w:asciiTheme="majorHAnsi" w:hAnsiTheme="majorHAnsi"/>
          <w:sz w:val="20"/>
          <w:szCs w:val="20"/>
          <w:lang w:val="es-ES"/>
        </w:rPr>
        <w:t xml:space="preserve">de la sociedad civil y </w:t>
      </w:r>
      <w:r w:rsidRPr="749ACC70">
        <w:rPr>
          <w:rFonts w:asciiTheme="majorHAnsi" w:hAnsiTheme="majorHAnsi"/>
          <w:sz w:val="20"/>
          <w:szCs w:val="20"/>
          <w:lang w:val="es-ES"/>
        </w:rPr>
        <w:t>organismos internacionales</w:t>
      </w:r>
      <w:r w:rsidR="005D2B31" w:rsidRPr="749ACC70">
        <w:rPr>
          <w:rFonts w:asciiTheme="majorHAnsi" w:hAnsiTheme="majorHAnsi"/>
          <w:sz w:val="20"/>
          <w:szCs w:val="20"/>
          <w:lang w:val="es-ES"/>
        </w:rPr>
        <w:t xml:space="preserve">, tal como se detalla a continuación. </w:t>
      </w:r>
      <w:r w:rsidRPr="749ACC70">
        <w:rPr>
          <w:rFonts w:asciiTheme="majorHAnsi" w:hAnsiTheme="majorHAnsi"/>
          <w:sz w:val="20"/>
          <w:szCs w:val="20"/>
          <w:lang w:val="es-ES"/>
        </w:rPr>
        <w:t xml:space="preserve"> </w:t>
      </w:r>
      <w:r w:rsidR="000C3CD9" w:rsidRPr="749ACC70">
        <w:rPr>
          <w:rFonts w:asciiTheme="majorHAnsi" w:hAnsiTheme="majorHAnsi"/>
          <w:sz w:val="20"/>
          <w:szCs w:val="20"/>
          <w:lang w:val="es-ES"/>
        </w:rPr>
        <w:t xml:space="preserve"> </w:t>
      </w:r>
    </w:p>
    <w:p w14:paraId="40740740" w14:textId="77777777" w:rsidR="000C3CD9" w:rsidRPr="00E9543F" w:rsidRDefault="000C3CD9"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lang w:val="es-ES"/>
        </w:rPr>
      </w:pPr>
    </w:p>
    <w:p w14:paraId="154B40C6" w14:textId="74487859" w:rsidR="006212B3" w:rsidRPr="00BD6C53" w:rsidRDefault="00C03B38" w:rsidP="001A4728">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lang w:val="es-ES"/>
        </w:rPr>
      </w:pPr>
      <w:r w:rsidRPr="749ACC70">
        <w:rPr>
          <w:rFonts w:ascii="Cambria" w:hAnsi="Cambria"/>
          <w:sz w:val="20"/>
          <w:szCs w:val="20"/>
          <w:lang w:val="es-ES"/>
        </w:rPr>
        <w:t xml:space="preserve">La Comisión </w:t>
      </w:r>
      <w:r w:rsidR="00015735" w:rsidRPr="749ACC70">
        <w:rPr>
          <w:rFonts w:ascii="Cambria" w:hAnsi="Cambria"/>
          <w:sz w:val="20"/>
          <w:szCs w:val="20"/>
          <w:lang w:val="es-ES"/>
        </w:rPr>
        <w:t>toma nota</w:t>
      </w:r>
      <w:r w:rsidR="006212B3" w:rsidRPr="749ACC70">
        <w:rPr>
          <w:rFonts w:ascii="Cambria" w:hAnsi="Cambria"/>
          <w:sz w:val="20"/>
          <w:szCs w:val="20"/>
          <w:lang w:val="es-ES"/>
        </w:rPr>
        <w:t xml:space="preserve"> que la organización </w:t>
      </w:r>
      <w:r w:rsidR="006212B3" w:rsidRPr="749ACC70">
        <w:rPr>
          <w:rFonts w:ascii="Cambria" w:hAnsi="Cambria"/>
          <w:i/>
          <w:iCs/>
          <w:sz w:val="20"/>
          <w:szCs w:val="20"/>
          <w:lang w:val="es-ES"/>
        </w:rPr>
        <w:t>Prisoners Defen</w:t>
      </w:r>
      <w:r w:rsidR="00A4057E" w:rsidRPr="749ACC70">
        <w:rPr>
          <w:rFonts w:ascii="Cambria" w:hAnsi="Cambria"/>
          <w:i/>
          <w:iCs/>
          <w:sz w:val="20"/>
          <w:szCs w:val="20"/>
          <w:lang w:val="es-ES"/>
        </w:rPr>
        <w:t>d</w:t>
      </w:r>
      <w:r w:rsidR="006212B3" w:rsidRPr="749ACC70">
        <w:rPr>
          <w:rFonts w:ascii="Cambria" w:hAnsi="Cambria"/>
          <w:i/>
          <w:iCs/>
          <w:sz w:val="20"/>
          <w:szCs w:val="20"/>
          <w:lang w:val="es-ES"/>
        </w:rPr>
        <w:t>er</w:t>
      </w:r>
      <w:r w:rsidR="006212B3" w:rsidRPr="749ACC70">
        <w:rPr>
          <w:rFonts w:ascii="Cambria" w:hAnsi="Cambria"/>
          <w:sz w:val="20"/>
          <w:szCs w:val="20"/>
          <w:lang w:val="es-ES"/>
        </w:rPr>
        <w:t xml:space="preserve"> presentó el 25 de mayo de 2021 una solicitud urgente de acción ante el Comité </w:t>
      </w:r>
      <w:r w:rsidR="005D2B31" w:rsidRPr="749ACC70">
        <w:rPr>
          <w:rFonts w:ascii="Cambria" w:hAnsi="Cambria"/>
          <w:sz w:val="20"/>
          <w:szCs w:val="20"/>
          <w:lang w:val="es-ES"/>
        </w:rPr>
        <w:t xml:space="preserve">de Naciones Unidas </w:t>
      </w:r>
      <w:r w:rsidR="006212B3" w:rsidRPr="749ACC70">
        <w:rPr>
          <w:rFonts w:ascii="Cambria" w:hAnsi="Cambria"/>
          <w:sz w:val="20"/>
          <w:szCs w:val="20"/>
          <w:lang w:val="es-ES"/>
        </w:rPr>
        <w:t>contra la Desaparición Forzad</w:t>
      </w:r>
      <w:r w:rsidR="00015735" w:rsidRPr="749ACC70">
        <w:rPr>
          <w:rFonts w:ascii="Cambria" w:hAnsi="Cambria"/>
          <w:sz w:val="20"/>
          <w:szCs w:val="20"/>
          <w:lang w:val="es-ES"/>
        </w:rPr>
        <w:t xml:space="preserve">a por la presunta </w:t>
      </w:r>
      <w:r w:rsidR="006212B3" w:rsidRPr="749ACC70">
        <w:rPr>
          <w:rFonts w:ascii="Cambria" w:hAnsi="Cambria"/>
          <w:sz w:val="20"/>
          <w:szCs w:val="20"/>
          <w:lang w:val="es-ES"/>
        </w:rPr>
        <w:t>desaparición de Maykel Castillo Pérez</w:t>
      </w:r>
      <w:r w:rsidR="00015735" w:rsidRPr="749ACC70">
        <w:rPr>
          <w:rFonts w:ascii="Cambria" w:hAnsi="Cambria"/>
          <w:sz w:val="20"/>
          <w:szCs w:val="20"/>
          <w:lang w:val="es-ES"/>
        </w:rPr>
        <w:t xml:space="preserve"> ocurrida una semana antes</w:t>
      </w:r>
      <w:r w:rsidR="006212B3" w:rsidRPr="749ACC70">
        <w:rPr>
          <w:rFonts w:ascii="Cambria" w:hAnsi="Cambria"/>
          <w:sz w:val="20"/>
          <w:szCs w:val="20"/>
          <w:lang w:val="es-ES"/>
        </w:rPr>
        <w:t xml:space="preserve">. El Comité sostuvo </w:t>
      </w:r>
      <w:r w:rsidR="00E30B3F" w:rsidRPr="749ACC70">
        <w:rPr>
          <w:rFonts w:ascii="Cambria" w:hAnsi="Cambria"/>
          <w:sz w:val="20"/>
          <w:szCs w:val="20"/>
          <w:lang w:val="es-ES"/>
        </w:rPr>
        <w:t>lo siguiente</w:t>
      </w:r>
      <w:r w:rsidR="006212B3" w:rsidRPr="749ACC70">
        <w:rPr>
          <w:rFonts w:ascii="Cambria" w:hAnsi="Cambria"/>
          <w:sz w:val="20"/>
          <w:szCs w:val="20"/>
          <w:lang w:val="es-ES"/>
        </w:rPr>
        <w:t xml:space="preserve">: </w:t>
      </w:r>
    </w:p>
    <w:p w14:paraId="6ACD7E73" w14:textId="77777777" w:rsidR="000E02EC" w:rsidRPr="00E9543F" w:rsidRDefault="000E02EC"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lang w:val="es-ES"/>
        </w:rPr>
      </w:pPr>
    </w:p>
    <w:p w14:paraId="5D5C5141" w14:textId="6D4BB315" w:rsidR="00C03B38" w:rsidRPr="004C299F" w:rsidRDefault="00C03B38" w:rsidP="005827A7">
      <w:pPr>
        <w:pStyle w:val="ListParagraph"/>
        <w:numPr>
          <w:ilvl w:val="0"/>
          <w:numId w:val="0"/>
        </w:numPr>
        <w:ind w:left="720"/>
      </w:pPr>
      <w:r w:rsidRPr="004C299F">
        <w:t>Según la información recibida por el Comité, el Sr. Maykel Castillo Pérez estaba almorzando en su residencia (Lamparilla No 408, municipio Habana Vieja), el 18 de mayo de 2021 cuando, alrededor de las 5pm llegaron agentes de la Policía Nacional Revolucionaria (P.N.R.) y de la Seguridad del Estado. Los agentes arrestaron y</w:t>
      </w:r>
      <w:r w:rsidR="006212B3" w:rsidRPr="004C299F">
        <w:t xml:space="preserve"> </w:t>
      </w:r>
      <w:r w:rsidRPr="004C299F">
        <w:t xml:space="preserve">esposaron al Sr. Maykel Castillo </w:t>
      </w:r>
      <w:r w:rsidR="1D4BDAFE" w:rsidRPr="004C299F">
        <w:t>Pérez</w:t>
      </w:r>
      <w:r w:rsidRPr="004C299F">
        <w:t xml:space="preserve"> y lo sacaron de su casa, sin dejarle ponerse zapatos ni camisa. Desde este día, se desconoce el paradero del Sr. Maykel Castillo Pérez.</w:t>
      </w:r>
    </w:p>
    <w:p w14:paraId="6067A1A9" w14:textId="77777777" w:rsidR="006212B3" w:rsidRPr="004C299F" w:rsidRDefault="006212B3" w:rsidP="005827A7">
      <w:pPr>
        <w:pStyle w:val="ListParagraph"/>
        <w:numPr>
          <w:ilvl w:val="0"/>
          <w:numId w:val="0"/>
        </w:numPr>
        <w:ind w:left="720"/>
      </w:pPr>
      <w:r w:rsidRPr="004C299F">
        <w:t xml:space="preserve">Según la información recibida por el Comité, los familiares del Sr. Maykel Castillo Pérez llamaron a la pizarra de información 106, donde le dijeron que el Sr. Maykel Castillo Pérez se encontraba detenido en la Cuarta Estación de la P.N.R., sita en la Calzada de Infanta entre la Avenida Arroyo (Manglar) y la calle Amenidad, en el Municipio el Cerro. Cuando sus familiares llamaron a dicha Estación de la P.N.R., le dijeron que el Sr. Maykel Castillo Pérez no estaba detenido ahí. </w:t>
      </w:r>
    </w:p>
    <w:p w14:paraId="5A4A0FA1" w14:textId="0EF7B3C5" w:rsidR="006212B3" w:rsidRPr="004C299F" w:rsidRDefault="006212B3" w:rsidP="005827A7">
      <w:pPr>
        <w:pStyle w:val="ListParagraph"/>
        <w:numPr>
          <w:ilvl w:val="0"/>
          <w:numId w:val="0"/>
        </w:numPr>
        <w:ind w:left="720"/>
      </w:pPr>
      <w:r w:rsidRPr="004C299F">
        <w:t>Según la información recibida por el Comité, los familiares del Sr. Maykel Castillo Pérez presentaron un</w:t>
      </w:r>
      <w:r w:rsidR="5444CAE9" w:rsidRPr="004C299F">
        <w:t xml:space="preserve"> há</w:t>
      </w:r>
      <w:r w:rsidRPr="004C299F">
        <w:t xml:space="preserve">beas </w:t>
      </w:r>
      <w:r w:rsidR="4CE44BB9" w:rsidRPr="004C299F">
        <w:t>c</w:t>
      </w:r>
      <w:r w:rsidRPr="004C299F">
        <w:t>orpus el 19 de mayo de 2021. El 24 de mayo de 2021, el Tribunal Provincial Popular de la Habana respondió que el Sr. Maykel Castillo Pérez se encuentra sujeto a la medida cautelar de prisión provisional. Según la información recibida por el Comité, se desconoce la real existencia y motivo de la medida cautelar y el Sr Maykel Castillo Pérez no ha tenido derecho a comunicarse con su familia o su abogado</w:t>
      </w:r>
      <w:r w:rsidR="009B2DFF" w:rsidRPr="004C299F">
        <w:rPr>
          <w:rStyle w:val="FootnoteReference"/>
          <w:lang w:val="es-ES"/>
        </w:rPr>
        <w:footnoteReference w:id="68"/>
      </w:r>
      <w:r w:rsidR="008C4951" w:rsidRPr="004C299F">
        <w:t>.</w:t>
      </w:r>
    </w:p>
    <w:p w14:paraId="24A46753" w14:textId="6DA0CBAB" w:rsidR="00807CAC" w:rsidRPr="00E9543F" w:rsidRDefault="00807CAC"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lang w:val="es-ES"/>
        </w:rPr>
      </w:pPr>
    </w:p>
    <w:p w14:paraId="0A3B7705" w14:textId="15A8E6C2" w:rsidR="00E143F8" w:rsidRPr="00BD6C53" w:rsidRDefault="00015735" w:rsidP="001A4728">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lang w:val="es-ES"/>
        </w:rPr>
      </w:pPr>
      <w:r w:rsidRPr="749ACC70">
        <w:rPr>
          <w:rFonts w:ascii="Cambria" w:hAnsi="Cambria"/>
          <w:sz w:val="20"/>
          <w:szCs w:val="20"/>
          <w:lang w:val="es-ES"/>
        </w:rPr>
        <w:t xml:space="preserve">La Comisión </w:t>
      </w:r>
      <w:r w:rsidR="005D2B31" w:rsidRPr="749ACC70">
        <w:rPr>
          <w:rFonts w:ascii="Cambria" w:hAnsi="Cambria"/>
          <w:sz w:val="20"/>
          <w:szCs w:val="20"/>
          <w:lang w:val="es-ES"/>
        </w:rPr>
        <w:t>observa</w:t>
      </w:r>
      <w:r w:rsidRPr="749ACC70">
        <w:rPr>
          <w:rFonts w:ascii="Cambria" w:hAnsi="Cambria"/>
          <w:sz w:val="20"/>
          <w:szCs w:val="20"/>
          <w:lang w:val="es-ES"/>
        </w:rPr>
        <w:t xml:space="preserve"> que no cuenta con mayor información sobre el procedimiento ante el Comité contra la Desaparición Forzada. </w:t>
      </w:r>
    </w:p>
    <w:p w14:paraId="24ACBB09" w14:textId="5DC7A864" w:rsidR="00E143F8" w:rsidRPr="00E9543F" w:rsidRDefault="00E143F8"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lang w:val="es-ES"/>
        </w:rPr>
      </w:pPr>
    </w:p>
    <w:p w14:paraId="687623EF" w14:textId="07EAD036" w:rsidR="00FD08BD" w:rsidRPr="00BD6C53" w:rsidRDefault="00E101A0" w:rsidP="001A4728">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lang w:val="es-ES"/>
        </w:rPr>
      </w:pPr>
      <w:r w:rsidRPr="00BD6C53">
        <w:rPr>
          <w:rFonts w:ascii="Cambria" w:hAnsi="Cambria"/>
          <w:sz w:val="20"/>
          <w:szCs w:val="20"/>
          <w:lang w:val="es-ES"/>
        </w:rPr>
        <w:t>Frente a la detención</w:t>
      </w:r>
      <w:r w:rsidR="000F30A5" w:rsidRPr="00BD6C53">
        <w:rPr>
          <w:rFonts w:ascii="Cambria" w:hAnsi="Cambria"/>
          <w:sz w:val="20"/>
          <w:szCs w:val="20"/>
          <w:lang w:val="es-ES"/>
        </w:rPr>
        <w:t xml:space="preserve"> </w:t>
      </w:r>
      <w:r w:rsidR="00FC1DAF" w:rsidRPr="00BD6C53">
        <w:rPr>
          <w:rFonts w:ascii="Cambria" w:hAnsi="Cambria"/>
          <w:sz w:val="20"/>
          <w:szCs w:val="20"/>
          <w:lang w:val="es-ES"/>
        </w:rPr>
        <w:t>d</w:t>
      </w:r>
      <w:r w:rsidR="000F30A5" w:rsidRPr="00BD6C53">
        <w:rPr>
          <w:rFonts w:ascii="Cambria" w:hAnsi="Cambria"/>
          <w:sz w:val="20"/>
          <w:szCs w:val="20"/>
          <w:lang w:val="es-ES"/>
        </w:rPr>
        <w:t>e 18 de mayo de 2021</w:t>
      </w:r>
      <w:r w:rsidRPr="00BD6C53">
        <w:rPr>
          <w:rFonts w:ascii="Cambria" w:hAnsi="Cambria"/>
          <w:sz w:val="20"/>
          <w:szCs w:val="20"/>
          <w:lang w:val="es-ES"/>
        </w:rPr>
        <w:t xml:space="preserve"> del señor Castillo (</w:t>
      </w:r>
      <w:r w:rsidRPr="749ACC70">
        <w:rPr>
          <w:rFonts w:ascii="Cambria" w:hAnsi="Cambria"/>
          <w:i/>
          <w:iCs/>
          <w:sz w:val="20"/>
          <w:szCs w:val="20"/>
          <w:lang w:val="es-ES"/>
        </w:rPr>
        <w:t>supra</w:t>
      </w:r>
      <w:r w:rsidRPr="00BD6C53">
        <w:rPr>
          <w:rFonts w:ascii="Cambria" w:hAnsi="Cambria"/>
          <w:sz w:val="20"/>
          <w:szCs w:val="20"/>
          <w:lang w:val="es-ES"/>
        </w:rPr>
        <w:t xml:space="preserve"> párr. 35)</w:t>
      </w:r>
      <w:r w:rsidR="000F30A5" w:rsidRPr="00BD6C53">
        <w:rPr>
          <w:rFonts w:ascii="Cambria" w:hAnsi="Cambria"/>
          <w:sz w:val="20"/>
          <w:szCs w:val="20"/>
          <w:lang w:val="es-ES"/>
        </w:rPr>
        <w:t xml:space="preserve">, </w:t>
      </w:r>
      <w:r w:rsidRPr="00BD6C53">
        <w:rPr>
          <w:rFonts w:ascii="Cambria" w:hAnsi="Cambria"/>
          <w:sz w:val="20"/>
          <w:szCs w:val="20"/>
          <w:lang w:val="es-ES"/>
        </w:rPr>
        <w:t>se emitió un</w:t>
      </w:r>
      <w:r w:rsidR="000F30A5" w:rsidRPr="00BD6C53">
        <w:rPr>
          <w:rFonts w:ascii="Cambria" w:hAnsi="Cambria"/>
          <w:sz w:val="20"/>
          <w:szCs w:val="20"/>
          <w:lang w:val="es-ES"/>
        </w:rPr>
        <w:t xml:space="preserve"> comunicado conjunto de las organizaciones CADAL, </w:t>
      </w:r>
      <w:r w:rsidR="000F30A5" w:rsidRPr="749ACC70">
        <w:rPr>
          <w:rFonts w:ascii="Cambria" w:hAnsi="Cambria"/>
          <w:i/>
          <w:iCs/>
          <w:sz w:val="20"/>
          <w:szCs w:val="20"/>
          <w:lang w:val="es-ES"/>
        </w:rPr>
        <w:t>Freedom House</w:t>
      </w:r>
      <w:r w:rsidR="000F30A5" w:rsidRPr="00BD6C53">
        <w:rPr>
          <w:rFonts w:ascii="Cambria" w:hAnsi="Cambria"/>
          <w:sz w:val="20"/>
          <w:szCs w:val="20"/>
          <w:lang w:val="es-ES"/>
        </w:rPr>
        <w:t xml:space="preserve">, </w:t>
      </w:r>
      <w:r w:rsidR="000F30A5" w:rsidRPr="749ACC70">
        <w:rPr>
          <w:rFonts w:ascii="Cambria" w:hAnsi="Cambria"/>
          <w:i/>
          <w:iCs/>
          <w:sz w:val="20"/>
          <w:szCs w:val="20"/>
          <w:lang w:val="es-ES"/>
        </w:rPr>
        <w:t>Freemuse</w:t>
      </w:r>
      <w:r w:rsidR="000F30A5" w:rsidRPr="00BD6C53">
        <w:rPr>
          <w:rFonts w:ascii="Cambria" w:hAnsi="Cambria"/>
          <w:sz w:val="20"/>
          <w:szCs w:val="20"/>
          <w:lang w:val="es-ES"/>
        </w:rPr>
        <w:t xml:space="preserve">, PEN </w:t>
      </w:r>
      <w:r w:rsidR="00F53070" w:rsidRPr="00BD6C53">
        <w:rPr>
          <w:rFonts w:ascii="Cambria" w:hAnsi="Cambria"/>
          <w:sz w:val="20"/>
          <w:szCs w:val="20"/>
          <w:lang w:val="es-ES"/>
        </w:rPr>
        <w:t>América</w:t>
      </w:r>
      <w:r w:rsidR="000F30A5" w:rsidRPr="00BD6C53">
        <w:rPr>
          <w:rFonts w:ascii="Cambria" w:hAnsi="Cambria"/>
          <w:sz w:val="20"/>
          <w:szCs w:val="20"/>
          <w:lang w:val="es-ES"/>
        </w:rPr>
        <w:t xml:space="preserve"> y PEN International</w:t>
      </w:r>
      <w:r w:rsidRPr="00BD6C53">
        <w:rPr>
          <w:rFonts w:ascii="Cambria" w:hAnsi="Cambria"/>
          <w:sz w:val="20"/>
          <w:szCs w:val="20"/>
          <w:lang w:val="es-ES"/>
        </w:rPr>
        <w:t xml:space="preserve">. Solicitaron </w:t>
      </w:r>
      <w:r w:rsidR="000F30A5" w:rsidRPr="00BD6C53">
        <w:rPr>
          <w:rFonts w:ascii="Cambria" w:hAnsi="Cambria"/>
          <w:sz w:val="20"/>
          <w:szCs w:val="20"/>
          <w:lang w:val="es-ES"/>
        </w:rPr>
        <w:t xml:space="preserve">un informe ante el Grupo de Trabajo de </w:t>
      </w:r>
      <w:r w:rsidRPr="00BD6C53">
        <w:rPr>
          <w:rFonts w:ascii="Cambria" w:hAnsi="Cambria"/>
          <w:sz w:val="20"/>
          <w:szCs w:val="20"/>
          <w:lang w:val="es-ES"/>
        </w:rPr>
        <w:t xml:space="preserve">Naciones Unidas </w:t>
      </w:r>
      <w:r w:rsidR="000F30A5" w:rsidRPr="00BD6C53">
        <w:rPr>
          <w:rFonts w:ascii="Cambria" w:hAnsi="Cambria"/>
          <w:sz w:val="20"/>
          <w:szCs w:val="20"/>
          <w:lang w:val="es-ES"/>
        </w:rPr>
        <w:t>sobre Detención Arbitraria por la detención del señor Castillo Pérez</w:t>
      </w:r>
      <w:r w:rsidR="000F30A5" w:rsidRPr="00BD6C53">
        <w:rPr>
          <w:rStyle w:val="FootnoteReference"/>
          <w:rFonts w:ascii="Cambria" w:hAnsi="Cambria"/>
          <w:sz w:val="20"/>
          <w:szCs w:val="20"/>
          <w:lang w:val="es-ES"/>
        </w:rPr>
        <w:footnoteReference w:id="69"/>
      </w:r>
      <w:r w:rsidR="000F30A5" w:rsidRPr="00BD6C53">
        <w:rPr>
          <w:rFonts w:ascii="Cambria" w:hAnsi="Cambria"/>
          <w:sz w:val="20"/>
          <w:szCs w:val="20"/>
          <w:lang w:val="es-ES"/>
        </w:rPr>
        <w:t>.</w:t>
      </w:r>
      <w:r w:rsidR="00E143F8" w:rsidRPr="00BD6C53">
        <w:rPr>
          <w:rFonts w:ascii="Cambria" w:hAnsi="Cambria"/>
          <w:sz w:val="20"/>
          <w:szCs w:val="20"/>
          <w:lang w:val="es-ES"/>
        </w:rPr>
        <w:t xml:space="preserve"> </w:t>
      </w:r>
      <w:r w:rsidR="00FD08BD" w:rsidRPr="00BD6C53">
        <w:rPr>
          <w:rFonts w:ascii="Cambria" w:hAnsi="Cambria"/>
          <w:sz w:val="20"/>
          <w:szCs w:val="20"/>
          <w:lang w:val="es-ES"/>
        </w:rPr>
        <w:t xml:space="preserve">La Comisión nota que en virtud de la petición realizada el Grupo de Trabajo de Naciones Unidas concluyó lo siguiente: </w:t>
      </w:r>
    </w:p>
    <w:p w14:paraId="25954AB2" w14:textId="77777777" w:rsidR="00FD08BD" w:rsidRPr="00E9543F" w:rsidRDefault="00FD08BD"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lang w:val="es-ES"/>
        </w:rPr>
      </w:pPr>
    </w:p>
    <w:p w14:paraId="3AC5B892" w14:textId="1BA1211E" w:rsidR="00FD08BD" w:rsidRPr="004C299F" w:rsidRDefault="00FD08BD" w:rsidP="005827A7">
      <w:pPr>
        <w:pStyle w:val="ListParagraph"/>
        <w:numPr>
          <w:ilvl w:val="0"/>
          <w:numId w:val="0"/>
        </w:numPr>
        <w:ind w:left="720"/>
      </w:pPr>
      <w:r w:rsidRPr="004C299F">
        <w:t>La privación de libertad de Maykel Castillo Pérez es arbitraria, por cuanto contraviene los artículos 3, 5, 8, 9, 10, 11 y 12 de la Declaración Universal de Derechos Humanos</w:t>
      </w:r>
      <w:r w:rsidR="001B3E44" w:rsidRPr="004C299F">
        <w:t xml:space="preserve"> </w:t>
      </w:r>
      <w:r w:rsidRPr="004C299F">
        <w:t>(…)</w:t>
      </w:r>
      <w:r w:rsidR="001B3E44" w:rsidRPr="004C299F">
        <w:t>.</w:t>
      </w:r>
    </w:p>
    <w:p w14:paraId="5FCD3F6B" w14:textId="77777777" w:rsidR="00FD08BD" w:rsidRPr="004C299F" w:rsidRDefault="00FD08BD" w:rsidP="005827A7">
      <w:pPr>
        <w:pStyle w:val="ListParagraph"/>
        <w:numPr>
          <w:ilvl w:val="0"/>
          <w:numId w:val="0"/>
        </w:numPr>
        <w:ind w:left="720"/>
      </w:pPr>
      <w:r w:rsidRPr="004C299F">
        <w:t xml:space="preserve">El Grupo de Trabajo considera que, teniendo en cuenta todas las circunstancias del caso, el remedio adecuado sería poner al Sr. Castillo inmediatamente en libertad y concederle el derecho efectivo a obtener una indemnización y otros tipos de reparación, de conformidad con el derecho internacional. </w:t>
      </w:r>
    </w:p>
    <w:p w14:paraId="44504485" w14:textId="6006E64D" w:rsidR="00FD08BD" w:rsidRPr="004C299F" w:rsidRDefault="00FD08BD" w:rsidP="005827A7">
      <w:pPr>
        <w:pStyle w:val="ListParagraph"/>
        <w:numPr>
          <w:ilvl w:val="0"/>
          <w:numId w:val="0"/>
        </w:numPr>
        <w:ind w:left="720"/>
      </w:pPr>
      <w:r w:rsidRPr="004C299F">
        <w:t>El Grupo de Trabajo insta al Gobierno a que lleve a cabo una investigación exhaustiva e independiente de las circunstancias en torno a la privación arbitraria de libertad del Sr. Castillo y adopte las medidas pertinentes contra los responsables de la violación de sus derechos</w:t>
      </w:r>
      <w:r w:rsidRPr="004C299F">
        <w:rPr>
          <w:rStyle w:val="FootnoteReference"/>
          <w:lang w:val="es-ES"/>
        </w:rPr>
        <w:footnoteReference w:id="70"/>
      </w:r>
      <w:r w:rsidRPr="004C299F">
        <w:t>.</w:t>
      </w:r>
    </w:p>
    <w:p w14:paraId="14908468" w14:textId="77777777" w:rsidR="00FD08BD" w:rsidRPr="00E9543F" w:rsidRDefault="00FD08BD"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lang w:val="es-ES"/>
        </w:rPr>
      </w:pPr>
    </w:p>
    <w:p w14:paraId="65DC7270" w14:textId="1DE06E1D" w:rsidR="006212B3" w:rsidRPr="00BD6C53" w:rsidRDefault="001B3E44" w:rsidP="001A4728">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lang w:val="es-ES"/>
        </w:rPr>
      </w:pPr>
      <w:r w:rsidRPr="749ACC70">
        <w:rPr>
          <w:rFonts w:ascii="Cambria" w:hAnsi="Cambria"/>
          <w:sz w:val="20"/>
          <w:szCs w:val="20"/>
          <w:lang w:val="es-ES"/>
        </w:rPr>
        <w:t>E</w:t>
      </w:r>
      <w:r w:rsidR="00015735" w:rsidRPr="749ACC70">
        <w:rPr>
          <w:rFonts w:ascii="Cambria" w:hAnsi="Cambria"/>
          <w:sz w:val="20"/>
          <w:szCs w:val="20"/>
          <w:lang w:val="es-ES"/>
        </w:rPr>
        <w:t xml:space="preserve">l 1 de agosto de 2023 la organización Amnistía Internacional emitió una comunicación de acción urgente sobre la situación de Maykel Castillo Pérez. Amnistía </w:t>
      </w:r>
      <w:r w:rsidR="000F30A5" w:rsidRPr="749ACC70">
        <w:rPr>
          <w:rFonts w:ascii="Cambria" w:hAnsi="Cambria"/>
          <w:sz w:val="20"/>
          <w:szCs w:val="20"/>
          <w:lang w:val="es-ES"/>
        </w:rPr>
        <w:t xml:space="preserve">Internacional </w:t>
      </w:r>
      <w:r w:rsidR="00015735" w:rsidRPr="749ACC70">
        <w:rPr>
          <w:rFonts w:ascii="Cambria" w:hAnsi="Cambria"/>
          <w:sz w:val="20"/>
          <w:szCs w:val="20"/>
          <w:lang w:val="es-ES"/>
        </w:rPr>
        <w:t xml:space="preserve">sostuvo </w:t>
      </w:r>
      <w:r w:rsidR="00E30B3F" w:rsidRPr="749ACC70">
        <w:rPr>
          <w:rFonts w:ascii="Cambria" w:hAnsi="Cambria"/>
          <w:sz w:val="20"/>
          <w:szCs w:val="20"/>
          <w:lang w:val="es-ES"/>
        </w:rPr>
        <w:t>lo siguiente</w:t>
      </w:r>
      <w:r w:rsidR="00015735" w:rsidRPr="749ACC70">
        <w:rPr>
          <w:rFonts w:ascii="Cambria" w:hAnsi="Cambria"/>
          <w:sz w:val="20"/>
          <w:szCs w:val="20"/>
          <w:lang w:val="es-ES"/>
        </w:rPr>
        <w:t xml:space="preserve">: </w:t>
      </w:r>
    </w:p>
    <w:p w14:paraId="26834270" w14:textId="77777777" w:rsidR="006212B3" w:rsidRPr="00E9543F" w:rsidRDefault="006212B3"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Theme="majorHAnsi" w:hAnsiTheme="majorHAnsi"/>
          <w:sz w:val="20"/>
          <w:szCs w:val="20"/>
          <w:lang w:val="es-ES"/>
        </w:rPr>
      </w:pPr>
    </w:p>
    <w:p w14:paraId="0384602B" w14:textId="77777777" w:rsidR="009B2DFF" w:rsidRPr="004C299F" w:rsidRDefault="006212B3" w:rsidP="005827A7">
      <w:pPr>
        <w:pStyle w:val="ListParagraph"/>
        <w:numPr>
          <w:ilvl w:val="0"/>
          <w:numId w:val="0"/>
        </w:numPr>
        <w:ind w:left="720"/>
      </w:pPr>
      <w:r w:rsidRPr="004C299F">
        <w:t xml:space="preserve">El 18 de mayo de 2021, unos agentes de la Seguridad del Estado lo detuvieron en su casa y, durante los 10 días siguientes, se negaron a facilitar a sus familiares y seres queridos información sobre su paradero. En enero de 2022, el Grupo de Trabajo de la ONU sobre la Detención Arbitraria concluyó que Maykel Castillo Pérez había sido detenido arbitrariamente y declaró que el gobierno cubano debía ponerlo en libertad de inmediato. </w:t>
      </w:r>
    </w:p>
    <w:p w14:paraId="4B36B79C" w14:textId="77777777" w:rsidR="009B2DFF" w:rsidRPr="004C299F" w:rsidRDefault="006212B3" w:rsidP="005827A7">
      <w:pPr>
        <w:pStyle w:val="ListParagraph"/>
        <w:numPr>
          <w:ilvl w:val="0"/>
          <w:numId w:val="0"/>
        </w:numPr>
        <w:ind w:left="720"/>
      </w:pPr>
      <w:r w:rsidRPr="004C299F">
        <w:lastRenderedPageBreak/>
        <w:t xml:space="preserve">El grupo de especialistas de la ONU concluyó que Castillo Pérez había sido detenido por ejercer sus derechos fundamentales y que había sufrido violaciones del debido proceso, incluidas limitaciones abusivas a su derecho a defenderse. En junio de 2022, el Juzgado Municipal Popular de Centro Habana condenó a Maykel a nueve años de prisión. Castillo sigue actualmente en la cárcel “Cinco y Medio” de Pinar del Río (Cuba), su salud es precaria y tiene acceso limitado a atención médica de calidad. </w:t>
      </w:r>
    </w:p>
    <w:p w14:paraId="79B8A940" w14:textId="3C420140" w:rsidR="009B2DFF" w:rsidRPr="004C299F" w:rsidRDefault="006212B3" w:rsidP="005827A7">
      <w:pPr>
        <w:pStyle w:val="ListParagraph"/>
        <w:numPr>
          <w:ilvl w:val="0"/>
          <w:numId w:val="0"/>
        </w:numPr>
        <w:ind w:left="720"/>
      </w:pPr>
      <w:r w:rsidRPr="004C299F">
        <w:t xml:space="preserve">Las autoridades cubanas no han respondido a la petición de Castillo Pérez de salir del país con su familia. Tanto Maykel como su familia habían recibido la aprobación para viajar a Estados Unidos a principios de 2023. </w:t>
      </w:r>
    </w:p>
    <w:p w14:paraId="66FED9FE" w14:textId="59FDD3F1" w:rsidR="009B2DFF" w:rsidRPr="004C299F" w:rsidRDefault="006212B3" w:rsidP="005827A7">
      <w:pPr>
        <w:pStyle w:val="ListParagraph"/>
        <w:numPr>
          <w:ilvl w:val="0"/>
          <w:numId w:val="0"/>
        </w:numPr>
        <w:ind w:left="720"/>
      </w:pPr>
      <w:r w:rsidRPr="004C299F">
        <w:t xml:space="preserve">Desde principios de abril de 2023, la organización empezó a recibir informes de que otros reclusos estaban hostigando y amenazando a Maykel con hacerle daño después de que las autoridades instalaran una cámara en la zona en la que está recluido. Maykel presentó una queja ante las autoridades cubanas, que no le han dado aún una respuesta que garantice su seguridad. </w:t>
      </w:r>
    </w:p>
    <w:p w14:paraId="3913AE42" w14:textId="69941479" w:rsidR="006212B3" w:rsidRPr="004C299F" w:rsidRDefault="006212B3" w:rsidP="005827A7">
      <w:pPr>
        <w:pStyle w:val="ListParagraph"/>
        <w:numPr>
          <w:ilvl w:val="0"/>
          <w:numId w:val="0"/>
        </w:numPr>
        <w:ind w:left="720"/>
      </w:pPr>
      <w:r w:rsidRPr="004C299F">
        <w:t>El 12 de julio, Maykel se cosió la boca y se tatuó “Patria y vida” como protesta por las amenazas a su vida que recibe desde hace meses de otros reclusos y de agentes de la Seguridad del Estado. Al día siguiente, las autoridades le descosieron la boca y le informaron de que, como castigo, le iban a negar las visitas de su familia</w:t>
      </w:r>
      <w:r w:rsidR="00015735" w:rsidRPr="004C299F">
        <w:rPr>
          <w:rStyle w:val="FootnoteReference"/>
          <w:lang w:val="es-ES"/>
        </w:rPr>
        <w:footnoteReference w:id="71"/>
      </w:r>
      <w:r w:rsidR="00FA6E2C" w:rsidRPr="004C299F">
        <w:t>.</w:t>
      </w:r>
    </w:p>
    <w:p w14:paraId="532C607A" w14:textId="77777777" w:rsidR="001A574E" w:rsidRPr="00E9543F" w:rsidRDefault="001A574E"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Theme="majorHAnsi" w:hAnsiTheme="majorHAnsi"/>
          <w:sz w:val="20"/>
          <w:szCs w:val="20"/>
          <w:lang w:val="es-ES"/>
        </w:rPr>
      </w:pPr>
    </w:p>
    <w:p w14:paraId="1EDF0327" w14:textId="2CACAD8D" w:rsidR="00FC1DAF" w:rsidRPr="00BD6C53" w:rsidRDefault="001A574E" w:rsidP="001A4728">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Theme="majorHAnsi" w:hAnsiTheme="majorHAnsi"/>
          <w:sz w:val="20"/>
          <w:szCs w:val="20"/>
          <w:lang w:val="es-ES"/>
        </w:rPr>
      </w:pPr>
      <w:r w:rsidRPr="749ACC70">
        <w:rPr>
          <w:rFonts w:asciiTheme="majorHAnsi" w:hAnsiTheme="majorHAnsi"/>
          <w:sz w:val="20"/>
          <w:szCs w:val="20"/>
          <w:lang w:val="es-ES"/>
        </w:rPr>
        <w:t>La</w:t>
      </w:r>
      <w:r w:rsidR="00E554D1" w:rsidRPr="749ACC70">
        <w:rPr>
          <w:rFonts w:asciiTheme="majorHAnsi" w:hAnsiTheme="majorHAnsi"/>
          <w:sz w:val="20"/>
          <w:szCs w:val="20"/>
          <w:lang w:val="es-ES"/>
        </w:rPr>
        <w:t xml:space="preserve"> Comisión </w:t>
      </w:r>
      <w:r w:rsidRPr="749ACC70">
        <w:rPr>
          <w:rFonts w:asciiTheme="majorHAnsi" w:hAnsiTheme="majorHAnsi"/>
          <w:sz w:val="20"/>
          <w:szCs w:val="20"/>
          <w:lang w:val="es-ES"/>
        </w:rPr>
        <w:t xml:space="preserve">señala que </w:t>
      </w:r>
      <w:r w:rsidR="00E554D1" w:rsidRPr="749ACC70">
        <w:rPr>
          <w:rFonts w:asciiTheme="majorHAnsi" w:hAnsiTheme="majorHAnsi"/>
          <w:sz w:val="20"/>
          <w:szCs w:val="20"/>
          <w:lang w:val="es-ES"/>
        </w:rPr>
        <w:t xml:space="preserve">no cuenta con mayor información </w:t>
      </w:r>
      <w:r w:rsidRPr="749ACC70">
        <w:rPr>
          <w:rFonts w:asciiTheme="majorHAnsi" w:hAnsiTheme="majorHAnsi"/>
          <w:sz w:val="20"/>
          <w:szCs w:val="20"/>
          <w:lang w:val="es-ES"/>
        </w:rPr>
        <w:t>sobre la</w:t>
      </w:r>
      <w:r w:rsidR="00824132" w:rsidRPr="749ACC70">
        <w:rPr>
          <w:rFonts w:asciiTheme="majorHAnsi" w:hAnsiTheme="majorHAnsi"/>
          <w:sz w:val="20"/>
          <w:szCs w:val="20"/>
          <w:lang w:val="es-ES"/>
        </w:rPr>
        <w:t xml:space="preserve"> detención actual del señor Castillo Pérez y su</w:t>
      </w:r>
      <w:r w:rsidRPr="749ACC70">
        <w:rPr>
          <w:rFonts w:asciiTheme="majorHAnsi" w:hAnsiTheme="majorHAnsi"/>
          <w:sz w:val="20"/>
          <w:szCs w:val="20"/>
          <w:lang w:val="es-ES"/>
        </w:rPr>
        <w:t xml:space="preserve"> situación procesal</w:t>
      </w:r>
      <w:r w:rsidR="00E554D1" w:rsidRPr="749ACC70">
        <w:rPr>
          <w:rFonts w:asciiTheme="majorHAnsi" w:hAnsiTheme="majorHAnsi"/>
          <w:sz w:val="20"/>
          <w:szCs w:val="20"/>
          <w:lang w:val="es-ES"/>
        </w:rPr>
        <w:t xml:space="preserve">. </w:t>
      </w:r>
    </w:p>
    <w:p w14:paraId="510DE307" w14:textId="77777777" w:rsidR="00FC1DAF" w:rsidRPr="00E9543F" w:rsidRDefault="00FC1DAF"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Theme="majorHAnsi" w:hAnsiTheme="majorHAnsi"/>
          <w:sz w:val="20"/>
          <w:szCs w:val="20"/>
          <w:lang w:val="es-ES"/>
        </w:rPr>
      </w:pPr>
    </w:p>
    <w:p w14:paraId="0F6052E6" w14:textId="77777777" w:rsidR="00D12193" w:rsidRPr="00E9543F" w:rsidRDefault="00D12193" w:rsidP="003D5660">
      <w:pPr>
        <w:pStyle w:val="Heading1"/>
        <w:ind w:left="720"/>
      </w:pPr>
      <w:bookmarkStart w:id="25" w:name="_Toc216356085"/>
      <w:r w:rsidRPr="749ACC70">
        <w:t>ANÁLISIS DE DERECHO</w:t>
      </w:r>
      <w:bookmarkEnd w:id="25"/>
    </w:p>
    <w:p w14:paraId="4D10AB35" w14:textId="77777777" w:rsidR="005D0DB1" w:rsidRPr="00E9543F" w:rsidRDefault="005D0DB1" w:rsidP="749ACC70">
      <w:pPr>
        <w:tabs>
          <w:tab w:val="left" w:pos="360"/>
        </w:tabs>
        <w:suppressAutoHyphens/>
        <w:rPr>
          <w:rFonts w:asciiTheme="majorHAnsi" w:hAnsiTheme="majorHAnsi"/>
          <w:b/>
          <w:bCs/>
          <w:sz w:val="20"/>
          <w:szCs w:val="20"/>
          <w:lang w:val="es-ES"/>
        </w:rPr>
      </w:pPr>
    </w:p>
    <w:p w14:paraId="1384F64F" w14:textId="003B13C0" w:rsidR="000A39E4" w:rsidRPr="00E9543F" w:rsidRDefault="0022273F" w:rsidP="001A4728">
      <w:pPr>
        <w:pStyle w:val="Heading2"/>
        <w:numPr>
          <w:ilvl w:val="0"/>
          <w:numId w:val="65"/>
        </w:numPr>
      </w:pPr>
      <w:bookmarkStart w:id="26" w:name="_Toc216356086"/>
      <w:r>
        <w:t>Cuesti</w:t>
      </w:r>
      <w:r w:rsidR="0008537A">
        <w:t>ón</w:t>
      </w:r>
      <w:r>
        <w:t xml:space="preserve"> previa</w:t>
      </w:r>
      <w:bookmarkEnd w:id="26"/>
    </w:p>
    <w:p w14:paraId="799183AA" w14:textId="77777777" w:rsidR="00A707DB" w:rsidRPr="00E9543F" w:rsidRDefault="00A707DB" w:rsidP="00A707DB">
      <w:pPr>
        <w:rPr>
          <w:lang w:val="es-ES"/>
        </w:rPr>
      </w:pPr>
    </w:p>
    <w:p w14:paraId="6B43D806" w14:textId="68059E5F" w:rsidR="00A707DB" w:rsidRPr="00E9543F" w:rsidRDefault="00A707DB" w:rsidP="001A4728">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color w:val="000000"/>
          <w:sz w:val="20"/>
          <w:szCs w:val="20"/>
          <w:lang w:val="es-ES"/>
        </w:rPr>
      </w:pPr>
      <w:r w:rsidRPr="7AB0424C">
        <w:rPr>
          <w:rFonts w:ascii="Cambria" w:eastAsia="Times New Roman" w:hAnsi="Cambria"/>
          <w:color w:val="000000"/>
          <w:sz w:val="20"/>
          <w:szCs w:val="20"/>
          <w:bdr w:val="none" w:sz="0" w:space="0" w:color="auto"/>
          <w:lang w:val="es-ES"/>
        </w:rPr>
        <w:t xml:space="preserve">De manera preliminar, la Comisión recuerda que el artículo 20 del Estatuto de la Comisión y el artículo 23 de su Reglamento la autorizan a examinar presuntas violaciones de la Declaración Americana por parte de los Estados </w:t>
      </w:r>
      <w:r w:rsidRPr="00E9543F">
        <w:rPr>
          <w:rFonts w:ascii="Cambria" w:hAnsi="Cambria"/>
          <w:sz w:val="20"/>
          <w:szCs w:val="20"/>
          <w:lang w:val="es-ES"/>
        </w:rPr>
        <w:t>miembros</w:t>
      </w:r>
      <w:r w:rsidRPr="7AB0424C">
        <w:rPr>
          <w:rFonts w:ascii="Cambria" w:eastAsia="Times New Roman" w:hAnsi="Cambria"/>
          <w:color w:val="000000"/>
          <w:sz w:val="20"/>
          <w:szCs w:val="20"/>
          <w:bdr w:val="none" w:sz="0" w:space="0" w:color="auto"/>
          <w:lang w:val="es-ES"/>
        </w:rPr>
        <w:t xml:space="preserve"> de la OEA. La CIDH resalta que la Declaración Americana es fuente de obligaciones jurídicas sobre la base del compromiso de los Estados de promover la defensa de los derechos humanos. Ello de acuerdo con lo dispuesto y definido en la Carta de la OEA</w:t>
      </w:r>
      <w:bookmarkStart w:id="27" w:name="_Ref526241249"/>
      <w:r w:rsidRPr="7AB0424C">
        <w:rPr>
          <w:rStyle w:val="FootnoteReference"/>
          <w:rFonts w:ascii="Cambria" w:eastAsia="Times New Roman" w:hAnsi="Cambria"/>
          <w:sz w:val="20"/>
          <w:szCs w:val="20"/>
          <w:bdr w:val="none" w:sz="0" w:space="0" w:color="auto"/>
          <w:lang w:val="es-ES"/>
        </w:rPr>
        <w:footnoteReference w:id="72"/>
      </w:r>
      <w:bookmarkEnd w:id="27"/>
      <w:r w:rsidRPr="7AB0424C">
        <w:rPr>
          <w:rFonts w:ascii="Cambria" w:eastAsia="Times New Roman" w:hAnsi="Cambria"/>
          <w:color w:val="000000"/>
          <w:sz w:val="20"/>
          <w:szCs w:val="20"/>
          <w:bdr w:val="none" w:sz="0" w:space="0" w:color="auto"/>
          <w:lang w:val="es-ES"/>
        </w:rPr>
        <w:t xml:space="preserve">. </w:t>
      </w:r>
    </w:p>
    <w:p w14:paraId="24C35159" w14:textId="77777777" w:rsidR="00A707DB" w:rsidRPr="00E9543F" w:rsidRDefault="00A707DB" w:rsidP="00B82A24">
      <w:pPr>
        <w:tabs>
          <w:tab w:val="left" w:pos="426"/>
        </w:tabs>
        <w:rPr>
          <w:rFonts w:ascii="Cambria" w:hAnsi="Cambria"/>
          <w:color w:val="000000"/>
          <w:sz w:val="20"/>
          <w:szCs w:val="20"/>
          <w:lang w:val="es-ES"/>
        </w:rPr>
      </w:pPr>
    </w:p>
    <w:p w14:paraId="26A70CFA" w14:textId="3C45F617" w:rsidR="009C7481" w:rsidRPr="00BD6C53" w:rsidRDefault="4734279A" w:rsidP="001A4728">
      <w:pPr>
        <w:numPr>
          <w:ilvl w:val="0"/>
          <w:numId w:val="60"/>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hAnsi="Cambria"/>
          <w:color w:val="000000"/>
          <w:sz w:val="20"/>
          <w:szCs w:val="20"/>
          <w:lang w:val="es-ES"/>
        </w:rPr>
      </w:pPr>
      <w:r w:rsidRPr="00BD6C53">
        <w:rPr>
          <w:rFonts w:ascii="Cambria" w:eastAsia="Times New Roman" w:hAnsi="Cambria"/>
          <w:color w:val="000000"/>
          <w:sz w:val="20"/>
          <w:szCs w:val="20"/>
          <w:bdr w:val="none" w:sz="0" w:space="0" w:color="auto"/>
          <w:lang w:val="es-ES"/>
        </w:rPr>
        <w:t>En adición</w:t>
      </w:r>
      <w:r w:rsidR="00A707DB" w:rsidRPr="00BD6C53">
        <w:rPr>
          <w:rFonts w:ascii="Cambria" w:eastAsia="Times New Roman" w:hAnsi="Cambria"/>
          <w:color w:val="000000"/>
          <w:sz w:val="20"/>
          <w:szCs w:val="20"/>
          <w:bdr w:val="none" w:sz="0" w:space="0" w:color="auto"/>
          <w:lang w:val="es-ES"/>
        </w:rPr>
        <w:t>, la</w:t>
      </w:r>
      <w:r w:rsidR="00A707DB" w:rsidRPr="00BD6C53">
        <w:rPr>
          <w:rFonts w:ascii="Cambria" w:eastAsia="Calibri" w:hAnsi="Cambria"/>
          <w:color w:val="000000"/>
          <w:sz w:val="20"/>
          <w:szCs w:val="20"/>
          <w:bdr w:val="none" w:sz="0" w:space="0" w:color="auto"/>
          <w:lang w:val="es-ES"/>
        </w:rPr>
        <w:t xml:space="preserve"> Comisión ha sostenido durante mucho tiempo que es necesario </w:t>
      </w:r>
      <w:r w:rsidR="724FDBB6" w:rsidRPr="00BD6C53">
        <w:rPr>
          <w:rFonts w:ascii="Cambria" w:eastAsia="Calibri" w:hAnsi="Cambria"/>
          <w:color w:val="000000"/>
          <w:sz w:val="20"/>
          <w:szCs w:val="20"/>
          <w:bdr w:val="none" w:sz="0" w:space="0" w:color="auto"/>
          <w:lang w:val="es-ES"/>
        </w:rPr>
        <w:t xml:space="preserve">ponderar </w:t>
      </w:r>
      <w:r w:rsidR="00A707DB" w:rsidRPr="00BD6C53">
        <w:rPr>
          <w:rFonts w:ascii="Cambria" w:eastAsia="Calibri" w:hAnsi="Cambria"/>
          <w:color w:val="000000"/>
          <w:sz w:val="20"/>
          <w:szCs w:val="20"/>
          <w:bdr w:val="none" w:sz="0" w:space="0" w:color="auto"/>
          <w:lang w:val="es-ES"/>
        </w:rPr>
        <w:t>las disposiciones de la Declaración Americana en el contexto más amplio del sistema interamericano y el sistema internacional de derechos humanos, a la luz de los avances que se han producido en el campo del derecho internacional de los derechos humanos tras la adopción de la Declaración y en relación con otras normas pertinentes del derecho internacional aplicables a los Estados Miembros contra los cuales se interponen debidamente quejas de violaciones de la Declaración</w:t>
      </w:r>
      <w:r w:rsidR="00A707DB" w:rsidRPr="00BD6C53">
        <w:rPr>
          <w:rFonts w:ascii="Cambria" w:hAnsi="Cambria"/>
          <w:color w:val="000000"/>
          <w:sz w:val="20"/>
          <w:szCs w:val="20"/>
          <w:bdr w:val="none" w:sz="0" w:space="0" w:color="auto"/>
          <w:vertAlign w:val="superscript"/>
          <w:lang w:val="es-ES"/>
        </w:rPr>
        <w:footnoteReference w:id="73"/>
      </w:r>
      <w:r w:rsidR="00A707DB" w:rsidRPr="00BD6C53">
        <w:rPr>
          <w:rFonts w:ascii="Cambria" w:eastAsia="Calibri" w:hAnsi="Cambria"/>
          <w:color w:val="000000"/>
          <w:sz w:val="20"/>
          <w:szCs w:val="20"/>
          <w:bdr w:val="none" w:sz="0" w:space="0" w:color="auto"/>
          <w:lang w:val="es-ES"/>
        </w:rPr>
        <w:t xml:space="preserve">. Los avances en el cuerpo del derecho internacional de los derechos humanos pertinentes a la interpretación y aplicación de la Declaración Americana se reflejan también en disposiciones de otros instrumentos internacionales y regionales actuales de derechos humanos, en particular la Convención Americana sobre Derechos Humanos, la cual, en muchos casos, podría </w:t>
      </w:r>
      <w:r w:rsidR="2B8B95E0" w:rsidRPr="00BD6C53">
        <w:rPr>
          <w:rFonts w:ascii="Cambria" w:eastAsia="Calibri" w:hAnsi="Cambria"/>
          <w:color w:val="000000"/>
          <w:sz w:val="20"/>
          <w:szCs w:val="20"/>
          <w:bdr w:val="none" w:sz="0" w:space="0" w:color="auto"/>
          <w:lang w:val="es-ES"/>
        </w:rPr>
        <w:t xml:space="preserve">determinarse </w:t>
      </w:r>
      <w:r w:rsidR="00A707DB" w:rsidRPr="00BD6C53">
        <w:rPr>
          <w:rFonts w:ascii="Cambria" w:eastAsia="Calibri" w:hAnsi="Cambria"/>
          <w:color w:val="000000"/>
          <w:sz w:val="20"/>
          <w:szCs w:val="20"/>
          <w:bdr w:val="none" w:sz="0" w:space="0" w:color="auto"/>
          <w:lang w:val="es-ES"/>
        </w:rPr>
        <w:t>que representa una expresión fidedigna de los principios fundamentales plasmados en la Declaración Americana</w:t>
      </w:r>
      <w:r w:rsidR="00BF1791" w:rsidRPr="00BD6C53">
        <w:rPr>
          <w:rFonts w:ascii="Cambria" w:eastAsia="Calibri" w:hAnsi="Cambria"/>
          <w:color w:val="000000"/>
          <w:sz w:val="20"/>
          <w:szCs w:val="20"/>
          <w:bdr w:val="none" w:sz="0" w:space="0" w:color="auto"/>
          <w:vertAlign w:val="superscript"/>
          <w:lang w:val="es-ES"/>
        </w:rPr>
        <w:footnoteReference w:id="74"/>
      </w:r>
      <w:r w:rsidR="00BF1791" w:rsidRPr="00BD6C53">
        <w:rPr>
          <w:rFonts w:ascii="Cambria" w:eastAsia="Calibri" w:hAnsi="Cambria"/>
          <w:color w:val="000000"/>
          <w:sz w:val="20"/>
          <w:szCs w:val="20"/>
          <w:bdr w:val="none" w:sz="0" w:space="0" w:color="auto"/>
          <w:lang w:val="es-ES"/>
        </w:rPr>
        <w:t xml:space="preserve">. </w:t>
      </w:r>
      <w:r w:rsidR="00A707DB" w:rsidRPr="00BD6C53">
        <w:rPr>
          <w:rFonts w:ascii="Cambria" w:eastAsia="Calibri" w:hAnsi="Cambria"/>
          <w:color w:val="000000"/>
          <w:sz w:val="20"/>
          <w:szCs w:val="20"/>
          <w:bdr w:val="none" w:sz="0" w:space="0" w:color="auto"/>
          <w:lang w:val="es-ES"/>
        </w:rPr>
        <w:t>Aunque e</w:t>
      </w:r>
      <w:r w:rsidR="68484C45" w:rsidRPr="00BD6C53">
        <w:rPr>
          <w:rFonts w:ascii="Cambria" w:eastAsia="Calibri" w:hAnsi="Cambria"/>
          <w:color w:val="000000"/>
          <w:sz w:val="20"/>
          <w:szCs w:val="20"/>
          <w:bdr w:val="none" w:sz="0" w:space="0" w:color="auto"/>
          <w:lang w:val="es-ES"/>
        </w:rPr>
        <w:t xml:space="preserve">s evidente que </w:t>
      </w:r>
      <w:r w:rsidR="00A707DB" w:rsidRPr="00BD6C53">
        <w:rPr>
          <w:rFonts w:ascii="Cambria" w:eastAsia="Calibri" w:hAnsi="Cambria"/>
          <w:color w:val="000000"/>
          <w:sz w:val="20"/>
          <w:szCs w:val="20"/>
          <w:bdr w:val="none" w:sz="0" w:space="0" w:color="auto"/>
          <w:lang w:val="es-ES"/>
        </w:rPr>
        <w:t xml:space="preserve">la Comisión no aplica la Convención Americana a los Estados Miembros que no son partes de </w:t>
      </w:r>
      <w:r w:rsidR="3749472E" w:rsidRPr="00BD6C53">
        <w:rPr>
          <w:rFonts w:ascii="Cambria" w:eastAsia="Calibri" w:hAnsi="Cambria"/>
          <w:color w:val="000000"/>
          <w:sz w:val="20"/>
          <w:szCs w:val="20"/>
          <w:bdr w:val="none" w:sz="0" w:space="0" w:color="auto"/>
          <w:lang w:val="es-ES"/>
        </w:rPr>
        <w:t>ella</w:t>
      </w:r>
      <w:r w:rsidR="00A707DB" w:rsidRPr="00BD6C53">
        <w:rPr>
          <w:rFonts w:ascii="Cambria" w:eastAsia="Calibri" w:hAnsi="Cambria"/>
          <w:color w:val="000000"/>
          <w:sz w:val="20"/>
          <w:szCs w:val="20"/>
          <w:bdr w:val="none" w:sz="0" w:space="0" w:color="auto"/>
          <w:lang w:val="es-ES"/>
        </w:rPr>
        <w:t>, su consideración de las normas jurídicas relativas a los derechos de l</w:t>
      </w:r>
      <w:r w:rsidR="00BF1791" w:rsidRPr="00BD6C53">
        <w:rPr>
          <w:rFonts w:ascii="Cambria" w:eastAsia="Calibri" w:hAnsi="Cambria"/>
          <w:color w:val="000000"/>
          <w:sz w:val="20"/>
          <w:szCs w:val="20"/>
          <w:bdr w:val="none" w:sz="0" w:space="0" w:color="auto"/>
          <w:lang w:val="es-ES"/>
        </w:rPr>
        <w:t xml:space="preserve">as personas defensoras y privadas de su </w:t>
      </w:r>
      <w:r w:rsidR="00BF1791" w:rsidRPr="00BD6C53">
        <w:rPr>
          <w:rFonts w:ascii="Cambria" w:eastAsia="Calibri" w:hAnsi="Cambria"/>
          <w:color w:val="000000"/>
          <w:sz w:val="20"/>
          <w:szCs w:val="20"/>
          <w:bdr w:val="none" w:sz="0" w:space="0" w:color="auto"/>
          <w:lang w:val="es-ES"/>
        </w:rPr>
        <w:lastRenderedPageBreak/>
        <w:t xml:space="preserve">libertad </w:t>
      </w:r>
      <w:r w:rsidR="00A707DB" w:rsidRPr="00BD6C53">
        <w:rPr>
          <w:rFonts w:ascii="Cambria" w:eastAsia="Calibri" w:hAnsi="Cambria"/>
          <w:color w:val="000000"/>
          <w:sz w:val="20"/>
          <w:szCs w:val="20"/>
          <w:bdr w:val="none" w:sz="0" w:space="0" w:color="auto"/>
          <w:lang w:val="es-ES"/>
        </w:rPr>
        <w:t>en la aplicación de las disposiciones de la Convención bien podría ser pertinente al interpretar la Declaración</w:t>
      </w:r>
      <w:r w:rsidR="00BF1791" w:rsidRPr="00BD6C53">
        <w:rPr>
          <w:rFonts w:ascii="Cambria" w:eastAsia="Calibri" w:hAnsi="Cambria"/>
          <w:color w:val="000000"/>
          <w:sz w:val="20"/>
          <w:szCs w:val="20"/>
          <w:bdr w:val="none" w:sz="0" w:space="0" w:color="auto"/>
          <w:lang w:val="es-ES"/>
        </w:rPr>
        <w:t>.</w:t>
      </w:r>
    </w:p>
    <w:p w14:paraId="20E6A322" w14:textId="77777777" w:rsidR="003E7383" w:rsidRPr="00BD6C53" w:rsidRDefault="003E7383"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color w:val="000000"/>
          <w:sz w:val="20"/>
          <w:szCs w:val="20"/>
          <w:lang w:val="es-ES"/>
        </w:rPr>
      </w:pPr>
    </w:p>
    <w:p w14:paraId="4C8E49DB" w14:textId="3DBA7B24" w:rsidR="00F3004A" w:rsidRPr="00BD6C53" w:rsidRDefault="003E7383" w:rsidP="001A4728">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lang w:val="es-ES"/>
        </w:rPr>
      </w:pPr>
      <w:r w:rsidRPr="749ACC70">
        <w:rPr>
          <w:rFonts w:ascii="Cambria" w:hAnsi="Cambria"/>
          <w:sz w:val="20"/>
          <w:szCs w:val="20"/>
          <w:lang w:val="es-ES"/>
        </w:rPr>
        <w:t>La Comisión pasa a realizar</w:t>
      </w:r>
      <w:r w:rsidR="005269D1" w:rsidRPr="749ACC70">
        <w:rPr>
          <w:rFonts w:ascii="Cambria" w:hAnsi="Cambria"/>
          <w:sz w:val="20"/>
          <w:szCs w:val="20"/>
          <w:lang w:val="es-ES"/>
        </w:rPr>
        <w:t xml:space="preserve"> s</w:t>
      </w:r>
      <w:r w:rsidRPr="749ACC70">
        <w:rPr>
          <w:rFonts w:ascii="Cambria" w:hAnsi="Cambria"/>
          <w:sz w:val="20"/>
          <w:szCs w:val="20"/>
          <w:lang w:val="es-ES"/>
        </w:rPr>
        <w:t xml:space="preserve">u análisis </w:t>
      </w:r>
      <w:r w:rsidR="00010F1C" w:rsidRPr="749ACC70">
        <w:rPr>
          <w:rFonts w:ascii="Cambria" w:hAnsi="Cambria"/>
          <w:sz w:val="20"/>
          <w:szCs w:val="20"/>
          <w:lang w:val="es-ES"/>
        </w:rPr>
        <w:t>de derecho en el siguiente orden:</w:t>
      </w:r>
      <w:r w:rsidR="005269D1" w:rsidRPr="749ACC70">
        <w:rPr>
          <w:rFonts w:ascii="Cambria" w:hAnsi="Cambria"/>
          <w:sz w:val="20"/>
          <w:szCs w:val="20"/>
          <w:lang w:val="es-ES"/>
        </w:rPr>
        <w:t xml:space="preserve"> i)</w:t>
      </w:r>
      <w:r w:rsidR="00010F1C" w:rsidRPr="749ACC70">
        <w:rPr>
          <w:rFonts w:ascii="Cambria" w:hAnsi="Cambria"/>
          <w:sz w:val="20"/>
          <w:szCs w:val="20"/>
          <w:lang w:val="es-ES"/>
        </w:rPr>
        <w:t xml:space="preserve"> </w:t>
      </w:r>
      <w:r w:rsidR="005269D1" w:rsidRPr="749ACC70">
        <w:rPr>
          <w:rFonts w:ascii="Cambria" w:hAnsi="Cambria"/>
          <w:sz w:val="20"/>
          <w:szCs w:val="20"/>
          <w:lang w:val="es-ES"/>
        </w:rPr>
        <w:t>derecho</w:t>
      </w:r>
      <w:r w:rsidR="00010F1C" w:rsidRPr="749ACC70">
        <w:rPr>
          <w:rFonts w:ascii="Cambria" w:hAnsi="Cambria"/>
          <w:sz w:val="20"/>
          <w:szCs w:val="20"/>
          <w:lang w:val="es-ES"/>
        </w:rPr>
        <w:t xml:space="preserve"> a la libertad personal; </w:t>
      </w:r>
      <w:r w:rsidR="005269D1" w:rsidRPr="749ACC70">
        <w:rPr>
          <w:rFonts w:ascii="Cambria" w:hAnsi="Cambria"/>
          <w:sz w:val="20"/>
          <w:szCs w:val="20"/>
          <w:lang w:val="es-ES"/>
        </w:rPr>
        <w:t>ii) derecho a la justicia y a un proceso regular; iii) derecho a la libertad de investigación, opinión, expresión y difusión; derecho a participar en la vida cultural de la comunidad; y derecho de asociación; y iv) derecho a la vida, a la libertad, a la seguridad e integridad de la persona</w:t>
      </w:r>
      <w:r w:rsidR="00F3004A" w:rsidRPr="749ACC70">
        <w:rPr>
          <w:rFonts w:ascii="Cambria" w:hAnsi="Cambria"/>
          <w:color w:val="000000" w:themeColor="text1"/>
          <w:sz w:val="20"/>
          <w:szCs w:val="20"/>
          <w:lang w:val="es-ES"/>
        </w:rPr>
        <w:t>.</w:t>
      </w:r>
    </w:p>
    <w:p w14:paraId="4302E2D5" w14:textId="77777777" w:rsidR="00010F1C" w:rsidRPr="00E9543F" w:rsidRDefault="00010F1C"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eastAsia="Calibri" w:hAnsi="Cambria"/>
          <w:color w:val="000000"/>
          <w:sz w:val="20"/>
          <w:szCs w:val="20"/>
          <w:bdr w:val="none" w:sz="0" w:space="0" w:color="auto"/>
          <w:lang w:val="es-ES"/>
        </w:rPr>
      </w:pPr>
    </w:p>
    <w:p w14:paraId="25D46064" w14:textId="5629B27B" w:rsidR="00C11C64" w:rsidRPr="00E9543F" w:rsidRDefault="00C11C64" w:rsidP="00CA1314">
      <w:pPr>
        <w:pStyle w:val="Heading2"/>
      </w:pPr>
      <w:bookmarkStart w:id="28" w:name="_Toc216356087"/>
      <w:r w:rsidRPr="00E9543F">
        <w:t xml:space="preserve">Derecho a </w:t>
      </w:r>
      <w:r w:rsidR="00195604" w:rsidRPr="00E9543F">
        <w:t>la libertad personal</w:t>
      </w:r>
      <w:r w:rsidRPr="00E9543F">
        <w:t xml:space="preserve"> (artículo </w:t>
      </w:r>
      <w:r w:rsidR="00195604" w:rsidRPr="00E9543F">
        <w:t>XXV</w:t>
      </w:r>
      <w:r w:rsidR="00195604" w:rsidRPr="749ACC70">
        <w:rPr>
          <w:rStyle w:val="FootnoteReference"/>
        </w:rPr>
        <w:footnoteReference w:id="75"/>
      </w:r>
      <w:r w:rsidRPr="00E9543F">
        <w:t xml:space="preserve"> de la Declaración Americana)</w:t>
      </w:r>
      <w:bookmarkEnd w:id="28"/>
      <w:r w:rsidRPr="00E9543F">
        <w:t xml:space="preserve">  </w:t>
      </w:r>
    </w:p>
    <w:p w14:paraId="0DDA28CD" w14:textId="77777777" w:rsidR="00195604" w:rsidRPr="00E9543F" w:rsidRDefault="00195604"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Style w:val="normaltextrun"/>
          <w:lang w:val="es-ES"/>
        </w:rPr>
      </w:pPr>
    </w:p>
    <w:p w14:paraId="2F5ABD6E" w14:textId="3FD17136" w:rsidR="00C11C64" w:rsidRPr="00E9543F" w:rsidRDefault="00C11C64" w:rsidP="007F743F">
      <w:pPr>
        <w:pStyle w:val="Heading3"/>
        <w:tabs>
          <w:tab w:val="left" w:pos="360"/>
        </w:tabs>
        <w:ind w:left="360"/>
        <w:rPr>
          <w:lang w:val="es-ES"/>
        </w:rPr>
      </w:pPr>
      <w:r w:rsidRPr="749ACC70">
        <w:rPr>
          <w:lang w:val="es-ES"/>
        </w:rPr>
        <w:t>Consideraciones generales</w:t>
      </w:r>
    </w:p>
    <w:p w14:paraId="0D60D11D" w14:textId="77777777" w:rsidR="008805E1" w:rsidRPr="00E9543F" w:rsidRDefault="008805E1" w:rsidP="00C91638">
      <w:pPr>
        <w:rPr>
          <w:lang w:val="es-ES"/>
        </w:rPr>
      </w:pPr>
    </w:p>
    <w:p w14:paraId="17016E90" w14:textId="0C4D5B75" w:rsidR="00B930C1" w:rsidRPr="00E9543F" w:rsidRDefault="00B930C1" w:rsidP="001A4728">
      <w:pPr>
        <w:numPr>
          <w:ilvl w:val="0"/>
          <w:numId w:val="60"/>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eastAsia="Cambria" w:hAnsi="Cambria" w:cs="Cambria"/>
          <w:sz w:val="20"/>
          <w:szCs w:val="20"/>
          <w:lang w:val="es-ES"/>
        </w:rPr>
      </w:pPr>
      <w:r w:rsidRPr="00E9543F">
        <w:rPr>
          <w:rFonts w:ascii="Cambria" w:hAnsi="Cambria"/>
          <w:sz w:val="20"/>
          <w:szCs w:val="20"/>
          <w:lang w:val="es-ES"/>
        </w:rPr>
        <w:t xml:space="preserve">El artículo XXV de la Declaración Americana establece garantías que procuran la protección de las personas de la interferencia ilegal o arbitraria de su libertad por parte del Estado. La CIDH ha </w:t>
      </w:r>
      <w:r w:rsidR="368A7A5D" w:rsidRPr="00E9543F">
        <w:rPr>
          <w:rFonts w:ascii="Cambria" w:hAnsi="Cambria"/>
          <w:sz w:val="20"/>
          <w:szCs w:val="20"/>
          <w:lang w:val="es-ES"/>
        </w:rPr>
        <w:t xml:space="preserve">afirmado </w:t>
      </w:r>
      <w:r w:rsidRPr="00E9543F">
        <w:rPr>
          <w:rFonts w:ascii="Cambria" w:hAnsi="Cambria"/>
          <w:sz w:val="20"/>
          <w:szCs w:val="20"/>
          <w:lang w:val="es-ES"/>
        </w:rPr>
        <w:t xml:space="preserve">que “entre las protecciones garantizadas están los requisitos de que toda privación de libertad se realice conforme a una ley preexistente, que se informe al detenido de las razones de su detención y sea rápidamente notificado de los cargos que se le imputan, que toda persona privada de libertad tenga derecho a un recurso jurídico, a </w:t>
      </w:r>
      <w:r w:rsidRPr="00E9543F">
        <w:rPr>
          <w:rFonts w:ascii="Cambria" w:eastAsia="Cambria" w:hAnsi="Cambria" w:cs="Cambria"/>
          <w:sz w:val="20"/>
          <w:szCs w:val="20"/>
          <w:lang w:val="es-ES"/>
        </w:rPr>
        <w:t>obtener</w:t>
      </w:r>
      <w:r w:rsidRPr="00E9543F">
        <w:rPr>
          <w:rFonts w:ascii="Cambria" w:hAnsi="Cambria"/>
          <w:sz w:val="20"/>
          <w:szCs w:val="20"/>
          <w:lang w:val="es-ES"/>
        </w:rPr>
        <w:t xml:space="preserve"> sin demora una determinación de la legalidad de su detención y que la persona sea juzgada dentro de un plazo razonable o liberada en tanto se sustancian los procedimientos”</w:t>
      </w:r>
      <w:r w:rsidRPr="00E9543F">
        <w:rPr>
          <w:rStyle w:val="FootnoteReference"/>
          <w:rFonts w:ascii="Cambria" w:hAnsi="Cambria"/>
          <w:sz w:val="20"/>
          <w:szCs w:val="20"/>
          <w:lang w:val="es-ES"/>
        </w:rPr>
        <w:footnoteReference w:id="76"/>
      </w:r>
      <w:r w:rsidRPr="00E9543F">
        <w:rPr>
          <w:rFonts w:ascii="Cambria" w:hAnsi="Cambria"/>
          <w:sz w:val="20"/>
          <w:szCs w:val="20"/>
          <w:lang w:val="es-ES"/>
        </w:rPr>
        <w:t>.</w:t>
      </w:r>
    </w:p>
    <w:p w14:paraId="26F42882" w14:textId="5714CF4A" w:rsidR="00B930C1" w:rsidRPr="00E9543F" w:rsidRDefault="00B930C1"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eastAsia="Cambria" w:hAnsi="Cambria" w:cs="Cambria"/>
          <w:lang w:val="es-ES"/>
        </w:rPr>
      </w:pPr>
    </w:p>
    <w:p w14:paraId="048A5855" w14:textId="7A6E758E" w:rsidR="00B930C1" w:rsidRPr="00E9543F" w:rsidRDefault="00975797" w:rsidP="001A4728">
      <w:pPr>
        <w:numPr>
          <w:ilvl w:val="0"/>
          <w:numId w:val="60"/>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eastAsia="Cambria" w:hAnsi="Cambria" w:cs="Cambria"/>
          <w:sz w:val="20"/>
          <w:szCs w:val="20"/>
          <w:lang w:val="es-ES"/>
        </w:rPr>
      </w:pPr>
      <w:r w:rsidRPr="00E9543F">
        <w:rPr>
          <w:rFonts w:ascii="Cambria" w:eastAsia="Cambria" w:hAnsi="Cambria" w:cs="Cambria"/>
          <w:sz w:val="20"/>
          <w:szCs w:val="20"/>
          <w:lang w:val="es-ES"/>
        </w:rPr>
        <w:t>En relación con la legalidad de la detención,</w:t>
      </w:r>
      <w:r w:rsidR="008805E1" w:rsidRPr="00E9543F">
        <w:rPr>
          <w:rFonts w:ascii="Cambria" w:eastAsia="Cambria" w:hAnsi="Cambria" w:cs="Cambria"/>
          <w:sz w:val="20"/>
          <w:szCs w:val="20"/>
          <w:lang w:val="es-ES"/>
        </w:rPr>
        <w:t xml:space="preserve"> </w:t>
      </w:r>
      <w:r w:rsidRPr="00E9543F">
        <w:rPr>
          <w:rFonts w:ascii="Cambria" w:eastAsia="Cambria" w:hAnsi="Cambria" w:cs="Cambria"/>
          <w:sz w:val="20"/>
          <w:szCs w:val="20"/>
          <w:lang w:val="es-ES"/>
        </w:rPr>
        <w:t>l</w:t>
      </w:r>
      <w:r w:rsidR="008805E1" w:rsidRPr="00E9543F">
        <w:rPr>
          <w:rFonts w:ascii="Cambria" w:eastAsia="Cambria" w:hAnsi="Cambria" w:cs="Cambria"/>
          <w:sz w:val="20"/>
          <w:szCs w:val="20"/>
          <w:lang w:val="es-ES"/>
        </w:rPr>
        <w:t xml:space="preserve">a </w:t>
      </w:r>
      <w:r w:rsidR="0027590C" w:rsidRPr="00E9543F">
        <w:rPr>
          <w:rFonts w:ascii="Cambria" w:eastAsia="Cambria" w:hAnsi="Cambria" w:cs="Cambria"/>
          <w:sz w:val="20"/>
          <w:szCs w:val="20"/>
          <w:lang w:val="es-ES"/>
        </w:rPr>
        <w:t>Comisión</w:t>
      </w:r>
      <w:r w:rsidR="008805E1" w:rsidRPr="00E9543F">
        <w:rPr>
          <w:rFonts w:ascii="Cambria" w:eastAsia="Cambria" w:hAnsi="Cambria" w:cs="Cambria"/>
          <w:sz w:val="20"/>
          <w:szCs w:val="20"/>
          <w:lang w:val="es-ES"/>
        </w:rPr>
        <w:t xml:space="preserve"> Interamericana ha señalado que</w:t>
      </w:r>
      <w:r w:rsidR="0027590C" w:rsidRPr="00E9543F">
        <w:rPr>
          <w:rFonts w:ascii="Cambria" w:eastAsia="Cambria" w:hAnsi="Cambria" w:cs="Cambria"/>
          <w:sz w:val="20"/>
          <w:szCs w:val="20"/>
          <w:lang w:val="es-ES"/>
        </w:rPr>
        <w:t xml:space="preserve"> reconoce el principio de reserva de ley como garantía primaria del derecho a la libertad física donde este derecho sólo podrá ser objeto de limitación a través de una ley en sentido formal</w:t>
      </w:r>
      <w:r w:rsidR="0027590C" w:rsidRPr="00E9543F">
        <w:rPr>
          <w:rFonts w:ascii="Cambria" w:eastAsia="Cambria" w:hAnsi="Cambria" w:cs="Cambria"/>
          <w:sz w:val="20"/>
          <w:szCs w:val="20"/>
          <w:vertAlign w:val="superscript"/>
          <w:lang w:val="es-ES"/>
        </w:rPr>
        <w:footnoteReference w:id="77"/>
      </w:r>
      <w:r w:rsidR="0027590C" w:rsidRPr="00E9543F">
        <w:rPr>
          <w:rFonts w:ascii="Cambria" w:eastAsia="Cambria" w:hAnsi="Cambria" w:cs="Cambria"/>
          <w:sz w:val="20"/>
          <w:szCs w:val="20"/>
          <w:lang w:val="es-ES"/>
        </w:rPr>
        <w:t>.</w:t>
      </w:r>
      <w:r w:rsidR="008805E1" w:rsidRPr="00E9543F">
        <w:rPr>
          <w:rFonts w:ascii="Cambria" w:hAnsi="Cambria"/>
          <w:color w:val="FF0000"/>
          <w:sz w:val="20"/>
          <w:szCs w:val="20"/>
          <w:lang w:val="es-ES"/>
        </w:rPr>
        <w:t xml:space="preserve"> </w:t>
      </w:r>
      <w:r w:rsidR="008805E1" w:rsidRPr="00E9543F">
        <w:rPr>
          <w:rFonts w:ascii="Cambria" w:hAnsi="Cambria"/>
          <w:sz w:val="20"/>
          <w:szCs w:val="20"/>
          <w:lang w:val="es-ES"/>
        </w:rPr>
        <w:t xml:space="preserve">La CIDH ha sostenido que la reserva de ley que se requiere para afectar el derecho a la libertad personal debe forzosamente ir acompañada del principio de tipicidad, que obliga a los Estados a establecer, tan concretamente como sea posible y “de antemano”, las “causas” y “condiciones” de la privación de la libertad física. Por ello, cualquier requisito </w:t>
      </w:r>
      <w:r w:rsidR="047C7B1E" w:rsidRPr="00E9543F">
        <w:rPr>
          <w:rFonts w:ascii="Cambria" w:hAnsi="Cambria"/>
          <w:sz w:val="20"/>
          <w:szCs w:val="20"/>
          <w:lang w:val="es-ES"/>
        </w:rPr>
        <w:t>previsto</w:t>
      </w:r>
      <w:r w:rsidR="008805E1" w:rsidRPr="00E9543F">
        <w:rPr>
          <w:rFonts w:ascii="Cambria" w:hAnsi="Cambria"/>
          <w:sz w:val="20"/>
          <w:szCs w:val="20"/>
          <w:lang w:val="es-ES"/>
        </w:rPr>
        <w:t xml:space="preserve"> en la ley nacional que no sea cumplido al privar a una persona de su libertad, generará que tal privación sea ilegal y contraria a la Convención Americana</w:t>
      </w:r>
      <w:r w:rsidR="008805E1" w:rsidRPr="00E9543F">
        <w:rPr>
          <w:rStyle w:val="FootnoteReference"/>
          <w:rFonts w:ascii="Cambria" w:hAnsi="Cambria"/>
          <w:sz w:val="20"/>
          <w:szCs w:val="20"/>
          <w:lang w:val="es-ES"/>
        </w:rPr>
        <w:footnoteReference w:id="78"/>
      </w:r>
      <w:r w:rsidR="00CC2F4A" w:rsidRPr="00E9543F">
        <w:rPr>
          <w:rFonts w:ascii="Cambria" w:hAnsi="Cambria"/>
          <w:sz w:val="20"/>
          <w:szCs w:val="20"/>
          <w:lang w:val="es-ES"/>
        </w:rPr>
        <w:t>. La CIDH recuerda que el incorrecto proceder de las fuerzas policiales constituye una de las principales amenazas para la vigencia de la libertad y la seguridad individual</w:t>
      </w:r>
      <w:r w:rsidR="00CC2F4A" w:rsidRPr="00E9543F">
        <w:rPr>
          <w:rStyle w:val="FootnoteReference"/>
          <w:rFonts w:ascii="Cambria" w:hAnsi="Cambria"/>
          <w:sz w:val="20"/>
          <w:szCs w:val="20"/>
          <w:lang w:val="es-ES"/>
        </w:rPr>
        <w:footnoteReference w:id="79"/>
      </w:r>
      <w:r w:rsidR="00CC2F4A" w:rsidRPr="00E9543F">
        <w:rPr>
          <w:rFonts w:ascii="Cambria" w:hAnsi="Cambria"/>
          <w:sz w:val="20"/>
          <w:szCs w:val="20"/>
          <w:lang w:val="es-ES"/>
        </w:rPr>
        <w:t>. A partir de ello, los Estados deben adoptar medidas que permitan asegurar que los agentes policiales desempeñen sus funciones de manera garante de los derechos humanos y, particularmente, que estas se efectúan acorde a la legislación interna</w:t>
      </w:r>
      <w:r w:rsidR="00CC2F4A" w:rsidRPr="00E9543F">
        <w:rPr>
          <w:rStyle w:val="FootnoteReference"/>
          <w:rFonts w:ascii="Cambria" w:hAnsi="Cambria"/>
          <w:sz w:val="20"/>
          <w:szCs w:val="20"/>
          <w:lang w:val="es-ES"/>
        </w:rPr>
        <w:footnoteReference w:id="80"/>
      </w:r>
      <w:r w:rsidR="00CC2F4A" w:rsidRPr="00E9543F">
        <w:rPr>
          <w:rFonts w:ascii="Cambria" w:hAnsi="Cambria"/>
          <w:sz w:val="20"/>
          <w:szCs w:val="20"/>
          <w:lang w:val="es-ES"/>
        </w:rPr>
        <w:t>.</w:t>
      </w:r>
    </w:p>
    <w:p w14:paraId="27AA2680" w14:textId="77777777" w:rsidR="00CC2F4A" w:rsidRPr="00E9543F" w:rsidRDefault="00CC2F4A"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lang w:val="es-ES"/>
        </w:rPr>
      </w:pPr>
    </w:p>
    <w:p w14:paraId="1A4F777E" w14:textId="03CC4127" w:rsidR="00CC2F4A" w:rsidRPr="00BF7FAB" w:rsidRDefault="00824132" w:rsidP="001A4728">
      <w:pPr>
        <w:numPr>
          <w:ilvl w:val="0"/>
          <w:numId w:val="60"/>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hAnsi="Cambria"/>
          <w:sz w:val="20"/>
          <w:szCs w:val="20"/>
          <w:lang w:val="es-US"/>
        </w:rPr>
      </w:pPr>
      <w:r w:rsidRPr="00BF7FAB">
        <w:rPr>
          <w:rFonts w:ascii="Cambria" w:hAnsi="Cambria"/>
          <w:sz w:val="20"/>
          <w:szCs w:val="20"/>
          <w:lang w:val="es-US"/>
        </w:rPr>
        <w:t>Respecto de</w:t>
      </w:r>
      <w:r w:rsidR="00CC2F4A" w:rsidRPr="00BF7FAB">
        <w:rPr>
          <w:rFonts w:ascii="Cambria" w:hAnsi="Cambria"/>
          <w:sz w:val="20"/>
          <w:szCs w:val="20"/>
          <w:lang w:val="es-US"/>
        </w:rPr>
        <w:t xml:space="preserve"> </w:t>
      </w:r>
      <w:r w:rsidR="001B3E44" w:rsidRPr="00BF7FAB">
        <w:rPr>
          <w:rFonts w:ascii="Cambria" w:hAnsi="Cambria"/>
          <w:sz w:val="20"/>
          <w:szCs w:val="20"/>
          <w:lang w:val="es-US"/>
        </w:rPr>
        <w:t>la no arbitrariedad de la detención</w:t>
      </w:r>
      <w:r w:rsidR="00CC2F4A" w:rsidRPr="00BF7FAB">
        <w:rPr>
          <w:rFonts w:ascii="Cambria" w:hAnsi="Cambria"/>
          <w:sz w:val="20"/>
          <w:szCs w:val="20"/>
          <w:lang w:val="es-US"/>
        </w:rPr>
        <w:t xml:space="preserve">, la </w:t>
      </w:r>
      <w:r w:rsidR="00837185" w:rsidRPr="00BF7FAB">
        <w:rPr>
          <w:rFonts w:ascii="Cambria" w:hAnsi="Cambria"/>
          <w:sz w:val="20"/>
          <w:szCs w:val="20"/>
          <w:lang w:val="es-US"/>
        </w:rPr>
        <w:t>Comisión</w:t>
      </w:r>
      <w:r w:rsidR="00CC2F4A" w:rsidRPr="00BF7FAB">
        <w:rPr>
          <w:rFonts w:ascii="Cambria" w:hAnsi="Cambria"/>
          <w:sz w:val="20"/>
          <w:szCs w:val="20"/>
          <w:lang w:val="es-US"/>
        </w:rPr>
        <w:t xml:space="preserve"> ha </w:t>
      </w:r>
      <w:r w:rsidR="69CA492C" w:rsidRPr="00BF7FAB">
        <w:rPr>
          <w:rFonts w:ascii="Cambria" w:hAnsi="Cambria"/>
          <w:sz w:val="20"/>
          <w:szCs w:val="20"/>
          <w:lang w:val="es-US"/>
        </w:rPr>
        <w:t xml:space="preserve">resaltado </w:t>
      </w:r>
      <w:r w:rsidR="00CC2F4A" w:rsidRPr="00BF7FAB">
        <w:rPr>
          <w:rFonts w:ascii="Cambria" w:hAnsi="Cambria"/>
          <w:sz w:val="20"/>
          <w:szCs w:val="20"/>
          <w:lang w:val="es-US"/>
        </w:rPr>
        <w:t xml:space="preserve">que </w:t>
      </w:r>
      <w:r w:rsidR="00837185" w:rsidRPr="00BF7FAB">
        <w:rPr>
          <w:rFonts w:ascii="Cambria" w:hAnsi="Cambria"/>
          <w:sz w:val="20"/>
          <w:szCs w:val="20"/>
          <w:lang w:val="es-US"/>
        </w:rPr>
        <w:t xml:space="preserve">los Estados deberán abstenerse de adelantar privaciones de la libertad por causas y métodos que </w:t>
      </w:r>
      <w:r w:rsidR="12A62855" w:rsidRPr="7AB0424C">
        <w:rPr>
          <w:rFonts w:ascii="Cambria" w:eastAsia="Cambria" w:hAnsi="Cambria" w:cs="Cambria"/>
          <w:sz w:val="20"/>
          <w:szCs w:val="20"/>
          <w:lang w:val="es"/>
        </w:rPr>
        <w:t>—</w:t>
      </w:r>
      <w:r w:rsidR="00837185" w:rsidRPr="00BF7FAB">
        <w:rPr>
          <w:rFonts w:ascii="Cambria" w:hAnsi="Cambria"/>
          <w:sz w:val="20"/>
          <w:szCs w:val="20"/>
          <w:lang w:val="es-US"/>
        </w:rPr>
        <w:t>aun siendo legales</w:t>
      </w:r>
      <w:r w:rsidR="5568ADF3" w:rsidRPr="7AB0424C">
        <w:rPr>
          <w:rFonts w:ascii="Cambria" w:eastAsia="Cambria" w:hAnsi="Cambria" w:cs="Cambria"/>
          <w:sz w:val="20"/>
          <w:szCs w:val="20"/>
          <w:lang w:val="es"/>
        </w:rPr>
        <w:t>—</w:t>
      </w:r>
      <w:r w:rsidR="5568ADF3" w:rsidRPr="00BF7FAB">
        <w:rPr>
          <w:rFonts w:ascii="Cambria" w:eastAsia="Cambria" w:hAnsi="Cambria" w:cs="Cambria"/>
          <w:sz w:val="20"/>
          <w:szCs w:val="20"/>
          <w:lang w:val="es-US"/>
        </w:rPr>
        <w:t xml:space="preserve">  </w:t>
      </w:r>
      <w:r w:rsidR="00837185" w:rsidRPr="00BF7FAB">
        <w:rPr>
          <w:rFonts w:ascii="Cambria" w:hAnsi="Cambria"/>
          <w:sz w:val="20"/>
          <w:szCs w:val="20"/>
          <w:lang w:val="es-US"/>
        </w:rPr>
        <w:t>puedan reputarse como incompatibles por ser, entre otras cosas, irrazonables, imprevisibles o desproporcionales</w:t>
      </w:r>
      <w:r w:rsidR="00CC2F4A" w:rsidRPr="4300E6AB">
        <w:rPr>
          <w:rStyle w:val="FootnoteReference"/>
          <w:rFonts w:ascii="Cambria" w:hAnsi="Cambria"/>
          <w:sz w:val="20"/>
          <w:szCs w:val="20"/>
        </w:rPr>
        <w:footnoteReference w:id="81"/>
      </w:r>
      <w:r w:rsidR="00CC2F4A" w:rsidRPr="00BF7FAB">
        <w:rPr>
          <w:rFonts w:ascii="Cambria" w:hAnsi="Cambria"/>
          <w:sz w:val="20"/>
          <w:szCs w:val="20"/>
          <w:lang w:val="es-US"/>
        </w:rPr>
        <w:t xml:space="preserve">”. Al pronunciarse sobre la arbitrariedad de la detención, la CIDH ha indicado que la “arbitrariedad” no puede equiparse con el término “contrario a la ley” sino que debe </w:t>
      </w:r>
      <w:r w:rsidR="00151F04" w:rsidRPr="00BF7FAB">
        <w:rPr>
          <w:rFonts w:ascii="Cambria" w:hAnsi="Cambria"/>
          <w:sz w:val="20"/>
          <w:szCs w:val="20"/>
          <w:lang w:val="es-US"/>
        </w:rPr>
        <w:t>interpretarse</w:t>
      </w:r>
      <w:r w:rsidR="00CC2F4A" w:rsidRPr="00BF7FAB">
        <w:rPr>
          <w:rFonts w:ascii="Cambria" w:hAnsi="Cambria"/>
          <w:sz w:val="20"/>
          <w:szCs w:val="20"/>
          <w:lang w:val="es-US"/>
        </w:rPr>
        <w:t xml:space="preserve"> de manera más amplia a fin de incluir elementos de incorrección, injustic</w:t>
      </w:r>
      <w:r w:rsidR="688B6F5E" w:rsidRPr="00BF7FAB">
        <w:rPr>
          <w:rFonts w:ascii="Cambria" w:hAnsi="Cambria"/>
          <w:sz w:val="20"/>
          <w:szCs w:val="20"/>
          <w:lang w:val="es-US"/>
        </w:rPr>
        <w:t>i</w:t>
      </w:r>
      <w:r w:rsidR="00CC2F4A" w:rsidRPr="00BF7FAB">
        <w:rPr>
          <w:rFonts w:ascii="Cambria" w:hAnsi="Cambria"/>
          <w:sz w:val="20"/>
          <w:szCs w:val="20"/>
          <w:lang w:val="es-US"/>
        </w:rPr>
        <w:t>a e imprevisibilidad, así como también</w:t>
      </w:r>
      <w:r w:rsidR="00151F04" w:rsidRPr="00BF7FAB">
        <w:rPr>
          <w:rFonts w:ascii="Cambria" w:hAnsi="Cambria"/>
          <w:sz w:val="20"/>
          <w:szCs w:val="20"/>
          <w:lang w:val="es-US"/>
        </w:rPr>
        <w:t xml:space="preserve"> el principio de garantías procesales</w:t>
      </w:r>
      <w:r w:rsidR="00151F04" w:rsidRPr="4300E6AB">
        <w:rPr>
          <w:rStyle w:val="FootnoteReference"/>
          <w:rFonts w:ascii="Cambria" w:hAnsi="Cambria"/>
          <w:sz w:val="20"/>
          <w:szCs w:val="20"/>
        </w:rPr>
        <w:footnoteReference w:id="82"/>
      </w:r>
      <w:r w:rsidR="00151F04" w:rsidRPr="00BF7FAB">
        <w:rPr>
          <w:rFonts w:ascii="Cambria" w:hAnsi="Cambria"/>
          <w:sz w:val="20"/>
          <w:szCs w:val="20"/>
          <w:lang w:val="es-US"/>
        </w:rPr>
        <w:t xml:space="preserve">. Por lo tanto, la detención no solo debe encontrarse acorde con el derecho </w:t>
      </w:r>
      <w:r w:rsidR="00844106" w:rsidRPr="00BF7FAB">
        <w:rPr>
          <w:rFonts w:ascii="Cambria" w:hAnsi="Cambria"/>
          <w:sz w:val="20"/>
          <w:szCs w:val="20"/>
          <w:lang w:val="es-US"/>
        </w:rPr>
        <w:t>interno,</w:t>
      </w:r>
      <w:r w:rsidR="00151F04" w:rsidRPr="00BF7FAB">
        <w:rPr>
          <w:rFonts w:ascii="Cambria" w:hAnsi="Cambria"/>
          <w:sz w:val="20"/>
          <w:szCs w:val="20"/>
          <w:lang w:val="es-US"/>
        </w:rPr>
        <w:t xml:space="preserve"> sino que “la ley, </w:t>
      </w:r>
      <w:r w:rsidR="00151F04" w:rsidRPr="00BF7FAB">
        <w:rPr>
          <w:rFonts w:ascii="Cambria" w:hAnsi="Cambria"/>
          <w:sz w:val="20"/>
          <w:szCs w:val="20"/>
          <w:lang w:val="es-US"/>
        </w:rPr>
        <w:lastRenderedPageBreak/>
        <w:t>el procedimiento aplicable y los principios generales expresos o tácitos correspondientes sean, en sí mismos compatibles con la Convención</w:t>
      </w:r>
      <w:r w:rsidR="00151F04" w:rsidRPr="4300E6AB">
        <w:rPr>
          <w:rStyle w:val="FootnoteReference"/>
          <w:rFonts w:ascii="Cambria" w:hAnsi="Cambria"/>
          <w:sz w:val="20"/>
          <w:szCs w:val="20"/>
        </w:rPr>
        <w:footnoteReference w:id="83"/>
      </w:r>
      <w:r w:rsidR="00151F04" w:rsidRPr="00BF7FAB">
        <w:rPr>
          <w:rFonts w:ascii="Cambria" w:hAnsi="Cambria"/>
          <w:sz w:val="20"/>
          <w:szCs w:val="20"/>
          <w:lang w:val="es-US"/>
        </w:rPr>
        <w:t xml:space="preserve">”. </w:t>
      </w:r>
    </w:p>
    <w:p w14:paraId="25A882A8" w14:textId="77777777" w:rsidR="00151F04" w:rsidRPr="004C299F" w:rsidRDefault="00151F04"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lang w:val="es-ES"/>
        </w:rPr>
      </w:pPr>
    </w:p>
    <w:p w14:paraId="7F1FA600" w14:textId="7A82D0E2" w:rsidR="00151F04" w:rsidRPr="00BD6C53" w:rsidRDefault="00975797" w:rsidP="001A4728">
      <w:pPr>
        <w:numPr>
          <w:ilvl w:val="0"/>
          <w:numId w:val="60"/>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spacing w:line="259" w:lineRule="auto"/>
        <w:ind w:left="0" w:firstLine="0"/>
        <w:jc w:val="both"/>
        <w:rPr>
          <w:rFonts w:ascii="Cambria" w:hAnsi="Cambria"/>
          <w:sz w:val="20"/>
          <w:szCs w:val="20"/>
          <w:lang w:val="es-ES"/>
        </w:rPr>
      </w:pPr>
      <w:r w:rsidRPr="00BD6C53">
        <w:rPr>
          <w:rFonts w:ascii="Cambria" w:hAnsi="Cambria"/>
          <w:sz w:val="20"/>
          <w:szCs w:val="20"/>
          <w:lang w:val="es-ES"/>
        </w:rPr>
        <w:t>Asimismo, la Corte ha establecido que el derecho a ser informado de las razones de la detención implica lo siguiente</w:t>
      </w:r>
      <w:r w:rsidR="00151F04" w:rsidRPr="00BD6C53">
        <w:rPr>
          <w:rFonts w:ascii="Cambria" w:hAnsi="Cambria"/>
          <w:sz w:val="20"/>
          <w:szCs w:val="20"/>
          <w:lang w:val="es-ES"/>
        </w:rPr>
        <w:t>: i) la información en forma oral o escrita sobre las razones de la detención, y ii) la notificación, que debe ser por escrito, de los cargos</w:t>
      </w:r>
      <w:r w:rsidR="00151F04" w:rsidRPr="00BD6C53">
        <w:rPr>
          <w:rStyle w:val="FootnoteReference"/>
          <w:rFonts w:ascii="Cambria" w:hAnsi="Cambria"/>
          <w:sz w:val="20"/>
          <w:szCs w:val="20"/>
          <w:lang w:val="es-ES"/>
        </w:rPr>
        <w:footnoteReference w:id="84"/>
      </w:r>
      <w:r w:rsidR="00151F04" w:rsidRPr="00BD6C53">
        <w:rPr>
          <w:rFonts w:ascii="Cambria" w:hAnsi="Cambria"/>
          <w:sz w:val="20"/>
          <w:szCs w:val="20"/>
          <w:lang w:val="es-ES"/>
        </w:rPr>
        <w:t>. Los órganos del sistema interamericano han indicado que la información de los “motivos y razones” de la detención debe darse “cuando ésta se produce”. Ello constituye un mecanismo para evitar detenciones ilegales o arbitrarias desde el movimiento mismo de la privación de libertad y, a su vez, garantiza el derecho de defensa del individuo</w:t>
      </w:r>
      <w:r w:rsidR="00151F04" w:rsidRPr="00BD6C53">
        <w:rPr>
          <w:rStyle w:val="FootnoteReference"/>
          <w:rFonts w:ascii="Cambria" w:hAnsi="Cambria"/>
          <w:sz w:val="20"/>
          <w:szCs w:val="20"/>
          <w:lang w:val="es-ES"/>
        </w:rPr>
        <w:footnoteReference w:id="85"/>
      </w:r>
      <w:r w:rsidR="00151F04" w:rsidRPr="00BD6C53">
        <w:rPr>
          <w:rFonts w:ascii="Cambria" w:hAnsi="Cambria"/>
          <w:sz w:val="20"/>
          <w:szCs w:val="20"/>
          <w:lang w:val="es-ES"/>
        </w:rPr>
        <w:t xml:space="preserve">. </w:t>
      </w:r>
      <w:r w:rsidR="52F83106" w:rsidRPr="00BD6C53">
        <w:rPr>
          <w:rFonts w:ascii="Cambria" w:hAnsi="Cambria"/>
          <w:sz w:val="20"/>
          <w:szCs w:val="20"/>
          <w:lang w:val="es-ES"/>
        </w:rPr>
        <w:t>En particular</w:t>
      </w:r>
      <w:r w:rsidR="00151F04" w:rsidRPr="00BD6C53">
        <w:rPr>
          <w:rFonts w:ascii="Cambria" w:hAnsi="Cambria"/>
          <w:sz w:val="20"/>
          <w:szCs w:val="20"/>
          <w:lang w:val="es-ES"/>
        </w:rPr>
        <w:t xml:space="preserve">, la </w:t>
      </w:r>
      <w:r w:rsidR="0027590C" w:rsidRPr="00BD6C53">
        <w:rPr>
          <w:rFonts w:ascii="Cambria" w:hAnsi="Cambria"/>
          <w:sz w:val="20"/>
          <w:szCs w:val="20"/>
          <w:lang w:val="es-ES"/>
        </w:rPr>
        <w:t>Comisión</w:t>
      </w:r>
      <w:r w:rsidR="00151F04" w:rsidRPr="00BD6C53">
        <w:rPr>
          <w:rFonts w:ascii="Cambria" w:hAnsi="Cambria"/>
          <w:sz w:val="20"/>
          <w:szCs w:val="20"/>
          <w:lang w:val="es-ES"/>
        </w:rPr>
        <w:t xml:space="preserve"> ha señalado que el agente que lleva a cabo la </w:t>
      </w:r>
      <w:r w:rsidR="00F33DE3" w:rsidRPr="00BD6C53">
        <w:rPr>
          <w:rFonts w:ascii="Cambria" w:hAnsi="Cambria"/>
          <w:sz w:val="20"/>
          <w:szCs w:val="20"/>
          <w:lang w:val="es-ES"/>
        </w:rPr>
        <w:t>privación de la libertad</w:t>
      </w:r>
      <w:r w:rsidR="00151F04" w:rsidRPr="00BD6C53">
        <w:rPr>
          <w:rFonts w:ascii="Cambria" w:hAnsi="Cambria"/>
          <w:sz w:val="20"/>
          <w:szCs w:val="20"/>
          <w:lang w:val="es-ES"/>
        </w:rPr>
        <w:t xml:space="preserve"> debe informar en un lenguaje simple, libre de tecnicismos, los hechos y bases jurídicas esenciales en los que se basa la </w:t>
      </w:r>
      <w:r w:rsidR="00F33DE3" w:rsidRPr="00BD6C53">
        <w:rPr>
          <w:rFonts w:ascii="Cambria" w:hAnsi="Cambria"/>
          <w:sz w:val="20"/>
          <w:szCs w:val="20"/>
          <w:lang w:val="es-ES"/>
        </w:rPr>
        <w:t xml:space="preserve">detención. </w:t>
      </w:r>
      <w:r w:rsidR="00F33DE3" w:rsidRPr="00E9543F">
        <w:rPr>
          <w:rFonts w:ascii="Cambria" w:eastAsia="Cambria" w:hAnsi="Cambria" w:cs="Cambria"/>
          <w:sz w:val="20"/>
          <w:szCs w:val="20"/>
          <w:lang w:val="es-ES"/>
        </w:rPr>
        <w:t>Cualquier elemento que sea omitido supondrá un desconocimiento del derecho</w:t>
      </w:r>
      <w:r w:rsidR="00151F04" w:rsidRPr="00BD6C53">
        <w:rPr>
          <w:rStyle w:val="FootnoteReference"/>
          <w:rFonts w:ascii="Cambria" w:hAnsi="Cambria"/>
          <w:sz w:val="20"/>
          <w:szCs w:val="20"/>
          <w:lang w:val="es-ES"/>
        </w:rPr>
        <w:footnoteReference w:id="86"/>
      </w:r>
      <w:r w:rsidR="00151F04" w:rsidRPr="00BD6C53">
        <w:rPr>
          <w:rFonts w:ascii="Cambria" w:hAnsi="Cambria"/>
          <w:sz w:val="20"/>
          <w:szCs w:val="20"/>
          <w:lang w:val="es-ES"/>
        </w:rPr>
        <w:t>.</w:t>
      </w:r>
    </w:p>
    <w:p w14:paraId="36FE65FA" w14:textId="42D09225" w:rsidR="00B22D02" w:rsidRPr="00E9543F" w:rsidRDefault="00B22D02"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lang w:val="es-ES"/>
        </w:rPr>
      </w:pPr>
    </w:p>
    <w:p w14:paraId="0A0F2239" w14:textId="26C77881" w:rsidR="00B22D02" w:rsidRPr="00BF7FAB" w:rsidRDefault="70175B61" w:rsidP="001A4728">
      <w:pPr>
        <w:numPr>
          <w:ilvl w:val="0"/>
          <w:numId w:val="60"/>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spacing w:line="259" w:lineRule="auto"/>
        <w:ind w:left="0" w:firstLine="0"/>
        <w:jc w:val="both"/>
        <w:rPr>
          <w:rFonts w:ascii="Cambria" w:hAnsi="Cambria"/>
          <w:sz w:val="20"/>
          <w:szCs w:val="20"/>
          <w:lang w:val="es-US"/>
        </w:rPr>
      </w:pPr>
      <w:r w:rsidRPr="00BF7FAB">
        <w:rPr>
          <w:rFonts w:ascii="Cambria" w:eastAsia="Cambria" w:hAnsi="Cambria" w:cs="Cambria"/>
          <w:sz w:val="20"/>
          <w:szCs w:val="20"/>
          <w:lang w:val="es-US"/>
        </w:rPr>
        <w:t>A</w:t>
      </w:r>
      <w:r w:rsidR="00975797" w:rsidRPr="00BF7FAB">
        <w:rPr>
          <w:rFonts w:ascii="Cambria" w:eastAsia="Cambria" w:hAnsi="Cambria" w:cs="Cambria"/>
          <w:sz w:val="20"/>
          <w:szCs w:val="20"/>
          <w:lang w:val="es-US"/>
        </w:rPr>
        <w:t xml:space="preserve">dicionalmente, otra garantía del derecho a la libertad personal es que </w:t>
      </w:r>
      <w:r w:rsidR="00B22D02" w:rsidRPr="00BF7FAB">
        <w:rPr>
          <w:rFonts w:ascii="Cambria" w:eastAsia="Cambria" w:hAnsi="Cambria" w:cs="Cambria"/>
          <w:sz w:val="20"/>
          <w:szCs w:val="20"/>
          <w:lang w:val="es-US"/>
        </w:rPr>
        <w:t xml:space="preserve">toda persona sometida a una </w:t>
      </w:r>
      <w:r w:rsidR="00B22D02" w:rsidRPr="00BF7FAB">
        <w:rPr>
          <w:rFonts w:ascii="Cambria" w:hAnsi="Cambria"/>
          <w:sz w:val="20"/>
          <w:szCs w:val="20"/>
          <w:lang w:val="es-US"/>
        </w:rPr>
        <w:t>detención</w:t>
      </w:r>
      <w:r w:rsidR="00B22D02" w:rsidRPr="00BF7FAB">
        <w:rPr>
          <w:rFonts w:ascii="Cambria" w:eastAsia="Cambria" w:hAnsi="Cambria" w:cs="Cambria"/>
          <w:sz w:val="20"/>
          <w:szCs w:val="20"/>
          <w:lang w:val="es-US"/>
        </w:rPr>
        <w:t xml:space="preserve"> tiene derecho a que una autoridad judicial revise dicha detención, sin demora, como medio de control idóneo para evitar las capturas arbitrarias e ilegales</w:t>
      </w:r>
      <w:r w:rsidR="00B22D02" w:rsidRPr="4300E6AB">
        <w:rPr>
          <w:rStyle w:val="FootnoteReference"/>
          <w:rFonts w:ascii="Cambria" w:eastAsia="Cambria" w:hAnsi="Cambria" w:cs="Cambria"/>
          <w:sz w:val="20"/>
          <w:szCs w:val="20"/>
        </w:rPr>
        <w:footnoteReference w:id="87"/>
      </w:r>
      <w:r w:rsidR="00B22D02" w:rsidRPr="00BF7FAB">
        <w:rPr>
          <w:rFonts w:ascii="Cambria" w:eastAsia="Cambria" w:hAnsi="Cambria" w:cs="Cambria"/>
          <w:sz w:val="20"/>
          <w:szCs w:val="20"/>
          <w:lang w:val="es-US"/>
        </w:rPr>
        <w:t xml:space="preserve">. </w:t>
      </w:r>
      <w:r w:rsidR="1AC0577D" w:rsidRPr="00BF7FAB">
        <w:rPr>
          <w:rFonts w:ascii="Cambria" w:eastAsia="Cambria" w:hAnsi="Cambria" w:cs="Cambria"/>
          <w:sz w:val="20"/>
          <w:szCs w:val="20"/>
          <w:lang w:val="es-US"/>
        </w:rPr>
        <w:t>Por su parte</w:t>
      </w:r>
      <w:r w:rsidR="00B22D02" w:rsidRPr="00BF7FAB">
        <w:rPr>
          <w:rFonts w:ascii="Cambria" w:eastAsia="Cambria" w:hAnsi="Cambria" w:cs="Cambria"/>
          <w:sz w:val="20"/>
          <w:szCs w:val="20"/>
          <w:lang w:val="es-US"/>
        </w:rPr>
        <w:t>, la garantía de una pronta y efectiva supervisión judicial de las instancias de la detención tiene como objetivo proteger el bienestar de las personas detenidas en momentos en que están totalmente bajo control del Estado y resultan particularmente vulnerables a los abusos de la autoridad</w:t>
      </w:r>
      <w:r w:rsidR="00B22D02" w:rsidRPr="4300E6AB">
        <w:rPr>
          <w:rStyle w:val="FootnoteReference"/>
          <w:rFonts w:ascii="Cambria" w:eastAsia="Cambria" w:hAnsi="Cambria" w:cs="Cambria"/>
          <w:sz w:val="20"/>
          <w:szCs w:val="20"/>
        </w:rPr>
        <w:footnoteReference w:id="88"/>
      </w:r>
      <w:r w:rsidR="00B22D02" w:rsidRPr="00BF7FAB">
        <w:rPr>
          <w:rFonts w:ascii="Cambria" w:eastAsia="Cambria" w:hAnsi="Cambria" w:cs="Cambria"/>
          <w:sz w:val="20"/>
          <w:szCs w:val="20"/>
          <w:lang w:val="es-US"/>
        </w:rPr>
        <w:t>.</w:t>
      </w:r>
      <w:r w:rsidR="5587999A" w:rsidRPr="00BF7FAB">
        <w:rPr>
          <w:rFonts w:ascii="Cambria" w:eastAsia="Cambria" w:hAnsi="Cambria" w:cs="Cambria"/>
          <w:sz w:val="20"/>
          <w:szCs w:val="20"/>
          <w:lang w:val="es-US"/>
        </w:rPr>
        <w:t xml:space="preserve"> </w:t>
      </w:r>
      <w:r w:rsidR="002F195C" w:rsidRPr="00BF7FAB">
        <w:rPr>
          <w:rFonts w:ascii="Cambria" w:eastAsia="Cambria" w:hAnsi="Cambria" w:cs="Cambria"/>
          <w:sz w:val="20"/>
          <w:szCs w:val="20"/>
          <w:lang w:val="es-US"/>
        </w:rPr>
        <w:t>R</w:t>
      </w:r>
      <w:r w:rsidR="00B22D02" w:rsidRPr="00BF7FAB">
        <w:rPr>
          <w:rFonts w:ascii="Cambria" w:hAnsi="Cambria"/>
          <w:sz w:val="20"/>
          <w:szCs w:val="20"/>
          <w:lang w:val="es-US"/>
        </w:rPr>
        <w:t>especto de la libertad personal de personas defensores de derechos humanos, la Comisión y la Corte han sostenido que las detenciones arbitrarias las colocan en una situación de vulnerabilidad, “de la que surge un riesgo real e inminente de que se violen otros derechos en su perjuicio</w:t>
      </w:r>
      <w:r w:rsidR="00975797" w:rsidRPr="4300E6AB">
        <w:rPr>
          <w:rStyle w:val="FootnoteReference"/>
          <w:rFonts w:ascii="Cambria" w:hAnsi="Cambria"/>
          <w:sz w:val="20"/>
          <w:szCs w:val="20"/>
        </w:rPr>
        <w:footnoteReference w:id="89"/>
      </w:r>
      <w:r w:rsidR="00B22D02" w:rsidRPr="00BF7FAB">
        <w:rPr>
          <w:rFonts w:ascii="Cambria" w:hAnsi="Cambria"/>
          <w:sz w:val="20"/>
          <w:szCs w:val="20"/>
          <w:lang w:val="es-US"/>
        </w:rPr>
        <w:t xml:space="preserve">”. </w:t>
      </w:r>
    </w:p>
    <w:p w14:paraId="7C44D651" w14:textId="77777777" w:rsidR="00ED0E93" w:rsidRPr="00E9543F" w:rsidRDefault="00ED0E93"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lang w:val="es-ES"/>
        </w:rPr>
      </w:pPr>
    </w:p>
    <w:p w14:paraId="61441F66" w14:textId="7D5F97DA" w:rsidR="007F743F" w:rsidRPr="00E9543F" w:rsidRDefault="00C11C64" w:rsidP="00233603">
      <w:pPr>
        <w:pStyle w:val="Heading3"/>
        <w:tabs>
          <w:tab w:val="left" w:pos="360"/>
        </w:tabs>
        <w:ind w:left="360"/>
        <w:rPr>
          <w:lang w:val="es-ES"/>
        </w:rPr>
      </w:pPr>
      <w:r w:rsidRPr="749ACC70">
        <w:rPr>
          <w:lang w:val="es-ES"/>
        </w:rPr>
        <w:t>Análisis del caso</w:t>
      </w:r>
    </w:p>
    <w:p w14:paraId="45E10BC1" w14:textId="77777777" w:rsidR="00233603" w:rsidRPr="00E9543F" w:rsidRDefault="00233603" w:rsidP="00233603">
      <w:pPr>
        <w:rPr>
          <w:lang w:val="es-ES"/>
        </w:rPr>
      </w:pPr>
    </w:p>
    <w:p w14:paraId="62336FEB" w14:textId="3D13B917" w:rsidR="00233603" w:rsidRPr="00BD6C53" w:rsidRDefault="00233603" w:rsidP="001A4728">
      <w:pPr>
        <w:numPr>
          <w:ilvl w:val="0"/>
          <w:numId w:val="60"/>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Style w:val="normaltextrun"/>
          <w:rFonts w:ascii="Cambria" w:hAnsi="Cambria"/>
          <w:color w:val="000000" w:themeColor="text1"/>
          <w:sz w:val="20"/>
          <w:szCs w:val="20"/>
          <w:lang w:val="es-ES"/>
        </w:rPr>
      </w:pPr>
      <w:r w:rsidRPr="749ACC70">
        <w:rPr>
          <w:rFonts w:ascii="Cambria" w:hAnsi="Cambria"/>
          <w:sz w:val="20"/>
          <w:szCs w:val="20"/>
          <w:lang w:val="es-ES"/>
        </w:rPr>
        <w:t>La Comisión pasa a realizar su análisis sobre las dos detenciones</w:t>
      </w:r>
      <w:r w:rsidR="00E45102" w:rsidRPr="749ACC70">
        <w:rPr>
          <w:rFonts w:ascii="Cambria" w:hAnsi="Cambria"/>
          <w:sz w:val="20"/>
          <w:szCs w:val="20"/>
          <w:lang w:val="es-ES"/>
        </w:rPr>
        <w:t xml:space="preserve"> referidas </w:t>
      </w:r>
      <w:r w:rsidR="7DEC6D80" w:rsidRPr="749ACC70">
        <w:rPr>
          <w:rFonts w:ascii="Cambria" w:hAnsi="Cambria"/>
          <w:sz w:val="20"/>
          <w:szCs w:val="20"/>
          <w:lang w:val="es-ES"/>
        </w:rPr>
        <w:t xml:space="preserve">en la petición inicial </w:t>
      </w:r>
      <w:r w:rsidR="00E45102" w:rsidRPr="749ACC70">
        <w:rPr>
          <w:rFonts w:ascii="Cambria" w:hAnsi="Cambria"/>
          <w:sz w:val="20"/>
          <w:szCs w:val="20"/>
          <w:lang w:val="es-ES"/>
        </w:rPr>
        <w:t>por la parte peticionaria</w:t>
      </w:r>
      <w:r w:rsidRPr="749ACC70">
        <w:rPr>
          <w:rFonts w:ascii="Cambria" w:hAnsi="Cambria"/>
          <w:sz w:val="20"/>
          <w:szCs w:val="20"/>
          <w:lang w:val="es-ES"/>
        </w:rPr>
        <w:t>: i) la detención de 22 de junio de 2018; y ii) la detención de 25 de septiembre de 2018.</w:t>
      </w:r>
      <w:r w:rsidR="03371BCE" w:rsidRPr="749ACC70">
        <w:rPr>
          <w:rFonts w:ascii="Cambria" w:hAnsi="Cambria"/>
          <w:sz w:val="20"/>
          <w:szCs w:val="20"/>
          <w:lang w:val="es-ES"/>
        </w:rPr>
        <w:t xml:space="preserve"> </w:t>
      </w:r>
      <w:r w:rsidR="62F8150A" w:rsidRPr="749ACC70">
        <w:rPr>
          <w:rFonts w:ascii="Cambria" w:hAnsi="Cambria"/>
          <w:sz w:val="20"/>
          <w:szCs w:val="20"/>
          <w:lang w:val="es-ES"/>
        </w:rPr>
        <w:t>En</w:t>
      </w:r>
      <w:r w:rsidR="7370ADE7" w:rsidRPr="749ACC70">
        <w:rPr>
          <w:rFonts w:ascii="Cambria" w:hAnsi="Cambria"/>
          <w:sz w:val="20"/>
          <w:szCs w:val="20"/>
          <w:lang w:val="es-ES"/>
        </w:rPr>
        <w:t xml:space="preserve"> </w:t>
      </w:r>
      <w:r w:rsidR="62F8150A" w:rsidRPr="749ACC70">
        <w:rPr>
          <w:rFonts w:ascii="Cambria" w:hAnsi="Cambria"/>
          <w:sz w:val="20"/>
          <w:szCs w:val="20"/>
          <w:lang w:val="es-ES"/>
        </w:rPr>
        <w:t xml:space="preserve">relación con las </w:t>
      </w:r>
      <w:r w:rsidR="7370ADE7" w:rsidRPr="749ACC70">
        <w:rPr>
          <w:rFonts w:ascii="Cambria" w:hAnsi="Cambria"/>
          <w:sz w:val="20"/>
          <w:szCs w:val="20"/>
          <w:lang w:val="es-ES"/>
        </w:rPr>
        <w:t>posteriores situaciones de hostigamiento y detenciones mencionadas</w:t>
      </w:r>
      <w:r w:rsidR="184AE539" w:rsidRPr="749ACC70">
        <w:rPr>
          <w:rFonts w:ascii="Cambria" w:hAnsi="Cambria"/>
          <w:sz w:val="20"/>
          <w:szCs w:val="20"/>
          <w:lang w:val="es-ES"/>
        </w:rPr>
        <w:t xml:space="preserve"> </w:t>
      </w:r>
      <w:r w:rsidR="184AE539" w:rsidRPr="749ACC70">
        <w:rPr>
          <w:rStyle w:val="normaltextrun"/>
          <w:rFonts w:ascii="Cambria" w:hAnsi="Cambria"/>
          <w:color w:val="000000" w:themeColor="text1"/>
          <w:sz w:val="20"/>
          <w:szCs w:val="20"/>
          <w:lang w:val="es-ES"/>
        </w:rPr>
        <w:t>(</w:t>
      </w:r>
      <w:r w:rsidR="184AE539" w:rsidRPr="749ACC70">
        <w:rPr>
          <w:rStyle w:val="normaltextrun"/>
          <w:rFonts w:ascii="Cambria" w:hAnsi="Cambria"/>
          <w:i/>
          <w:iCs/>
          <w:color w:val="000000" w:themeColor="text1"/>
          <w:sz w:val="20"/>
          <w:szCs w:val="20"/>
          <w:lang w:val="es-ES"/>
        </w:rPr>
        <w:t>supra</w:t>
      </w:r>
      <w:r w:rsidR="184AE539" w:rsidRPr="749ACC70">
        <w:rPr>
          <w:rStyle w:val="normaltextrun"/>
          <w:rFonts w:ascii="Cambria" w:hAnsi="Cambria"/>
          <w:color w:val="000000" w:themeColor="text1"/>
          <w:sz w:val="20"/>
          <w:szCs w:val="20"/>
          <w:lang w:val="es-ES"/>
        </w:rPr>
        <w:t xml:space="preserve"> párrs. 36-37), la CIDH señala que no cuenta con la información suficiente </w:t>
      </w:r>
      <w:r w:rsidR="12672C90" w:rsidRPr="749ACC70">
        <w:rPr>
          <w:rStyle w:val="normaltextrun"/>
          <w:rFonts w:ascii="Cambria" w:hAnsi="Cambria"/>
          <w:color w:val="000000" w:themeColor="text1"/>
          <w:sz w:val="20"/>
          <w:szCs w:val="20"/>
          <w:lang w:val="es-ES"/>
        </w:rPr>
        <w:t xml:space="preserve">como </w:t>
      </w:r>
      <w:r w:rsidR="3137508D" w:rsidRPr="749ACC70">
        <w:rPr>
          <w:rStyle w:val="normaltextrun"/>
          <w:rFonts w:ascii="Cambria" w:hAnsi="Cambria"/>
          <w:color w:val="000000" w:themeColor="text1"/>
          <w:sz w:val="20"/>
          <w:szCs w:val="20"/>
          <w:lang w:val="es-ES"/>
        </w:rPr>
        <w:t xml:space="preserve">para </w:t>
      </w:r>
      <w:r w:rsidR="184AE539" w:rsidRPr="749ACC70">
        <w:rPr>
          <w:rStyle w:val="normaltextrun"/>
          <w:rFonts w:ascii="Cambria" w:hAnsi="Cambria"/>
          <w:color w:val="000000" w:themeColor="text1"/>
          <w:sz w:val="20"/>
          <w:szCs w:val="20"/>
          <w:lang w:val="es-ES"/>
        </w:rPr>
        <w:t xml:space="preserve">expedirse </w:t>
      </w:r>
      <w:r w:rsidR="63ABC8D8" w:rsidRPr="749ACC70">
        <w:rPr>
          <w:rStyle w:val="normaltextrun"/>
          <w:rFonts w:ascii="Cambria" w:hAnsi="Cambria"/>
          <w:color w:val="000000" w:themeColor="text1"/>
          <w:sz w:val="20"/>
          <w:szCs w:val="20"/>
          <w:lang w:val="es-ES"/>
        </w:rPr>
        <w:t xml:space="preserve">respecto de </w:t>
      </w:r>
      <w:r w:rsidR="184AE539" w:rsidRPr="749ACC70">
        <w:rPr>
          <w:rStyle w:val="normaltextrun"/>
          <w:rFonts w:ascii="Cambria" w:hAnsi="Cambria"/>
          <w:color w:val="000000" w:themeColor="text1"/>
          <w:sz w:val="20"/>
          <w:szCs w:val="20"/>
          <w:lang w:val="es-ES"/>
        </w:rPr>
        <w:t xml:space="preserve">la </w:t>
      </w:r>
      <w:r w:rsidR="033AD784" w:rsidRPr="749ACC70">
        <w:rPr>
          <w:rStyle w:val="normaltextrun"/>
          <w:rFonts w:ascii="Cambria" w:hAnsi="Cambria"/>
          <w:color w:val="000000" w:themeColor="text1"/>
          <w:sz w:val="20"/>
          <w:szCs w:val="20"/>
          <w:lang w:val="es-ES"/>
        </w:rPr>
        <w:t>afectación</w:t>
      </w:r>
      <w:r w:rsidR="0313C724" w:rsidRPr="749ACC70">
        <w:rPr>
          <w:rStyle w:val="normaltextrun"/>
          <w:rFonts w:ascii="Cambria" w:hAnsi="Cambria"/>
          <w:color w:val="000000" w:themeColor="text1"/>
          <w:sz w:val="20"/>
          <w:szCs w:val="20"/>
          <w:lang w:val="es-ES"/>
        </w:rPr>
        <w:t xml:space="preserve"> al</w:t>
      </w:r>
      <w:r w:rsidR="1EB63D28" w:rsidRPr="749ACC70">
        <w:rPr>
          <w:rStyle w:val="normaltextrun"/>
          <w:rFonts w:ascii="Cambria" w:hAnsi="Cambria"/>
          <w:color w:val="000000" w:themeColor="text1"/>
          <w:sz w:val="20"/>
          <w:szCs w:val="20"/>
          <w:lang w:val="es-ES"/>
        </w:rPr>
        <w:t xml:space="preserve"> </w:t>
      </w:r>
      <w:r w:rsidR="117B58E6" w:rsidRPr="749ACC70">
        <w:rPr>
          <w:rStyle w:val="normaltextrun"/>
          <w:rFonts w:ascii="Cambria" w:hAnsi="Cambria"/>
          <w:color w:val="000000" w:themeColor="text1"/>
          <w:sz w:val="20"/>
          <w:szCs w:val="20"/>
          <w:lang w:val="es-ES"/>
        </w:rPr>
        <w:t xml:space="preserve">derecho a </w:t>
      </w:r>
      <w:r w:rsidR="1EB63D28" w:rsidRPr="749ACC70">
        <w:rPr>
          <w:rStyle w:val="normaltextrun"/>
          <w:rFonts w:ascii="Cambria" w:hAnsi="Cambria"/>
          <w:color w:val="000000" w:themeColor="text1"/>
          <w:sz w:val="20"/>
          <w:szCs w:val="20"/>
          <w:lang w:val="es-ES"/>
        </w:rPr>
        <w:t>la libertad personal del señor Castillo Pérez.</w:t>
      </w:r>
    </w:p>
    <w:p w14:paraId="6DDA2602" w14:textId="77777777" w:rsidR="007F743F" w:rsidRPr="00E9543F" w:rsidRDefault="007F743F" w:rsidP="007F743F">
      <w:pPr>
        <w:rPr>
          <w:lang w:val="es-ES"/>
        </w:rPr>
      </w:pPr>
    </w:p>
    <w:p w14:paraId="6D0C23FF" w14:textId="7BAAA584" w:rsidR="00C11C64" w:rsidRPr="00E9543F" w:rsidRDefault="007F743F" w:rsidP="749ACC70">
      <w:pPr>
        <w:pStyle w:val="Heading3"/>
        <w:numPr>
          <w:ilvl w:val="0"/>
          <w:numId w:val="0"/>
        </w:numPr>
        <w:tabs>
          <w:tab w:val="left" w:pos="360"/>
        </w:tabs>
        <w:rPr>
          <w:i/>
          <w:iCs/>
          <w:lang w:val="es-ES"/>
        </w:rPr>
      </w:pPr>
      <w:r w:rsidRPr="749ACC70">
        <w:rPr>
          <w:i/>
          <w:iCs/>
          <w:lang w:val="es-ES"/>
        </w:rPr>
        <w:t>Sobre la detención de 22 de junio de 2018</w:t>
      </w:r>
      <w:r w:rsidR="00C11C64" w:rsidRPr="749ACC70">
        <w:rPr>
          <w:i/>
          <w:iCs/>
          <w:lang w:val="es-ES"/>
        </w:rPr>
        <w:t xml:space="preserve"> </w:t>
      </w:r>
    </w:p>
    <w:p w14:paraId="29797455" w14:textId="77777777" w:rsidR="007F743F" w:rsidRPr="00E9543F" w:rsidRDefault="007F743F" w:rsidP="007F743F">
      <w:pPr>
        <w:rPr>
          <w:lang w:val="es-ES"/>
        </w:rPr>
      </w:pPr>
    </w:p>
    <w:p w14:paraId="45ABF5B7" w14:textId="3CF81710" w:rsidR="004621F6" w:rsidRPr="00BD6C53" w:rsidRDefault="00233603" w:rsidP="001A4728">
      <w:pPr>
        <w:numPr>
          <w:ilvl w:val="0"/>
          <w:numId w:val="60"/>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Style w:val="normaltextrun"/>
          <w:rFonts w:ascii="Cambria" w:hAnsi="Cambria"/>
          <w:color w:val="000000"/>
          <w:sz w:val="20"/>
          <w:szCs w:val="20"/>
          <w:shd w:val="clear" w:color="auto" w:fill="FFFFFF"/>
          <w:lang w:val="es-ES"/>
        </w:rPr>
      </w:pPr>
      <w:r w:rsidRPr="00BD6C53">
        <w:rPr>
          <w:rStyle w:val="eop"/>
          <w:rFonts w:ascii="Cambria" w:hAnsi="Cambria" w:cs="Segoe UI"/>
          <w:color w:val="000000"/>
          <w:sz w:val="18"/>
          <w:szCs w:val="18"/>
          <w:lang w:val="es-ES"/>
        </w:rPr>
        <w:t>E</w:t>
      </w:r>
      <w:r w:rsidRPr="00BD6C53">
        <w:rPr>
          <w:rStyle w:val="normaltextrun"/>
          <w:rFonts w:ascii="Cambria" w:hAnsi="Cambria"/>
          <w:color w:val="000000"/>
          <w:sz w:val="20"/>
          <w:szCs w:val="20"/>
          <w:shd w:val="clear" w:color="auto" w:fill="FFFFFF"/>
          <w:lang w:val="es-ES"/>
        </w:rPr>
        <w:t>n el presente caso</w:t>
      </w:r>
      <w:r w:rsidR="00E45102" w:rsidRPr="00BD6C53">
        <w:rPr>
          <w:rStyle w:val="normaltextrun"/>
          <w:rFonts w:ascii="Cambria" w:hAnsi="Cambria"/>
          <w:color w:val="000000"/>
          <w:sz w:val="20"/>
          <w:szCs w:val="20"/>
          <w:shd w:val="clear" w:color="auto" w:fill="FFFFFF"/>
          <w:lang w:val="es-ES"/>
        </w:rPr>
        <w:t xml:space="preserve"> la parte peticionaria informó </w:t>
      </w:r>
      <w:r w:rsidRPr="00BD6C53">
        <w:rPr>
          <w:rStyle w:val="normaltextrun"/>
          <w:rFonts w:ascii="Cambria" w:hAnsi="Cambria"/>
          <w:color w:val="000000"/>
          <w:sz w:val="20"/>
          <w:szCs w:val="20"/>
          <w:shd w:val="clear" w:color="auto" w:fill="FFFFFF"/>
          <w:lang w:val="es-ES"/>
        </w:rPr>
        <w:t xml:space="preserve">que el señor </w:t>
      </w:r>
      <w:r w:rsidR="000D78A0" w:rsidRPr="00BD6C53">
        <w:rPr>
          <w:rStyle w:val="normaltextrun"/>
          <w:rFonts w:ascii="Cambria" w:hAnsi="Cambria"/>
          <w:color w:val="000000"/>
          <w:sz w:val="20"/>
          <w:szCs w:val="20"/>
          <w:shd w:val="clear" w:color="auto" w:fill="FFFFFF"/>
          <w:lang w:val="es-ES"/>
        </w:rPr>
        <w:t>Castillo Pérez</w:t>
      </w:r>
      <w:r w:rsidRPr="00BD6C53">
        <w:rPr>
          <w:rStyle w:val="normaltextrun"/>
          <w:rFonts w:ascii="Cambria" w:hAnsi="Cambria"/>
          <w:color w:val="000000"/>
          <w:sz w:val="20"/>
          <w:szCs w:val="20"/>
          <w:shd w:val="clear" w:color="auto" w:fill="FFFFFF"/>
          <w:lang w:val="es-ES"/>
        </w:rPr>
        <w:t xml:space="preserve"> fue detenido por autoridades estatales el </w:t>
      </w:r>
      <w:r w:rsidR="00810A92" w:rsidRPr="00BD6C53">
        <w:rPr>
          <w:rStyle w:val="normaltextrun"/>
          <w:rFonts w:ascii="Cambria" w:hAnsi="Cambria"/>
          <w:color w:val="000000"/>
          <w:sz w:val="20"/>
          <w:szCs w:val="20"/>
          <w:shd w:val="clear" w:color="auto" w:fill="FFFFFF"/>
          <w:lang w:val="es-ES"/>
        </w:rPr>
        <w:t>22</w:t>
      </w:r>
      <w:r w:rsidRPr="00BD6C53">
        <w:rPr>
          <w:rStyle w:val="normaltextrun"/>
          <w:rFonts w:ascii="Cambria" w:hAnsi="Cambria"/>
          <w:color w:val="000000"/>
          <w:sz w:val="20"/>
          <w:szCs w:val="20"/>
          <w:shd w:val="clear" w:color="auto" w:fill="FFFFFF"/>
          <w:lang w:val="es-ES"/>
        </w:rPr>
        <w:t xml:space="preserve"> de </w:t>
      </w:r>
      <w:r w:rsidR="00810A92" w:rsidRPr="00BD6C53">
        <w:rPr>
          <w:rStyle w:val="normaltextrun"/>
          <w:rFonts w:ascii="Cambria" w:hAnsi="Cambria"/>
          <w:color w:val="000000"/>
          <w:sz w:val="20"/>
          <w:szCs w:val="20"/>
          <w:shd w:val="clear" w:color="auto" w:fill="FFFFFF"/>
          <w:lang w:val="es-ES"/>
        </w:rPr>
        <w:t>junio</w:t>
      </w:r>
      <w:r w:rsidRPr="00BD6C53">
        <w:rPr>
          <w:rStyle w:val="normaltextrun"/>
          <w:rFonts w:ascii="Cambria" w:hAnsi="Cambria"/>
          <w:color w:val="000000"/>
          <w:sz w:val="20"/>
          <w:szCs w:val="20"/>
          <w:shd w:val="clear" w:color="auto" w:fill="FFFFFF"/>
          <w:lang w:val="es-ES"/>
        </w:rPr>
        <w:t xml:space="preserve"> de 20</w:t>
      </w:r>
      <w:r w:rsidR="00810A92" w:rsidRPr="00BD6C53">
        <w:rPr>
          <w:rStyle w:val="normaltextrun"/>
          <w:rFonts w:ascii="Cambria" w:hAnsi="Cambria"/>
          <w:color w:val="000000"/>
          <w:sz w:val="20"/>
          <w:szCs w:val="20"/>
          <w:shd w:val="clear" w:color="auto" w:fill="FFFFFF"/>
          <w:lang w:val="es-ES"/>
        </w:rPr>
        <w:t>18</w:t>
      </w:r>
      <w:r w:rsidRPr="00BD6C53">
        <w:rPr>
          <w:rStyle w:val="normaltextrun"/>
          <w:rFonts w:ascii="Cambria" w:hAnsi="Cambria"/>
          <w:color w:val="000000"/>
          <w:sz w:val="20"/>
          <w:szCs w:val="20"/>
          <w:shd w:val="clear" w:color="auto" w:fill="FFFFFF"/>
          <w:lang w:val="es-ES"/>
        </w:rPr>
        <w:t xml:space="preserve">. </w:t>
      </w:r>
      <w:r w:rsidR="00810A92" w:rsidRPr="00BD6C53">
        <w:rPr>
          <w:rStyle w:val="normaltextrun"/>
          <w:rFonts w:ascii="Cambria" w:hAnsi="Cambria"/>
          <w:color w:val="000000"/>
          <w:sz w:val="20"/>
          <w:szCs w:val="20"/>
          <w:shd w:val="clear" w:color="auto" w:fill="FFFFFF"/>
          <w:lang w:val="es-ES"/>
        </w:rPr>
        <w:t>La</w:t>
      </w:r>
      <w:r w:rsidRPr="00BD6C53">
        <w:rPr>
          <w:rStyle w:val="normaltextrun"/>
          <w:rFonts w:ascii="Cambria" w:hAnsi="Cambria"/>
          <w:color w:val="000000"/>
          <w:sz w:val="20"/>
          <w:szCs w:val="20"/>
          <w:shd w:val="clear" w:color="auto" w:fill="FFFFFF"/>
          <w:lang w:val="es-ES"/>
        </w:rPr>
        <w:t xml:space="preserve"> parte peticionaria alegó que la detención resultó </w:t>
      </w:r>
      <w:r w:rsidR="000D78A0" w:rsidRPr="00BD6C53">
        <w:rPr>
          <w:rStyle w:val="normaltextrun"/>
          <w:rFonts w:ascii="Cambria" w:hAnsi="Cambria"/>
          <w:color w:val="000000"/>
          <w:sz w:val="20"/>
          <w:szCs w:val="20"/>
          <w:shd w:val="clear" w:color="auto" w:fill="FFFFFF"/>
          <w:lang w:val="es-ES"/>
        </w:rPr>
        <w:t>“</w:t>
      </w:r>
      <w:r w:rsidR="00810A92" w:rsidRPr="00BD6C53">
        <w:rPr>
          <w:rStyle w:val="normaltextrun"/>
          <w:rFonts w:ascii="Cambria" w:hAnsi="Cambria"/>
          <w:color w:val="000000"/>
          <w:sz w:val="20"/>
          <w:szCs w:val="20"/>
          <w:shd w:val="clear" w:color="auto" w:fill="FFFFFF"/>
          <w:lang w:val="es-ES"/>
        </w:rPr>
        <w:t>arbitraria</w:t>
      </w:r>
      <w:r w:rsidR="000D78A0" w:rsidRPr="00BD6C53">
        <w:rPr>
          <w:rStyle w:val="normaltextrun"/>
          <w:rFonts w:ascii="Cambria" w:hAnsi="Cambria"/>
          <w:color w:val="000000"/>
          <w:sz w:val="20"/>
          <w:szCs w:val="20"/>
          <w:shd w:val="clear" w:color="auto" w:fill="FFFFFF"/>
          <w:lang w:val="es-ES"/>
        </w:rPr>
        <w:t>”</w:t>
      </w:r>
      <w:r w:rsidR="00810A92" w:rsidRPr="00BD6C53">
        <w:rPr>
          <w:rStyle w:val="normaltextrun"/>
          <w:rFonts w:ascii="Cambria" w:hAnsi="Cambria"/>
          <w:color w:val="000000"/>
          <w:sz w:val="20"/>
          <w:szCs w:val="20"/>
          <w:shd w:val="clear" w:color="auto" w:fill="FFFFFF"/>
          <w:lang w:val="es-ES"/>
        </w:rPr>
        <w:t xml:space="preserve"> y ocurrió de forma “violenta”. </w:t>
      </w:r>
      <w:r w:rsidR="00370F68" w:rsidRPr="00BD6C53">
        <w:rPr>
          <w:rStyle w:val="normaltextrun"/>
          <w:rFonts w:ascii="Cambria" w:hAnsi="Cambria"/>
          <w:color w:val="000000"/>
          <w:sz w:val="20"/>
          <w:szCs w:val="20"/>
          <w:shd w:val="clear" w:color="auto" w:fill="FFFFFF"/>
          <w:lang w:val="es-ES"/>
        </w:rPr>
        <w:t>L</w:t>
      </w:r>
      <w:r w:rsidR="00810A92" w:rsidRPr="00BD6C53">
        <w:rPr>
          <w:rStyle w:val="normaltextrun"/>
          <w:rFonts w:ascii="Cambria" w:hAnsi="Cambria"/>
          <w:color w:val="000000"/>
          <w:sz w:val="20"/>
          <w:szCs w:val="20"/>
          <w:shd w:val="clear" w:color="auto" w:fill="FFFFFF"/>
          <w:lang w:val="es-ES"/>
        </w:rPr>
        <w:t xml:space="preserve">a CIDH </w:t>
      </w:r>
      <w:r w:rsidR="49B0DF6F" w:rsidRPr="00BD6C53">
        <w:rPr>
          <w:rStyle w:val="normaltextrun"/>
          <w:rFonts w:ascii="Cambria" w:hAnsi="Cambria"/>
          <w:color w:val="000000"/>
          <w:sz w:val="20"/>
          <w:szCs w:val="20"/>
          <w:shd w:val="clear" w:color="auto" w:fill="FFFFFF"/>
          <w:lang w:val="es-ES"/>
        </w:rPr>
        <w:t>advierte</w:t>
      </w:r>
      <w:r w:rsidR="00810A92" w:rsidRPr="00BD6C53">
        <w:rPr>
          <w:rStyle w:val="normaltextrun"/>
          <w:rFonts w:ascii="Cambria" w:hAnsi="Cambria"/>
          <w:color w:val="000000"/>
          <w:sz w:val="20"/>
          <w:szCs w:val="20"/>
          <w:shd w:val="clear" w:color="auto" w:fill="FFFFFF"/>
          <w:lang w:val="es-ES"/>
        </w:rPr>
        <w:t xml:space="preserve"> que</w:t>
      </w:r>
      <w:r w:rsidR="00370F68" w:rsidRPr="00BD6C53">
        <w:rPr>
          <w:rStyle w:val="normaltextrun"/>
          <w:rFonts w:ascii="Cambria" w:hAnsi="Cambria"/>
          <w:color w:val="000000"/>
          <w:sz w:val="20"/>
          <w:szCs w:val="20"/>
          <w:shd w:val="clear" w:color="auto" w:fill="FFFFFF"/>
          <w:lang w:val="es-ES"/>
        </w:rPr>
        <w:t xml:space="preserve">, </w:t>
      </w:r>
      <w:r w:rsidR="000D78A0" w:rsidRPr="00BD6C53">
        <w:rPr>
          <w:rStyle w:val="normaltextrun"/>
          <w:rFonts w:ascii="Cambria" w:hAnsi="Cambria"/>
          <w:color w:val="000000"/>
          <w:sz w:val="20"/>
          <w:szCs w:val="20"/>
          <w:shd w:val="clear" w:color="auto" w:fill="FFFFFF"/>
          <w:lang w:val="es-ES"/>
        </w:rPr>
        <w:t xml:space="preserve">al describir el hecho, </w:t>
      </w:r>
      <w:r w:rsidR="00810A92" w:rsidRPr="00BD6C53">
        <w:rPr>
          <w:rStyle w:val="normaltextrun"/>
          <w:rFonts w:ascii="Cambria" w:hAnsi="Cambria"/>
          <w:color w:val="000000"/>
          <w:sz w:val="20"/>
          <w:szCs w:val="20"/>
          <w:shd w:val="clear" w:color="auto" w:fill="FFFFFF"/>
          <w:lang w:val="es-ES"/>
        </w:rPr>
        <w:t>la Fiscalía</w:t>
      </w:r>
      <w:r w:rsidR="000D78A0" w:rsidRPr="00BD6C53">
        <w:rPr>
          <w:rStyle w:val="normaltextrun"/>
          <w:rFonts w:ascii="Cambria" w:hAnsi="Cambria"/>
          <w:color w:val="000000"/>
          <w:sz w:val="20"/>
          <w:szCs w:val="20"/>
          <w:shd w:val="clear" w:color="auto" w:fill="FFFFFF"/>
          <w:lang w:val="es-ES"/>
        </w:rPr>
        <w:t xml:space="preserve"> indicó que un agente del Estado le había comunicado</w:t>
      </w:r>
      <w:r w:rsidR="00370F68" w:rsidRPr="00BD6C53">
        <w:rPr>
          <w:rStyle w:val="normaltextrun"/>
          <w:rFonts w:ascii="Cambria" w:hAnsi="Cambria"/>
          <w:color w:val="000000"/>
          <w:sz w:val="20"/>
          <w:szCs w:val="20"/>
          <w:shd w:val="clear" w:color="auto" w:fill="FFFFFF"/>
          <w:lang w:val="es-ES"/>
        </w:rPr>
        <w:t xml:space="preserve"> al señor Castillo Pérez</w:t>
      </w:r>
      <w:r w:rsidR="000D78A0" w:rsidRPr="00BD6C53">
        <w:rPr>
          <w:rStyle w:val="normaltextrun"/>
          <w:rFonts w:ascii="Cambria" w:hAnsi="Cambria"/>
          <w:color w:val="000000"/>
          <w:sz w:val="20"/>
          <w:szCs w:val="20"/>
          <w:shd w:val="clear" w:color="auto" w:fill="FFFFFF"/>
          <w:lang w:val="es-ES"/>
        </w:rPr>
        <w:t xml:space="preserve"> que “debía acompañarlo” </w:t>
      </w:r>
      <w:r w:rsidR="00370F68" w:rsidRPr="00BD6C53">
        <w:rPr>
          <w:rStyle w:val="normaltextrun"/>
          <w:rFonts w:ascii="Cambria" w:hAnsi="Cambria"/>
          <w:color w:val="000000"/>
          <w:sz w:val="20"/>
          <w:szCs w:val="20"/>
          <w:shd w:val="clear" w:color="auto" w:fill="FFFFFF"/>
          <w:lang w:val="es-ES"/>
        </w:rPr>
        <w:t xml:space="preserve">a raíz de oponerse a </w:t>
      </w:r>
      <w:r w:rsidR="00B320D3" w:rsidRPr="00BD6C53">
        <w:rPr>
          <w:rStyle w:val="normaltextrun"/>
          <w:rFonts w:ascii="Cambria" w:hAnsi="Cambria"/>
          <w:color w:val="000000"/>
          <w:sz w:val="20"/>
          <w:szCs w:val="20"/>
          <w:shd w:val="clear" w:color="auto" w:fill="FFFFFF"/>
          <w:lang w:val="es-ES"/>
        </w:rPr>
        <w:t>un</w:t>
      </w:r>
      <w:r w:rsidR="00CC676A" w:rsidRPr="00BD6C53">
        <w:rPr>
          <w:rStyle w:val="normaltextrun"/>
          <w:rFonts w:ascii="Cambria" w:hAnsi="Cambria"/>
          <w:color w:val="000000"/>
          <w:sz w:val="20"/>
          <w:szCs w:val="20"/>
          <w:shd w:val="clear" w:color="auto" w:fill="FFFFFF"/>
          <w:lang w:val="es-ES"/>
        </w:rPr>
        <w:t xml:space="preserve"> pedido </w:t>
      </w:r>
      <w:r w:rsidR="00B320D3" w:rsidRPr="00BD6C53">
        <w:rPr>
          <w:rStyle w:val="normaltextrun"/>
          <w:rFonts w:ascii="Cambria" w:hAnsi="Cambria"/>
          <w:color w:val="000000"/>
          <w:sz w:val="20"/>
          <w:szCs w:val="20"/>
          <w:shd w:val="clear" w:color="auto" w:fill="FFFFFF"/>
          <w:lang w:val="es-ES"/>
        </w:rPr>
        <w:t xml:space="preserve">de </w:t>
      </w:r>
      <w:r w:rsidR="00370F68" w:rsidRPr="00BD6C53">
        <w:rPr>
          <w:rStyle w:val="normaltextrun"/>
          <w:rFonts w:ascii="Cambria" w:hAnsi="Cambria"/>
          <w:color w:val="000000"/>
          <w:sz w:val="20"/>
          <w:szCs w:val="20"/>
          <w:shd w:val="clear" w:color="auto" w:fill="FFFFFF"/>
          <w:lang w:val="es-ES"/>
        </w:rPr>
        <w:t xml:space="preserve">dejar de filmar un operativo en la zona de Parque Cristo </w:t>
      </w:r>
      <w:r w:rsidR="00E45102" w:rsidRPr="00BD6C53">
        <w:rPr>
          <w:rStyle w:val="normaltextrun"/>
          <w:rFonts w:ascii="Cambria" w:hAnsi="Cambria"/>
          <w:color w:val="000000"/>
          <w:sz w:val="20"/>
          <w:szCs w:val="20"/>
          <w:shd w:val="clear" w:color="auto" w:fill="FFFFFF"/>
          <w:lang w:val="es-ES"/>
        </w:rPr>
        <w:t xml:space="preserve">en </w:t>
      </w:r>
      <w:r w:rsidR="00370F68" w:rsidRPr="00BD6C53">
        <w:rPr>
          <w:rStyle w:val="normaltextrun"/>
          <w:rFonts w:ascii="Cambria" w:hAnsi="Cambria"/>
          <w:color w:val="000000"/>
          <w:sz w:val="20"/>
          <w:szCs w:val="20"/>
          <w:shd w:val="clear" w:color="auto" w:fill="FFFFFF"/>
          <w:lang w:val="es-ES"/>
        </w:rPr>
        <w:t>La Habana</w:t>
      </w:r>
      <w:r w:rsidR="00955168" w:rsidRPr="00BD6C53">
        <w:rPr>
          <w:rStyle w:val="normaltextrun"/>
          <w:rFonts w:ascii="Cambria" w:hAnsi="Cambria"/>
          <w:color w:val="000000"/>
          <w:sz w:val="20"/>
          <w:szCs w:val="20"/>
          <w:shd w:val="clear" w:color="auto" w:fill="FFFFFF"/>
          <w:lang w:val="es-ES"/>
        </w:rPr>
        <w:t xml:space="preserve"> (</w:t>
      </w:r>
      <w:r w:rsidR="000C3CD9" w:rsidRPr="749ACC70">
        <w:rPr>
          <w:rStyle w:val="normaltextrun"/>
          <w:rFonts w:ascii="Cambria" w:hAnsi="Cambria"/>
          <w:i/>
          <w:iCs/>
          <w:color w:val="000000"/>
          <w:sz w:val="20"/>
          <w:szCs w:val="20"/>
          <w:shd w:val="clear" w:color="auto" w:fill="FFFFFF"/>
          <w:lang w:val="es-ES"/>
        </w:rPr>
        <w:t>supra</w:t>
      </w:r>
      <w:r w:rsidR="000C3CD9" w:rsidRPr="00BD6C53">
        <w:rPr>
          <w:rStyle w:val="normaltextrun"/>
          <w:rFonts w:ascii="Cambria" w:hAnsi="Cambria"/>
          <w:color w:val="000000"/>
          <w:sz w:val="20"/>
          <w:szCs w:val="20"/>
          <w:shd w:val="clear" w:color="auto" w:fill="FFFFFF"/>
          <w:lang w:val="es-ES"/>
        </w:rPr>
        <w:t xml:space="preserve"> párrs. 2</w:t>
      </w:r>
      <w:r w:rsidR="00CC676A" w:rsidRPr="00BD6C53">
        <w:rPr>
          <w:rStyle w:val="normaltextrun"/>
          <w:rFonts w:ascii="Cambria" w:hAnsi="Cambria"/>
          <w:color w:val="000000"/>
          <w:sz w:val="20"/>
          <w:szCs w:val="20"/>
          <w:shd w:val="clear" w:color="auto" w:fill="FFFFFF"/>
          <w:lang w:val="es-ES"/>
        </w:rPr>
        <w:t>4</w:t>
      </w:r>
      <w:r w:rsidR="000C3CD9" w:rsidRPr="00BD6C53">
        <w:rPr>
          <w:rStyle w:val="normaltextrun"/>
          <w:rFonts w:ascii="Cambria" w:hAnsi="Cambria"/>
          <w:color w:val="000000"/>
          <w:sz w:val="20"/>
          <w:szCs w:val="20"/>
          <w:shd w:val="clear" w:color="auto" w:fill="FFFFFF"/>
          <w:lang w:val="es-ES"/>
        </w:rPr>
        <w:t>-2</w:t>
      </w:r>
      <w:r w:rsidR="00CC676A" w:rsidRPr="00BD6C53">
        <w:rPr>
          <w:rStyle w:val="normaltextrun"/>
          <w:rFonts w:ascii="Cambria" w:hAnsi="Cambria"/>
          <w:color w:val="000000"/>
          <w:sz w:val="20"/>
          <w:szCs w:val="20"/>
          <w:shd w:val="clear" w:color="auto" w:fill="FFFFFF"/>
          <w:lang w:val="es-ES"/>
        </w:rPr>
        <w:t>5</w:t>
      </w:r>
      <w:r w:rsidR="000C3CD9" w:rsidRPr="00BD6C53">
        <w:rPr>
          <w:rStyle w:val="normaltextrun"/>
          <w:rFonts w:ascii="Cambria" w:hAnsi="Cambria"/>
          <w:color w:val="000000"/>
          <w:sz w:val="20"/>
          <w:szCs w:val="20"/>
          <w:shd w:val="clear" w:color="auto" w:fill="FFFFFF"/>
          <w:lang w:val="es-ES"/>
        </w:rPr>
        <w:t xml:space="preserve">). </w:t>
      </w:r>
      <w:r w:rsidR="00370F68" w:rsidRPr="00BD6C53">
        <w:rPr>
          <w:rStyle w:val="normaltextrun"/>
          <w:rFonts w:ascii="Cambria" w:hAnsi="Cambria"/>
          <w:color w:val="000000"/>
          <w:sz w:val="20"/>
          <w:szCs w:val="20"/>
          <w:shd w:val="clear" w:color="auto" w:fill="FFFFFF"/>
          <w:lang w:val="es-ES"/>
        </w:rPr>
        <w:t>En este sentido, l</w:t>
      </w:r>
      <w:r w:rsidR="00810A92" w:rsidRPr="00BD6C53">
        <w:rPr>
          <w:rStyle w:val="normaltextrun"/>
          <w:rFonts w:ascii="Cambria" w:hAnsi="Cambria"/>
          <w:color w:val="000000"/>
          <w:sz w:val="20"/>
          <w:szCs w:val="20"/>
          <w:shd w:val="clear" w:color="auto" w:fill="FFFFFF"/>
          <w:lang w:val="es-ES"/>
        </w:rPr>
        <w:t>a Comisión toma nota</w:t>
      </w:r>
      <w:r w:rsidR="00B320D3" w:rsidRPr="00BD6C53">
        <w:rPr>
          <w:rStyle w:val="normaltextrun"/>
          <w:rFonts w:ascii="Cambria" w:hAnsi="Cambria"/>
          <w:color w:val="000000"/>
          <w:sz w:val="20"/>
          <w:szCs w:val="20"/>
          <w:shd w:val="clear" w:color="auto" w:fill="FFFFFF"/>
          <w:lang w:val="es-ES"/>
        </w:rPr>
        <w:t xml:space="preserve"> que</w:t>
      </w:r>
      <w:r w:rsidR="0026270A" w:rsidRPr="00BD6C53">
        <w:rPr>
          <w:rStyle w:val="normaltextrun"/>
          <w:rFonts w:ascii="Cambria" w:hAnsi="Cambria"/>
          <w:color w:val="000000"/>
          <w:sz w:val="20"/>
          <w:szCs w:val="20"/>
          <w:shd w:val="clear" w:color="auto" w:fill="FFFFFF"/>
          <w:lang w:val="es-ES"/>
        </w:rPr>
        <w:t xml:space="preserve"> el Estado no presentó información sobre la manera en la cual la detención fue apegada al marco legal interno. Asimismo, observa que no</w:t>
      </w:r>
      <w:r w:rsidR="00E45102" w:rsidRPr="00BD6C53">
        <w:rPr>
          <w:rStyle w:val="normaltextrun"/>
          <w:rFonts w:ascii="Cambria" w:hAnsi="Cambria"/>
          <w:color w:val="000000"/>
          <w:sz w:val="20"/>
          <w:szCs w:val="20"/>
          <w:shd w:val="clear" w:color="auto" w:fill="FFFFFF"/>
          <w:lang w:val="es-ES"/>
        </w:rPr>
        <w:t xml:space="preserve"> existe ningún tipo de información que acredite que</w:t>
      </w:r>
      <w:r w:rsidR="00B320D3" w:rsidRPr="00BD6C53">
        <w:rPr>
          <w:rStyle w:val="normaltextrun"/>
          <w:rFonts w:ascii="Cambria" w:hAnsi="Cambria"/>
          <w:color w:val="000000"/>
          <w:sz w:val="20"/>
          <w:szCs w:val="20"/>
          <w:shd w:val="clear" w:color="auto" w:fill="FFFFFF"/>
          <w:lang w:val="es-ES"/>
        </w:rPr>
        <w:t xml:space="preserve"> </w:t>
      </w:r>
      <w:r w:rsidRPr="00BD6C53">
        <w:rPr>
          <w:rStyle w:val="normaltextrun"/>
          <w:rFonts w:ascii="Cambria" w:hAnsi="Cambria"/>
          <w:color w:val="000000"/>
          <w:sz w:val="20"/>
          <w:szCs w:val="20"/>
          <w:shd w:val="clear" w:color="auto" w:fill="FFFFFF"/>
          <w:lang w:val="es-ES"/>
        </w:rPr>
        <w:t xml:space="preserve">hubo una orden judicial </w:t>
      </w:r>
      <w:r w:rsidR="00E45102" w:rsidRPr="00BD6C53">
        <w:rPr>
          <w:rStyle w:val="normaltextrun"/>
          <w:rFonts w:ascii="Cambria" w:hAnsi="Cambria"/>
          <w:color w:val="000000"/>
          <w:sz w:val="20"/>
          <w:szCs w:val="20"/>
          <w:shd w:val="clear" w:color="auto" w:fill="FFFFFF"/>
          <w:lang w:val="es-ES"/>
        </w:rPr>
        <w:t xml:space="preserve">o que </w:t>
      </w:r>
      <w:r w:rsidRPr="00BD6C53">
        <w:rPr>
          <w:rStyle w:val="normaltextrun"/>
          <w:rFonts w:ascii="Cambria" w:hAnsi="Cambria"/>
          <w:color w:val="000000"/>
          <w:sz w:val="20"/>
          <w:szCs w:val="20"/>
          <w:shd w:val="clear" w:color="auto" w:fill="FFFFFF"/>
          <w:lang w:val="es-ES"/>
        </w:rPr>
        <w:t xml:space="preserve">se </w:t>
      </w:r>
      <w:r w:rsidR="00E45102" w:rsidRPr="00BD6C53">
        <w:rPr>
          <w:rStyle w:val="normaltextrun"/>
          <w:rFonts w:ascii="Cambria" w:hAnsi="Cambria"/>
          <w:color w:val="000000"/>
          <w:sz w:val="20"/>
          <w:szCs w:val="20"/>
          <w:shd w:val="clear" w:color="auto" w:fill="FFFFFF"/>
          <w:lang w:val="es-ES"/>
        </w:rPr>
        <w:t xml:space="preserve">haya </w:t>
      </w:r>
      <w:r w:rsidRPr="00BD6C53">
        <w:rPr>
          <w:rStyle w:val="normaltextrun"/>
          <w:rFonts w:ascii="Cambria" w:hAnsi="Cambria"/>
          <w:color w:val="000000"/>
          <w:sz w:val="20"/>
          <w:szCs w:val="20"/>
          <w:shd w:val="clear" w:color="auto" w:fill="FFFFFF"/>
          <w:lang w:val="es-ES"/>
        </w:rPr>
        <w:t>present</w:t>
      </w:r>
      <w:r w:rsidR="00E45102" w:rsidRPr="00BD6C53">
        <w:rPr>
          <w:rStyle w:val="normaltextrun"/>
          <w:rFonts w:ascii="Cambria" w:hAnsi="Cambria"/>
          <w:color w:val="000000"/>
          <w:sz w:val="20"/>
          <w:szCs w:val="20"/>
          <w:shd w:val="clear" w:color="auto" w:fill="FFFFFF"/>
          <w:lang w:val="es-ES"/>
        </w:rPr>
        <w:t>ado</w:t>
      </w:r>
      <w:r w:rsidRPr="00BD6C53">
        <w:rPr>
          <w:rStyle w:val="normaltextrun"/>
          <w:rFonts w:ascii="Cambria" w:hAnsi="Cambria"/>
          <w:color w:val="000000"/>
          <w:sz w:val="20"/>
          <w:szCs w:val="20"/>
          <w:shd w:val="clear" w:color="auto" w:fill="FFFFFF"/>
          <w:lang w:val="es-ES"/>
        </w:rPr>
        <w:t xml:space="preserve"> una situación de flagrancia cuando ocurrió el arresto. </w:t>
      </w:r>
      <w:r w:rsidR="00370F68" w:rsidRPr="00BD6C53">
        <w:rPr>
          <w:rStyle w:val="normaltextrun"/>
          <w:rFonts w:ascii="Cambria" w:hAnsi="Cambria"/>
          <w:color w:val="000000"/>
          <w:sz w:val="20"/>
          <w:szCs w:val="20"/>
          <w:shd w:val="clear" w:color="auto" w:fill="FFFFFF"/>
          <w:lang w:val="es-ES"/>
        </w:rPr>
        <w:t xml:space="preserve">Por ello, la Comisión considera que se constituyó una detención ilegal </w:t>
      </w:r>
      <w:r w:rsidR="0A6DC4CF" w:rsidRPr="00BD6C53">
        <w:rPr>
          <w:rStyle w:val="normaltextrun"/>
          <w:rFonts w:ascii="Cambria" w:hAnsi="Cambria"/>
          <w:color w:val="000000"/>
          <w:sz w:val="20"/>
          <w:szCs w:val="20"/>
          <w:shd w:val="clear" w:color="auto" w:fill="FFFFFF"/>
          <w:lang w:val="es-ES"/>
        </w:rPr>
        <w:t xml:space="preserve">respecto a </w:t>
      </w:r>
      <w:r w:rsidR="00370F68" w:rsidRPr="00BD6C53">
        <w:rPr>
          <w:rStyle w:val="normaltextrun"/>
          <w:rFonts w:ascii="Cambria" w:hAnsi="Cambria"/>
          <w:color w:val="000000"/>
          <w:sz w:val="20"/>
          <w:szCs w:val="20"/>
          <w:shd w:val="clear" w:color="auto" w:fill="FFFFFF"/>
          <w:lang w:val="es-ES"/>
        </w:rPr>
        <w:t xml:space="preserve">la </w:t>
      </w:r>
      <w:r w:rsidR="6CB0A4F9" w:rsidRPr="00BD6C53">
        <w:rPr>
          <w:rStyle w:val="normaltextrun"/>
          <w:rFonts w:ascii="Cambria" w:hAnsi="Cambria"/>
          <w:color w:val="000000"/>
          <w:sz w:val="20"/>
          <w:szCs w:val="20"/>
          <w:shd w:val="clear" w:color="auto" w:fill="FFFFFF"/>
          <w:lang w:val="es-ES"/>
        </w:rPr>
        <w:t xml:space="preserve">privación de la libertad </w:t>
      </w:r>
      <w:r w:rsidR="00370F68" w:rsidRPr="00BD6C53">
        <w:rPr>
          <w:rStyle w:val="normaltextrun"/>
          <w:rFonts w:ascii="Cambria" w:hAnsi="Cambria"/>
          <w:color w:val="000000"/>
          <w:sz w:val="20"/>
          <w:szCs w:val="20"/>
          <w:shd w:val="clear" w:color="auto" w:fill="FFFFFF"/>
          <w:lang w:val="es-ES"/>
        </w:rPr>
        <w:t>del señor Castillo Pérez.</w:t>
      </w:r>
      <w:r w:rsidR="00824132" w:rsidRPr="00BD6C53">
        <w:rPr>
          <w:rStyle w:val="normaltextrun"/>
          <w:rFonts w:ascii="Cambria" w:hAnsi="Cambria"/>
          <w:color w:val="000000"/>
          <w:sz w:val="20"/>
          <w:szCs w:val="20"/>
          <w:shd w:val="clear" w:color="auto" w:fill="FFFFFF"/>
          <w:lang w:val="es-ES"/>
        </w:rPr>
        <w:t xml:space="preserve"> En </w:t>
      </w:r>
      <w:r w:rsidR="00824132" w:rsidRPr="00BD6C53">
        <w:rPr>
          <w:rStyle w:val="normaltextrun"/>
          <w:rFonts w:ascii="Cambria" w:hAnsi="Cambria"/>
          <w:color w:val="000000"/>
          <w:sz w:val="20"/>
          <w:szCs w:val="20"/>
          <w:shd w:val="clear" w:color="auto" w:fill="FFFFFF"/>
          <w:lang w:val="es-ES"/>
        </w:rPr>
        <w:lastRenderedPageBreak/>
        <w:t xml:space="preserve">consecuencia, </w:t>
      </w:r>
      <w:r w:rsidR="00824132" w:rsidRPr="00BD6C53">
        <w:rPr>
          <w:rStyle w:val="normaltextrun"/>
          <w:rFonts w:ascii="Cambria" w:hAnsi="Cambria" w:cs="Segoe UI"/>
          <w:color w:val="000000"/>
          <w:sz w:val="20"/>
          <w:szCs w:val="20"/>
          <w:lang w:val="es-ES"/>
        </w:rPr>
        <w:t>la CIDH concluye que el Estado vulneró el derecho establecido en el artículo XXV de la Declaración Americana, en perjuicio de Maykel Castillo Pérez.</w:t>
      </w:r>
    </w:p>
    <w:p w14:paraId="17FF91C3" w14:textId="77777777" w:rsidR="00233603" w:rsidRPr="00E9543F" w:rsidRDefault="00233603" w:rsidP="749ACC70">
      <w:pPr>
        <w:pStyle w:val="paragraph"/>
        <w:spacing w:before="0" w:beforeAutospacing="0" w:after="0" w:afterAutospacing="0"/>
        <w:ind w:right="360"/>
        <w:jc w:val="both"/>
        <w:textAlignment w:val="baseline"/>
        <w:rPr>
          <w:rFonts w:ascii="Segoe UI" w:hAnsi="Segoe UI" w:cs="Segoe UI"/>
          <w:color w:val="000000"/>
          <w:sz w:val="18"/>
          <w:szCs w:val="18"/>
          <w:lang w:val="es-ES"/>
        </w:rPr>
      </w:pPr>
    </w:p>
    <w:p w14:paraId="70FE5A93" w14:textId="76651F34" w:rsidR="004621F6" w:rsidRPr="00BD6C53" w:rsidRDefault="004621F6" w:rsidP="001A4728">
      <w:pPr>
        <w:numPr>
          <w:ilvl w:val="0"/>
          <w:numId w:val="60"/>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hAnsi="Cambria" w:cs="Segoe UI"/>
          <w:color w:val="000000"/>
          <w:sz w:val="20"/>
          <w:szCs w:val="20"/>
          <w:lang w:val="es-ES"/>
        </w:rPr>
      </w:pPr>
      <w:r w:rsidRPr="749ACC70">
        <w:rPr>
          <w:rStyle w:val="normaltextrun"/>
          <w:rFonts w:ascii="Cambria" w:hAnsi="Cambria" w:cs="Segoe UI"/>
          <w:color w:val="000000" w:themeColor="text1"/>
          <w:sz w:val="20"/>
          <w:szCs w:val="20"/>
          <w:lang w:val="es-ES"/>
        </w:rPr>
        <w:t xml:space="preserve">En </w:t>
      </w:r>
      <w:r w:rsidRPr="749ACC70">
        <w:rPr>
          <w:rFonts w:ascii="Cambria" w:hAnsi="Cambria"/>
          <w:sz w:val="20"/>
          <w:szCs w:val="20"/>
          <w:lang w:val="es-ES"/>
        </w:rPr>
        <w:t xml:space="preserve">relación con el derecho </w:t>
      </w:r>
      <w:r w:rsidR="00370F68" w:rsidRPr="749ACC70">
        <w:rPr>
          <w:rFonts w:ascii="Cambria" w:hAnsi="Cambria"/>
          <w:sz w:val="20"/>
          <w:szCs w:val="20"/>
          <w:lang w:val="es-ES"/>
        </w:rPr>
        <w:t>a ser informado de los motivos y las razones de la detención</w:t>
      </w:r>
      <w:r w:rsidRPr="749ACC70">
        <w:rPr>
          <w:rFonts w:ascii="Cambria" w:hAnsi="Cambria"/>
          <w:sz w:val="20"/>
          <w:szCs w:val="20"/>
          <w:lang w:val="es-ES"/>
        </w:rPr>
        <w:t xml:space="preserve">, la CIDH toma nota de que en el presente caso el Estado no presentó información que pudiera corroborar que los agentes estatales informaron al señor </w:t>
      </w:r>
      <w:r w:rsidR="00810A92" w:rsidRPr="749ACC70">
        <w:rPr>
          <w:rFonts w:ascii="Cambria" w:hAnsi="Cambria"/>
          <w:sz w:val="20"/>
          <w:szCs w:val="20"/>
          <w:lang w:val="es-ES"/>
        </w:rPr>
        <w:t>Castillo Pérez</w:t>
      </w:r>
      <w:r w:rsidRPr="749ACC70">
        <w:rPr>
          <w:rFonts w:ascii="Cambria" w:hAnsi="Cambria"/>
          <w:sz w:val="20"/>
          <w:szCs w:val="20"/>
          <w:lang w:val="es-ES"/>
        </w:rPr>
        <w:t xml:space="preserve"> sobre las razones de su detención.  Al respecto, la Comisión </w:t>
      </w:r>
      <w:r w:rsidR="00CC676A" w:rsidRPr="749ACC70">
        <w:rPr>
          <w:rFonts w:ascii="Cambria" w:hAnsi="Cambria"/>
          <w:sz w:val="20"/>
          <w:szCs w:val="20"/>
          <w:lang w:val="es-ES"/>
        </w:rPr>
        <w:t>señala</w:t>
      </w:r>
      <w:r w:rsidRPr="749ACC70">
        <w:rPr>
          <w:rFonts w:ascii="Cambria" w:hAnsi="Cambria"/>
          <w:sz w:val="20"/>
          <w:szCs w:val="20"/>
          <w:lang w:val="es-ES"/>
        </w:rPr>
        <w:t xml:space="preserve"> que</w:t>
      </w:r>
      <w:r w:rsidR="18B71FE7" w:rsidRPr="749ACC70">
        <w:rPr>
          <w:rFonts w:ascii="Cambria" w:hAnsi="Cambria"/>
          <w:sz w:val="20"/>
          <w:szCs w:val="20"/>
          <w:lang w:val="es-ES"/>
        </w:rPr>
        <w:t>,</w:t>
      </w:r>
      <w:r w:rsidRPr="749ACC70">
        <w:rPr>
          <w:rFonts w:ascii="Cambria" w:hAnsi="Cambria"/>
          <w:sz w:val="20"/>
          <w:szCs w:val="20"/>
          <w:lang w:val="es-ES"/>
        </w:rPr>
        <w:t xml:space="preserve"> en relación con la carga de la prueba aplicable</w:t>
      </w:r>
      <w:r w:rsidRPr="749ACC70">
        <w:rPr>
          <w:rStyle w:val="normaltextrun"/>
          <w:rFonts w:ascii="Cambria" w:hAnsi="Cambria" w:cs="Segoe UI"/>
          <w:color w:val="000000" w:themeColor="text1"/>
          <w:sz w:val="20"/>
          <w:szCs w:val="20"/>
          <w:lang w:val="es-ES"/>
        </w:rPr>
        <w:t xml:space="preserve"> a este tipo de asuntos, en el </w:t>
      </w:r>
      <w:r w:rsidRPr="749ACC70">
        <w:rPr>
          <w:rStyle w:val="normaltextrun"/>
          <w:rFonts w:ascii="Cambria" w:hAnsi="Cambria" w:cs="Segoe UI"/>
          <w:i/>
          <w:iCs/>
          <w:color w:val="000000" w:themeColor="text1"/>
          <w:sz w:val="20"/>
          <w:szCs w:val="20"/>
          <w:lang w:val="es-ES"/>
        </w:rPr>
        <w:t>Caso Chaparro Álvarez y Lapo Iñíguez Vs. Ecuador</w:t>
      </w:r>
      <w:r w:rsidRPr="749ACC70">
        <w:rPr>
          <w:rStyle w:val="normaltextrun"/>
          <w:rFonts w:ascii="Cambria" w:hAnsi="Cambria" w:cs="Segoe UI"/>
          <w:color w:val="000000" w:themeColor="text1"/>
          <w:sz w:val="20"/>
          <w:szCs w:val="20"/>
          <w:lang w:val="es-ES"/>
        </w:rPr>
        <w:t>, conocido y decidido por la Corte Interamericana, dicho Tribunal indicó lo siguiente:</w:t>
      </w:r>
      <w:r w:rsidRPr="749ACC70">
        <w:rPr>
          <w:rStyle w:val="eop"/>
          <w:rFonts w:ascii="Cambria" w:hAnsi="Cambria" w:cs="Segoe UI"/>
          <w:color w:val="000000" w:themeColor="text1"/>
          <w:sz w:val="20"/>
          <w:szCs w:val="20"/>
          <w:lang w:val="es-ES"/>
        </w:rPr>
        <w:t> </w:t>
      </w:r>
    </w:p>
    <w:p w14:paraId="68E5A539" w14:textId="7EE95232" w:rsidR="004621F6" w:rsidRPr="00E9543F" w:rsidRDefault="004621F6" w:rsidP="749ACC70">
      <w:pPr>
        <w:pStyle w:val="paragraph"/>
        <w:spacing w:before="0" w:beforeAutospacing="0" w:after="0" w:afterAutospacing="0"/>
        <w:ind w:left="1080" w:right="360"/>
        <w:jc w:val="both"/>
        <w:textAlignment w:val="baseline"/>
        <w:rPr>
          <w:rFonts w:ascii="Cambria" w:hAnsi="Cambria" w:cs="Segoe UI"/>
          <w:color w:val="000000"/>
          <w:sz w:val="20"/>
          <w:szCs w:val="20"/>
          <w:lang w:val="es-ES"/>
        </w:rPr>
      </w:pPr>
    </w:p>
    <w:p w14:paraId="4D00643B" w14:textId="364A9FB2" w:rsidR="004621F6" w:rsidRPr="00BD6C53" w:rsidRDefault="004621F6" w:rsidP="749ACC70">
      <w:pPr>
        <w:pStyle w:val="paragraph"/>
        <w:spacing w:before="0" w:beforeAutospacing="0" w:after="0" w:afterAutospacing="0"/>
        <w:ind w:left="360" w:right="720"/>
        <w:jc w:val="both"/>
        <w:textAlignment w:val="baseline"/>
        <w:rPr>
          <w:rFonts w:ascii="Cambria" w:hAnsi="Cambria" w:cs="Segoe UI"/>
          <w:sz w:val="18"/>
          <w:szCs w:val="18"/>
          <w:lang w:val="es-ES"/>
        </w:rPr>
      </w:pPr>
      <w:r w:rsidRPr="00BD6C53">
        <w:rPr>
          <w:rStyle w:val="normaltextrun"/>
          <w:rFonts w:ascii="Cambria" w:hAnsi="Cambria" w:cs="Segoe UI"/>
          <w:sz w:val="18"/>
          <w:szCs w:val="18"/>
          <w:lang w:val="es-ES"/>
        </w:rPr>
        <w:t>En el presente caso la víctima no tiene ningún mecanismo a su alcance que le posibilite probar este hecho. Su alegación es de carácter negativo, señala la inexistencia de un hecho. El Estado, por su lado, sostiene que la información de las razones de la detención sí se produjo. Esta es una alegación de carácter positivo y, por ello, susceptible de prueba. Además, si se toma en cuenta que la Corte ha establecido en otras oportunidades que “en los procesos sobre violaciones de derechos humanos, la defensa del Estado no puede descansar sobre la imposibilidad del demandante de allegar pruebas que, en muchos casos, no pueden obtenerse sin la cooperación del Estado”, se llega a la conclusión de que la carga probatoria en este punto corresponde al Estado</w:t>
      </w:r>
      <w:r w:rsidR="000F4F72" w:rsidRPr="00BD6C53">
        <w:rPr>
          <w:rStyle w:val="FootnoteReference"/>
          <w:rFonts w:ascii="Cambria" w:hAnsi="Cambria" w:cs="Segoe UI"/>
          <w:sz w:val="18"/>
          <w:szCs w:val="18"/>
          <w:lang w:val="es-ES"/>
        </w:rPr>
        <w:footnoteReference w:id="90"/>
      </w:r>
      <w:r w:rsidR="000F4F72" w:rsidRPr="00BD6C53">
        <w:rPr>
          <w:rStyle w:val="eop"/>
          <w:rFonts w:ascii="Cambria" w:hAnsi="Cambria" w:cs="Segoe UI"/>
          <w:sz w:val="18"/>
          <w:szCs w:val="18"/>
          <w:lang w:val="es-ES"/>
        </w:rPr>
        <w:t>.</w:t>
      </w:r>
    </w:p>
    <w:p w14:paraId="2312142F" w14:textId="4220C9C5" w:rsidR="004621F6" w:rsidRPr="00E9543F" w:rsidRDefault="004621F6" w:rsidP="749ACC70">
      <w:pPr>
        <w:pStyle w:val="paragraph"/>
        <w:spacing w:before="0" w:beforeAutospacing="0" w:after="0" w:afterAutospacing="0"/>
        <w:jc w:val="both"/>
        <w:textAlignment w:val="baseline"/>
        <w:rPr>
          <w:rFonts w:ascii="Cambria" w:hAnsi="Cambria" w:cs="Segoe UI"/>
          <w:color w:val="000000"/>
          <w:sz w:val="20"/>
          <w:szCs w:val="20"/>
          <w:lang w:val="es-ES"/>
        </w:rPr>
      </w:pPr>
    </w:p>
    <w:p w14:paraId="66F0A72C" w14:textId="75DCFF75" w:rsidR="004621F6" w:rsidRPr="00E9543F" w:rsidRDefault="00F3004A" w:rsidP="001A4728">
      <w:pPr>
        <w:numPr>
          <w:ilvl w:val="0"/>
          <w:numId w:val="60"/>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hAnsi="Cambria" w:cs="Segoe UI"/>
          <w:color w:val="000000"/>
          <w:sz w:val="20"/>
          <w:szCs w:val="20"/>
          <w:lang w:val="es-ES"/>
        </w:rPr>
      </w:pPr>
      <w:bookmarkStart w:id="29" w:name="_Hlk172885306"/>
      <w:r w:rsidRPr="749ACC70">
        <w:rPr>
          <w:rStyle w:val="normaltextrun"/>
          <w:rFonts w:ascii="Cambria" w:hAnsi="Cambria" w:cs="Segoe UI"/>
          <w:color w:val="000000" w:themeColor="text1"/>
          <w:sz w:val="20"/>
          <w:szCs w:val="20"/>
          <w:lang w:val="es-ES"/>
        </w:rPr>
        <w:t xml:space="preserve">La Comisión ha </w:t>
      </w:r>
      <w:r w:rsidR="1509AC6D" w:rsidRPr="749ACC70">
        <w:rPr>
          <w:rStyle w:val="normaltextrun"/>
          <w:rFonts w:ascii="Cambria" w:hAnsi="Cambria" w:cs="Segoe UI"/>
          <w:color w:val="000000" w:themeColor="text1"/>
          <w:sz w:val="20"/>
          <w:szCs w:val="20"/>
          <w:lang w:val="es-ES"/>
        </w:rPr>
        <w:t>entendido</w:t>
      </w:r>
      <w:r w:rsidRPr="749ACC70">
        <w:rPr>
          <w:rStyle w:val="normaltextrun"/>
          <w:rFonts w:ascii="Cambria" w:hAnsi="Cambria" w:cs="Segoe UI"/>
          <w:color w:val="000000" w:themeColor="text1"/>
          <w:sz w:val="20"/>
          <w:szCs w:val="20"/>
          <w:lang w:val="es-ES"/>
        </w:rPr>
        <w:t xml:space="preserve"> en este sentido de forma consistente que está en cabeza del Estado el deber de acreditar que se informaron las razones de la detención. </w:t>
      </w:r>
      <w:r w:rsidR="004621F6" w:rsidRPr="749ACC70">
        <w:rPr>
          <w:rStyle w:val="normaltextrun"/>
          <w:rFonts w:ascii="Cambria" w:hAnsi="Cambria" w:cs="Segoe UI"/>
          <w:color w:val="000000" w:themeColor="text1"/>
          <w:sz w:val="20"/>
          <w:szCs w:val="20"/>
          <w:lang w:val="es-ES"/>
        </w:rPr>
        <w:t xml:space="preserve">En vista de lo expuesto, y teniendo en cuenta la carga de la prueba aplicable, la Comisión considera que </w:t>
      </w:r>
      <w:r w:rsidR="00824132" w:rsidRPr="749ACC70">
        <w:rPr>
          <w:rStyle w:val="normaltextrun"/>
          <w:rFonts w:ascii="Cambria" w:hAnsi="Cambria" w:cs="Segoe UI"/>
          <w:color w:val="000000" w:themeColor="text1"/>
          <w:sz w:val="20"/>
          <w:szCs w:val="20"/>
          <w:lang w:val="es-ES"/>
        </w:rPr>
        <w:t>el señor Castillo</w:t>
      </w:r>
      <w:r w:rsidR="00B34C9C" w:rsidRPr="749ACC70">
        <w:rPr>
          <w:rStyle w:val="normaltextrun"/>
          <w:rFonts w:ascii="Cambria" w:hAnsi="Cambria" w:cs="Segoe UI"/>
          <w:color w:val="000000" w:themeColor="text1"/>
          <w:sz w:val="20"/>
          <w:szCs w:val="20"/>
          <w:lang w:val="es-ES"/>
        </w:rPr>
        <w:t xml:space="preserve"> </w:t>
      </w:r>
      <w:r w:rsidR="004621F6" w:rsidRPr="749ACC70">
        <w:rPr>
          <w:rStyle w:val="normaltextrun"/>
          <w:rFonts w:ascii="Cambria" w:hAnsi="Cambria" w:cs="Segoe UI"/>
          <w:color w:val="000000" w:themeColor="text1"/>
          <w:sz w:val="20"/>
          <w:szCs w:val="20"/>
          <w:lang w:val="es-ES"/>
        </w:rPr>
        <w:t>no fue informad</w:t>
      </w:r>
      <w:r w:rsidRPr="749ACC70">
        <w:rPr>
          <w:rStyle w:val="normaltextrun"/>
          <w:rFonts w:ascii="Cambria" w:hAnsi="Cambria" w:cs="Segoe UI"/>
          <w:color w:val="000000" w:themeColor="text1"/>
          <w:sz w:val="20"/>
          <w:szCs w:val="20"/>
          <w:lang w:val="es-ES"/>
        </w:rPr>
        <w:t>o</w:t>
      </w:r>
      <w:r w:rsidR="004621F6" w:rsidRPr="749ACC70">
        <w:rPr>
          <w:rStyle w:val="normaltextrun"/>
          <w:rFonts w:ascii="Cambria" w:hAnsi="Cambria" w:cs="Segoe UI"/>
          <w:color w:val="000000" w:themeColor="text1"/>
          <w:sz w:val="20"/>
          <w:szCs w:val="20"/>
          <w:lang w:val="es-ES"/>
        </w:rPr>
        <w:t xml:space="preserve"> sobre las razones de su detenci</w:t>
      </w:r>
      <w:r w:rsidR="0009539B" w:rsidRPr="749ACC70">
        <w:rPr>
          <w:rStyle w:val="normaltextrun"/>
          <w:rFonts w:ascii="Cambria" w:hAnsi="Cambria" w:cs="Segoe UI"/>
          <w:color w:val="000000" w:themeColor="text1"/>
          <w:sz w:val="20"/>
          <w:szCs w:val="20"/>
          <w:lang w:val="es-ES"/>
        </w:rPr>
        <w:t xml:space="preserve">ón </w:t>
      </w:r>
      <w:r w:rsidR="004621F6" w:rsidRPr="749ACC70">
        <w:rPr>
          <w:rStyle w:val="normaltextrun"/>
          <w:rFonts w:ascii="Cambria" w:hAnsi="Cambria" w:cs="Segoe UI"/>
          <w:color w:val="000000" w:themeColor="text1"/>
          <w:sz w:val="20"/>
          <w:szCs w:val="20"/>
          <w:lang w:val="es-ES"/>
        </w:rPr>
        <w:t>conforme a los estándares requeridos. Por ello, la CIDH concluye que el Estado vulneró el derecho establecido en el artículo XXV de la Declaración Americana, en perjuicio de Maykel Castillo Pérez.</w:t>
      </w:r>
    </w:p>
    <w:bookmarkEnd w:id="29"/>
    <w:p w14:paraId="037C1BC4" w14:textId="77777777" w:rsidR="007F743F" w:rsidRPr="00E9543F" w:rsidRDefault="007F743F" w:rsidP="007F743F">
      <w:pPr>
        <w:rPr>
          <w:lang w:val="es-ES"/>
        </w:rPr>
      </w:pPr>
    </w:p>
    <w:p w14:paraId="05CDDBDC" w14:textId="5C9CB961" w:rsidR="00C11C64" w:rsidRPr="00E9543F" w:rsidRDefault="007F743F" w:rsidP="749ACC70">
      <w:pPr>
        <w:pStyle w:val="Heading3"/>
        <w:numPr>
          <w:ilvl w:val="0"/>
          <w:numId w:val="0"/>
        </w:numPr>
        <w:tabs>
          <w:tab w:val="left" w:pos="360"/>
        </w:tabs>
        <w:rPr>
          <w:i/>
          <w:iCs/>
          <w:lang w:val="es-ES"/>
        </w:rPr>
      </w:pPr>
      <w:r w:rsidRPr="749ACC70">
        <w:rPr>
          <w:i/>
          <w:iCs/>
          <w:lang w:val="es-ES"/>
        </w:rPr>
        <w:t xml:space="preserve">Sobre la detención de 25 de septiembre de 2018 </w:t>
      </w:r>
    </w:p>
    <w:p w14:paraId="22B5719D" w14:textId="77777777" w:rsidR="00C11C64" w:rsidRPr="00E9543F" w:rsidRDefault="00C11C64"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eastAsia="Calibri" w:hAnsi="Cambria"/>
          <w:color w:val="000000"/>
          <w:sz w:val="20"/>
          <w:szCs w:val="20"/>
          <w:bdr w:val="none" w:sz="0" w:space="0" w:color="auto"/>
          <w:lang w:val="es-ES"/>
        </w:rPr>
      </w:pPr>
    </w:p>
    <w:p w14:paraId="6BB6930A" w14:textId="3616CD18" w:rsidR="0047697B" w:rsidRPr="00BD6C53" w:rsidRDefault="00DE0DD3" w:rsidP="001A4728">
      <w:pPr>
        <w:numPr>
          <w:ilvl w:val="0"/>
          <w:numId w:val="60"/>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hAnsi="Cambria"/>
          <w:sz w:val="20"/>
          <w:szCs w:val="20"/>
          <w:lang w:val="es-ES"/>
        </w:rPr>
      </w:pPr>
      <w:r w:rsidRPr="00BD6C53">
        <w:rPr>
          <w:rStyle w:val="normaltextrun"/>
          <w:rFonts w:ascii="Cambria" w:hAnsi="Cambria"/>
          <w:color w:val="000000"/>
          <w:sz w:val="20"/>
          <w:szCs w:val="20"/>
          <w:shd w:val="clear" w:color="auto" w:fill="FFFFFF"/>
          <w:lang w:val="es-ES"/>
        </w:rPr>
        <w:t xml:space="preserve">La </w:t>
      </w:r>
      <w:r w:rsidR="0047697B" w:rsidRPr="00BD6C53">
        <w:rPr>
          <w:rStyle w:val="normaltextrun"/>
          <w:rFonts w:ascii="Cambria" w:hAnsi="Cambria"/>
          <w:color w:val="000000"/>
          <w:sz w:val="20"/>
          <w:szCs w:val="20"/>
          <w:shd w:val="clear" w:color="auto" w:fill="FFFFFF"/>
          <w:lang w:val="es-ES"/>
        </w:rPr>
        <w:t>parte peticionaria alegó</w:t>
      </w:r>
      <w:r w:rsidRPr="00BD6C53">
        <w:rPr>
          <w:rStyle w:val="normaltextrun"/>
          <w:rFonts w:ascii="Cambria" w:hAnsi="Cambria"/>
          <w:color w:val="000000"/>
          <w:sz w:val="20"/>
          <w:szCs w:val="20"/>
          <w:shd w:val="clear" w:color="auto" w:fill="FFFFFF"/>
          <w:lang w:val="es-ES"/>
        </w:rPr>
        <w:t xml:space="preserve"> que el señor Castillo Pérez fue detenido por autoridades estatales el 25 de septiembre de 2018</w:t>
      </w:r>
      <w:r w:rsidRPr="00BD6C53">
        <w:rPr>
          <w:rStyle w:val="normaltextrun"/>
          <w:rFonts w:ascii="Cambria" w:eastAsia="Calibri" w:hAnsi="Cambria"/>
          <w:b/>
          <w:bCs/>
          <w:color w:val="000000"/>
          <w:sz w:val="20"/>
          <w:szCs w:val="20"/>
          <w:bdr w:val="none" w:sz="0" w:space="0" w:color="auto"/>
          <w:lang w:val="es-ES"/>
        </w:rPr>
        <w:t xml:space="preserve">. </w:t>
      </w:r>
      <w:r w:rsidR="0047697B" w:rsidRPr="00BD6C53">
        <w:rPr>
          <w:rFonts w:ascii="Cambria" w:hAnsi="Cambria"/>
          <w:sz w:val="20"/>
          <w:szCs w:val="20"/>
          <w:lang w:val="es-ES"/>
        </w:rPr>
        <w:t>S</w:t>
      </w:r>
      <w:r w:rsidR="00DC5D77" w:rsidRPr="00BD6C53">
        <w:rPr>
          <w:rFonts w:ascii="Cambria" w:hAnsi="Cambria"/>
          <w:sz w:val="20"/>
          <w:szCs w:val="20"/>
          <w:lang w:val="es-ES"/>
        </w:rPr>
        <w:t>eñaló</w:t>
      </w:r>
      <w:r w:rsidR="00955168" w:rsidRPr="00BD6C53">
        <w:rPr>
          <w:rFonts w:ascii="Cambria" w:hAnsi="Cambria"/>
          <w:sz w:val="20"/>
          <w:szCs w:val="20"/>
          <w:lang w:val="es-ES"/>
        </w:rPr>
        <w:t xml:space="preserve"> que la Fiscalía de </w:t>
      </w:r>
      <w:r w:rsidR="00CC676A" w:rsidRPr="00BD6C53">
        <w:rPr>
          <w:rFonts w:ascii="Cambria" w:hAnsi="Cambria"/>
          <w:sz w:val="20"/>
          <w:szCs w:val="20"/>
          <w:lang w:val="es-ES"/>
        </w:rPr>
        <w:t xml:space="preserve">La </w:t>
      </w:r>
      <w:r w:rsidR="00955168" w:rsidRPr="00BD6C53">
        <w:rPr>
          <w:rFonts w:ascii="Cambria" w:hAnsi="Cambria"/>
          <w:sz w:val="20"/>
          <w:szCs w:val="20"/>
          <w:lang w:val="es-ES"/>
        </w:rPr>
        <w:t xml:space="preserve">Habana Vieja revocó la decisión de la multa administrativa con posterioridad </w:t>
      </w:r>
      <w:r w:rsidR="00CC676A" w:rsidRPr="00BD6C53">
        <w:rPr>
          <w:rFonts w:ascii="Cambria" w:hAnsi="Cambria"/>
          <w:sz w:val="20"/>
          <w:szCs w:val="20"/>
          <w:lang w:val="es-ES"/>
        </w:rPr>
        <w:t xml:space="preserve">a su pago </w:t>
      </w:r>
      <w:r w:rsidR="00955168" w:rsidRPr="00BD6C53">
        <w:rPr>
          <w:rFonts w:ascii="Cambria" w:hAnsi="Cambria"/>
          <w:sz w:val="20"/>
          <w:szCs w:val="20"/>
          <w:lang w:val="es-ES"/>
        </w:rPr>
        <w:t>y ordenó su detención en razón de la comisión del delito de “Atentado”</w:t>
      </w:r>
      <w:r w:rsidR="00DC5D77" w:rsidRPr="00BD6C53">
        <w:rPr>
          <w:rFonts w:ascii="Cambria" w:hAnsi="Cambria"/>
          <w:sz w:val="20"/>
          <w:szCs w:val="20"/>
          <w:lang w:val="es-ES"/>
        </w:rPr>
        <w:t>. Según la parte peticionaria, la detención fue “arbitraria en su domicilio”</w:t>
      </w:r>
      <w:r w:rsidR="00F973BC" w:rsidRPr="00BD6C53">
        <w:rPr>
          <w:rFonts w:ascii="Cambria" w:hAnsi="Cambria"/>
          <w:sz w:val="20"/>
          <w:szCs w:val="20"/>
          <w:lang w:val="es-ES"/>
        </w:rPr>
        <w:t xml:space="preserve"> y no se le brindó información al momento del arresto</w:t>
      </w:r>
      <w:r w:rsidR="000A0055" w:rsidRPr="00BD6C53">
        <w:rPr>
          <w:rFonts w:ascii="Cambria" w:hAnsi="Cambria"/>
          <w:sz w:val="20"/>
          <w:szCs w:val="20"/>
          <w:lang w:val="es-ES"/>
        </w:rPr>
        <w:t>. A</w:t>
      </w:r>
      <w:r w:rsidR="006B5899" w:rsidRPr="00BD6C53">
        <w:rPr>
          <w:rFonts w:ascii="Cambria" w:hAnsi="Cambria"/>
          <w:sz w:val="20"/>
          <w:szCs w:val="20"/>
          <w:lang w:val="es-ES"/>
        </w:rPr>
        <w:t xml:space="preserve"> su vez, </w:t>
      </w:r>
      <w:r w:rsidR="006B5899" w:rsidRPr="00E9543F">
        <w:rPr>
          <w:rStyle w:val="normaltextrun"/>
          <w:rFonts w:ascii="Cambria" w:hAnsi="Cambria"/>
          <w:color w:val="000000"/>
          <w:sz w:val="20"/>
          <w:szCs w:val="20"/>
          <w:shd w:val="clear" w:color="auto" w:fill="FFFFFF"/>
          <w:lang w:val="es-ES"/>
        </w:rPr>
        <w:t>manifestó</w:t>
      </w:r>
      <w:r w:rsidR="000A0055" w:rsidRPr="00E9543F">
        <w:rPr>
          <w:rStyle w:val="normaltextrun"/>
          <w:rFonts w:ascii="Cambria" w:hAnsi="Cambria"/>
          <w:color w:val="000000"/>
          <w:sz w:val="20"/>
          <w:szCs w:val="20"/>
          <w:shd w:val="clear" w:color="auto" w:fill="FFFFFF"/>
          <w:lang w:val="es-ES"/>
        </w:rPr>
        <w:t xml:space="preserve"> que, al haber pagado la multa administrativa, el accionar ya había sido sancionado de acuerdo </w:t>
      </w:r>
      <w:r w:rsidR="07C01D29" w:rsidRPr="00E9543F">
        <w:rPr>
          <w:rStyle w:val="normaltextrun"/>
          <w:rFonts w:ascii="Cambria" w:hAnsi="Cambria"/>
          <w:color w:val="000000"/>
          <w:sz w:val="20"/>
          <w:szCs w:val="20"/>
          <w:shd w:val="clear" w:color="auto" w:fill="FFFFFF"/>
          <w:lang w:val="es-ES"/>
        </w:rPr>
        <w:t xml:space="preserve">con </w:t>
      </w:r>
      <w:r w:rsidR="000A0055" w:rsidRPr="00E9543F">
        <w:rPr>
          <w:rStyle w:val="normaltextrun"/>
          <w:rFonts w:ascii="Cambria" w:hAnsi="Cambria"/>
          <w:color w:val="000000"/>
          <w:sz w:val="20"/>
          <w:szCs w:val="20"/>
          <w:shd w:val="clear" w:color="auto" w:fill="FFFFFF"/>
          <w:lang w:val="es-ES"/>
        </w:rPr>
        <w:t>su marco jurídico interno</w:t>
      </w:r>
      <w:r w:rsidR="000A0055" w:rsidRPr="00BD6C53">
        <w:rPr>
          <w:rStyle w:val="normaltextrun"/>
          <w:rFonts w:ascii="Cambria" w:hAnsi="Cambria"/>
          <w:color w:val="000000" w:themeColor="text1"/>
          <w:sz w:val="20"/>
          <w:szCs w:val="20"/>
          <w:lang w:val="es-ES"/>
        </w:rPr>
        <w:t xml:space="preserve"> </w:t>
      </w:r>
      <w:r w:rsidR="78F46AC7" w:rsidRPr="00BD6C53">
        <w:rPr>
          <w:rStyle w:val="normaltextrun"/>
          <w:rFonts w:ascii="Cambria" w:hAnsi="Cambria"/>
          <w:color w:val="000000" w:themeColor="text1"/>
          <w:sz w:val="20"/>
          <w:szCs w:val="20"/>
          <w:lang w:val="es-ES"/>
        </w:rPr>
        <w:t>(</w:t>
      </w:r>
      <w:r w:rsidR="78F46AC7" w:rsidRPr="749ACC70">
        <w:rPr>
          <w:rStyle w:val="normaltextrun"/>
          <w:rFonts w:ascii="Cambria" w:hAnsi="Cambria"/>
          <w:i/>
          <w:iCs/>
          <w:color w:val="000000" w:themeColor="text1"/>
          <w:sz w:val="20"/>
          <w:szCs w:val="20"/>
          <w:lang w:val="es-ES"/>
        </w:rPr>
        <w:t>supra</w:t>
      </w:r>
      <w:r w:rsidR="78F46AC7" w:rsidRPr="00BD6C53">
        <w:rPr>
          <w:rStyle w:val="normaltextrun"/>
          <w:rFonts w:ascii="Cambria" w:hAnsi="Cambria"/>
          <w:color w:val="000000" w:themeColor="text1"/>
          <w:sz w:val="20"/>
          <w:szCs w:val="20"/>
          <w:lang w:val="es-ES"/>
        </w:rPr>
        <w:t xml:space="preserve"> párrs. </w:t>
      </w:r>
      <w:r w:rsidR="51D47BF8" w:rsidRPr="00BD6C53">
        <w:rPr>
          <w:rStyle w:val="normaltextrun"/>
          <w:rFonts w:ascii="Cambria" w:hAnsi="Cambria"/>
          <w:color w:val="000000" w:themeColor="text1"/>
          <w:sz w:val="20"/>
          <w:szCs w:val="20"/>
          <w:lang w:val="es-ES"/>
        </w:rPr>
        <w:t>2</w:t>
      </w:r>
      <w:r w:rsidR="0FAEDBA3" w:rsidRPr="00BD6C53">
        <w:rPr>
          <w:rStyle w:val="normaltextrun"/>
          <w:rFonts w:ascii="Cambria" w:hAnsi="Cambria"/>
          <w:color w:val="000000" w:themeColor="text1"/>
          <w:sz w:val="20"/>
          <w:szCs w:val="20"/>
          <w:lang w:val="es-ES"/>
        </w:rPr>
        <w:t>5</w:t>
      </w:r>
      <w:r w:rsidR="78F46AC7" w:rsidRPr="00BD6C53">
        <w:rPr>
          <w:rStyle w:val="normaltextrun"/>
          <w:rFonts w:ascii="Cambria" w:hAnsi="Cambria"/>
          <w:color w:val="000000" w:themeColor="text1"/>
          <w:sz w:val="20"/>
          <w:szCs w:val="20"/>
          <w:lang w:val="es-ES"/>
        </w:rPr>
        <w:t>-</w:t>
      </w:r>
      <w:r w:rsidR="4F4BBD5E" w:rsidRPr="00BD6C53">
        <w:rPr>
          <w:rStyle w:val="normaltextrun"/>
          <w:rFonts w:ascii="Cambria" w:hAnsi="Cambria"/>
          <w:color w:val="000000" w:themeColor="text1"/>
          <w:sz w:val="20"/>
          <w:szCs w:val="20"/>
          <w:lang w:val="es-ES"/>
        </w:rPr>
        <w:t>2</w:t>
      </w:r>
      <w:r w:rsidR="1F4BC200" w:rsidRPr="00BD6C53">
        <w:rPr>
          <w:rStyle w:val="normaltextrun"/>
          <w:rFonts w:ascii="Cambria" w:hAnsi="Cambria"/>
          <w:color w:val="000000" w:themeColor="text1"/>
          <w:sz w:val="20"/>
          <w:szCs w:val="20"/>
          <w:lang w:val="es-ES"/>
        </w:rPr>
        <w:t>6</w:t>
      </w:r>
      <w:r w:rsidR="78F46AC7" w:rsidRPr="00BD6C53">
        <w:rPr>
          <w:rStyle w:val="normaltextrun"/>
          <w:rFonts w:ascii="Cambria" w:hAnsi="Cambria"/>
          <w:color w:val="000000" w:themeColor="text1"/>
          <w:sz w:val="20"/>
          <w:szCs w:val="20"/>
          <w:lang w:val="es-ES"/>
        </w:rPr>
        <w:t>)</w:t>
      </w:r>
      <w:r w:rsidR="00DC5D77" w:rsidRPr="00BD6C53">
        <w:rPr>
          <w:rFonts w:ascii="Cambria" w:hAnsi="Cambria"/>
          <w:sz w:val="20"/>
          <w:szCs w:val="20"/>
          <w:lang w:val="es-ES"/>
        </w:rPr>
        <w:t xml:space="preserve">. </w:t>
      </w:r>
    </w:p>
    <w:p w14:paraId="1B4BE99E" w14:textId="77777777" w:rsidR="0047697B" w:rsidRPr="00E9543F" w:rsidRDefault="0047697B"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lang w:val="es-ES"/>
        </w:rPr>
      </w:pPr>
    </w:p>
    <w:p w14:paraId="24FF6160" w14:textId="321D0274" w:rsidR="00CB25C3" w:rsidRPr="00E9543F" w:rsidRDefault="0047697B" w:rsidP="001A4728">
      <w:pPr>
        <w:numPr>
          <w:ilvl w:val="0"/>
          <w:numId w:val="60"/>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Style w:val="normaltextrun"/>
          <w:rFonts w:ascii="Cambria" w:hAnsi="Cambria"/>
          <w:sz w:val="20"/>
          <w:szCs w:val="20"/>
          <w:lang w:val="es-ES"/>
        </w:rPr>
      </w:pPr>
      <w:r w:rsidRPr="00E9543F">
        <w:rPr>
          <w:rStyle w:val="normaltextrun"/>
          <w:rFonts w:ascii="Cambria" w:hAnsi="Cambria"/>
          <w:color w:val="000000"/>
          <w:sz w:val="20"/>
          <w:szCs w:val="20"/>
          <w:shd w:val="clear" w:color="auto" w:fill="FFFFFF"/>
          <w:lang w:val="es-ES"/>
        </w:rPr>
        <w:t>L</w:t>
      </w:r>
      <w:r w:rsidR="00DC5D77" w:rsidRPr="00E9543F">
        <w:rPr>
          <w:rStyle w:val="normaltextrun"/>
          <w:rFonts w:ascii="Cambria" w:hAnsi="Cambria"/>
          <w:color w:val="000000"/>
          <w:sz w:val="20"/>
          <w:szCs w:val="20"/>
          <w:shd w:val="clear" w:color="auto" w:fill="FFFFFF"/>
          <w:lang w:val="es-ES"/>
        </w:rPr>
        <w:t xml:space="preserve">a Comisión observa que </w:t>
      </w:r>
      <w:r w:rsidRPr="00E9543F">
        <w:rPr>
          <w:rStyle w:val="normaltextrun"/>
          <w:rFonts w:ascii="Cambria" w:hAnsi="Cambria"/>
          <w:color w:val="000000"/>
          <w:sz w:val="20"/>
          <w:szCs w:val="20"/>
          <w:shd w:val="clear" w:color="auto" w:fill="FFFFFF"/>
          <w:lang w:val="es-ES"/>
        </w:rPr>
        <w:t xml:space="preserve">no existe ningún tipo de documentación que acredite </w:t>
      </w:r>
      <w:r w:rsidR="00DC5D77" w:rsidRPr="00E9543F">
        <w:rPr>
          <w:rStyle w:val="normaltextrun"/>
          <w:rFonts w:ascii="Cambria" w:hAnsi="Cambria"/>
          <w:color w:val="000000"/>
          <w:sz w:val="20"/>
          <w:szCs w:val="20"/>
          <w:shd w:val="clear" w:color="auto" w:fill="FFFFFF"/>
          <w:lang w:val="es-ES"/>
        </w:rPr>
        <w:t xml:space="preserve">una orden judicial </w:t>
      </w:r>
      <w:r w:rsidRPr="00E9543F">
        <w:rPr>
          <w:rStyle w:val="normaltextrun"/>
          <w:rFonts w:ascii="Cambria" w:hAnsi="Cambria"/>
          <w:color w:val="000000"/>
          <w:sz w:val="20"/>
          <w:szCs w:val="20"/>
          <w:shd w:val="clear" w:color="auto" w:fill="FFFFFF"/>
          <w:lang w:val="es-ES"/>
        </w:rPr>
        <w:t>o</w:t>
      </w:r>
      <w:r w:rsidR="00DC5D77" w:rsidRPr="00E9543F">
        <w:rPr>
          <w:rStyle w:val="normaltextrun"/>
          <w:rFonts w:ascii="Cambria" w:hAnsi="Cambria"/>
          <w:color w:val="000000"/>
          <w:sz w:val="20"/>
          <w:szCs w:val="20"/>
          <w:shd w:val="clear" w:color="auto" w:fill="FFFFFF"/>
          <w:lang w:val="es-ES"/>
        </w:rPr>
        <w:t xml:space="preserve"> una situación de flagrancia cuando ocurrió</w:t>
      </w:r>
      <w:r w:rsidR="00F973BC" w:rsidRPr="00E9543F">
        <w:rPr>
          <w:rStyle w:val="normaltextrun"/>
          <w:rFonts w:ascii="Cambria" w:hAnsi="Cambria"/>
          <w:color w:val="000000"/>
          <w:sz w:val="20"/>
          <w:szCs w:val="20"/>
          <w:shd w:val="clear" w:color="auto" w:fill="FFFFFF"/>
          <w:lang w:val="es-ES"/>
        </w:rPr>
        <w:t xml:space="preserve"> la detención</w:t>
      </w:r>
      <w:r w:rsidR="0009539B" w:rsidRPr="00E9543F">
        <w:rPr>
          <w:rStyle w:val="normaltextrun"/>
          <w:rFonts w:ascii="Cambria" w:hAnsi="Cambria"/>
          <w:color w:val="000000"/>
          <w:sz w:val="20"/>
          <w:szCs w:val="20"/>
          <w:shd w:val="clear" w:color="auto" w:fill="FFFFFF"/>
          <w:lang w:val="es-ES"/>
        </w:rPr>
        <w:t>.</w:t>
      </w:r>
      <w:r w:rsidR="001104AF" w:rsidRPr="00E9543F">
        <w:rPr>
          <w:rStyle w:val="normaltextrun"/>
          <w:rFonts w:ascii="Cambria" w:hAnsi="Cambria"/>
          <w:color w:val="000000"/>
          <w:sz w:val="20"/>
          <w:szCs w:val="20"/>
          <w:shd w:val="clear" w:color="auto" w:fill="FFFFFF"/>
          <w:lang w:val="es-ES"/>
        </w:rPr>
        <w:t xml:space="preserve"> A su vez,</w:t>
      </w:r>
      <w:r w:rsidR="00784999" w:rsidRPr="00E9543F">
        <w:rPr>
          <w:rStyle w:val="normaltextrun"/>
          <w:rFonts w:ascii="Cambria" w:hAnsi="Cambria"/>
          <w:color w:val="000000"/>
          <w:sz w:val="20"/>
          <w:szCs w:val="20"/>
          <w:shd w:val="clear" w:color="auto" w:fill="FFFFFF"/>
          <w:lang w:val="es-ES"/>
        </w:rPr>
        <w:t xml:space="preserve"> </w:t>
      </w:r>
      <w:r w:rsidR="000A0055" w:rsidRPr="00E9543F">
        <w:rPr>
          <w:rStyle w:val="normaltextrun"/>
          <w:rFonts w:ascii="Cambria" w:hAnsi="Cambria"/>
          <w:color w:val="000000"/>
          <w:sz w:val="20"/>
          <w:szCs w:val="20"/>
          <w:shd w:val="clear" w:color="auto" w:fill="FFFFFF"/>
          <w:lang w:val="es-ES"/>
        </w:rPr>
        <w:t xml:space="preserve">remarca que el suceso que dio origen a la detención ya había sido sancionado por medio de una multa administrativa </w:t>
      </w:r>
      <w:r w:rsidR="000A0055" w:rsidRPr="00E9543F">
        <w:rPr>
          <w:rStyle w:val="normaltextrun"/>
          <w:rFonts w:ascii="Cambria" w:hAnsi="Cambria"/>
          <w:color w:val="000000" w:themeColor="text1"/>
          <w:sz w:val="20"/>
          <w:szCs w:val="20"/>
          <w:lang w:val="es-ES"/>
        </w:rPr>
        <w:t>(</w:t>
      </w:r>
      <w:r w:rsidR="000A0055" w:rsidRPr="749ACC70">
        <w:rPr>
          <w:rStyle w:val="normaltextrun"/>
          <w:rFonts w:ascii="Cambria" w:hAnsi="Cambria"/>
          <w:i/>
          <w:iCs/>
          <w:color w:val="000000" w:themeColor="text1"/>
          <w:sz w:val="20"/>
          <w:szCs w:val="20"/>
          <w:lang w:val="es-ES"/>
        </w:rPr>
        <w:t>supra</w:t>
      </w:r>
      <w:r w:rsidR="000A0055" w:rsidRPr="00E9543F">
        <w:rPr>
          <w:rStyle w:val="normaltextrun"/>
          <w:rFonts w:ascii="Cambria" w:hAnsi="Cambria"/>
          <w:color w:val="000000" w:themeColor="text1"/>
          <w:sz w:val="20"/>
          <w:szCs w:val="20"/>
          <w:lang w:val="es-ES"/>
        </w:rPr>
        <w:t xml:space="preserve"> párr. 22)</w:t>
      </w:r>
      <w:r w:rsidR="000A0055" w:rsidRPr="00E9543F">
        <w:rPr>
          <w:rStyle w:val="normaltextrun"/>
          <w:rFonts w:ascii="Cambria" w:hAnsi="Cambria"/>
          <w:color w:val="000000"/>
          <w:sz w:val="20"/>
          <w:szCs w:val="20"/>
          <w:shd w:val="clear" w:color="auto" w:fill="FFFFFF"/>
          <w:lang w:val="es-ES"/>
        </w:rPr>
        <w:t xml:space="preserve">. </w:t>
      </w:r>
      <w:r w:rsidRPr="00E9543F">
        <w:rPr>
          <w:rStyle w:val="normaltextrun"/>
          <w:rFonts w:ascii="Cambria" w:hAnsi="Cambria" w:cs="Segoe UI"/>
          <w:color w:val="000000"/>
          <w:sz w:val="20"/>
          <w:szCs w:val="20"/>
          <w:lang w:val="es-ES"/>
        </w:rPr>
        <w:t>L</w:t>
      </w:r>
      <w:r w:rsidRPr="00E9543F">
        <w:rPr>
          <w:rStyle w:val="normaltextrun"/>
          <w:rFonts w:ascii="Cambria" w:hAnsi="Cambria"/>
          <w:color w:val="000000"/>
          <w:sz w:val="20"/>
          <w:szCs w:val="20"/>
          <w:shd w:val="clear" w:color="auto" w:fill="FFFFFF"/>
          <w:lang w:val="es-ES"/>
        </w:rPr>
        <w:t xml:space="preserve">a CIDH </w:t>
      </w:r>
      <w:r w:rsidR="56C79730" w:rsidRPr="00E9543F">
        <w:rPr>
          <w:rStyle w:val="normaltextrun"/>
          <w:rFonts w:ascii="Cambria" w:hAnsi="Cambria"/>
          <w:color w:val="000000"/>
          <w:sz w:val="20"/>
          <w:szCs w:val="20"/>
          <w:shd w:val="clear" w:color="auto" w:fill="FFFFFF"/>
          <w:lang w:val="es-ES"/>
        </w:rPr>
        <w:t xml:space="preserve">advierte </w:t>
      </w:r>
      <w:r w:rsidRPr="00E9543F">
        <w:rPr>
          <w:rStyle w:val="normaltextrun"/>
          <w:rFonts w:ascii="Cambria" w:hAnsi="Cambria"/>
          <w:color w:val="000000"/>
          <w:sz w:val="20"/>
          <w:szCs w:val="20"/>
          <w:shd w:val="clear" w:color="auto" w:fill="FFFFFF"/>
          <w:lang w:val="es-ES"/>
        </w:rPr>
        <w:t>que la medida cautelar de prisión provisional que le fue impuesta al señor Castillo Pérez fue dictada por el Ministerio Público y no por una autoridad judicial competente</w:t>
      </w:r>
      <w:r w:rsidR="675A21E6" w:rsidRPr="00E9543F">
        <w:rPr>
          <w:rStyle w:val="normaltextrun"/>
          <w:rFonts w:ascii="Cambria" w:hAnsi="Cambria"/>
          <w:color w:val="000000"/>
          <w:sz w:val="20"/>
          <w:szCs w:val="20"/>
          <w:shd w:val="clear" w:color="auto" w:fill="FFFFFF"/>
          <w:lang w:val="es-ES"/>
        </w:rPr>
        <w:t xml:space="preserve"> </w:t>
      </w:r>
      <w:r w:rsidR="675A21E6" w:rsidRPr="00E9543F">
        <w:rPr>
          <w:rStyle w:val="normaltextrun"/>
          <w:rFonts w:ascii="Cambria" w:hAnsi="Cambria"/>
          <w:color w:val="000000" w:themeColor="text1"/>
          <w:sz w:val="20"/>
          <w:szCs w:val="20"/>
          <w:lang w:val="es-ES"/>
        </w:rPr>
        <w:t>(</w:t>
      </w:r>
      <w:r w:rsidR="675A21E6" w:rsidRPr="749ACC70">
        <w:rPr>
          <w:rStyle w:val="normaltextrun"/>
          <w:rFonts w:ascii="Cambria" w:hAnsi="Cambria"/>
          <w:i/>
          <w:iCs/>
          <w:color w:val="000000" w:themeColor="text1"/>
          <w:sz w:val="20"/>
          <w:szCs w:val="20"/>
          <w:lang w:val="es-ES"/>
        </w:rPr>
        <w:t>supra</w:t>
      </w:r>
      <w:r w:rsidR="675A21E6" w:rsidRPr="00E9543F">
        <w:rPr>
          <w:rStyle w:val="normaltextrun"/>
          <w:rFonts w:ascii="Cambria" w:hAnsi="Cambria"/>
          <w:color w:val="000000" w:themeColor="text1"/>
          <w:sz w:val="20"/>
          <w:szCs w:val="20"/>
          <w:lang w:val="es-ES"/>
        </w:rPr>
        <w:t xml:space="preserve"> párr. 25)</w:t>
      </w:r>
      <w:r w:rsidRPr="00E9543F">
        <w:rPr>
          <w:rStyle w:val="normaltextrun"/>
          <w:rFonts w:ascii="Cambria" w:hAnsi="Cambria"/>
          <w:color w:val="000000"/>
          <w:sz w:val="20"/>
          <w:szCs w:val="20"/>
          <w:shd w:val="clear" w:color="auto" w:fill="FFFFFF"/>
          <w:lang w:val="es-ES"/>
        </w:rPr>
        <w:t xml:space="preserve">. </w:t>
      </w:r>
      <w:r w:rsidR="001104AF" w:rsidRPr="00E9543F">
        <w:rPr>
          <w:rStyle w:val="normaltextrun"/>
          <w:rFonts w:ascii="Cambria" w:hAnsi="Cambria"/>
          <w:color w:val="000000"/>
          <w:sz w:val="20"/>
          <w:szCs w:val="20"/>
          <w:shd w:val="clear" w:color="auto" w:fill="FFFFFF"/>
          <w:lang w:val="es-ES"/>
        </w:rPr>
        <w:t>T</w:t>
      </w:r>
      <w:r w:rsidRPr="00E9543F">
        <w:rPr>
          <w:rStyle w:val="normaltextrun"/>
          <w:rFonts w:ascii="Cambria" w:hAnsi="Cambria"/>
          <w:color w:val="000000"/>
          <w:sz w:val="20"/>
          <w:szCs w:val="20"/>
          <w:shd w:val="clear" w:color="auto" w:fill="FFFFFF"/>
          <w:lang w:val="es-ES"/>
        </w:rPr>
        <w:t>ampoco existe información sobre que el señor Castillo haya</w:t>
      </w:r>
      <w:r w:rsidR="008B7F23" w:rsidRPr="00E9543F">
        <w:rPr>
          <w:rStyle w:val="normaltextrun"/>
          <w:rFonts w:ascii="Cambria" w:hAnsi="Cambria" w:cs="Segoe UI"/>
          <w:color w:val="000000"/>
          <w:sz w:val="20"/>
          <w:szCs w:val="20"/>
          <w:lang w:val="es-ES"/>
        </w:rPr>
        <w:t xml:space="preserve"> </w:t>
      </w:r>
      <w:r w:rsidRPr="00E9543F">
        <w:rPr>
          <w:rStyle w:val="normaltextrun"/>
          <w:rFonts w:ascii="Cambria" w:hAnsi="Cambria" w:cs="Segoe UI"/>
          <w:color w:val="000000"/>
          <w:sz w:val="20"/>
          <w:szCs w:val="20"/>
          <w:lang w:val="es-ES"/>
        </w:rPr>
        <w:t>sido</w:t>
      </w:r>
      <w:r w:rsidR="008B7F23" w:rsidRPr="00E9543F">
        <w:rPr>
          <w:rStyle w:val="normaltextrun"/>
          <w:rFonts w:ascii="Cambria" w:hAnsi="Cambria" w:cs="Segoe UI"/>
          <w:color w:val="000000"/>
          <w:sz w:val="20"/>
          <w:szCs w:val="20"/>
          <w:lang w:val="es-ES"/>
        </w:rPr>
        <w:t xml:space="preserve"> </w:t>
      </w:r>
      <w:r w:rsidR="768E403F" w:rsidRPr="00E9543F">
        <w:rPr>
          <w:rStyle w:val="normaltextrun"/>
          <w:rFonts w:ascii="Cambria" w:hAnsi="Cambria" w:cs="Segoe UI"/>
          <w:color w:val="000000"/>
          <w:sz w:val="20"/>
          <w:szCs w:val="20"/>
          <w:lang w:val="es-ES"/>
        </w:rPr>
        <w:t>comunicado</w:t>
      </w:r>
      <w:r w:rsidR="008B7F23" w:rsidRPr="00E9543F">
        <w:rPr>
          <w:rStyle w:val="normaltextrun"/>
          <w:rFonts w:ascii="Cambria" w:hAnsi="Cambria" w:cs="Segoe UI"/>
          <w:color w:val="000000"/>
          <w:sz w:val="20"/>
          <w:szCs w:val="20"/>
          <w:lang w:val="es-ES"/>
        </w:rPr>
        <w:t xml:space="preserve"> sobre los motivos de su detención.</w:t>
      </w:r>
      <w:r w:rsidR="00784999" w:rsidRPr="00E9543F">
        <w:rPr>
          <w:rStyle w:val="normaltextrun"/>
          <w:rFonts w:ascii="Cambria" w:hAnsi="Cambria" w:cs="Segoe UI"/>
          <w:color w:val="000000"/>
          <w:sz w:val="20"/>
          <w:szCs w:val="20"/>
          <w:lang w:val="es-ES"/>
        </w:rPr>
        <w:t xml:space="preserve"> </w:t>
      </w:r>
      <w:r w:rsidR="0083046E" w:rsidRPr="00E9543F">
        <w:rPr>
          <w:rStyle w:val="normaltextrun"/>
          <w:rFonts w:ascii="Cambria" w:hAnsi="Cambria" w:cs="Segoe UI"/>
          <w:color w:val="000000"/>
          <w:sz w:val="20"/>
          <w:szCs w:val="20"/>
          <w:lang w:val="es-ES"/>
        </w:rPr>
        <w:t xml:space="preserve">En vista de todos los elementos </w:t>
      </w:r>
      <w:r w:rsidR="1FAD3716" w:rsidRPr="00E9543F">
        <w:rPr>
          <w:rStyle w:val="normaltextrun"/>
          <w:rFonts w:ascii="Cambria" w:hAnsi="Cambria" w:cs="Segoe UI"/>
          <w:color w:val="000000"/>
          <w:sz w:val="20"/>
          <w:szCs w:val="20"/>
          <w:lang w:val="es-ES"/>
        </w:rPr>
        <w:t>reseñados</w:t>
      </w:r>
      <w:r w:rsidR="000A0055" w:rsidRPr="00E9543F">
        <w:rPr>
          <w:rStyle w:val="normaltextrun"/>
          <w:rFonts w:ascii="Cambria" w:hAnsi="Cambria" w:cs="Segoe UI"/>
          <w:color w:val="000000"/>
          <w:sz w:val="20"/>
          <w:szCs w:val="20"/>
          <w:lang w:val="es-ES"/>
        </w:rPr>
        <w:t xml:space="preserve">, la Comisión </w:t>
      </w:r>
      <w:r w:rsidR="0083046E" w:rsidRPr="00E9543F">
        <w:rPr>
          <w:rStyle w:val="normaltextrun"/>
          <w:rFonts w:ascii="Cambria" w:hAnsi="Cambria" w:cs="Segoe UI"/>
          <w:color w:val="000000"/>
          <w:sz w:val="20"/>
          <w:szCs w:val="20"/>
          <w:lang w:val="es-ES"/>
        </w:rPr>
        <w:t>concluye</w:t>
      </w:r>
      <w:r w:rsidR="000A0055" w:rsidRPr="00E9543F">
        <w:rPr>
          <w:rStyle w:val="normaltextrun"/>
          <w:rFonts w:ascii="Cambria" w:hAnsi="Cambria" w:cs="Segoe UI"/>
          <w:color w:val="000000"/>
          <w:sz w:val="20"/>
          <w:szCs w:val="20"/>
          <w:lang w:val="es-ES"/>
        </w:rPr>
        <w:t xml:space="preserve"> que la detención se produjo de manera arbitraria</w:t>
      </w:r>
      <w:r w:rsidR="4C4A5ABE" w:rsidRPr="00E9543F">
        <w:rPr>
          <w:rStyle w:val="normaltextrun"/>
          <w:rFonts w:ascii="Cambria" w:hAnsi="Cambria" w:cs="Segoe UI"/>
          <w:color w:val="000000"/>
          <w:sz w:val="20"/>
          <w:szCs w:val="20"/>
          <w:lang w:val="es-ES"/>
        </w:rPr>
        <w:t>,</w:t>
      </w:r>
      <w:r w:rsidR="000A0055" w:rsidRPr="00E9543F">
        <w:rPr>
          <w:rStyle w:val="normaltextrun"/>
          <w:rFonts w:ascii="Cambria" w:hAnsi="Cambria" w:cs="Segoe UI"/>
          <w:color w:val="000000"/>
          <w:sz w:val="20"/>
          <w:szCs w:val="20"/>
          <w:lang w:val="es-ES"/>
        </w:rPr>
        <w:t xml:space="preserve"> dado que </w:t>
      </w:r>
      <w:r w:rsidR="00005DD2" w:rsidRPr="00E9543F">
        <w:rPr>
          <w:rStyle w:val="normaltextrun"/>
          <w:rFonts w:ascii="Cambria" w:hAnsi="Cambria" w:cs="Segoe UI"/>
          <w:color w:val="000000"/>
          <w:sz w:val="20"/>
          <w:szCs w:val="20"/>
          <w:lang w:val="es-ES"/>
        </w:rPr>
        <w:t>la razón de detención fue un h</w:t>
      </w:r>
      <w:r w:rsidR="000A0055" w:rsidRPr="00E9543F">
        <w:rPr>
          <w:rStyle w:val="normaltextrun"/>
          <w:rFonts w:ascii="Cambria" w:hAnsi="Cambria" w:cs="Segoe UI"/>
          <w:color w:val="000000"/>
          <w:sz w:val="20"/>
          <w:szCs w:val="20"/>
          <w:lang w:val="es-ES"/>
        </w:rPr>
        <w:t xml:space="preserve">echo que ya había sido sancionado </w:t>
      </w:r>
      <w:r w:rsidR="001104AF" w:rsidRPr="00E9543F">
        <w:rPr>
          <w:rStyle w:val="normaltextrun"/>
          <w:rFonts w:ascii="Cambria" w:hAnsi="Cambria" w:cs="Segoe UI"/>
          <w:color w:val="000000"/>
          <w:sz w:val="20"/>
          <w:szCs w:val="20"/>
          <w:lang w:val="es-ES"/>
        </w:rPr>
        <w:t xml:space="preserve">acorde a normativa interna </w:t>
      </w:r>
      <w:r w:rsidR="000A0055" w:rsidRPr="00E9543F">
        <w:rPr>
          <w:rStyle w:val="normaltextrun"/>
          <w:rFonts w:ascii="Cambria" w:hAnsi="Cambria" w:cs="Segoe UI"/>
          <w:color w:val="000000"/>
          <w:sz w:val="20"/>
          <w:szCs w:val="20"/>
          <w:lang w:val="es-ES"/>
        </w:rPr>
        <w:t xml:space="preserve">y no contó con </w:t>
      </w:r>
      <w:r w:rsidR="001104AF" w:rsidRPr="00E9543F">
        <w:rPr>
          <w:rStyle w:val="normaltextrun"/>
          <w:rFonts w:ascii="Cambria" w:hAnsi="Cambria" w:cs="Segoe UI"/>
          <w:color w:val="000000"/>
          <w:sz w:val="20"/>
          <w:szCs w:val="20"/>
          <w:lang w:val="es-ES"/>
        </w:rPr>
        <w:t xml:space="preserve">una </w:t>
      </w:r>
      <w:r w:rsidR="000A0055" w:rsidRPr="00E9543F">
        <w:rPr>
          <w:rStyle w:val="normaltextrun"/>
          <w:rFonts w:ascii="Cambria" w:hAnsi="Cambria" w:cs="Segoe UI"/>
          <w:color w:val="000000"/>
          <w:sz w:val="20"/>
          <w:szCs w:val="20"/>
          <w:lang w:val="es-ES"/>
        </w:rPr>
        <w:t xml:space="preserve">motivación judicial </w:t>
      </w:r>
      <w:r w:rsidR="00005DD2" w:rsidRPr="00E9543F">
        <w:rPr>
          <w:rStyle w:val="normaltextrun"/>
          <w:rFonts w:ascii="Cambria" w:hAnsi="Cambria" w:cs="Segoe UI"/>
          <w:color w:val="000000"/>
          <w:sz w:val="20"/>
          <w:szCs w:val="20"/>
          <w:lang w:val="es-ES"/>
        </w:rPr>
        <w:t>que justifi</w:t>
      </w:r>
      <w:r w:rsidR="0083046E" w:rsidRPr="00E9543F">
        <w:rPr>
          <w:rStyle w:val="normaltextrun"/>
          <w:rFonts w:ascii="Cambria" w:hAnsi="Cambria" w:cs="Segoe UI"/>
          <w:color w:val="000000"/>
          <w:sz w:val="20"/>
          <w:szCs w:val="20"/>
          <w:lang w:val="es-ES"/>
        </w:rPr>
        <w:t>que</w:t>
      </w:r>
      <w:r w:rsidR="00005DD2" w:rsidRPr="00E9543F">
        <w:rPr>
          <w:rStyle w:val="normaltextrun"/>
          <w:rFonts w:ascii="Cambria" w:hAnsi="Cambria" w:cs="Segoe UI"/>
          <w:color w:val="000000"/>
          <w:sz w:val="20"/>
          <w:szCs w:val="20"/>
          <w:lang w:val="es-ES"/>
        </w:rPr>
        <w:t xml:space="preserve"> la nueva medida contra el señor Castillo Pérez.</w:t>
      </w:r>
      <w:r w:rsidR="000A0055" w:rsidRPr="00E9543F">
        <w:rPr>
          <w:rStyle w:val="normaltextrun"/>
          <w:rFonts w:ascii="Cambria" w:hAnsi="Cambria" w:cs="Segoe UI"/>
          <w:color w:val="000000"/>
          <w:sz w:val="20"/>
          <w:szCs w:val="20"/>
          <w:lang w:val="es-ES"/>
        </w:rPr>
        <w:t xml:space="preserve">  </w:t>
      </w:r>
      <w:r w:rsidR="008B7F23" w:rsidRPr="00E9543F">
        <w:rPr>
          <w:rStyle w:val="normaltextrun"/>
          <w:rFonts w:ascii="Cambria" w:hAnsi="Cambria" w:cs="Segoe UI"/>
          <w:color w:val="000000"/>
          <w:sz w:val="20"/>
          <w:szCs w:val="20"/>
          <w:lang w:val="es-ES"/>
        </w:rPr>
        <w:t xml:space="preserve"> </w:t>
      </w:r>
    </w:p>
    <w:p w14:paraId="29C8EE71" w14:textId="3E6EF7AF" w:rsidR="00DC5D77" w:rsidRPr="00E9543F" w:rsidRDefault="00DC5D77"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lang w:val="es-ES"/>
        </w:rPr>
      </w:pPr>
    </w:p>
    <w:p w14:paraId="7719E3B6" w14:textId="1EBAF918" w:rsidR="008B7F23" w:rsidRPr="00BD6C53" w:rsidRDefault="00B34C9C" w:rsidP="001A4728">
      <w:pPr>
        <w:numPr>
          <w:ilvl w:val="0"/>
          <w:numId w:val="60"/>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Style w:val="normaltextrun"/>
          <w:rFonts w:ascii="Cambria" w:eastAsia="Calibri" w:hAnsi="Cambria"/>
          <w:b/>
          <w:bCs/>
          <w:color w:val="000000"/>
          <w:sz w:val="20"/>
          <w:szCs w:val="20"/>
          <w:bdr w:val="none" w:sz="0" w:space="0" w:color="auto"/>
          <w:lang w:val="es-ES"/>
        </w:rPr>
      </w:pPr>
      <w:r w:rsidRPr="00BD6C53">
        <w:rPr>
          <w:rStyle w:val="normaltextrun"/>
          <w:rFonts w:ascii="Cambria" w:hAnsi="Cambria"/>
          <w:color w:val="000000"/>
          <w:sz w:val="20"/>
          <w:szCs w:val="20"/>
          <w:shd w:val="clear" w:color="auto" w:fill="FFFFFF"/>
          <w:lang w:val="es-ES"/>
        </w:rPr>
        <w:t>Finalmente, la Comisión toma nota de que no existe documentación que acredite que el señor Castillo Pérez fue presentado ante una autoridad judicial de manera inmediata</w:t>
      </w:r>
      <w:r w:rsidR="00CC676A" w:rsidRPr="00BD6C53">
        <w:rPr>
          <w:rStyle w:val="normaltextrun"/>
          <w:rFonts w:ascii="Cambria" w:hAnsi="Cambria"/>
          <w:color w:val="000000"/>
          <w:sz w:val="20"/>
          <w:szCs w:val="20"/>
          <w:shd w:val="clear" w:color="auto" w:fill="FFFFFF"/>
          <w:lang w:val="es-ES"/>
        </w:rPr>
        <w:t xml:space="preserve"> posterior</w:t>
      </w:r>
      <w:r w:rsidR="0047697B" w:rsidRPr="00BD6C53">
        <w:rPr>
          <w:rStyle w:val="normaltextrun"/>
          <w:rFonts w:ascii="Cambria" w:hAnsi="Cambria"/>
          <w:color w:val="000000"/>
          <w:sz w:val="20"/>
          <w:szCs w:val="20"/>
          <w:shd w:val="clear" w:color="auto" w:fill="FFFFFF"/>
          <w:lang w:val="es-ES"/>
        </w:rPr>
        <w:t>mente</w:t>
      </w:r>
      <w:r w:rsidRPr="00BD6C53">
        <w:rPr>
          <w:rStyle w:val="normaltextrun"/>
          <w:rFonts w:ascii="Cambria" w:hAnsi="Cambria"/>
          <w:color w:val="000000"/>
          <w:sz w:val="20"/>
          <w:szCs w:val="20"/>
          <w:shd w:val="clear" w:color="auto" w:fill="FFFFFF"/>
          <w:lang w:val="es-ES"/>
        </w:rPr>
        <w:t xml:space="preserve"> a su detención. L</w:t>
      </w:r>
      <w:r w:rsidR="00CB25C3" w:rsidRPr="00BD6C53">
        <w:rPr>
          <w:rStyle w:val="normaltextrun"/>
          <w:rFonts w:ascii="Cambria" w:hAnsi="Cambria"/>
          <w:color w:val="000000"/>
          <w:sz w:val="20"/>
          <w:szCs w:val="20"/>
          <w:shd w:val="clear" w:color="auto" w:fill="FFFFFF"/>
          <w:lang w:val="es-ES"/>
        </w:rPr>
        <w:t xml:space="preserve">a CIDH </w:t>
      </w:r>
      <w:r w:rsidRPr="00BD6C53">
        <w:rPr>
          <w:rStyle w:val="normaltextrun"/>
          <w:rFonts w:ascii="Cambria" w:hAnsi="Cambria"/>
          <w:color w:val="000000"/>
          <w:sz w:val="20"/>
          <w:szCs w:val="20"/>
          <w:shd w:val="clear" w:color="auto" w:fill="FFFFFF"/>
          <w:lang w:val="es-ES"/>
        </w:rPr>
        <w:t>observa q</w:t>
      </w:r>
      <w:r w:rsidR="00CB25C3" w:rsidRPr="00BD6C53">
        <w:rPr>
          <w:rStyle w:val="normaltextrun"/>
          <w:rFonts w:ascii="Cambria" w:hAnsi="Cambria"/>
          <w:color w:val="000000"/>
          <w:sz w:val="20"/>
          <w:szCs w:val="20"/>
          <w:shd w:val="clear" w:color="auto" w:fill="FFFFFF"/>
          <w:lang w:val="es-ES"/>
        </w:rPr>
        <w:t xml:space="preserve">ue </w:t>
      </w:r>
      <w:r w:rsidR="00F973BC" w:rsidRPr="00BD6C53">
        <w:rPr>
          <w:rStyle w:val="normaltextrun"/>
          <w:rFonts w:ascii="Cambria" w:hAnsi="Cambria"/>
          <w:color w:val="000000"/>
          <w:sz w:val="20"/>
          <w:szCs w:val="20"/>
          <w:shd w:val="clear" w:color="auto" w:fill="FFFFFF"/>
          <w:lang w:val="es-ES"/>
        </w:rPr>
        <w:t>la</w:t>
      </w:r>
      <w:r w:rsidR="00CB25C3" w:rsidRPr="00BD6C53">
        <w:rPr>
          <w:rStyle w:val="normaltextrun"/>
          <w:rFonts w:ascii="Cambria" w:hAnsi="Cambria"/>
          <w:color w:val="000000"/>
          <w:sz w:val="20"/>
          <w:szCs w:val="20"/>
          <w:shd w:val="clear" w:color="auto" w:fill="FFFFFF"/>
          <w:lang w:val="es-ES"/>
        </w:rPr>
        <w:t xml:space="preserve"> </w:t>
      </w:r>
      <w:r w:rsidRPr="00BD6C53">
        <w:rPr>
          <w:rStyle w:val="normaltextrun"/>
          <w:rFonts w:ascii="Cambria" w:hAnsi="Cambria"/>
          <w:color w:val="000000"/>
          <w:sz w:val="20"/>
          <w:szCs w:val="20"/>
          <w:shd w:val="clear" w:color="auto" w:fill="FFFFFF"/>
          <w:lang w:val="es-ES"/>
        </w:rPr>
        <w:t xml:space="preserve">primera acción de la </w:t>
      </w:r>
      <w:r w:rsidR="00CB25C3" w:rsidRPr="00BD6C53">
        <w:rPr>
          <w:rStyle w:val="normaltextrun"/>
          <w:rFonts w:ascii="Cambria" w:hAnsi="Cambria"/>
          <w:color w:val="000000"/>
          <w:sz w:val="20"/>
          <w:szCs w:val="20"/>
          <w:shd w:val="clear" w:color="auto" w:fill="FFFFFF"/>
          <w:lang w:val="es-ES"/>
        </w:rPr>
        <w:t xml:space="preserve">autoridad judicial </w:t>
      </w:r>
      <w:r w:rsidRPr="00BD6C53">
        <w:rPr>
          <w:rStyle w:val="normaltextrun"/>
          <w:rFonts w:ascii="Cambria" w:hAnsi="Cambria"/>
          <w:color w:val="000000"/>
          <w:sz w:val="20"/>
          <w:szCs w:val="20"/>
          <w:shd w:val="clear" w:color="auto" w:fill="FFFFFF"/>
          <w:lang w:val="es-ES"/>
        </w:rPr>
        <w:t xml:space="preserve">en el expediente fue </w:t>
      </w:r>
      <w:r w:rsidR="004E51DE" w:rsidRPr="00BD6C53">
        <w:rPr>
          <w:rStyle w:val="normaltextrun"/>
          <w:rFonts w:ascii="Cambria" w:hAnsi="Cambria"/>
          <w:color w:val="000000"/>
          <w:sz w:val="20"/>
          <w:szCs w:val="20"/>
          <w:shd w:val="clear" w:color="auto" w:fill="FFFFFF"/>
          <w:lang w:val="es-ES"/>
        </w:rPr>
        <w:t xml:space="preserve">el rechazo del recurso de </w:t>
      </w:r>
      <w:r w:rsidR="004E51DE" w:rsidRPr="749ACC70">
        <w:rPr>
          <w:rStyle w:val="normaltextrun"/>
          <w:rFonts w:ascii="Cambria" w:hAnsi="Cambria"/>
          <w:i/>
          <w:iCs/>
          <w:color w:val="000000"/>
          <w:sz w:val="20"/>
          <w:szCs w:val="20"/>
          <w:shd w:val="clear" w:color="auto" w:fill="FFFFFF"/>
          <w:lang w:val="es-ES"/>
        </w:rPr>
        <w:t>h</w:t>
      </w:r>
      <w:r w:rsidR="250044E2" w:rsidRPr="749ACC70">
        <w:rPr>
          <w:rStyle w:val="normaltextrun"/>
          <w:rFonts w:ascii="Cambria" w:hAnsi="Cambria"/>
          <w:i/>
          <w:iCs/>
          <w:color w:val="000000"/>
          <w:sz w:val="20"/>
          <w:szCs w:val="20"/>
          <w:shd w:val="clear" w:color="auto" w:fill="FFFFFF"/>
          <w:lang w:val="es-ES"/>
        </w:rPr>
        <w:t>a</w:t>
      </w:r>
      <w:r w:rsidR="004E51DE" w:rsidRPr="749ACC70">
        <w:rPr>
          <w:rStyle w:val="normaltextrun"/>
          <w:rFonts w:ascii="Cambria" w:hAnsi="Cambria"/>
          <w:i/>
          <w:iCs/>
          <w:color w:val="000000"/>
          <w:sz w:val="20"/>
          <w:szCs w:val="20"/>
          <w:shd w:val="clear" w:color="auto" w:fill="FFFFFF"/>
          <w:lang w:val="es-ES"/>
        </w:rPr>
        <w:t xml:space="preserve">beas corpus </w:t>
      </w:r>
      <w:r w:rsidR="004E51DE" w:rsidRPr="00BD6C53">
        <w:rPr>
          <w:rStyle w:val="normaltextrun"/>
          <w:rFonts w:ascii="Cambria" w:hAnsi="Cambria"/>
          <w:color w:val="000000"/>
          <w:sz w:val="20"/>
          <w:szCs w:val="20"/>
          <w:shd w:val="clear" w:color="auto" w:fill="FFFFFF"/>
          <w:lang w:val="es-ES"/>
        </w:rPr>
        <w:t xml:space="preserve">y la </w:t>
      </w:r>
      <w:r w:rsidRPr="00BD6C53">
        <w:rPr>
          <w:rStyle w:val="normaltextrun"/>
          <w:rFonts w:ascii="Cambria" w:hAnsi="Cambria"/>
          <w:color w:val="000000"/>
          <w:sz w:val="20"/>
          <w:szCs w:val="20"/>
          <w:shd w:val="clear" w:color="auto" w:fill="FFFFFF"/>
          <w:lang w:val="es-ES"/>
        </w:rPr>
        <w:t>confirmación de</w:t>
      </w:r>
      <w:r w:rsidR="00CB25C3" w:rsidRPr="00BD6C53">
        <w:rPr>
          <w:rStyle w:val="normaltextrun"/>
          <w:rFonts w:ascii="Cambria" w:hAnsi="Cambria"/>
          <w:color w:val="000000"/>
          <w:sz w:val="20"/>
          <w:szCs w:val="20"/>
          <w:shd w:val="clear" w:color="auto" w:fill="FFFFFF"/>
          <w:lang w:val="es-ES"/>
        </w:rPr>
        <w:t xml:space="preserve"> la detención preventiva </w:t>
      </w:r>
      <w:r w:rsidRPr="00BD6C53">
        <w:rPr>
          <w:rStyle w:val="normaltextrun"/>
          <w:rFonts w:ascii="Cambria" w:hAnsi="Cambria"/>
          <w:color w:val="000000"/>
          <w:sz w:val="20"/>
          <w:szCs w:val="20"/>
          <w:shd w:val="clear" w:color="auto" w:fill="FFFFFF"/>
          <w:lang w:val="es-ES"/>
        </w:rPr>
        <w:t xml:space="preserve">de la presunta víctima </w:t>
      </w:r>
      <w:r w:rsidR="00CB25C3" w:rsidRPr="00BD6C53">
        <w:rPr>
          <w:rStyle w:val="normaltextrun"/>
          <w:rFonts w:ascii="Cambria" w:hAnsi="Cambria"/>
          <w:color w:val="000000"/>
          <w:sz w:val="20"/>
          <w:szCs w:val="20"/>
          <w:shd w:val="clear" w:color="auto" w:fill="FFFFFF"/>
          <w:lang w:val="es-ES"/>
        </w:rPr>
        <w:t xml:space="preserve">el 9 de octubre de 2018, </w:t>
      </w:r>
      <w:r w:rsidR="7FB0934E" w:rsidRPr="00BD6C53">
        <w:rPr>
          <w:rStyle w:val="normaltextrun"/>
          <w:rFonts w:ascii="Cambria" w:hAnsi="Cambria"/>
          <w:color w:val="000000"/>
          <w:sz w:val="20"/>
          <w:szCs w:val="20"/>
          <w:shd w:val="clear" w:color="auto" w:fill="FFFFFF"/>
          <w:lang w:val="es-ES"/>
        </w:rPr>
        <w:t xml:space="preserve">14 </w:t>
      </w:r>
      <w:r w:rsidR="00CB25C3" w:rsidRPr="00BD6C53">
        <w:rPr>
          <w:rStyle w:val="normaltextrun"/>
          <w:rFonts w:ascii="Cambria" w:hAnsi="Cambria"/>
          <w:color w:val="000000"/>
          <w:sz w:val="20"/>
          <w:szCs w:val="20"/>
          <w:shd w:val="clear" w:color="auto" w:fill="FFFFFF"/>
          <w:lang w:val="es-ES"/>
        </w:rPr>
        <w:t>días después de ocurrida la detención</w:t>
      </w:r>
      <w:r w:rsidR="7682E274" w:rsidRPr="00BD6C53">
        <w:rPr>
          <w:rStyle w:val="normaltextrun"/>
          <w:rFonts w:ascii="Cambria" w:hAnsi="Cambria"/>
          <w:color w:val="000000"/>
          <w:sz w:val="20"/>
          <w:szCs w:val="20"/>
          <w:shd w:val="clear" w:color="auto" w:fill="FFFFFF"/>
          <w:lang w:val="es-ES"/>
        </w:rPr>
        <w:t xml:space="preserve"> </w:t>
      </w:r>
      <w:r w:rsidR="7682E274" w:rsidRPr="00BD6C53">
        <w:rPr>
          <w:rStyle w:val="normaltextrun"/>
          <w:rFonts w:ascii="Cambria" w:hAnsi="Cambria"/>
          <w:color w:val="000000" w:themeColor="text1"/>
          <w:sz w:val="20"/>
          <w:szCs w:val="20"/>
          <w:lang w:val="es-ES"/>
        </w:rPr>
        <w:t>(</w:t>
      </w:r>
      <w:r w:rsidR="7682E274" w:rsidRPr="749ACC70">
        <w:rPr>
          <w:rStyle w:val="normaltextrun"/>
          <w:rFonts w:ascii="Cambria" w:hAnsi="Cambria"/>
          <w:i/>
          <w:iCs/>
          <w:color w:val="000000" w:themeColor="text1"/>
          <w:sz w:val="20"/>
          <w:szCs w:val="20"/>
          <w:lang w:val="es-ES"/>
        </w:rPr>
        <w:t>supra</w:t>
      </w:r>
      <w:r w:rsidR="7682E274" w:rsidRPr="00BD6C53">
        <w:rPr>
          <w:rStyle w:val="normaltextrun"/>
          <w:rFonts w:ascii="Cambria" w:hAnsi="Cambria"/>
          <w:color w:val="000000" w:themeColor="text1"/>
          <w:sz w:val="20"/>
          <w:szCs w:val="20"/>
          <w:lang w:val="es-ES"/>
        </w:rPr>
        <w:t xml:space="preserve"> párr. 27)</w:t>
      </w:r>
      <w:r w:rsidR="00CB25C3" w:rsidRPr="00BD6C53">
        <w:rPr>
          <w:rStyle w:val="normaltextrun"/>
          <w:rFonts w:ascii="Cambria" w:hAnsi="Cambria"/>
          <w:color w:val="000000"/>
          <w:sz w:val="20"/>
          <w:szCs w:val="20"/>
          <w:shd w:val="clear" w:color="auto" w:fill="FFFFFF"/>
          <w:lang w:val="es-ES"/>
        </w:rPr>
        <w:t>.</w:t>
      </w:r>
      <w:r w:rsidRPr="00BD6C53">
        <w:rPr>
          <w:rStyle w:val="normaltextrun"/>
          <w:rFonts w:ascii="Cambria" w:hAnsi="Cambria"/>
          <w:color w:val="000000"/>
          <w:sz w:val="20"/>
          <w:szCs w:val="20"/>
          <w:shd w:val="clear" w:color="auto" w:fill="FFFFFF"/>
          <w:lang w:val="es-ES"/>
        </w:rPr>
        <w:t xml:space="preserve"> </w:t>
      </w:r>
    </w:p>
    <w:p w14:paraId="58457DEA" w14:textId="77777777" w:rsidR="008B7F23" w:rsidRPr="00E9543F" w:rsidRDefault="008B7F23"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Style w:val="normaltextrun"/>
          <w:rFonts w:ascii="Cambria" w:eastAsia="Calibri" w:hAnsi="Cambria"/>
          <w:b/>
          <w:bCs/>
          <w:color w:val="000000"/>
          <w:sz w:val="20"/>
          <w:szCs w:val="20"/>
          <w:bdr w:val="none" w:sz="0" w:space="0" w:color="auto"/>
          <w:lang w:val="es-ES"/>
        </w:rPr>
      </w:pPr>
    </w:p>
    <w:p w14:paraId="3AF3A09B" w14:textId="100EE076" w:rsidR="00CB25C3" w:rsidRPr="00E9543F" w:rsidRDefault="00824132" w:rsidP="001A4728">
      <w:pPr>
        <w:numPr>
          <w:ilvl w:val="0"/>
          <w:numId w:val="60"/>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Style w:val="normaltextrun"/>
          <w:rFonts w:ascii="Cambria" w:eastAsia="Calibri" w:hAnsi="Cambria"/>
          <w:b/>
          <w:bCs/>
          <w:color w:val="000000"/>
          <w:sz w:val="20"/>
          <w:szCs w:val="20"/>
          <w:bdr w:val="none" w:sz="0" w:space="0" w:color="auto"/>
          <w:lang w:val="es-ES"/>
        </w:rPr>
      </w:pPr>
      <w:bookmarkStart w:id="30" w:name="_Hlk172885312"/>
      <w:r w:rsidRPr="00E9543F">
        <w:rPr>
          <w:rStyle w:val="normaltextrun"/>
          <w:rFonts w:ascii="Cambria" w:hAnsi="Cambria"/>
          <w:color w:val="000000"/>
          <w:sz w:val="20"/>
          <w:szCs w:val="20"/>
          <w:shd w:val="clear" w:color="auto" w:fill="FFFFFF"/>
          <w:lang w:val="es-ES"/>
        </w:rPr>
        <w:t>En vista de lo señalado, l</w:t>
      </w:r>
      <w:r w:rsidR="008B7F23" w:rsidRPr="00E9543F">
        <w:rPr>
          <w:rStyle w:val="normaltextrun"/>
          <w:rFonts w:ascii="Cambria" w:hAnsi="Cambria"/>
          <w:color w:val="000000"/>
          <w:sz w:val="20"/>
          <w:szCs w:val="20"/>
          <w:shd w:val="clear" w:color="auto" w:fill="FFFFFF"/>
          <w:lang w:val="es-ES"/>
        </w:rPr>
        <w:t xml:space="preserve">a Comisión </w:t>
      </w:r>
      <w:r w:rsidR="75F7F870" w:rsidRPr="00E9543F">
        <w:rPr>
          <w:rStyle w:val="normaltextrun"/>
          <w:rFonts w:ascii="Cambria" w:hAnsi="Cambria"/>
          <w:color w:val="000000"/>
          <w:sz w:val="20"/>
          <w:szCs w:val="20"/>
          <w:shd w:val="clear" w:color="auto" w:fill="FFFFFF"/>
          <w:lang w:val="es-ES"/>
        </w:rPr>
        <w:t>entiende</w:t>
      </w:r>
      <w:r w:rsidR="008B7F23" w:rsidRPr="00E9543F">
        <w:rPr>
          <w:rStyle w:val="normaltextrun"/>
          <w:rFonts w:ascii="Cambria" w:hAnsi="Cambria"/>
          <w:color w:val="000000"/>
          <w:sz w:val="20"/>
          <w:szCs w:val="20"/>
          <w:shd w:val="clear" w:color="auto" w:fill="FFFFFF"/>
          <w:lang w:val="es-ES"/>
        </w:rPr>
        <w:t xml:space="preserve"> </w:t>
      </w:r>
      <w:r w:rsidR="00CB25C3" w:rsidRPr="00E9543F">
        <w:rPr>
          <w:rStyle w:val="normaltextrun"/>
          <w:rFonts w:ascii="Cambria" w:hAnsi="Cambria"/>
          <w:color w:val="000000"/>
          <w:sz w:val="20"/>
          <w:szCs w:val="20"/>
          <w:shd w:val="clear" w:color="auto" w:fill="FFFFFF"/>
          <w:lang w:val="es-ES"/>
        </w:rPr>
        <w:t>que</w:t>
      </w:r>
      <w:r w:rsidR="69E28D29" w:rsidRPr="00E9543F">
        <w:rPr>
          <w:rStyle w:val="normaltextrun"/>
          <w:rFonts w:ascii="Cambria" w:hAnsi="Cambria"/>
          <w:color w:val="000000"/>
          <w:sz w:val="20"/>
          <w:szCs w:val="20"/>
          <w:shd w:val="clear" w:color="auto" w:fill="FFFFFF"/>
          <w:lang w:val="es-ES"/>
        </w:rPr>
        <w:t xml:space="preserve"> </w:t>
      </w:r>
      <w:r w:rsidR="186C6F8F" w:rsidRPr="00E9543F">
        <w:rPr>
          <w:rStyle w:val="normaltextrun"/>
          <w:rFonts w:ascii="Cambria" w:hAnsi="Cambria"/>
          <w:color w:val="000000"/>
          <w:sz w:val="20"/>
          <w:szCs w:val="20"/>
          <w:shd w:val="clear" w:color="auto" w:fill="FFFFFF"/>
          <w:lang w:val="es-ES"/>
        </w:rPr>
        <w:t>la privación de la libertad d</w:t>
      </w:r>
      <w:r w:rsidR="69E28D29" w:rsidRPr="00E9543F">
        <w:rPr>
          <w:rStyle w:val="normaltextrun"/>
          <w:rFonts w:ascii="Cambria" w:hAnsi="Cambria"/>
          <w:color w:val="000000"/>
          <w:sz w:val="20"/>
          <w:szCs w:val="20"/>
          <w:shd w:val="clear" w:color="auto" w:fill="FFFFFF"/>
          <w:lang w:val="es-ES"/>
        </w:rPr>
        <w:t xml:space="preserve">el señor Castillo Pérez </w:t>
      </w:r>
      <w:r w:rsidR="00CB25C3" w:rsidRPr="00E9543F">
        <w:rPr>
          <w:rStyle w:val="normaltextrun"/>
          <w:rFonts w:ascii="Cambria" w:hAnsi="Cambria"/>
          <w:color w:val="000000"/>
          <w:sz w:val="20"/>
          <w:szCs w:val="20"/>
          <w:shd w:val="clear" w:color="auto" w:fill="FFFFFF"/>
          <w:lang w:val="es-ES"/>
        </w:rPr>
        <w:t>resultó ilega</w:t>
      </w:r>
      <w:r w:rsidR="008B7F23" w:rsidRPr="00E9543F">
        <w:rPr>
          <w:rStyle w:val="normaltextrun"/>
          <w:rFonts w:ascii="Cambria" w:hAnsi="Cambria"/>
          <w:color w:val="000000"/>
          <w:sz w:val="20"/>
          <w:szCs w:val="20"/>
          <w:shd w:val="clear" w:color="auto" w:fill="FFFFFF"/>
          <w:lang w:val="es-ES"/>
        </w:rPr>
        <w:t>l</w:t>
      </w:r>
      <w:r w:rsidRPr="00E9543F">
        <w:rPr>
          <w:rStyle w:val="normaltextrun"/>
          <w:rFonts w:ascii="Cambria" w:hAnsi="Cambria"/>
          <w:color w:val="000000"/>
          <w:sz w:val="20"/>
          <w:szCs w:val="20"/>
          <w:shd w:val="clear" w:color="auto" w:fill="FFFFFF"/>
          <w:lang w:val="es-ES"/>
        </w:rPr>
        <w:t xml:space="preserve">, no se le informó sobre las razones de su detención </w:t>
      </w:r>
      <w:r w:rsidR="008B7F23" w:rsidRPr="00E9543F">
        <w:rPr>
          <w:rStyle w:val="normaltextrun"/>
          <w:rFonts w:ascii="Cambria" w:hAnsi="Cambria"/>
          <w:color w:val="000000"/>
          <w:sz w:val="20"/>
          <w:szCs w:val="20"/>
          <w:shd w:val="clear" w:color="auto" w:fill="FFFFFF"/>
          <w:lang w:val="es-ES"/>
        </w:rPr>
        <w:t xml:space="preserve">y </w:t>
      </w:r>
      <w:r w:rsidRPr="00E9543F">
        <w:rPr>
          <w:rStyle w:val="normaltextrun"/>
          <w:rFonts w:ascii="Cambria" w:hAnsi="Cambria"/>
          <w:color w:val="000000"/>
          <w:sz w:val="20"/>
          <w:szCs w:val="20"/>
          <w:shd w:val="clear" w:color="auto" w:fill="FFFFFF"/>
          <w:lang w:val="es-ES"/>
        </w:rPr>
        <w:t xml:space="preserve">no fue presentado de manera pronta ante una autoridad judicial. </w:t>
      </w:r>
      <w:r w:rsidR="008B7F23" w:rsidRPr="00E9543F">
        <w:rPr>
          <w:rStyle w:val="normaltextrun"/>
          <w:rFonts w:ascii="Cambria" w:hAnsi="Cambria"/>
          <w:color w:val="000000"/>
          <w:sz w:val="20"/>
          <w:szCs w:val="20"/>
          <w:shd w:val="clear" w:color="auto" w:fill="FFFFFF"/>
          <w:lang w:val="es-ES"/>
        </w:rPr>
        <w:t xml:space="preserve">Por ello, </w:t>
      </w:r>
      <w:r w:rsidR="008B7F23" w:rsidRPr="00E9543F">
        <w:rPr>
          <w:rStyle w:val="normaltextrun"/>
          <w:rFonts w:ascii="Cambria" w:hAnsi="Cambria" w:cs="Segoe UI"/>
          <w:color w:val="000000"/>
          <w:sz w:val="20"/>
          <w:szCs w:val="20"/>
          <w:lang w:val="es-ES"/>
        </w:rPr>
        <w:t>la CIDH concluye que el Estado vulneró el derecho establecido en el artículo XXV de la Declaración Americana, en perjuicio de Maykel Castillo Pérez.</w:t>
      </w:r>
    </w:p>
    <w:p w14:paraId="79B9FB44" w14:textId="77777777" w:rsidR="00824132" w:rsidRPr="00E9543F" w:rsidRDefault="00824132" w:rsidP="00963AB8">
      <w:pPr>
        <w:pStyle w:val="ListParagraph"/>
        <w:numPr>
          <w:ilvl w:val="0"/>
          <w:numId w:val="0"/>
        </w:numPr>
        <w:ind w:left="720"/>
        <w:rPr>
          <w:rStyle w:val="normaltextrun"/>
          <w:rFonts w:eastAsia="Calibri"/>
          <w:b/>
          <w:bCs/>
          <w:bdr w:val="none" w:sz="0" w:space="0" w:color="auto"/>
          <w:lang w:val="es-ES"/>
        </w:rPr>
      </w:pPr>
    </w:p>
    <w:p w14:paraId="7AC46585" w14:textId="3BAED836" w:rsidR="002F195C" w:rsidRPr="00BD6C53" w:rsidRDefault="00824132" w:rsidP="001A4728">
      <w:pPr>
        <w:numPr>
          <w:ilvl w:val="0"/>
          <w:numId w:val="60"/>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eastAsia="Calibri" w:hAnsi="Cambria"/>
          <w:color w:val="000000"/>
          <w:sz w:val="20"/>
          <w:szCs w:val="20"/>
          <w:bdr w:val="none" w:sz="0" w:space="0" w:color="auto"/>
          <w:lang w:val="es-ES"/>
        </w:rPr>
      </w:pPr>
      <w:r w:rsidRPr="00BD6C53">
        <w:rPr>
          <w:rStyle w:val="normaltextrun"/>
          <w:rFonts w:ascii="Cambria" w:eastAsia="Calibri" w:hAnsi="Cambria"/>
          <w:color w:val="000000"/>
          <w:sz w:val="20"/>
          <w:szCs w:val="20"/>
          <w:bdr w:val="none" w:sz="0" w:space="0" w:color="auto"/>
          <w:lang w:val="es-ES"/>
        </w:rPr>
        <w:t xml:space="preserve">Finalmente, la CIDH nota que, tal como se </w:t>
      </w:r>
      <w:r w:rsidR="52606B8C" w:rsidRPr="00BD6C53">
        <w:rPr>
          <w:rStyle w:val="normaltextrun"/>
          <w:rFonts w:ascii="Cambria" w:eastAsia="Calibri" w:hAnsi="Cambria"/>
          <w:color w:val="000000"/>
          <w:sz w:val="20"/>
          <w:szCs w:val="20"/>
          <w:bdr w:val="none" w:sz="0" w:space="0" w:color="auto"/>
          <w:lang w:val="es-ES"/>
        </w:rPr>
        <w:t>desarrolló</w:t>
      </w:r>
      <w:r w:rsidRPr="00BD6C53">
        <w:rPr>
          <w:rStyle w:val="normaltextrun"/>
          <w:rFonts w:ascii="Cambria" w:eastAsia="Calibri" w:hAnsi="Cambria"/>
          <w:color w:val="000000"/>
          <w:sz w:val="20"/>
          <w:szCs w:val="20"/>
          <w:bdr w:val="none" w:sz="0" w:space="0" w:color="auto"/>
          <w:lang w:val="es-ES"/>
        </w:rPr>
        <w:t xml:space="preserve"> </w:t>
      </w:r>
      <w:r w:rsidR="00D15077" w:rsidRPr="00BD6C53">
        <w:rPr>
          <w:rStyle w:val="normaltextrun"/>
          <w:rFonts w:ascii="Cambria" w:eastAsia="Calibri" w:hAnsi="Cambria"/>
          <w:color w:val="000000"/>
          <w:sz w:val="20"/>
          <w:szCs w:val="20"/>
          <w:bdr w:val="none" w:sz="0" w:space="0" w:color="auto"/>
          <w:lang w:val="es-ES"/>
        </w:rPr>
        <w:t xml:space="preserve">en la sección de </w:t>
      </w:r>
      <w:r w:rsidR="3119074B" w:rsidRPr="00BD6C53">
        <w:rPr>
          <w:rStyle w:val="normaltextrun"/>
          <w:rFonts w:ascii="Cambria" w:eastAsia="Calibri" w:hAnsi="Cambria"/>
          <w:color w:val="000000"/>
          <w:sz w:val="20"/>
          <w:szCs w:val="20"/>
          <w:bdr w:val="none" w:sz="0" w:space="0" w:color="auto"/>
          <w:lang w:val="es-ES"/>
        </w:rPr>
        <w:t>“</w:t>
      </w:r>
      <w:r w:rsidR="00D15077" w:rsidRPr="00BD6C53">
        <w:rPr>
          <w:rStyle w:val="normaltextrun"/>
          <w:rFonts w:ascii="Cambria" w:eastAsia="Calibri" w:hAnsi="Cambria"/>
          <w:color w:val="000000"/>
          <w:sz w:val="20"/>
          <w:szCs w:val="20"/>
          <w:bdr w:val="none" w:sz="0" w:space="0" w:color="auto"/>
          <w:lang w:val="es-ES"/>
        </w:rPr>
        <w:t>Determinaciones de Hecho</w:t>
      </w:r>
      <w:r w:rsidR="336E7ABB" w:rsidRPr="00BD6C53">
        <w:rPr>
          <w:rStyle w:val="normaltextrun"/>
          <w:rFonts w:ascii="Cambria" w:eastAsia="Calibri" w:hAnsi="Cambria"/>
          <w:color w:val="000000"/>
          <w:sz w:val="20"/>
          <w:szCs w:val="20"/>
          <w:bdr w:val="none" w:sz="0" w:space="0" w:color="auto"/>
          <w:lang w:val="es-ES"/>
        </w:rPr>
        <w:t>”</w:t>
      </w:r>
      <w:r w:rsidRPr="00BD6C53">
        <w:rPr>
          <w:rStyle w:val="normaltextrun"/>
          <w:rFonts w:ascii="Cambria" w:eastAsia="Calibri" w:hAnsi="Cambria"/>
          <w:color w:val="000000"/>
          <w:sz w:val="20"/>
          <w:szCs w:val="20"/>
          <w:bdr w:val="none" w:sz="0" w:space="0" w:color="auto"/>
          <w:lang w:val="es-ES"/>
        </w:rPr>
        <w:t>,</w:t>
      </w:r>
      <w:r w:rsidR="00D15077" w:rsidRPr="00BD6C53">
        <w:rPr>
          <w:rStyle w:val="normaltextrun"/>
          <w:rFonts w:ascii="Cambria" w:eastAsia="Calibri" w:hAnsi="Cambria"/>
          <w:color w:val="000000"/>
          <w:sz w:val="20"/>
          <w:szCs w:val="20"/>
          <w:bdr w:val="none" w:sz="0" w:space="0" w:color="auto"/>
          <w:lang w:val="es-ES"/>
        </w:rPr>
        <w:t xml:space="preserve"> consta información de conocimiento público sobre una nueva detención en contra del señor Castillo por agentes estatales en 2021 (</w:t>
      </w:r>
      <w:r w:rsidR="00D15077" w:rsidRPr="3FBE42E5">
        <w:rPr>
          <w:rStyle w:val="normaltextrun"/>
          <w:rFonts w:ascii="Cambria" w:eastAsia="Calibri" w:hAnsi="Cambria"/>
          <w:i/>
          <w:iCs/>
          <w:color w:val="000000"/>
          <w:sz w:val="20"/>
          <w:szCs w:val="20"/>
          <w:bdr w:val="none" w:sz="0" w:space="0" w:color="auto"/>
          <w:lang w:val="es-ES"/>
        </w:rPr>
        <w:t>supra</w:t>
      </w:r>
      <w:r w:rsidR="00D15077" w:rsidRPr="00BD6C53">
        <w:rPr>
          <w:rStyle w:val="normaltextrun"/>
          <w:rFonts w:ascii="Cambria" w:eastAsia="Calibri" w:hAnsi="Cambria"/>
          <w:color w:val="000000"/>
          <w:sz w:val="20"/>
          <w:szCs w:val="20"/>
          <w:bdr w:val="none" w:sz="0" w:space="0" w:color="auto"/>
          <w:lang w:val="es-ES"/>
        </w:rPr>
        <w:t xml:space="preserve"> párrs. 37-40). </w:t>
      </w:r>
      <w:r w:rsidR="002F195C" w:rsidRPr="00BD6C53">
        <w:rPr>
          <w:rStyle w:val="normaltextrun"/>
          <w:rFonts w:ascii="Cambria" w:eastAsia="Calibri" w:hAnsi="Cambria"/>
          <w:color w:val="000000"/>
          <w:sz w:val="20"/>
          <w:szCs w:val="20"/>
          <w:bdr w:val="none" w:sz="0" w:space="0" w:color="auto"/>
          <w:lang w:val="es-ES"/>
        </w:rPr>
        <w:t xml:space="preserve">Al respecto, la Comisión no cuenta con información suficiente para pronunciarse sobre este extremo. Sin perjuicio de lo </w:t>
      </w:r>
      <w:r w:rsidR="4E5C52B8" w:rsidRPr="00BD6C53">
        <w:rPr>
          <w:rStyle w:val="normaltextrun"/>
          <w:rFonts w:ascii="Cambria" w:eastAsia="Calibri" w:hAnsi="Cambria"/>
          <w:color w:val="000000"/>
          <w:sz w:val="20"/>
          <w:szCs w:val="20"/>
          <w:bdr w:val="none" w:sz="0" w:space="0" w:color="auto"/>
          <w:lang w:val="es-ES"/>
        </w:rPr>
        <w:t>expuesto</w:t>
      </w:r>
      <w:r w:rsidR="002F195C" w:rsidRPr="00BD6C53">
        <w:rPr>
          <w:rStyle w:val="normaltextrun"/>
          <w:rFonts w:ascii="Cambria" w:eastAsia="Calibri" w:hAnsi="Cambria"/>
          <w:color w:val="000000"/>
          <w:sz w:val="20"/>
          <w:szCs w:val="20"/>
          <w:bdr w:val="none" w:sz="0" w:space="0" w:color="auto"/>
          <w:lang w:val="es-ES"/>
        </w:rPr>
        <w:t xml:space="preserve">, la CIDH resalta que </w:t>
      </w:r>
      <w:bookmarkEnd w:id="30"/>
      <w:r w:rsidR="002F195C" w:rsidRPr="00BD6C53">
        <w:rPr>
          <w:rFonts w:ascii="Cambria" w:hAnsi="Cambria"/>
          <w:sz w:val="20"/>
          <w:szCs w:val="20"/>
          <w:lang w:val="es-ES"/>
        </w:rPr>
        <w:t>los Estados deben cesar de utilizar detenciones arbitrarias como mecanismo de castigo o represalia en contra de personas defensoras de derechos humanos</w:t>
      </w:r>
      <w:r w:rsidR="002F195C" w:rsidRPr="00BD6C53">
        <w:rPr>
          <w:rStyle w:val="FootnoteReference"/>
          <w:rFonts w:ascii="Cambria" w:hAnsi="Cambria"/>
          <w:sz w:val="20"/>
          <w:szCs w:val="20"/>
          <w:lang w:val="es-ES"/>
        </w:rPr>
        <w:footnoteReference w:id="91"/>
      </w:r>
      <w:r w:rsidR="002F195C" w:rsidRPr="00BD6C53">
        <w:rPr>
          <w:rFonts w:ascii="Cambria" w:hAnsi="Cambria"/>
          <w:sz w:val="20"/>
          <w:szCs w:val="20"/>
          <w:lang w:val="es-ES"/>
        </w:rPr>
        <w:t>.</w:t>
      </w:r>
    </w:p>
    <w:p w14:paraId="15CB1E7E" w14:textId="77777777" w:rsidR="002F195C" w:rsidRPr="00E9543F" w:rsidRDefault="002F195C"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eastAsia="Calibri" w:hAnsi="Cambria"/>
          <w:b/>
          <w:bCs/>
          <w:color w:val="000000"/>
          <w:sz w:val="20"/>
          <w:szCs w:val="20"/>
          <w:bdr w:val="none" w:sz="0" w:space="0" w:color="auto"/>
          <w:lang w:val="es-ES"/>
        </w:rPr>
      </w:pPr>
    </w:p>
    <w:p w14:paraId="6A6F02B0" w14:textId="09A314A0" w:rsidR="00195604" w:rsidRPr="00E9543F" w:rsidRDefault="00195604" w:rsidP="00CA1314">
      <w:pPr>
        <w:pStyle w:val="Heading2"/>
      </w:pPr>
      <w:bookmarkStart w:id="31" w:name="_Toc216356088"/>
      <w:r w:rsidRPr="00E9543F">
        <w:t>Derecho</w:t>
      </w:r>
      <w:r w:rsidR="002703F8" w:rsidRPr="00E9543F">
        <w:t xml:space="preserve"> </w:t>
      </w:r>
      <w:r w:rsidR="002703F8" w:rsidRPr="00E9543F">
        <w:rPr>
          <w:rFonts w:eastAsia="SimSun"/>
        </w:rPr>
        <w:t>a la justicia y a un proceso regular</w:t>
      </w:r>
      <w:r w:rsidRPr="00E9543F">
        <w:t xml:space="preserve"> (artículo XV</w:t>
      </w:r>
      <w:r w:rsidR="00E30625" w:rsidRPr="00E9543F">
        <w:t>III</w:t>
      </w:r>
      <w:r w:rsidRPr="749ACC70">
        <w:rPr>
          <w:rStyle w:val="FootnoteReference"/>
        </w:rPr>
        <w:footnoteReference w:id="92"/>
      </w:r>
      <w:r w:rsidRPr="00E9543F">
        <w:t xml:space="preserve"> y XXVI</w:t>
      </w:r>
      <w:r w:rsidRPr="00E9543F">
        <w:rPr>
          <w:rStyle w:val="FootnoteReference"/>
        </w:rPr>
        <w:footnoteReference w:id="93"/>
      </w:r>
      <w:r w:rsidRPr="00E9543F">
        <w:t xml:space="preserve"> de la Declaración Americana)</w:t>
      </w:r>
      <w:bookmarkEnd w:id="31"/>
      <w:r w:rsidRPr="00E9543F">
        <w:t xml:space="preserve">  </w:t>
      </w:r>
    </w:p>
    <w:p w14:paraId="3FC7187E" w14:textId="77777777" w:rsidR="00195604" w:rsidRPr="00E9543F" w:rsidRDefault="00195604"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Style w:val="normaltextrun"/>
          <w:lang w:val="es-ES"/>
        </w:rPr>
      </w:pPr>
    </w:p>
    <w:p w14:paraId="0AAA2D43" w14:textId="58DA977B" w:rsidR="00363049" w:rsidRPr="00CA1314" w:rsidRDefault="00195604" w:rsidP="001A4728">
      <w:pPr>
        <w:pStyle w:val="Heading3"/>
        <w:numPr>
          <w:ilvl w:val="0"/>
          <w:numId w:val="66"/>
        </w:numPr>
        <w:tabs>
          <w:tab w:val="left" w:pos="360"/>
        </w:tabs>
        <w:rPr>
          <w:lang w:val="es-ES"/>
        </w:rPr>
      </w:pPr>
      <w:r w:rsidRPr="00CA1314">
        <w:rPr>
          <w:lang w:val="es-ES"/>
        </w:rPr>
        <w:t>Consideraciones generales</w:t>
      </w:r>
    </w:p>
    <w:p w14:paraId="444A1B97" w14:textId="77777777" w:rsidR="00363049" w:rsidRPr="00E9543F" w:rsidRDefault="00363049"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lang w:val="es-ES"/>
        </w:rPr>
      </w:pPr>
    </w:p>
    <w:p w14:paraId="4EDE157A" w14:textId="4DC2E924" w:rsidR="00937F4D" w:rsidRPr="00E9543F" w:rsidRDefault="000B2895" w:rsidP="001A4728">
      <w:pPr>
        <w:numPr>
          <w:ilvl w:val="0"/>
          <w:numId w:val="60"/>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eastAsia="Cambria" w:hAnsi="Cambria" w:cs="Cambria"/>
          <w:sz w:val="20"/>
          <w:szCs w:val="20"/>
          <w:lang w:val="es-ES"/>
        </w:rPr>
      </w:pPr>
      <w:r w:rsidRPr="00E9543F">
        <w:rPr>
          <w:rFonts w:ascii="Cambria" w:hAnsi="Cambria"/>
          <w:sz w:val="20"/>
          <w:szCs w:val="20"/>
          <w:lang w:val="es-ES"/>
        </w:rPr>
        <w:t xml:space="preserve">La </w:t>
      </w:r>
      <w:r w:rsidRPr="00E9543F">
        <w:rPr>
          <w:rFonts w:ascii="Cambria" w:eastAsia="Cambria" w:hAnsi="Cambria" w:cs="Cambria"/>
          <w:sz w:val="20"/>
          <w:szCs w:val="20"/>
          <w:lang w:val="es-ES"/>
        </w:rPr>
        <w:t>Comisión</w:t>
      </w:r>
      <w:r w:rsidRPr="00E9543F">
        <w:rPr>
          <w:rFonts w:ascii="Cambria" w:hAnsi="Cambria"/>
          <w:sz w:val="20"/>
          <w:szCs w:val="20"/>
          <w:lang w:val="es-ES"/>
        </w:rPr>
        <w:t xml:space="preserve"> recuerda que la persona sometida a un proceso penal debe poder defender sus intereses o derechos en forma efectiva y en condiciones de igualdad procesal. Ello</w:t>
      </w:r>
      <w:r w:rsidR="0C915EB7" w:rsidRPr="00E9543F">
        <w:rPr>
          <w:rFonts w:ascii="Cambria" w:hAnsi="Cambria"/>
          <w:sz w:val="20"/>
          <w:szCs w:val="20"/>
          <w:lang w:val="es-ES"/>
        </w:rPr>
        <w:t>,</w:t>
      </w:r>
      <w:r w:rsidRPr="00E9543F">
        <w:rPr>
          <w:rFonts w:ascii="Cambria" w:hAnsi="Cambria"/>
          <w:sz w:val="20"/>
          <w:szCs w:val="20"/>
          <w:lang w:val="es-ES"/>
        </w:rPr>
        <w:t xml:space="preserve"> a fin de que la persona sometida al poder punitivo del Estado pueda formular sus descargos con toda la información necesaria. Por su parte, la Corte Interamericana ha sostenido que desde el inicio de las primeras diligencias de un proceso penal deben concurrir las máximas garantías procesales para salvaguardar el derecho de la persona imputada a la defensa</w:t>
      </w:r>
      <w:r w:rsidRPr="00E9543F">
        <w:rPr>
          <w:rStyle w:val="FootnoteReference"/>
          <w:rFonts w:ascii="Cambria" w:hAnsi="Cambria"/>
          <w:sz w:val="20"/>
          <w:szCs w:val="20"/>
          <w:lang w:val="es-ES"/>
        </w:rPr>
        <w:footnoteReference w:id="94"/>
      </w:r>
      <w:r w:rsidRPr="00E9543F">
        <w:rPr>
          <w:rFonts w:ascii="Cambria" w:hAnsi="Cambria"/>
          <w:sz w:val="20"/>
          <w:szCs w:val="20"/>
          <w:lang w:val="es-ES"/>
        </w:rPr>
        <w:t xml:space="preserve">. Asimismo, deben </w:t>
      </w:r>
      <w:r w:rsidR="00DE7322" w:rsidRPr="00E9543F">
        <w:rPr>
          <w:rFonts w:ascii="Cambria" w:eastAsia="Cambria" w:hAnsi="Cambria" w:cs="Cambria"/>
          <w:sz w:val="20"/>
          <w:szCs w:val="20"/>
          <w:lang w:val="es-ES"/>
        </w:rPr>
        <w:t xml:space="preserve">adoptar las medidas que resulten necesarias para asegurar la plena concreción de los principios de igualdad procesal </w:t>
      </w:r>
      <w:r w:rsidR="73C2F13C" w:rsidRPr="7AB0424C">
        <w:rPr>
          <w:rFonts w:ascii="Cambria" w:eastAsia="Cambria" w:hAnsi="Cambria" w:cs="Cambria"/>
          <w:sz w:val="20"/>
          <w:szCs w:val="20"/>
          <w:lang w:val="es"/>
        </w:rPr>
        <w:t>—</w:t>
      </w:r>
      <w:r w:rsidR="00DE7322" w:rsidRPr="00E9543F">
        <w:rPr>
          <w:rFonts w:ascii="Cambria" w:eastAsia="Cambria" w:hAnsi="Cambria" w:cs="Cambria"/>
          <w:sz w:val="20"/>
          <w:szCs w:val="20"/>
          <w:lang w:val="es-ES"/>
        </w:rPr>
        <w:t>promoviendo un equilibrio entre las partes</w:t>
      </w:r>
      <w:r w:rsidR="1495DFAC" w:rsidRPr="7AB0424C">
        <w:rPr>
          <w:rFonts w:ascii="Cambria" w:eastAsia="Cambria" w:hAnsi="Cambria" w:cs="Cambria"/>
          <w:sz w:val="20"/>
          <w:szCs w:val="20"/>
          <w:lang w:val="es"/>
        </w:rPr>
        <w:t>—</w:t>
      </w:r>
      <w:r w:rsidR="1495DFAC" w:rsidRPr="7AB0424C">
        <w:rPr>
          <w:rFonts w:ascii="Cambria" w:eastAsia="Cambria" w:hAnsi="Cambria" w:cs="Cambria"/>
          <w:sz w:val="20"/>
          <w:szCs w:val="20"/>
          <w:lang w:val="es-ES"/>
        </w:rPr>
        <w:t xml:space="preserve"> </w:t>
      </w:r>
      <w:r w:rsidR="00DE7322" w:rsidRPr="00E9543F">
        <w:rPr>
          <w:rFonts w:ascii="Cambria" w:eastAsia="Cambria" w:hAnsi="Cambria" w:cs="Cambria"/>
          <w:sz w:val="20"/>
          <w:szCs w:val="20"/>
          <w:lang w:val="es-ES"/>
        </w:rPr>
        <w:t>y de contradictorio</w:t>
      </w:r>
      <w:r w:rsidR="41778736" w:rsidRPr="00E9543F">
        <w:rPr>
          <w:rFonts w:ascii="Cambria" w:eastAsia="Cambria" w:hAnsi="Cambria" w:cs="Cambria"/>
          <w:sz w:val="20"/>
          <w:szCs w:val="20"/>
          <w:lang w:val="es-ES"/>
        </w:rPr>
        <w:t xml:space="preserve"> </w:t>
      </w:r>
      <w:r w:rsidR="41778736" w:rsidRPr="7AB0424C">
        <w:rPr>
          <w:rFonts w:ascii="Cambria" w:eastAsia="Cambria" w:hAnsi="Cambria" w:cs="Cambria"/>
          <w:sz w:val="20"/>
          <w:szCs w:val="20"/>
          <w:lang w:val="es"/>
        </w:rPr>
        <w:t>—</w:t>
      </w:r>
      <w:r w:rsidR="41778736" w:rsidRPr="7AB0424C">
        <w:rPr>
          <w:rFonts w:ascii="Cambria" w:eastAsia="Cambria" w:hAnsi="Cambria" w:cs="Cambria"/>
          <w:sz w:val="20"/>
          <w:szCs w:val="20"/>
          <w:lang w:val="es-ES"/>
        </w:rPr>
        <w:t xml:space="preserve"> </w:t>
      </w:r>
      <w:r w:rsidR="00DE7322" w:rsidRPr="00E9543F">
        <w:rPr>
          <w:rFonts w:ascii="Cambria" w:eastAsia="Cambria" w:hAnsi="Cambria" w:cs="Cambria"/>
          <w:sz w:val="20"/>
          <w:szCs w:val="20"/>
          <w:lang w:val="es-ES"/>
        </w:rPr>
        <w:t>previendo la facultad procesal de confrontar o controvertir los elementos probatorios aportados al expediente</w:t>
      </w:r>
      <w:r w:rsidR="6675EDA1" w:rsidRPr="7AB0424C">
        <w:rPr>
          <w:rFonts w:ascii="Cambria" w:eastAsia="Cambria" w:hAnsi="Cambria" w:cs="Cambria"/>
          <w:sz w:val="20"/>
          <w:szCs w:val="20"/>
          <w:lang w:val="es"/>
        </w:rPr>
        <w:t>—</w:t>
      </w:r>
      <w:r w:rsidRPr="00E9543F">
        <w:rPr>
          <w:rStyle w:val="FootnoteReference"/>
          <w:rFonts w:ascii="Cambria" w:hAnsi="Cambria"/>
          <w:sz w:val="20"/>
          <w:szCs w:val="20"/>
          <w:lang w:val="es-ES"/>
        </w:rPr>
        <w:footnoteReference w:id="95"/>
      </w:r>
      <w:r w:rsidRPr="00E9543F">
        <w:rPr>
          <w:rFonts w:ascii="Cambria" w:hAnsi="Cambria"/>
          <w:sz w:val="20"/>
          <w:szCs w:val="20"/>
          <w:lang w:val="es-ES"/>
        </w:rPr>
        <w:t>.</w:t>
      </w:r>
    </w:p>
    <w:p w14:paraId="47B362C5" w14:textId="77777777" w:rsidR="006C4C94" w:rsidRPr="00E9543F" w:rsidRDefault="006C4C94"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lang w:val="es-ES"/>
        </w:rPr>
      </w:pPr>
    </w:p>
    <w:p w14:paraId="1A4BE56E" w14:textId="634352BD" w:rsidR="00355091" w:rsidRPr="00BF7FAB" w:rsidRDefault="000B2895" w:rsidP="001A4728">
      <w:pPr>
        <w:numPr>
          <w:ilvl w:val="0"/>
          <w:numId w:val="60"/>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hAnsi="Cambria"/>
          <w:color w:val="FF0000"/>
          <w:sz w:val="20"/>
          <w:szCs w:val="20"/>
          <w:lang w:val="es-US"/>
        </w:rPr>
      </w:pPr>
      <w:r w:rsidRPr="00BF7FAB">
        <w:rPr>
          <w:rFonts w:ascii="Cambria" w:eastAsia="Cambria" w:hAnsi="Cambria" w:cs="Cambria"/>
          <w:sz w:val="20"/>
          <w:szCs w:val="20"/>
          <w:lang w:val="es-US"/>
        </w:rPr>
        <w:t xml:space="preserve">La </w:t>
      </w:r>
      <w:r w:rsidR="00B92BD3" w:rsidRPr="00BF7FAB">
        <w:rPr>
          <w:rFonts w:ascii="Cambria" w:eastAsia="Cambria" w:hAnsi="Cambria" w:cs="Cambria"/>
          <w:sz w:val="20"/>
          <w:szCs w:val="20"/>
          <w:lang w:val="es-US"/>
        </w:rPr>
        <w:t>Comisión</w:t>
      </w:r>
      <w:r w:rsidRPr="00BF7FAB">
        <w:rPr>
          <w:rFonts w:ascii="Cambria" w:eastAsia="Cambria" w:hAnsi="Cambria" w:cs="Cambria"/>
          <w:sz w:val="20"/>
          <w:szCs w:val="20"/>
          <w:lang w:val="es-US"/>
        </w:rPr>
        <w:t xml:space="preserve"> ha sido clara en establecer</w:t>
      </w:r>
      <w:r w:rsidR="00B92BD3" w:rsidRPr="00BF7FAB">
        <w:rPr>
          <w:rFonts w:ascii="Cambria" w:eastAsia="Cambria" w:hAnsi="Cambria" w:cs="Cambria"/>
          <w:sz w:val="20"/>
          <w:szCs w:val="20"/>
          <w:lang w:val="es-US"/>
        </w:rPr>
        <w:t xml:space="preserve"> el derecho a la presunción de inocencia exige que el Estado no condene informalmente a una persona o realice un juicio ante la sociedad, sin que se haya acreditado su responsabilidad penal y se haya proferido sentencia condenatoria en firme en su contra. Bajo este marco, le corresponde a las autoridades judiciales y públicas ser discretas y prudentes sobre las declaraciones que emitan sobre la presunta culpabilidad de un individuo</w:t>
      </w:r>
      <w:r w:rsidR="00B92BD3" w:rsidRPr="4300E6AB">
        <w:rPr>
          <w:rFonts w:ascii="Cambria" w:eastAsia="Cambria" w:hAnsi="Cambria" w:cs="Cambria"/>
          <w:sz w:val="20"/>
          <w:szCs w:val="20"/>
          <w:vertAlign w:val="superscript"/>
        </w:rPr>
        <w:footnoteReference w:id="96"/>
      </w:r>
      <w:r w:rsidR="00B92BD3" w:rsidRPr="00BF7FAB">
        <w:rPr>
          <w:rFonts w:ascii="Cambria" w:eastAsia="Cambria" w:hAnsi="Cambria" w:cs="Cambria"/>
          <w:sz w:val="20"/>
          <w:szCs w:val="20"/>
          <w:lang w:val="es-US"/>
        </w:rPr>
        <w:t xml:space="preserve">. </w:t>
      </w:r>
      <w:r w:rsidRPr="00BF7FAB">
        <w:rPr>
          <w:rFonts w:ascii="Cambria" w:hAnsi="Cambria"/>
          <w:color w:val="FF0000"/>
          <w:sz w:val="20"/>
          <w:szCs w:val="20"/>
          <w:lang w:val="es-US"/>
        </w:rPr>
        <w:t xml:space="preserve"> </w:t>
      </w:r>
    </w:p>
    <w:p w14:paraId="246729E0" w14:textId="77777777" w:rsidR="00937F4D" w:rsidRPr="00E9543F" w:rsidRDefault="00937F4D"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lang w:val="es-ES"/>
        </w:rPr>
      </w:pPr>
    </w:p>
    <w:p w14:paraId="07418BD2" w14:textId="138AE565" w:rsidR="00A611D1" w:rsidRPr="00E9543F" w:rsidRDefault="006C4C94" w:rsidP="001A4728">
      <w:pPr>
        <w:numPr>
          <w:ilvl w:val="0"/>
          <w:numId w:val="60"/>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hAnsi="Cambria"/>
          <w:sz w:val="20"/>
          <w:szCs w:val="20"/>
          <w:lang w:val="es-ES"/>
        </w:rPr>
      </w:pPr>
      <w:r w:rsidRPr="00E9543F">
        <w:rPr>
          <w:rFonts w:ascii="Cambria" w:hAnsi="Cambria"/>
          <w:sz w:val="20"/>
          <w:szCs w:val="20"/>
          <w:lang w:val="es-ES"/>
        </w:rPr>
        <w:t>Respecto de la defensa pública, tanto la CIDH y la Corte Interamericana han señalado que una vez que el Estado provea una defensa pública a la persona acusada, ésta debe ser efectiva. Para ello, el Estado debe adoptar todas las medidas adecuadas</w:t>
      </w:r>
      <w:r w:rsidRPr="00E9543F">
        <w:rPr>
          <w:rStyle w:val="FootnoteReference"/>
          <w:rFonts w:ascii="Cambria" w:hAnsi="Cambria"/>
          <w:sz w:val="20"/>
          <w:szCs w:val="20"/>
          <w:lang w:val="es-ES"/>
        </w:rPr>
        <w:footnoteReference w:id="97"/>
      </w:r>
      <w:r w:rsidRPr="00E9543F">
        <w:rPr>
          <w:rFonts w:ascii="Cambria" w:hAnsi="Cambria"/>
          <w:sz w:val="20"/>
          <w:szCs w:val="20"/>
          <w:lang w:val="es-ES"/>
        </w:rPr>
        <w:t xml:space="preserve">. La </w:t>
      </w:r>
      <w:r w:rsidR="00B92BD3" w:rsidRPr="00E9543F">
        <w:rPr>
          <w:rFonts w:ascii="Cambria" w:hAnsi="Cambria"/>
          <w:sz w:val="20"/>
          <w:szCs w:val="20"/>
          <w:lang w:val="es-ES"/>
        </w:rPr>
        <w:t>Comisión</w:t>
      </w:r>
      <w:r w:rsidRPr="00E9543F">
        <w:rPr>
          <w:rFonts w:ascii="Cambria" w:hAnsi="Cambria"/>
          <w:sz w:val="20"/>
          <w:szCs w:val="20"/>
          <w:lang w:val="es-ES"/>
        </w:rPr>
        <w:t xml:space="preserve"> ha sostenido que</w:t>
      </w:r>
      <w:r w:rsidR="00B92BD3" w:rsidRPr="00E9543F">
        <w:rPr>
          <w:rFonts w:ascii="Cambria" w:eastAsia="Cambria" w:hAnsi="Cambria" w:cs="Cambria"/>
          <w:sz w:val="20"/>
          <w:szCs w:val="20"/>
          <w:lang w:val="es-ES"/>
        </w:rPr>
        <w:t xml:space="preserve"> los Estados deben garantizar que las personas que </w:t>
      </w:r>
      <w:r w:rsidR="002A4CCF" w:rsidRPr="00E9543F">
        <w:rPr>
          <w:rFonts w:ascii="Cambria" w:eastAsia="Cambria" w:hAnsi="Cambria" w:cs="Cambria"/>
          <w:sz w:val="20"/>
          <w:szCs w:val="20"/>
          <w:lang w:val="es-ES"/>
        </w:rPr>
        <w:t xml:space="preserve">lleven </w:t>
      </w:r>
      <w:r w:rsidR="00B92BD3" w:rsidRPr="00E9543F">
        <w:rPr>
          <w:rFonts w:ascii="Cambria" w:eastAsia="Cambria" w:hAnsi="Cambria" w:cs="Cambria"/>
          <w:sz w:val="20"/>
          <w:szCs w:val="20"/>
          <w:lang w:val="es-ES"/>
        </w:rPr>
        <w:t>adelante la defensa técnica actúen de manera diligente, con el objetivo de proteger las garantías procesales del acusado y así evitar que</w:t>
      </w:r>
      <w:r w:rsidR="3AFABE9D" w:rsidRPr="00E9543F">
        <w:rPr>
          <w:rFonts w:ascii="Cambria" w:eastAsia="Cambria" w:hAnsi="Cambria" w:cs="Cambria"/>
          <w:sz w:val="20"/>
          <w:szCs w:val="20"/>
          <w:lang w:val="es-ES"/>
        </w:rPr>
        <w:t>:</w:t>
      </w:r>
      <w:r w:rsidR="00B92BD3" w:rsidRPr="00E9543F">
        <w:rPr>
          <w:rFonts w:ascii="Cambria" w:eastAsia="Cambria" w:hAnsi="Cambria" w:cs="Cambria"/>
          <w:sz w:val="20"/>
          <w:szCs w:val="20"/>
          <w:lang w:val="es-ES"/>
        </w:rPr>
        <w:t xml:space="preserve"> (i) sus derechos se vean lesionados o (ii) se quebrante la relación de confianza</w:t>
      </w:r>
      <w:r w:rsidR="00B92BD3" w:rsidRPr="00E9543F">
        <w:rPr>
          <w:rFonts w:ascii="Cambria" w:eastAsia="Cambria" w:hAnsi="Cambria" w:cs="Cambria"/>
          <w:sz w:val="20"/>
          <w:szCs w:val="20"/>
          <w:vertAlign w:val="superscript"/>
          <w:lang w:val="es-ES"/>
        </w:rPr>
        <w:footnoteReference w:id="98"/>
      </w:r>
      <w:r w:rsidR="00B92BD3" w:rsidRPr="00E9543F">
        <w:rPr>
          <w:rFonts w:ascii="Cambria" w:eastAsia="Cambria" w:hAnsi="Cambria" w:cs="Cambria"/>
          <w:sz w:val="20"/>
          <w:szCs w:val="20"/>
          <w:lang w:val="es-ES"/>
        </w:rPr>
        <w:t>.</w:t>
      </w:r>
      <w:r w:rsidRPr="00E9543F">
        <w:rPr>
          <w:rFonts w:ascii="Cambria" w:hAnsi="Cambria"/>
          <w:color w:val="FF0000"/>
          <w:sz w:val="20"/>
          <w:szCs w:val="20"/>
          <w:lang w:val="es-ES"/>
        </w:rPr>
        <w:t xml:space="preserve"> </w:t>
      </w:r>
      <w:r w:rsidRPr="00E9543F">
        <w:rPr>
          <w:rFonts w:ascii="Cambria" w:hAnsi="Cambria"/>
          <w:sz w:val="20"/>
          <w:szCs w:val="20"/>
          <w:lang w:val="es-ES"/>
        </w:rPr>
        <w:t>Además, ha considerado que</w:t>
      </w:r>
      <w:r w:rsidR="376EDBC7" w:rsidRPr="00E9543F">
        <w:rPr>
          <w:rFonts w:ascii="Cambria" w:hAnsi="Cambria"/>
          <w:sz w:val="20"/>
          <w:szCs w:val="20"/>
          <w:lang w:val="es-ES"/>
        </w:rPr>
        <w:t>,</w:t>
      </w:r>
      <w:r w:rsidRPr="00E9543F">
        <w:rPr>
          <w:rFonts w:ascii="Cambria" w:hAnsi="Cambria"/>
          <w:sz w:val="20"/>
          <w:szCs w:val="20"/>
          <w:lang w:val="es-ES"/>
        </w:rPr>
        <w:t xml:space="preserve"> para analizar si ha ocurrido una violación al derecho de defensa por parte del Estado, debe evaluar</w:t>
      </w:r>
      <w:r w:rsidR="002A4CCF" w:rsidRPr="00E9543F">
        <w:rPr>
          <w:rFonts w:ascii="Cambria" w:hAnsi="Cambria"/>
          <w:sz w:val="20"/>
          <w:szCs w:val="20"/>
          <w:lang w:val="es-ES"/>
        </w:rPr>
        <w:t xml:space="preserve">se </w:t>
      </w:r>
      <w:r w:rsidR="002A4CCF" w:rsidRPr="00E9543F">
        <w:rPr>
          <w:rFonts w:ascii="Cambria" w:eastAsia="Cambria" w:hAnsi="Cambria" w:cs="Cambria"/>
          <w:sz w:val="20"/>
          <w:szCs w:val="20"/>
          <w:lang w:val="es-ES"/>
        </w:rPr>
        <w:t xml:space="preserve">los casos en los que la negligencia inexcusable o falla manifiesta de la defensa debió haber sido evidente para las autoridades judiciales o fueron puestas en su conocimiento y </w:t>
      </w:r>
      <w:r w:rsidR="002A4CCF" w:rsidRPr="00E9543F">
        <w:rPr>
          <w:rFonts w:ascii="Cambria" w:eastAsia="Cambria" w:hAnsi="Cambria" w:cs="Cambria"/>
          <w:sz w:val="20"/>
          <w:szCs w:val="20"/>
          <w:lang w:val="es-ES"/>
        </w:rPr>
        <w:lastRenderedPageBreak/>
        <w:t>no se adoptaron las acciones necesarias y suficientes para prevenir y/o remediar la violación al derecho a la defensa</w:t>
      </w:r>
      <w:r w:rsidR="002A4CCF" w:rsidRPr="00E9543F">
        <w:rPr>
          <w:rFonts w:ascii="Cambria" w:eastAsia="Cambria" w:hAnsi="Cambria" w:cs="Cambria"/>
          <w:sz w:val="20"/>
          <w:szCs w:val="20"/>
          <w:vertAlign w:val="superscript"/>
          <w:lang w:val="es-ES"/>
        </w:rPr>
        <w:footnoteReference w:id="99"/>
      </w:r>
      <w:r w:rsidR="002A4CCF" w:rsidRPr="00E9543F">
        <w:rPr>
          <w:rFonts w:ascii="Cambria" w:eastAsia="Cambria" w:hAnsi="Cambria" w:cs="Cambria"/>
          <w:sz w:val="20"/>
          <w:szCs w:val="20"/>
          <w:lang w:val="es-ES"/>
        </w:rPr>
        <w:t>.</w:t>
      </w:r>
    </w:p>
    <w:p w14:paraId="3576E06D" w14:textId="77777777" w:rsidR="002A4CCF" w:rsidRPr="00E9543F" w:rsidRDefault="002A4CCF" w:rsidP="749ACC70">
      <w:p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jc w:val="both"/>
        <w:rPr>
          <w:rFonts w:ascii="Cambria" w:hAnsi="Cambria"/>
          <w:sz w:val="20"/>
          <w:szCs w:val="20"/>
          <w:lang w:val="es-ES"/>
        </w:rPr>
      </w:pPr>
    </w:p>
    <w:p w14:paraId="2A215BBE" w14:textId="77777777" w:rsidR="00A611D1" w:rsidRPr="00BD6C53" w:rsidRDefault="00A611D1" w:rsidP="001A4728">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lang w:val="es-ES"/>
        </w:rPr>
      </w:pPr>
      <w:r w:rsidRPr="749ACC70">
        <w:rPr>
          <w:rFonts w:ascii="Cambria" w:hAnsi="Cambria"/>
          <w:sz w:val="20"/>
          <w:szCs w:val="20"/>
          <w:lang w:val="es-ES"/>
        </w:rPr>
        <w:t xml:space="preserve">Con respecto al uso indebido del derecho penal contra defensores y defensoras de derechos humanos la Comisión ha sostenido lo siguiente: </w:t>
      </w:r>
    </w:p>
    <w:p w14:paraId="5CC94E4E" w14:textId="77777777" w:rsidR="00A611D1" w:rsidRPr="00E9543F" w:rsidRDefault="00A611D1"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lang w:val="es-ES"/>
        </w:rPr>
      </w:pPr>
    </w:p>
    <w:p w14:paraId="31CDEEB6" w14:textId="77777777" w:rsidR="00A611D1" w:rsidRPr="004C299F" w:rsidRDefault="00A611D1" w:rsidP="00963AB8">
      <w:pPr>
        <w:pStyle w:val="ListParagraph"/>
        <w:numPr>
          <w:ilvl w:val="0"/>
          <w:numId w:val="0"/>
        </w:numPr>
        <w:ind w:left="720"/>
      </w:pPr>
      <w:r w:rsidRPr="004C299F">
        <w:t>El uso indebido del derecho penal en contra de defensoras y defensores genera en estos una serie de impactos negativos a nivel personal y colectivo afectando su salud física y generando efectos a nivel familiar y social. En particular, tiene un impacto negativo en la defensa de los derechos humanos. La defensora o defensor procesado penalmente debe invertir su tiempo y recursos en su defensa procesal y pierde condiciones para atender su trabajo o el de su organización. Este conjunto de factores a su vez genera un efecto amedrentador y paralizante en la comunidad de defensores y defensoras de derechos humanos, quienes, por miedo a sufrir represalias, pueden llegar a abstenerse de realizar sus tareas de promoción y protección de los derechos humanos, lo cual repercute en la sociedad en general</w:t>
      </w:r>
      <w:r w:rsidRPr="004C299F">
        <w:rPr>
          <w:rStyle w:val="FootnoteReference"/>
          <w:lang w:val="es-ES"/>
        </w:rPr>
        <w:footnoteReference w:id="100"/>
      </w:r>
      <w:r w:rsidRPr="004C299F">
        <w:t>.</w:t>
      </w:r>
    </w:p>
    <w:p w14:paraId="77C65805" w14:textId="77777777" w:rsidR="00363049" w:rsidRPr="004C299F" w:rsidRDefault="00363049" w:rsidP="004C299F">
      <w:pPr>
        <w:ind w:right="720"/>
        <w:rPr>
          <w:sz w:val="18"/>
          <w:szCs w:val="18"/>
          <w:lang w:val="es-ES"/>
        </w:rPr>
      </w:pPr>
    </w:p>
    <w:p w14:paraId="4742379B" w14:textId="77777777" w:rsidR="00681C00" w:rsidRPr="00BD6C53" w:rsidRDefault="00681C00" w:rsidP="001A4728">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lang w:val="es-ES"/>
        </w:rPr>
      </w:pPr>
      <w:r w:rsidRPr="00BD6C53">
        <w:rPr>
          <w:rFonts w:ascii="Cambria" w:hAnsi="Cambria"/>
          <w:sz w:val="20"/>
          <w:szCs w:val="20"/>
          <w:lang w:val="es-ES"/>
        </w:rPr>
        <w:t xml:space="preserve">La CIDH resalta que en el marco de sus funciones de monitoreo ha recopilado información sobre afectaciones a </w:t>
      </w:r>
      <w:r w:rsidRPr="00BD6C53">
        <w:rPr>
          <w:rFonts w:ascii="Cambria" w:hAnsi="Cambria" w:cs="Cambria"/>
          <w:sz w:val="20"/>
          <w:szCs w:val="20"/>
          <w:lang w:val="es-ES" w:eastAsia="es-ES"/>
        </w:rPr>
        <w:t>personas</w:t>
      </w:r>
      <w:r w:rsidRPr="00BD6C53">
        <w:rPr>
          <w:rFonts w:ascii="Cambria" w:hAnsi="Cambria"/>
          <w:sz w:val="20"/>
          <w:szCs w:val="20"/>
          <w:lang w:val="es-ES"/>
        </w:rPr>
        <w:t xml:space="preserve"> acusadas durante los juicios en Cuba, en particular sobre disidentes políticos o personas defensoras de derechos humanos. Entre tales afectaciones se destacan: i) falta de defensa legal en las etapas previas de investigación; ii) otorgamiento de poco tiempo para preparar la defensa antes del juicio; iii) ausencia de imparcialidad y decisiones judiciales influencias por autoridades públicas ajenas al Poder Judicial</w:t>
      </w:r>
      <w:r w:rsidRPr="7AB0424C">
        <w:rPr>
          <w:rStyle w:val="FootnoteReference"/>
          <w:rFonts w:ascii="Cambria" w:eastAsiaTheme="minorEastAsia" w:hAnsi="Cambria"/>
          <w:sz w:val="20"/>
          <w:szCs w:val="20"/>
          <w:lang w:val="es-ES"/>
        </w:rPr>
        <w:footnoteReference w:id="101"/>
      </w:r>
      <w:r w:rsidRPr="00BD6C53">
        <w:rPr>
          <w:rFonts w:ascii="Cambria" w:hAnsi="Cambria"/>
          <w:sz w:val="20"/>
          <w:szCs w:val="20"/>
          <w:lang w:val="es-ES"/>
        </w:rPr>
        <w:t>.</w:t>
      </w:r>
    </w:p>
    <w:p w14:paraId="171978F6" w14:textId="77777777" w:rsidR="00681C00" w:rsidRPr="00E9543F" w:rsidRDefault="00681C00" w:rsidP="00A611D1">
      <w:pPr>
        <w:rPr>
          <w:sz w:val="20"/>
          <w:szCs w:val="20"/>
          <w:lang w:val="es-ES"/>
        </w:rPr>
      </w:pPr>
    </w:p>
    <w:p w14:paraId="4F8FD864" w14:textId="77777777" w:rsidR="00195604" w:rsidRPr="00E9543F" w:rsidRDefault="00195604" w:rsidP="00363049">
      <w:pPr>
        <w:pStyle w:val="Heading3"/>
        <w:tabs>
          <w:tab w:val="left" w:pos="360"/>
        </w:tabs>
        <w:ind w:left="360"/>
        <w:rPr>
          <w:lang w:val="es-ES"/>
        </w:rPr>
      </w:pPr>
      <w:r w:rsidRPr="749ACC70">
        <w:rPr>
          <w:lang w:val="es-ES"/>
        </w:rPr>
        <w:t>Análisis del caso</w:t>
      </w:r>
    </w:p>
    <w:p w14:paraId="6C8E5255" w14:textId="77777777" w:rsidR="00A50F29" w:rsidRPr="00E9543F" w:rsidRDefault="00A50F29"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lang w:val="es-ES"/>
        </w:rPr>
      </w:pPr>
    </w:p>
    <w:p w14:paraId="6839CDB8" w14:textId="66BED0C0" w:rsidR="002176CA" w:rsidRPr="00BD6C53" w:rsidRDefault="76D2C68A" w:rsidP="001A4728">
      <w:pPr>
        <w:numPr>
          <w:ilvl w:val="0"/>
          <w:numId w:val="60"/>
        </w:numPr>
        <w:pBdr>
          <w:top w:val="none" w:sz="0" w:space="0" w:color="auto"/>
          <w:left w:val="none" w:sz="0" w:space="0" w:color="auto"/>
          <w:bottom w:val="none" w:sz="0" w:space="0" w:color="auto"/>
          <w:right w:val="none" w:sz="0" w:space="0" w:color="auto"/>
          <w:between w:val="none" w:sz="0" w:space="0" w:color="auto"/>
          <w:bar w:val="none" w:sz="0" w:color="000000"/>
        </w:pBdr>
        <w:tabs>
          <w:tab w:val="left" w:pos="360"/>
        </w:tabs>
        <w:spacing w:line="259" w:lineRule="auto"/>
        <w:ind w:left="0" w:firstLine="0"/>
        <w:jc w:val="both"/>
        <w:rPr>
          <w:rFonts w:ascii="Cambria" w:hAnsi="Cambria"/>
          <w:sz w:val="20"/>
          <w:szCs w:val="20"/>
          <w:lang w:val="es-ES"/>
        </w:rPr>
      </w:pPr>
      <w:r w:rsidRPr="749ACC70">
        <w:rPr>
          <w:rFonts w:ascii="Cambria" w:hAnsi="Cambria"/>
          <w:sz w:val="20"/>
          <w:szCs w:val="20"/>
          <w:lang w:val="es-ES"/>
        </w:rPr>
        <w:t xml:space="preserve">En el presente caso la CIDH toma nota de los alegatos presentados por la parte peticionaria sobre las múltiples afectaciones al debido proceso en contra de </w:t>
      </w:r>
      <w:r w:rsidR="4316C78A" w:rsidRPr="749ACC70">
        <w:rPr>
          <w:rFonts w:ascii="Cambria" w:hAnsi="Cambria"/>
          <w:sz w:val="20"/>
          <w:szCs w:val="20"/>
          <w:lang w:val="es-ES"/>
        </w:rPr>
        <w:t xml:space="preserve">Maykel Castillo Pérez, </w:t>
      </w:r>
      <w:r w:rsidRPr="749ACC70">
        <w:rPr>
          <w:rFonts w:ascii="Cambria" w:hAnsi="Cambria"/>
          <w:sz w:val="20"/>
          <w:szCs w:val="20"/>
          <w:lang w:val="es-ES"/>
        </w:rPr>
        <w:t>l</w:t>
      </w:r>
      <w:r w:rsidR="21C01DE4" w:rsidRPr="749ACC70">
        <w:rPr>
          <w:rFonts w:ascii="Cambria" w:hAnsi="Cambria"/>
          <w:sz w:val="20"/>
          <w:szCs w:val="20"/>
          <w:lang w:val="es-ES"/>
        </w:rPr>
        <w:t>o</w:t>
      </w:r>
      <w:r w:rsidR="1421925A" w:rsidRPr="749ACC70">
        <w:rPr>
          <w:rFonts w:ascii="Cambria" w:hAnsi="Cambria"/>
          <w:sz w:val="20"/>
          <w:szCs w:val="20"/>
          <w:lang w:val="es-ES"/>
        </w:rPr>
        <w:t>s</w:t>
      </w:r>
      <w:r w:rsidRPr="749ACC70">
        <w:rPr>
          <w:rFonts w:ascii="Cambria" w:hAnsi="Cambria"/>
          <w:sz w:val="20"/>
          <w:szCs w:val="20"/>
          <w:lang w:val="es-ES"/>
        </w:rPr>
        <w:t xml:space="preserve"> cual</w:t>
      </w:r>
      <w:r w:rsidR="1421925A" w:rsidRPr="749ACC70">
        <w:rPr>
          <w:rFonts w:ascii="Cambria" w:hAnsi="Cambria"/>
          <w:sz w:val="20"/>
          <w:szCs w:val="20"/>
          <w:lang w:val="es-ES"/>
        </w:rPr>
        <w:t>es</w:t>
      </w:r>
      <w:r w:rsidRPr="749ACC70">
        <w:rPr>
          <w:rFonts w:ascii="Cambria" w:hAnsi="Cambria"/>
          <w:sz w:val="20"/>
          <w:szCs w:val="20"/>
          <w:lang w:val="es-ES"/>
        </w:rPr>
        <w:t xml:space="preserve"> no fue</w:t>
      </w:r>
      <w:r w:rsidR="1421925A" w:rsidRPr="749ACC70">
        <w:rPr>
          <w:rFonts w:ascii="Cambria" w:hAnsi="Cambria"/>
          <w:sz w:val="20"/>
          <w:szCs w:val="20"/>
          <w:lang w:val="es-ES"/>
        </w:rPr>
        <w:t>ron</w:t>
      </w:r>
      <w:r w:rsidRPr="749ACC70">
        <w:rPr>
          <w:rFonts w:ascii="Cambria" w:hAnsi="Cambria"/>
          <w:sz w:val="20"/>
          <w:szCs w:val="20"/>
          <w:lang w:val="es-ES"/>
        </w:rPr>
        <w:t xml:space="preserve"> controvertido</w:t>
      </w:r>
      <w:r w:rsidR="002F195C" w:rsidRPr="749ACC70">
        <w:rPr>
          <w:rFonts w:ascii="Cambria" w:hAnsi="Cambria"/>
          <w:sz w:val="20"/>
          <w:szCs w:val="20"/>
          <w:lang w:val="es-ES"/>
        </w:rPr>
        <w:t>s</w:t>
      </w:r>
      <w:r w:rsidRPr="749ACC70">
        <w:rPr>
          <w:rFonts w:ascii="Cambria" w:hAnsi="Cambria"/>
          <w:sz w:val="20"/>
          <w:szCs w:val="20"/>
          <w:lang w:val="es-ES"/>
        </w:rPr>
        <w:t xml:space="preserve"> por el Estado. </w:t>
      </w:r>
      <w:r w:rsidR="5C617D66" w:rsidRPr="749ACC70">
        <w:rPr>
          <w:rFonts w:ascii="Cambria" w:hAnsi="Cambria"/>
          <w:sz w:val="20"/>
          <w:szCs w:val="20"/>
          <w:lang w:val="es-ES"/>
        </w:rPr>
        <w:t xml:space="preserve">A </w:t>
      </w:r>
      <w:r w:rsidR="00BF7FAB" w:rsidRPr="749ACC70">
        <w:rPr>
          <w:rFonts w:ascii="Cambria" w:hAnsi="Cambria"/>
          <w:sz w:val="20"/>
          <w:szCs w:val="20"/>
          <w:lang w:val="es-ES"/>
        </w:rPr>
        <w:t>continuación,</w:t>
      </w:r>
      <w:r w:rsidR="5C617D66" w:rsidRPr="749ACC70">
        <w:rPr>
          <w:rFonts w:ascii="Cambria" w:hAnsi="Cambria"/>
          <w:sz w:val="20"/>
          <w:szCs w:val="20"/>
          <w:lang w:val="es-ES"/>
        </w:rPr>
        <w:t xml:space="preserve"> la Comisión pasa a </w:t>
      </w:r>
      <w:r w:rsidR="0FCD8A64" w:rsidRPr="749ACC70">
        <w:rPr>
          <w:rFonts w:ascii="Cambria" w:hAnsi="Cambria"/>
          <w:sz w:val="20"/>
          <w:szCs w:val="20"/>
          <w:lang w:val="es-ES"/>
        </w:rPr>
        <w:t xml:space="preserve">identificar las siguientes falencias, omisiones e irregularidades en dicho proceso. </w:t>
      </w:r>
    </w:p>
    <w:p w14:paraId="76D34ED3" w14:textId="77777777" w:rsidR="002176CA" w:rsidRPr="00E9543F" w:rsidRDefault="002176CA" w:rsidP="749ACC70">
      <w:pPr>
        <w:pBdr>
          <w:top w:val="none" w:sz="0" w:space="0" w:color="auto"/>
          <w:left w:val="none" w:sz="0" w:space="0" w:color="auto"/>
          <w:bottom w:val="none" w:sz="0" w:space="0" w:color="auto"/>
          <w:right w:val="none" w:sz="0" w:space="0" w:color="auto"/>
          <w:between w:val="none" w:sz="0" w:space="0" w:color="auto"/>
          <w:bar w:val="none" w:sz="0" w:color="000000"/>
        </w:pBdr>
        <w:tabs>
          <w:tab w:val="left" w:pos="360"/>
        </w:tabs>
        <w:spacing w:line="259" w:lineRule="auto"/>
        <w:jc w:val="both"/>
        <w:rPr>
          <w:rFonts w:ascii="Cambria" w:hAnsi="Cambria"/>
          <w:sz w:val="20"/>
          <w:szCs w:val="20"/>
          <w:lang w:val="es-ES"/>
        </w:rPr>
      </w:pPr>
    </w:p>
    <w:p w14:paraId="49B486FD" w14:textId="4EE5773E" w:rsidR="00E97FD1" w:rsidRPr="00BD6C53" w:rsidRDefault="00E97FD1" w:rsidP="001A4728">
      <w:pPr>
        <w:numPr>
          <w:ilvl w:val="0"/>
          <w:numId w:val="60"/>
        </w:numPr>
        <w:pBdr>
          <w:top w:val="none" w:sz="0" w:space="0" w:color="auto"/>
          <w:left w:val="none" w:sz="0" w:space="0" w:color="auto"/>
          <w:bottom w:val="none" w:sz="0" w:space="0" w:color="auto"/>
          <w:right w:val="none" w:sz="0" w:space="0" w:color="auto"/>
          <w:between w:val="none" w:sz="0" w:space="0" w:color="auto"/>
          <w:bar w:val="none" w:sz="0" w:color="000000"/>
        </w:pBdr>
        <w:tabs>
          <w:tab w:val="left" w:pos="360"/>
        </w:tabs>
        <w:spacing w:line="259" w:lineRule="auto"/>
        <w:ind w:left="0" w:firstLine="0"/>
        <w:jc w:val="both"/>
        <w:rPr>
          <w:rFonts w:ascii="Cambria" w:hAnsi="Cambria"/>
          <w:sz w:val="20"/>
          <w:szCs w:val="20"/>
          <w:lang w:val="es-ES"/>
        </w:rPr>
      </w:pPr>
      <w:r w:rsidRPr="749ACC70">
        <w:rPr>
          <w:rFonts w:ascii="Cambria" w:hAnsi="Cambria"/>
          <w:sz w:val="20"/>
          <w:szCs w:val="20"/>
          <w:lang w:val="es-ES"/>
        </w:rPr>
        <w:t>En primer lugar, la parte peticionaria alegó que el pago de la multa a raíz de la detención del 2</w:t>
      </w:r>
      <w:r w:rsidR="003E7383" w:rsidRPr="749ACC70">
        <w:rPr>
          <w:rFonts w:ascii="Cambria" w:hAnsi="Cambria"/>
          <w:sz w:val="20"/>
          <w:szCs w:val="20"/>
          <w:lang w:val="es-ES"/>
        </w:rPr>
        <w:t>2</w:t>
      </w:r>
      <w:r w:rsidRPr="749ACC70">
        <w:rPr>
          <w:rFonts w:ascii="Cambria" w:hAnsi="Cambria"/>
          <w:sz w:val="20"/>
          <w:szCs w:val="20"/>
          <w:lang w:val="es-ES"/>
        </w:rPr>
        <w:t xml:space="preserve"> de junio de 2018 fue </w:t>
      </w:r>
      <w:r w:rsidR="002176CA" w:rsidRPr="749ACC70">
        <w:rPr>
          <w:rFonts w:ascii="Cambria" w:hAnsi="Cambria"/>
          <w:sz w:val="20"/>
          <w:szCs w:val="20"/>
          <w:lang w:val="es-ES"/>
        </w:rPr>
        <w:t>impuesto</w:t>
      </w:r>
      <w:r w:rsidRPr="749ACC70">
        <w:rPr>
          <w:rFonts w:ascii="Cambria" w:hAnsi="Cambria"/>
          <w:sz w:val="20"/>
          <w:szCs w:val="20"/>
          <w:lang w:val="es-ES"/>
        </w:rPr>
        <w:t xml:space="preserve"> por autoridades policiales y luego fue revisad</w:t>
      </w:r>
      <w:r w:rsidR="00F3004A" w:rsidRPr="749ACC70">
        <w:rPr>
          <w:rFonts w:ascii="Cambria" w:hAnsi="Cambria"/>
          <w:sz w:val="20"/>
          <w:szCs w:val="20"/>
          <w:lang w:val="es-ES"/>
        </w:rPr>
        <w:t>o</w:t>
      </w:r>
      <w:r w:rsidRPr="749ACC70">
        <w:rPr>
          <w:rFonts w:ascii="Cambria" w:hAnsi="Cambria"/>
          <w:sz w:val="20"/>
          <w:szCs w:val="20"/>
          <w:lang w:val="es-ES"/>
        </w:rPr>
        <w:t xml:space="preserve"> por la Fiscalía qui</w:t>
      </w:r>
      <w:r w:rsidR="00F3004A" w:rsidRPr="749ACC70">
        <w:rPr>
          <w:rFonts w:ascii="Cambria" w:hAnsi="Cambria"/>
          <w:sz w:val="20"/>
          <w:szCs w:val="20"/>
          <w:lang w:val="es-ES"/>
        </w:rPr>
        <w:t>e</w:t>
      </w:r>
      <w:r w:rsidRPr="749ACC70">
        <w:rPr>
          <w:rFonts w:ascii="Cambria" w:hAnsi="Cambria"/>
          <w:sz w:val="20"/>
          <w:szCs w:val="20"/>
          <w:lang w:val="es-ES"/>
        </w:rPr>
        <w:t xml:space="preserve">n dispuso el cambio de la sanción administrativa a prisión preventiva y apertura de un proceso penal </w:t>
      </w:r>
      <w:r w:rsidRPr="749ACC70">
        <w:rPr>
          <w:rStyle w:val="normaltextrun"/>
          <w:rFonts w:ascii="Cambria" w:hAnsi="Cambria"/>
          <w:color w:val="000000" w:themeColor="text1"/>
          <w:sz w:val="20"/>
          <w:szCs w:val="20"/>
          <w:lang w:val="es-ES"/>
        </w:rPr>
        <w:t>(</w:t>
      </w:r>
      <w:r w:rsidRPr="749ACC70">
        <w:rPr>
          <w:rStyle w:val="normaltextrun"/>
          <w:rFonts w:ascii="Cambria" w:hAnsi="Cambria"/>
          <w:i/>
          <w:iCs/>
          <w:color w:val="000000" w:themeColor="text1"/>
          <w:sz w:val="20"/>
          <w:szCs w:val="20"/>
          <w:lang w:val="es-ES"/>
        </w:rPr>
        <w:t>supra</w:t>
      </w:r>
      <w:r w:rsidRPr="749ACC70">
        <w:rPr>
          <w:rStyle w:val="normaltextrun"/>
          <w:rFonts w:ascii="Cambria" w:hAnsi="Cambria"/>
          <w:color w:val="000000" w:themeColor="text1"/>
          <w:sz w:val="20"/>
          <w:szCs w:val="20"/>
          <w:lang w:val="es-ES"/>
        </w:rPr>
        <w:t xml:space="preserve"> párrs. 24-25)</w:t>
      </w:r>
      <w:r w:rsidRPr="749ACC70">
        <w:rPr>
          <w:rFonts w:ascii="Cambria" w:hAnsi="Cambria"/>
          <w:sz w:val="20"/>
          <w:szCs w:val="20"/>
          <w:lang w:val="es-ES"/>
        </w:rPr>
        <w:t>. La Comisión observa que no se evidencia la participación de una autoridad judicial que determinara</w:t>
      </w:r>
      <w:r w:rsidR="0083046E" w:rsidRPr="749ACC70">
        <w:rPr>
          <w:rFonts w:ascii="Cambria" w:hAnsi="Cambria"/>
          <w:sz w:val="20"/>
          <w:szCs w:val="20"/>
          <w:lang w:val="es-ES"/>
        </w:rPr>
        <w:t xml:space="preserve"> dicho cambio a prisión preventiva</w:t>
      </w:r>
      <w:r w:rsidRPr="749ACC70">
        <w:rPr>
          <w:rFonts w:ascii="Cambria" w:hAnsi="Cambria"/>
          <w:sz w:val="20"/>
          <w:szCs w:val="20"/>
          <w:lang w:val="es-ES"/>
        </w:rPr>
        <w:t xml:space="preserve"> y confirme dicha situación. Ello tomando en cuenta que la multa inicialmente impuesta fue efectivamente pagada por lo que tendría que haber un</w:t>
      </w:r>
      <w:r w:rsidR="00FD0CED" w:rsidRPr="749ACC70">
        <w:rPr>
          <w:rFonts w:ascii="Cambria" w:hAnsi="Cambria"/>
          <w:sz w:val="20"/>
          <w:szCs w:val="20"/>
          <w:lang w:val="es-ES"/>
        </w:rPr>
        <w:t>a</w:t>
      </w:r>
      <w:r w:rsidRPr="749ACC70">
        <w:rPr>
          <w:rFonts w:ascii="Cambria" w:hAnsi="Cambria"/>
          <w:sz w:val="20"/>
          <w:szCs w:val="20"/>
          <w:lang w:val="es-ES"/>
        </w:rPr>
        <w:t xml:space="preserve"> motivación judicial sobre la decisión de revocar dicha multa, imponer una detención preventiva e iniciar un proceso penal en contra del señor Castillo Pérez.  </w:t>
      </w:r>
      <w:r w:rsidR="00FD0CED" w:rsidRPr="749ACC70">
        <w:rPr>
          <w:rFonts w:ascii="Cambria" w:hAnsi="Cambria"/>
          <w:sz w:val="20"/>
          <w:szCs w:val="20"/>
          <w:lang w:val="es-ES"/>
        </w:rPr>
        <w:t xml:space="preserve">A su vez, la parte peticionaria señaló que ya había sido sancionado y cumplido con la pena </w:t>
      </w:r>
      <w:r w:rsidR="00246B79" w:rsidRPr="749ACC70">
        <w:rPr>
          <w:rFonts w:ascii="Cambria" w:hAnsi="Cambria"/>
          <w:sz w:val="20"/>
          <w:szCs w:val="20"/>
          <w:lang w:val="es-ES"/>
        </w:rPr>
        <w:t>impuesta</w:t>
      </w:r>
      <w:r w:rsidR="00FD0CED" w:rsidRPr="749ACC70">
        <w:rPr>
          <w:rFonts w:ascii="Cambria" w:hAnsi="Cambria"/>
          <w:sz w:val="20"/>
          <w:szCs w:val="20"/>
          <w:lang w:val="es-ES"/>
        </w:rPr>
        <w:t xml:space="preserve"> </w:t>
      </w:r>
      <w:r w:rsidR="00FD0CED" w:rsidRPr="749ACC70">
        <w:rPr>
          <w:rStyle w:val="normaltextrun"/>
          <w:rFonts w:ascii="Cambria" w:hAnsi="Cambria"/>
          <w:color w:val="000000" w:themeColor="text1"/>
          <w:sz w:val="20"/>
          <w:szCs w:val="20"/>
          <w:lang w:val="es-ES"/>
        </w:rPr>
        <w:t>(</w:t>
      </w:r>
      <w:r w:rsidR="00FD0CED" w:rsidRPr="749ACC70">
        <w:rPr>
          <w:rStyle w:val="normaltextrun"/>
          <w:rFonts w:ascii="Cambria" w:hAnsi="Cambria"/>
          <w:i/>
          <w:iCs/>
          <w:color w:val="000000" w:themeColor="text1"/>
          <w:sz w:val="20"/>
          <w:szCs w:val="20"/>
          <w:lang w:val="es-ES"/>
        </w:rPr>
        <w:t>supra</w:t>
      </w:r>
      <w:r w:rsidR="00FD0CED" w:rsidRPr="749ACC70">
        <w:rPr>
          <w:rStyle w:val="normaltextrun"/>
          <w:rFonts w:ascii="Cambria" w:hAnsi="Cambria"/>
          <w:color w:val="000000" w:themeColor="text1"/>
          <w:sz w:val="20"/>
          <w:szCs w:val="20"/>
          <w:lang w:val="es-ES"/>
        </w:rPr>
        <w:t xml:space="preserve"> párrs. 24-25)</w:t>
      </w:r>
      <w:r w:rsidR="00FD0CED" w:rsidRPr="749ACC70">
        <w:rPr>
          <w:rFonts w:ascii="Cambria" w:hAnsi="Cambria"/>
          <w:sz w:val="20"/>
          <w:szCs w:val="20"/>
          <w:lang w:val="es-ES"/>
        </w:rPr>
        <w:t xml:space="preserve">. </w:t>
      </w:r>
      <w:r w:rsidR="00246B79" w:rsidRPr="749ACC70">
        <w:rPr>
          <w:rFonts w:ascii="Cambria" w:hAnsi="Cambria"/>
          <w:sz w:val="20"/>
          <w:szCs w:val="20"/>
          <w:lang w:val="es-ES"/>
        </w:rPr>
        <w:t xml:space="preserve">La CIDH remarca que el Estado no aportó el marco normativo que permitiera realizar la revocación de la multa. Asimismo, </w:t>
      </w:r>
      <w:r w:rsidR="0083046E" w:rsidRPr="749ACC70">
        <w:rPr>
          <w:rFonts w:ascii="Cambria" w:hAnsi="Cambria"/>
          <w:sz w:val="20"/>
          <w:szCs w:val="20"/>
          <w:lang w:val="es-ES"/>
        </w:rPr>
        <w:t xml:space="preserve">la Comisión </w:t>
      </w:r>
      <w:r w:rsidR="00FD0CED" w:rsidRPr="749ACC70">
        <w:rPr>
          <w:rFonts w:ascii="Cambria" w:hAnsi="Cambria"/>
          <w:sz w:val="20"/>
          <w:szCs w:val="20"/>
          <w:lang w:val="es-ES"/>
        </w:rPr>
        <w:t xml:space="preserve">nota que el señor Castillo no tuvo oportunidad de conocer sobre la posibilidad de revocación antes de que sucediera ni de defenderse ante su imposición. Ello, sumado a la falta de control judicial que tuvo la revocación. </w:t>
      </w:r>
    </w:p>
    <w:p w14:paraId="2018E5B5" w14:textId="77777777" w:rsidR="00E97FD1" w:rsidRPr="00963AB8" w:rsidRDefault="00E97FD1" w:rsidP="749ACC70">
      <w:p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jc w:val="both"/>
        <w:rPr>
          <w:lang w:val="es-ES"/>
        </w:rPr>
      </w:pPr>
    </w:p>
    <w:p w14:paraId="590DB3B4" w14:textId="25B9FE79" w:rsidR="002F195C" w:rsidRPr="00E9543F" w:rsidRDefault="5C617D66" w:rsidP="001A4728">
      <w:pPr>
        <w:numPr>
          <w:ilvl w:val="0"/>
          <w:numId w:val="60"/>
        </w:numPr>
        <w:pBdr>
          <w:top w:val="none" w:sz="0" w:space="0" w:color="auto"/>
          <w:left w:val="none" w:sz="0" w:space="0" w:color="auto"/>
          <w:bottom w:val="none" w:sz="0" w:space="0" w:color="auto"/>
          <w:right w:val="none" w:sz="0" w:space="0" w:color="auto"/>
          <w:between w:val="none" w:sz="0" w:space="0" w:color="auto"/>
          <w:bar w:val="none" w:sz="0" w:color="000000"/>
        </w:pBdr>
        <w:tabs>
          <w:tab w:val="left" w:pos="360"/>
        </w:tabs>
        <w:spacing w:line="259" w:lineRule="auto"/>
        <w:ind w:left="0" w:firstLine="0"/>
        <w:jc w:val="both"/>
        <w:rPr>
          <w:rFonts w:ascii="Cambria" w:hAnsi="Cambria"/>
          <w:color w:val="000000" w:themeColor="text1"/>
          <w:sz w:val="20"/>
          <w:szCs w:val="20"/>
          <w:lang w:val="es-ES"/>
        </w:rPr>
      </w:pPr>
      <w:r w:rsidRPr="749ACC70">
        <w:rPr>
          <w:rFonts w:ascii="Cambria" w:hAnsi="Cambria"/>
          <w:sz w:val="20"/>
          <w:szCs w:val="20"/>
          <w:lang w:val="es-ES"/>
        </w:rPr>
        <w:t xml:space="preserve">En </w:t>
      </w:r>
      <w:r w:rsidR="00E97FD1" w:rsidRPr="749ACC70">
        <w:rPr>
          <w:rFonts w:ascii="Cambria" w:hAnsi="Cambria"/>
          <w:sz w:val="20"/>
          <w:szCs w:val="20"/>
          <w:lang w:val="es-ES"/>
        </w:rPr>
        <w:t>segundo</w:t>
      </w:r>
      <w:r w:rsidRPr="749ACC70">
        <w:rPr>
          <w:rFonts w:ascii="Cambria" w:hAnsi="Cambria"/>
          <w:sz w:val="20"/>
          <w:szCs w:val="20"/>
          <w:lang w:val="es-ES"/>
        </w:rPr>
        <w:t xml:space="preserve"> lugar</w:t>
      </w:r>
      <w:r w:rsidR="416E4534" w:rsidRPr="749ACC70">
        <w:rPr>
          <w:rFonts w:ascii="Cambria" w:hAnsi="Cambria"/>
          <w:sz w:val="20"/>
          <w:szCs w:val="20"/>
          <w:lang w:val="es-ES"/>
        </w:rPr>
        <w:t xml:space="preserve">, </w:t>
      </w:r>
      <w:r w:rsidR="3360E6DC" w:rsidRPr="749ACC70">
        <w:rPr>
          <w:rFonts w:ascii="Cambria" w:hAnsi="Cambria"/>
          <w:sz w:val="20"/>
          <w:szCs w:val="20"/>
          <w:lang w:val="es-ES"/>
        </w:rPr>
        <w:t>la parte peticionaria</w:t>
      </w:r>
      <w:r w:rsidR="416E4534" w:rsidRPr="749ACC70">
        <w:rPr>
          <w:rFonts w:ascii="Cambria" w:hAnsi="Cambria"/>
          <w:sz w:val="20"/>
          <w:szCs w:val="20"/>
          <w:lang w:val="es-ES"/>
        </w:rPr>
        <w:t xml:space="preserve"> </w:t>
      </w:r>
      <w:r w:rsidR="76D2C68A" w:rsidRPr="749ACC70">
        <w:rPr>
          <w:rFonts w:ascii="Cambria" w:hAnsi="Cambria"/>
          <w:sz w:val="20"/>
          <w:szCs w:val="20"/>
          <w:lang w:val="es-ES"/>
        </w:rPr>
        <w:t xml:space="preserve">alegó que el señor </w:t>
      </w:r>
      <w:r w:rsidR="4316C78A" w:rsidRPr="749ACC70">
        <w:rPr>
          <w:rFonts w:ascii="Cambria" w:hAnsi="Cambria"/>
          <w:sz w:val="20"/>
          <w:szCs w:val="20"/>
          <w:lang w:val="es-ES"/>
        </w:rPr>
        <w:t xml:space="preserve">Castillo </w:t>
      </w:r>
      <w:r w:rsidR="76D2C68A" w:rsidRPr="749ACC70">
        <w:rPr>
          <w:rFonts w:ascii="Cambria" w:hAnsi="Cambria"/>
          <w:sz w:val="20"/>
          <w:szCs w:val="20"/>
          <w:lang w:val="es-ES"/>
        </w:rPr>
        <w:t>no contó con defens</w:t>
      </w:r>
      <w:r w:rsidR="3360E6DC" w:rsidRPr="749ACC70">
        <w:rPr>
          <w:rFonts w:ascii="Cambria" w:hAnsi="Cambria"/>
          <w:sz w:val="20"/>
          <w:szCs w:val="20"/>
          <w:lang w:val="es-ES"/>
        </w:rPr>
        <w:t>a legal</w:t>
      </w:r>
      <w:r w:rsidR="76D2C68A" w:rsidRPr="749ACC70">
        <w:rPr>
          <w:rFonts w:ascii="Cambria" w:hAnsi="Cambria"/>
          <w:sz w:val="20"/>
          <w:szCs w:val="20"/>
          <w:lang w:val="es-ES"/>
        </w:rPr>
        <w:t xml:space="preserve"> </w:t>
      </w:r>
      <w:r w:rsidR="004E51DE" w:rsidRPr="749ACC70">
        <w:rPr>
          <w:rFonts w:ascii="Cambria" w:hAnsi="Cambria"/>
          <w:sz w:val="20"/>
          <w:szCs w:val="20"/>
          <w:lang w:val="es-ES"/>
        </w:rPr>
        <w:t>al inicio del proceso penal seguido en su contra (</w:t>
      </w:r>
      <w:r w:rsidR="004E51DE" w:rsidRPr="749ACC70">
        <w:rPr>
          <w:rFonts w:ascii="Cambria" w:hAnsi="Cambria"/>
          <w:i/>
          <w:iCs/>
          <w:sz w:val="20"/>
          <w:szCs w:val="20"/>
          <w:lang w:val="es-ES"/>
        </w:rPr>
        <w:t>supra</w:t>
      </w:r>
      <w:r w:rsidR="004E51DE" w:rsidRPr="749ACC70">
        <w:rPr>
          <w:rFonts w:ascii="Cambria" w:hAnsi="Cambria"/>
          <w:sz w:val="20"/>
          <w:szCs w:val="20"/>
          <w:lang w:val="es-ES"/>
        </w:rPr>
        <w:t xml:space="preserve"> párr. 6). Al respecto, </w:t>
      </w:r>
      <w:r w:rsidR="009C43AB" w:rsidRPr="749ACC70">
        <w:rPr>
          <w:rFonts w:ascii="Cambria" w:hAnsi="Cambria"/>
          <w:sz w:val="20"/>
          <w:szCs w:val="20"/>
          <w:lang w:val="es-ES"/>
        </w:rPr>
        <w:t>la Comisión remarca que no consta ningún tipo de documentación que acredite que el Estado proveyó al señor Castillo de defensa legal desde el inicio del proceso penal</w:t>
      </w:r>
      <w:r w:rsidR="00242EA8" w:rsidRPr="749ACC70">
        <w:rPr>
          <w:rFonts w:ascii="Cambria" w:hAnsi="Cambria"/>
          <w:sz w:val="20"/>
          <w:szCs w:val="20"/>
          <w:lang w:val="es-ES"/>
        </w:rPr>
        <w:t>, y durante las siguientes diligencias</w:t>
      </w:r>
      <w:r w:rsidR="009C43AB" w:rsidRPr="749ACC70">
        <w:rPr>
          <w:rFonts w:ascii="Cambria" w:hAnsi="Cambria"/>
          <w:sz w:val="20"/>
          <w:szCs w:val="20"/>
          <w:lang w:val="es-ES"/>
        </w:rPr>
        <w:t xml:space="preserve"> hasta un mes después. </w:t>
      </w:r>
    </w:p>
    <w:p w14:paraId="5A87E9DD" w14:textId="4604D156" w:rsidR="009C43AB" w:rsidRPr="00E9543F" w:rsidRDefault="009C43AB" w:rsidP="00963AB8">
      <w:pPr>
        <w:pStyle w:val="ListParagraph"/>
        <w:numPr>
          <w:ilvl w:val="0"/>
          <w:numId w:val="0"/>
        </w:numPr>
        <w:ind w:left="720"/>
        <w:rPr>
          <w:rStyle w:val="normaltextrun"/>
          <w:color w:val="000000" w:themeColor="text1"/>
          <w:lang w:val="es-ES"/>
        </w:rPr>
      </w:pPr>
    </w:p>
    <w:p w14:paraId="39B91B84" w14:textId="77777777" w:rsidR="002176CA" w:rsidRPr="00BD6C53" w:rsidRDefault="002F195C" w:rsidP="001A4728">
      <w:pPr>
        <w:numPr>
          <w:ilvl w:val="0"/>
          <w:numId w:val="60"/>
        </w:numPr>
        <w:pBdr>
          <w:top w:val="none" w:sz="0" w:space="0" w:color="auto"/>
          <w:left w:val="none" w:sz="0" w:space="0" w:color="auto"/>
          <w:bottom w:val="none" w:sz="0" w:space="0" w:color="auto"/>
          <w:right w:val="none" w:sz="0" w:space="0" w:color="auto"/>
          <w:between w:val="none" w:sz="0" w:space="0" w:color="auto"/>
          <w:bar w:val="none" w:sz="0" w:color="000000"/>
        </w:pBdr>
        <w:tabs>
          <w:tab w:val="left" w:pos="360"/>
        </w:tabs>
        <w:spacing w:line="259" w:lineRule="auto"/>
        <w:ind w:left="0" w:firstLine="0"/>
        <w:jc w:val="both"/>
        <w:rPr>
          <w:rFonts w:ascii="Cambria" w:hAnsi="Cambria"/>
          <w:sz w:val="20"/>
          <w:szCs w:val="20"/>
          <w:lang w:val="es-ES"/>
        </w:rPr>
      </w:pPr>
      <w:r w:rsidRPr="749ACC70">
        <w:rPr>
          <w:rStyle w:val="normaltextrun"/>
          <w:rFonts w:ascii="Cambria" w:hAnsi="Cambria"/>
          <w:sz w:val="20"/>
          <w:szCs w:val="20"/>
          <w:lang w:val="es-ES"/>
        </w:rPr>
        <w:t xml:space="preserve">En </w:t>
      </w:r>
      <w:r w:rsidR="00E97FD1" w:rsidRPr="749ACC70">
        <w:rPr>
          <w:rStyle w:val="normaltextrun"/>
          <w:rFonts w:ascii="Cambria" w:hAnsi="Cambria"/>
          <w:sz w:val="20"/>
          <w:szCs w:val="20"/>
          <w:lang w:val="es-ES"/>
        </w:rPr>
        <w:t>tercer</w:t>
      </w:r>
      <w:r w:rsidRPr="749ACC70">
        <w:rPr>
          <w:rStyle w:val="normaltextrun"/>
          <w:rFonts w:ascii="Cambria" w:hAnsi="Cambria"/>
          <w:sz w:val="20"/>
          <w:szCs w:val="20"/>
          <w:lang w:val="es-ES"/>
        </w:rPr>
        <w:t xml:space="preserve"> lugar, </w:t>
      </w:r>
      <w:r w:rsidR="00242EA8" w:rsidRPr="749ACC70">
        <w:rPr>
          <w:rStyle w:val="normaltextrun"/>
          <w:rFonts w:ascii="Cambria" w:hAnsi="Cambria"/>
          <w:color w:val="000000" w:themeColor="text1"/>
          <w:sz w:val="20"/>
          <w:szCs w:val="20"/>
          <w:lang w:val="es-ES"/>
        </w:rPr>
        <w:t>l</w:t>
      </w:r>
      <w:r w:rsidR="059E7836" w:rsidRPr="749ACC70">
        <w:rPr>
          <w:rFonts w:ascii="Cambria" w:hAnsi="Cambria"/>
          <w:sz w:val="20"/>
          <w:szCs w:val="20"/>
          <w:lang w:val="es-ES"/>
        </w:rPr>
        <w:t xml:space="preserve">a Comisión observa que </w:t>
      </w:r>
      <w:r w:rsidR="00242EA8" w:rsidRPr="749ACC70">
        <w:rPr>
          <w:rFonts w:ascii="Cambria" w:hAnsi="Cambria"/>
          <w:sz w:val="20"/>
          <w:szCs w:val="20"/>
          <w:lang w:val="es-ES"/>
        </w:rPr>
        <w:t xml:space="preserve">el 25 de octubre de 2018 </w:t>
      </w:r>
      <w:r w:rsidR="059E7836" w:rsidRPr="749ACC70">
        <w:rPr>
          <w:rFonts w:ascii="Cambria" w:hAnsi="Cambria"/>
          <w:sz w:val="20"/>
          <w:szCs w:val="20"/>
          <w:lang w:val="es-ES"/>
        </w:rPr>
        <w:t xml:space="preserve">la parte peticionaria tuvo que contratar </w:t>
      </w:r>
      <w:r w:rsidR="0009297F" w:rsidRPr="749ACC70">
        <w:rPr>
          <w:rFonts w:ascii="Cambria" w:hAnsi="Cambria"/>
          <w:sz w:val="20"/>
          <w:szCs w:val="20"/>
          <w:lang w:val="es-ES"/>
        </w:rPr>
        <w:t xml:space="preserve">a </w:t>
      </w:r>
      <w:r w:rsidR="059E7836" w:rsidRPr="749ACC70">
        <w:rPr>
          <w:rFonts w:ascii="Cambria" w:hAnsi="Cambria"/>
          <w:sz w:val="20"/>
          <w:szCs w:val="20"/>
          <w:lang w:val="es-ES"/>
        </w:rPr>
        <w:t>una abogada de la Organización Nacional de Bufetes Colectivos</w:t>
      </w:r>
      <w:r w:rsidR="00242EA8" w:rsidRPr="749ACC70">
        <w:rPr>
          <w:rFonts w:ascii="Cambria" w:hAnsi="Cambria"/>
          <w:sz w:val="20"/>
          <w:szCs w:val="20"/>
          <w:lang w:val="es-ES"/>
        </w:rPr>
        <w:t xml:space="preserve"> (</w:t>
      </w:r>
      <w:r w:rsidR="00242EA8" w:rsidRPr="749ACC70">
        <w:rPr>
          <w:rFonts w:ascii="Cambria" w:hAnsi="Cambria"/>
          <w:i/>
          <w:iCs/>
          <w:sz w:val="20"/>
          <w:szCs w:val="20"/>
          <w:lang w:val="es-ES"/>
        </w:rPr>
        <w:t>supra</w:t>
      </w:r>
      <w:r w:rsidR="00242EA8" w:rsidRPr="749ACC70">
        <w:rPr>
          <w:rFonts w:ascii="Cambria" w:hAnsi="Cambria"/>
          <w:sz w:val="20"/>
          <w:szCs w:val="20"/>
          <w:lang w:val="es-ES"/>
        </w:rPr>
        <w:t xml:space="preserve"> párr. 29)</w:t>
      </w:r>
      <w:r w:rsidR="5F4D38E6" w:rsidRPr="749ACC70">
        <w:rPr>
          <w:rFonts w:ascii="Cambria" w:hAnsi="Cambria"/>
          <w:sz w:val="20"/>
          <w:szCs w:val="20"/>
          <w:lang w:val="es-ES"/>
        </w:rPr>
        <w:t xml:space="preserve">. </w:t>
      </w:r>
      <w:r w:rsidR="00242EA8" w:rsidRPr="749ACC70">
        <w:rPr>
          <w:rFonts w:ascii="Cambria" w:hAnsi="Cambria"/>
          <w:sz w:val="20"/>
          <w:szCs w:val="20"/>
          <w:lang w:val="es-ES"/>
        </w:rPr>
        <w:t xml:space="preserve">Al respecto, no consta documentación que </w:t>
      </w:r>
      <w:r w:rsidR="004502CA" w:rsidRPr="749ACC70">
        <w:rPr>
          <w:rFonts w:ascii="Cambria" w:hAnsi="Cambria"/>
          <w:sz w:val="20"/>
          <w:szCs w:val="20"/>
          <w:lang w:val="es-ES"/>
        </w:rPr>
        <w:t xml:space="preserve">acredite que la defensa legal del señor Castillo Pérez tuvo la posibilidad de participar </w:t>
      </w:r>
      <w:r w:rsidR="004502CA" w:rsidRPr="749ACC70">
        <w:rPr>
          <w:rFonts w:ascii="Cambria" w:hAnsi="Cambria"/>
          <w:sz w:val="20"/>
          <w:szCs w:val="20"/>
          <w:lang w:val="es-ES"/>
        </w:rPr>
        <w:lastRenderedPageBreak/>
        <w:t xml:space="preserve">efectivamente en el proceso, tanto en la </w:t>
      </w:r>
      <w:r w:rsidR="1421925A" w:rsidRPr="749ACC70">
        <w:rPr>
          <w:rFonts w:ascii="Cambria" w:hAnsi="Cambria"/>
          <w:sz w:val="20"/>
          <w:szCs w:val="20"/>
          <w:lang w:val="es-ES"/>
        </w:rPr>
        <w:t>tramitación del recurso de apelación ante el Tribunal Supremo Popular</w:t>
      </w:r>
      <w:r w:rsidR="66C176F2" w:rsidRPr="749ACC70">
        <w:rPr>
          <w:rFonts w:ascii="Cambria" w:hAnsi="Cambria"/>
          <w:sz w:val="20"/>
          <w:szCs w:val="20"/>
          <w:lang w:val="es-ES"/>
        </w:rPr>
        <w:t xml:space="preserve">, </w:t>
      </w:r>
      <w:r w:rsidR="004502CA" w:rsidRPr="749ACC70">
        <w:rPr>
          <w:rFonts w:ascii="Cambria" w:hAnsi="Cambria"/>
          <w:sz w:val="20"/>
          <w:szCs w:val="20"/>
          <w:lang w:val="es-ES"/>
        </w:rPr>
        <w:t>así como en el</w:t>
      </w:r>
      <w:r w:rsidR="416E4534" w:rsidRPr="749ACC70">
        <w:rPr>
          <w:rFonts w:ascii="Cambria" w:hAnsi="Cambria"/>
          <w:sz w:val="20"/>
          <w:szCs w:val="20"/>
          <w:lang w:val="es-ES"/>
        </w:rPr>
        <w:t xml:space="preserve"> </w:t>
      </w:r>
      <w:r w:rsidR="004502CA" w:rsidRPr="749ACC70">
        <w:rPr>
          <w:rFonts w:ascii="Cambria" w:hAnsi="Cambria"/>
          <w:sz w:val="20"/>
          <w:szCs w:val="20"/>
          <w:lang w:val="es-ES"/>
        </w:rPr>
        <w:t>j</w:t>
      </w:r>
      <w:r w:rsidR="416E4534" w:rsidRPr="749ACC70">
        <w:rPr>
          <w:rFonts w:ascii="Cambria" w:hAnsi="Cambria"/>
          <w:sz w:val="20"/>
          <w:szCs w:val="20"/>
          <w:lang w:val="es-ES"/>
        </w:rPr>
        <w:t xml:space="preserve">uicio </w:t>
      </w:r>
      <w:r w:rsidR="004502CA" w:rsidRPr="749ACC70">
        <w:rPr>
          <w:rFonts w:ascii="Cambria" w:hAnsi="Cambria"/>
          <w:sz w:val="20"/>
          <w:szCs w:val="20"/>
          <w:lang w:val="es-ES"/>
        </w:rPr>
        <w:t>o</w:t>
      </w:r>
      <w:r w:rsidR="416E4534" w:rsidRPr="749ACC70">
        <w:rPr>
          <w:rFonts w:ascii="Cambria" w:hAnsi="Cambria"/>
          <w:sz w:val="20"/>
          <w:szCs w:val="20"/>
          <w:lang w:val="es-ES"/>
        </w:rPr>
        <w:t>ral</w:t>
      </w:r>
      <w:r w:rsidR="004502CA" w:rsidRPr="749ACC70">
        <w:rPr>
          <w:rFonts w:ascii="Cambria" w:hAnsi="Cambria"/>
          <w:sz w:val="20"/>
          <w:szCs w:val="20"/>
          <w:lang w:val="es-ES"/>
        </w:rPr>
        <w:t>. La Comisión remarca que según la parte peticionaria, las conclusiones</w:t>
      </w:r>
      <w:r w:rsidR="416E4534" w:rsidRPr="749ACC70">
        <w:rPr>
          <w:rFonts w:ascii="Cambria" w:hAnsi="Cambria"/>
          <w:sz w:val="20"/>
          <w:szCs w:val="20"/>
          <w:lang w:val="es-ES"/>
        </w:rPr>
        <w:t xml:space="preserve"> </w:t>
      </w:r>
      <w:r w:rsidR="004502CA" w:rsidRPr="749ACC70">
        <w:rPr>
          <w:rFonts w:ascii="Cambria" w:hAnsi="Cambria"/>
          <w:sz w:val="20"/>
          <w:szCs w:val="20"/>
          <w:lang w:val="es-ES"/>
        </w:rPr>
        <w:t xml:space="preserve">del juicio oral </w:t>
      </w:r>
      <w:r w:rsidR="416E4534" w:rsidRPr="749ACC70">
        <w:rPr>
          <w:rFonts w:ascii="Cambria" w:hAnsi="Cambria"/>
          <w:sz w:val="20"/>
          <w:szCs w:val="20"/>
          <w:lang w:val="es-ES"/>
        </w:rPr>
        <w:t>se presentaron direct</w:t>
      </w:r>
      <w:r w:rsidR="004502CA" w:rsidRPr="749ACC70">
        <w:rPr>
          <w:rFonts w:ascii="Cambria" w:hAnsi="Cambria"/>
          <w:sz w:val="20"/>
          <w:szCs w:val="20"/>
          <w:lang w:val="es-ES"/>
        </w:rPr>
        <w:t>amente</w:t>
      </w:r>
      <w:r w:rsidR="416E4534" w:rsidRPr="749ACC70">
        <w:rPr>
          <w:rFonts w:ascii="Cambria" w:hAnsi="Cambria"/>
          <w:sz w:val="20"/>
          <w:szCs w:val="20"/>
          <w:lang w:val="es-ES"/>
        </w:rPr>
        <w:t xml:space="preserve"> al señor Castillo Pérez </w:t>
      </w:r>
      <w:r w:rsidR="004502CA" w:rsidRPr="749ACC70">
        <w:rPr>
          <w:rFonts w:ascii="Cambria" w:hAnsi="Cambria"/>
          <w:sz w:val="20"/>
          <w:szCs w:val="20"/>
          <w:lang w:val="es-ES"/>
        </w:rPr>
        <w:t>y no a su defensa legal</w:t>
      </w:r>
      <w:r w:rsidR="416E4534" w:rsidRPr="749ACC70">
        <w:rPr>
          <w:rFonts w:ascii="Cambria" w:hAnsi="Cambria"/>
          <w:sz w:val="20"/>
          <w:szCs w:val="20"/>
          <w:lang w:val="es-ES"/>
        </w:rPr>
        <w:t xml:space="preserve">. </w:t>
      </w:r>
      <w:r w:rsidR="004502CA" w:rsidRPr="749ACC70">
        <w:rPr>
          <w:rFonts w:ascii="Cambria" w:hAnsi="Cambria"/>
          <w:sz w:val="20"/>
          <w:szCs w:val="20"/>
          <w:lang w:val="es-ES"/>
        </w:rPr>
        <w:t>Es así que l</w:t>
      </w:r>
      <w:r w:rsidR="416E4534" w:rsidRPr="749ACC70">
        <w:rPr>
          <w:rFonts w:ascii="Cambria" w:hAnsi="Cambria"/>
          <w:sz w:val="20"/>
          <w:szCs w:val="20"/>
          <w:lang w:val="es-ES"/>
        </w:rPr>
        <w:t xml:space="preserve">a CIDH </w:t>
      </w:r>
      <w:r w:rsidR="004502CA" w:rsidRPr="749ACC70">
        <w:rPr>
          <w:rFonts w:ascii="Cambria" w:hAnsi="Cambria"/>
          <w:sz w:val="20"/>
          <w:szCs w:val="20"/>
          <w:lang w:val="es-ES"/>
        </w:rPr>
        <w:t>considera</w:t>
      </w:r>
      <w:r w:rsidR="416E4534" w:rsidRPr="749ACC70">
        <w:rPr>
          <w:rFonts w:ascii="Cambria" w:hAnsi="Cambria"/>
          <w:sz w:val="20"/>
          <w:szCs w:val="20"/>
          <w:lang w:val="es-ES"/>
        </w:rPr>
        <w:t xml:space="preserve"> que no se pudieron realizar </w:t>
      </w:r>
      <w:r w:rsidR="004502CA" w:rsidRPr="749ACC70">
        <w:rPr>
          <w:rFonts w:ascii="Cambria" w:hAnsi="Cambria"/>
          <w:sz w:val="20"/>
          <w:szCs w:val="20"/>
          <w:lang w:val="es-ES"/>
        </w:rPr>
        <w:t xml:space="preserve">las </w:t>
      </w:r>
      <w:r w:rsidR="416E4534" w:rsidRPr="749ACC70">
        <w:rPr>
          <w:rFonts w:ascii="Cambria" w:hAnsi="Cambria"/>
          <w:sz w:val="20"/>
          <w:szCs w:val="20"/>
          <w:lang w:val="es-ES"/>
        </w:rPr>
        <w:t>diligencias</w:t>
      </w:r>
      <w:r w:rsidR="004502CA" w:rsidRPr="749ACC70">
        <w:rPr>
          <w:rFonts w:ascii="Cambria" w:hAnsi="Cambria"/>
          <w:sz w:val="20"/>
          <w:szCs w:val="20"/>
          <w:lang w:val="es-ES"/>
        </w:rPr>
        <w:t xml:space="preserve"> correspondientes de descargos y de ejercicio del derecho de defensa</w:t>
      </w:r>
      <w:r w:rsidR="6A20CD65" w:rsidRPr="749ACC70">
        <w:rPr>
          <w:rFonts w:ascii="Cambria" w:hAnsi="Cambria"/>
          <w:sz w:val="20"/>
          <w:szCs w:val="20"/>
          <w:lang w:val="es-ES"/>
        </w:rPr>
        <w:t xml:space="preserve">. </w:t>
      </w:r>
    </w:p>
    <w:p w14:paraId="0D615C1E" w14:textId="77777777" w:rsidR="002176CA" w:rsidRPr="00E9543F" w:rsidRDefault="002176CA" w:rsidP="00963AB8">
      <w:pPr>
        <w:pStyle w:val="ListParagraph"/>
        <w:numPr>
          <w:ilvl w:val="0"/>
          <w:numId w:val="0"/>
        </w:numPr>
        <w:ind w:left="720"/>
      </w:pPr>
    </w:p>
    <w:p w14:paraId="35A59D16" w14:textId="5DF74B77" w:rsidR="00D82171" w:rsidRPr="00BD6C53" w:rsidRDefault="00E97FD1" w:rsidP="001A4728">
      <w:pPr>
        <w:numPr>
          <w:ilvl w:val="0"/>
          <w:numId w:val="60"/>
        </w:numPr>
        <w:pBdr>
          <w:top w:val="none" w:sz="0" w:space="0" w:color="auto"/>
          <w:left w:val="none" w:sz="0" w:space="0" w:color="auto"/>
          <w:bottom w:val="none" w:sz="0" w:space="0" w:color="auto"/>
          <w:right w:val="none" w:sz="0" w:space="0" w:color="auto"/>
          <w:between w:val="none" w:sz="0" w:space="0" w:color="auto"/>
          <w:bar w:val="none" w:sz="0" w:color="000000"/>
        </w:pBdr>
        <w:tabs>
          <w:tab w:val="left" w:pos="360"/>
        </w:tabs>
        <w:spacing w:line="259" w:lineRule="auto"/>
        <w:ind w:left="0" w:firstLine="0"/>
        <w:jc w:val="both"/>
        <w:rPr>
          <w:rFonts w:ascii="Cambria" w:hAnsi="Cambria"/>
          <w:sz w:val="20"/>
          <w:szCs w:val="20"/>
          <w:lang w:val="es-ES"/>
        </w:rPr>
      </w:pPr>
      <w:r w:rsidRPr="00BD6C53">
        <w:rPr>
          <w:rFonts w:ascii="Cambria" w:hAnsi="Cambria"/>
          <w:sz w:val="20"/>
          <w:szCs w:val="20"/>
          <w:lang w:val="es-ES"/>
        </w:rPr>
        <w:t>L</w:t>
      </w:r>
      <w:r w:rsidR="08786425" w:rsidRPr="00BD6C53">
        <w:rPr>
          <w:rFonts w:ascii="Cambria" w:hAnsi="Cambria"/>
          <w:sz w:val="20"/>
          <w:szCs w:val="20"/>
          <w:lang w:val="es-ES"/>
        </w:rPr>
        <w:t>a Comisión</w:t>
      </w:r>
      <w:r w:rsidR="10918FD4" w:rsidRPr="00BD6C53">
        <w:rPr>
          <w:rFonts w:ascii="Cambria" w:hAnsi="Cambria"/>
          <w:sz w:val="20"/>
          <w:szCs w:val="20"/>
          <w:lang w:val="es-ES"/>
        </w:rPr>
        <w:t xml:space="preserve"> considera que las falencias, irregularidades y omisiones previamente señaladas se enmarcan en el contexto ya referido sobre criminalización de personas defensoras de derechos humanos en Cuba</w:t>
      </w:r>
      <w:r w:rsidR="6FCC116D" w:rsidRPr="00BD6C53">
        <w:rPr>
          <w:rFonts w:ascii="Cambria" w:hAnsi="Cambria"/>
          <w:sz w:val="20"/>
          <w:szCs w:val="20"/>
          <w:lang w:val="es-ES"/>
        </w:rPr>
        <w:t xml:space="preserve"> (</w:t>
      </w:r>
      <w:r w:rsidR="6FCC116D" w:rsidRPr="749ACC70">
        <w:rPr>
          <w:rStyle w:val="normaltextrun"/>
          <w:rFonts w:ascii="Cambria" w:hAnsi="Cambria"/>
          <w:i/>
          <w:iCs/>
          <w:color w:val="000000" w:themeColor="text1"/>
          <w:sz w:val="20"/>
          <w:szCs w:val="20"/>
          <w:lang w:val="es-ES"/>
        </w:rPr>
        <w:t>supra</w:t>
      </w:r>
      <w:r w:rsidR="6FCC116D" w:rsidRPr="00BD6C53">
        <w:rPr>
          <w:rStyle w:val="normaltextrun"/>
          <w:rFonts w:ascii="Cambria" w:hAnsi="Cambria"/>
          <w:color w:val="000000" w:themeColor="text1"/>
          <w:sz w:val="20"/>
          <w:szCs w:val="20"/>
          <w:lang w:val="es-ES"/>
        </w:rPr>
        <w:t xml:space="preserve"> párrs. 15-18)</w:t>
      </w:r>
      <w:r w:rsidR="10918FD4" w:rsidRPr="00BD6C53">
        <w:rPr>
          <w:rFonts w:ascii="Cambria" w:hAnsi="Cambria"/>
          <w:sz w:val="20"/>
          <w:szCs w:val="20"/>
          <w:lang w:val="es-ES"/>
        </w:rPr>
        <w:t xml:space="preserve">. </w:t>
      </w:r>
      <w:r w:rsidRPr="00BD6C53">
        <w:rPr>
          <w:rFonts w:ascii="Cambria" w:hAnsi="Cambria"/>
          <w:sz w:val="20"/>
          <w:szCs w:val="20"/>
          <w:lang w:val="es-ES"/>
        </w:rPr>
        <w:t xml:space="preserve">En particular, </w:t>
      </w:r>
      <w:r w:rsidR="002176CA" w:rsidRPr="00BD6C53">
        <w:rPr>
          <w:rFonts w:ascii="Cambria" w:hAnsi="Cambria"/>
          <w:sz w:val="20"/>
          <w:szCs w:val="20"/>
          <w:lang w:val="es-ES"/>
        </w:rPr>
        <w:t>la CIDH</w:t>
      </w:r>
      <w:r w:rsidR="00D82171" w:rsidRPr="00BD6C53">
        <w:rPr>
          <w:rFonts w:ascii="Cambria" w:hAnsi="Cambria"/>
          <w:sz w:val="20"/>
          <w:szCs w:val="20"/>
          <w:lang w:val="es-ES"/>
        </w:rPr>
        <w:t xml:space="preserve"> remarca que ha recibido múltiple información sobre </w:t>
      </w:r>
      <w:r w:rsidRPr="00BD6C53">
        <w:rPr>
          <w:rFonts w:ascii="Cambria" w:hAnsi="Cambria"/>
          <w:sz w:val="20"/>
          <w:szCs w:val="20"/>
          <w:lang w:val="es-ES"/>
        </w:rPr>
        <w:t>procesos de criminalización y uso indebido del derecho penal en contra personas defensoras de derechos humanos</w:t>
      </w:r>
      <w:r w:rsidR="00D82171" w:rsidRPr="00BD6C53">
        <w:rPr>
          <w:rFonts w:ascii="Cambria" w:hAnsi="Cambria"/>
          <w:sz w:val="20"/>
          <w:szCs w:val="20"/>
          <w:lang w:val="es-ES"/>
        </w:rPr>
        <w:t xml:space="preserve"> en Cuba</w:t>
      </w:r>
      <w:r w:rsidRPr="00BD6C53">
        <w:rPr>
          <w:rFonts w:ascii="Cambria" w:hAnsi="Cambria"/>
          <w:sz w:val="20"/>
          <w:szCs w:val="20"/>
          <w:lang w:val="es-ES"/>
        </w:rPr>
        <w:t xml:space="preserve">, por medio de </w:t>
      </w:r>
      <w:r w:rsidR="64DE3FC9" w:rsidRPr="00BD6C53">
        <w:rPr>
          <w:rFonts w:ascii="Cambria" w:hAnsi="Cambria"/>
          <w:sz w:val="20"/>
          <w:szCs w:val="20"/>
          <w:lang w:val="es-ES"/>
        </w:rPr>
        <w:t>las acusaciones</w:t>
      </w:r>
      <w:r w:rsidRPr="00BD6C53">
        <w:rPr>
          <w:rFonts w:ascii="Cambria" w:hAnsi="Cambria"/>
          <w:sz w:val="20"/>
          <w:szCs w:val="20"/>
          <w:lang w:val="es-ES"/>
        </w:rPr>
        <w:t xml:space="preserve"> de delitos tales como </w:t>
      </w:r>
      <w:r w:rsidR="00D82171" w:rsidRPr="00BD6C53">
        <w:rPr>
          <w:rFonts w:ascii="Cambria" w:hAnsi="Cambria"/>
          <w:sz w:val="20"/>
          <w:szCs w:val="20"/>
          <w:lang w:val="es-ES"/>
        </w:rPr>
        <w:t xml:space="preserve">el tipo penal de </w:t>
      </w:r>
      <w:r w:rsidRPr="00BD6C53">
        <w:rPr>
          <w:rFonts w:ascii="Cambria" w:hAnsi="Cambria"/>
          <w:sz w:val="20"/>
          <w:szCs w:val="20"/>
          <w:lang w:val="es-ES"/>
        </w:rPr>
        <w:t>atentado</w:t>
      </w:r>
      <w:r w:rsidR="00D82171" w:rsidRPr="00BD6C53">
        <w:rPr>
          <w:rStyle w:val="FootnoteReference"/>
          <w:rFonts w:ascii="Cambria" w:hAnsi="Cambria"/>
          <w:sz w:val="20"/>
          <w:szCs w:val="20"/>
          <w:lang w:val="es-ES"/>
        </w:rPr>
        <w:footnoteReference w:id="102"/>
      </w:r>
      <w:r w:rsidR="000911CE" w:rsidRPr="00BD6C53">
        <w:rPr>
          <w:rFonts w:ascii="Cambria" w:hAnsi="Cambria"/>
          <w:sz w:val="20"/>
          <w:szCs w:val="20"/>
          <w:lang w:val="es-ES"/>
        </w:rPr>
        <w:t xml:space="preserve">. Precisamente dicha situación es la que ocurrió en el presente caso. Ello en tanto el señor Castillo Pérez es un defensor de derechos humanos con mucha visibilidad pública, el cual fue sujeto a una multa y posteriormente se revocó la misma para iniciarle un proceso penal por el delito de atentado. </w:t>
      </w:r>
    </w:p>
    <w:p w14:paraId="2D881D13" w14:textId="77777777" w:rsidR="00D82171" w:rsidRPr="00E9543F" w:rsidRDefault="00D82171" w:rsidP="00963AB8">
      <w:pPr>
        <w:pStyle w:val="ListParagraph"/>
        <w:numPr>
          <w:ilvl w:val="0"/>
          <w:numId w:val="0"/>
        </w:numPr>
        <w:ind w:left="720"/>
      </w:pPr>
    </w:p>
    <w:p w14:paraId="0B060432" w14:textId="77777777" w:rsidR="00010F1C" w:rsidRPr="00E9543F" w:rsidRDefault="13ECD5C3" w:rsidP="001A4728">
      <w:pPr>
        <w:numPr>
          <w:ilvl w:val="0"/>
          <w:numId w:val="60"/>
        </w:numPr>
        <w:pBdr>
          <w:top w:val="none" w:sz="0" w:space="0" w:color="auto"/>
          <w:left w:val="none" w:sz="0" w:space="0" w:color="auto"/>
          <w:bottom w:val="none" w:sz="0" w:space="0" w:color="auto"/>
          <w:right w:val="none" w:sz="0" w:space="0" w:color="auto"/>
          <w:between w:val="none" w:sz="0" w:space="0" w:color="auto"/>
          <w:bar w:val="none" w:sz="0" w:color="000000"/>
        </w:pBdr>
        <w:tabs>
          <w:tab w:val="left" w:pos="360"/>
        </w:tabs>
        <w:spacing w:line="259" w:lineRule="auto"/>
        <w:ind w:left="0" w:firstLine="0"/>
        <w:jc w:val="both"/>
        <w:rPr>
          <w:rFonts w:ascii="Cambria" w:hAnsi="Cambria"/>
          <w:sz w:val="20"/>
          <w:szCs w:val="20"/>
          <w:lang w:val="es-ES"/>
        </w:rPr>
      </w:pPr>
      <w:r w:rsidRPr="749ACC70">
        <w:rPr>
          <w:rFonts w:ascii="Cambria" w:hAnsi="Cambria"/>
          <w:sz w:val="20"/>
          <w:szCs w:val="20"/>
          <w:lang w:val="es-ES"/>
        </w:rPr>
        <w:t>En vista de lo expuesto, la Comisión concluye que Maykel Castillo Pérez resultó vulnerado en sus derechos a la justicia y a un proceso regular en el marco del proceso penal que se le siguió. En consecuencia, la CIDH concluye que el Estado es responsable de la violación de los derechos establecidos en los artículos XVIII y XXVI de la Declaración Americana.</w:t>
      </w:r>
      <w:r w:rsidR="00010F1C" w:rsidRPr="749ACC70">
        <w:rPr>
          <w:lang w:val="es-ES"/>
        </w:rPr>
        <w:t xml:space="preserve"> </w:t>
      </w:r>
    </w:p>
    <w:p w14:paraId="7FA51FFB" w14:textId="77777777" w:rsidR="00E13487" w:rsidRPr="00E9543F" w:rsidRDefault="00E13487"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eastAsia="Calibri" w:hAnsi="Cambria"/>
          <w:color w:val="000000"/>
          <w:sz w:val="20"/>
          <w:szCs w:val="20"/>
          <w:bdr w:val="none" w:sz="0" w:space="0" w:color="auto"/>
          <w:lang w:val="es-ES"/>
        </w:rPr>
      </w:pPr>
    </w:p>
    <w:p w14:paraId="62A28889" w14:textId="27D7BCEB" w:rsidR="005B77ED" w:rsidRPr="00E9543F" w:rsidRDefault="005B77ED" w:rsidP="00CA1314">
      <w:pPr>
        <w:pStyle w:val="Heading2"/>
      </w:pPr>
      <w:bookmarkStart w:id="32" w:name="_Toc216356089"/>
      <w:r w:rsidRPr="004B1C8A">
        <w:rPr>
          <w:rFonts w:eastAsia="SimSun"/>
        </w:rPr>
        <w:t>Derech</w:t>
      </w:r>
      <w:r w:rsidR="00C91638" w:rsidRPr="004B1C8A">
        <w:rPr>
          <w:rFonts w:eastAsia="SimSun"/>
        </w:rPr>
        <w:t>o</w:t>
      </w:r>
      <w:r w:rsidR="00195604" w:rsidRPr="004B1C8A">
        <w:rPr>
          <w:rFonts w:eastAsia="SimSun"/>
        </w:rPr>
        <w:t xml:space="preserve"> a la </w:t>
      </w:r>
      <w:r w:rsidRPr="004B1C8A">
        <w:rPr>
          <w:rFonts w:eastAsia="SimSun"/>
        </w:rPr>
        <w:t xml:space="preserve">libertad de </w:t>
      </w:r>
      <w:r w:rsidRPr="00E9543F">
        <w:t>investigación</w:t>
      </w:r>
      <w:r w:rsidRPr="004B1C8A">
        <w:rPr>
          <w:rFonts w:eastAsia="SimSun"/>
        </w:rPr>
        <w:t xml:space="preserve">, opinión, expresión y difusión; derecho </w:t>
      </w:r>
      <w:r w:rsidR="00195604" w:rsidRPr="004B1C8A">
        <w:rPr>
          <w:rFonts w:eastAsia="SimSun"/>
        </w:rPr>
        <w:t>a participar en la vida cultural de la comunidad</w:t>
      </w:r>
      <w:r w:rsidRPr="004B1C8A">
        <w:rPr>
          <w:rFonts w:eastAsia="SimSun"/>
        </w:rPr>
        <w:t>; y derecho de asociación (artículos IV</w:t>
      </w:r>
      <w:r w:rsidR="00C10196" w:rsidRPr="00E9543F">
        <w:rPr>
          <w:rStyle w:val="FootnoteReference"/>
          <w:rFonts w:eastAsia="SimSun"/>
        </w:rPr>
        <w:footnoteReference w:id="103"/>
      </w:r>
      <w:r w:rsidRPr="004B1C8A">
        <w:rPr>
          <w:rFonts w:eastAsia="SimSun"/>
        </w:rPr>
        <w:t xml:space="preserve">, </w:t>
      </w:r>
      <w:r w:rsidR="00C10196" w:rsidRPr="004B1C8A">
        <w:rPr>
          <w:rFonts w:eastAsia="SimSun"/>
        </w:rPr>
        <w:t>XIII</w:t>
      </w:r>
      <w:r w:rsidR="00C10196" w:rsidRPr="00E9543F">
        <w:rPr>
          <w:rStyle w:val="FootnoteReference"/>
          <w:rFonts w:eastAsia="SimSun"/>
        </w:rPr>
        <w:footnoteReference w:id="104"/>
      </w:r>
      <w:r w:rsidRPr="004B1C8A">
        <w:rPr>
          <w:rFonts w:eastAsia="SimSun"/>
        </w:rPr>
        <w:t xml:space="preserve"> y XXII</w:t>
      </w:r>
      <w:r w:rsidR="00C10196" w:rsidRPr="00E9543F">
        <w:rPr>
          <w:rStyle w:val="FootnoteReference"/>
          <w:rFonts w:eastAsia="SimSun"/>
        </w:rPr>
        <w:footnoteReference w:id="105"/>
      </w:r>
      <w:r w:rsidRPr="004B1C8A">
        <w:rPr>
          <w:rFonts w:eastAsia="SimSun"/>
        </w:rPr>
        <w:t xml:space="preserve"> de la Declaración Americana)</w:t>
      </w:r>
      <w:bookmarkEnd w:id="32"/>
      <w:r w:rsidRPr="00E9543F">
        <w:t xml:space="preserve"> </w:t>
      </w:r>
    </w:p>
    <w:p w14:paraId="23763B18" w14:textId="77777777" w:rsidR="00195604" w:rsidRPr="00E9543F" w:rsidRDefault="00195604" w:rsidP="749ACC70">
      <w:pPr>
        <w:pStyle w:val="paragraph"/>
        <w:spacing w:before="0" w:beforeAutospacing="0" w:after="0" w:afterAutospacing="0"/>
        <w:textAlignment w:val="baseline"/>
        <w:rPr>
          <w:rStyle w:val="eop"/>
          <w:sz w:val="16"/>
          <w:szCs w:val="16"/>
          <w:lang w:val="es-ES"/>
        </w:rPr>
      </w:pPr>
    </w:p>
    <w:p w14:paraId="50E86524" w14:textId="75FC8495" w:rsidR="00C10196" w:rsidRPr="00CA1314" w:rsidRDefault="00C10196" w:rsidP="001A4728">
      <w:pPr>
        <w:pStyle w:val="Heading3"/>
        <w:numPr>
          <w:ilvl w:val="0"/>
          <w:numId w:val="67"/>
        </w:numPr>
        <w:tabs>
          <w:tab w:val="left" w:pos="360"/>
        </w:tabs>
        <w:rPr>
          <w:lang w:val="es-ES"/>
        </w:rPr>
      </w:pPr>
      <w:r w:rsidRPr="00CA1314">
        <w:rPr>
          <w:lang w:val="es-ES"/>
        </w:rPr>
        <w:t>Consideraciones generales</w:t>
      </w:r>
    </w:p>
    <w:p w14:paraId="59718CC7" w14:textId="77777777" w:rsidR="00E30625" w:rsidRPr="00E9543F" w:rsidRDefault="00E30625" w:rsidP="00B97006">
      <w:pPr>
        <w:pStyle w:val="parrafos"/>
        <w:numPr>
          <w:ilvl w:val="0"/>
          <w:numId w:val="0"/>
        </w:numPr>
        <w:tabs>
          <w:tab w:val="clear" w:pos="360"/>
        </w:tabs>
        <w:rPr>
          <w:rFonts w:ascii="Cambria" w:hAnsi="Cambria"/>
          <w:lang w:val="es-ES"/>
        </w:rPr>
      </w:pPr>
    </w:p>
    <w:p w14:paraId="74328D86" w14:textId="7309DC1B" w:rsidR="00E30625" w:rsidRPr="00BD6C53" w:rsidRDefault="00E30625" w:rsidP="001A4728">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lang w:val="es-ES"/>
        </w:rPr>
      </w:pPr>
      <w:r w:rsidRPr="749ACC70">
        <w:rPr>
          <w:rFonts w:ascii="Cambria" w:hAnsi="Cambria"/>
          <w:sz w:val="20"/>
          <w:szCs w:val="20"/>
          <w:lang w:val="es-ES"/>
        </w:rPr>
        <w:t xml:space="preserve">La Comisión resalta que el cumplimiento del deber de crear las condiciones necesarias para el efectivo goce y disfrute de los derechos establecidos en la Declaración Americana está intrínsecamente ligado a la protección y al reconocimiento de la importancia del papel que cumplen las personas defensoras de derechos humanos. Ello en tanto su labor es fundamental para el fortalecimiento de la democracia y el Estado de Derecho. </w:t>
      </w:r>
    </w:p>
    <w:p w14:paraId="526C48B6" w14:textId="77777777" w:rsidR="00E30625" w:rsidRPr="00E9543F" w:rsidRDefault="00E30625" w:rsidP="00963AB8">
      <w:pPr>
        <w:pStyle w:val="ListParagraph"/>
        <w:numPr>
          <w:ilvl w:val="0"/>
          <w:numId w:val="0"/>
        </w:numPr>
        <w:ind w:left="720"/>
      </w:pPr>
    </w:p>
    <w:p w14:paraId="1F2E51D9" w14:textId="0F2F300E" w:rsidR="00E30625" w:rsidRPr="00E9543F" w:rsidRDefault="585C17AA" w:rsidP="001A4728">
      <w:pPr>
        <w:numPr>
          <w:ilvl w:val="0"/>
          <w:numId w:val="60"/>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hAnsi="Cambria"/>
          <w:sz w:val="20"/>
          <w:szCs w:val="20"/>
          <w:lang w:val="es-ES"/>
        </w:rPr>
      </w:pPr>
      <w:r w:rsidRPr="00E9543F">
        <w:rPr>
          <w:rFonts w:ascii="Cambria" w:hAnsi="Cambria"/>
          <w:sz w:val="20"/>
          <w:szCs w:val="20"/>
          <w:lang w:val="es-ES"/>
        </w:rPr>
        <w:t>Las actividades de vigilancia, denuncia y educación que realizan las personas defensoras de derechos humanos contribuyen de manera esencial a la observancia de los derechos humanos, pues actúan como garantes contra la impunidad</w:t>
      </w:r>
      <w:r w:rsidR="00E30625" w:rsidRPr="00E9543F">
        <w:rPr>
          <w:rStyle w:val="FootnoteReference"/>
          <w:rFonts w:ascii="Cambria" w:hAnsi="Cambria"/>
          <w:sz w:val="20"/>
          <w:szCs w:val="20"/>
          <w:lang w:val="es-ES"/>
        </w:rPr>
        <w:footnoteReference w:id="106"/>
      </w:r>
      <w:r w:rsidRPr="00E9543F">
        <w:rPr>
          <w:rFonts w:ascii="Cambria" w:hAnsi="Cambria"/>
          <w:sz w:val="20"/>
          <w:szCs w:val="20"/>
          <w:lang w:val="es-ES"/>
        </w:rPr>
        <w:t>. Frente a lo indicado, los Estados tienen el deber de facilitar los medios necesarios para que estos realicen libremente sus actividades; protegerlos cuando son objeto de amenazas para evitar los atentados a su vida e integridad; abstenerse de imponer obstáculos que dificulten la realización de su labor, e investigar seria y eficazmente las violaciones cometidas en su contra, combatiendo la impunida</w:t>
      </w:r>
      <w:r w:rsidR="000911CE" w:rsidRPr="00E9543F">
        <w:rPr>
          <w:rFonts w:ascii="Cambria" w:hAnsi="Cambria"/>
          <w:sz w:val="20"/>
          <w:szCs w:val="20"/>
          <w:lang w:val="es-ES"/>
        </w:rPr>
        <w:t>d</w:t>
      </w:r>
      <w:r w:rsidR="000911CE" w:rsidRPr="00E9543F">
        <w:rPr>
          <w:rStyle w:val="FootnoteReference"/>
          <w:rFonts w:ascii="Cambria" w:hAnsi="Cambria"/>
          <w:sz w:val="20"/>
          <w:szCs w:val="20"/>
          <w:lang w:val="es-ES"/>
        </w:rPr>
        <w:footnoteReference w:id="107"/>
      </w:r>
      <w:r w:rsidR="000911CE" w:rsidRPr="00E9543F">
        <w:rPr>
          <w:rFonts w:ascii="Cambria" w:hAnsi="Cambria"/>
          <w:sz w:val="20"/>
          <w:szCs w:val="20"/>
          <w:lang w:val="es-ES"/>
        </w:rPr>
        <w:t>.</w:t>
      </w:r>
      <w:r w:rsidR="1499A6AE" w:rsidRPr="00E9543F">
        <w:rPr>
          <w:rFonts w:ascii="Cambria" w:eastAsia="Cambria" w:hAnsi="Cambria" w:cs="Cambria"/>
          <w:color w:val="000000" w:themeColor="text1"/>
          <w:sz w:val="16"/>
          <w:szCs w:val="16"/>
          <w:lang w:val="es-ES"/>
        </w:rPr>
        <w:t xml:space="preserve"> </w:t>
      </w:r>
    </w:p>
    <w:p w14:paraId="4F06C29B" w14:textId="77777777" w:rsidR="00E30625" w:rsidRPr="00963AB8" w:rsidRDefault="00E30625" w:rsidP="00B82A24">
      <w:pPr>
        <w:pStyle w:val="parrafos"/>
        <w:numPr>
          <w:ilvl w:val="0"/>
          <w:numId w:val="0"/>
        </w:numPr>
        <w:tabs>
          <w:tab w:val="clear" w:pos="360"/>
        </w:tabs>
        <w:rPr>
          <w:rFonts w:ascii="Cambria" w:hAnsi="Cambria"/>
          <w:color w:val="auto"/>
          <w:lang w:val="es-ES"/>
        </w:rPr>
      </w:pPr>
    </w:p>
    <w:p w14:paraId="26CBE409" w14:textId="395CCA05" w:rsidR="00E30625" w:rsidRPr="00501F60" w:rsidRDefault="585C17AA" w:rsidP="001A4728">
      <w:pPr>
        <w:numPr>
          <w:ilvl w:val="0"/>
          <w:numId w:val="60"/>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hAnsi="Cambria"/>
          <w:sz w:val="20"/>
          <w:szCs w:val="20"/>
          <w:lang w:val="es-ES"/>
        </w:rPr>
      </w:pPr>
      <w:r w:rsidRPr="00E9543F">
        <w:rPr>
          <w:rFonts w:ascii="Cambria" w:hAnsi="Cambria"/>
          <w:color w:val="000000" w:themeColor="text1"/>
          <w:sz w:val="20"/>
          <w:szCs w:val="20"/>
          <w:lang w:val="es-ES"/>
        </w:rPr>
        <w:t>Los anteriores deberes del Estado, además de asegurar que l</w:t>
      </w:r>
      <w:r w:rsidR="34D6D66F" w:rsidRPr="00E9543F">
        <w:rPr>
          <w:rFonts w:ascii="Cambria" w:hAnsi="Cambria"/>
          <w:color w:val="000000" w:themeColor="text1"/>
          <w:sz w:val="20"/>
          <w:szCs w:val="20"/>
          <w:lang w:val="es-ES"/>
        </w:rPr>
        <w:t>a</w:t>
      </w:r>
      <w:r w:rsidRPr="00E9543F">
        <w:rPr>
          <w:rFonts w:ascii="Cambria" w:hAnsi="Cambria"/>
          <w:color w:val="000000" w:themeColor="text1"/>
          <w:sz w:val="20"/>
          <w:szCs w:val="20"/>
          <w:lang w:val="es-ES"/>
        </w:rPr>
        <w:t xml:space="preserve">s </w:t>
      </w:r>
      <w:r w:rsidR="1359B2F5" w:rsidRPr="00E9543F">
        <w:rPr>
          <w:rFonts w:ascii="Cambria" w:hAnsi="Cambria"/>
          <w:color w:val="000000" w:themeColor="text1"/>
          <w:sz w:val="20"/>
          <w:szCs w:val="20"/>
          <w:lang w:val="es-ES"/>
        </w:rPr>
        <w:t>personas defensoras de de</w:t>
      </w:r>
      <w:r w:rsidRPr="00E9543F">
        <w:rPr>
          <w:rFonts w:ascii="Cambria" w:hAnsi="Cambria"/>
          <w:color w:val="000000" w:themeColor="text1"/>
          <w:sz w:val="20"/>
          <w:szCs w:val="20"/>
          <w:lang w:val="es-ES"/>
        </w:rPr>
        <w:t xml:space="preserve">rechos humanos puedan </w:t>
      </w:r>
      <w:r w:rsidRPr="00E9543F">
        <w:rPr>
          <w:rFonts w:ascii="Cambria" w:hAnsi="Cambria"/>
          <w:sz w:val="20"/>
          <w:szCs w:val="20"/>
          <w:lang w:val="es-ES"/>
        </w:rPr>
        <w:t>cumplir</w:t>
      </w:r>
      <w:r w:rsidRPr="00E9543F">
        <w:rPr>
          <w:rFonts w:ascii="Cambria" w:hAnsi="Cambria"/>
          <w:color w:val="000000" w:themeColor="text1"/>
          <w:sz w:val="20"/>
          <w:szCs w:val="20"/>
          <w:lang w:val="es-ES"/>
        </w:rPr>
        <w:t xml:space="preserve"> su labor fundamental, también guardan relación con el goce de varios derechos contenidos en la Declaración Americana, tales como los derechos a la vida, libertad de expresión, libertad de asociación y protección de la honra. Tales derechos, en su conjunto, permiten un ejercicio libre de las actividades de defensa y promoción de los derechos humanos</w:t>
      </w:r>
      <w:r w:rsidR="00F121A6" w:rsidRPr="00501F60">
        <w:rPr>
          <w:rStyle w:val="FootnoteReference"/>
          <w:rFonts w:ascii="Cambria" w:hAnsi="Cambria"/>
          <w:color w:val="000000" w:themeColor="text1"/>
          <w:sz w:val="20"/>
          <w:szCs w:val="20"/>
          <w:lang w:val="es-ES"/>
        </w:rPr>
        <w:footnoteReference w:id="108"/>
      </w:r>
      <w:r w:rsidRPr="00501F60">
        <w:rPr>
          <w:rFonts w:ascii="Cambria" w:hAnsi="Cambria"/>
          <w:color w:val="000000" w:themeColor="text1"/>
          <w:sz w:val="20"/>
          <w:szCs w:val="20"/>
          <w:lang w:val="es-ES"/>
        </w:rPr>
        <w:t xml:space="preserve">. </w:t>
      </w:r>
    </w:p>
    <w:p w14:paraId="1FDA5807" w14:textId="77777777" w:rsidR="00E30625" w:rsidRPr="00501F60" w:rsidRDefault="00E30625" w:rsidP="00B82A24">
      <w:pPr>
        <w:rPr>
          <w:lang w:val="es-ES"/>
        </w:rPr>
      </w:pPr>
    </w:p>
    <w:p w14:paraId="57E44CFF" w14:textId="31C1A4D3" w:rsidR="00E30625" w:rsidRPr="00BD6C53" w:rsidRDefault="585C17AA" w:rsidP="001A4728">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lang w:val="es-ES"/>
        </w:rPr>
      </w:pPr>
      <w:r w:rsidRPr="00BD6C53">
        <w:rPr>
          <w:rFonts w:ascii="Cambria" w:hAnsi="Cambria"/>
          <w:sz w:val="20"/>
          <w:szCs w:val="20"/>
          <w:lang w:val="es-ES"/>
        </w:rPr>
        <w:t>En relación con el derecho a la libertad de pensamiento y expresión, la Comisión ha sostenido que éste permite el ejercicio libre de las actividades de las personas defensoras de derechos humanos</w:t>
      </w:r>
      <w:r w:rsidR="00E30625" w:rsidRPr="00BD6C53">
        <w:rPr>
          <w:rStyle w:val="FootnoteReference"/>
          <w:rFonts w:ascii="Cambria" w:hAnsi="Cambria"/>
          <w:sz w:val="20"/>
          <w:szCs w:val="20"/>
          <w:lang w:val="es-ES"/>
        </w:rPr>
        <w:footnoteReference w:id="109"/>
      </w:r>
      <w:r w:rsidRPr="00BD6C53">
        <w:rPr>
          <w:rFonts w:ascii="Cambria" w:hAnsi="Cambria"/>
          <w:sz w:val="20"/>
          <w:szCs w:val="20"/>
          <w:lang w:val="es-ES"/>
        </w:rPr>
        <w:t>. Es así que dicho derecho no puede ejercerse cuando las personas son víctimas de agresiones u otros actos de hostigamiento</w:t>
      </w:r>
      <w:r w:rsidR="00E30625" w:rsidRPr="00BD6C53">
        <w:rPr>
          <w:rStyle w:val="FootnoteReference"/>
          <w:rFonts w:ascii="Cambria" w:hAnsi="Cambria"/>
          <w:sz w:val="20"/>
          <w:szCs w:val="20"/>
          <w:lang w:val="es-ES"/>
        </w:rPr>
        <w:footnoteReference w:id="110"/>
      </w:r>
      <w:r w:rsidRPr="00BD6C53">
        <w:rPr>
          <w:rFonts w:ascii="Cambria" w:hAnsi="Cambria"/>
          <w:sz w:val="20"/>
          <w:szCs w:val="20"/>
          <w:lang w:val="es-ES"/>
        </w:rPr>
        <w:t>. Ello en tanto tales hechos pueden silenciar o intimidar a quienes ejercen su derecho a expresarse críticamente o a formular denuncias por presuntas violaciones de derechos humanos</w:t>
      </w:r>
      <w:r w:rsidR="00E30625" w:rsidRPr="00BD6C53">
        <w:rPr>
          <w:rStyle w:val="FootnoteReference"/>
          <w:rFonts w:ascii="Cambria" w:hAnsi="Cambria"/>
          <w:sz w:val="20"/>
          <w:szCs w:val="20"/>
          <w:lang w:val="es-ES"/>
        </w:rPr>
        <w:footnoteReference w:id="111"/>
      </w:r>
      <w:r w:rsidRPr="00BD6C53">
        <w:rPr>
          <w:rFonts w:ascii="Cambria" w:hAnsi="Cambria"/>
          <w:sz w:val="20"/>
          <w:szCs w:val="20"/>
          <w:lang w:val="es-ES"/>
        </w:rPr>
        <w:t>. Adicionalmente, se ha destacado la importancia de las voces de la oposición en una sociedad democrática</w:t>
      </w:r>
      <w:r w:rsidR="00E30625" w:rsidRPr="00BD6C53">
        <w:rPr>
          <w:rStyle w:val="FootnoteReference"/>
          <w:rFonts w:ascii="Cambria" w:hAnsi="Cambria"/>
          <w:sz w:val="20"/>
          <w:szCs w:val="20"/>
          <w:lang w:val="es-ES"/>
        </w:rPr>
        <w:footnoteReference w:id="112"/>
      </w:r>
      <w:r w:rsidRPr="00BD6C53">
        <w:rPr>
          <w:rFonts w:ascii="Cambria" w:hAnsi="Cambria"/>
          <w:sz w:val="20"/>
          <w:szCs w:val="20"/>
          <w:lang w:val="es-ES"/>
        </w:rPr>
        <w:t xml:space="preserve">. </w:t>
      </w:r>
    </w:p>
    <w:p w14:paraId="5D3D5ED3" w14:textId="77777777" w:rsidR="00BD6C53" w:rsidRPr="00BD6C53" w:rsidRDefault="00BD6C53" w:rsidP="00963AB8">
      <w:pPr>
        <w:pStyle w:val="ListParagraph"/>
        <w:numPr>
          <w:ilvl w:val="0"/>
          <w:numId w:val="0"/>
        </w:numPr>
        <w:ind w:left="720"/>
      </w:pPr>
    </w:p>
    <w:p w14:paraId="69CAC790" w14:textId="0E32021B" w:rsidR="00BD6C53" w:rsidRPr="00BD6C53" w:rsidRDefault="00BD6C53" w:rsidP="001A4728">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lang w:val="es-ES"/>
        </w:rPr>
      </w:pPr>
      <w:r w:rsidRPr="0085049D">
        <w:rPr>
          <w:rFonts w:ascii="Cambria" w:hAnsi="Cambria"/>
          <w:sz w:val="20"/>
          <w:szCs w:val="20"/>
          <w:lang w:val="es-ES"/>
        </w:rPr>
        <w:t>La CIDH destaca que el derecho a la libertad de expresi</w:t>
      </w:r>
      <w:r w:rsidRPr="00BD6C53">
        <w:rPr>
          <w:rFonts w:ascii="Cambria" w:hAnsi="Cambria"/>
          <w:sz w:val="20"/>
          <w:szCs w:val="20"/>
          <w:lang w:val="es-ES"/>
        </w:rPr>
        <w:t>ón posee dos dimensiones: “</w:t>
      </w:r>
      <w:r w:rsidRPr="00501F60">
        <w:rPr>
          <w:rFonts w:ascii="Cambria" w:hAnsi="Cambria"/>
          <w:sz w:val="20"/>
          <w:szCs w:val="20"/>
          <w:lang w:val="es-ES"/>
        </w:rPr>
        <w:t>a dimensión individual, consistente en el derecho de cada persona a expresar los propios pensamientos, ideas e informaciones; y una dimensión colectiva o social, consistente en el derecho de la sociedad a procurar y recibir cualquier información, a conocer los pensamientos, ideas e informaciones ajenos y a estar bien informada”</w:t>
      </w:r>
      <w:r w:rsidRPr="00BD6C53">
        <w:rPr>
          <w:rFonts w:ascii="Cambria" w:hAnsi="Cambria"/>
          <w:sz w:val="20"/>
          <w:szCs w:val="20"/>
          <w:lang w:val="es-ES"/>
        </w:rPr>
        <w:t>. A</w:t>
      </w:r>
      <w:r w:rsidR="00DE3A31">
        <w:rPr>
          <w:rFonts w:ascii="Cambria" w:hAnsi="Cambria"/>
          <w:sz w:val="20"/>
          <w:szCs w:val="20"/>
          <w:lang w:val="es-ES"/>
        </w:rPr>
        <w:t xml:space="preserve">l </w:t>
      </w:r>
      <w:r w:rsidRPr="00BD6C53">
        <w:rPr>
          <w:rFonts w:ascii="Cambria" w:hAnsi="Cambria"/>
          <w:sz w:val="20"/>
          <w:szCs w:val="20"/>
          <w:lang w:val="es-ES"/>
        </w:rPr>
        <w:t>respecto, la Comisión ha considerado que e</w:t>
      </w:r>
      <w:r w:rsidRPr="00501F60">
        <w:rPr>
          <w:rFonts w:ascii="Cambria" w:hAnsi="Cambria"/>
          <w:sz w:val="20"/>
          <w:szCs w:val="20"/>
          <w:lang w:val="es-ES"/>
        </w:rPr>
        <w:t>l derecho de acceder a la información</w:t>
      </w:r>
      <w:r w:rsidR="00DE3A31">
        <w:rPr>
          <w:rFonts w:ascii="Cambria" w:hAnsi="Cambria"/>
          <w:sz w:val="20"/>
          <w:szCs w:val="20"/>
          <w:lang w:val="es-ES"/>
        </w:rPr>
        <w:t xml:space="preserve">, </w:t>
      </w:r>
      <w:r w:rsidR="00866BFB">
        <w:rPr>
          <w:rFonts w:ascii="Cambria" w:hAnsi="Cambria"/>
          <w:sz w:val="20"/>
          <w:szCs w:val="20"/>
          <w:lang w:val="es-ES"/>
        </w:rPr>
        <w:t>como libertad de investigación en la Declaración Americana</w:t>
      </w:r>
      <w:r w:rsidR="00DE3A31">
        <w:rPr>
          <w:rFonts w:ascii="Cambria" w:hAnsi="Cambria"/>
          <w:sz w:val="20"/>
          <w:szCs w:val="20"/>
          <w:lang w:val="es-ES"/>
        </w:rPr>
        <w:t xml:space="preserve">, </w:t>
      </w:r>
      <w:r w:rsidRPr="005138C7">
        <w:rPr>
          <w:rFonts w:ascii="Cambria" w:hAnsi="Cambria"/>
          <w:sz w:val="20"/>
          <w:szCs w:val="20"/>
          <w:lang w:val="es-ES"/>
        </w:rPr>
        <w:t xml:space="preserve">contempla el derecho a grabar operaciones de mantenimiento del orden por parte de agentes policiales y el Estado </w:t>
      </w:r>
      <w:r w:rsidR="00501F60">
        <w:rPr>
          <w:rFonts w:ascii="Cambria" w:hAnsi="Cambria"/>
          <w:sz w:val="20"/>
          <w:szCs w:val="20"/>
          <w:lang w:val="es-ES"/>
        </w:rPr>
        <w:t>debe</w:t>
      </w:r>
      <w:r w:rsidRPr="00501F60">
        <w:rPr>
          <w:rFonts w:ascii="Cambria" w:hAnsi="Cambria"/>
          <w:sz w:val="20"/>
          <w:szCs w:val="20"/>
          <w:lang w:val="es-ES"/>
        </w:rPr>
        <w:t xml:space="preserve"> proteger este derecho. Para la CIDH, la libertad de expresión protege el derecho a registrar y difundir cualquier incidente relacionado con el actuar de las fuerzas de seguridad en contextos públicos, siendo este un importante instrumento para recabar y difundir información y para la rendición de cuentas de la actuación del Poder Público</w:t>
      </w:r>
      <w:r w:rsidRPr="00501F60">
        <w:rPr>
          <w:rStyle w:val="FootnoteReference"/>
          <w:rFonts w:ascii="Cambria" w:hAnsi="Cambria"/>
          <w:sz w:val="20"/>
          <w:szCs w:val="20"/>
          <w:lang w:val="es-ES"/>
        </w:rPr>
        <w:footnoteReference w:id="113"/>
      </w:r>
      <w:r w:rsidRPr="00501F60">
        <w:rPr>
          <w:rFonts w:ascii="Cambria" w:hAnsi="Cambria"/>
          <w:sz w:val="20"/>
          <w:szCs w:val="20"/>
          <w:lang w:val="es-ES"/>
        </w:rPr>
        <w:t xml:space="preserve">. </w:t>
      </w:r>
    </w:p>
    <w:p w14:paraId="143C509E" w14:textId="77777777" w:rsidR="00B97006" w:rsidRPr="00501F60" w:rsidRDefault="00B97006"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lang w:val="es-ES"/>
        </w:rPr>
      </w:pPr>
    </w:p>
    <w:p w14:paraId="513125B8" w14:textId="60F528AA" w:rsidR="007E13F0" w:rsidRPr="00BD6C53" w:rsidRDefault="5CD0B98D" w:rsidP="001A4728">
      <w:pPr>
        <w:numPr>
          <w:ilvl w:val="0"/>
          <w:numId w:val="60"/>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hAnsi="Cambria"/>
          <w:sz w:val="20"/>
          <w:szCs w:val="20"/>
          <w:lang w:val="es-ES"/>
        </w:rPr>
      </w:pPr>
      <w:r w:rsidRPr="00BD6C53">
        <w:rPr>
          <w:rFonts w:ascii="Cambria" w:hAnsi="Cambria"/>
          <w:sz w:val="20"/>
          <w:szCs w:val="20"/>
          <w:lang w:val="es-ES"/>
        </w:rPr>
        <w:t xml:space="preserve">En relación a la participación de la vida comunitaria, </w:t>
      </w:r>
      <w:r w:rsidR="0135F749" w:rsidRPr="00BD6C53">
        <w:rPr>
          <w:rFonts w:ascii="Cambria" w:hAnsi="Cambria"/>
          <w:sz w:val="20"/>
          <w:szCs w:val="20"/>
          <w:lang w:val="es-ES"/>
        </w:rPr>
        <w:t>la Comisión y la Relatoría Especial sobre los Derechos Económicos, Sociales, Culturales y Ambientales señalan que la protección de la diversidad cultural es un imperativo inseparable del respeto de la dignidad humana. Ello requiere garantizar la participación en la vida cultural, lo que implica que el Estado deba reforzar sus acciones de protección respecto a grupos en particular situación de vulnerabilidad, a la luz de la delicada relación y obstáculos que se pueden presentar entre el acceso a la participación en la vida cultural y los limites sociales, normativos e institucionales</w:t>
      </w:r>
      <w:r w:rsidR="00BC3D6D" w:rsidRPr="00BD6C53">
        <w:rPr>
          <w:rStyle w:val="FootnoteReference"/>
          <w:rFonts w:ascii="Cambria" w:hAnsi="Cambria"/>
          <w:sz w:val="20"/>
          <w:szCs w:val="20"/>
          <w:lang w:val="es-ES"/>
        </w:rPr>
        <w:footnoteReference w:id="114"/>
      </w:r>
      <w:r w:rsidR="0135F749" w:rsidRPr="00BD6C53">
        <w:rPr>
          <w:rFonts w:ascii="Cambria" w:hAnsi="Cambria"/>
          <w:sz w:val="20"/>
          <w:szCs w:val="20"/>
          <w:lang w:val="es-ES"/>
        </w:rPr>
        <w:t>.</w:t>
      </w:r>
      <w:r w:rsidR="30B4C63E" w:rsidRPr="00BD6C53">
        <w:rPr>
          <w:rFonts w:ascii="Cambria" w:hAnsi="Cambria"/>
          <w:sz w:val="20"/>
          <w:szCs w:val="20"/>
          <w:lang w:val="es-ES"/>
        </w:rPr>
        <w:t xml:space="preserve"> La Comisión considera que lo dicho resulta aplicable a la</w:t>
      </w:r>
      <w:r w:rsidR="380694CD" w:rsidRPr="00BD6C53">
        <w:rPr>
          <w:rFonts w:ascii="Cambria" w:hAnsi="Cambria"/>
          <w:sz w:val="20"/>
          <w:szCs w:val="20"/>
          <w:lang w:val="es-ES"/>
        </w:rPr>
        <w:t xml:space="preserve"> situación de las</w:t>
      </w:r>
      <w:r w:rsidR="30B4C63E" w:rsidRPr="00BD6C53">
        <w:rPr>
          <w:rFonts w:ascii="Cambria" w:hAnsi="Cambria"/>
          <w:sz w:val="20"/>
          <w:szCs w:val="20"/>
          <w:lang w:val="es-ES"/>
        </w:rPr>
        <w:t xml:space="preserve"> personas defensoras de derechos humanos como arti</w:t>
      </w:r>
      <w:r w:rsidR="60B0946A" w:rsidRPr="00BD6C53">
        <w:rPr>
          <w:rFonts w:ascii="Cambria" w:hAnsi="Cambria"/>
          <w:sz w:val="20"/>
          <w:szCs w:val="20"/>
          <w:lang w:val="es-ES"/>
        </w:rPr>
        <w:t xml:space="preserve">stas y músicos. </w:t>
      </w:r>
    </w:p>
    <w:p w14:paraId="2BEB2140" w14:textId="77777777" w:rsidR="00BC3D6D" w:rsidRPr="00501F60" w:rsidRDefault="00BC3D6D"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lang w:val="es-ES"/>
        </w:rPr>
      </w:pPr>
    </w:p>
    <w:p w14:paraId="7B9C234E" w14:textId="72A67B58" w:rsidR="00BC3D6D" w:rsidRPr="00501F60" w:rsidRDefault="0135F749" w:rsidP="001A4728">
      <w:pPr>
        <w:numPr>
          <w:ilvl w:val="0"/>
          <w:numId w:val="60"/>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hAnsi="Cambria"/>
          <w:sz w:val="20"/>
          <w:szCs w:val="20"/>
          <w:lang w:val="es-ES"/>
        </w:rPr>
      </w:pPr>
      <w:r w:rsidRPr="00501F60">
        <w:rPr>
          <w:rFonts w:ascii="Cambria" w:hAnsi="Cambria"/>
          <w:sz w:val="20"/>
          <w:szCs w:val="20"/>
          <w:lang w:val="es-ES"/>
        </w:rPr>
        <w:t>La Comisión indica que dentro de las obligaciones inmediatas de los Estados sobre derecho culturales se encuentra la eliminación de obstáculos que impiden o limitan el acceso de la persona o comunidad a su propia cultura</w:t>
      </w:r>
      <w:r w:rsidR="00BC3D6D" w:rsidRPr="00501F60">
        <w:rPr>
          <w:rStyle w:val="FootnoteReference"/>
          <w:rFonts w:ascii="Cambria" w:hAnsi="Cambria"/>
          <w:sz w:val="20"/>
          <w:szCs w:val="20"/>
          <w:lang w:val="es-ES"/>
        </w:rPr>
        <w:footnoteReference w:id="115"/>
      </w:r>
      <w:r w:rsidRPr="00501F60">
        <w:rPr>
          <w:rFonts w:ascii="Cambria" w:hAnsi="Cambria"/>
          <w:sz w:val="20"/>
          <w:szCs w:val="20"/>
          <w:lang w:val="es-ES"/>
        </w:rPr>
        <w:t xml:space="preserve">.  La CIDH también sostuvo que el derecho a participar en la cultura fue reconocido en otras instancias internacionales, </w:t>
      </w:r>
      <w:r w:rsidR="2BC0CA7F" w:rsidRPr="00501F60">
        <w:rPr>
          <w:rFonts w:ascii="Cambria" w:hAnsi="Cambria"/>
          <w:sz w:val="20"/>
          <w:szCs w:val="20"/>
          <w:lang w:val="es-ES"/>
        </w:rPr>
        <w:t>estableciendo</w:t>
      </w:r>
      <w:r w:rsidRPr="00501F60">
        <w:rPr>
          <w:rFonts w:ascii="Cambria" w:hAnsi="Cambria"/>
          <w:sz w:val="20"/>
          <w:szCs w:val="20"/>
          <w:lang w:val="es-ES"/>
        </w:rPr>
        <w:t xml:space="preserve"> lo siguiente: </w:t>
      </w:r>
    </w:p>
    <w:p w14:paraId="30036CA2" w14:textId="77777777" w:rsidR="00BC3D6D" w:rsidRPr="00501F60" w:rsidRDefault="00BC3D6D"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lang w:val="es-ES"/>
        </w:rPr>
      </w:pPr>
    </w:p>
    <w:p w14:paraId="0E6B6217" w14:textId="1FDC2FAA" w:rsidR="00BC3D6D" w:rsidRPr="004C299F" w:rsidRDefault="0135F749" w:rsidP="00963AB8">
      <w:pPr>
        <w:pStyle w:val="ListParagraph"/>
        <w:numPr>
          <w:ilvl w:val="0"/>
          <w:numId w:val="0"/>
        </w:numPr>
        <w:ind w:left="720"/>
      </w:pPr>
      <w:r w:rsidRPr="004C299F">
        <w:t>A su vez, la Observación General No. 21 sobre “el derecho de toda persona a participar en la vida cultural” del Comité de Derechos Económicos, Sociales y Culturales de las Naciones Unidas ha establecido que el “participar” o “tomar parte” de la vida cultural implica la participación, el acceso y la contribución en la vida cultural, ya sea de forma individual o como una comunidad</w:t>
      </w:r>
      <w:r w:rsidR="3D38915C" w:rsidRPr="004C299F">
        <w:t xml:space="preserve"> (...)</w:t>
      </w:r>
      <w:r w:rsidRPr="004C299F">
        <w:t>. La participación implica, entre otras cosas,</w:t>
      </w:r>
      <w:r w:rsidR="6F9F839D" w:rsidRPr="004C299F">
        <w:t xml:space="preserve"> (...)</w:t>
      </w:r>
      <w:r w:rsidRPr="004C299F">
        <w:t xml:space="preserve"> el derecho a buscar, desarrollar y compartir con otros sus conocimientos y expresiones culturales. El acceso implica el conocer y comprender su propia cultura y la de otros</w:t>
      </w:r>
      <w:r w:rsidR="00F473EE" w:rsidRPr="004C299F">
        <w:t xml:space="preserve"> (...)</w:t>
      </w:r>
      <w:r w:rsidRPr="004C299F">
        <w:t xml:space="preserve"> así como el derecho a conocer formas de expresión y difusión por cualquier medio tecnológico de información y comunicación. Asimismo, la contribución a la vida cultural se refiere al derecho de toda persona a contribuir a la creación de las manifestaciones espirituales, materiales, intelectuales y emocionales de la comunidad. Asimismo, la Observación General No. 21 establece diversos elementos del derecho a participar en la vida cultural, entre los cuales se reconoce al elemento de accesibilidad. La accesibilidad, </w:t>
      </w:r>
      <w:r w:rsidRPr="004C299F">
        <w:lastRenderedPageBreak/>
        <w:t>a su vez, destaca como un componente inherente del derecho a participar en la vida cultural el acceso de las comunidades a los medios de expresión y difusión</w:t>
      </w:r>
      <w:r w:rsidR="00BC3D6D" w:rsidRPr="004C299F">
        <w:rPr>
          <w:rStyle w:val="FootnoteReference"/>
          <w:lang w:val="es-ES"/>
        </w:rPr>
        <w:footnoteReference w:id="116"/>
      </w:r>
      <w:r w:rsidRPr="004C299F">
        <w:t>.</w:t>
      </w:r>
    </w:p>
    <w:p w14:paraId="30B29F6D" w14:textId="77777777" w:rsidR="00BC3D6D" w:rsidRPr="004C299F" w:rsidRDefault="00BC3D6D" w:rsidP="00963AB8">
      <w:pPr>
        <w:pStyle w:val="ListParagraph"/>
        <w:numPr>
          <w:ilvl w:val="0"/>
          <w:numId w:val="0"/>
        </w:numPr>
        <w:ind w:left="720"/>
      </w:pPr>
    </w:p>
    <w:p w14:paraId="7DD56729" w14:textId="77777777" w:rsidR="005138C7" w:rsidRPr="00BF7FAB" w:rsidRDefault="3260B698" w:rsidP="001A4728">
      <w:pPr>
        <w:numPr>
          <w:ilvl w:val="0"/>
          <w:numId w:val="60"/>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hAnsi="Cambria"/>
          <w:sz w:val="20"/>
          <w:szCs w:val="20"/>
          <w:lang w:val="es-US"/>
        </w:rPr>
      </w:pPr>
      <w:r w:rsidRPr="00BF7FAB">
        <w:rPr>
          <w:rFonts w:ascii="Cambria" w:hAnsi="Cambria"/>
          <w:sz w:val="20"/>
          <w:szCs w:val="20"/>
          <w:lang w:val="es-US"/>
        </w:rPr>
        <w:t>Asimismo</w:t>
      </w:r>
      <w:r w:rsidR="1A526247" w:rsidRPr="00BF7FAB">
        <w:rPr>
          <w:rFonts w:ascii="Cambria" w:hAnsi="Cambria"/>
          <w:sz w:val="20"/>
          <w:szCs w:val="20"/>
          <w:lang w:val="es-US"/>
        </w:rPr>
        <w:t xml:space="preserve">, </w:t>
      </w:r>
      <w:r w:rsidR="5CD0B98D" w:rsidRPr="00BF7FAB">
        <w:rPr>
          <w:rFonts w:ascii="Cambria" w:hAnsi="Cambria"/>
          <w:sz w:val="20"/>
          <w:szCs w:val="20"/>
          <w:lang w:val="es-US"/>
        </w:rPr>
        <w:t xml:space="preserve">el Relator Especial de las Naciones Unidas sobre los derechos culturales </w:t>
      </w:r>
      <w:r w:rsidR="01E37122" w:rsidRPr="00BF7FAB">
        <w:rPr>
          <w:rFonts w:ascii="Cambria" w:hAnsi="Cambria"/>
          <w:sz w:val="20"/>
          <w:szCs w:val="20"/>
          <w:lang w:val="es-US"/>
        </w:rPr>
        <w:t xml:space="preserve">ha señalado que las </w:t>
      </w:r>
      <w:r w:rsidR="5CD0B98D" w:rsidRPr="00BF7FAB">
        <w:rPr>
          <w:rFonts w:ascii="Cambria" w:hAnsi="Cambria"/>
          <w:sz w:val="20"/>
          <w:szCs w:val="20"/>
          <w:lang w:val="es-US"/>
        </w:rPr>
        <w:t xml:space="preserve">iniciativas culturales y basadas en el arte socialmente comprometidas </w:t>
      </w:r>
      <w:r w:rsidR="01E37122" w:rsidRPr="00BF7FAB">
        <w:rPr>
          <w:rFonts w:ascii="Cambria" w:hAnsi="Cambria"/>
          <w:sz w:val="20"/>
          <w:szCs w:val="20"/>
          <w:lang w:val="es-US"/>
        </w:rPr>
        <w:t xml:space="preserve">contemplan un </w:t>
      </w:r>
      <w:r w:rsidR="5CD0B98D" w:rsidRPr="00BF7FAB">
        <w:rPr>
          <w:rFonts w:ascii="Cambria" w:hAnsi="Cambria"/>
          <w:sz w:val="20"/>
          <w:szCs w:val="20"/>
          <w:lang w:val="es-US"/>
        </w:rPr>
        <w:t>poder transformador del arte y la cultura</w:t>
      </w:r>
      <w:r w:rsidR="01E37122" w:rsidRPr="00BF7FAB">
        <w:rPr>
          <w:rFonts w:ascii="Cambria" w:hAnsi="Cambria"/>
          <w:sz w:val="20"/>
          <w:szCs w:val="20"/>
          <w:lang w:val="es-US"/>
        </w:rPr>
        <w:t xml:space="preserve"> y </w:t>
      </w:r>
      <w:r w:rsidR="5CD0B98D" w:rsidRPr="00BF7FAB">
        <w:rPr>
          <w:rFonts w:ascii="Cambria" w:hAnsi="Cambria"/>
          <w:sz w:val="20"/>
          <w:szCs w:val="20"/>
          <w:lang w:val="es-US"/>
        </w:rPr>
        <w:t xml:space="preserve">pueden contribuir a crear, desarrollar y mantener sociedades en las que </w:t>
      </w:r>
      <w:r w:rsidR="01E37122" w:rsidRPr="00BF7FAB">
        <w:rPr>
          <w:rFonts w:ascii="Cambria" w:hAnsi="Cambria"/>
          <w:sz w:val="20"/>
          <w:szCs w:val="20"/>
          <w:lang w:val="es-US"/>
        </w:rPr>
        <w:t>se cumpl</w:t>
      </w:r>
      <w:r w:rsidR="54649990" w:rsidRPr="00BF7FAB">
        <w:rPr>
          <w:rFonts w:ascii="Cambria" w:hAnsi="Cambria"/>
          <w:sz w:val="20"/>
          <w:szCs w:val="20"/>
          <w:lang w:val="es-US"/>
        </w:rPr>
        <w:t>an</w:t>
      </w:r>
      <w:r w:rsidR="01E37122" w:rsidRPr="00BF7FAB">
        <w:rPr>
          <w:rFonts w:ascii="Cambria" w:hAnsi="Cambria"/>
          <w:sz w:val="20"/>
          <w:szCs w:val="20"/>
          <w:lang w:val="es-US"/>
        </w:rPr>
        <w:t xml:space="preserve"> cada vez</w:t>
      </w:r>
      <w:r w:rsidR="54649990" w:rsidRPr="00BF7FAB">
        <w:rPr>
          <w:rFonts w:ascii="Cambria" w:hAnsi="Cambria"/>
          <w:sz w:val="20"/>
          <w:szCs w:val="20"/>
          <w:lang w:val="es-US"/>
        </w:rPr>
        <w:t xml:space="preserve"> más una gama más amplia de objetivos de derechos humanos</w:t>
      </w:r>
      <w:r w:rsidR="001C7CC1" w:rsidRPr="4300E6AB">
        <w:rPr>
          <w:rStyle w:val="FootnoteReference"/>
          <w:rFonts w:ascii="Cambria" w:hAnsi="Cambria"/>
          <w:sz w:val="20"/>
          <w:szCs w:val="20"/>
        </w:rPr>
        <w:footnoteReference w:id="117"/>
      </w:r>
      <w:r w:rsidR="54649990" w:rsidRPr="00BF7FAB">
        <w:rPr>
          <w:rFonts w:ascii="Cambria" w:hAnsi="Cambria"/>
          <w:sz w:val="20"/>
          <w:szCs w:val="20"/>
          <w:lang w:val="es-US"/>
        </w:rPr>
        <w:t xml:space="preserve">. </w:t>
      </w:r>
      <w:r w:rsidR="01E37122" w:rsidRPr="00BF7FAB">
        <w:rPr>
          <w:rFonts w:ascii="Cambria" w:hAnsi="Cambria"/>
          <w:sz w:val="20"/>
          <w:szCs w:val="20"/>
          <w:lang w:val="es-US"/>
        </w:rPr>
        <w:t xml:space="preserve"> </w:t>
      </w:r>
    </w:p>
    <w:p w14:paraId="796414B0" w14:textId="77777777" w:rsidR="005138C7" w:rsidRDefault="005138C7" w:rsidP="749ACC70">
      <w:p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jc w:val="both"/>
        <w:rPr>
          <w:rFonts w:ascii="Cambria" w:hAnsi="Cambria"/>
          <w:sz w:val="20"/>
          <w:szCs w:val="20"/>
          <w:lang w:val="es-ES"/>
        </w:rPr>
      </w:pPr>
    </w:p>
    <w:p w14:paraId="2582D690" w14:textId="77777777" w:rsidR="001769FC" w:rsidRPr="002A0199" w:rsidRDefault="001769FC" w:rsidP="001A4728">
      <w:pPr>
        <w:numPr>
          <w:ilvl w:val="0"/>
          <w:numId w:val="60"/>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hAnsi="Cambria"/>
          <w:sz w:val="20"/>
          <w:szCs w:val="20"/>
          <w:lang w:val="es-AR"/>
        </w:rPr>
      </w:pPr>
      <w:r>
        <w:rPr>
          <w:rFonts w:ascii="Cambria" w:hAnsi="Cambria"/>
          <w:sz w:val="20"/>
          <w:szCs w:val="20"/>
          <w:lang w:val="es-ES"/>
        </w:rPr>
        <w:t>La Comisión recuerda que</w:t>
      </w:r>
      <w:r w:rsidR="00BD6C53" w:rsidRPr="005138C7">
        <w:rPr>
          <w:rFonts w:ascii="Cambria" w:hAnsi="Cambria"/>
          <w:sz w:val="20"/>
          <w:szCs w:val="20"/>
          <w:lang w:val="es-ES"/>
        </w:rPr>
        <w:t xml:space="preserve"> el potencial creativo del arte también depende del respeto </w:t>
      </w:r>
      <w:r>
        <w:rPr>
          <w:rFonts w:ascii="Cambria" w:hAnsi="Cambria"/>
          <w:sz w:val="20"/>
          <w:szCs w:val="20"/>
          <w:lang w:val="es-ES"/>
        </w:rPr>
        <w:t>a</w:t>
      </w:r>
      <w:r w:rsidR="00BD6C53" w:rsidRPr="005138C7">
        <w:rPr>
          <w:rFonts w:ascii="Cambria" w:hAnsi="Cambria"/>
          <w:sz w:val="20"/>
          <w:szCs w:val="20"/>
          <w:lang w:val="es-ES"/>
        </w:rPr>
        <w:t xml:space="preserve"> la libertad de expresión</w:t>
      </w:r>
      <w:r w:rsidR="00BD6C53">
        <w:rPr>
          <w:rStyle w:val="FootnoteReference"/>
          <w:rFonts w:ascii="Cambria" w:hAnsi="Cambria"/>
          <w:sz w:val="20"/>
          <w:szCs w:val="20"/>
          <w:lang w:val="es-ES"/>
        </w:rPr>
        <w:footnoteReference w:id="118"/>
      </w:r>
      <w:r w:rsidR="00BD6C53" w:rsidRPr="005138C7">
        <w:rPr>
          <w:rFonts w:ascii="Cambria" w:hAnsi="Cambria"/>
          <w:sz w:val="20"/>
          <w:szCs w:val="20"/>
          <w:lang w:val="es-ES"/>
        </w:rPr>
        <w:t>. En este aspecto,</w:t>
      </w:r>
      <w:r>
        <w:rPr>
          <w:rFonts w:ascii="Cambria" w:hAnsi="Cambria"/>
          <w:sz w:val="20"/>
          <w:szCs w:val="20"/>
          <w:lang w:val="es-ES"/>
        </w:rPr>
        <w:t xml:space="preserve"> </w:t>
      </w:r>
      <w:r w:rsidR="00BD6C53" w:rsidRPr="005138C7">
        <w:rPr>
          <w:rFonts w:ascii="Cambria" w:hAnsi="Cambria"/>
          <w:sz w:val="20"/>
          <w:szCs w:val="20"/>
          <w:lang w:val="es-ES"/>
        </w:rPr>
        <w:t>resalta la relación establecida entre el derecho a la libertad de expresión y la participación de la vida comunitaria por medio de la libre expresión artística. El derecho a la expresión artística o simbólica, a la difusión de la expresión artística, y al acceso al arte, en todas sus formas se trata de una de las formas de expresión específicamente protegidas por los instrumentos interamericanos</w:t>
      </w:r>
      <w:r w:rsidR="00BD6C53">
        <w:rPr>
          <w:rStyle w:val="FootnoteReference"/>
          <w:rFonts w:ascii="Cambria" w:hAnsi="Cambria"/>
          <w:sz w:val="20"/>
          <w:szCs w:val="20"/>
          <w:lang w:val="es-ES"/>
        </w:rPr>
        <w:footnoteReference w:id="119"/>
      </w:r>
      <w:r w:rsidR="00BD6C53" w:rsidRPr="005138C7">
        <w:rPr>
          <w:rFonts w:ascii="Cambria" w:hAnsi="Cambria"/>
          <w:sz w:val="20"/>
          <w:szCs w:val="20"/>
          <w:lang w:val="es-ES"/>
        </w:rPr>
        <w:t>. La Relatoría Especial de las Naciones Unidas para el Derecho a la Libertad de Opinión y Expresión ha manifestado que “</w:t>
      </w:r>
      <w:r w:rsidR="00BD6C53" w:rsidRPr="00BF7FAB">
        <w:rPr>
          <w:rFonts w:ascii="Cambria" w:hAnsi="Cambria"/>
          <w:sz w:val="20"/>
          <w:szCs w:val="20"/>
          <w:lang w:val="es-US"/>
        </w:rPr>
        <w:t xml:space="preserve">la creación artística puede funcionar </w:t>
      </w:r>
      <w:r w:rsidR="00BD6C53" w:rsidRPr="002A0199">
        <w:rPr>
          <w:rFonts w:ascii="Cambria" w:hAnsi="Cambria"/>
          <w:sz w:val="20"/>
          <w:szCs w:val="20"/>
          <w:lang w:val="es-AR"/>
        </w:rPr>
        <w:t>como el “forum internum, el ámbito interno de pensamiento y creencia de una persona” (...) y puede funcionar como el forum externum, o expresión”</w:t>
      </w:r>
      <w:r w:rsidR="00BD6C53" w:rsidRPr="002A0199">
        <w:rPr>
          <w:rStyle w:val="FootnoteReference"/>
          <w:rFonts w:ascii="Cambria" w:hAnsi="Cambria"/>
          <w:sz w:val="20"/>
          <w:szCs w:val="20"/>
          <w:lang w:val="es-AR"/>
        </w:rPr>
        <w:footnoteReference w:id="120"/>
      </w:r>
      <w:r w:rsidR="00BD6C53" w:rsidRPr="002A0199">
        <w:rPr>
          <w:rFonts w:ascii="Cambria" w:hAnsi="Cambria"/>
          <w:sz w:val="20"/>
          <w:szCs w:val="20"/>
          <w:lang w:val="es-AR"/>
        </w:rPr>
        <w:t xml:space="preserve">. </w:t>
      </w:r>
    </w:p>
    <w:p w14:paraId="46C37B4F" w14:textId="77777777" w:rsidR="001769FC" w:rsidRPr="002A0199" w:rsidRDefault="001769FC" w:rsidP="749ACC70">
      <w:p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jc w:val="both"/>
        <w:rPr>
          <w:rFonts w:ascii="Cambria" w:hAnsi="Cambria"/>
          <w:sz w:val="20"/>
          <w:szCs w:val="20"/>
          <w:lang w:val="es-AR"/>
        </w:rPr>
      </w:pPr>
    </w:p>
    <w:p w14:paraId="622D02A2" w14:textId="78328575" w:rsidR="00454579" w:rsidRPr="005138C7" w:rsidRDefault="00BD6C53" w:rsidP="001A4728">
      <w:pPr>
        <w:numPr>
          <w:ilvl w:val="0"/>
          <w:numId w:val="60"/>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hAnsi="Cambria"/>
          <w:sz w:val="20"/>
          <w:szCs w:val="20"/>
          <w:lang w:val="es-ES"/>
        </w:rPr>
      </w:pPr>
      <w:r w:rsidRPr="005138C7">
        <w:rPr>
          <w:rFonts w:ascii="Cambria" w:hAnsi="Cambria"/>
          <w:sz w:val="20"/>
          <w:szCs w:val="20"/>
          <w:lang w:val="es-ES"/>
        </w:rPr>
        <w:t>La C</w:t>
      </w:r>
      <w:r w:rsidR="00DE3A31">
        <w:rPr>
          <w:rFonts w:ascii="Cambria" w:hAnsi="Cambria"/>
          <w:sz w:val="20"/>
          <w:szCs w:val="20"/>
          <w:lang w:val="es-ES"/>
        </w:rPr>
        <w:t>IDH sostiene</w:t>
      </w:r>
      <w:r w:rsidRPr="005138C7">
        <w:rPr>
          <w:rFonts w:ascii="Cambria" w:hAnsi="Cambria"/>
          <w:sz w:val="20"/>
          <w:szCs w:val="20"/>
          <w:lang w:val="es-ES"/>
        </w:rPr>
        <w:t xml:space="preserve"> que el arte puede constituirse </w:t>
      </w:r>
      <w:r w:rsidR="00DE3A31">
        <w:rPr>
          <w:rFonts w:ascii="Cambria" w:hAnsi="Cambria"/>
          <w:sz w:val="20"/>
          <w:szCs w:val="20"/>
          <w:lang w:val="es-ES"/>
        </w:rPr>
        <w:t xml:space="preserve">como </w:t>
      </w:r>
      <w:r w:rsidRPr="00DE3A31">
        <w:rPr>
          <w:rFonts w:ascii="Cambria" w:hAnsi="Cambria"/>
          <w:sz w:val="20"/>
          <w:szCs w:val="20"/>
          <w:lang w:val="es-AR"/>
        </w:rPr>
        <w:t>una forma de protesta</w:t>
      </w:r>
      <w:r w:rsidRPr="00DE3A31">
        <w:rPr>
          <w:rStyle w:val="FootnoteReference"/>
          <w:rFonts w:ascii="Cambria" w:hAnsi="Cambria"/>
          <w:sz w:val="20"/>
          <w:szCs w:val="20"/>
          <w:lang w:val="es-AR"/>
        </w:rPr>
        <w:footnoteReference w:id="121"/>
      </w:r>
      <w:r w:rsidRPr="00DE3A31">
        <w:rPr>
          <w:rFonts w:ascii="Cambria" w:hAnsi="Cambria"/>
          <w:sz w:val="20"/>
          <w:szCs w:val="20"/>
          <w:lang w:val="es-AR"/>
        </w:rPr>
        <w:t xml:space="preserve">. </w:t>
      </w:r>
      <w:r w:rsidR="004B1C8A" w:rsidRPr="00DE3A31">
        <w:rPr>
          <w:rFonts w:ascii="Cambria" w:hAnsi="Cambria"/>
          <w:sz w:val="20"/>
          <w:szCs w:val="20"/>
          <w:lang w:val="es-AR"/>
        </w:rPr>
        <w:t>Explica que</w:t>
      </w:r>
      <w:r w:rsidRPr="00DE3A31">
        <w:rPr>
          <w:rFonts w:ascii="Cambria" w:hAnsi="Cambria"/>
          <w:sz w:val="20"/>
          <w:szCs w:val="20"/>
          <w:lang w:val="es-AR"/>
        </w:rPr>
        <w:t xml:space="preserve"> “el uso de lo imaginario y de la ficción debe ser entendido y respetado como elemento esencial de la libertad indispensable para la actividad creativa” y reafirma que no se debe restringi</w:t>
      </w:r>
      <w:r w:rsidR="00DE3A31" w:rsidRPr="00DE3A31">
        <w:rPr>
          <w:rFonts w:ascii="Cambria" w:hAnsi="Cambria"/>
          <w:sz w:val="20"/>
          <w:szCs w:val="20"/>
          <w:lang w:val="es-AR"/>
        </w:rPr>
        <w:t>r</w:t>
      </w:r>
      <w:r w:rsidRPr="00DE3A31">
        <w:rPr>
          <w:rFonts w:ascii="Cambria" w:hAnsi="Cambria"/>
          <w:sz w:val="20"/>
          <w:szCs w:val="20"/>
          <w:lang w:val="es-AR"/>
        </w:rPr>
        <w:t xml:space="preserve"> con el objetivo de proteger instituciones particulares ni nociones, conceptos o creencias abstractas como los símbolos </w:t>
      </w:r>
      <w:r w:rsidR="00DE3A31" w:rsidRPr="00DE3A31">
        <w:rPr>
          <w:rFonts w:ascii="Cambria" w:hAnsi="Cambria"/>
          <w:sz w:val="20"/>
          <w:szCs w:val="20"/>
          <w:lang w:val="es-AR"/>
        </w:rPr>
        <w:t>patrios,</w:t>
      </w:r>
      <w:r w:rsidRPr="00DE3A31">
        <w:rPr>
          <w:rFonts w:ascii="Cambria" w:hAnsi="Cambria"/>
          <w:sz w:val="20"/>
          <w:szCs w:val="20"/>
          <w:lang w:val="es-AR"/>
        </w:rPr>
        <w:t xml:space="preserve"> a menos que la obra artística implique un discurso no protegido por </w:t>
      </w:r>
      <w:r w:rsidR="003C470F" w:rsidRPr="00DE3A31">
        <w:rPr>
          <w:rFonts w:ascii="Cambria" w:hAnsi="Cambria"/>
          <w:sz w:val="20"/>
          <w:szCs w:val="20"/>
          <w:lang w:val="es-AR"/>
        </w:rPr>
        <w:t>la libertad de expresión</w:t>
      </w:r>
      <w:r w:rsidRPr="00DE3A31">
        <w:rPr>
          <w:rStyle w:val="FootnoteReference"/>
          <w:rFonts w:ascii="Cambria" w:hAnsi="Cambria"/>
          <w:sz w:val="20"/>
          <w:szCs w:val="20"/>
          <w:lang w:val="es-AR"/>
        </w:rPr>
        <w:footnoteReference w:id="122"/>
      </w:r>
      <w:r w:rsidRPr="00DE3A31">
        <w:rPr>
          <w:rFonts w:ascii="Cambria" w:hAnsi="Cambria"/>
          <w:sz w:val="20"/>
          <w:szCs w:val="20"/>
          <w:lang w:val="es-AR"/>
        </w:rPr>
        <w:t>.</w:t>
      </w:r>
    </w:p>
    <w:p w14:paraId="2D7834D2" w14:textId="77777777" w:rsidR="005138C7" w:rsidRPr="005138C7" w:rsidRDefault="005138C7" w:rsidP="749ACC70">
      <w:p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jc w:val="both"/>
        <w:rPr>
          <w:rFonts w:ascii="Cambria" w:hAnsi="Cambria"/>
          <w:sz w:val="20"/>
          <w:szCs w:val="20"/>
          <w:lang w:val="es-ES"/>
        </w:rPr>
      </w:pPr>
    </w:p>
    <w:p w14:paraId="4696E442" w14:textId="41729163" w:rsidR="00454579" w:rsidRPr="00BD6C53" w:rsidRDefault="3260B698" w:rsidP="001A4728">
      <w:pPr>
        <w:numPr>
          <w:ilvl w:val="0"/>
          <w:numId w:val="60"/>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hAnsi="Cambria"/>
          <w:sz w:val="20"/>
          <w:szCs w:val="20"/>
          <w:lang w:val="es-ES"/>
        </w:rPr>
      </w:pPr>
      <w:r w:rsidRPr="00BD6C53">
        <w:rPr>
          <w:rFonts w:ascii="Cambria" w:hAnsi="Cambria"/>
          <w:sz w:val="20"/>
          <w:szCs w:val="20"/>
          <w:lang w:val="es-ES"/>
        </w:rPr>
        <w:t>Finalmente, la CIDH ha afirmado</w:t>
      </w:r>
      <w:r w:rsidR="0081205E" w:rsidRPr="00BD6C53">
        <w:rPr>
          <w:rFonts w:ascii="Cambria" w:hAnsi="Cambria"/>
          <w:sz w:val="20"/>
          <w:szCs w:val="20"/>
          <w:lang w:val="es-ES"/>
        </w:rPr>
        <w:t xml:space="preserve"> que</w:t>
      </w:r>
      <w:r w:rsidRPr="00BD6C53">
        <w:rPr>
          <w:rFonts w:ascii="Cambria" w:hAnsi="Cambria"/>
          <w:sz w:val="20"/>
          <w:szCs w:val="20"/>
          <w:lang w:val="es-ES"/>
        </w:rPr>
        <w:t xml:space="preserve">, desde hace más de tres décadas, en Cuba existe una práctica de estrecho control por parte de autoridades gubernamentales que muestra “una acentuada intolerancia en relación a las manifestaciones artísticas que pudieran poner en cuestión ya sea las bondades del sistema político o los aciertos del grupo dirigente”. Sobre el particular, la CIDH </w:t>
      </w:r>
      <w:r w:rsidR="0081205E" w:rsidRPr="00BD6C53">
        <w:rPr>
          <w:rFonts w:ascii="Cambria" w:hAnsi="Cambria"/>
          <w:sz w:val="20"/>
          <w:szCs w:val="20"/>
          <w:lang w:val="es-ES"/>
        </w:rPr>
        <w:t>ha</w:t>
      </w:r>
      <w:r w:rsidRPr="00BD6C53">
        <w:rPr>
          <w:rFonts w:ascii="Cambria" w:hAnsi="Cambria"/>
          <w:sz w:val="20"/>
          <w:szCs w:val="20"/>
          <w:lang w:val="es-ES"/>
        </w:rPr>
        <w:t xml:space="preserve"> continuado recibiendo información que indica que la discrepancia ideológica ha sido motivo para impedir la expresión artística</w:t>
      </w:r>
      <w:r w:rsidR="00454579" w:rsidRPr="00BD6C53">
        <w:rPr>
          <w:rStyle w:val="FootnoteReference"/>
          <w:rFonts w:ascii="Cambria" w:hAnsi="Cambria"/>
          <w:sz w:val="20"/>
          <w:szCs w:val="20"/>
          <w:lang w:val="es-ES"/>
        </w:rPr>
        <w:footnoteReference w:id="123"/>
      </w:r>
      <w:r w:rsidR="0081205E" w:rsidRPr="00BD6C53">
        <w:rPr>
          <w:rFonts w:ascii="Cambria" w:hAnsi="Cambria"/>
          <w:sz w:val="20"/>
          <w:szCs w:val="20"/>
          <w:lang w:val="es-ES"/>
        </w:rPr>
        <w:t>.</w:t>
      </w:r>
      <w:r w:rsidRPr="00BD6C53">
        <w:rPr>
          <w:rFonts w:ascii="Cambria" w:hAnsi="Cambria"/>
          <w:sz w:val="20"/>
          <w:szCs w:val="20"/>
          <w:lang w:val="es-ES"/>
        </w:rPr>
        <w:t xml:space="preserve"> Adicionalmente, la Comisión ha identificado el Decreto No. 349, aprobado el 20 de abril de 2018, el cual establece sanciones por el incumplimiento de la política cultural, como una normativa que mantiene una limitación y restricción a la libertad de expresión de los artistas por parte del Estado, al permitir sancionar a aquellos artistas que no comparten el discurso ideológico oficial o discrepan con la ideología impuesta por el gobierno cubano, a través de una redacción excesivamente amplia</w:t>
      </w:r>
      <w:r w:rsidR="00454579" w:rsidRPr="00BD6C53">
        <w:rPr>
          <w:rStyle w:val="FootnoteReference"/>
          <w:rFonts w:ascii="Cambria" w:hAnsi="Cambria"/>
          <w:sz w:val="20"/>
          <w:szCs w:val="20"/>
          <w:lang w:val="es-ES"/>
        </w:rPr>
        <w:footnoteReference w:id="124"/>
      </w:r>
      <w:r w:rsidRPr="00BD6C53">
        <w:rPr>
          <w:rFonts w:ascii="Cambria" w:hAnsi="Cambria"/>
          <w:sz w:val="20"/>
          <w:szCs w:val="20"/>
          <w:lang w:val="es-ES"/>
        </w:rPr>
        <w:t xml:space="preserve">. </w:t>
      </w:r>
    </w:p>
    <w:p w14:paraId="0ADC301C" w14:textId="77777777" w:rsidR="007E13F0" w:rsidRPr="00501F60" w:rsidRDefault="007E13F0"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lang w:val="es-ES"/>
        </w:rPr>
      </w:pPr>
    </w:p>
    <w:p w14:paraId="6B693647" w14:textId="324B77B6" w:rsidR="00E30625" w:rsidRPr="00BD6C53" w:rsidRDefault="585C17AA" w:rsidP="001A4728">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color w:val="000000"/>
          <w:sz w:val="20"/>
          <w:szCs w:val="20"/>
          <w:lang w:val="es-ES"/>
        </w:rPr>
      </w:pPr>
      <w:r w:rsidRPr="00BD6C53">
        <w:rPr>
          <w:rFonts w:ascii="Cambria" w:hAnsi="Cambria"/>
          <w:sz w:val="20"/>
          <w:szCs w:val="20"/>
          <w:lang w:val="es-ES"/>
        </w:rPr>
        <w:t>Respecto</w:t>
      </w:r>
      <w:r w:rsidRPr="00BD6C53">
        <w:rPr>
          <w:rFonts w:ascii="Cambria" w:hAnsi="Cambria"/>
          <w:color w:val="000000"/>
          <w:sz w:val="20"/>
          <w:szCs w:val="20"/>
          <w:lang w:val="es-ES"/>
        </w:rPr>
        <w:t xml:space="preserve"> del derecho a la libertad de asociación, la Comisión recuerda que éste tiene dos dimensiones: una individual y otra social. Por un lado, ello implica que “quienes están bajo la protección de la Convención tienen (…) el derecho y la libertad de asociarse libremente con otras personas, sin intervención de las autoridades públicas que limiten o entorpezcan el ejercicio del respectivo derecho”</w:t>
      </w:r>
      <w:r w:rsidR="00E30625" w:rsidRPr="00BD6C53">
        <w:rPr>
          <w:rStyle w:val="FootnoteReference"/>
          <w:rFonts w:ascii="Cambria" w:hAnsi="Cambria"/>
          <w:sz w:val="20"/>
          <w:szCs w:val="20"/>
          <w:lang w:val="es-ES"/>
        </w:rPr>
        <w:footnoteReference w:id="125"/>
      </w:r>
      <w:r w:rsidRPr="00BD6C53">
        <w:rPr>
          <w:rFonts w:ascii="Cambria" w:hAnsi="Cambria"/>
          <w:color w:val="000000"/>
          <w:sz w:val="20"/>
          <w:szCs w:val="20"/>
          <w:lang w:val="es-ES"/>
        </w:rPr>
        <w:t xml:space="preserve">. Por otro lado, la CIDH ha señalado las personas “gozan del derecho y la libertad de buscar la realización común de un fin lícito, sin presiones o </w:t>
      </w:r>
      <w:r w:rsidRPr="00BD6C53">
        <w:rPr>
          <w:rFonts w:ascii="Cambria" w:hAnsi="Cambria"/>
          <w:sz w:val="20"/>
          <w:szCs w:val="20"/>
          <w:lang w:val="es-ES"/>
        </w:rPr>
        <w:t>intromisiones</w:t>
      </w:r>
      <w:r w:rsidRPr="00BD6C53">
        <w:rPr>
          <w:rFonts w:ascii="Cambria" w:hAnsi="Cambria"/>
          <w:color w:val="000000"/>
          <w:sz w:val="20"/>
          <w:szCs w:val="20"/>
          <w:lang w:val="es-ES"/>
        </w:rPr>
        <w:t xml:space="preserve"> que puedan alterar o desnaturalizar su finalidad”</w:t>
      </w:r>
      <w:r w:rsidR="00E30625" w:rsidRPr="00BD6C53">
        <w:rPr>
          <w:rStyle w:val="FootnoteReference"/>
          <w:rFonts w:ascii="Cambria" w:hAnsi="Cambria"/>
          <w:sz w:val="20"/>
          <w:szCs w:val="20"/>
          <w:lang w:val="es-ES"/>
        </w:rPr>
        <w:footnoteReference w:id="126"/>
      </w:r>
      <w:r w:rsidRPr="00BD6C53">
        <w:rPr>
          <w:rFonts w:ascii="Cambria" w:hAnsi="Cambria"/>
          <w:color w:val="000000"/>
          <w:sz w:val="20"/>
          <w:szCs w:val="20"/>
          <w:lang w:val="es-ES"/>
        </w:rPr>
        <w:t xml:space="preserve">. </w:t>
      </w:r>
      <w:r w:rsidRPr="00BD6C53">
        <w:rPr>
          <w:rFonts w:ascii="Cambria" w:hAnsi="Cambria"/>
          <w:sz w:val="20"/>
          <w:szCs w:val="20"/>
          <w:lang w:val="es-ES"/>
        </w:rPr>
        <w:t>En</w:t>
      </w:r>
      <w:r w:rsidRPr="00BD6C53">
        <w:rPr>
          <w:rFonts w:ascii="Cambria" w:hAnsi="Cambria"/>
          <w:color w:val="000000"/>
          <w:sz w:val="20"/>
          <w:szCs w:val="20"/>
          <w:lang w:val="es-ES"/>
        </w:rPr>
        <w:t xml:space="preserve"> ese sentido, los Estados deben crear </w:t>
      </w:r>
      <w:r w:rsidRPr="00BD6C53">
        <w:rPr>
          <w:rFonts w:ascii="Cambria" w:hAnsi="Cambria"/>
          <w:color w:val="000000"/>
          <w:sz w:val="20"/>
          <w:szCs w:val="20"/>
          <w:lang w:val="es-ES"/>
        </w:rPr>
        <w:lastRenderedPageBreak/>
        <w:t>condiciones legales y fácticas para su ejercicio, que abarca, de ser pertinente, los deberes de prevenir atentados contra la libre asociación, incluyendo a organizaciones de protección de derechos humanos</w:t>
      </w:r>
      <w:r w:rsidR="00E30625" w:rsidRPr="00BD6C53">
        <w:rPr>
          <w:rStyle w:val="FootnoteReference"/>
          <w:rFonts w:ascii="Cambria" w:hAnsi="Cambria"/>
          <w:sz w:val="20"/>
          <w:szCs w:val="20"/>
          <w:lang w:val="es-ES"/>
        </w:rPr>
        <w:footnoteReference w:id="127"/>
      </w:r>
      <w:r w:rsidRPr="00BD6C53">
        <w:rPr>
          <w:rFonts w:ascii="Cambria" w:hAnsi="Cambria"/>
          <w:color w:val="000000"/>
          <w:sz w:val="20"/>
          <w:szCs w:val="20"/>
          <w:lang w:val="es-ES"/>
        </w:rPr>
        <w:t>.</w:t>
      </w:r>
    </w:p>
    <w:p w14:paraId="7C0B153B" w14:textId="77777777" w:rsidR="00C10196" w:rsidRPr="00501F60" w:rsidRDefault="00C10196" w:rsidP="00C10196">
      <w:pPr>
        <w:tabs>
          <w:tab w:val="left" w:pos="360"/>
        </w:tabs>
        <w:rPr>
          <w:lang w:val="es-ES"/>
        </w:rPr>
      </w:pPr>
    </w:p>
    <w:p w14:paraId="7FC906EF" w14:textId="76738B7D" w:rsidR="00225587" w:rsidRPr="00501F60" w:rsidRDefault="00C10196" w:rsidP="000A7F9F">
      <w:pPr>
        <w:pStyle w:val="Heading3"/>
        <w:tabs>
          <w:tab w:val="left" w:pos="360"/>
          <w:tab w:val="left" w:pos="810"/>
        </w:tabs>
        <w:ind w:left="360"/>
        <w:rPr>
          <w:lang w:val="es-ES"/>
        </w:rPr>
      </w:pPr>
      <w:r w:rsidRPr="749ACC70">
        <w:rPr>
          <w:lang w:val="es-ES"/>
        </w:rPr>
        <w:t>Análisis del cas</w:t>
      </w:r>
      <w:r w:rsidR="006A3810" w:rsidRPr="749ACC70">
        <w:rPr>
          <w:lang w:val="es-ES"/>
        </w:rPr>
        <w:t xml:space="preserve">o </w:t>
      </w:r>
    </w:p>
    <w:p w14:paraId="160C69D0" w14:textId="77777777" w:rsidR="00225587" w:rsidRPr="00501F60" w:rsidRDefault="00225587" w:rsidP="00BD6C53">
      <w:pPr>
        <w:rPr>
          <w:rFonts w:ascii="Cambria" w:hAnsi="Cambria"/>
          <w:sz w:val="20"/>
          <w:szCs w:val="20"/>
          <w:lang w:val="es-ES"/>
        </w:rPr>
      </w:pPr>
    </w:p>
    <w:p w14:paraId="08A13732" w14:textId="392307EE" w:rsidR="00242EA8" w:rsidRPr="00501F60" w:rsidRDefault="00B97006" w:rsidP="001A4728">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num" w:pos="450"/>
        </w:tabs>
        <w:ind w:left="0" w:firstLine="0"/>
        <w:jc w:val="both"/>
        <w:rPr>
          <w:rFonts w:ascii="Cambria" w:hAnsi="Cambria"/>
          <w:sz w:val="20"/>
          <w:szCs w:val="20"/>
          <w:lang w:val="es-ES"/>
        </w:rPr>
      </w:pPr>
      <w:r w:rsidRPr="00BD6C53">
        <w:rPr>
          <w:rFonts w:ascii="Cambria" w:hAnsi="Cambria"/>
          <w:sz w:val="20"/>
          <w:szCs w:val="20"/>
          <w:lang w:val="es-ES"/>
        </w:rPr>
        <w:t>L</w:t>
      </w:r>
      <w:r w:rsidR="00225587" w:rsidRPr="00BD6C53">
        <w:rPr>
          <w:rFonts w:ascii="Cambria" w:hAnsi="Cambria"/>
          <w:sz w:val="20"/>
          <w:szCs w:val="20"/>
          <w:lang w:val="es-ES"/>
        </w:rPr>
        <w:t xml:space="preserve">a Comisión </w:t>
      </w:r>
      <w:r w:rsidR="001C7CC1" w:rsidRPr="00BD6C53">
        <w:rPr>
          <w:rFonts w:ascii="Cambria" w:hAnsi="Cambria"/>
          <w:sz w:val="20"/>
          <w:szCs w:val="20"/>
          <w:lang w:val="es-ES"/>
        </w:rPr>
        <w:t>observa</w:t>
      </w:r>
      <w:r w:rsidR="00225587" w:rsidRPr="00BD6C53">
        <w:rPr>
          <w:rFonts w:ascii="Cambria" w:hAnsi="Cambria"/>
          <w:sz w:val="20"/>
          <w:szCs w:val="20"/>
          <w:lang w:val="es-ES"/>
        </w:rPr>
        <w:t xml:space="preserve"> que</w:t>
      </w:r>
      <w:r w:rsidR="00242EA8" w:rsidRPr="00BD6C53">
        <w:rPr>
          <w:rFonts w:ascii="Cambria" w:hAnsi="Cambria"/>
          <w:sz w:val="20"/>
          <w:szCs w:val="20"/>
          <w:lang w:val="es-ES"/>
        </w:rPr>
        <w:t>, tal como se señaló previamente,</w:t>
      </w:r>
      <w:r w:rsidR="001C7CC1" w:rsidRPr="00BD6C53">
        <w:rPr>
          <w:rFonts w:ascii="Cambria" w:hAnsi="Cambria"/>
          <w:sz w:val="20"/>
          <w:szCs w:val="20"/>
          <w:lang w:val="es-ES"/>
        </w:rPr>
        <w:t xml:space="preserve"> </w:t>
      </w:r>
      <w:r w:rsidR="00225587" w:rsidRPr="00BD6C53">
        <w:rPr>
          <w:rFonts w:ascii="Cambria" w:hAnsi="Cambria"/>
          <w:sz w:val="20"/>
          <w:szCs w:val="20"/>
          <w:lang w:val="es-ES"/>
        </w:rPr>
        <w:t xml:space="preserve">en la época de los hechos del presente caso existió un contexto de represalias contra personas defensoras </w:t>
      </w:r>
      <w:r w:rsidR="00242EA8" w:rsidRPr="00BD6C53">
        <w:rPr>
          <w:rFonts w:ascii="Cambria" w:hAnsi="Cambria"/>
          <w:sz w:val="20"/>
          <w:szCs w:val="20"/>
          <w:lang w:val="es-ES"/>
        </w:rPr>
        <w:t>de derechos humanos</w:t>
      </w:r>
      <w:r w:rsidR="00225587" w:rsidRPr="00BD6C53">
        <w:rPr>
          <w:rFonts w:ascii="Cambria" w:hAnsi="Cambria"/>
          <w:sz w:val="20"/>
          <w:szCs w:val="20"/>
          <w:lang w:val="es-ES"/>
        </w:rPr>
        <w:t xml:space="preserve"> que manifestaban una postura en disenso a las políticas del gobierno. La CIDH </w:t>
      </w:r>
      <w:r w:rsidR="00225587" w:rsidRPr="00BD6C53">
        <w:rPr>
          <w:rFonts w:ascii="Cambria" w:hAnsi="Cambria"/>
          <w:sz w:val="20"/>
          <w:szCs w:val="20"/>
          <w:bdr w:val="none" w:sz="0" w:space="0" w:color="auto" w:frame="1"/>
          <w:lang w:val="es-ES"/>
        </w:rPr>
        <w:t>toma</w:t>
      </w:r>
      <w:r w:rsidR="00225587" w:rsidRPr="00BD6C53">
        <w:rPr>
          <w:rFonts w:ascii="Cambria" w:hAnsi="Cambria"/>
          <w:sz w:val="20"/>
          <w:szCs w:val="20"/>
          <w:lang w:val="es-ES"/>
        </w:rPr>
        <w:t xml:space="preserve"> nota de que</w:t>
      </w:r>
      <w:r w:rsidR="00242EA8" w:rsidRPr="00BD6C53">
        <w:rPr>
          <w:rFonts w:ascii="Cambria" w:hAnsi="Cambria"/>
          <w:sz w:val="20"/>
          <w:szCs w:val="20"/>
          <w:lang w:val="es-ES"/>
        </w:rPr>
        <w:t xml:space="preserve"> este asunto se enmarca dentro de dicho</w:t>
      </w:r>
      <w:r w:rsidR="00225587" w:rsidRPr="00BD6C53">
        <w:rPr>
          <w:rFonts w:ascii="Cambria" w:hAnsi="Cambria"/>
          <w:sz w:val="20"/>
          <w:szCs w:val="20"/>
          <w:lang w:val="es-ES"/>
        </w:rPr>
        <w:t xml:space="preserve"> </w:t>
      </w:r>
      <w:r w:rsidR="00242EA8" w:rsidRPr="00BD6C53">
        <w:rPr>
          <w:rFonts w:ascii="Cambria" w:hAnsi="Cambria"/>
          <w:sz w:val="20"/>
          <w:szCs w:val="20"/>
          <w:lang w:val="es-ES"/>
        </w:rPr>
        <w:t>contexto</w:t>
      </w:r>
      <w:r w:rsidR="00225587" w:rsidRPr="00BD6C53">
        <w:rPr>
          <w:rFonts w:ascii="Cambria" w:hAnsi="Cambria"/>
          <w:sz w:val="20"/>
          <w:szCs w:val="20"/>
          <w:lang w:val="es-ES"/>
        </w:rPr>
        <w:t xml:space="preserve">. </w:t>
      </w:r>
      <w:r w:rsidR="005552AB" w:rsidRPr="00BD6C53">
        <w:rPr>
          <w:rFonts w:ascii="Cambria" w:hAnsi="Cambria"/>
          <w:sz w:val="20"/>
          <w:szCs w:val="20"/>
          <w:lang w:val="es-ES"/>
        </w:rPr>
        <w:t xml:space="preserve">La Comisión </w:t>
      </w:r>
      <w:r w:rsidR="00F11967" w:rsidRPr="00BD6C53">
        <w:rPr>
          <w:rFonts w:ascii="Cambria" w:hAnsi="Cambria"/>
          <w:sz w:val="20"/>
          <w:szCs w:val="20"/>
          <w:lang w:val="es-ES"/>
        </w:rPr>
        <w:t xml:space="preserve">destaca </w:t>
      </w:r>
      <w:r w:rsidR="005552AB" w:rsidRPr="00BD6C53">
        <w:rPr>
          <w:rFonts w:ascii="Cambria" w:hAnsi="Cambria"/>
          <w:sz w:val="20"/>
          <w:szCs w:val="20"/>
          <w:lang w:val="es-ES"/>
        </w:rPr>
        <w:t>que e</w:t>
      </w:r>
      <w:r w:rsidR="00225587" w:rsidRPr="00BD6C53">
        <w:rPr>
          <w:rFonts w:ascii="Cambria" w:hAnsi="Cambria"/>
          <w:sz w:val="20"/>
          <w:szCs w:val="20"/>
          <w:lang w:val="es-ES"/>
        </w:rPr>
        <w:t xml:space="preserve">l señor </w:t>
      </w:r>
      <w:r w:rsidR="000A7F9F" w:rsidRPr="00BD6C53">
        <w:rPr>
          <w:rFonts w:ascii="Cambria" w:hAnsi="Cambria"/>
          <w:sz w:val="20"/>
          <w:szCs w:val="20"/>
          <w:lang w:val="es-ES"/>
        </w:rPr>
        <w:t>Castillo Pérez</w:t>
      </w:r>
      <w:r w:rsidR="00225587" w:rsidRPr="00BD6C53">
        <w:rPr>
          <w:rFonts w:ascii="Cambria" w:hAnsi="Cambria"/>
          <w:sz w:val="20"/>
          <w:szCs w:val="20"/>
          <w:lang w:val="es-ES"/>
        </w:rPr>
        <w:t xml:space="preserve"> </w:t>
      </w:r>
      <w:r w:rsidRPr="00BD6C53">
        <w:rPr>
          <w:rFonts w:ascii="Cambria" w:hAnsi="Cambria"/>
          <w:sz w:val="20"/>
          <w:szCs w:val="20"/>
          <w:lang w:val="es-ES"/>
        </w:rPr>
        <w:t>es</w:t>
      </w:r>
      <w:r w:rsidR="00225587" w:rsidRPr="00BD6C53">
        <w:rPr>
          <w:rFonts w:ascii="Cambria" w:hAnsi="Cambria"/>
          <w:sz w:val="20"/>
          <w:szCs w:val="20"/>
          <w:lang w:val="es-ES"/>
        </w:rPr>
        <w:t xml:space="preserve"> un </w:t>
      </w:r>
      <w:r w:rsidRPr="00BD6C53">
        <w:rPr>
          <w:rFonts w:ascii="Cambria" w:hAnsi="Cambria"/>
          <w:sz w:val="20"/>
          <w:szCs w:val="20"/>
          <w:lang w:val="es-ES"/>
        </w:rPr>
        <w:t xml:space="preserve">artista </w:t>
      </w:r>
      <w:r w:rsidR="00FD0CED" w:rsidRPr="00BD6C53">
        <w:rPr>
          <w:rFonts w:ascii="Cambria" w:hAnsi="Cambria"/>
          <w:sz w:val="20"/>
          <w:szCs w:val="20"/>
          <w:lang w:val="es-ES"/>
        </w:rPr>
        <w:t>que me</w:t>
      </w:r>
      <w:r w:rsidR="00F11967" w:rsidRPr="00BD6C53">
        <w:rPr>
          <w:rFonts w:ascii="Cambria" w:hAnsi="Cambria"/>
          <w:sz w:val="20"/>
          <w:szCs w:val="20"/>
          <w:lang w:val="es-ES"/>
        </w:rPr>
        <w:t xml:space="preserve">diante la música se manifiesta y muestra su disenso hacia el </w:t>
      </w:r>
      <w:r w:rsidR="0083046E" w:rsidRPr="00BD6C53">
        <w:rPr>
          <w:rFonts w:ascii="Cambria" w:hAnsi="Cambria"/>
          <w:sz w:val="20"/>
          <w:szCs w:val="20"/>
          <w:lang w:val="es-ES"/>
        </w:rPr>
        <w:t>gobierno en</w:t>
      </w:r>
      <w:r w:rsidR="00F11967" w:rsidRPr="00BD6C53">
        <w:rPr>
          <w:rFonts w:ascii="Cambria" w:hAnsi="Cambria"/>
          <w:sz w:val="20"/>
          <w:szCs w:val="20"/>
          <w:lang w:val="es-ES"/>
        </w:rPr>
        <w:t xml:space="preserve"> Cuba, </w:t>
      </w:r>
      <w:r w:rsidR="0083046E" w:rsidRPr="00BD6C53">
        <w:rPr>
          <w:rFonts w:ascii="Cambria" w:hAnsi="Cambria"/>
          <w:sz w:val="20"/>
          <w:szCs w:val="20"/>
          <w:lang w:val="es-ES"/>
        </w:rPr>
        <w:t>donde</w:t>
      </w:r>
      <w:r w:rsidR="00F11967" w:rsidRPr="00BD6C53">
        <w:rPr>
          <w:rFonts w:ascii="Cambria" w:hAnsi="Cambria"/>
          <w:sz w:val="20"/>
          <w:szCs w:val="20"/>
          <w:lang w:val="es-ES"/>
        </w:rPr>
        <w:t xml:space="preserve"> particip</w:t>
      </w:r>
      <w:r w:rsidR="0083046E" w:rsidRPr="00BD6C53">
        <w:rPr>
          <w:rFonts w:ascii="Cambria" w:hAnsi="Cambria"/>
          <w:sz w:val="20"/>
          <w:szCs w:val="20"/>
          <w:lang w:val="es-ES"/>
        </w:rPr>
        <w:t xml:space="preserve">ó </w:t>
      </w:r>
      <w:r w:rsidR="00F11967" w:rsidRPr="00BD6C53">
        <w:rPr>
          <w:rFonts w:ascii="Cambria" w:hAnsi="Cambria"/>
          <w:sz w:val="20"/>
          <w:szCs w:val="20"/>
          <w:lang w:val="es-ES"/>
        </w:rPr>
        <w:t>de protesta</w:t>
      </w:r>
      <w:r w:rsidR="00A553F0" w:rsidRPr="00BD6C53">
        <w:rPr>
          <w:rFonts w:ascii="Cambria" w:hAnsi="Cambria"/>
          <w:sz w:val="20"/>
          <w:szCs w:val="20"/>
          <w:lang w:val="es-ES"/>
        </w:rPr>
        <w:t>s</w:t>
      </w:r>
      <w:r w:rsidR="00F11967" w:rsidRPr="00BD6C53">
        <w:rPr>
          <w:rFonts w:ascii="Cambria" w:hAnsi="Cambria"/>
          <w:sz w:val="20"/>
          <w:szCs w:val="20"/>
          <w:lang w:val="es-ES"/>
        </w:rPr>
        <w:t xml:space="preserve"> y expresiones artísticas</w:t>
      </w:r>
      <w:r w:rsidR="00225587" w:rsidRPr="00BD6C53">
        <w:rPr>
          <w:rFonts w:ascii="Cambria" w:hAnsi="Cambria"/>
          <w:sz w:val="20"/>
          <w:szCs w:val="20"/>
          <w:lang w:val="es-ES"/>
        </w:rPr>
        <w:t xml:space="preserve"> </w:t>
      </w:r>
      <w:r w:rsidR="000A7F9F" w:rsidRPr="00BD6C53">
        <w:rPr>
          <w:rFonts w:ascii="Cambria" w:hAnsi="Cambria"/>
          <w:sz w:val="20"/>
          <w:szCs w:val="20"/>
          <w:lang w:val="es-ES"/>
        </w:rPr>
        <w:t>d</w:t>
      </w:r>
      <w:r w:rsidR="00225587" w:rsidRPr="00BD6C53">
        <w:rPr>
          <w:rFonts w:ascii="Cambria" w:hAnsi="Cambria"/>
          <w:sz w:val="20"/>
          <w:szCs w:val="20"/>
          <w:lang w:val="es-ES"/>
        </w:rPr>
        <w:t>e suma visibilidad</w:t>
      </w:r>
      <w:r w:rsidR="0083046E" w:rsidRPr="00BD6C53">
        <w:rPr>
          <w:rFonts w:ascii="Cambria" w:hAnsi="Cambria"/>
          <w:sz w:val="20"/>
          <w:szCs w:val="20"/>
          <w:lang w:val="es-ES"/>
        </w:rPr>
        <w:t xml:space="preserve"> en medios públicos</w:t>
      </w:r>
      <w:r w:rsidR="00225587" w:rsidRPr="00BD6C53">
        <w:rPr>
          <w:rFonts w:ascii="Cambria" w:hAnsi="Cambria"/>
          <w:sz w:val="20"/>
          <w:szCs w:val="20"/>
          <w:lang w:val="es-ES"/>
        </w:rPr>
        <w:t>.</w:t>
      </w:r>
      <w:r w:rsidR="00F11967" w:rsidRPr="00BD6C53">
        <w:rPr>
          <w:rFonts w:ascii="Cambria" w:hAnsi="Cambria"/>
          <w:sz w:val="20"/>
          <w:szCs w:val="20"/>
          <w:lang w:val="es-ES"/>
        </w:rPr>
        <w:t xml:space="preserve"> A su vez, el señor Castillo Pérez, tanto por medio del arte como de la denuncia pública, realiza acciones con miras a la defensa en contra </w:t>
      </w:r>
      <w:r w:rsidR="00A553F0" w:rsidRPr="00BD6C53">
        <w:rPr>
          <w:rFonts w:ascii="Cambria" w:hAnsi="Cambria"/>
          <w:sz w:val="20"/>
          <w:szCs w:val="20"/>
          <w:lang w:val="es-ES"/>
        </w:rPr>
        <w:t xml:space="preserve">de las </w:t>
      </w:r>
      <w:r w:rsidR="00F11967" w:rsidRPr="00BD6C53">
        <w:rPr>
          <w:rFonts w:ascii="Cambria" w:hAnsi="Cambria"/>
          <w:sz w:val="20"/>
          <w:szCs w:val="20"/>
          <w:lang w:val="es-ES"/>
        </w:rPr>
        <w:t xml:space="preserve">afectaciones a la democracia </w:t>
      </w:r>
      <w:r w:rsidR="00A553F0" w:rsidRPr="00BD6C53">
        <w:rPr>
          <w:rFonts w:ascii="Cambria" w:hAnsi="Cambria"/>
          <w:sz w:val="20"/>
          <w:szCs w:val="20"/>
          <w:lang w:val="es-ES"/>
        </w:rPr>
        <w:t>y de las detenciones arbitrarias del Estado</w:t>
      </w:r>
      <w:r w:rsidR="00F11967" w:rsidRPr="00BD6C53">
        <w:rPr>
          <w:rFonts w:ascii="Cambria" w:hAnsi="Cambria"/>
          <w:sz w:val="20"/>
          <w:szCs w:val="20"/>
          <w:lang w:val="es-ES"/>
        </w:rPr>
        <w:t xml:space="preserve">. </w:t>
      </w:r>
      <w:r w:rsidR="00242EA8" w:rsidRPr="00BD6C53">
        <w:rPr>
          <w:rFonts w:ascii="Cambria" w:hAnsi="Cambria"/>
          <w:sz w:val="20"/>
          <w:szCs w:val="20"/>
          <w:lang w:val="es-ES"/>
        </w:rPr>
        <w:t xml:space="preserve">Según la parte peticionaria, </w:t>
      </w:r>
      <w:r w:rsidR="000A7F9F" w:rsidRPr="00BD6C53">
        <w:rPr>
          <w:rFonts w:ascii="Cambria" w:hAnsi="Cambria"/>
          <w:sz w:val="20"/>
          <w:szCs w:val="20"/>
          <w:lang w:val="es-ES"/>
        </w:rPr>
        <w:t>Maykel Castillo Pérez</w:t>
      </w:r>
      <w:r w:rsidR="00225587" w:rsidRPr="00BD6C53">
        <w:rPr>
          <w:rFonts w:ascii="Cambria" w:hAnsi="Cambria"/>
          <w:sz w:val="20"/>
          <w:szCs w:val="20"/>
          <w:lang w:val="es-ES"/>
        </w:rPr>
        <w:t xml:space="preserve"> fue sujeto a divers</w:t>
      </w:r>
      <w:r w:rsidR="00242EA8" w:rsidRPr="00BD6C53">
        <w:rPr>
          <w:rFonts w:ascii="Cambria" w:hAnsi="Cambria"/>
          <w:sz w:val="20"/>
          <w:szCs w:val="20"/>
          <w:lang w:val="es-ES"/>
        </w:rPr>
        <w:t>a</w:t>
      </w:r>
      <w:r w:rsidR="00225587" w:rsidRPr="00BD6C53">
        <w:rPr>
          <w:rFonts w:ascii="Cambria" w:hAnsi="Cambria"/>
          <w:sz w:val="20"/>
          <w:szCs w:val="20"/>
          <w:lang w:val="es-ES"/>
        </w:rPr>
        <w:t>s</w:t>
      </w:r>
      <w:r w:rsidR="00242EA8" w:rsidRPr="00BD6C53">
        <w:rPr>
          <w:rFonts w:ascii="Cambria" w:hAnsi="Cambria"/>
          <w:sz w:val="20"/>
          <w:szCs w:val="20"/>
          <w:lang w:val="es-ES"/>
        </w:rPr>
        <w:t xml:space="preserve"> detenciones,</w:t>
      </w:r>
      <w:r w:rsidR="00225587" w:rsidRPr="00BD6C53">
        <w:rPr>
          <w:rFonts w:ascii="Cambria" w:hAnsi="Cambria"/>
          <w:sz w:val="20"/>
          <w:szCs w:val="20"/>
          <w:lang w:val="es-ES"/>
        </w:rPr>
        <w:t xml:space="preserve"> actos de violencia, hostigamiento</w:t>
      </w:r>
      <w:r w:rsidR="00242EA8" w:rsidRPr="00BD6C53">
        <w:rPr>
          <w:rFonts w:ascii="Cambria" w:hAnsi="Cambria"/>
          <w:sz w:val="20"/>
          <w:szCs w:val="20"/>
          <w:lang w:val="es-ES"/>
        </w:rPr>
        <w:t xml:space="preserve">s y </w:t>
      </w:r>
      <w:r w:rsidR="00225587" w:rsidRPr="00BD6C53">
        <w:rPr>
          <w:rFonts w:ascii="Cambria" w:hAnsi="Cambria"/>
          <w:sz w:val="20"/>
          <w:szCs w:val="20"/>
          <w:lang w:val="es-ES"/>
        </w:rPr>
        <w:t>amenazas</w:t>
      </w:r>
      <w:r w:rsidR="004502CA" w:rsidRPr="00BD6C53">
        <w:rPr>
          <w:rFonts w:ascii="Cambria" w:hAnsi="Cambria"/>
          <w:sz w:val="20"/>
          <w:szCs w:val="20"/>
          <w:lang w:val="es-ES"/>
        </w:rPr>
        <w:t xml:space="preserve"> por la realización de sus labores</w:t>
      </w:r>
      <w:r w:rsidR="00242EA8" w:rsidRPr="00BD6C53">
        <w:rPr>
          <w:rFonts w:ascii="Cambria" w:hAnsi="Cambria"/>
          <w:sz w:val="20"/>
          <w:szCs w:val="20"/>
          <w:lang w:val="es-ES"/>
        </w:rPr>
        <w:t xml:space="preserve"> </w:t>
      </w:r>
      <w:r w:rsidR="000C3CD9" w:rsidRPr="00BD6C53">
        <w:rPr>
          <w:rStyle w:val="normaltextrun"/>
          <w:rFonts w:ascii="Cambria" w:hAnsi="Cambria"/>
          <w:color w:val="000000"/>
          <w:sz w:val="20"/>
          <w:szCs w:val="20"/>
          <w:shd w:val="clear" w:color="auto" w:fill="FFFFFF"/>
          <w:lang w:val="es-ES"/>
        </w:rPr>
        <w:t>(</w:t>
      </w:r>
      <w:r w:rsidR="000C3CD9" w:rsidRPr="749ACC70">
        <w:rPr>
          <w:rStyle w:val="normaltextrun"/>
          <w:rFonts w:ascii="Cambria" w:hAnsi="Cambria"/>
          <w:i/>
          <w:iCs/>
          <w:color w:val="000000"/>
          <w:sz w:val="20"/>
          <w:szCs w:val="20"/>
          <w:shd w:val="clear" w:color="auto" w:fill="FFFFFF"/>
          <w:lang w:val="es-ES"/>
        </w:rPr>
        <w:t>supra</w:t>
      </w:r>
      <w:r w:rsidR="000C3CD9" w:rsidRPr="00BD6C53">
        <w:rPr>
          <w:rStyle w:val="normaltextrun"/>
          <w:rFonts w:ascii="Cambria" w:hAnsi="Cambria"/>
          <w:color w:val="000000"/>
          <w:sz w:val="20"/>
          <w:szCs w:val="20"/>
          <w:shd w:val="clear" w:color="auto" w:fill="FFFFFF"/>
          <w:lang w:val="es-ES"/>
        </w:rPr>
        <w:t xml:space="preserve"> párrs. </w:t>
      </w:r>
      <w:r w:rsidR="001C7CC1" w:rsidRPr="00501F60">
        <w:rPr>
          <w:rStyle w:val="normaltextrun"/>
          <w:rFonts w:ascii="Cambria" w:hAnsi="Cambria"/>
          <w:color w:val="000000"/>
          <w:sz w:val="20"/>
          <w:szCs w:val="20"/>
          <w:shd w:val="clear" w:color="auto" w:fill="FFFFFF"/>
          <w:lang w:val="es-ES"/>
        </w:rPr>
        <w:t>34-37</w:t>
      </w:r>
      <w:r w:rsidR="000C3CD9" w:rsidRPr="00501F60">
        <w:rPr>
          <w:rStyle w:val="normaltextrun"/>
          <w:rFonts w:ascii="Cambria" w:hAnsi="Cambria"/>
          <w:color w:val="000000"/>
          <w:sz w:val="20"/>
          <w:szCs w:val="20"/>
          <w:shd w:val="clear" w:color="auto" w:fill="FFFFFF"/>
          <w:lang w:val="es-ES"/>
        </w:rPr>
        <w:t>)</w:t>
      </w:r>
      <w:r w:rsidR="00E13487" w:rsidRPr="00501F60">
        <w:rPr>
          <w:rFonts w:ascii="Cambria" w:hAnsi="Cambria"/>
          <w:sz w:val="20"/>
          <w:szCs w:val="20"/>
          <w:lang w:val="es-ES"/>
        </w:rPr>
        <w:t>.</w:t>
      </w:r>
      <w:r w:rsidR="00F53070" w:rsidRPr="00501F60">
        <w:rPr>
          <w:rFonts w:ascii="Cambria" w:hAnsi="Cambria"/>
          <w:sz w:val="20"/>
          <w:szCs w:val="20"/>
          <w:lang w:val="es-ES"/>
        </w:rPr>
        <w:t xml:space="preserve"> </w:t>
      </w:r>
      <w:r w:rsidR="00242EA8" w:rsidRPr="00501F60">
        <w:rPr>
          <w:rFonts w:ascii="Cambria" w:hAnsi="Cambria"/>
          <w:sz w:val="20"/>
          <w:szCs w:val="20"/>
          <w:lang w:val="es-ES"/>
        </w:rPr>
        <w:t>Dicha información no fue controvertida por el Estado.</w:t>
      </w:r>
    </w:p>
    <w:p w14:paraId="43D119B1" w14:textId="77777777" w:rsidR="00242EA8" w:rsidRPr="00501F60" w:rsidRDefault="00242EA8"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lang w:val="es-ES"/>
        </w:rPr>
      </w:pPr>
    </w:p>
    <w:p w14:paraId="60947B9A" w14:textId="12C3905A" w:rsidR="00E433FD" w:rsidRPr="00BD6C53" w:rsidRDefault="000C3CD9" w:rsidP="001A4728">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num" w:pos="450"/>
        </w:tabs>
        <w:ind w:left="0" w:firstLine="0"/>
        <w:jc w:val="both"/>
        <w:rPr>
          <w:rFonts w:ascii="Cambria" w:hAnsi="Cambria"/>
          <w:sz w:val="20"/>
          <w:szCs w:val="20"/>
          <w:lang w:val="es-ES"/>
        </w:rPr>
      </w:pPr>
      <w:r w:rsidRPr="7AB0424C">
        <w:rPr>
          <w:rFonts w:asciiTheme="majorHAnsi" w:hAnsiTheme="majorHAnsi"/>
          <w:sz w:val="20"/>
          <w:szCs w:val="20"/>
          <w:lang w:val="es-ES"/>
        </w:rPr>
        <w:t>La CIDH nota que la</w:t>
      </w:r>
      <w:r w:rsidR="00E433FD" w:rsidRPr="7AB0424C">
        <w:rPr>
          <w:rFonts w:asciiTheme="majorHAnsi" w:hAnsiTheme="majorHAnsi"/>
          <w:sz w:val="20"/>
          <w:szCs w:val="20"/>
          <w:lang w:val="es-ES"/>
        </w:rPr>
        <w:t xml:space="preserve"> imposición de la multa, las</w:t>
      </w:r>
      <w:r w:rsidRPr="7AB0424C">
        <w:rPr>
          <w:rFonts w:asciiTheme="majorHAnsi" w:hAnsiTheme="majorHAnsi"/>
          <w:sz w:val="20"/>
          <w:szCs w:val="20"/>
          <w:lang w:val="es-ES"/>
        </w:rPr>
        <w:t xml:space="preserve"> detenciones</w:t>
      </w:r>
      <w:r w:rsidR="00242EA8" w:rsidRPr="7AB0424C">
        <w:rPr>
          <w:rFonts w:asciiTheme="majorHAnsi" w:hAnsiTheme="majorHAnsi"/>
          <w:sz w:val="20"/>
          <w:szCs w:val="20"/>
          <w:lang w:val="es-ES"/>
        </w:rPr>
        <w:t xml:space="preserve"> </w:t>
      </w:r>
      <w:r w:rsidRPr="7AB0424C">
        <w:rPr>
          <w:rFonts w:asciiTheme="majorHAnsi" w:hAnsiTheme="majorHAnsi"/>
          <w:sz w:val="20"/>
          <w:szCs w:val="20"/>
          <w:lang w:val="es-ES"/>
        </w:rPr>
        <w:t xml:space="preserve">del 22 de junio y de 25 de </w:t>
      </w:r>
      <w:r w:rsidR="003E7383" w:rsidRPr="7AB0424C">
        <w:rPr>
          <w:rFonts w:asciiTheme="majorHAnsi" w:hAnsiTheme="majorHAnsi"/>
          <w:sz w:val="20"/>
          <w:szCs w:val="20"/>
          <w:lang w:val="es-ES"/>
        </w:rPr>
        <w:t>septiembre</w:t>
      </w:r>
      <w:r w:rsidRPr="7AB0424C">
        <w:rPr>
          <w:rFonts w:asciiTheme="majorHAnsi" w:hAnsiTheme="majorHAnsi"/>
          <w:sz w:val="20"/>
          <w:szCs w:val="20"/>
          <w:lang w:val="es-ES"/>
        </w:rPr>
        <w:t xml:space="preserve"> de 2018 </w:t>
      </w:r>
      <w:r w:rsidR="00242EA8" w:rsidRPr="7AB0424C">
        <w:rPr>
          <w:rFonts w:asciiTheme="majorHAnsi" w:hAnsiTheme="majorHAnsi"/>
          <w:sz w:val="20"/>
          <w:szCs w:val="20"/>
          <w:lang w:val="es-ES"/>
        </w:rPr>
        <w:t>y el proceso penal relacionado con tales arrestos no</w:t>
      </w:r>
      <w:r w:rsidR="004502CA" w:rsidRPr="7AB0424C">
        <w:rPr>
          <w:rFonts w:asciiTheme="majorHAnsi" w:hAnsiTheme="majorHAnsi"/>
          <w:sz w:val="20"/>
          <w:szCs w:val="20"/>
          <w:lang w:val="es-ES"/>
        </w:rPr>
        <w:t xml:space="preserve"> resultó aislado</w:t>
      </w:r>
      <w:r w:rsidR="005552AB" w:rsidRPr="7AB0424C">
        <w:rPr>
          <w:rFonts w:asciiTheme="majorHAnsi" w:hAnsiTheme="majorHAnsi"/>
          <w:sz w:val="20"/>
          <w:szCs w:val="20"/>
          <w:lang w:val="es-ES"/>
        </w:rPr>
        <w:t>, sino que las afectaciones en su contra continuaron con posterioridad.</w:t>
      </w:r>
      <w:r w:rsidR="004502CA" w:rsidRPr="7AB0424C">
        <w:rPr>
          <w:rFonts w:asciiTheme="majorHAnsi" w:hAnsiTheme="majorHAnsi"/>
          <w:sz w:val="20"/>
          <w:szCs w:val="20"/>
          <w:lang w:val="es-ES"/>
        </w:rPr>
        <w:t xml:space="preserve"> </w:t>
      </w:r>
      <w:r w:rsidRPr="00BD6C53">
        <w:rPr>
          <w:rFonts w:ascii="Cambria" w:hAnsi="Cambria"/>
          <w:sz w:val="20"/>
          <w:szCs w:val="20"/>
          <w:lang w:val="es-ES"/>
        </w:rPr>
        <w:t xml:space="preserve">A ello se suma la información de público conocimiento que tuvo </w:t>
      </w:r>
      <w:r w:rsidRPr="7AB0424C">
        <w:rPr>
          <w:rFonts w:asciiTheme="majorHAnsi" w:hAnsiTheme="majorHAnsi"/>
          <w:sz w:val="20"/>
          <w:szCs w:val="20"/>
          <w:lang w:val="es-ES"/>
        </w:rPr>
        <w:t xml:space="preserve">repercusión en medios digitales y comunicaciones de organismos internacionales </w:t>
      </w:r>
      <w:r w:rsidR="005552AB" w:rsidRPr="7AB0424C">
        <w:rPr>
          <w:rFonts w:asciiTheme="majorHAnsi" w:hAnsiTheme="majorHAnsi"/>
          <w:sz w:val="20"/>
          <w:szCs w:val="20"/>
          <w:lang w:val="es-ES"/>
        </w:rPr>
        <w:t>sobre</w:t>
      </w:r>
      <w:r w:rsidRPr="7AB0424C">
        <w:rPr>
          <w:rFonts w:asciiTheme="majorHAnsi" w:hAnsiTheme="majorHAnsi"/>
          <w:sz w:val="20"/>
          <w:szCs w:val="20"/>
          <w:lang w:val="es-ES"/>
        </w:rPr>
        <w:t xml:space="preserve"> la situación de hostigamiento y criminalización de </w:t>
      </w:r>
      <w:r w:rsidR="004D31DD" w:rsidRPr="7AB0424C">
        <w:rPr>
          <w:rFonts w:asciiTheme="majorHAnsi" w:hAnsiTheme="majorHAnsi"/>
          <w:sz w:val="20"/>
          <w:szCs w:val="20"/>
          <w:lang w:val="es-ES"/>
        </w:rPr>
        <w:t xml:space="preserve">Maykel Castillo Pérez </w:t>
      </w:r>
      <w:r w:rsidRPr="00BD6C53">
        <w:rPr>
          <w:rStyle w:val="normaltextrun"/>
          <w:rFonts w:ascii="Cambria" w:hAnsi="Cambria"/>
          <w:color w:val="000000"/>
          <w:sz w:val="20"/>
          <w:szCs w:val="20"/>
          <w:shd w:val="clear" w:color="auto" w:fill="FFFFFF"/>
          <w:lang w:val="es-ES"/>
        </w:rPr>
        <w:t>(</w:t>
      </w:r>
      <w:r w:rsidRPr="749ACC70">
        <w:rPr>
          <w:rStyle w:val="normaltextrun"/>
          <w:rFonts w:ascii="Cambria" w:hAnsi="Cambria"/>
          <w:i/>
          <w:iCs/>
          <w:color w:val="000000"/>
          <w:sz w:val="20"/>
          <w:szCs w:val="20"/>
          <w:shd w:val="clear" w:color="auto" w:fill="FFFFFF"/>
          <w:lang w:val="es-ES"/>
        </w:rPr>
        <w:t>supra</w:t>
      </w:r>
      <w:r w:rsidRPr="00BD6C53">
        <w:rPr>
          <w:rStyle w:val="normaltextrun"/>
          <w:rFonts w:ascii="Cambria" w:hAnsi="Cambria"/>
          <w:color w:val="000000"/>
          <w:sz w:val="20"/>
          <w:szCs w:val="20"/>
          <w:shd w:val="clear" w:color="auto" w:fill="FFFFFF"/>
          <w:lang w:val="es-ES"/>
        </w:rPr>
        <w:t xml:space="preserve"> párrs. </w:t>
      </w:r>
      <w:r w:rsidR="001C7CC1" w:rsidRPr="00BD6C53">
        <w:rPr>
          <w:rStyle w:val="normaltextrun"/>
          <w:rFonts w:ascii="Cambria" w:hAnsi="Cambria"/>
          <w:color w:val="000000"/>
          <w:sz w:val="20"/>
          <w:szCs w:val="20"/>
          <w:shd w:val="clear" w:color="auto" w:fill="FFFFFF"/>
          <w:lang w:val="es-ES"/>
        </w:rPr>
        <w:t>37-4</w:t>
      </w:r>
      <w:r w:rsidR="00FD08BD" w:rsidRPr="00BD6C53">
        <w:rPr>
          <w:rStyle w:val="normaltextrun"/>
          <w:rFonts w:ascii="Cambria" w:hAnsi="Cambria"/>
          <w:color w:val="000000"/>
          <w:sz w:val="20"/>
          <w:szCs w:val="20"/>
          <w:shd w:val="clear" w:color="auto" w:fill="FFFFFF"/>
          <w:lang w:val="es-ES"/>
        </w:rPr>
        <w:t>3</w:t>
      </w:r>
      <w:r w:rsidRPr="00BD6C53">
        <w:rPr>
          <w:rStyle w:val="normaltextrun"/>
          <w:rFonts w:ascii="Cambria" w:hAnsi="Cambria"/>
          <w:color w:val="000000"/>
          <w:sz w:val="20"/>
          <w:szCs w:val="20"/>
          <w:shd w:val="clear" w:color="auto" w:fill="FFFFFF"/>
          <w:lang w:val="es-ES"/>
        </w:rPr>
        <w:t>)</w:t>
      </w:r>
      <w:r w:rsidRPr="00BD6C53">
        <w:rPr>
          <w:rFonts w:ascii="Cambria" w:hAnsi="Cambria"/>
          <w:sz w:val="20"/>
          <w:szCs w:val="20"/>
          <w:lang w:val="es-ES"/>
        </w:rPr>
        <w:t>.</w:t>
      </w:r>
      <w:r w:rsidR="00E433FD" w:rsidRPr="00BD6C53">
        <w:rPr>
          <w:rFonts w:ascii="Cambria" w:hAnsi="Cambria"/>
          <w:sz w:val="20"/>
          <w:szCs w:val="20"/>
          <w:lang w:val="es-ES"/>
        </w:rPr>
        <w:t xml:space="preserve"> La Comisión ha sostenido en su Informe sobre la Situación de Derechos Humanos en Cuba que “imponer multas (…) a la labor de las personas defensoras y privarlas de su libertad tiene como objetivo central criminalizar sus actividades de promoción y defensa de los derechos humanos, así como disuadirlas de continuar promoviendo sus causas”</w:t>
      </w:r>
      <w:r w:rsidR="00E433FD" w:rsidRPr="00BD6C53">
        <w:rPr>
          <w:rStyle w:val="FootnoteReference"/>
          <w:rFonts w:ascii="Cambria" w:hAnsi="Cambria"/>
          <w:sz w:val="20"/>
          <w:szCs w:val="20"/>
          <w:lang w:val="es-ES"/>
        </w:rPr>
        <w:footnoteReference w:id="128"/>
      </w:r>
      <w:r w:rsidR="00E433FD" w:rsidRPr="00BD6C53">
        <w:rPr>
          <w:rFonts w:ascii="Cambria" w:hAnsi="Cambria"/>
          <w:sz w:val="20"/>
          <w:szCs w:val="20"/>
          <w:lang w:val="es-ES"/>
        </w:rPr>
        <w:t xml:space="preserve">. </w:t>
      </w:r>
    </w:p>
    <w:p w14:paraId="38551622" w14:textId="77777777" w:rsidR="00E433FD" w:rsidRPr="00501F60" w:rsidRDefault="00E433FD"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lang w:val="es-ES"/>
        </w:rPr>
      </w:pPr>
    </w:p>
    <w:p w14:paraId="00564F73" w14:textId="3FA70F9D" w:rsidR="00DE3A31" w:rsidRPr="00501F60" w:rsidRDefault="00DE3A31" w:rsidP="001A4728">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Style w:val="normaltextrun"/>
          <w:rFonts w:ascii="Cambria" w:hAnsi="Cambria"/>
          <w:sz w:val="20"/>
          <w:szCs w:val="20"/>
          <w:lang w:val="es-ES"/>
        </w:rPr>
      </w:pPr>
      <w:r>
        <w:rPr>
          <w:rFonts w:ascii="Cambria" w:hAnsi="Cambria"/>
          <w:sz w:val="20"/>
          <w:szCs w:val="20"/>
          <w:lang w:val="es-ES"/>
        </w:rPr>
        <w:t xml:space="preserve">Adicionalmente, la Comisión destaca que la detención llevada a cabo en septiembre de 2018 y el proceso penal por “atentado” que se siguió tuvo origen en un incidente en </w:t>
      </w:r>
      <w:r w:rsidRPr="00BD6C53">
        <w:rPr>
          <w:rStyle w:val="normaltextrun"/>
          <w:rFonts w:ascii="Cambria" w:hAnsi="Cambria"/>
          <w:color w:val="000000"/>
          <w:sz w:val="20"/>
          <w:szCs w:val="20"/>
          <w:shd w:val="clear" w:color="auto" w:fill="FFFFFF"/>
          <w:lang w:val="es-ES"/>
        </w:rPr>
        <w:t>la zona de Parque Cristo en La Habana</w:t>
      </w:r>
      <w:r>
        <w:rPr>
          <w:rStyle w:val="normaltextrun"/>
          <w:rFonts w:ascii="Cambria" w:hAnsi="Cambria"/>
          <w:color w:val="000000"/>
          <w:sz w:val="20"/>
          <w:szCs w:val="20"/>
          <w:shd w:val="clear" w:color="auto" w:fill="FFFFFF"/>
          <w:lang w:val="es-ES"/>
        </w:rPr>
        <w:t>, cuando agentes policiales pidieron al señor Castillo Pérez que dejara de filmar un operativo policial que acontecía en espacios públicos</w:t>
      </w:r>
      <w:r w:rsidRPr="00BD6C53">
        <w:rPr>
          <w:rStyle w:val="normaltextrun"/>
          <w:rFonts w:ascii="Cambria" w:hAnsi="Cambria"/>
          <w:color w:val="000000"/>
          <w:sz w:val="20"/>
          <w:szCs w:val="20"/>
          <w:shd w:val="clear" w:color="auto" w:fill="FFFFFF"/>
          <w:lang w:val="es-ES"/>
        </w:rPr>
        <w:t xml:space="preserve"> (</w:t>
      </w:r>
      <w:r w:rsidRPr="749ACC70">
        <w:rPr>
          <w:rStyle w:val="normaltextrun"/>
          <w:rFonts w:ascii="Cambria" w:hAnsi="Cambria"/>
          <w:i/>
          <w:iCs/>
          <w:color w:val="000000"/>
          <w:sz w:val="20"/>
          <w:szCs w:val="20"/>
          <w:shd w:val="clear" w:color="auto" w:fill="FFFFFF"/>
          <w:lang w:val="es-ES"/>
        </w:rPr>
        <w:t>supra</w:t>
      </w:r>
      <w:r w:rsidRPr="00BD6C53">
        <w:rPr>
          <w:rStyle w:val="normaltextrun"/>
          <w:rFonts w:ascii="Cambria" w:hAnsi="Cambria"/>
          <w:color w:val="000000"/>
          <w:sz w:val="20"/>
          <w:szCs w:val="20"/>
          <w:shd w:val="clear" w:color="auto" w:fill="FFFFFF"/>
          <w:lang w:val="es-ES"/>
        </w:rPr>
        <w:t xml:space="preserve"> párrs. 2</w:t>
      </w:r>
      <w:r>
        <w:rPr>
          <w:rStyle w:val="normaltextrun"/>
          <w:rFonts w:ascii="Cambria" w:hAnsi="Cambria"/>
          <w:color w:val="000000"/>
          <w:sz w:val="20"/>
          <w:szCs w:val="20"/>
          <w:shd w:val="clear" w:color="auto" w:fill="FFFFFF"/>
          <w:lang w:val="es-ES"/>
        </w:rPr>
        <w:t>3</w:t>
      </w:r>
      <w:r w:rsidRPr="00BD6C53">
        <w:rPr>
          <w:rStyle w:val="normaltextrun"/>
          <w:rFonts w:ascii="Cambria" w:hAnsi="Cambria"/>
          <w:color w:val="000000"/>
          <w:sz w:val="20"/>
          <w:szCs w:val="20"/>
          <w:shd w:val="clear" w:color="auto" w:fill="FFFFFF"/>
          <w:lang w:val="es-ES"/>
        </w:rPr>
        <w:t>-25)</w:t>
      </w:r>
      <w:r>
        <w:rPr>
          <w:rStyle w:val="normaltextrun"/>
          <w:rFonts w:ascii="Cambria" w:hAnsi="Cambria"/>
          <w:color w:val="000000"/>
          <w:sz w:val="20"/>
          <w:szCs w:val="20"/>
          <w:shd w:val="clear" w:color="auto" w:fill="FFFFFF"/>
          <w:lang w:val="es-ES"/>
        </w:rPr>
        <w:t>. De la información aportada en el expediente, la CIDH no encuentra razones que puedan legítimamente justificar la restricción que dichos actos implicaron al derecho a la libertad de expresión, en su modalidad de libertad de investigación, de conformidad con la Declaración Americana. La Comisión recuerda que el derecho a la libertad de expresión protege el derecho de la persona a filmar estos tipos de operativos y la posibilidad de registrarlos tiene la potencialidad de contribuir a la rendición de cuentas de lo sucedido</w:t>
      </w:r>
      <w:r w:rsidRPr="00501F60">
        <w:rPr>
          <w:rStyle w:val="FootnoteReference"/>
          <w:rFonts w:ascii="Cambria" w:hAnsi="Cambria"/>
          <w:sz w:val="20"/>
          <w:szCs w:val="20"/>
          <w:lang w:val="es-ES"/>
        </w:rPr>
        <w:footnoteReference w:id="129"/>
      </w:r>
      <w:r>
        <w:rPr>
          <w:rStyle w:val="normaltextrun"/>
          <w:rFonts w:ascii="Cambria" w:hAnsi="Cambria"/>
          <w:color w:val="000000"/>
          <w:sz w:val="20"/>
          <w:szCs w:val="20"/>
          <w:shd w:val="clear" w:color="auto" w:fill="FFFFFF"/>
          <w:lang w:val="es-ES"/>
        </w:rPr>
        <w:t>.</w:t>
      </w:r>
    </w:p>
    <w:p w14:paraId="645A8968" w14:textId="77777777" w:rsidR="00DE3A31" w:rsidRDefault="00DE3A31"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lang w:val="es-ES"/>
        </w:rPr>
      </w:pPr>
    </w:p>
    <w:p w14:paraId="3C50C177" w14:textId="2EDCB6B8" w:rsidR="000C3CD9" w:rsidRDefault="00DE3A31" w:rsidP="001A4728">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lang w:val="es-ES"/>
        </w:rPr>
      </w:pPr>
      <w:r>
        <w:rPr>
          <w:rFonts w:ascii="Cambria" w:hAnsi="Cambria"/>
          <w:sz w:val="20"/>
          <w:szCs w:val="20"/>
          <w:lang w:val="es-ES"/>
        </w:rPr>
        <w:t>Finalmente</w:t>
      </w:r>
      <w:r w:rsidR="00E433FD" w:rsidRPr="00BD6C53">
        <w:rPr>
          <w:rFonts w:ascii="Cambria" w:hAnsi="Cambria"/>
          <w:sz w:val="20"/>
          <w:szCs w:val="20"/>
          <w:lang w:val="es-ES"/>
        </w:rPr>
        <w:t>, l</w:t>
      </w:r>
      <w:r w:rsidR="00225587" w:rsidRPr="00BD6C53">
        <w:rPr>
          <w:rFonts w:ascii="Cambria" w:hAnsi="Cambria"/>
          <w:sz w:val="20"/>
          <w:szCs w:val="20"/>
          <w:lang w:val="es-ES"/>
        </w:rPr>
        <w:t xml:space="preserve">a Comisión resalta que </w:t>
      </w:r>
      <w:r w:rsidR="00E13487" w:rsidRPr="00BD6C53">
        <w:rPr>
          <w:rFonts w:ascii="Cambria" w:hAnsi="Cambria"/>
          <w:sz w:val="20"/>
          <w:szCs w:val="20"/>
          <w:lang w:val="es-ES"/>
        </w:rPr>
        <w:t xml:space="preserve">el señor Castillo Pérez </w:t>
      </w:r>
      <w:r w:rsidR="00225587" w:rsidRPr="00BD6C53">
        <w:rPr>
          <w:rFonts w:ascii="Cambria" w:hAnsi="Cambria"/>
          <w:sz w:val="20"/>
          <w:szCs w:val="20"/>
          <w:lang w:val="es-ES"/>
        </w:rPr>
        <w:t>formaba</w:t>
      </w:r>
      <w:r w:rsidR="00E13487" w:rsidRPr="00BD6C53">
        <w:rPr>
          <w:rFonts w:ascii="Cambria" w:hAnsi="Cambria"/>
          <w:sz w:val="20"/>
          <w:szCs w:val="20"/>
          <w:lang w:val="es-ES"/>
        </w:rPr>
        <w:t xml:space="preserve"> </w:t>
      </w:r>
      <w:r w:rsidR="00225587" w:rsidRPr="00BD6C53">
        <w:rPr>
          <w:rFonts w:ascii="Cambria" w:hAnsi="Cambria"/>
          <w:sz w:val="20"/>
          <w:szCs w:val="20"/>
          <w:lang w:val="es-ES"/>
        </w:rPr>
        <w:t xml:space="preserve">parte del Movimiento </w:t>
      </w:r>
      <w:r w:rsidR="00E13487" w:rsidRPr="00BD6C53">
        <w:rPr>
          <w:rFonts w:ascii="Cambria" w:hAnsi="Cambria"/>
          <w:sz w:val="20"/>
          <w:szCs w:val="20"/>
          <w:lang w:val="es-ES"/>
        </w:rPr>
        <w:t>San Isidro</w:t>
      </w:r>
      <w:r w:rsidR="005552AB" w:rsidRPr="00BD6C53">
        <w:rPr>
          <w:rFonts w:ascii="Cambria" w:hAnsi="Cambria"/>
          <w:sz w:val="20"/>
          <w:szCs w:val="20"/>
          <w:lang w:val="es-ES"/>
        </w:rPr>
        <w:t xml:space="preserve"> (MSI)</w:t>
      </w:r>
      <w:r w:rsidR="00461D3E" w:rsidRPr="00BD6C53">
        <w:rPr>
          <w:rFonts w:ascii="Cambria" w:hAnsi="Cambria"/>
          <w:sz w:val="20"/>
          <w:szCs w:val="20"/>
          <w:lang w:val="es-ES"/>
        </w:rPr>
        <w:t xml:space="preserve"> y fue limitado a participar en las actividades que </w:t>
      </w:r>
      <w:r w:rsidR="00225587" w:rsidRPr="00BD6C53">
        <w:rPr>
          <w:rFonts w:ascii="Cambria" w:hAnsi="Cambria"/>
          <w:sz w:val="20"/>
          <w:szCs w:val="20"/>
          <w:lang w:val="es-ES"/>
        </w:rPr>
        <w:t>dicha organización realizaba</w:t>
      </w:r>
      <w:r w:rsidR="007942A7" w:rsidRPr="00BD6C53">
        <w:rPr>
          <w:rFonts w:ascii="Cambria" w:hAnsi="Cambria"/>
          <w:sz w:val="20"/>
          <w:szCs w:val="20"/>
          <w:lang w:val="es-ES"/>
        </w:rPr>
        <w:t xml:space="preserve"> producto de las detenciones a las que fue sometido</w:t>
      </w:r>
      <w:r w:rsidR="00225587" w:rsidRPr="00BD6C53">
        <w:rPr>
          <w:rFonts w:ascii="Cambria" w:hAnsi="Cambria"/>
          <w:sz w:val="20"/>
          <w:szCs w:val="20"/>
          <w:lang w:val="es-ES"/>
        </w:rPr>
        <w:t xml:space="preserve">. </w:t>
      </w:r>
      <w:r w:rsidR="004D31DD" w:rsidRPr="00BD6C53">
        <w:rPr>
          <w:rFonts w:ascii="Cambria" w:hAnsi="Cambria"/>
          <w:sz w:val="20"/>
          <w:szCs w:val="20"/>
          <w:lang w:val="es-ES"/>
        </w:rPr>
        <w:t>Asimismo, la Co</w:t>
      </w:r>
      <w:r w:rsidR="000C3CD9" w:rsidRPr="00BD6C53">
        <w:rPr>
          <w:rFonts w:ascii="Cambria" w:hAnsi="Cambria"/>
          <w:sz w:val="20"/>
          <w:szCs w:val="20"/>
          <w:lang w:val="es-ES"/>
        </w:rPr>
        <w:t xml:space="preserve">misión nota que por medio de </w:t>
      </w:r>
      <w:r w:rsidR="007942A7" w:rsidRPr="00BD6C53">
        <w:rPr>
          <w:rFonts w:ascii="Cambria" w:hAnsi="Cambria"/>
          <w:sz w:val="20"/>
          <w:szCs w:val="20"/>
          <w:lang w:val="es-ES"/>
        </w:rPr>
        <w:t>su</w:t>
      </w:r>
      <w:r w:rsidR="000C3CD9" w:rsidRPr="00BD6C53">
        <w:rPr>
          <w:rFonts w:ascii="Cambria" w:hAnsi="Cambria"/>
          <w:sz w:val="20"/>
          <w:szCs w:val="20"/>
          <w:lang w:val="es-ES"/>
        </w:rPr>
        <w:t xml:space="preserve"> Resolución </w:t>
      </w:r>
      <w:r w:rsidR="005552AB" w:rsidRPr="00BD6C53">
        <w:rPr>
          <w:rFonts w:ascii="Cambria" w:hAnsi="Cambria"/>
          <w:sz w:val="20"/>
          <w:szCs w:val="20"/>
          <w:lang w:val="es-ES"/>
        </w:rPr>
        <w:t xml:space="preserve">No. </w:t>
      </w:r>
      <w:r w:rsidR="000C3CD9" w:rsidRPr="00BD6C53">
        <w:rPr>
          <w:rFonts w:ascii="Cambria" w:hAnsi="Cambria"/>
          <w:sz w:val="20"/>
          <w:szCs w:val="20"/>
          <w:lang w:val="es-ES"/>
        </w:rPr>
        <w:t xml:space="preserve">14/2021 de medidas cautelares ya había dado cuenta de la situación de </w:t>
      </w:r>
      <w:r w:rsidR="005552AB" w:rsidRPr="00BD6C53">
        <w:rPr>
          <w:rFonts w:ascii="Cambria" w:hAnsi="Cambria"/>
          <w:sz w:val="20"/>
          <w:szCs w:val="20"/>
          <w:lang w:val="es-ES"/>
        </w:rPr>
        <w:t>riesgo en la que se encontraban los miembros del</w:t>
      </w:r>
      <w:r w:rsidR="000C3CD9" w:rsidRPr="00BD6C53">
        <w:rPr>
          <w:rFonts w:ascii="Cambria" w:hAnsi="Cambria"/>
          <w:sz w:val="20"/>
          <w:szCs w:val="20"/>
          <w:lang w:val="es-ES"/>
        </w:rPr>
        <w:t xml:space="preserve"> grupo MS</w:t>
      </w:r>
      <w:r w:rsidR="007942A7" w:rsidRPr="00BD6C53">
        <w:rPr>
          <w:rFonts w:ascii="Cambria" w:hAnsi="Cambria"/>
          <w:sz w:val="20"/>
          <w:szCs w:val="20"/>
          <w:lang w:val="es-ES"/>
        </w:rPr>
        <w:t xml:space="preserve">I, </w:t>
      </w:r>
      <w:r w:rsidR="004D31DD" w:rsidRPr="00BD6C53">
        <w:rPr>
          <w:rFonts w:ascii="Cambria" w:hAnsi="Cambria"/>
          <w:sz w:val="20"/>
          <w:szCs w:val="20"/>
          <w:lang w:val="es-ES"/>
        </w:rPr>
        <w:t>incluyendo a</w:t>
      </w:r>
      <w:r w:rsidR="007942A7" w:rsidRPr="00BD6C53">
        <w:rPr>
          <w:rFonts w:ascii="Cambria" w:hAnsi="Cambria"/>
          <w:sz w:val="20"/>
          <w:szCs w:val="20"/>
          <w:lang w:val="es-ES"/>
        </w:rPr>
        <w:t xml:space="preserve">l señor Castillo Pérez. </w:t>
      </w:r>
      <w:r w:rsidR="00E433FD" w:rsidRPr="00BD6C53">
        <w:rPr>
          <w:rFonts w:ascii="Cambria" w:hAnsi="Cambria"/>
          <w:sz w:val="20"/>
          <w:szCs w:val="20"/>
          <w:lang w:val="es-ES"/>
        </w:rPr>
        <w:t>La CIDH reitera que los órganos del sistema interamericano han indicado que las represalias a defensoras y defensores de derechos humanos tienen un efecto multiplicador que va más allá de la afectación directa a la persona del defensor o defensora, pues cuando la agresión es cometida en represalia a su actividad, produce un efecto amedrentador que se extiende a quienes defienden causas similares</w:t>
      </w:r>
      <w:r w:rsidR="00E433FD" w:rsidRPr="00BD6C53">
        <w:rPr>
          <w:rStyle w:val="FootnoteReference"/>
          <w:rFonts w:ascii="Cambria" w:hAnsi="Cambria"/>
          <w:sz w:val="20"/>
          <w:szCs w:val="20"/>
          <w:lang w:val="es-ES"/>
        </w:rPr>
        <w:footnoteReference w:id="130"/>
      </w:r>
      <w:r w:rsidR="00E433FD" w:rsidRPr="00BD6C53">
        <w:rPr>
          <w:rFonts w:ascii="Cambria" w:hAnsi="Cambria"/>
          <w:sz w:val="20"/>
          <w:szCs w:val="20"/>
          <w:lang w:val="es-ES"/>
        </w:rPr>
        <w:t xml:space="preserve">. </w:t>
      </w:r>
      <w:r w:rsidR="00225587" w:rsidRPr="00BD6C53">
        <w:rPr>
          <w:rFonts w:ascii="Cambria" w:hAnsi="Cambria"/>
          <w:sz w:val="20"/>
          <w:szCs w:val="20"/>
          <w:lang w:val="es-ES"/>
        </w:rPr>
        <w:t xml:space="preserve">Es así como la Comisión identifica que este caso se enmarcó dentro de los elementos contextuales de represión estatal de personas defensoras de derechos humanos en Cuba. </w:t>
      </w:r>
    </w:p>
    <w:p w14:paraId="460E3998" w14:textId="77777777" w:rsidR="00501F60" w:rsidRPr="00501F60" w:rsidRDefault="00501F60"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Style w:val="normaltextrun"/>
          <w:rFonts w:ascii="Cambria" w:hAnsi="Cambria"/>
          <w:sz w:val="20"/>
          <w:szCs w:val="20"/>
          <w:lang w:val="es-ES"/>
        </w:rPr>
      </w:pPr>
    </w:p>
    <w:p w14:paraId="4F10B1A6" w14:textId="1969BB18" w:rsidR="00225587" w:rsidRPr="00BD6C53" w:rsidRDefault="00225587" w:rsidP="001A4728">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lang w:val="es-ES"/>
        </w:rPr>
      </w:pPr>
      <w:bookmarkStart w:id="33" w:name="_Hlk172885341"/>
      <w:r w:rsidRPr="00BD6C53">
        <w:rPr>
          <w:rFonts w:ascii="Cambria" w:hAnsi="Cambria"/>
          <w:sz w:val="20"/>
          <w:szCs w:val="20"/>
          <w:bdr w:val="none" w:sz="0" w:space="0" w:color="auto" w:frame="1"/>
          <w:lang w:val="es-ES"/>
        </w:rPr>
        <w:t xml:space="preserve">En virtud de </w:t>
      </w:r>
      <w:r w:rsidRPr="00BD6C53">
        <w:rPr>
          <w:rFonts w:ascii="Cambria" w:hAnsi="Cambria"/>
          <w:color w:val="000000"/>
          <w:sz w:val="20"/>
          <w:szCs w:val="20"/>
          <w:lang w:val="es-ES"/>
        </w:rPr>
        <w:t>todo</w:t>
      </w:r>
      <w:r w:rsidRPr="00BD6C53">
        <w:rPr>
          <w:rFonts w:ascii="Cambria" w:hAnsi="Cambria"/>
          <w:sz w:val="20"/>
          <w:szCs w:val="20"/>
          <w:bdr w:val="none" w:sz="0" w:space="0" w:color="auto" w:frame="1"/>
          <w:lang w:val="es-ES"/>
        </w:rPr>
        <w:t xml:space="preserve"> lo expuesto, la Comisión considera que las diversas afectaciones sufridas por</w:t>
      </w:r>
      <w:r w:rsidR="00363049" w:rsidRPr="00BD6C53">
        <w:rPr>
          <w:rFonts w:ascii="Cambria" w:hAnsi="Cambria"/>
          <w:sz w:val="20"/>
          <w:szCs w:val="20"/>
          <w:bdr w:val="none" w:sz="0" w:space="0" w:color="auto" w:frame="1"/>
          <w:lang w:val="es-ES"/>
        </w:rPr>
        <w:t xml:space="preserve"> el señor Castillo Pérez </w:t>
      </w:r>
      <w:r w:rsidRPr="00BD6C53">
        <w:rPr>
          <w:rFonts w:ascii="Cambria" w:hAnsi="Cambria"/>
          <w:sz w:val="20"/>
          <w:szCs w:val="20"/>
          <w:bdr w:val="none" w:sz="0" w:space="0" w:color="auto" w:frame="1"/>
          <w:lang w:val="es-ES"/>
        </w:rPr>
        <w:t xml:space="preserve">estuvieron vinculadas a su labor de defensa de derechos humanos, y que éstas tuvieron como objetivo estigmatizarlo, amedrentarlo y evitar que continúe con dichas actividades, </w:t>
      </w:r>
      <w:r w:rsidR="00363049" w:rsidRPr="00BD6C53">
        <w:rPr>
          <w:rFonts w:ascii="Cambria" w:hAnsi="Cambria"/>
          <w:sz w:val="20"/>
          <w:szCs w:val="20"/>
          <w:bdr w:val="none" w:sz="0" w:space="0" w:color="auto" w:frame="1"/>
          <w:lang w:val="es-ES"/>
        </w:rPr>
        <w:t xml:space="preserve">afectando de este modo su </w:t>
      </w:r>
      <w:r w:rsidR="00363049" w:rsidRPr="00BD6C53">
        <w:rPr>
          <w:rFonts w:ascii="Cambria" w:hAnsi="Cambria"/>
          <w:sz w:val="20"/>
          <w:szCs w:val="20"/>
          <w:bdr w:val="none" w:sz="0" w:space="0" w:color="auto" w:frame="1"/>
          <w:lang w:val="es-ES"/>
        </w:rPr>
        <w:lastRenderedPageBreak/>
        <w:t xml:space="preserve">derecho a la libertad de opinión y expresión, a participar en la vida cultural de la comunidad y </w:t>
      </w:r>
      <w:r w:rsidR="005552AB" w:rsidRPr="00BD6C53">
        <w:rPr>
          <w:rFonts w:ascii="Cambria" w:hAnsi="Cambria"/>
          <w:sz w:val="20"/>
          <w:szCs w:val="20"/>
          <w:bdr w:val="none" w:sz="0" w:space="0" w:color="auto" w:frame="1"/>
          <w:lang w:val="es-ES"/>
        </w:rPr>
        <w:t xml:space="preserve">derecho de </w:t>
      </w:r>
      <w:r w:rsidR="00363049" w:rsidRPr="00BD6C53">
        <w:rPr>
          <w:rFonts w:ascii="Cambria" w:hAnsi="Cambria"/>
          <w:sz w:val="20"/>
          <w:szCs w:val="20"/>
          <w:bdr w:val="none" w:sz="0" w:space="0" w:color="auto" w:frame="1"/>
          <w:lang w:val="es-ES"/>
        </w:rPr>
        <w:t>asociación</w:t>
      </w:r>
      <w:r w:rsidRPr="00BD6C53">
        <w:rPr>
          <w:rFonts w:ascii="Cambria" w:hAnsi="Cambria"/>
          <w:sz w:val="20"/>
          <w:szCs w:val="20"/>
          <w:bdr w:val="none" w:sz="0" w:space="0" w:color="auto" w:frame="1"/>
          <w:lang w:val="es-ES"/>
        </w:rPr>
        <w:t xml:space="preserve">. En consecuencia, la Comisión concluye que el Estado es responsable por la violación de los derechos establecidos en los artículos IV, </w:t>
      </w:r>
      <w:r w:rsidR="00363049" w:rsidRPr="00BD6C53">
        <w:rPr>
          <w:rFonts w:ascii="Cambria" w:hAnsi="Cambria"/>
          <w:sz w:val="20"/>
          <w:szCs w:val="20"/>
          <w:bdr w:val="none" w:sz="0" w:space="0" w:color="auto" w:frame="1"/>
          <w:lang w:val="es-ES"/>
        </w:rPr>
        <w:t xml:space="preserve">XIII </w:t>
      </w:r>
      <w:r w:rsidRPr="00BD6C53">
        <w:rPr>
          <w:rFonts w:ascii="Cambria" w:hAnsi="Cambria"/>
          <w:sz w:val="20"/>
          <w:szCs w:val="20"/>
          <w:bdr w:val="none" w:sz="0" w:space="0" w:color="auto" w:frame="1"/>
          <w:lang w:val="es-ES"/>
        </w:rPr>
        <w:t>y X</w:t>
      </w:r>
      <w:r w:rsidR="00363049" w:rsidRPr="00BD6C53">
        <w:rPr>
          <w:rFonts w:ascii="Cambria" w:hAnsi="Cambria"/>
          <w:sz w:val="20"/>
          <w:szCs w:val="20"/>
          <w:bdr w:val="none" w:sz="0" w:space="0" w:color="auto" w:frame="1"/>
          <w:lang w:val="es-ES"/>
        </w:rPr>
        <w:t>X</w:t>
      </w:r>
      <w:r w:rsidRPr="00BD6C53">
        <w:rPr>
          <w:rFonts w:ascii="Cambria" w:hAnsi="Cambria"/>
          <w:sz w:val="20"/>
          <w:szCs w:val="20"/>
          <w:bdr w:val="none" w:sz="0" w:space="0" w:color="auto" w:frame="1"/>
          <w:lang w:val="es-ES"/>
        </w:rPr>
        <w:t xml:space="preserve">II de la Declaración Americana. </w:t>
      </w:r>
      <w:r w:rsidR="00363049" w:rsidRPr="00BD6C53">
        <w:rPr>
          <w:rFonts w:ascii="Cambria" w:hAnsi="Cambria"/>
          <w:sz w:val="20"/>
          <w:szCs w:val="20"/>
          <w:bdr w:val="none" w:sz="0" w:space="0" w:color="auto" w:frame="1"/>
          <w:lang w:val="es-ES"/>
        </w:rPr>
        <w:t xml:space="preserve"> </w:t>
      </w:r>
    </w:p>
    <w:bookmarkEnd w:id="33"/>
    <w:p w14:paraId="3E189A68" w14:textId="77777777" w:rsidR="00C10196" w:rsidRPr="00501F60" w:rsidRDefault="00C10196" w:rsidP="749ACC70">
      <w:pPr>
        <w:pStyle w:val="paragraph"/>
        <w:spacing w:before="0" w:beforeAutospacing="0" w:after="0" w:afterAutospacing="0"/>
        <w:textAlignment w:val="baseline"/>
        <w:rPr>
          <w:rStyle w:val="eop"/>
          <w:sz w:val="20"/>
          <w:szCs w:val="20"/>
          <w:lang w:val="es-ES"/>
        </w:rPr>
      </w:pPr>
    </w:p>
    <w:p w14:paraId="29BC667C" w14:textId="6DEFF66D" w:rsidR="00C10196" w:rsidRPr="00501F60" w:rsidRDefault="2E67936B" w:rsidP="00CA1314">
      <w:pPr>
        <w:pStyle w:val="Heading2"/>
      </w:pPr>
      <w:bookmarkStart w:id="34" w:name="_Toc216356090"/>
      <w:r w:rsidRPr="00501F60">
        <w:t xml:space="preserve">Derecho </w:t>
      </w:r>
      <w:r w:rsidRPr="00501F60">
        <w:rPr>
          <w:rFonts w:eastAsia="SimSun"/>
        </w:rPr>
        <w:t>a la vida, a la libertad, a la seguridad e integridad de la persona</w:t>
      </w:r>
      <w:r w:rsidR="00E433FD" w:rsidRPr="00501F60">
        <w:rPr>
          <w:rFonts w:eastAsia="SimSun"/>
        </w:rPr>
        <w:t xml:space="preserve"> </w:t>
      </w:r>
      <w:r w:rsidRPr="00501F60">
        <w:t>(artículo I</w:t>
      </w:r>
      <w:r w:rsidR="00C10196" w:rsidRPr="749ACC70">
        <w:rPr>
          <w:rStyle w:val="FootnoteReference"/>
        </w:rPr>
        <w:footnoteReference w:id="131"/>
      </w:r>
      <w:r w:rsidRPr="00501F60">
        <w:t xml:space="preserve"> de la Declaración Americana)</w:t>
      </w:r>
      <w:bookmarkEnd w:id="34"/>
      <w:r w:rsidRPr="00501F60">
        <w:t xml:space="preserve">  </w:t>
      </w:r>
    </w:p>
    <w:p w14:paraId="3BB469C8" w14:textId="77777777" w:rsidR="00C10196" w:rsidRPr="00501F60" w:rsidRDefault="00C10196"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Style w:val="normaltextrun"/>
          <w:sz w:val="20"/>
          <w:szCs w:val="20"/>
          <w:lang w:val="es-ES"/>
        </w:rPr>
      </w:pPr>
    </w:p>
    <w:p w14:paraId="134AE31E" w14:textId="5B597648" w:rsidR="00C10196" w:rsidRPr="00CA1314" w:rsidRDefault="00C10196" w:rsidP="001A4728">
      <w:pPr>
        <w:pStyle w:val="Heading3"/>
        <w:numPr>
          <w:ilvl w:val="0"/>
          <w:numId w:val="68"/>
        </w:numPr>
        <w:tabs>
          <w:tab w:val="left" w:pos="360"/>
        </w:tabs>
        <w:rPr>
          <w:lang w:val="es-ES"/>
        </w:rPr>
      </w:pPr>
      <w:r w:rsidRPr="00CA1314">
        <w:rPr>
          <w:lang w:val="es-ES"/>
        </w:rPr>
        <w:t>Consideraciones generales</w:t>
      </w:r>
    </w:p>
    <w:p w14:paraId="5E87D4AF" w14:textId="77777777" w:rsidR="00165CF6" w:rsidRPr="00501F60" w:rsidRDefault="00165CF6"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lang w:val="es-ES"/>
        </w:rPr>
      </w:pPr>
    </w:p>
    <w:p w14:paraId="469B329C" w14:textId="0285B545" w:rsidR="005552AB" w:rsidRPr="00501F60" w:rsidRDefault="00E433FD" w:rsidP="001A4728">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lang w:val="es-ES"/>
        </w:rPr>
      </w:pPr>
      <w:r w:rsidRPr="00501F60">
        <w:rPr>
          <w:rFonts w:ascii="Cambria" w:hAnsi="Cambria"/>
          <w:sz w:val="20"/>
          <w:szCs w:val="20"/>
          <w:lang w:val="es-ES"/>
        </w:rPr>
        <w:t>La</w:t>
      </w:r>
      <w:r w:rsidR="7CDB5C4D" w:rsidRPr="00501F60">
        <w:rPr>
          <w:rFonts w:ascii="Cambria" w:hAnsi="Cambria"/>
          <w:sz w:val="20"/>
          <w:szCs w:val="20"/>
          <w:lang w:val="es-ES"/>
        </w:rPr>
        <w:t xml:space="preserve"> Comisión ha manifestado que toda persona privada de libertad tiene el derecho a vivir en condiciones de detención compatibles con su dignidad personal y el Estado debe garantizarle el derecho a la integridad personal. En consecuencia, el Estado, como responsable de los establecimientos de detención, es el garante de estos derechos de los detenidos</w:t>
      </w:r>
      <w:r w:rsidR="00B930C1" w:rsidRPr="00501F60">
        <w:rPr>
          <w:rStyle w:val="FootnoteReference"/>
          <w:rFonts w:ascii="Cambria" w:hAnsi="Cambria"/>
          <w:sz w:val="20"/>
          <w:szCs w:val="20"/>
          <w:lang w:val="es-ES"/>
        </w:rPr>
        <w:footnoteReference w:id="132"/>
      </w:r>
      <w:r w:rsidR="7CDB5C4D" w:rsidRPr="00501F60">
        <w:rPr>
          <w:rFonts w:ascii="Cambria" w:hAnsi="Cambria"/>
          <w:sz w:val="20"/>
          <w:szCs w:val="20"/>
          <w:lang w:val="es-ES"/>
        </w:rPr>
        <w:t>.</w:t>
      </w:r>
      <w:r w:rsidR="505526D8" w:rsidRPr="00501F60">
        <w:rPr>
          <w:rFonts w:ascii="Cambria" w:hAnsi="Cambria"/>
          <w:sz w:val="20"/>
          <w:szCs w:val="20"/>
          <w:lang w:val="es-ES"/>
        </w:rPr>
        <w:t xml:space="preserve"> </w:t>
      </w:r>
      <w:r w:rsidR="7CDB5C4D" w:rsidRPr="00501F60">
        <w:rPr>
          <w:rFonts w:ascii="Cambria" w:hAnsi="Cambria"/>
          <w:sz w:val="20"/>
          <w:szCs w:val="20"/>
          <w:lang w:val="es-ES"/>
        </w:rPr>
        <w:t>Es un principio de la jurisprudencia del sistema interamericano que el Estado es el garante de los derechos de las personas privadas de libertad y por ende debe tomar las medidas necesarias para respetar y garantizar los derechos de los individuos bajo su custodia</w:t>
      </w:r>
      <w:r w:rsidR="00B930C1" w:rsidRPr="00501F60">
        <w:rPr>
          <w:rStyle w:val="FootnoteReference"/>
          <w:rFonts w:ascii="Cambria" w:hAnsi="Cambria"/>
          <w:sz w:val="20"/>
          <w:szCs w:val="20"/>
          <w:lang w:val="es-ES"/>
        </w:rPr>
        <w:footnoteReference w:id="133"/>
      </w:r>
      <w:r w:rsidR="7CDB5C4D" w:rsidRPr="00501F60">
        <w:rPr>
          <w:rFonts w:ascii="Cambria" w:hAnsi="Cambria"/>
          <w:sz w:val="20"/>
          <w:szCs w:val="20"/>
          <w:lang w:val="es-ES"/>
        </w:rPr>
        <w:t>, sin importar el tipo de privación de la libertad de que se trate, su duración o el lugar donde esta se lleve a cabo. La Comisión ha explicado este concepto de la siguiente forma:</w:t>
      </w:r>
    </w:p>
    <w:p w14:paraId="4AF16363" w14:textId="77777777" w:rsidR="005552AB" w:rsidRPr="00B677F1" w:rsidRDefault="005552AB" w:rsidP="00963AB8">
      <w:pPr>
        <w:pStyle w:val="ListParagraph"/>
        <w:numPr>
          <w:ilvl w:val="0"/>
          <w:numId w:val="0"/>
        </w:numPr>
        <w:ind w:left="720"/>
      </w:pPr>
    </w:p>
    <w:p w14:paraId="02A4CFE3" w14:textId="5F687D49" w:rsidR="00B930C1" w:rsidRPr="00BD6C53" w:rsidRDefault="7CDB5C4D"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360" w:right="720"/>
        <w:jc w:val="both"/>
        <w:rPr>
          <w:rFonts w:ascii="Cambria" w:hAnsi="Cambria"/>
          <w:sz w:val="18"/>
          <w:szCs w:val="18"/>
          <w:lang w:val="es-ES"/>
        </w:rPr>
      </w:pPr>
      <w:r w:rsidRPr="00BD6C53">
        <w:rPr>
          <w:rFonts w:ascii="Cambria" w:hAnsi="Cambria"/>
          <w:sz w:val="18"/>
          <w:szCs w:val="18"/>
          <w:lang w:val="es-ES"/>
        </w:rPr>
        <w:t>El Estado, al privar de libertad a una persona, se coloca en una especial posición de garante de su vida e integridad física. Al momento de detener a un individuo, el Estado lo introduce en una "institución total", como es la prisión, en la cual los diversos aspectos de su vida se someten a una regulación fija, y se produce un alejamiento de su entorno natural y social, un control absoluto, una pérdida de intimidad, una limitación del espacio vital y, sobre todo, una radical disminución de las posibilidades de autoprotección. Todo ello hace que el acto de reclusión implique un compromiso específico y material de proteger la dignidad humana del recluso mientras esté bajo su custodia, lo que incluye su protección frente a las posibles circunstancias que puedan poner en peligro su vida, salud e integridad personal, entre otros derechos</w:t>
      </w:r>
      <w:r w:rsidR="00B930C1" w:rsidRPr="00BD6C53">
        <w:rPr>
          <w:rStyle w:val="FootnoteReference"/>
          <w:rFonts w:ascii="Cambria" w:hAnsi="Cambria"/>
          <w:sz w:val="18"/>
          <w:szCs w:val="18"/>
          <w:lang w:val="es-ES"/>
        </w:rPr>
        <w:footnoteReference w:id="134"/>
      </w:r>
      <w:r w:rsidRPr="00BD6C53">
        <w:rPr>
          <w:rFonts w:ascii="Cambria" w:hAnsi="Cambria"/>
          <w:sz w:val="18"/>
          <w:szCs w:val="18"/>
          <w:lang w:val="es-ES"/>
        </w:rPr>
        <w:t>.</w:t>
      </w:r>
    </w:p>
    <w:p w14:paraId="506FD507" w14:textId="77777777" w:rsidR="00445972" w:rsidRPr="00501F60" w:rsidRDefault="00445972" w:rsidP="00445972">
      <w:pPr>
        <w:pStyle w:val="parrafos"/>
        <w:numPr>
          <w:ilvl w:val="0"/>
          <w:numId w:val="0"/>
        </w:numPr>
        <w:rPr>
          <w:rFonts w:ascii="Cambria" w:hAnsi="Cambria"/>
          <w:lang w:val="es-ES"/>
        </w:rPr>
      </w:pPr>
    </w:p>
    <w:p w14:paraId="74C0DFE8" w14:textId="253F12AE" w:rsidR="000C50F1" w:rsidRPr="00501F60" w:rsidRDefault="32734AB0" w:rsidP="001A4728">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eastAsia="Cambria" w:hAnsi="Cambria" w:cs="Cambria"/>
          <w:sz w:val="20"/>
          <w:szCs w:val="20"/>
          <w:lang w:val="es-ES"/>
        </w:rPr>
      </w:pPr>
      <w:r w:rsidRPr="00501F60">
        <w:rPr>
          <w:rFonts w:ascii="Cambria" w:eastAsia="Cambria" w:hAnsi="Cambria" w:cs="Cambria"/>
          <w:sz w:val="20"/>
          <w:szCs w:val="20"/>
          <w:lang w:val="es-ES"/>
        </w:rPr>
        <w:t>Considerando la posición de garante del Estado, cuando se demuestra que, tras la detención y uso excesivo de la fuerza, la persona detenida sufrió lesiones físicas, el Estado incurre en responsabilidad internacional por la vulneración de la integridad y seguridad personal, en contravención del artículo I de la Declaración Americana</w:t>
      </w:r>
      <w:r w:rsidR="000C50F1" w:rsidRPr="00501F60">
        <w:rPr>
          <w:rStyle w:val="FootnoteReference"/>
          <w:rFonts w:ascii="Cambria" w:eastAsia="Cambria" w:hAnsi="Cambria" w:cs="Cambria"/>
          <w:sz w:val="20"/>
          <w:szCs w:val="20"/>
          <w:lang w:val="es-ES"/>
        </w:rPr>
        <w:footnoteReference w:id="135"/>
      </w:r>
      <w:r w:rsidRPr="00501F60">
        <w:rPr>
          <w:rFonts w:ascii="Cambria" w:eastAsia="Cambria" w:hAnsi="Cambria" w:cs="Cambria"/>
          <w:sz w:val="20"/>
          <w:szCs w:val="20"/>
          <w:lang w:val="es-ES"/>
        </w:rPr>
        <w:t>. Ahora bien, no solamente la integridad física debe ser protegida, sino también la integridad moral y psicológica, como la CIDH ha indicado en sus Principios y Buenas Prácticas sobre la Protección de las Personas Privadas de Libertad en las Américas</w:t>
      </w:r>
      <w:r w:rsidR="000C50F1" w:rsidRPr="00501F60">
        <w:rPr>
          <w:rStyle w:val="FootnoteReference"/>
          <w:rFonts w:ascii="Cambria" w:eastAsia="Cambria" w:hAnsi="Cambria" w:cs="Cambria"/>
          <w:sz w:val="20"/>
          <w:szCs w:val="20"/>
          <w:lang w:val="es-ES"/>
        </w:rPr>
        <w:footnoteReference w:id="136"/>
      </w:r>
      <w:r w:rsidRPr="00501F60">
        <w:rPr>
          <w:rFonts w:ascii="Cambria" w:eastAsia="Cambria" w:hAnsi="Cambria" w:cs="Cambria"/>
          <w:sz w:val="20"/>
          <w:szCs w:val="20"/>
          <w:lang w:val="es-ES"/>
        </w:rPr>
        <w:t>.</w:t>
      </w:r>
    </w:p>
    <w:p w14:paraId="0F5BE101" w14:textId="1A355D3C" w:rsidR="000C50F1" w:rsidRPr="00501F60" w:rsidRDefault="000C50F1" w:rsidP="00C91638">
      <w:pPr>
        <w:tabs>
          <w:tab w:val="left" w:pos="360"/>
        </w:tabs>
        <w:rPr>
          <w:sz w:val="20"/>
          <w:szCs w:val="20"/>
          <w:lang w:val="es-ES"/>
        </w:rPr>
      </w:pPr>
    </w:p>
    <w:p w14:paraId="14D1BCC3" w14:textId="7A731CD9" w:rsidR="00C10196" w:rsidRPr="00501F60" w:rsidRDefault="00C10196" w:rsidP="749ACC70">
      <w:pPr>
        <w:pStyle w:val="Heading3"/>
        <w:tabs>
          <w:tab w:val="left" w:pos="360"/>
        </w:tabs>
        <w:ind w:left="360"/>
        <w:rPr>
          <w:lang w:val="es-ES"/>
        </w:rPr>
      </w:pPr>
      <w:r w:rsidRPr="749ACC70">
        <w:rPr>
          <w:lang w:val="es-ES"/>
        </w:rPr>
        <w:t>Análisis del caso</w:t>
      </w:r>
    </w:p>
    <w:p w14:paraId="1EADCC8D" w14:textId="77777777" w:rsidR="00225587" w:rsidRPr="00501F60" w:rsidRDefault="00225587" w:rsidP="00C91638">
      <w:pPr>
        <w:rPr>
          <w:sz w:val="20"/>
          <w:szCs w:val="20"/>
          <w:lang w:val="es-ES"/>
        </w:rPr>
      </w:pPr>
    </w:p>
    <w:p w14:paraId="57F6E82E" w14:textId="6D7FEBE0" w:rsidR="00225587" w:rsidRPr="00BD6C53" w:rsidRDefault="00E433FD" w:rsidP="001A4728">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lang w:val="es-ES"/>
        </w:rPr>
      </w:pPr>
      <w:r w:rsidRPr="749ACC70">
        <w:rPr>
          <w:rFonts w:ascii="Cambria" w:eastAsiaTheme="minorEastAsia" w:hAnsi="Cambria"/>
          <w:sz w:val="20"/>
          <w:szCs w:val="20"/>
          <w:bdr w:val="none" w:sz="0" w:space="0" w:color="auto"/>
          <w:lang w:val="es-ES"/>
        </w:rPr>
        <w:t>A continuación l</w:t>
      </w:r>
      <w:r w:rsidR="00225587" w:rsidRPr="749ACC70">
        <w:rPr>
          <w:rFonts w:ascii="Cambria" w:eastAsiaTheme="minorEastAsia" w:hAnsi="Cambria"/>
          <w:sz w:val="20"/>
          <w:szCs w:val="20"/>
          <w:bdr w:val="none" w:sz="0" w:space="0" w:color="auto"/>
          <w:lang w:val="es-ES"/>
        </w:rPr>
        <w:t xml:space="preserve">a </w:t>
      </w:r>
      <w:r w:rsidR="00225587" w:rsidRPr="00BD6C53">
        <w:rPr>
          <w:rFonts w:ascii="Cambria" w:hAnsi="Cambria"/>
          <w:sz w:val="20"/>
          <w:szCs w:val="20"/>
          <w:lang w:val="es-ES"/>
        </w:rPr>
        <w:t>Comisión</w:t>
      </w:r>
      <w:r w:rsidR="00225587" w:rsidRPr="749ACC70">
        <w:rPr>
          <w:rFonts w:ascii="Cambria" w:eastAsiaTheme="minorEastAsia" w:hAnsi="Cambria"/>
          <w:sz w:val="20"/>
          <w:szCs w:val="20"/>
          <w:bdr w:val="none" w:sz="0" w:space="0" w:color="auto"/>
          <w:lang w:val="es-ES"/>
        </w:rPr>
        <w:t xml:space="preserve"> </w:t>
      </w:r>
      <w:r w:rsidRPr="749ACC70">
        <w:rPr>
          <w:rFonts w:ascii="Cambria" w:eastAsiaTheme="minorEastAsia" w:hAnsi="Cambria"/>
          <w:sz w:val="20"/>
          <w:szCs w:val="20"/>
          <w:bdr w:val="none" w:sz="0" w:space="0" w:color="auto"/>
          <w:lang w:val="es-ES"/>
        </w:rPr>
        <w:t>pasa a analizar los elementos</w:t>
      </w:r>
      <w:r w:rsidR="00225587" w:rsidRPr="749ACC70">
        <w:rPr>
          <w:rFonts w:ascii="Cambria" w:eastAsiaTheme="minorEastAsia" w:hAnsi="Cambria"/>
          <w:sz w:val="20"/>
          <w:szCs w:val="20"/>
          <w:bdr w:val="none" w:sz="0" w:space="0" w:color="auto"/>
          <w:lang w:val="es-ES"/>
        </w:rPr>
        <w:t xml:space="preserve"> </w:t>
      </w:r>
      <w:r w:rsidRPr="749ACC70">
        <w:rPr>
          <w:rFonts w:ascii="Cambria" w:eastAsiaTheme="minorEastAsia" w:hAnsi="Cambria"/>
          <w:sz w:val="20"/>
          <w:szCs w:val="20"/>
          <w:bdr w:val="none" w:sz="0" w:space="0" w:color="auto"/>
          <w:lang w:val="es-ES"/>
        </w:rPr>
        <w:t>presentados</w:t>
      </w:r>
      <w:r w:rsidR="00225587" w:rsidRPr="749ACC70">
        <w:rPr>
          <w:rFonts w:ascii="Cambria" w:eastAsiaTheme="minorEastAsia" w:hAnsi="Cambria"/>
          <w:sz w:val="20"/>
          <w:szCs w:val="20"/>
          <w:bdr w:val="none" w:sz="0" w:space="0" w:color="auto"/>
          <w:lang w:val="es-ES"/>
        </w:rPr>
        <w:t xml:space="preserve"> </w:t>
      </w:r>
      <w:r w:rsidRPr="749ACC70">
        <w:rPr>
          <w:rFonts w:ascii="Cambria" w:eastAsiaTheme="minorEastAsia" w:hAnsi="Cambria"/>
          <w:sz w:val="20"/>
          <w:szCs w:val="20"/>
          <w:bdr w:val="none" w:sz="0" w:space="0" w:color="auto"/>
          <w:lang w:val="es-ES"/>
        </w:rPr>
        <w:t xml:space="preserve">por la parte peticionaria e información de conocimiento público sobre las afectaciones ocurridas en contra del señor Castillo Pérez. </w:t>
      </w:r>
    </w:p>
    <w:p w14:paraId="4ACFBCCB" w14:textId="77777777" w:rsidR="00225587" w:rsidRPr="00501F60" w:rsidRDefault="00225587" w:rsidP="00B82A24">
      <w:pPr>
        <w:rPr>
          <w:sz w:val="20"/>
          <w:szCs w:val="20"/>
          <w:lang w:val="es-ES"/>
        </w:rPr>
      </w:pPr>
    </w:p>
    <w:p w14:paraId="4938E95B" w14:textId="31A8C19E" w:rsidR="00225587" w:rsidRPr="00BD6C53" w:rsidRDefault="5F434145" w:rsidP="001A4728">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lang w:val="es-ES"/>
        </w:rPr>
      </w:pPr>
      <w:r w:rsidRPr="749ACC70">
        <w:rPr>
          <w:rFonts w:ascii="Cambria" w:hAnsi="Cambria"/>
          <w:sz w:val="20"/>
          <w:szCs w:val="20"/>
          <w:lang w:val="es-ES"/>
        </w:rPr>
        <w:t>En primer lugar,</w:t>
      </w:r>
      <w:r w:rsidR="21F738F6" w:rsidRPr="749ACC70">
        <w:rPr>
          <w:rFonts w:ascii="Cambria" w:hAnsi="Cambria"/>
          <w:sz w:val="20"/>
          <w:szCs w:val="20"/>
          <w:lang w:val="es-ES"/>
        </w:rPr>
        <w:t xml:space="preserve"> la Comisión </w:t>
      </w:r>
      <w:r w:rsidR="0E5027E3" w:rsidRPr="749ACC70">
        <w:rPr>
          <w:rFonts w:ascii="Cambria" w:hAnsi="Cambria"/>
          <w:sz w:val="20"/>
          <w:szCs w:val="20"/>
          <w:lang w:val="es-ES"/>
        </w:rPr>
        <w:t>observa que</w:t>
      </w:r>
      <w:r w:rsidR="2CD5F4F1" w:rsidRPr="749ACC70">
        <w:rPr>
          <w:rFonts w:ascii="Cambria" w:hAnsi="Cambria"/>
          <w:sz w:val="20"/>
          <w:szCs w:val="20"/>
          <w:lang w:val="es-ES"/>
        </w:rPr>
        <w:t>,</w:t>
      </w:r>
      <w:r w:rsidR="0E5027E3" w:rsidRPr="749ACC70">
        <w:rPr>
          <w:rFonts w:ascii="Cambria" w:hAnsi="Cambria"/>
          <w:sz w:val="20"/>
          <w:szCs w:val="20"/>
          <w:lang w:val="es-ES"/>
        </w:rPr>
        <w:t xml:space="preserve"> </w:t>
      </w:r>
      <w:r w:rsidR="2E5853C3" w:rsidRPr="749ACC70">
        <w:rPr>
          <w:rFonts w:ascii="Cambria" w:hAnsi="Cambria"/>
          <w:sz w:val="20"/>
          <w:szCs w:val="20"/>
          <w:lang w:val="es-ES"/>
        </w:rPr>
        <w:t>de acuerdo con</w:t>
      </w:r>
      <w:r w:rsidR="43CE14F5" w:rsidRPr="749ACC70">
        <w:rPr>
          <w:rFonts w:ascii="Cambria" w:hAnsi="Cambria"/>
          <w:sz w:val="20"/>
          <w:szCs w:val="20"/>
          <w:lang w:val="es-ES"/>
        </w:rPr>
        <w:t xml:space="preserve"> </w:t>
      </w:r>
      <w:r w:rsidR="0E5027E3" w:rsidRPr="749ACC70">
        <w:rPr>
          <w:rFonts w:ascii="Cambria" w:hAnsi="Cambria"/>
          <w:sz w:val="20"/>
          <w:szCs w:val="20"/>
          <w:lang w:val="es-ES"/>
        </w:rPr>
        <w:t>la parte peticionaria</w:t>
      </w:r>
      <w:r w:rsidR="63F9A21F" w:rsidRPr="749ACC70">
        <w:rPr>
          <w:rFonts w:ascii="Cambria" w:hAnsi="Cambria"/>
          <w:sz w:val="20"/>
          <w:szCs w:val="20"/>
          <w:lang w:val="es-ES"/>
        </w:rPr>
        <w:t>,</w:t>
      </w:r>
      <w:r w:rsidR="0E5027E3" w:rsidRPr="749ACC70">
        <w:rPr>
          <w:rFonts w:ascii="Cambria" w:hAnsi="Cambria"/>
          <w:sz w:val="20"/>
          <w:szCs w:val="20"/>
          <w:lang w:val="es-ES"/>
        </w:rPr>
        <w:t xml:space="preserve"> </w:t>
      </w:r>
      <w:r w:rsidR="21F738F6" w:rsidRPr="749ACC70">
        <w:rPr>
          <w:rFonts w:ascii="Cambria" w:hAnsi="Cambria"/>
          <w:sz w:val="20"/>
          <w:szCs w:val="20"/>
          <w:lang w:val="es-ES"/>
        </w:rPr>
        <w:t>el señor Castillo Pérez</w:t>
      </w:r>
      <w:r w:rsidR="1B195020" w:rsidRPr="749ACC70">
        <w:rPr>
          <w:rFonts w:ascii="Cambria" w:hAnsi="Cambria"/>
          <w:sz w:val="20"/>
          <w:szCs w:val="20"/>
          <w:lang w:val="es-ES"/>
        </w:rPr>
        <w:t xml:space="preserve"> </w:t>
      </w:r>
      <w:r w:rsidR="21F738F6" w:rsidRPr="749ACC70">
        <w:rPr>
          <w:rFonts w:ascii="Cambria" w:hAnsi="Cambria"/>
          <w:sz w:val="20"/>
          <w:szCs w:val="20"/>
          <w:lang w:val="es-ES"/>
        </w:rPr>
        <w:t>fue golpeado</w:t>
      </w:r>
      <w:r w:rsidR="7FAA4221" w:rsidRPr="749ACC70">
        <w:rPr>
          <w:rFonts w:ascii="Cambria" w:hAnsi="Cambria"/>
          <w:sz w:val="20"/>
          <w:szCs w:val="20"/>
          <w:lang w:val="es-ES"/>
        </w:rPr>
        <w:t xml:space="preserve"> </w:t>
      </w:r>
      <w:r w:rsidR="0869FE22" w:rsidRPr="749ACC70">
        <w:rPr>
          <w:rFonts w:ascii="Cambria" w:hAnsi="Cambria"/>
          <w:sz w:val="20"/>
          <w:szCs w:val="20"/>
          <w:lang w:val="es-ES"/>
        </w:rPr>
        <w:t xml:space="preserve">por el Jefe de Orden Interior del establecimiento </w:t>
      </w:r>
      <w:r w:rsidR="6C5AEAD0" w:rsidRPr="749ACC70">
        <w:rPr>
          <w:rFonts w:ascii="Cambria" w:hAnsi="Cambria"/>
          <w:sz w:val="20"/>
          <w:szCs w:val="20"/>
          <w:lang w:val="es-ES"/>
        </w:rPr>
        <w:t>durante su detención por haber protestado ante la negativa de atención médica</w:t>
      </w:r>
      <w:r w:rsidR="2BCFE6E5" w:rsidRPr="749ACC70">
        <w:rPr>
          <w:rFonts w:ascii="Cambria" w:hAnsi="Cambria"/>
          <w:sz w:val="20"/>
          <w:szCs w:val="20"/>
          <w:lang w:val="es-ES"/>
        </w:rPr>
        <w:t xml:space="preserve">. </w:t>
      </w:r>
      <w:r w:rsidR="00C91638" w:rsidRPr="749ACC70">
        <w:rPr>
          <w:rFonts w:ascii="Cambria" w:hAnsi="Cambria"/>
          <w:sz w:val="20"/>
          <w:szCs w:val="20"/>
          <w:lang w:val="es-ES"/>
        </w:rPr>
        <w:t>Señaló que p</w:t>
      </w:r>
      <w:r w:rsidR="0573EF05" w:rsidRPr="749ACC70">
        <w:rPr>
          <w:rFonts w:ascii="Cambria" w:hAnsi="Cambria"/>
          <w:sz w:val="20"/>
          <w:szCs w:val="20"/>
          <w:lang w:val="es-ES"/>
        </w:rPr>
        <w:t xml:space="preserve">roducto de la disputa, </w:t>
      </w:r>
      <w:r w:rsidR="00C91638" w:rsidRPr="749ACC70">
        <w:rPr>
          <w:rFonts w:ascii="Cambria" w:hAnsi="Cambria"/>
          <w:sz w:val="20"/>
          <w:szCs w:val="20"/>
          <w:lang w:val="es-ES"/>
        </w:rPr>
        <w:t>el señor Castillo Pérez</w:t>
      </w:r>
      <w:r w:rsidR="0573EF05" w:rsidRPr="749ACC70">
        <w:rPr>
          <w:rFonts w:ascii="Cambria" w:hAnsi="Cambria"/>
          <w:sz w:val="20"/>
          <w:szCs w:val="20"/>
          <w:lang w:val="es-ES"/>
        </w:rPr>
        <w:t xml:space="preserve"> tuvo una herida</w:t>
      </w:r>
      <w:r w:rsidR="21F738F6" w:rsidRPr="749ACC70">
        <w:rPr>
          <w:rFonts w:ascii="Cambria" w:hAnsi="Cambria"/>
          <w:sz w:val="20"/>
          <w:szCs w:val="20"/>
          <w:lang w:val="es-ES"/>
        </w:rPr>
        <w:t xml:space="preserve"> en el pómulo</w:t>
      </w:r>
      <w:r w:rsidR="69CF9CEE" w:rsidRPr="749ACC70">
        <w:rPr>
          <w:rFonts w:ascii="Cambria" w:hAnsi="Cambria"/>
          <w:sz w:val="20"/>
          <w:szCs w:val="20"/>
          <w:lang w:val="es-ES"/>
        </w:rPr>
        <w:t xml:space="preserve"> </w:t>
      </w:r>
      <w:r w:rsidR="69CF9CEE" w:rsidRPr="749ACC70">
        <w:rPr>
          <w:rStyle w:val="normaltextrun"/>
          <w:rFonts w:ascii="Cambria" w:hAnsi="Cambria"/>
          <w:color w:val="000000" w:themeColor="text1"/>
          <w:sz w:val="20"/>
          <w:szCs w:val="20"/>
          <w:lang w:val="es-ES"/>
        </w:rPr>
        <w:t>(</w:t>
      </w:r>
      <w:r w:rsidR="69CF9CEE" w:rsidRPr="749ACC70">
        <w:rPr>
          <w:rStyle w:val="normaltextrun"/>
          <w:rFonts w:ascii="Cambria" w:hAnsi="Cambria"/>
          <w:i/>
          <w:iCs/>
          <w:color w:val="000000" w:themeColor="text1"/>
          <w:sz w:val="20"/>
          <w:szCs w:val="20"/>
          <w:lang w:val="es-ES"/>
        </w:rPr>
        <w:t>supra</w:t>
      </w:r>
      <w:r w:rsidR="69CF9CEE" w:rsidRPr="749ACC70">
        <w:rPr>
          <w:rStyle w:val="normaltextrun"/>
          <w:rFonts w:ascii="Cambria" w:hAnsi="Cambria"/>
          <w:color w:val="000000" w:themeColor="text1"/>
          <w:sz w:val="20"/>
          <w:szCs w:val="20"/>
          <w:lang w:val="es-ES"/>
        </w:rPr>
        <w:t xml:space="preserve"> párr. 32)</w:t>
      </w:r>
      <w:r w:rsidR="69CF9CEE" w:rsidRPr="749ACC70">
        <w:rPr>
          <w:rFonts w:ascii="Cambria" w:hAnsi="Cambria"/>
          <w:sz w:val="20"/>
          <w:szCs w:val="20"/>
          <w:lang w:val="es-ES"/>
        </w:rPr>
        <w:t>.</w:t>
      </w:r>
      <w:r w:rsidR="0CE19318" w:rsidRPr="749ACC70">
        <w:rPr>
          <w:rFonts w:ascii="Cambria" w:hAnsi="Cambria"/>
          <w:sz w:val="20"/>
          <w:szCs w:val="20"/>
          <w:lang w:val="es-ES"/>
        </w:rPr>
        <w:t xml:space="preserve"> </w:t>
      </w:r>
    </w:p>
    <w:p w14:paraId="6A2B39A7" w14:textId="7B6BB752" w:rsidR="00225587" w:rsidRPr="00BD6C53" w:rsidRDefault="00225587"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lang w:val="es-ES"/>
        </w:rPr>
      </w:pPr>
    </w:p>
    <w:p w14:paraId="133C6CC7" w14:textId="6BCC0C6E" w:rsidR="75577740" w:rsidRPr="00BD6C53" w:rsidRDefault="69CF9CEE" w:rsidP="001A4728">
      <w:pPr>
        <w:numPr>
          <w:ilvl w:val="0"/>
          <w:numId w:val="60"/>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hAnsi="Cambria"/>
          <w:sz w:val="20"/>
          <w:szCs w:val="20"/>
        </w:rPr>
      </w:pPr>
      <w:r w:rsidRPr="00BF7FAB">
        <w:rPr>
          <w:rFonts w:ascii="Cambria" w:hAnsi="Cambria"/>
          <w:sz w:val="20"/>
          <w:szCs w:val="20"/>
          <w:lang w:val="es-US"/>
        </w:rPr>
        <w:t xml:space="preserve">En segundo lugar, </w:t>
      </w:r>
      <w:r w:rsidR="3C0A8A3D" w:rsidRPr="00BF7FAB">
        <w:rPr>
          <w:rFonts w:ascii="Cambria" w:hAnsi="Cambria"/>
          <w:sz w:val="20"/>
          <w:szCs w:val="20"/>
          <w:lang w:val="es-US"/>
        </w:rPr>
        <w:t xml:space="preserve">de acuerdo a la parte peticionaria el señor Castillo Pérez </w:t>
      </w:r>
      <w:r w:rsidR="21F738F6" w:rsidRPr="00BF7FAB">
        <w:rPr>
          <w:rFonts w:ascii="Cambria" w:hAnsi="Cambria"/>
          <w:sz w:val="20"/>
          <w:szCs w:val="20"/>
          <w:lang w:val="es-US"/>
        </w:rPr>
        <w:t>no recibió atención médica</w:t>
      </w:r>
      <w:r w:rsidR="7BE5AA94" w:rsidRPr="00BF7FAB">
        <w:rPr>
          <w:rFonts w:ascii="Cambria" w:hAnsi="Cambria"/>
          <w:sz w:val="20"/>
          <w:szCs w:val="20"/>
          <w:lang w:val="es-US"/>
        </w:rPr>
        <w:t xml:space="preserve"> </w:t>
      </w:r>
      <w:r w:rsidR="00C91638" w:rsidRPr="00BF7FAB">
        <w:rPr>
          <w:rFonts w:ascii="Cambria" w:hAnsi="Cambria"/>
          <w:sz w:val="20"/>
          <w:szCs w:val="20"/>
          <w:lang w:val="es-US"/>
        </w:rPr>
        <w:t>cuando estuvo privado de libertad</w:t>
      </w:r>
      <w:r w:rsidR="2CDB7DE1" w:rsidRPr="00BF7FAB">
        <w:rPr>
          <w:rFonts w:ascii="Cambria" w:hAnsi="Cambria"/>
          <w:sz w:val="20"/>
          <w:szCs w:val="20"/>
          <w:lang w:val="es-US"/>
        </w:rPr>
        <w:t xml:space="preserve">. </w:t>
      </w:r>
      <w:r w:rsidR="0573EF05" w:rsidRPr="00BF7FAB">
        <w:rPr>
          <w:rFonts w:ascii="Cambria" w:hAnsi="Cambria"/>
          <w:sz w:val="20"/>
          <w:szCs w:val="20"/>
          <w:lang w:val="es-US"/>
        </w:rPr>
        <w:t xml:space="preserve">Indica que fue llevado a un hospital tres días después de </w:t>
      </w:r>
      <w:r w:rsidR="5889047A" w:rsidRPr="00BF7FAB">
        <w:rPr>
          <w:rFonts w:ascii="Cambria" w:hAnsi="Cambria"/>
          <w:sz w:val="20"/>
          <w:szCs w:val="20"/>
          <w:lang w:val="es-US"/>
        </w:rPr>
        <w:t>haber recibido un golpe en el pómulo</w:t>
      </w:r>
      <w:r w:rsidR="49209D23" w:rsidRPr="00BF7FAB">
        <w:rPr>
          <w:rFonts w:ascii="Cambria" w:hAnsi="Cambria"/>
          <w:sz w:val="20"/>
          <w:szCs w:val="20"/>
          <w:lang w:val="es-US"/>
        </w:rPr>
        <w:t xml:space="preserve">, </w:t>
      </w:r>
      <w:r w:rsidR="0573EF05" w:rsidRPr="00BF7FAB">
        <w:rPr>
          <w:rFonts w:ascii="Cambria" w:hAnsi="Cambria"/>
          <w:sz w:val="20"/>
          <w:szCs w:val="20"/>
          <w:lang w:val="es-US"/>
        </w:rPr>
        <w:t xml:space="preserve">pero no tuvo asistencia médica producto </w:t>
      </w:r>
      <w:r w:rsidR="21F738F6" w:rsidRPr="00BF7FAB">
        <w:rPr>
          <w:rFonts w:ascii="Cambria" w:hAnsi="Cambria"/>
          <w:sz w:val="20"/>
          <w:szCs w:val="20"/>
          <w:lang w:val="es-US"/>
        </w:rPr>
        <w:t>de</w:t>
      </w:r>
      <w:r w:rsidR="7BE5AA94" w:rsidRPr="00BF7FAB">
        <w:rPr>
          <w:rFonts w:ascii="Cambria" w:hAnsi="Cambria"/>
          <w:sz w:val="20"/>
          <w:szCs w:val="20"/>
          <w:lang w:val="es-US"/>
        </w:rPr>
        <w:t xml:space="preserve"> la ausencia de </w:t>
      </w:r>
      <w:r w:rsidR="3D8C96B7" w:rsidRPr="00BF7FAB">
        <w:rPr>
          <w:rFonts w:ascii="Cambria" w:hAnsi="Cambria"/>
          <w:sz w:val="20"/>
          <w:szCs w:val="20"/>
          <w:lang w:val="es-US"/>
        </w:rPr>
        <w:t xml:space="preserve">personal </w:t>
      </w:r>
      <w:r w:rsidR="7BE5AA94" w:rsidRPr="00BF7FAB">
        <w:rPr>
          <w:rFonts w:ascii="Cambria" w:hAnsi="Cambria"/>
          <w:sz w:val="20"/>
          <w:szCs w:val="20"/>
          <w:lang w:val="es-US"/>
        </w:rPr>
        <w:t>médico</w:t>
      </w:r>
      <w:r w:rsidR="693B9549" w:rsidRPr="00BF7FAB">
        <w:rPr>
          <w:rFonts w:ascii="Cambria" w:hAnsi="Cambria"/>
          <w:sz w:val="20"/>
          <w:szCs w:val="20"/>
          <w:lang w:val="es-US"/>
        </w:rPr>
        <w:t xml:space="preserve"> </w:t>
      </w:r>
      <w:r w:rsidR="693B9549" w:rsidRPr="00BF7FAB">
        <w:rPr>
          <w:rStyle w:val="normaltextrun"/>
          <w:rFonts w:ascii="Cambria" w:hAnsi="Cambria"/>
          <w:color w:val="000000" w:themeColor="text1"/>
          <w:sz w:val="20"/>
          <w:szCs w:val="20"/>
          <w:lang w:val="es-US"/>
        </w:rPr>
        <w:t>(</w:t>
      </w:r>
      <w:r w:rsidR="693B9549" w:rsidRPr="00BF7FAB">
        <w:rPr>
          <w:rStyle w:val="normaltextrun"/>
          <w:rFonts w:ascii="Cambria" w:hAnsi="Cambria"/>
          <w:i/>
          <w:iCs/>
          <w:color w:val="000000" w:themeColor="text1"/>
          <w:sz w:val="20"/>
          <w:szCs w:val="20"/>
          <w:lang w:val="es-US"/>
        </w:rPr>
        <w:t>supra</w:t>
      </w:r>
      <w:r w:rsidR="693B9549" w:rsidRPr="00BF7FAB">
        <w:rPr>
          <w:rStyle w:val="normaltextrun"/>
          <w:rFonts w:ascii="Cambria" w:hAnsi="Cambria"/>
          <w:color w:val="000000" w:themeColor="text1"/>
          <w:sz w:val="20"/>
          <w:szCs w:val="20"/>
          <w:lang w:val="es-US"/>
        </w:rPr>
        <w:t xml:space="preserve"> párr. </w:t>
      </w:r>
      <w:r w:rsidR="693B9549" w:rsidRPr="00552C7C">
        <w:rPr>
          <w:rStyle w:val="normaltextrun"/>
          <w:rFonts w:ascii="Cambria" w:hAnsi="Cambria"/>
          <w:color w:val="000000" w:themeColor="text1"/>
          <w:sz w:val="20"/>
          <w:szCs w:val="20"/>
          <w:lang w:val="es-US"/>
        </w:rPr>
        <w:t>32)</w:t>
      </w:r>
      <w:r w:rsidR="7BE5AA94" w:rsidRPr="00552C7C">
        <w:rPr>
          <w:rFonts w:ascii="Cambria" w:hAnsi="Cambria"/>
          <w:sz w:val="20"/>
          <w:szCs w:val="20"/>
          <w:lang w:val="es-US"/>
        </w:rPr>
        <w:t xml:space="preserve">. </w:t>
      </w:r>
      <w:r w:rsidR="75577740" w:rsidRPr="00BF7FAB">
        <w:rPr>
          <w:rFonts w:ascii="Cambria" w:hAnsi="Cambria"/>
          <w:sz w:val="20"/>
          <w:szCs w:val="20"/>
          <w:lang w:val="es-US"/>
        </w:rPr>
        <w:t xml:space="preserve">En tercer lugar, la CIDH nota que la parte peticionaria indicó que el señor Castillo Pérez fue agredido de </w:t>
      </w:r>
      <w:r w:rsidR="75577740" w:rsidRPr="00BF7FAB">
        <w:rPr>
          <w:rFonts w:ascii="Cambria" w:hAnsi="Cambria"/>
          <w:sz w:val="20"/>
          <w:szCs w:val="20"/>
          <w:lang w:val="es-US"/>
        </w:rPr>
        <w:lastRenderedPageBreak/>
        <w:t>forma verbal y física por parte del 1er.teniente Lázaro</w:t>
      </w:r>
      <w:r w:rsidR="541B52CD" w:rsidRPr="00BF7FAB">
        <w:rPr>
          <w:rFonts w:ascii="Cambria" w:hAnsi="Cambria"/>
          <w:sz w:val="20"/>
          <w:szCs w:val="20"/>
          <w:lang w:val="es-US"/>
        </w:rPr>
        <w:t xml:space="preserve"> en </w:t>
      </w:r>
      <w:r w:rsidR="75577740" w:rsidRPr="00BF7FAB">
        <w:rPr>
          <w:rFonts w:ascii="Cambria" w:hAnsi="Cambria"/>
          <w:sz w:val="20"/>
          <w:szCs w:val="20"/>
          <w:lang w:val="es-US"/>
        </w:rPr>
        <w:t xml:space="preserve">la prisión “Kilo 5” de la provincia de Pinar del Río </w:t>
      </w:r>
      <w:r w:rsidR="75577740" w:rsidRPr="00BF7FAB">
        <w:rPr>
          <w:rStyle w:val="normaltextrun"/>
          <w:rFonts w:ascii="Cambria" w:hAnsi="Cambria"/>
          <w:color w:val="000000" w:themeColor="text1"/>
          <w:sz w:val="20"/>
          <w:szCs w:val="20"/>
          <w:lang w:val="es-US"/>
        </w:rPr>
        <w:t>(</w:t>
      </w:r>
      <w:r w:rsidR="75577740" w:rsidRPr="00BF7FAB">
        <w:rPr>
          <w:rStyle w:val="normaltextrun"/>
          <w:rFonts w:ascii="Cambria" w:hAnsi="Cambria"/>
          <w:i/>
          <w:iCs/>
          <w:color w:val="000000" w:themeColor="text1"/>
          <w:sz w:val="20"/>
          <w:szCs w:val="20"/>
          <w:lang w:val="es-US"/>
        </w:rPr>
        <w:t>supra</w:t>
      </w:r>
      <w:r w:rsidR="75577740" w:rsidRPr="00BF7FAB">
        <w:rPr>
          <w:rStyle w:val="normaltextrun"/>
          <w:rFonts w:ascii="Cambria" w:hAnsi="Cambria"/>
          <w:color w:val="000000" w:themeColor="text1"/>
          <w:sz w:val="20"/>
          <w:szCs w:val="20"/>
          <w:lang w:val="es-US"/>
        </w:rPr>
        <w:t xml:space="preserve"> párr. </w:t>
      </w:r>
      <w:r w:rsidR="75577740" w:rsidRPr="749ACC70">
        <w:rPr>
          <w:rStyle w:val="normaltextrun"/>
          <w:rFonts w:ascii="Cambria" w:hAnsi="Cambria"/>
          <w:color w:val="000000" w:themeColor="text1"/>
          <w:sz w:val="20"/>
          <w:szCs w:val="20"/>
        </w:rPr>
        <w:t>34)</w:t>
      </w:r>
      <w:r w:rsidR="75577740" w:rsidRPr="749ACC70">
        <w:rPr>
          <w:rFonts w:ascii="Cambria" w:hAnsi="Cambria"/>
          <w:sz w:val="20"/>
          <w:szCs w:val="20"/>
        </w:rPr>
        <w:t xml:space="preserve">.  </w:t>
      </w:r>
    </w:p>
    <w:p w14:paraId="20D2048A" w14:textId="6E9D2394" w:rsidR="7EC42DB7" w:rsidRPr="00BD6C53" w:rsidRDefault="7EC42DB7" w:rsidP="749ACC70">
      <w:p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jc w:val="both"/>
        <w:rPr>
          <w:rFonts w:ascii="Cambria" w:hAnsi="Cambria"/>
          <w:sz w:val="20"/>
          <w:szCs w:val="20"/>
          <w:lang w:val="es-ES"/>
        </w:rPr>
      </w:pPr>
    </w:p>
    <w:p w14:paraId="511C6E44" w14:textId="0FF11ACE" w:rsidR="61C0522D" w:rsidRPr="00BD6C53" w:rsidRDefault="61C0522D" w:rsidP="001A4728">
      <w:pPr>
        <w:numPr>
          <w:ilvl w:val="0"/>
          <w:numId w:val="60"/>
        </w:num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ind w:left="0" w:firstLine="0"/>
        <w:jc w:val="both"/>
        <w:rPr>
          <w:rFonts w:ascii="Cambria" w:hAnsi="Cambria"/>
          <w:sz w:val="20"/>
          <w:szCs w:val="20"/>
          <w:lang w:val="es-ES"/>
        </w:rPr>
      </w:pPr>
      <w:r w:rsidRPr="749ACC70">
        <w:rPr>
          <w:rFonts w:ascii="Cambria" w:hAnsi="Cambria"/>
          <w:sz w:val="20"/>
          <w:szCs w:val="20"/>
          <w:lang w:val="es-ES"/>
        </w:rPr>
        <w:t xml:space="preserve">En </w:t>
      </w:r>
      <w:r w:rsidR="5548DDEB" w:rsidRPr="749ACC70">
        <w:rPr>
          <w:rFonts w:ascii="Cambria" w:hAnsi="Cambria"/>
          <w:sz w:val="20"/>
          <w:szCs w:val="20"/>
          <w:lang w:val="es-ES"/>
        </w:rPr>
        <w:t xml:space="preserve">cuarto </w:t>
      </w:r>
      <w:r w:rsidRPr="749ACC70">
        <w:rPr>
          <w:rFonts w:ascii="Cambria" w:hAnsi="Cambria"/>
          <w:sz w:val="20"/>
          <w:szCs w:val="20"/>
          <w:lang w:val="es-ES"/>
        </w:rPr>
        <w:t xml:space="preserve">lugar, </w:t>
      </w:r>
      <w:r w:rsidR="53335BD5" w:rsidRPr="749ACC70">
        <w:rPr>
          <w:rFonts w:ascii="Cambria" w:hAnsi="Cambria"/>
          <w:sz w:val="20"/>
          <w:szCs w:val="20"/>
          <w:lang w:val="es-ES"/>
        </w:rPr>
        <w:t xml:space="preserve">la Comisión </w:t>
      </w:r>
      <w:r w:rsidR="153F4604" w:rsidRPr="749ACC70">
        <w:rPr>
          <w:rFonts w:ascii="Cambria" w:hAnsi="Cambria"/>
          <w:sz w:val="20"/>
          <w:szCs w:val="20"/>
          <w:lang w:val="es-ES"/>
        </w:rPr>
        <w:t xml:space="preserve">toma </w:t>
      </w:r>
      <w:r w:rsidR="53335BD5" w:rsidRPr="749ACC70">
        <w:rPr>
          <w:rFonts w:ascii="Cambria" w:hAnsi="Cambria"/>
          <w:sz w:val="20"/>
          <w:szCs w:val="20"/>
          <w:lang w:val="es-ES"/>
        </w:rPr>
        <w:t xml:space="preserve">nota </w:t>
      </w:r>
      <w:r w:rsidR="4CE6D008" w:rsidRPr="749ACC70">
        <w:rPr>
          <w:rFonts w:ascii="Cambria" w:hAnsi="Cambria"/>
          <w:sz w:val="20"/>
          <w:szCs w:val="20"/>
          <w:lang w:val="es-ES"/>
        </w:rPr>
        <w:t xml:space="preserve">de </w:t>
      </w:r>
      <w:r w:rsidR="53335BD5" w:rsidRPr="749ACC70">
        <w:rPr>
          <w:rFonts w:ascii="Cambria" w:hAnsi="Cambria"/>
          <w:sz w:val="20"/>
          <w:szCs w:val="20"/>
          <w:lang w:val="es-ES"/>
        </w:rPr>
        <w:t xml:space="preserve">la solicitud urgente de acción ante el Comité de Naciones Unidas contra la Desaparición Forzada presentada por la organización </w:t>
      </w:r>
      <w:r w:rsidR="00F53070" w:rsidRPr="749ACC70">
        <w:rPr>
          <w:rFonts w:ascii="Cambria" w:hAnsi="Cambria"/>
          <w:i/>
          <w:iCs/>
          <w:sz w:val="20"/>
          <w:szCs w:val="20"/>
          <w:lang w:val="es-ES"/>
        </w:rPr>
        <w:t>Prisoners Defen</w:t>
      </w:r>
      <w:r w:rsidR="00EE0F2E" w:rsidRPr="749ACC70">
        <w:rPr>
          <w:rFonts w:ascii="Cambria" w:hAnsi="Cambria"/>
          <w:i/>
          <w:iCs/>
          <w:sz w:val="20"/>
          <w:szCs w:val="20"/>
          <w:lang w:val="es-ES"/>
        </w:rPr>
        <w:t>d</w:t>
      </w:r>
      <w:r w:rsidR="00F53070" w:rsidRPr="749ACC70">
        <w:rPr>
          <w:rFonts w:ascii="Cambria" w:hAnsi="Cambria"/>
          <w:i/>
          <w:iCs/>
          <w:sz w:val="20"/>
          <w:szCs w:val="20"/>
          <w:lang w:val="es-ES"/>
        </w:rPr>
        <w:t>er</w:t>
      </w:r>
      <w:r w:rsidR="00F53070" w:rsidRPr="749ACC70">
        <w:rPr>
          <w:rFonts w:ascii="Cambria" w:hAnsi="Cambria"/>
          <w:sz w:val="20"/>
          <w:szCs w:val="20"/>
          <w:lang w:val="es-ES"/>
        </w:rPr>
        <w:t xml:space="preserve"> </w:t>
      </w:r>
      <w:r w:rsidR="653798CD" w:rsidRPr="749ACC70">
        <w:rPr>
          <w:rFonts w:ascii="Cambria" w:hAnsi="Cambria"/>
          <w:sz w:val="20"/>
          <w:szCs w:val="20"/>
          <w:lang w:val="es-ES"/>
        </w:rPr>
        <w:t>d</w:t>
      </w:r>
      <w:r w:rsidR="53335BD5" w:rsidRPr="749ACC70">
        <w:rPr>
          <w:rFonts w:ascii="Cambria" w:hAnsi="Cambria"/>
          <w:sz w:val="20"/>
          <w:szCs w:val="20"/>
          <w:lang w:val="es-ES"/>
        </w:rPr>
        <w:t>el 25 de mayo de 2021</w:t>
      </w:r>
      <w:r w:rsidR="7A9D2E91" w:rsidRPr="749ACC70">
        <w:rPr>
          <w:rFonts w:ascii="Cambria" w:hAnsi="Cambria"/>
          <w:sz w:val="20"/>
          <w:szCs w:val="20"/>
          <w:lang w:val="es-ES"/>
        </w:rPr>
        <w:t xml:space="preserve">. La </w:t>
      </w:r>
      <w:r w:rsidR="628D8F03" w:rsidRPr="749ACC70">
        <w:rPr>
          <w:rFonts w:ascii="Cambria" w:hAnsi="Cambria"/>
          <w:sz w:val="20"/>
          <w:szCs w:val="20"/>
          <w:lang w:val="es-ES"/>
        </w:rPr>
        <w:t>solicitud indic</w:t>
      </w:r>
      <w:r w:rsidR="00C91638" w:rsidRPr="749ACC70">
        <w:rPr>
          <w:rFonts w:ascii="Cambria" w:hAnsi="Cambria"/>
          <w:sz w:val="20"/>
          <w:szCs w:val="20"/>
          <w:lang w:val="es-ES"/>
        </w:rPr>
        <w:t>ó</w:t>
      </w:r>
      <w:r w:rsidR="53335BD5" w:rsidRPr="749ACC70">
        <w:rPr>
          <w:rFonts w:ascii="Cambria" w:hAnsi="Cambria"/>
          <w:sz w:val="20"/>
          <w:szCs w:val="20"/>
          <w:lang w:val="es-ES"/>
        </w:rPr>
        <w:t xml:space="preserve"> que la</w:t>
      </w:r>
      <w:r w:rsidR="31FDFCBB" w:rsidRPr="749ACC70">
        <w:rPr>
          <w:rFonts w:ascii="Cambria" w:hAnsi="Cambria"/>
          <w:sz w:val="20"/>
          <w:szCs w:val="20"/>
          <w:lang w:val="es-ES"/>
        </w:rPr>
        <w:t xml:space="preserve"> Policía Nacional Revolucionaria y </w:t>
      </w:r>
      <w:r w:rsidR="5FE2D820" w:rsidRPr="749ACC70">
        <w:rPr>
          <w:rFonts w:ascii="Cambria" w:hAnsi="Cambria"/>
          <w:sz w:val="20"/>
          <w:szCs w:val="20"/>
          <w:lang w:val="es-ES"/>
        </w:rPr>
        <w:t>l</w:t>
      </w:r>
      <w:r w:rsidR="31FDFCBB" w:rsidRPr="749ACC70">
        <w:rPr>
          <w:rFonts w:ascii="Cambria" w:hAnsi="Cambria"/>
          <w:sz w:val="20"/>
          <w:szCs w:val="20"/>
          <w:lang w:val="es-ES"/>
        </w:rPr>
        <w:t>a Seguridad del Estado ingresaron al domicilio del señor Castillo Pérez e</w:t>
      </w:r>
      <w:r w:rsidR="3B4AE34F" w:rsidRPr="749ACC70">
        <w:rPr>
          <w:rFonts w:ascii="Cambria" w:hAnsi="Cambria"/>
          <w:sz w:val="20"/>
          <w:szCs w:val="20"/>
          <w:lang w:val="es-ES"/>
        </w:rPr>
        <w:t>l 18 de mayo de 2021</w:t>
      </w:r>
      <w:r w:rsidR="0B2B4673" w:rsidRPr="749ACC70">
        <w:rPr>
          <w:rFonts w:ascii="Cambria" w:hAnsi="Cambria"/>
          <w:sz w:val="20"/>
          <w:szCs w:val="20"/>
          <w:lang w:val="es-ES"/>
        </w:rPr>
        <w:t xml:space="preserve"> para detenerlo. </w:t>
      </w:r>
      <w:r w:rsidR="00C91638" w:rsidRPr="749ACC70">
        <w:rPr>
          <w:rFonts w:ascii="Cambria" w:hAnsi="Cambria"/>
          <w:sz w:val="20"/>
          <w:szCs w:val="20"/>
          <w:lang w:val="es-ES"/>
        </w:rPr>
        <w:t>Especificó</w:t>
      </w:r>
      <w:r w:rsidR="6B61B7AB" w:rsidRPr="749ACC70">
        <w:rPr>
          <w:rFonts w:ascii="Cambria" w:hAnsi="Cambria"/>
          <w:sz w:val="20"/>
          <w:szCs w:val="20"/>
          <w:lang w:val="es-ES"/>
        </w:rPr>
        <w:t xml:space="preserve"> que </w:t>
      </w:r>
      <w:r w:rsidR="135CD80E" w:rsidRPr="749ACC70">
        <w:rPr>
          <w:rFonts w:ascii="Cambria" w:hAnsi="Cambria"/>
          <w:sz w:val="20"/>
          <w:szCs w:val="20"/>
          <w:lang w:val="es-ES"/>
        </w:rPr>
        <w:t xml:space="preserve">al principio de la detención </w:t>
      </w:r>
      <w:r w:rsidR="0B2B4673" w:rsidRPr="749ACC70">
        <w:rPr>
          <w:rFonts w:ascii="Cambria" w:hAnsi="Cambria"/>
          <w:sz w:val="20"/>
          <w:szCs w:val="20"/>
          <w:lang w:val="es-ES"/>
        </w:rPr>
        <w:t>no se tuvo conocimiento exacto de su paradero y se l</w:t>
      </w:r>
      <w:r w:rsidR="34B29144" w:rsidRPr="749ACC70">
        <w:rPr>
          <w:rFonts w:ascii="Cambria" w:hAnsi="Cambria"/>
          <w:sz w:val="20"/>
          <w:szCs w:val="20"/>
          <w:lang w:val="es-ES"/>
        </w:rPr>
        <w:t>o incomunicó</w:t>
      </w:r>
      <w:r w:rsidR="5F6D8E00" w:rsidRPr="749ACC70">
        <w:rPr>
          <w:rFonts w:ascii="Cambria" w:hAnsi="Cambria"/>
          <w:sz w:val="20"/>
          <w:szCs w:val="20"/>
          <w:lang w:val="es-ES"/>
        </w:rPr>
        <w:t xml:space="preserve"> </w:t>
      </w:r>
      <w:r w:rsidR="19E14BD8" w:rsidRPr="749ACC70">
        <w:rPr>
          <w:rFonts w:ascii="Cambria" w:hAnsi="Cambria"/>
          <w:sz w:val="20"/>
          <w:szCs w:val="20"/>
          <w:lang w:val="es-ES"/>
        </w:rPr>
        <w:t>de s</w:t>
      </w:r>
      <w:r w:rsidR="5F6D8E00" w:rsidRPr="749ACC70">
        <w:rPr>
          <w:rFonts w:ascii="Cambria" w:hAnsi="Cambria"/>
          <w:sz w:val="20"/>
          <w:szCs w:val="20"/>
          <w:lang w:val="es-ES"/>
        </w:rPr>
        <w:t>u familia</w:t>
      </w:r>
      <w:r w:rsidR="312CEA40" w:rsidRPr="749ACC70">
        <w:rPr>
          <w:rFonts w:ascii="Cambria" w:hAnsi="Cambria"/>
          <w:sz w:val="20"/>
          <w:szCs w:val="20"/>
          <w:lang w:val="es-ES"/>
        </w:rPr>
        <w:t xml:space="preserve"> </w:t>
      </w:r>
      <w:r w:rsidR="312CEA40" w:rsidRPr="749ACC70">
        <w:rPr>
          <w:rStyle w:val="normaltextrun"/>
          <w:rFonts w:ascii="Cambria" w:hAnsi="Cambria"/>
          <w:color w:val="000000" w:themeColor="text1"/>
          <w:sz w:val="20"/>
          <w:szCs w:val="20"/>
          <w:lang w:val="es-ES"/>
        </w:rPr>
        <w:t>(</w:t>
      </w:r>
      <w:r w:rsidR="312CEA40" w:rsidRPr="749ACC70">
        <w:rPr>
          <w:rStyle w:val="normaltextrun"/>
          <w:rFonts w:ascii="Cambria" w:hAnsi="Cambria"/>
          <w:i/>
          <w:iCs/>
          <w:color w:val="000000" w:themeColor="text1"/>
          <w:sz w:val="20"/>
          <w:szCs w:val="20"/>
          <w:lang w:val="es-ES"/>
        </w:rPr>
        <w:t>supra</w:t>
      </w:r>
      <w:r w:rsidR="312CEA40" w:rsidRPr="749ACC70">
        <w:rPr>
          <w:rStyle w:val="normaltextrun"/>
          <w:rFonts w:ascii="Cambria" w:hAnsi="Cambria"/>
          <w:color w:val="000000" w:themeColor="text1"/>
          <w:sz w:val="20"/>
          <w:szCs w:val="20"/>
          <w:lang w:val="es-ES"/>
        </w:rPr>
        <w:t xml:space="preserve"> párr. 37)</w:t>
      </w:r>
      <w:r w:rsidR="41974333" w:rsidRPr="749ACC70">
        <w:rPr>
          <w:rFonts w:ascii="Cambria" w:hAnsi="Cambria"/>
          <w:sz w:val="20"/>
          <w:szCs w:val="20"/>
          <w:lang w:val="es-ES"/>
        </w:rPr>
        <w:t>.</w:t>
      </w:r>
    </w:p>
    <w:p w14:paraId="4F409377" w14:textId="4A9E584F" w:rsidR="7EC42DB7" w:rsidRPr="00BD6C53" w:rsidRDefault="7EC42DB7" w:rsidP="749ACC70">
      <w:pPr>
        <w:pBdr>
          <w:top w:val="none" w:sz="0" w:space="0" w:color="000000"/>
          <w:left w:val="none" w:sz="0" w:space="0" w:color="000000"/>
          <w:bottom w:val="none" w:sz="0" w:space="0" w:color="000000"/>
          <w:right w:val="none" w:sz="0" w:space="0" w:color="000000"/>
          <w:between w:val="none" w:sz="0" w:space="0" w:color="000000"/>
          <w:bar w:val="none" w:sz="0" w:color="000000"/>
        </w:pBdr>
        <w:tabs>
          <w:tab w:val="left" w:pos="360"/>
        </w:tabs>
        <w:jc w:val="both"/>
        <w:rPr>
          <w:rFonts w:ascii="Cambria" w:hAnsi="Cambria"/>
          <w:sz w:val="20"/>
          <w:szCs w:val="20"/>
          <w:lang w:val="es-ES"/>
        </w:rPr>
      </w:pPr>
    </w:p>
    <w:p w14:paraId="24DE21DA" w14:textId="3B874EAF" w:rsidR="0269E206" w:rsidRPr="00BD6C53" w:rsidRDefault="0269E206" w:rsidP="001A4728">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lang w:val="es-ES"/>
        </w:rPr>
      </w:pPr>
      <w:r w:rsidRPr="749ACC70">
        <w:rPr>
          <w:rFonts w:ascii="Cambria" w:hAnsi="Cambria"/>
          <w:sz w:val="20"/>
          <w:szCs w:val="20"/>
          <w:lang w:val="es-ES"/>
        </w:rPr>
        <w:t xml:space="preserve">En </w:t>
      </w:r>
      <w:r w:rsidR="459B40ED" w:rsidRPr="749ACC70">
        <w:rPr>
          <w:rFonts w:ascii="Cambria" w:hAnsi="Cambria"/>
          <w:sz w:val="20"/>
          <w:szCs w:val="20"/>
          <w:lang w:val="es-ES"/>
        </w:rPr>
        <w:t xml:space="preserve">quinto </w:t>
      </w:r>
      <w:r w:rsidRPr="749ACC70">
        <w:rPr>
          <w:rFonts w:ascii="Cambria" w:hAnsi="Cambria"/>
          <w:sz w:val="20"/>
          <w:szCs w:val="20"/>
          <w:lang w:val="es-ES"/>
        </w:rPr>
        <w:t xml:space="preserve">lugar, la CIDH nota la comunicación de acción urgente de la organización Amnistía Internacional del 1 de agosto de 2023 </w:t>
      </w:r>
      <w:r w:rsidR="11E087F0" w:rsidRPr="749ACC70">
        <w:rPr>
          <w:rFonts w:ascii="Cambria" w:hAnsi="Cambria"/>
          <w:sz w:val="20"/>
          <w:szCs w:val="20"/>
          <w:lang w:val="es-ES"/>
        </w:rPr>
        <w:t xml:space="preserve">con motivo de la condena </w:t>
      </w:r>
      <w:r w:rsidR="5F464D6C" w:rsidRPr="749ACC70">
        <w:rPr>
          <w:rFonts w:ascii="Cambria" w:hAnsi="Cambria"/>
          <w:sz w:val="20"/>
          <w:szCs w:val="20"/>
          <w:lang w:val="es-ES"/>
        </w:rPr>
        <w:t>hacia el señor Castillo Pérez de</w:t>
      </w:r>
      <w:r w:rsidR="11E087F0" w:rsidRPr="749ACC70">
        <w:rPr>
          <w:rFonts w:ascii="Cambria" w:hAnsi="Cambria"/>
          <w:sz w:val="20"/>
          <w:szCs w:val="20"/>
          <w:lang w:val="es-ES"/>
        </w:rPr>
        <w:t xml:space="preserve"> junio 2022. En la comunicación se </w:t>
      </w:r>
      <w:r w:rsidR="18580214" w:rsidRPr="749ACC70">
        <w:rPr>
          <w:rFonts w:ascii="Cambria" w:hAnsi="Cambria"/>
          <w:sz w:val="20"/>
          <w:szCs w:val="20"/>
          <w:lang w:val="es-ES"/>
        </w:rPr>
        <w:t>indic</w:t>
      </w:r>
      <w:r w:rsidR="00C91638" w:rsidRPr="749ACC70">
        <w:rPr>
          <w:rFonts w:ascii="Cambria" w:hAnsi="Cambria"/>
          <w:sz w:val="20"/>
          <w:szCs w:val="20"/>
          <w:lang w:val="es-ES"/>
        </w:rPr>
        <w:t>ó</w:t>
      </w:r>
      <w:r w:rsidR="18580214" w:rsidRPr="749ACC70">
        <w:rPr>
          <w:rFonts w:ascii="Cambria" w:hAnsi="Cambria"/>
          <w:sz w:val="20"/>
          <w:szCs w:val="20"/>
          <w:lang w:val="es-ES"/>
        </w:rPr>
        <w:t xml:space="preserve"> que el señor Castillo Pérez t</w:t>
      </w:r>
      <w:r w:rsidR="2CAEE540" w:rsidRPr="749ACC70">
        <w:rPr>
          <w:rFonts w:ascii="Cambria" w:hAnsi="Cambria"/>
          <w:sz w:val="20"/>
          <w:szCs w:val="20"/>
          <w:lang w:val="es-ES"/>
        </w:rPr>
        <w:t xml:space="preserve">enía </w:t>
      </w:r>
      <w:r w:rsidR="18580214" w:rsidRPr="749ACC70">
        <w:rPr>
          <w:rFonts w:ascii="Cambria" w:hAnsi="Cambria"/>
          <w:sz w:val="20"/>
          <w:szCs w:val="20"/>
          <w:lang w:val="es-ES"/>
        </w:rPr>
        <w:t>acceso limitado a atención médica de calidad</w:t>
      </w:r>
      <w:r w:rsidR="39D80542" w:rsidRPr="749ACC70">
        <w:rPr>
          <w:rFonts w:ascii="Cambria" w:hAnsi="Cambria"/>
          <w:sz w:val="20"/>
          <w:szCs w:val="20"/>
          <w:lang w:val="es-ES"/>
        </w:rPr>
        <w:t>, r</w:t>
      </w:r>
      <w:r w:rsidR="0B728D3F" w:rsidRPr="749ACC70">
        <w:rPr>
          <w:rFonts w:ascii="Cambria" w:hAnsi="Cambria"/>
          <w:sz w:val="20"/>
          <w:szCs w:val="20"/>
          <w:lang w:val="es-ES"/>
        </w:rPr>
        <w:t xml:space="preserve">ecibió </w:t>
      </w:r>
      <w:r w:rsidR="39D80542" w:rsidRPr="749ACC70">
        <w:rPr>
          <w:rFonts w:ascii="Cambria" w:hAnsi="Cambria"/>
          <w:sz w:val="20"/>
          <w:szCs w:val="20"/>
          <w:lang w:val="es-ES"/>
        </w:rPr>
        <w:t>hostigamientos y amenazas de otros reclusos y, como castigo por haberse cosido la boca en símbolo de protesta, le informaro</w:t>
      </w:r>
      <w:r w:rsidR="75F36D6A" w:rsidRPr="749ACC70">
        <w:rPr>
          <w:rFonts w:ascii="Cambria" w:hAnsi="Cambria"/>
          <w:sz w:val="20"/>
          <w:szCs w:val="20"/>
          <w:lang w:val="es-ES"/>
        </w:rPr>
        <w:t xml:space="preserve">n </w:t>
      </w:r>
      <w:r w:rsidR="1153B962" w:rsidRPr="749ACC70">
        <w:rPr>
          <w:rFonts w:ascii="Cambria" w:hAnsi="Cambria"/>
          <w:sz w:val="20"/>
          <w:szCs w:val="20"/>
          <w:lang w:val="es-ES"/>
        </w:rPr>
        <w:t xml:space="preserve">su </w:t>
      </w:r>
      <w:r w:rsidR="75F36D6A" w:rsidRPr="749ACC70">
        <w:rPr>
          <w:rFonts w:ascii="Cambria" w:hAnsi="Cambria"/>
          <w:sz w:val="20"/>
          <w:szCs w:val="20"/>
          <w:lang w:val="es-ES"/>
        </w:rPr>
        <w:t xml:space="preserve">imposibilidad de recibir visitas familiares </w:t>
      </w:r>
      <w:r w:rsidR="75F36D6A" w:rsidRPr="749ACC70">
        <w:rPr>
          <w:rStyle w:val="normaltextrun"/>
          <w:rFonts w:ascii="Cambria" w:hAnsi="Cambria"/>
          <w:color w:val="000000" w:themeColor="text1"/>
          <w:sz w:val="20"/>
          <w:szCs w:val="20"/>
          <w:lang w:val="es-ES"/>
        </w:rPr>
        <w:t>(</w:t>
      </w:r>
      <w:r w:rsidR="75F36D6A" w:rsidRPr="749ACC70">
        <w:rPr>
          <w:rStyle w:val="normaltextrun"/>
          <w:rFonts w:ascii="Cambria" w:hAnsi="Cambria"/>
          <w:i/>
          <w:iCs/>
          <w:color w:val="000000" w:themeColor="text1"/>
          <w:sz w:val="20"/>
          <w:szCs w:val="20"/>
          <w:lang w:val="es-ES"/>
        </w:rPr>
        <w:t>supra</w:t>
      </w:r>
      <w:r w:rsidR="75F36D6A" w:rsidRPr="749ACC70">
        <w:rPr>
          <w:rStyle w:val="normaltextrun"/>
          <w:rFonts w:ascii="Cambria" w:hAnsi="Cambria"/>
          <w:color w:val="000000" w:themeColor="text1"/>
          <w:sz w:val="20"/>
          <w:szCs w:val="20"/>
          <w:lang w:val="es-ES"/>
        </w:rPr>
        <w:t xml:space="preserve"> párr. 40).</w:t>
      </w:r>
    </w:p>
    <w:p w14:paraId="48BA4E51" w14:textId="4D76F2B2" w:rsidR="7EC42DB7" w:rsidRPr="00BD6C53" w:rsidRDefault="7EC42DB7"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lang w:val="es-ES"/>
        </w:rPr>
      </w:pPr>
    </w:p>
    <w:p w14:paraId="0E066C88" w14:textId="0D0EF492" w:rsidR="45D640E8" w:rsidRPr="00BD6C53" w:rsidRDefault="45D640E8" w:rsidP="001A4728">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lang w:val="es-ES"/>
        </w:rPr>
      </w:pPr>
      <w:r w:rsidRPr="749ACC70">
        <w:rPr>
          <w:rFonts w:ascii="Cambria" w:hAnsi="Cambria"/>
          <w:sz w:val="20"/>
          <w:szCs w:val="20"/>
          <w:lang w:val="es-ES"/>
        </w:rPr>
        <w:t xml:space="preserve">En </w:t>
      </w:r>
      <w:r w:rsidR="128FDEAA" w:rsidRPr="749ACC70">
        <w:rPr>
          <w:rFonts w:ascii="Cambria" w:hAnsi="Cambria"/>
          <w:sz w:val="20"/>
          <w:szCs w:val="20"/>
          <w:lang w:val="es-ES"/>
        </w:rPr>
        <w:t xml:space="preserve">sexto </w:t>
      </w:r>
      <w:r w:rsidRPr="749ACC70">
        <w:rPr>
          <w:rFonts w:ascii="Cambria" w:hAnsi="Cambria"/>
          <w:sz w:val="20"/>
          <w:szCs w:val="20"/>
          <w:lang w:val="es-ES"/>
        </w:rPr>
        <w:t xml:space="preserve">lugar, de acuerdo con la parte peticionaria, el señor Castillo Pérez </w:t>
      </w:r>
      <w:r w:rsidR="23E466D8" w:rsidRPr="749ACC70">
        <w:rPr>
          <w:rFonts w:ascii="Cambria" w:hAnsi="Cambria"/>
          <w:sz w:val="20"/>
          <w:szCs w:val="20"/>
          <w:lang w:val="es-ES"/>
        </w:rPr>
        <w:t xml:space="preserve">fue víctima </w:t>
      </w:r>
      <w:r w:rsidR="401C770A" w:rsidRPr="749ACC70">
        <w:rPr>
          <w:rFonts w:ascii="Cambria" w:hAnsi="Cambria"/>
          <w:sz w:val="20"/>
          <w:szCs w:val="20"/>
          <w:lang w:val="es-ES"/>
        </w:rPr>
        <w:t xml:space="preserve">de seguimiento y vigilancia policial en su domicilio </w:t>
      </w:r>
      <w:r w:rsidR="007748B6" w:rsidRPr="749ACC70">
        <w:rPr>
          <w:rFonts w:ascii="Cambria" w:hAnsi="Cambria"/>
          <w:sz w:val="20"/>
          <w:szCs w:val="20"/>
          <w:lang w:val="es-ES"/>
        </w:rPr>
        <w:t xml:space="preserve">el 2 de enero, reiterándose </w:t>
      </w:r>
      <w:r w:rsidR="6AA2EB9D" w:rsidRPr="749ACC70">
        <w:rPr>
          <w:rFonts w:ascii="Cambria" w:hAnsi="Cambria"/>
          <w:sz w:val="20"/>
          <w:szCs w:val="20"/>
          <w:lang w:val="es-ES"/>
        </w:rPr>
        <w:t xml:space="preserve">el </w:t>
      </w:r>
      <w:r w:rsidR="007748B6" w:rsidRPr="749ACC70">
        <w:rPr>
          <w:rFonts w:ascii="Cambria" w:hAnsi="Cambria"/>
          <w:sz w:val="20"/>
          <w:szCs w:val="20"/>
          <w:lang w:val="es-ES"/>
        </w:rPr>
        <w:t xml:space="preserve">23 de julio </w:t>
      </w:r>
      <w:r w:rsidR="5BFFD2CE" w:rsidRPr="749ACC70">
        <w:rPr>
          <w:rFonts w:ascii="Cambria" w:hAnsi="Cambria"/>
          <w:sz w:val="20"/>
          <w:szCs w:val="20"/>
          <w:lang w:val="es-ES"/>
        </w:rPr>
        <w:t xml:space="preserve">y siendo </w:t>
      </w:r>
      <w:r w:rsidR="631B111E" w:rsidRPr="749ACC70">
        <w:rPr>
          <w:rFonts w:ascii="Cambria" w:hAnsi="Cambria"/>
          <w:sz w:val="20"/>
          <w:szCs w:val="20"/>
          <w:lang w:val="es-ES"/>
        </w:rPr>
        <w:t xml:space="preserve">en calidad de “reclusión domiciliaria” </w:t>
      </w:r>
      <w:r w:rsidR="5804B72F" w:rsidRPr="749ACC70">
        <w:rPr>
          <w:rFonts w:ascii="Cambria" w:hAnsi="Cambria"/>
          <w:sz w:val="20"/>
          <w:szCs w:val="20"/>
          <w:lang w:val="es-ES"/>
        </w:rPr>
        <w:t xml:space="preserve">la vigilancia </w:t>
      </w:r>
      <w:r w:rsidR="5BFFD2CE" w:rsidRPr="749ACC70">
        <w:rPr>
          <w:rFonts w:ascii="Cambria" w:hAnsi="Cambria"/>
          <w:sz w:val="20"/>
          <w:szCs w:val="20"/>
          <w:lang w:val="es-ES"/>
        </w:rPr>
        <w:t>entre el 27 de noviembre y el 1 de diciembre de 2020.</w:t>
      </w:r>
      <w:r w:rsidR="664C5951" w:rsidRPr="749ACC70">
        <w:rPr>
          <w:rFonts w:ascii="Cambria" w:hAnsi="Cambria"/>
          <w:sz w:val="20"/>
          <w:szCs w:val="20"/>
          <w:lang w:val="es-ES"/>
        </w:rPr>
        <w:t xml:space="preserve"> De </w:t>
      </w:r>
      <w:r w:rsidR="46929EC7" w:rsidRPr="749ACC70">
        <w:rPr>
          <w:rFonts w:ascii="Cambria" w:hAnsi="Cambria"/>
          <w:sz w:val="20"/>
          <w:szCs w:val="20"/>
          <w:lang w:val="es-ES"/>
        </w:rPr>
        <w:t>acuerdo</w:t>
      </w:r>
      <w:r w:rsidR="664C5951" w:rsidRPr="749ACC70">
        <w:rPr>
          <w:rFonts w:ascii="Cambria" w:hAnsi="Cambria"/>
          <w:sz w:val="20"/>
          <w:szCs w:val="20"/>
          <w:lang w:val="es-ES"/>
        </w:rPr>
        <w:t xml:space="preserve"> con un miembro del Movimiento San Isidro</w:t>
      </w:r>
      <w:r w:rsidR="7CC0265E" w:rsidRPr="749ACC70">
        <w:rPr>
          <w:rFonts w:ascii="Cambria" w:hAnsi="Cambria"/>
          <w:sz w:val="20"/>
          <w:szCs w:val="20"/>
          <w:lang w:val="es-ES"/>
        </w:rPr>
        <w:t xml:space="preserve"> </w:t>
      </w:r>
      <w:r w:rsidR="2B94DA66" w:rsidRPr="749ACC70">
        <w:rPr>
          <w:rFonts w:ascii="Cambria" w:hAnsi="Cambria"/>
          <w:sz w:val="20"/>
          <w:szCs w:val="20"/>
          <w:lang w:val="es-ES"/>
        </w:rPr>
        <w:t xml:space="preserve">el señor Castillo Pérez </w:t>
      </w:r>
      <w:r w:rsidR="664C5951" w:rsidRPr="749ACC70">
        <w:rPr>
          <w:rFonts w:ascii="Cambria" w:hAnsi="Cambria"/>
          <w:sz w:val="20"/>
          <w:szCs w:val="20"/>
          <w:lang w:val="es-ES"/>
        </w:rPr>
        <w:t>se encontró incomunicado y sin comida</w:t>
      </w:r>
      <w:r w:rsidR="7AE3B45F" w:rsidRPr="749ACC70">
        <w:rPr>
          <w:rFonts w:ascii="Cambria" w:hAnsi="Cambria"/>
          <w:sz w:val="20"/>
          <w:szCs w:val="20"/>
          <w:lang w:val="es-ES"/>
        </w:rPr>
        <w:t xml:space="preserve"> </w:t>
      </w:r>
      <w:r w:rsidR="32F1D7CF" w:rsidRPr="749ACC70">
        <w:rPr>
          <w:rFonts w:ascii="Cambria" w:hAnsi="Cambria"/>
          <w:sz w:val="20"/>
          <w:szCs w:val="20"/>
          <w:lang w:val="es-ES"/>
        </w:rPr>
        <w:t>en el último período mencionado</w:t>
      </w:r>
      <w:r w:rsidR="20B6EBFC" w:rsidRPr="749ACC70">
        <w:rPr>
          <w:rFonts w:ascii="Cambria" w:hAnsi="Cambria"/>
          <w:sz w:val="20"/>
          <w:szCs w:val="20"/>
          <w:lang w:val="es-ES"/>
        </w:rPr>
        <w:t xml:space="preserve"> </w:t>
      </w:r>
      <w:r w:rsidR="20B6EBFC" w:rsidRPr="749ACC70">
        <w:rPr>
          <w:rStyle w:val="normaltextrun"/>
          <w:rFonts w:ascii="Cambria" w:hAnsi="Cambria"/>
          <w:color w:val="000000" w:themeColor="text1"/>
          <w:sz w:val="20"/>
          <w:szCs w:val="20"/>
          <w:lang w:val="es-ES"/>
        </w:rPr>
        <w:t>(</w:t>
      </w:r>
      <w:r w:rsidR="20B6EBFC" w:rsidRPr="749ACC70">
        <w:rPr>
          <w:rStyle w:val="normaltextrun"/>
          <w:rFonts w:ascii="Cambria" w:hAnsi="Cambria"/>
          <w:i/>
          <w:iCs/>
          <w:color w:val="000000" w:themeColor="text1"/>
          <w:sz w:val="20"/>
          <w:szCs w:val="20"/>
          <w:lang w:val="es-ES"/>
        </w:rPr>
        <w:t>supra</w:t>
      </w:r>
      <w:r w:rsidR="20B6EBFC" w:rsidRPr="749ACC70">
        <w:rPr>
          <w:rStyle w:val="normaltextrun"/>
          <w:rFonts w:ascii="Cambria" w:hAnsi="Cambria"/>
          <w:color w:val="000000" w:themeColor="text1"/>
          <w:sz w:val="20"/>
          <w:szCs w:val="20"/>
          <w:lang w:val="es-ES"/>
        </w:rPr>
        <w:t xml:space="preserve"> párr. 35)</w:t>
      </w:r>
      <w:r w:rsidR="59563C47" w:rsidRPr="749ACC70">
        <w:rPr>
          <w:rFonts w:ascii="Cambria" w:hAnsi="Cambria"/>
          <w:sz w:val="20"/>
          <w:szCs w:val="20"/>
          <w:lang w:val="es-ES"/>
        </w:rPr>
        <w:t>.</w:t>
      </w:r>
    </w:p>
    <w:p w14:paraId="2CA0EEA9" w14:textId="67763CF2" w:rsidR="7EC42DB7" w:rsidRPr="00BD6C53" w:rsidRDefault="7EC42DB7"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cs="TimesNewRomanPSMT"/>
          <w:sz w:val="20"/>
          <w:szCs w:val="20"/>
          <w:lang w:val="es-ES"/>
        </w:rPr>
      </w:pPr>
    </w:p>
    <w:p w14:paraId="6B126191" w14:textId="4C092C97" w:rsidR="21C2A668" w:rsidRPr="00BD6C53" w:rsidRDefault="21C2A668" w:rsidP="001A4728">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cs="TimesNewRomanPSMT"/>
          <w:sz w:val="20"/>
          <w:szCs w:val="20"/>
          <w:lang w:val="es-ES"/>
        </w:rPr>
      </w:pPr>
      <w:r w:rsidRPr="749ACC70">
        <w:rPr>
          <w:rFonts w:ascii="Cambria" w:hAnsi="Cambria" w:cs="TimesNewRomanPSMT"/>
          <w:sz w:val="20"/>
          <w:szCs w:val="20"/>
          <w:lang w:val="es-ES"/>
        </w:rPr>
        <w:t xml:space="preserve">En </w:t>
      </w:r>
      <w:r w:rsidR="00C03E66" w:rsidRPr="749ACC70">
        <w:rPr>
          <w:rFonts w:ascii="Cambria" w:hAnsi="Cambria" w:cs="TimesNewRomanPSMT"/>
          <w:sz w:val="20"/>
          <w:szCs w:val="20"/>
          <w:lang w:val="es-ES"/>
        </w:rPr>
        <w:t>séptimo</w:t>
      </w:r>
      <w:r w:rsidR="59F6DD26" w:rsidRPr="749ACC70">
        <w:rPr>
          <w:rFonts w:ascii="Cambria" w:hAnsi="Cambria" w:cs="TimesNewRomanPSMT"/>
          <w:sz w:val="20"/>
          <w:szCs w:val="20"/>
          <w:lang w:val="es-ES"/>
        </w:rPr>
        <w:t xml:space="preserve"> </w:t>
      </w:r>
      <w:r w:rsidRPr="749ACC70">
        <w:rPr>
          <w:rFonts w:ascii="Cambria" w:hAnsi="Cambria" w:cs="TimesNewRomanPSMT"/>
          <w:sz w:val="20"/>
          <w:szCs w:val="20"/>
          <w:lang w:val="es-ES"/>
        </w:rPr>
        <w:t xml:space="preserve">lugar, la CIDH nota que la parte peticionaria señalo que el señor Castillo Pérez fue golpeado </w:t>
      </w:r>
      <w:r w:rsidR="0A369CB4" w:rsidRPr="749ACC70">
        <w:rPr>
          <w:rFonts w:ascii="Cambria" w:hAnsi="Cambria" w:cs="TimesNewRomanPSMT"/>
          <w:sz w:val="20"/>
          <w:szCs w:val="20"/>
          <w:lang w:val="es-ES"/>
        </w:rPr>
        <w:t xml:space="preserve">al ser detenido el 26 de diciembre de 2019 y el 11 de junio de 2020. </w:t>
      </w:r>
      <w:r w:rsidR="7290A851" w:rsidRPr="749ACC70">
        <w:rPr>
          <w:rFonts w:ascii="Cambria" w:hAnsi="Cambria" w:cs="TimesNewRomanPSMT"/>
          <w:sz w:val="20"/>
          <w:szCs w:val="20"/>
          <w:lang w:val="es-ES"/>
        </w:rPr>
        <w:t>De acuerdo con</w:t>
      </w:r>
      <w:r w:rsidR="3691A13A" w:rsidRPr="749ACC70">
        <w:rPr>
          <w:rFonts w:ascii="Cambria" w:hAnsi="Cambria" w:cs="TimesNewRomanPSMT"/>
          <w:sz w:val="20"/>
          <w:szCs w:val="20"/>
          <w:lang w:val="es-ES"/>
        </w:rPr>
        <w:t xml:space="preserve"> un video de prensa, en la última fecha fue detenido por una patrulla y terminó ensangrentado dentro de una comisaría</w:t>
      </w:r>
      <w:r w:rsidR="0746B2D0" w:rsidRPr="749ACC70">
        <w:rPr>
          <w:rFonts w:ascii="Cambria" w:hAnsi="Cambria" w:cs="TimesNewRomanPSMT"/>
          <w:sz w:val="20"/>
          <w:szCs w:val="20"/>
          <w:lang w:val="es-ES"/>
        </w:rPr>
        <w:t xml:space="preserve"> </w:t>
      </w:r>
      <w:r w:rsidR="0746B2D0" w:rsidRPr="749ACC70">
        <w:rPr>
          <w:rStyle w:val="normaltextrun"/>
          <w:rFonts w:ascii="Cambria" w:hAnsi="Cambria"/>
          <w:color w:val="000000" w:themeColor="text1"/>
          <w:sz w:val="20"/>
          <w:szCs w:val="20"/>
          <w:lang w:val="es-ES"/>
        </w:rPr>
        <w:t>(</w:t>
      </w:r>
      <w:r w:rsidR="0746B2D0" w:rsidRPr="749ACC70">
        <w:rPr>
          <w:rStyle w:val="normaltextrun"/>
          <w:rFonts w:ascii="Cambria" w:hAnsi="Cambria"/>
          <w:i/>
          <w:iCs/>
          <w:color w:val="000000" w:themeColor="text1"/>
          <w:sz w:val="20"/>
          <w:szCs w:val="20"/>
          <w:lang w:val="es-ES"/>
        </w:rPr>
        <w:t>supra</w:t>
      </w:r>
      <w:r w:rsidR="0746B2D0" w:rsidRPr="749ACC70">
        <w:rPr>
          <w:rStyle w:val="normaltextrun"/>
          <w:rFonts w:ascii="Cambria" w:hAnsi="Cambria"/>
          <w:color w:val="000000" w:themeColor="text1"/>
          <w:sz w:val="20"/>
          <w:szCs w:val="20"/>
          <w:lang w:val="es-ES"/>
        </w:rPr>
        <w:t xml:space="preserve"> párr. 35)</w:t>
      </w:r>
      <w:r w:rsidR="0746B2D0" w:rsidRPr="749ACC70">
        <w:rPr>
          <w:rFonts w:ascii="Cambria" w:hAnsi="Cambria" w:cs="TimesNewRomanPSMT"/>
          <w:sz w:val="20"/>
          <w:szCs w:val="20"/>
          <w:lang w:val="es-ES"/>
        </w:rPr>
        <w:t>.</w:t>
      </w:r>
    </w:p>
    <w:p w14:paraId="7BFA6458" w14:textId="72C5360A" w:rsidR="7EC42DB7" w:rsidRPr="00BD6C53" w:rsidRDefault="7EC42DB7"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lang w:val="es-ES"/>
        </w:rPr>
      </w:pPr>
    </w:p>
    <w:p w14:paraId="6FCAF528" w14:textId="77677410" w:rsidR="00225587" w:rsidRPr="003F4C70" w:rsidRDefault="00C03E66" w:rsidP="001A4728">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lang w:val="es-ES"/>
        </w:rPr>
      </w:pPr>
      <w:r w:rsidRPr="00BD6C53">
        <w:rPr>
          <w:rFonts w:ascii="Cambria" w:hAnsi="Cambria"/>
          <w:sz w:val="20"/>
          <w:szCs w:val="20"/>
          <w:lang w:val="es-ES"/>
        </w:rPr>
        <w:t>L</w:t>
      </w:r>
      <w:r w:rsidR="5E4BFA35" w:rsidRPr="00BD6C53">
        <w:rPr>
          <w:rFonts w:ascii="Cambria" w:hAnsi="Cambria"/>
          <w:sz w:val="20"/>
          <w:szCs w:val="20"/>
          <w:lang w:val="es-ES"/>
        </w:rPr>
        <w:t>a Comisión considera que t</w:t>
      </w:r>
      <w:r w:rsidR="00E433FD" w:rsidRPr="00BD6C53">
        <w:rPr>
          <w:rFonts w:ascii="Cambria" w:hAnsi="Cambria"/>
          <w:sz w:val="20"/>
          <w:szCs w:val="20"/>
          <w:lang w:val="es-ES"/>
        </w:rPr>
        <w:t>odos estos elementos</w:t>
      </w:r>
      <w:r w:rsidR="5E4BFA35" w:rsidRPr="00BD6C53">
        <w:rPr>
          <w:rFonts w:ascii="Cambria" w:hAnsi="Cambria"/>
          <w:sz w:val="20"/>
          <w:szCs w:val="20"/>
          <w:lang w:val="es-ES"/>
        </w:rPr>
        <w:t xml:space="preserve"> se enmarcan en el contexto ya referido sobre criminalización de personas defensoras de derechos humanos en Cuba. </w:t>
      </w:r>
      <w:r w:rsidR="00E433FD" w:rsidRPr="00BD6C53">
        <w:rPr>
          <w:rFonts w:ascii="Cambria" w:hAnsi="Cambria"/>
          <w:sz w:val="20"/>
          <w:szCs w:val="20"/>
          <w:lang w:val="es-ES"/>
        </w:rPr>
        <w:t>La CIDH ha señalado que actos de violencia, amenazas y hostigamientos en contra de personas defensoras de derechos humanos tienen usualmente como objetivo disminuir su capacidad física y mental, así como amedrentarlos para evitar que continúen con sus labores, lo cual conlleva a una afectación a su derecho a la integridad personal</w:t>
      </w:r>
      <w:r w:rsidR="00E433FD" w:rsidRPr="00BD6C53">
        <w:rPr>
          <w:rStyle w:val="FootnoteReference"/>
          <w:rFonts w:ascii="Cambria" w:hAnsi="Cambria"/>
          <w:sz w:val="20"/>
          <w:szCs w:val="20"/>
          <w:lang w:val="es-ES"/>
        </w:rPr>
        <w:footnoteReference w:id="137"/>
      </w:r>
      <w:r w:rsidR="00E433FD" w:rsidRPr="00BD6C53">
        <w:rPr>
          <w:rFonts w:ascii="Cambria" w:hAnsi="Cambria"/>
          <w:sz w:val="20"/>
          <w:szCs w:val="20"/>
          <w:lang w:val="es-ES"/>
        </w:rPr>
        <w:t>. Es así como los Estados también pueden incurrir en responsabilidad internacional al no adoptar medidas razonables para prevenir estas agresiones en contra de personas defensoras de derechos humanos</w:t>
      </w:r>
      <w:r w:rsidR="00E433FD" w:rsidRPr="00BD6C53">
        <w:rPr>
          <w:rStyle w:val="FootnoteReference"/>
          <w:rFonts w:ascii="Cambria" w:hAnsi="Cambria"/>
          <w:sz w:val="20"/>
          <w:szCs w:val="20"/>
          <w:lang w:val="es-ES"/>
        </w:rPr>
        <w:footnoteReference w:id="138"/>
      </w:r>
      <w:r w:rsidR="00E433FD" w:rsidRPr="00BD6C53">
        <w:rPr>
          <w:rFonts w:ascii="Cambria" w:hAnsi="Cambria"/>
          <w:sz w:val="20"/>
          <w:szCs w:val="20"/>
          <w:lang w:val="es-ES"/>
        </w:rPr>
        <w:t xml:space="preserve">. En este sentido, la Comisión ha resaltado que “la obligación </w:t>
      </w:r>
      <w:r w:rsidR="00E433FD" w:rsidRPr="003F4C70">
        <w:rPr>
          <w:rFonts w:ascii="Cambria" w:hAnsi="Cambria"/>
          <w:sz w:val="20"/>
          <w:szCs w:val="20"/>
          <w:lang w:val="es-ES"/>
        </w:rPr>
        <w:t>del Estado no se limita a proporcionar medidas materiales a efectos de proteger (…) [las personas defensoras de derechos humanos], sino que conlleva la obligación de actuar sobre las causas estructurales que afectan [su] seguridad”</w:t>
      </w:r>
      <w:r w:rsidR="00E433FD" w:rsidRPr="003F4C70">
        <w:rPr>
          <w:rStyle w:val="FootnoteReference"/>
          <w:rFonts w:ascii="Cambria" w:hAnsi="Cambria"/>
          <w:sz w:val="20"/>
          <w:szCs w:val="20"/>
          <w:lang w:val="es-ES"/>
        </w:rPr>
        <w:footnoteReference w:id="139"/>
      </w:r>
      <w:r w:rsidR="00E433FD" w:rsidRPr="003F4C70">
        <w:rPr>
          <w:rFonts w:ascii="Cambria" w:hAnsi="Cambria"/>
          <w:sz w:val="20"/>
          <w:szCs w:val="20"/>
          <w:lang w:val="es-ES"/>
        </w:rPr>
        <w:t xml:space="preserve">. </w:t>
      </w:r>
    </w:p>
    <w:p w14:paraId="6F098102" w14:textId="134A4BA3" w:rsidR="00225587" w:rsidRPr="003F4C70" w:rsidRDefault="00225587"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lang w:val="es-ES"/>
        </w:rPr>
      </w:pPr>
    </w:p>
    <w:p w14:paraId="2CE0B185" w14:textId="21389FAA" w:rsidR="00225587" w:rsidRPr="003F4C70" w:rsidRDefault="00B74AF5" w:rsidP="001A4728">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lang w:val="es-ES"/>
        </w:rPr>
      </w:pPr>
      <w:r w:rsidRPr="003F4C70">
        <w:rPr>
          <w:rFonts w:ascii="Cambria" w:hAnsi="Cambria"/>
          <w:sz w:val="20"/>
          <w:szCs w:val="20"/>
          <w:lang w:val="es-ES"/>
        </w:rPr>
        <w:t xml:space="preserve">En el presente caso y conforme a todo señalado, la Comisión considera que el Estado causó la afectación del derecho a la integridad personal en contra del señor Castillo Pérez. En consecuencia, la CIDH concluye que el Estado es </w:t>
      </w:r>
      <w:bookmarkStart w:id="35" w:name="_Hlk172885354"/>
      <w:r w:rsidR="00225587" w:rsidRPr="003F4C70">
        <w:rPr>
          <w:rFonts w:ascii="Cambria" w:hAnsi="Cambria"/>
          <w:sz w:val="20"/>
          <w:szCs w:val="20"/>
          <w:lang w:val="es-ES"/>
        </w:rPr>
        <w:t xml:space="preserve">responsable por la violación del derecho establecido en el artículo I de la Declaración Americana en perjuicio de </w:t>
      </w:r>
      <w:r w:rsidR="00E37172" w:rsidRPr="003F4C70">
        <w:rPr>
          <w:rFonts w:ascii="Cambria" w:hAnsi="Cambria"/>
          <w:sz w:val="20"/>
          <w:szCs w:val="20"/>
          <w:lang w:val="es-ES"/>
        </w:rPr>
        <w:t>Maykel Castillo Pérez</w:t>
      </w:r>
      <w:r w:rsidR="00225587" w:rsidRPr="003F4C70">
        <w:rPr>
          <w:rFonts w:ascii="Cambria" w:hAnsi="Cambria"/>
          <w:sz w:val="20"/>
          <w:szCs w:val="20"/>
          <w:lang w:val="es-ES"/>
        </w:rPr>
        <w:t>.</w:t>
      </w:r>
    </w:p>
    <w:p w14:paraId="2965C995" w14:textId="77777777" w:rsidR="00E37172" w:rsidRPr="003F4C70" w:rsidRDefault="00E37172"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lang w:val="es-ES"/>
        </w:rPr>
      </w:pPr>
    </w:p>
    <w:p w14:paraId="392D3441" w14:textId="294416EF" w:rsidR="00A71B83" w:rsidRPr="003F4C70" w:rsidRDefault="00225587" w:rsidP="001A4728">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lang w:val="es-ES"/>
        </w:rPr>
      </w:pPr>
      <w:r w:rsidRPr="003F4C70">
        <w:rPr>
          <w:rFonts w:ascii="Cambria" w:hAnsi="Cambria"/>
          <w:sz w:val="20"/>
          <w:szCs w:val="20"/>
          <w:lang w:val="es-ES"/>
        </w:rPr>
        <w:t xml:space="preserve">Finalmente, la Comisión no cuenta con información suficiente para pronunciarse sobre las afectaciones </w:t>
      </w:r>
      <w:r w:rsidR="00E37172" w:rsidRPr="003F4C70">
        <w:rPr>
          <w:rFonts w:ascii="Cambria" w:hAnsi="Cambria"/>
          <w:sz w:val="20"/>
          <w:szCs w:val="20"/>
          <w:lang w:val="es-ES"/>
        </w:rPr>
        <w:t xml:space="preserve">relacionadas al principio de igualdad ante la ley </w:t>
      </w:r>
      <w:r w:rsidRPr="003F4C70">
        <w:rPr>
          <w:rFonts w:ascii="Cambria" w:hAnsi="Cambria"/>
          <w:sz w:val="20"/>
          <w:szCs w:val="20"/>
          <w:lang w:val="es-ES"/>
        </w:rPr>
        <w:t xml:space="preserve">en perjuicio de </w:t>
      </w:r>
      <w:r w:rsidR="00E37172" w:rsidRPr="003F4C70">
        <w:rPr>
          <w:rFonts w:ascii="Cambria" w:hAnsi="Cambria"/>
          <w:sz w:val="20"/>
          <w:szCs w:val="20"/>
          <w:lang w:val="es-ES"/>
        </w:rPr>
        <w:t>Maykel Castillo Pérez</w:t>
      </w:r>
      <w:r w:rsidR="00E433FD" w:rsidRPr="003F4C70">
        <w:rPr>
          <w:rFonts w:ascii="Cambria" w:hAnsi="Cambria"/>
          <w:sz w:val="20"/>
          <w:szCs w:val="20"/>
          <w:lang w:val="es-ES"/>
        </w:rPr>
        <w:t xml:space="preserve"> conforme al artículo II de la Declaración Americana</w:t>
      </w:r>
      <w:r w:rsidR="00E37172" w:rsidRPr="003F4C70">
        <w:rPr>
          <w:rFonts w:ascii="Cambria" w:hAnsi="Cambria"/>
          <w:sz w:val="20"/>
          <w:szCs w:val="20"/>
          <w:lang w:val="es-ES"/>
        </w:rPr>
        <w:t>.</w:t>
      </w:r>
    </w:p>
    <w:p w14:paraId="223A3A7B" w14:textId="77777777" w:rsidR="00A71B83" w:rsidRPr="003F4C70" w:rsidRDefault="00A71B83" w:rsidP="00A71B83">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lang w:val="es-ES"/>
        </w:rPr>
      </w:pPr>
    </w:p>
    <w:p w14:paraId="5094E200" w14:textId="4B9F7EE7" w:rsidR="00A71B83" w:rsidRPr="003F4C70" w:rsidRDefault="00A71B83" w:rsidP="003D5660">
      <w:pPr>
        <w:pStyle w:val="Heading1"/>
        <w:ind w:left="720"/>
      </w:pPr>
      <w:bookmarkStart w:id="36" w:name="_Toc83034341"/>
      <w:bookmarkStart w:id="37" w:name="_Toc216356091"/>
      <w:bookmarkEnd w:id="35"/>
      <w:r w:rsidRPr="003F4C70">
        <w:t>INFORME No. 199/24 E INFORMACIÓN SOBRE CUMPLIMIENTO</w:t>
      </w:r>
      <w:bookmarkEnd w:id="36"/>
      <w:bookmarkEnd w:id="37"/>
    </w:p>
    <w:p w14:paraId="7AAEF9AE" w14:textId="77777777" w:rsidR="00A71B83" w:rsidRPr="003F4C70" w:rsidRDefault="00A71B83" w:rsidP="00A71B83">
      <w:pPr>
        <w:rPr>
          <w:lang w:val="es-ES_tradnl"/>
        </w:rPr>
      </w:pPr>
    </w:p>
    <w:p w14:paraId="044DDC65" w14:textId="7655D597" w:rsidR="009C0969" w:rsidRPr="003F4C70" w:rsidRDefault="00A71B83" w:rsidP="001A4728">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Cambria" w:hAnsi="Cambria"/>
          <w:sz w:val="20"/>
          <w:szCs w:val="20"/>
          <w:lang w:val="es-ES_tradnl"/>
        </w:rPr>
      </w:pPr>
      <w:r w:rsidRPr="003F4C70">
        <w:rPr>
          <w:rFonts w:ascii="Cambria" w:hAnsi="Cambria"/>
          <w:sz w:val="20"/>
          <w:szCs w:val="20"/>
          <w:lang w:val="es-ES_tradnl"/>
        </w:rPr>
        <w:t xml:space="preserve">El </w:t>
      </w:r>
      <w:r w:rsidR="009C0969" w:rsidRPr="003F4C70">
        <w:rPr>
          <w:rFonts w:ascii="Cambria" w:hAnsi="Cambria"/>
          <w:sz w:val="20"/>
          <w:szCs w:val="20"/>
          <w:lang w:val="es-ES_tradnl"/>
        </w:rPr>
        <w:t>7</w:t>
      </w:r>
      <w:r w:rsidRPr="003F4C70">
        <w:rPr>
          <w:rFonts w:ascii="Cambria" w:hAnsi="Cambria"/>
          <w:sz w:val="20"/>
          <w:szCs w:val="20"/>
          <w:lang w:val="es-ES_tradnl"/>
        </w:rPr>
        <w:t xml:space="preserve"> de </w:t>
      </w:r>
      <w:r w:rsidR="009C0969" w:rsidRPr="003F4C70">
        <w:rPr>
          <w:rFonts w:ascii="Cambria" w:hAnsi="Cambria"/>
          <w:sz w:val="20"/>
          <w:szCs w:val="20"/>
          <w:lang w:val="es-ES_tradnl"/>
        </w:rPr>
        <w:t xml:space="preserve">noviembre </w:t>
      </w:r>
      <w:r w:rsidRPr="003F4C70">
        <w:rPr>
          <w:rFonts w:ascii="Cambria" w:hAnsi="Cambria"/>
          <w:sz w:val="20"/>
          <w:szCs w:val="20"/>
          <w:lang w:val="es-ES_tradnl"/>
        </w:rPr>
        <w:t>de 202</w:t>
      </w:r>
      <w:r w:rsidR="009C0969" w:rsidRPr="003F4C70">
        <w:rPr>
          <w:rFonts w:ascii="Cambria" w:hAnsi="Cambria"/>
          <w:sz w:val="20"/>
          <w:szCs w:val="20"/>
          <w:lang w:val="es-ES_tradnl"/>
        </w:rPr>
        <w:t>4</w:t>
      </w:r>
      <w:r w:rsidRPr="003F4C70">
        <w:rPr>
          <w:rFonts w:ascii="Cambria" w:hAnsi="Cambria"/>
          <w:sz w:val="20"/>
          <w:szCs w:val="20"/>
          <w:lang w:val="es-ES_tradnl"/>
        </w:rPr>
        <w:t xml:space="preserve"> la Comisión aprobó el Informe de Admisibilidad y Fondo No. 1</w:t>
      </w:r>
      <w:r w:rsidR="009C0969" w:rsidRPr="003F4C70">
        <w:rPr>
          <w:rFonts w:ascii="Cambria" w:hAnsi="Cambria"/>
          <w:sz w:val="20"/>
          <w:szCs w:val="20"/>
          <w:lang w:val="es-ES_tradnl"/>
        </w:rPr>
        <w:t>99</w:t>
      </w:r>
      <w:r w:rsidRPr="003F4C70">
        <w:rPr>
          <w:rFonts w:ascii="Cambria" w:hAnsi="Cambria"/>
          <w:sz w:val="20"/>
          <w:szCs w:val="20"/>
          <w:lang w:val="es-ES_tradnl"/>
        </w:rPr>
        <w:t>/2</w:t>
      </w:r>
      <w:r w:rsidR="009C0969" w:rsidRPr="003F4C70">
        <w:rPr>
          <w:rFonts w:ascii="Cambria" w:hAnsi="Cambria"/>
          <w:sz w:val="20"/>
          <w:szCs w:val="20"/>
          <w:lang w:val="es-ES_tradnl"/>
        </w:rPr>
        <w:t>4</w:t>
      </w:r>
      <w:r w:rsidRPr="003F4C70">
        <w:rPr>
          <w:rFonts w:ascii="Cambria" w:hAnsi="Cambria"/>
          <w:sz w:val="20"/>
          <w:szCs w:val="20"/>
          <w:lang w:val="es-ES_tradnl"/>
        </w:rPr>
        <w:t xml:space="preserve"> sobre el presente caso que incluye los párrafos 1 a </w:t>
      </w:r>
      <w:r w:rsidR="009C0969" w:rsidRPr="003F4C70">
        <w:rPr>
          <w:rFonts w:ascii="Cambria" w:hAnsi="Cambria"/>
          <w:sz w:val="20"/>
          <w:szCs w:val="20"/>
          <w:lang w:val="es-ES_tradnl"/>
        </w:rPr>
        <w:t>99</w:t>
      </w:r>
      <w:r w:rsidRPr="003F4C70">
        <w:rPr>
          <w:rFonts w:ascii="Cambria" w:hAnsi="Cambria"/>
          <w:sz w:val="20"/>
          <w:szCs w:val="20"/>
          <w:lang w:val="es-ES_tradnl"/>
        </w:rPr>
        <w:t xml:space="preserve"> </w:t>
      </w:r>
      <w:r w:rsidRPr="003F4C70">
        <w:rPr>
          <w:rFonts w:ascii="Cambria" w:hAnsi="Cambria"/>
          <w:i/>
          <w:iCs/>
          <w:sz w:val="20"/>
          <w:szCs w:val="20"/>
          <w:lang w:val="es-ES_tradnl"/>
        </w:rPr>
        <w:t>supra</w:t>
      </w:r>
      <w:r w:rsidRPr="003F4C70">
        <w:rPr>
          <w:rFonts w:ascii="Cambria" w:hAnsi="Cambria"/>
          <w:sz w:val="20"/>
          <w:szCs w:val="20"/>
          <w:lang w:val="es-ES_tradnl"/>
        </w:rPr>
        <w:t>, y formuló las siguientes recomendaciones al Estado:</w:t>
      </w:r>
    </w:p>
    <w:p w14:paraId="476D698A" w14:textId="77777777" w:rsidR="009C0969" w:rsidRPr="003F4C70" w:rsidRDefault="009C0969" w:rsidP="009C0969">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eastAsia="Times New Roman" w:hAnsi="Cambria"/>
          <w:sz w:val="20"/>
          <w:szCs w:val="20"/>
          <w:bdr w:val="none" w:sz="0" w:space="0" w:color="auto"/>
          <w:lang w:val="es-ES"/>
        </w:rPr>
      </w:pPr>
    </w:p>
    <w:p w14:paraId="4B76B37D" w14:textId="77777777" w:rsidR="009C0969" w:rsidRPr="003F4C70" w:rsidRDefault="009C0969" w:rsidP="001A4728">
      <w:pPr>
        <w:pStyle w:val="ListParagraph"/>
        <w:numPr>
          <w:ilvl w:val="0"/>
          <w:numId w:val="59"/>
        </w:numPr>
        <w:rPr>
          <w:sz w:val="20"/>
          <w:szCs w:val="20"/>
        </w:rPr>
      </w:pPr>
      <w:r w:rsidRPr="003F4C70">
        <w:rPr>
          <w:sz w:val="20"/>
          <w:szCs w:val="20"/>
          <w:bdr w:val="none" w:sz="0" w:space="0" w:color="auto"/>
        </w:rPr>
        <w:t xml:space="preserve">Reparar integralmente las violaciones de derechos humanos declaradas en el presente informe tanto en el aspecto material como inmaterial. El Estado deberá adoptar las medidas de compensación económica y satisfacción. </w:t>
      </w:r>
    </w:p>
    <w:p w14:paraId="45FA2FA1" w14:textId="77777777" w:rsidR="00BF0448" w:rsidRPr="003F4C70" w:rsidRDefault="00BF0448" w:rsidP="00BF0448">
      <w:pPr>
        <w:pStyle w:val="ListParagraph"/>
        <w:numPr>
          <w:ilvl w:val="0"/>
          <w:numId w:val="0"/>
        </w:numPr>
        <w:ind w:left="720"/>
        <w:rPr>
          <w:sz w:val="20"/>
          <w:szCs w:val="20"/>
        </w:rPr>
      </w:pPr>
    </w:p>
    <w:p w14:paraId="23D0B2E1" w14:textId="77777777" w:rsidR="009C0969" w:rsidRPr="003F4C70" w:rsidRDefault="009C0969" w:rsidP="001A4728">
      <w:pPr>
        <w:pStyle w:val="ListParagraph"/>
        <w:numPr>
          <w:ilvl w:val="0"/>
          <w:numId w:val="59"/>
        </w:numPr>
        <w:rPr>
          <w:sz w:val="20"/>
          <w:szCs w:val="20"/>
        </w:rPr>
      </w:pPr>
      <w:r w:rsidRPr="003F4C70">
        <w:rPr>
          <w:sz w:val="20"/>
          <w:szCs w:val="20"/>
          <w:bdr w:val="none" w:sz="0" w:space="0" w:color="auto"/>
        </w:rPr>
        <w:t>Disponer las medidas de atención en salud física y mental necesarias para la rehabilitación de Maykel Castillo Pérez, de ser su voluntad y de manera concertada.</w:t>
      </w:r>
    </w:p>
    <w:p w14:paraId="2E7F31CA" w14:textId="77777777" w:rsidR="00BF0448" w:rsidRPr="003F4C70" w:rsidRDefault="00BF0448" w:rsidP="00BF0448">
      <w:pPr>
        <w:pStyle w:val="ListParagraph"/>
        <w:numPr>
          <w:ilvl w:val="0"/>
          <w:numId w:val="0"/>
        </w:numPr>
        <w:ind w:left="720"/>
        <w:rPr>
          <w:sz w:val="20"/>
          <w:szCs w:val="20"/>
        </w:rPr>
      </w:pPr>
    </w:p>
    <w:p w14:paraId="186B2DDE" w14:textId="77777777" w:rsidR="009C0969" w:rsidRPr="003F4C70" w:rsidRDefault="009C0969" w:rsidP="001A4728">
      <w:pPr>
        <w:pStyle w:val="ListParagraph"/>
        <w:numPr>
          <w:ilvl w:val="0"/>
          <w:numId w:val="59"/>
        </w:numPr>
        <w:rPr>
          <w:sz w:val="20"/>
          <w:szCs w:val="20"/>
        </w:rPr>
      </w:pPr>
      <w:r w:rsidRPr="003F4C70">
        <w:rPr>
          <w:sz w:val="20"/>
          <w:szCs w:val="20"/>
        </w:rPr>
        <w:t>Cesar de manera inmediata todo tipo de persecución contra Maykel Castillo Pérez, en particular, los actos de hostigamiento, acoso, ataques, y citaciones policiales arbitrarias, la garantizando que el artista pueda llevar a cabo su trabajo sin temor a intimidación o represalias, y sin restricciones indebidas sobre los derechos analizados en el presente informe.</w:t>
      </w:r>
    </w:p>
    <w:p w14:paraId="43B16C32" w14:textId="77777777" w:rsidR="00BF0448" w:rsidRPr="003F4C70" w:rsidRDefault="00BF0448" w:rsidP="00BF0448">
      <w:pPr>
        <w:pStyle w:val="ListParagraph"/>
        <w:numPr>
          <w:ilvl w:val="0"/>
          <w:numId w:val="0"/>
        </w:numPr>
        <w:ind w:left="720"/>
        <w:rPr>
          <w:sz w:val="20"/>
          <w:szCs w:val="20"/>
        </w:rPr>
      </w:pPr>
    </w:p>
    <w:p w14:paraId="62CB661A" w14:textId="77777777" w:rsidR="009C0969" w:rsidRPr="003F4C70" w:rsidRDefault="009C0969" w:rsidP="001A4728">
      <w:pPr>
        <w:pStyle w:val="ListParagraph"/>
        <w:numPr>
          <w:ilvl w:val="0"/>
          <w:numId w:val="59"/>
        </w:numPr>
        <w:rPr>
          <w:sz w:val="20"/>
          <w:szCs w:val="20"/>
        </w:rPr>
      </w:pPr>
      <w:r w:rsidRPr="003F4C70">
        <w:rPr>
          <w:sz w:val="20"/>
          <w:szCs w:val="20"/>
        </w:rPr>
        <w:t>Realizar las investigaciones penales, disciplinarias o de otra índole que permitan esclarecer y determinar las responsabilidades correspondientes frente a las violaciones identificadas en el presente informe cometidas en perjuicio de Maykel Castillo Pérez.</w:t>
      </w:r>
    </w:p>
    <w:p w14:paraId="6A2BCFFA" w14:textId="77777777" w:rsidR="00BF0448" w:rsidRPr="003F4C70" w:rsidRDefault="00BF0448" w:rsidP="00BF0448">
      <w:pPr>
        <w:pStyle w:val="ListParagraph"/>
        <w:numPr>
          <w:ilvl w:val="0"/>
          <w:numId w:val="0"/>
        </w:numPr>
        <w:ind w:left="720"/>
        <w:rPr>
          <w:sz w:val="20"/>
          <w:szCs w:val="20"/>
        </w:rPr>
      </w:pPr>
    </w:p>
    <w:p w14:paraId="15E68448" w14:textId="6F10452E" w:rsidR="009C0969" w:rsidRPr="003F4C70" w:rsidRDefault="009C0969" w:rsidP="001A4728">
      <w:pPr>
        <w:pStyle w:val="ListParagraph"/>
        <w:numPr>
          <w:ilvl w:val="0"/>
          <w:numId w:val="59"/>
        </w:numPr>
        <w:rPr>
          <w:sz w:val="20"/>
          <w:szCs w:val="20"/>
          <w:lang w:val="es"/>
        </w:rPr>
      </w:pPr>
      <w:r w:rsidRPr="003F4C70">
        <w:rPr>
          <w:sz w:val="20"/>
          <w:szCs w:val="20"/>
          <w:bdr w:val="none" w:sz="0" w:space="0" w:color="auto"/>
        </w:rPr>
        <w:t xml:space="preserve">Promover mecanismos de no repetición que incluyan i) adoptar medidas para el fortalecimiento de la capacidad investigativa de actos de violencia contra personas defensoras de derechos humanos conforme a los estándares interamericanos; ii) adoptar medidas legislativas, administrativas o de otra índole para efectuar un diagnóstico adecuado sobre el contexto de violencia que enfrentan las personas defensoras de derechos humanos en Cuba, incluyendo la recolección de datos desagregados y sistemáticos sobre su prevalencia, y disponer una política integral de prevención y erradicación efectiva del mismo, atendiendo a sus causas estructurales; iii) diseñar programas de formación, sensibilización y capacitación para los cuerpos de seguridad del Estado en materia del sistema interamericano de derechos humanos, incluyendo la temática de protección y prevención de la violencia contra personas defensoras de derechos humanos; y iv) prevenir y erradicar la criminalización de quienes ejercen el derecho de libertad de expresión y de asociación, incluyendo disidentes políticos y personas defensoras de derechos humanos; v) garantizar que las personas defensoras de derechos humanos puedan llevar a cabo su trabajo sin temor a intimidación o represalias, y sin restricciones indebidas; y vi) adecuar las leyes, procedimientos y prácticas a las normas internacionales sobre derechos humanos en materia de debido proceso y acceso a la justicia, </w:t>
      </w:r>
      <w:r w:rsidRPr="003F4C70">
        <w:rPr>
          <w:sz w:val="20"/>
          <w:szCs w:val="20"/>
        </w:rPr>
        <w:t xml:space="preserve">incluyendo el acceso de </w:t>
      </w:r>
      <w:r w:rsidRPr="003F4C70">
        <w:rPr>
          <w:sz w:val="20"/>
          <w:szCs w:val="20"/>
          <w:lang w:val="es"/>
        </w:rPr>
        <w:t xml:space="preserve">las personas defensoras de derechos humanos a contar con defensa legal desde el inicio de los procesos judiciales a los que son sometidas y que se asegure su derecho a la defensa.  </w:t>
      </w:r>
    </w:p>
    <w:p w14:paraId="731C6CB6" w14:textId="77777777" w:rsidR="00CF04C4" w:rsidRPr="003F4C70" w:rsidRDefault="00CF04C4" w:rsidP="007D1042">
      <w:pPr>
        <w:ind w:left="720"/>
        <w:rPr>
          <w:sz w:val="20"/>
          <w:szCs w:val="20"/>
          <w:lang w:val="es-US"/>
        </w:rPr>
      </w:pPr>
    </w:p>
    <w:p w14:paraId="65AAB995" w14:textId="4D730D5A" w:rsidR="00CF04C4" w:rsidRPr="003F4C70" w:rsidRDefault="00CF04C4" w:rsidP="001A4728">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360"/>
        </w:tabs>
        <w:ind w:left="0" w:firstLine="0"/>
        <w:jc w:val="both"/>
        <w:rPr>
          <w:rFonts w:ascii="Cambria" w:hAnsi="Cambria"/>
          <w:sz w:val="20"/>
          <w:szCs w:val="20"/>
          <w:lang w:val="es-US"/>
        </w:rPr>
      </w:pPr>
      <w:r w:rsidRPr="003F4C70">
        <w:rPr>
          <w:rFonts w:ascii="Cambria" w:hAnsi="Cambria"/>
          <w:sz w:val="20"/>
          <w:szCs w:val="20"/>
          <w:lang w:val="es-US"/>
        </w:rPr>
        <w:t xml:space="preserve">El </w:t>
      </w:r>
      <w:r w:rsidR="007D1042" w:rsidRPr="003F4C70">
        <w:rPr>
          <w:rFonts w:ascii="Cambria" w:hAnsi="Cambria"/>
          <w:sz w:val="20"/>
          <w:szCs w:val="20"/>
          <w:lang w:val="es-US"/>
        </w:rPr>
        <w:t>8</w:t>
      </w:r>
      <w:r w:rsidRPr="003F4C70">
        <w:rPr>
          <w:rFonts w:ascii="Cambria" w:hAnsi="Cambria"/>
          <w:sz w:val="20"/>
          <w:szCs w:val="20"/>
          <w:lang w:val="es-US"/>
        </w:rPr>
        <w:t xml:space="preserve"> de </w:t>
      </w:r>
      <w:r w:rsidR="007D1042" w:rsidRPr="003F4C70">
        <w:rPr>
          <w:rFonts w:ascii="Cambria" w:hAnsi="Cambria"/>
          <w:sz w:val="20"/>
          <w:szCs w:val="20"/>
          <w:lang w:val="es-US"/>
        </w:rPr>
        <w:t>septiembre</w:t>
      </w:r>
      <w:r w:rsidRPr="003F4C70">
        <w:rPr>
          <w:rFonts w:ascii="Cambria" w:hAnsi="Cambria"/>
          <w:sz w:val="20"/>
          <w:szCs w:val="20"/>
          <w:lang w:val="es-US"/>
        </w:rPr>
        <w:t xml:space="preserve"> de 202</w:t>
      </w:r>
      <w:r w:rsidR="007D1042" w:rsidRPr="003F4C70">
        <w:rPr>
          <w:rFonts w:ascii="Cambria" w:hAnsi="Cambria"/>
          <w:sz w:val="20"/>
          <w:szCs w:val="20"/>
          <w:lang w:val="es-US"/>
        </w:rPr>
        <w:t>5</w:t>
      </w:r>
      <w:r w:rsidRPr="003F4C70">
        <w:rPr>
          <w:rFonts w:ascii="Cambria" w:hAnsi="Cambria"/>
          <w:sz w:val="20"/>
          <w:szCs w:val="20"/>
          <w:lang w:val="es-US"/>
        </w:rPr>
        <w:t xml:space="preserve"> la Comisión transmitió el informe al Estado con el plazo de dos meses para informar sobre las medidas adoptadas para dar cumplimiento a sus recomendaciones.</w:t>
      </w:r>
      <w:r w:rsidRPr="003F4C70">
        <w:rPr>
          <w:lang w:val="es-US"/>
        </w:rPr>
        <w:t xml:space="preserve"> </w:t>
      </w:r>
      <w:r w:rsidRPr="003F4C70">
        <w:rPr>
          <w:rFonts w:ascii="Cambria" w:hAnsi="Cambria"/>
          <w:sz w:val="20"/>
          <w:szCs w:val="20"/>
          <w:lang w:val="es-US"/>
        </w:rPr>
        <w:t>En esa misma fecha, la CIDH notificó a los peticionarios la aprobación del informe. Hasta la fecha, la CIDH no ha recibido respuesta de Cuba en relación con el Informe No. 1</w:t>
      </w:r>
      <w:r w:rsidR="00A75681" w:rsidRPr="003F4C70">
        <w:rPr>
          <w:rFonts w:ascii="Cambria" w:hAnsi="Cambria"/>
          <w:sz w:val="20"/>
          <w:szCs w:val="20"/>
          <w:lang w:val="es-US"/>
        </w:rPr>
        <w:t>99</w:t>
      </w:r>
      <w:r w:rsidRPr="003F4C70">
        <w:rPr>
          <w:rFonts w:ascii="Cambria" w:hAnsi="Cambria"/>
          <w:sz w:val="20"/>
          <w:szCs w:val="20"/>
          <w:lang w:val="es-US"/>
        </w:rPr>
        <w:t>/2</w:t>
      </w:r>
      <w:r w:rsidR="00A75681" w:rsidRPr="003F4C70">
        <w:rPr>
          <w:rFonts w:ascii="Cambria" w:hAnsi="Cambria"/>
          <w:sz w:val="20"/>
          <w:szCs w:val="20"/>
          <w:lang w:val="es-US"/>
        </w:rPr>
        <w:t>4</w:t>
      </w:r>
      <w:r w:rsidRPr="003F4C70">
        <w:rPr>
          <w:rFonts w:ascii="Cambria" w:hAnsi="Cambria"/>
          <w:sz w:val="20"/>
          <w:szCs w:val="20"/>
          <w:lang w:val="es-US"/>
        </w:rPr>
        <w:t>.</w:t>
      </w:r>
    </w:p>
    <w:p w14:paraId="35903102" w14:textId="77777777" w:rsidR="00A0143D" w:rsidRPr="003F4C70" w:rsidRDefault="00A0143D" w:rsidP="00A0143D">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360"/>
        </w:tabs>
        <w:jc w:val="both"/>
        <w:rPr>
          <w:rFonts w:ascii="Cambria" w:hAnsi="Cambria"/>
          <w:sz w:val="20"/>
          <w:szCs w:val="20"/>
          <w:lang w:val="es-US"/>
        </w:rPr>
      </w:pPr>
    </w:p>
    <w:p w14:paraId="10C930CB" w14:textId="2C62A8F3" w:rsidR="00A0143D" w:rsidRPr="003F4C70" w:rsidRDefault="00A0143D" w:rsidP="001A4728">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360"/>
        </w:tabs>
        <w:ind w:left="0" w:firstLine="0"/>
        <w:jc w:val="both"/>
        <w:rPr>
          <w:rFonts w:ascii="Cambria" w:hAnsi="Cambria"/>
          <w:sz w:val="20"/>
          <w:szCs w:val="20"/>
          <w:lang w:val="es-US"/>
        </w:rPr>
      </w:pPr>
      <w:r w:rsidRPr="003F4C70">
        <w:rPr>
          <w:rFonts w:ascii="Cambria" w:hAnsi="Cambria"/>
          <w:sz w:val="20"/>
          <w:szCs w:val="20"/>
          <w:lang w:val="es-US"/>
        </w:rPr>
        <w:t>La Comisión observa que el Estado aún no ha dado cumplimiento a las recomendaciones plasmadas en el Informe No. 199/24. Entre las cuestiones que preocupan sobre la detención del señor Castillo Pérez, la CIDH ha reportado la falta de comunicación del señor Castillo con su familia en el Capítulo IVB sobre Cuba en su Informe Anual de 2024</w:t>
      </w:r>
      <w:r w:rsidRPr="003F4C70">
        <w:rPr>
          <w:rFonts w:ascii="Cambria" w:hAnsi="Cambria"/>
          <w:sz w:val="20"/>
          <w:szCs w:val="20"/>
          <w:vertAlign w:val="superscript"/>
        </w:rPr>
        <w:footnoteReference w:id="140"/>
      </w:r>
      <w:r w:rsidRPr="003F4C70">
        <w:rPr>
          <w:rFonts w:ascii="Cambria" w:hAnsi="Cambria"/>
          <w:sz w:val="20"/>
          <w:szCs w:val="20"/>
          <w:lang w:val="es-US"/>
        </w:rPr>
        <w:t>. Asimismo, preocupa que e</w:t>
      </w:r>
      <w:r w:rsidR="008D2EB9" w:rsidRPr="003F4C70">
        <w:rPr>
          <w:rFonts w:ascii="Cambria" w:hAnsi="Cambria"/>
          <w:sz w:val="20"/>
          <w:szCs w:val="20"/>
          <w:lang w:val="es-US"/>
        </w:rPr>
        <w:t>l</w:t>
      </w:r>
      <w:r w:rsidRPr="003F4C70">
        <w:rPr>
          <w:rFonts w:ascii="Cambria" w:hAnsi="Cambria"/>
          <w:sz w:val="20"/>
          <w:szCs w:val="20"/>
          <w:lang w:val="es-US"/>
        </w:rPr>
        <w:t xml:space="preserve"> señor Castillo ha</w:t>
      </w:r>
      <w:r w:rsidR="008D2EB9" w:rsidRPr="003F4C70">
        <w:rPr>
          <w:rFonts w:ascii="Cambria" w:hAnsi="Cambria"/>
          <w:sz w:val="20"/>
          <w:szCs w:val="20"/>
          <w:lang w:val="es-US"/>
        </w:rPr>
        <w:t>bría</w:t>
      </w:r>
      <w:r w:rsidRPr="003F4C70">
        <w:rPr>
          <w:rFonts w:ascii="Cambria" w:hAnsi="Cambria"/>
          <w:sz w:val="20"/>
          <w:szCs w:val="20"/>
          <w:lang w:val="es-US"/>
        </w:rPr>
        <w:t xml:space="preserve"> sido agredido por otro recluso; que </w:t>
      </w:r>
      <w:r w:rsidR="008D2EB9" w:rsidRPr="003F4C70">
        <w:rPr>
          <w:rFonts w:ascii="Cambria" w:hAnsi="Cambria"/>
          <w:sz w:val="20"/>
          <w:szCs w:val="20"/>
          <w:lang w:val="es-US"/>
        </w:rPr>
        <w:t xml:space="preserve">habría sido </w:t>
      </w:r>
      <w:r w:rsidRPr="003F4C70">
        <w:rPr>
          <w:rFonts w:ascii="Cambria" w:hAnsi="Cambria"/>
          <w:sz w:val="20"/>
          <w:szCs w:val="20"/>
          <w:lang w:val="es-US"/>
        </w:rPr>
        <w:t>trasladado a la prisión Kilo 8 donde habría estado incomunicado</w:t>
      </w:r>
      <w:r w:rsidRPr="003F4C70">
        <w:rPr>
          <w:rFonts w:ascii="Cambria" w:hAnsi="Cambria"/>
          <w:sz w:val="20"/>
          <w:szCs w:val="20"/>
          <w:vertAlign w:val="superscript"/>
        </w:rPr>
        <w:footnoteReference w:id="141"/>
      </w:r>
      <w:r w:rsidRPr="003F4C70">
        <w:rPr>
          <w:rFonts w:ascii="Cambria" w:hAnsi="Cambria"/>
          <w:sz w:val="20"/>
          <w:szCs w:val="20"/>
          <w:lang w:val="es-US"/>
        </w:rPr>
        <w:t>, y que ha</w:t>
      </w:r>
      <w:r w:rsidR="008D2EB9" w:rsidRPr="003F4C70">
        <w:rPr>
          <w:rFonts w:ascii="Cambria" w:hAnsi="Cambria"/>
          <w:sz w:val="20"/>
          <w:szCs w:val="20"/>
          <w:lang w:val="es-US"/>
        </w:rPr>
        <w:t>bría</w:t>
      </w:r>
      <w:r w:rsidRPr="003F4C70">
        <w:rPr>
          <w:rFonts w:ascii="Cambria" w:hAnsi="Cambria"/>
          <w:sz w:val="20"/>
          <w:szCs w:val="20"/>
          <w:lang w:val="es-US"/>
        </w:rPr>
        <w:t xml:space="preserve"> sido puesto en una celda de castigo</w:t>
      </w:r>
      <w:r w:rsidRPr="003F4C70">
        <w:rPr>
          <w:rFonts w:ascii="Cambria" w:hAnsi="Cambria"/>
          <w:sz w:val="20"/>
          <w:szCs w:val="20"/>
          <w:vertAlign w:val="superscript"/>
        </w:rPr>
        <w:footnoteReference w:id="142"/>
      </w:r>
      <w:r w:rsidRPr="003F4C70">
        <w:rPr>
          <w:rFonts w:ascii="Cambria" w:hAnsi="Cambria"/>
          <w:sz w:val="20"/>
          <w:szCs w:val="20"/>
          <w:lang w:val="es-US"/>
        </w:rPr>
        <w:t xml:space="preserve"> por una semana tras manifestarse pacíficamente, rapándose la cabeza y las cejas</w:t>
      </w:r>
      <w:r w:rsidR="008D2EB9" w:rsidRPr="003F4C70">
        <w:rPr>
          <w:rFonts w:ascii="Cambria" w:hAnsi="Cambria"/>
          <w:sz w:val="20"/>
          <w:szCs w:val="20"/>
          <w:lang w:val="es-US"/>
        </w:rPr>
        <w:t>,</w:t>
      </w:r>
      <w:r w:rsidRPr="003F4C70">
        <w:rPr>
          <w:rFonts w:ascii="Cambria" w:hAnsi="Cambria"/>
          <w:sz w:val="20"/>
          <w:szCs w:val="20"/>
          <w:lang w:val="es-US"/>
        </w:rPr>
        <w:t xml:space="preserve"> en protesta contra el hambre, la violencia y las pésimas condiciones en la prisión</w:t>
      </w:r>
      <w:r w:rsidRPr="003F4C70">
        <w:rPr>
          <w:rFonts w:ascii="Cambria" w:hAnsi="Cambria"/>
          <w:sz w:val="20"/>
          <w:szCs w:val="20"/>
          <w:vertAlign w:val="superscript"/>
        </w:rPr>
        <w:footnoteReference w:id="143"/>
      </w:r>
      <w:r w:rsidRPr="003F4C70">
        <w:rPr>
          <w:rFonts w:ascii="Cambria" w:hAnsi="Cambria"/>
          <w:sz w:val="20"/>
          <w:szCs w:val="20"/>
          <w:lang w:val="es-US"/>
        </w:rPr>
        <w:t xml:space="preserve">. </w:t>
      </w:r>
    </w:p>
    <w:p w14:paraId="61000AEE" w14:textId="77777777" w:rsidR="00A0143D" w:rsidRPr="003F4C70" w:rsidRDefault="00A0143D" w:rsidP="00A0143D">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360"/>
        </w:tabs>
        <w:jc w:val="both"/>
        <w:rPr>
          <w:rFonts w:ascii="Cambria" w:hAnsi="Cambria"/>
          <w:sz w:val="20"/>
          <w:szCs w:val="20"/>
          <w:lang w:val="es-US"/>
        </w:rPr>
      </w:pPr>
    </w:p>
    <w:p w14:paraId="11619A50" w14:textId="77777777" w:rsidR="00A0143D" w:rsidRPr="003F4C70" w:rsidRDefault="00A0143D" w:rsidP="001A4728">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360"/>
        </w:tabs>
        <w:ind w:left="0" w:firstLine="0"/>
        <w:jc w:val="both"/>
        <w:rPr>
          <w:rFonts w:ascii="Cambria" w:hAnsi="Cambria"/>
          <w:sz w:val="20"/>
          <w:szCs w:val="20"/>
          <w:lang w:val="es-US"/>
        </w:rPr>
      </w:pPr>
      <w:r w:rsidRPr="003F4C70">
        <w:rPr>
          <w:rFonts w:ascii="Cambria" w:hAnsi="Cambria"/>
          <w:sz w:val="20"/>
          <w:szCs w:val="20"/>
          <w:lang w:val="es-US"/>
        </w:rPr>
        <w:t xml:space="preserve">Ante esta situación, la CIDH urge al Estado cubano a dar cumplimiento a sus recomendaciones; que ofrezca las debidas garantías para la protección de la integridad personal del señor Castillo Pérez; y que el defensor pueda ejercer su derecho a manifestarse pacíficamente sin represalias o sanciones. </w:t>
      </w:r>
    </w:p>
    <w:p w14:paraId="77EF15BB" w14:textId="77777777" w:rsidR="00A0143D" w:rsidRPr="003F4C70" w:rsidRDefault="00A0143D" w:rsidP="00A0143D">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360"/>
        </w:tabs>
        <w:jc w:val="both"/>
        <w:rPr>
          <w:rFonts w:ascii="Cambria" w:hAnsi="Cambria"/>
          <w:sz w:val="20"/>
          <w:szCs w:val="20"/>
          <w:lang w:val="es-US"/>
        </w:rPr>
      </w:pPr>
    </w:p>
    <w:p w14:paraId="6869BC3D" w14:textId="77777777" w:rsidR="00A0143D" w:rsidRPr="003F4C70" w:rsidRDefault="00A0143D" w:rsidP="001A4728">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360"/>
        </w:tabs>
        <w:ind w:left="0" w:firstLine="0"/>
        <w:jc w:val="both"/>
        <w:rPr>
          <w:rFonts w:ascii="Cambria" w:hAnsi="Cambria"/>
          <w:sz w:val="20"/>
          <w:szCs w:val="20"/>
          <w:lang w:val="es-US"/>
        </w:rPr>
      </w:pPr>
      <w:r w:rsidRPr="003F4C70">
        <w:rPr>
          <w:rFonts w:ascii="Cambria" w:hAnsi="Cambria"/>
          <w:sz w:val="20"/>
          <w:szCs w:val="20"/>
          <w:lang w:val="es-US"/>
        </w:rPr>
        <w:t>La Comisión recuerda además el tercero de los Principios y Buenas Prácticas sobre la Protección de las Personas Privadas de Libertad en las Américas que establece que la ley prohibirá, en toda circunstancia, la incomunicación coactiva de personas privadas de libertad, por constituir formas de tratamiento cruel e inhumano</w:t>
      </w:r>
      <w:r w:rsidRPr="003F4C70">
        <w:rPr>
          <w:rFonts w:ascii="Cambria" w:hAnsi="Cambria"/>
          <w:sz w:val="20"/>
          <w:szCs w:val="20"/>
          <w:vertAlign w:val="superscript"/>
        </w:rPr>
        <w:footnoteReference w:id="144"/>
      </w:r>
      <w:r w:rsidRPr="003F4C70">
        <w:rPr>
          <w:rFonts w:ascii="Cambria" w:hAnsi="Cambria"/>
          <w:sz w:val="20"/>
          <w:szCs w:val="20"/>
          <w:lang w:val="es-US"/>
        </w:rPr>
        <w:t xml:space="preserve">. </w:t>
      </w:r>
    </w:p>
    <w:p w14:paraId="76ED0A01" w14:textId="77777777" w:rsidR="00963AB8" w:rsidRPr="003F4C70" w:rsidRDefault="00963AB8" w:rsidP="00963AB8">
      <w:pPr>
        <w:pStyle w:val="ListParagraph"/>
        <w:numPr>
          <w:ilvl w:val="0"/>
          <w:numId w:val="0"/>
        </w:numPr>
        <w:ind w:left="720"/>
        <w:rPr>
          <w:sz w:val="20"/>
          <w:szCs w:val="20"/>
          <w:lang w:val="es-US"/>
        </w:rPr>
      </w:pPr>
    </w:p>
    <w:p w14:paraId="74B5517A" w14:textId="5433137D" w:rsidR="00503D49" w:rsidRPr="00503D49" w:rsidRDefault="00A0143D" w:rsidP="00503D49">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360"/>
        </w:tabs>
        <w:ind w:left="0" w:firstLine="0"/>
        <w:jc w:val="both"/>
        <w:rPr>
          <w:rFonts w:ascii="Cambria" w:hAnsi="Cambria"/>
          <w:sz w:val="20"/>
          <w:szCs w:val="20"/>
          <w:lang w:val="es-US"/>
        </w:rPr>
      </w:pPr>
      <w:r w:rsidRPr="003F4C70">
        <w:rPr>
          <w:rFonts w:ascii="Cambria" w:hAnsi="Cambria"/>
          <w:sz w:val="20"/>
          <w:szCs w:val="20"/>
          <w:lang w:val="es-US"/>
        </w:rPr>
        <w:t>La CIDH reitera que el Estado no puede criminalizar las actividades de defensa de los derechos humanos, sino que debe prevenir y erradicar la criminalización de disidentes políticos y personas defensoras de derechos humanos.</w:t>
      </w:r>
    </w:p>
    <w:p w14:paraId="6B03BD76" w14:textId="77777777" w:rsidR="00503D49" w:rsidRPr="009765F1" w:rsidRDefault="00503D49" w:rsidP="00503D49">
      <w:pPr>
        <w:tabs>
          <w:tab w:val="left" w:pos="0"/>
          <w:tab w:val="left" w:pos="360"/>
        </w:tabs>
        <w:jc w:val="both"/>
        <w:rPr>
          <w:rFonts w:ascii="Cambria" w:hAnsi="Cambria"/>
          <w:b/>
          <w:color w:val="000000"/>
          <w:sz w:val="20"/>
          <w:szCs w:val="20"/>
          <w:lang w:val="es-ES_tradnl"/>
        </w:rPr>
      </w:pPr>
    </w:p>
    <w:p w14:paraId="098859B9" w14:textId="43DB3832" w:rsidR="00503D49" w:rsidRPr="00B0001E" w:rsidRDefault="00503D49" w:rsidP="00503D49">
      <w:pPr>
        <w:pStyle w:val="Heading1"/>
        <w:ind w:left="720"/>
        <w:rPr>
          <w:rFonts w:ascii="Cambria" w:hAnsi="Cambria"/>
          <w:color w:val="000000" w:themeColor="text1"/>
        </w:rPr>
      </w:pPr>
      <w:bookmarkStart w:id="38" w:name="_Toc26552694"/>
      <w:bookmarkStart w:id="39" w:name="_Toc87522750"/>
      <w:bookmarkStart w:id="40" w:name="_Toc90117848"/>
      <w:bookmarkStart w:id="41" w:name="_Toc90283158"/>
      <w:bookmarkStart w:id="42" w:name="_Toc90284835"/>
      <w:bookmarkStart w:id="43" w:name="_Toc90289330"/>
      <w:bookmarkStart w:id="44" w:name="_Toc90292589"/>
      <w:bookmarkStart w:id="45" w:name="_Toc90298938"/>
      <w:bookmarkStart w:id="46" w:name="_Toc90300982"/>
      <w:bookmarkStart w:id="47" w:name="_Toc90303199"/>
      <w:bookmarkStart w:id="48" w:name="_Toc196986985"/>
      <w:bookmarkStart w:id="49" w:name="_Toc216356092"/>
      <w:r w:rsidRPr="00B0001E">
        <w:t>ACCIONES</w:t>
      </w:r>
      <w:r w:rsidRPr="00B0001E">
        <w:rPr>
          <w:rFonts w:ascii="Cambria" w:hAnsi="Cambria"/>
          <w:color w:val="000000" w:themeColor="text1"/>
        </w:rPr>
        <w:t xml:space="preserve"> POSTERIORES AL INFORME No. </w:t>
      </w:r>
      <w:r w:rsidR="00471BA9" w:rsidRPr="00B0001E">
        <w:rPr>
          <w:rFonts w:ascii="Cambria" w:hAnsi="Cambria"/>
          <w:color w:val="000000" w:themeColor="text1"/>
        </w:rPr>
        <w:t>201</w:t>
      </w:r>
      <w:r w:rsidRPr="00B0001E">
        <w:rPr>
          <w:rFonts w:ascii="Cambria" w:hAnsi="Cambria"/>
          <w:color w:val="000000" w:themeColor="text1"/>
        </w:rPr>
        <w:t>/</w:t>
      </w:r>
      <w:bookmarkEnd w:id="38"/>
      <w:r w:rsidRPr="00B0001E">
        <w:rPr>
          <w:rFonts w:ascii="Cambria" w:hAnsi="Cambria"/>
          <w:color w:val="000000" w:themeColor="text1"/>
        </w:rPr>
        <w:t>2</w:t>
      </w:r>
      <w:bookmarkEnd w:id="39"/>
      <w:bookmarkEnd w:id="40"/>
      <w:bookmarkEnd w:id="41"/>
      <w:bookmarkEnd w:id="42"/>
      <w:bookmarkEnd w:id="43"/>
      <w:bookmarkEnd w:id="44"/>
      <w:bookmarkEnd w:id="45"/>
      <w:bookmarkEnd w:id="46"/>
      <w:bookmarkEnd w:id="47"/>
      <w:r w:rsidRPr="00B0001E">
        <w:rPr>
          <w:rFonts w:ascii="Cambria" w:hAnsi="Cambria"/>
          <w:color w:val="000000" w:themeColor="text1"/>
        </w:rPr>
        <w:t>5</w:t>
      </w:r>
      <w:bookmarkEnd w:id="48"/>
      <w:bookmarkEnd w:id="49"/>
    </w:p>
    <w:p w14:paraId="4EE6B971" w14:textId="77777777" w:rsidR="00503D49" w:rsidRPr="00B0001E" w:rsidRDefault="00503D49" w:rsidP="00503D49">
      <w:pPr>
        <w:tabs>
          <w:tab w:val="left" w:pos="0"/>
          <w:tab w:val="left" w:pos="360"/>
        </w:tabs>
        <w:jc w:val="both"/>
        <w:rPr>
          <w:b/>
          <w:lang w:val="es-AR"/>
        </w:rPr>
      </w:pPr>
    </w:p>
    <w:p w14:paraId="75B67BB9" w14:textId="231CC6A7" w:rsidR="00503D49" w:rsidRPr="00B0001E" w:rsidRDefault="00503D49" w:rsidP="00503D49">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360"/>
        </w:tabs>
        <w:ind w:left="0" w:firstLine="0"/>
        <w:jc w:val="both"/>
        <w:rPr>
          <w:rFonts w:ascii="Cambria" w:hAnsi="Cambria"/>
          <w:color w:val="000000"/>
          <w:sz w:val="20"/>
          <w:szCs w:val="20"/>
          <w:lang w:val="es-ES"/>
        </w:rPr>
      </w:pPr>
      <w:r w:rsidRPr="00B0001E">
        <w:rPr>
          <w:rFonts w:ascii="Cambria" w:hAnsi="Cambria"/>
          <w:sz w:val="20"/>
          <w:szCs w:val="20"/>
          <w:lang w:val="es-US"/>
        </w:rPr>
        <w:t>El</w:t>
      </w:r>
      <w:r w:rsidRPr="00B0001E">
        <w:rPr>
          <w:rFonts w:ascii="Cambria" w:hAnsi="Cambria"/>
          <w:color w:val="000000"/>
          <w:sz w:val="20"/>
          <w:szCs w:val="20"/>
          <w:lang w:val="es-ES"/>
        </w:rPr>
        <w:t xml:space="preserve"> 2</w:t>
      </w:r>
      <w:r w:rsidR="00B553E8" w:rsidRPr="00B0001E">
        <w:rPr>
          <w:rFonts w:ascii="Cambria" w:hAnsi="Cambria"/>
          <w:color w:val="000000"/>
          <w:sz w:val="20"/>
          <w:szCs w:val="20"/>
          <w:lang w:val="es-ES"/>
        </w:rPr>
        <w:t>2</w:t>
      </w:r>
      <w:r w:rsidRPr="00B0001E">
        <w:rPr>
          <w:rFonts w:ascii="Cambria" w:hAnsi="Cambria"/>
          <w:color w:val="000000"/>
          <w:sz w:val="20"/>
          <w:szCs w:val="20"/>
          <w:lang w:val="es-ES"/>
        </w:rPr>
        <w:t xml:space="preserve"> de </w:t>
      </w:r>
      <w:r w:rsidR="00B553E8" w:rsidRPr="00B0001E">
        <w:rPr>
          <w:rFonts w:ascii="Cambria" w:hAnsi="Cambria"/>
          <w:color w:val="000000"/>
          <w:sz w:val="20"/>
          <w:szCs w:val="20"/>
          <w:lang w:val="es-ES"/>
        </w:rPr>
        <w:t xml:space="preserve">octubre </w:t>
      </w:r>
      <w:r w:rsidRPr="00B0001E">
        <w:rPr>
          <w:rFonts w:ascii="Cambria" w:hAnsi="Cambria"/>
          <w:color w:val="000000"/>
          <w:sz w:val="20"/>
          <w:szCs w:val="20"/>
          <w:lang w:val="es-ES"/>
        </w:rPr>
        <w:t xml:space="preserve">de 2025, la Comisión aprobó el Informe de </w:t>
      </w:r>
      <w:r w:rsidR="00456515" w:rsidRPr="00B0001E">
        <w:rPr>
          <w:rFonts w:ascii="Cambria" w:hAnsi="Cambria"/>
          <w:color w:val="000000"/>
          <w:sz w:val="20"/>
          <w:szCs w:val="20"/>
          <w:lang w:val="es-ES"/>
        </w:rPr>
        <w:t xml:space="preserve">Admisibilidad y </w:t>
      </w:r>
      <w:r w:rsidRPr="00B0001E">
        <w:rPr>
          <w:rFonts w:ascii="Cambria" w:hAnsi="Cambria"/>
          <w:color w:val="000000"/>
          <w:sz w:val="20"/>
          <w:szCs w:val="20"/>
          <w:lang w:val="es-ES"/>
        </w:rPr>
        <w:t xml:space="preserve">Fondo Final No. </w:t>
      </w:r>
      <w:r w:rsidR="00B553E8" w:rsidRPr="00B0001E">
        <w:rPr>
          <w:rFonts w:ascii="Cambria" w:hAnsi="Cambria"/>
          <w:color w:val="000000"/>
          <w:sz w:val="20"/>
          <w:szCs w:val="20"/>
          <w:lang w:val="es-ES"/>
        </w:rPr>
        <w:t>201</w:t>
      </w:r>
      <w:r w:rsidRPr="00B0001E">
        <w:rPr>
          <w:rFonts w:ascii="Cambria" w:hAnsi="Cambria"/>
          <w:color w:val="000000"/>
          <w:sz w:val="20"/>
          <w:szCs w:val="20"/>
          <w:lang w:val="es-ES"/>
        </w:rPr>
        <w:t xml:space="preserve">/25, que abarca los párrafos 1 a </w:t>
      </w:r>
      <w:r w:rsidR="00B553E8" w:rsidRPr="00B0001E">
        <w:rPr>
          <w:rFonts w:ascii="Cambria" w:hAnsi="Cambria"/>
          <w:color w:val="000000"/>
          <w:sz w:val="20"/>
          <w:szCs w:val="20"/>
          <w:lang w:val="es-ES"/>
        </w:rPr>
        <w:t>105</w:t>
      </w:r>
      <w:r w:rsidRPr="00B0001E">
        <w:rPr>
          <w:rFonts w:ascii="Cambria" w:hAnsi="Cambria"/>
          <w:color w:val="000000"/>
          <w:sz w:val="20"/>
          <w:szCs w:val="20"/>
          <w:lang w:val="es-ES"/>
        </w:rPr>
        <w:t xml:space="preserve"> </w:t>
      </w:r>
      <w:r w:rsidRPr="00B0001E">
        <w:rPr>
          <w:rFonts w:ascii="Cambria" w:hAnsi="Cambria"/>
          <w:i/>
          <w:iCs/>
          <w:color w:val="000000"/>
          <w:sz w:val="20"/>
          <w:szCs w:val="20"/>
          <w:lang w:val="es-ES"/>
        </w:rPr>
        <w:t>supra</w:t>
      </w:r>
      <w:r w:rsidRPr="00B0001E">
        <w:rPr>
          <w:rFonts w:ascii="Cambria" w:hAnsi="Cambria"/>
          <w:color w:val="000000"/>
          <w:sz w:val="20"/>
          <w:szCs w:val="20"/>
          <w:lang w:val="es-ES"/>
        </w:rPr>
        <w:t xml:space="preserve">, y emitió sus conclusiones y recomendaciones finales al Estado. El </w:t>
      </w:r>
      <w:r w:rsidR="00DD4FF7" w:rsidRPr="00B0001E">
        <w:rPr>
          <w:rFonts w:ascii="Cambria" w:hAnsi="Cambria"/>
          <w:color w:val="000000"/>
          <w:sz w:val="20"/>
          <w:szCs w:val="20"/>
          <w:lang w:val="es-ES"/>
        </w:rPr>
        <w:t>24</w:t>
      </w:r>
      <w:r w:rsidRPr="00B0001E">
        <w:rPr>
          <w:rFonts w:ascii="Cambria" w:hAnsi="Cambria"/>
          <w:color w:val="000000"/>
          <w:sz w:val="20"/>
          <w:szCs w:val="20"/>
          <w:lang w:val="es-ES"/>
        </w:rPr>
        <w:t xml:space="preserve"> de </w:t>
      </w:r>
      <w:r w:rsidR="00DD4FF7" w:rsidRPr="00B0001E">
        <w:rPr>
          <w:rFonts w:ascii="Cambria" w:hAnsi="Cambria"/>
          <w:color w:val="000000"/>
          <w:sz w:val="20"/>
          <w:szCs w:val="20"/>
          <w:lang w:val="es-ES"/>
        </w:rPr>
        <w:t xml:space="preserve">octubre </w:t>
      </w:r>
      <w:r w:rsidRPr="00B0001E">
        <w:rPr>
          <w:rFonts w:ascii="Cambria" w:hAnsi="Cambria"/>
          <w:color w:val="000000"/>
          <w:sz w:val="20"/>
          <w:szCs w:val="20"/>
          <w:lang w:val="es-ES"/>
        </w:rPr>
        <w:t xml:space="preserve">de 2025, la Comisión transmitió el informe al Estado con un plazo de </w:t>
      </w:r>
      <w:r w:rsidR="0091358E" w:rsidRPr="00B0001E">
        <w:rPr>
          <w:rFonts w:ascii="Cambria" w:hAnsi="Cambria"/>
          <w:color w:val="000000"/>
          <w:sz w:val="20"/>
          <w:szCs w:val="20"/>
          <w:lang w:val="es-ES"/>
        </w:rPr>
        <w:t>tres</w:t>
      </w:r>
      <w:r w:rsidRPr="00B0001E">
        <w:rPr>
          <w:rFonts w:ascii="Cambria" w:hAnsi="Cambria"/>
          <w:color w:val="000000"/>
          <w:sz w:val="20"/>
          <w:szCs w:val="20"/>
          <w:lang w:val="es-ES"/>
        </w:rPr>
        <w:t xml:space="preserve"> semanas para informar a la Comisión Interamericana sobre las medidas adoptadas para dar cumplimiento a sus recomendaciones. Hasta la fecha, la CIDH no ha recibido respuesta de </w:t>
      </w:r>
      <w:r w:rsidR="00C72652" w:rsidRPr="00B0001E">
        <w:rPr>
          <w:rFonts w:ascii="Cambria" w:hAnsi="Cambria"/>
          <w:color w:val="000000"/>
          <w:sz w:val="20"/>
          <w:szCs w:val="20"/>
          <w:lang w:val="es-ES"/>
        </w:rPr>
        <w:t>Cuba</w:t>
      </w:r>
      <w:r w:rsidRPr="00B0001E">
        <w:rPr>
          <w:rFonts w:ascii="Cambria" w:hAnsi="Cambria"/>
          <w:color w:val="000000"/>
          <w:sz w:val="20"/>
          <w:szCs w:val="20"/>
          <w:lang w:val="es-ES"/>
        </w:rPr>
        <w:t xml:space="preserve"> en relación con el Informe </w:t>
      </w:r>
      <w:r w:rsidR="00C72652" w:rsidRPr="00B0001E">
        <w:rPr>
          <w:rFonts w:ascii="Cambria" w:hAnsi="Cambria"/>
          <w:color w:val="000000"/>
          <w:sz w:val="20"/>
          <w:szCs w:val="20"/>
          <w:lang w:val="es-ES"/>
        </w:rPr>
        <w:t>201</w:t>
      </w:r>
      <w:r w:rsidRPr="00B0001E">
        <w:rPr>
          <w:rFonts w:ascii="Cambria" w:hAnsi="Cambria"/>
          <w:color w:val="000000"/>
          <w:sz w:val="20"/>
          <w:szCs w:val="20"/>
          <w:lang w:val="es-ES"/>
        </w:rPr>
        <w:t>/25.</w:t>
      </w:r>
    </w:p>
    <w:p w14:paraId="7FCA955B" w14:textId="77777777" w:rsidR="007B0E40" w:rsidRPr="00B0001E" w:rsidRDefault="007B0E40" w:rsidP="007B0E4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color w:val="000000"/>
          <w:sz w:val="20"/>
          <w:szCs w:val="20"/>
          <w:lang w:val="es-ES"/>
        </w:rPr>
      </w:pPr>
    </w:p>
    <w:p w14:paraId="6AD2C83B" w14:textId="477C10B5" w:rsidR="007B0E40" w:rsidRPr="00B0001E" w:rsidRDefault="007B0E40" w:rsidP="00503D49">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360"/>
        </w:tabs>
        <w:ind w:left="0" w:firstLine="0"/>
        <w:jc w:val="both"/>
        <w:rPr>
          <w:rFonts w:ascii="Cambria" w:hAnsi="Cambria"/>
          <w:color w:val="000000"/>
          <w:sz w:val="20"/>
          <w:szCs w:val="20"/>
          <w:lang w:val="es-ES"/>
        </w:rPr>
      </w:pPr>
      <w:r w:rsidRPr="00B0001E">
        <w:rPr>
          <w:rFonts w:ascii="Cambria" w:hAnsi="Cambria"/>
          <w:color w:val="000000"/>
          <w:sz w:val="20"/>
          <w:szCs w:val="20"/>
          <w:lang w:val="es-ES"/>
        </w:rPr>
        <w:t>El 17 de noviembre de 2025 la parte peticionaria solicitó la publicación del informe.</w:t>
      </w:r>
    </w:p>
    <w:p w14:paraId="4D724FF6" w14:textId="77777777" w:rsidR="00BF7D80" w:rsidRPr="00B0001E" w:rsidRDefault="00BF7D80"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Theme="majorHAnsi" w:hAnsiTheme="majorHAnsi"/>
          <w:sz w:val="20"/>
          <w:szCs w:val="20"/>
          <w:lang w:val="es-US"/>
        </w:rPr>
      </w:pPr>
    </w:p>
    <w:p w14:paraId="35727419" w14:textId="43F34895" w:rsidR="00BF7D80" w:rsidRPr="00B0001E" w:rsidRDefault="00BF7D80" w:rsidP="003D5660">
      <w:pPr>
        <w:pStyle w:val="Heading1"/>
        <w:ind w:left="720"/>
      </w:pPr>
      <w:bookmarkStart w:id="50" w:name="_Toc216356093"/>
      <w:r w:rsidRPr="00B0001E">
        <w:t xml:space="preserve">CONCLUSIONES Y RECOMENDACIONES </w:t>
      </w:r>
      <w:r w:rsidR="009765F1" w:rsidRPr="00B0001E">
        <w:t>FINALES</w:t>
      </w:r>
      <w:bookmarkEnd w:id="50"/>
    </w:p>
    <w:p w14:paraId="02DCB3DC" w14:textId="77777777" w:rsidR="00BF7D80" w:rsidRPr="00B0001E" w:rsidRDefault="00BF7D80" w:rsidP="749ACC70">
      <w:pPr>
        <w:tabs>
          <w:tab w:val="left" w:pos="360"/>
        </w:tabs>
        <w:suppressAutoHyphens/>
        <w:rPr>
          <w:rFonts w:asciiTheme="majorHAnsi" w:hAnsiTheme="majorHAnsi"/>
          <w:b/>
          <w:bCs/>
          <w:sz w:val="16"/>
          <w:szCs w:val="16"/>
          <w:lang w:val="es-ES"/>
        </w:rPr>
      </w:pPr>
    </w:p>
    <w:p w14:paraId="67ECAB0D" w14:textId="55AD8592" w:rsidR="00BF7D80" w:rsidRPr="00B0001E" w:rsidRDefault="00BF7D80" w:rsidP="001A4728">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left="0" w:firstLine="0"/>
        <w:jc w:val="both"/>
        <w:rPr>
          <w:rFonts w:asciiTheme="majorHAnsi" w:hAnsiTheme="majorHAnsi"/>
          <w:sz w:val="20"/>
          <w:szCs w:val="20"/>
          <w:lang w:val="es-ES"/>
        </w:rPr>
      </w:pPr>
      <w:bookmarkStart w:id="51" w:name="_Hlk172884949"/>
      <w:r w:rsidRPr="00B0001E">
        <w:rPr>
          <w:rFonts w:asciiTheme="majorHAnsi" w:hAnsiTheme="majorHAnsi"/>
          <w:sz w:val="20"/>
          <w:szCs w:val="20"/>
          <w:lang w:val="es-ES"/>
        </w:rPr>
        <w:t xml:space="preserve">Con base en las determinaciones de hecho y de derecho del presente informe, la Comisión Interamericana concluye que el Estado es responsable por la violación de los derechos a </w:t>
      </w:r>
      <w:r w:rsidR="00E231CB" w:rsidRPr="00B0001E">
        <w:rPr>
          <w:rFonts w:asciiTheme="majorHAnsi" w:hAnsiTheme="majorHAnsi"/>
          <w:sz w:val="20"/>
          <w:szCs w:val="20"/>
          <w:lang w:val="es-ES"/>
        </w:rPr>
        <w:t>la vida, a la libertad, a la seguridad e integridad de la persona; a la libertad de investigación, opinión, expresión y difusión; a participar en la vida cultural de la comunidad; de asociación; a la libertad personal; a un proceso regular; y a la justicia</w:t>
      </w:r>
      <w:r w:rsidRPr="00B0001E">
        <w:rPr>
          <w:rFonts w:asciiTheme="majorHAnsi" w:hAnsiTheme="majorHAnsi"/>
          <w:sz w:val="20"/>
          <w:szCs w:val="20"/>
          <w:lang w:val="es-ES"/>
        </w:rPr>
        <w:t>, establecidos en los artículos</w:t>
      </w:r>
      <w:r w:rsidR="00E231CB" w:rsidRPr="00B0001E">
        <w:rPr>
          <w:rFonts w:asciiTheme="majorHAnsi" w:hAnsiTheme="majorHAnsi"/>
          <w:sz w:val="20"/>
          <w:szCs w:val="20"/>
          <w:lang w:val="es-ES"/>
        </w:rPr>
        <w:t xml:space="preserve"> I, IV, XIII, XXII, XXV, XXVI, y XVIII </w:t>
      </w:r>
      <w:r w:rsidRPr="00B0001E">
        <w:rPr>
          <w:rFonts w:asciiTheme="majorHAnsi" w:hAnsiTheme="majorHAnsi"/>
          <w:sz w:val="20"/>
          <w:szCs w:val="20"/>
          <w:lang w:val="es-ES"/>
        </w:rPr>
        <w:t>de la Declaración Americana en perjuicio de</w:t>
      </w:r>
      <w:r w:rsidR="22AD782F" w:rsidRPr="00B0001E">
        <w:rPr>
          <w:rFonts w:asciiTheme="majorHAnsi" w:hAnsiTheme="majorHAnsi"/>
          <w:sz w:val="20"/>
          <w:szCs w:val="20"/>
          <w:lang w:val="es-ES"/>
        </w:rPr>
        <w:t xml:space="preserve">l señor Maykel Castillo Pérez. </w:t>
      </w:r>
      <w:r w:rsidRPr="00B0001E">
        <w:rPr>
          <w:rFonts w:asciiTheme="majorHAnsi" w:hAnsiTheme="majorHAnsi"/>
          <w:sz w:val="20"/>
          <w:szCs w:val="20"/>
          <w:lang w:val="es-ES"/>
        </w:rPr>
        <w:t xml:space="preserve"> </w:t>
      </w:r>
    </w:p>
    <w:bookmarkEnd w:id="51"/>
    <w:p w14:paraId="16123025" w14:textId="77777777" w:rsidR="00BF1791" w:rsidRPr="00B0001E" w:rsidRDefault="00BF1791"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Theme="majorHAnsi" w:hAnsiTheme="majorHAnsi"/>
          <w:sz w:val="16"/>
          <w:szCs w:val="16"/>
          <w:lang w:val="es-ES"/>
        </w:rPr>
      </w:pPr>
    </w:p>
    <w:p w14:paraId="0F877AAE" w14:textId="77777777" w:rsidR="00BF7D80" w:rsidRPr="00B0001E" w:rsidRDefault="00BF7D80" w:rsidP="749ACC70">
      <w:pPr>
        <w:tabs>
          <w:tab w:val="left" w:pos="360"/>
        </w:tabs>
        <w:jc w:val="center"/>
        <w:rPr>
          <w:rFonts w:ascii="Cambria" w:hAnsi="Cambria"/>
          <w:b/>
          <w:bCs/>
          <w:sz w:val="20"/>
          <w:szCs w:val="20"/>
          <w:lang w:val="es-ES"/>
        </w:rPr>
      </w:pPr>
      <w:r w:rsidRPr="00B0001E">
        <w:rPr>
          <w:rFonts w:ascii="Cambria" w:hAnsi="Cambria"/>
          <w:b/>
          <w:bCs/>
          <w:sz w:val="20"/>
          <w:szCs w:val="20"/>
          <w:lang w:val="es-ES"/>
        </w:rPr>
        <w:t>LA COMISIÓN INTERAMERICANA DE DERECHOS HUMANOS</w:t>
      </w:r>
    </w:p>
    <w:p w14:paraId="5B7A2C2B" w14:textId="11ED22D1" w:rsidR="00BF7D80" w:rsidRPr="00B0001E" w:rsidRDefault="00BF7D80" w:rsidP="749ACC70">
      <w:pPr>
        <w:tabs>
          <w:tab w:val="left" w:pos="360"/>
        </w:tabs>
        <w:jc w:val="center"/>
        <w:rPr>
          <w:rFonts w:ascii="Cambria" w:hAnsi="Cambria"/>
          <w:b/>
          <w:bCs/>
          <w:sz w:val="20"/>
          <w:szCs w:val="20"/>
          <w:lang w:val="es-ES"/>
        </w:rPr>
      </w:pPr>
      <w:r w:rsidRPr="00B0001E">
        <w:rPr>
          <w:rFonts w:ascii="Cambria" w:hAnsi="Cambria"/>
          <w:b/>
          <w:bCs/>
          <w:sz w:val="20"/>
          <w:szCs w:val="20"/>
          <w:lang w:val="es-ES"/>
        </w:rPr>
        <w:t>RE</w:t>
      </w:r>
      <w:r w:rsidR="009765F1" w:rsidRPr="00B0001E">
        <w:rPr>
          <w:rFonts w:ascii="Cambria" w:hAnsi="Cambria"/>
          <w:b/>
          <w:bCs/>
          <w:sz w:val="20"/>
          <w:szCs w:val="20"/>
          <w:lang w:val="es-ES"/>
        </w:rPr>
        <w:t>ITERA</w:t>
      </w:r>
      <w:r w:rsidRPr="00B0001E">
        <w:rPr>
          <w:rFonts w:ascii="Cambria" w:hAnsi="Cambria"/>
          <w:b/>
          <w:bCs/>
          <w:sz w:val="20"/>
          <w:szCs w:val="20"/>
          <w:lang w:val="es-ES"/>
        </w:rPr>
        <w:t xml:space="preserve"> AL ESTADO DE CUBA,</w:t>
      </w:r>
    </w:p>
    <w:p w14:paraId="78FD47FB" w14:textId="415B5295" w:rsidR="00BF7D80" w:rsidRPr="00B0001E" w:rsidRDefault="00BF7D80" w:rsidP="749ACC70">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eastAsia="Times New Roman" w:hAnsi="Cambria"/>
          <w:sz w:val="20"/>
          <w:szCs w:val="20"/>
          <w:bdr w:val="none" w:sz="0" w:space="0" w:color="auto"/>
          <w:lang w:val="es-ES"/>
        </w:rPr>
      </w:pPr>
    </w:p>
    <w:p w14:paraId="184EE233" w14:textId="77777777" w:rsidR="00BF7D80" w:rsidRPr="00B0001E" w:rsidRDefault="00BF7D80" w:rsidP="001A4728">
      <w:pPr>
        <w:pStyle w:val="ListParagraph"/>
        <w:numPr>
          <w:ilvl w:val="0"/>
          <w:numId w:val="63"/>
        </w:numPr>
        <w:rPr>
          <w:sz w:val="20"/>
          <w:szCs w:val="20"/>
        </w:rPr>
      </w:pPr>
      <w:bookmarkStart w:id="52" w:name="_Hlk172884974"/>
      <w:r w:rsidRPr="00B0001E">
        <w:rPr>
          <w:sz w:val="20"/>
          <w:szCs w:val="20"/>
          <w:bdr w:val="none" w:sz="0" w:space="0" w:color="auto"/>
        </w:rPr>
        <w:t xml:space="preserve">Reparar integralmente las violaciones de derechos humanos declaradas en el presente informe tanto en el aspecto material como inmaterial. El Estado deberá adoptar las medidas de compensación económica y satisfacción. </w:t>
      </w:r>
    </w:p>
    <w:p w14:paraId="77771E5D" w14:textId="77777777" w:rsidR="00BF0448" w:rsidRPr="00B0001E" w:rsidRDefault="00BF0448" w:rsidP="00BF0448">
      <w:pPr>
        <w:ind w:left="360"/>
        <w:rPr>
          <w:sz w:val="20"/>
          <w:szCs w:val="20"/>
          <w:lang w:val="es-US"/>
        </w:rPr>
      </w:pPr>
    </w:p>
    <w:p w14:paraId="669DE9CB" w14:textId="7CB3BD4D" w:rsidR="00BF7D80" w:rsidRPr="00B0001E" w:rsidRDefault="00BF7D80" w:rsidP="008D2EB9">
      <w:pPr>
        <w:pStyle w:val="ListParagraph"/>
        <w:rPr>
          <w:sz w:val="20"/>
          <w:szCs w:val="20"/>
        </w:rPr>
      </w:pPr>
      <w:r w:rsidRPr="00B0001E">
        <w:rPr>
          <w:sz w:val="20"/>
          <w:szCs w:val="20"/>
          <w:bdr w:val="none" w:sz="0" w:space="0" w:color="auto"/>
        </w:rPr>
        <w:t>Disponer las medidas de atención en salud física y mental necesarias para la rehabilitación de Maykel Castillo Pérez, de ser su voluntad y de manera concertada.</w:t>
      </w:r>
    </w:p>
    <w:p w14:paraId="2285CD8B" w14:textId="77777777" w:rsidR="00BF0448" w:rsidRPr="00B0001E" w:rsidRDefault="00BF0448" w:rsidP="00BF0448">
      <w:pPr>
        <w:pStyle w:val="ListParagraph"/>
        <w:numPr>
          <w:ilvl w:val="0"/>
          <w:numId w:val="0"/>
        </w:numPr>
        <w:ind w:left="720"/>
        <w:rPr>
          <w:sz w:val="20"/>
          <w:szCs w:val="20"/>
        </w:rPr>
      </w:pPr>
    </w:p>
    <w:p w14:paraId="3E708EF4" w14:textId="7086EBB2" w:rsidR="003D61B7" w:rsidRPr="00B0001E" w:rsidRDefault="003D61B7" w:rsidP="008D2EB9">
      <w:pPr>
        <w:pStyle w:val="ListParagraph"/>
        <w:rPr>
          <w:sz w:val="20"/>
          <w:szCs w:val="20"/>
        </w:rPr>
      </w:pPr>
      <w:r w:rsidRPr="00B0001E">
        <w:rPr>
          <w:sz w:val="20"/>
          <w:szCs w:val="20"/>
        </w:rPr>
        <w:t xml:space="preserve">Cesar de manera inmediata </w:t>
      </w:r>
      <w:r w:rsidR="00866BFB" w:rsidRPr="00B0001E">
        <w:rPr>
          <w:sz w:val="20"/>
          <w:szCs w:val="20"/>
        </w:rPr>
        <w:t xml:space="preserve">todo tipo de </w:t>
      </w:r>
      <w:r w:rsidRPr="00B0001E">
        <w:rPr>
          <w:sz w:val="20"/>
          <w:szCs w:val="20"/>
        </w:rPr>
        <w:t xml:space="preserve">persecución contra Maykel Castillo Pérez, en particular, los actos de hostigamiento, acoso, ataques, y citaciones policiales arbitrarias, </w:t>
      </w:r>
      <w:r w:rsidR="00866BFB" w:rsidRPr="00B0001E">
        <w:rPr>
          <w:sz w:val="20"/>
          <w:szCs w:val="20"/>
        </w:rPr>
        <w:t xml:space="preserve">la </w:t>
      </w:r>
      <w:r w:rsidRPr="00B0001E">
        <w:rPr>
          <w:sz w:val="20"/>
          <w:szCs w:val="20"/>
        </w:rPr>
        <w:t xml:space="preserve">garantizando que el artista pueda llevar a cabo su trabajo sin temor a intimidación o represalias, y sin restricciones indebidas sobre </w:t>
      </w:r>
      <w:r w:rsidR="004E51DE" w:rsidRPr="00B0001E">
        <w:rPr>
          <w:sz w:val="20"/>
          <w:szCs w:val="20"/>
        </w:rPr>
        <w:t>los</w:t>
      </w:r>
      <w:r w:rsidRPr="00B0001E">
        <w:rPr>
          <w:sz w:val="20"/>
          <w:szCs w:val="20"/>
        </w:rPr>
        <w:t xml:space="preserve"> derechos analizados en el presente informe.</w:t>
      </w:r>
    </w:p>
    <w:p w14:paraId="4849B130" w14:textId="77777777" w:rsidR="00BF0448" w:rsidRPr="00B0001E" w:rsidRDefault="00BF0448" w:rsidP="00BF0448">
      <w:pPr>
        <w:pStyle w:val="ListParagraph"/>
        <w:numPr>
          <w:ilvl w:val="0"/>
          <w:numId w:val="0"/>
        </w:numPr>
        <w:ind w:left="720"/>
        <w:rPr>
          <w:sz w:val="20"/>
          <w:szCs w:val="20"/>
        </w:rPr>
      </w:pPr>
    </w:p>
    <w:p w14:paraId="595D917D" w14:textId="53BE902E" w:rsidR="003D61B7" w:rsidRPr="00B0001E" w:rsidRDefault="003D61B7" w:rsidP="008D2EB9">
      <w:pPr>
        <w:pStyle w:val="ListParagraph"/>
        <w:rPr>
          <w:sz w:val="20"/>
          <w:szCs w:val="20"/>
        </w:rPr>
      </w:pPr>
      <w:r w:rsidRPr="00B0001E">
        <w:rPr>
          <w:sz w:val="20"/>
          <w:szCs w:val="20"/>
        </w:rPr>
        <w:t xml:space="preserve">Realizar </w:t>
      </w:r>
      <w:r w:rsidR="00D25568" w:rsidRPr="00B0001E">
        <w:rPr>
          <w:sz w:val="20"/>
          <w:szCs w:val="20"/>
        </w:rPr>
        <w:t xml:space="preserve">las investigaciones penales, disciplinarias o de otra índole </w:t>
      </w:r>
      <w:r w:rsidRPr="00B0001E">
        <w:rPr>
          <w:sz w:val="20"/>
          <w:szCs w:val="20"/>
        </w:rPr>
        <w:t>que permita</w:t>
      </w:r>
      <w:r w:rsidR="00D25568" w:rsidRPr="00B0001E">
        <w:rPr>
          <w:sz w:val="20"/>
          <w:szCs w:val="20"/>
        </w:rPr>
        <w:t>n</w:t>
      </w:r>
      <w:r w:rsidRPr="00B0001E">
        <w:rPr>
          <w:sz w:val="20"/>
          <w:szCs w:val="20"/>
        </w:rPr>
        <w:t xml:space="preserve"> esclarecer</w:t>
      </w:r>
      <w:r w:rsidR="00D25568" w:rsidRPr="00B0001E">
        <w:rPr>
          <w:sz w:val="20"/>
          <w:szCs w:val="20"/>
        </w:rPr>
        <w:t xml:space="preserve"> y determinar las responsabilidades correspondientes frente a las violaciones identificadas en el presente informe cometidas en perjuicio de </w:t>
      </w:r>
      <w:r w:rsidRPr="00B0001E">
        <w:rPr>
          <w:sz w:val="20"/>
          <w:szCs w:val="20"/>
        </w:rPr>
        <w:t>Maykel Castillo Pérez</w:t>
      </w:r>
      <w:r w:rsidR="00D25568" w:rsidRPr="00B0001E">
        <w:rPr>
          <w:sz w:val="20"/>
          <w:szCs w:val="20"/>
        </w:rPr>
        <w:t>.</w:t>
      </w:r>
    </w:p>
    <w:p w14:paraId="0F4177F6" w14:textId="77777777" w:rsidR="00BF0448" w:rsidRPr="00B0001E" w:rsidRDefault="00BF0448" w:rsidP="00BF0448">
      <w:pPr>
        <w:pStyle w:val="ListParagraph"/>
        <w:numPr>
          <w:ilvl w:val="0"/>
          <w:numId w:val="0"/>
        </w:numPr>
        <w:ind w:left="720"/>
        <w:rPr>
          <w:sz w:val="20"/>
          <w:szCs w:val="20"/>
        </w:rPr>
      </w:pPr>
    </w:p>
    <w:p w14:paraId="5E5EB11B" w14:textId="420E104D" w:rsidR="00B40275" w:rsidRPr="00B0001E" w:rsidRDefault="00BF7D80" w:rsidP="008D2EB9">
      <w:pPr>
        <w:pStyle w:val="ListParagraph"/>
        <w:rPr>
          <w:sz w:val="20"/>
          <w:szCs w:val="20"/>
          <w:lang w:val="es"/>
        </w:rPr>
      </w:pPr>
      <w:r w:rsidRPr="00B0001E">
        <w:rPr>
          <w:sz w:val="20"/>
          <w:szCs w:val="20"/>
        </w:rPr>
        <w:lastRenderedPageBreak/>
        <w:t>Promover</w:t>
      </w:r>
      <w:r w:rsidRPr="00B0001E">
        <w:rPr>
          <w:sz w:val="20"/>
          <w:szCs w:val="20"/>
          <w:bdr w:val="none" w:sz="0" w:space="0" w:color="auto"/>
        </w:rPr>
        <w:t xml:space="preserve"> mecanismos de no repetición que incluyan i) adoptar medidas para el fortalecimiento de la capacidad investigativa de actos de violencia contra personas defensoras de derechos humanos conforme a los estándares interamericanos; ii) adoptar medidas legislativas, administrativas o de otra índole para efectuar un diagnóstico adecuado sobre el contexto de violencia que enfrentan las personas defensoras de derechos humanos en Cuba, incluyendo la recolección de datos desagregados y sistemáticos sobre su prevalencia, y disponer una política integral de prevención y erradicación efectiva del mismo, atendiendo a sus causas estructurales; iii) diseñar programas de formación, sensibilización y capacitación para los cuerpos de seguridad del Estado en materia del sistema interamericano de derechos humanos, incluyendo la temática de protección y prevención de la violencia contra personas defensoras de derechos humanos; y iv) prevenir y erradicar la criminalización de quienes ejercen el derecho de libertad de expresión y de asociación, incluyendo disidentes políticos y personas defensoras de derechos humanos; v) garantizar que las personas defensoras de derechos humanos puedan llevar a cabo su trabajo sin temor a intimidación o represalias, y sin restricciones indebidas; y vi) adecuar las leyes, procedimientos y prácticas a las normas internacionales sobre derechos humanos en materia de debido proceso y acceso a la justicia</w:t>
      </w:r>
      <w:r w:rsidR="15F482CE" w:rsidRPr="00B0001E">
        <w:rPr>
          <w:sz w:val="20"/>
          <w:szCs w:val="20"/>
          <w:bdr w:val="none" w:sz="0" w:space="0" w:color="auto"/>
        </w:rPr>
        <w:t xml:space="preserve">, </w:t>
      </w:r>
      <w:r w:rsidR="185C2A0F" w:rsidRPr="00B0001E">
        <w:rPr>
          <w:sz w:val="20"/>
          <w:szCs w:val="20"/>
        </w:rPr>
        <w:t xml:space="preserve">incluyendo el acceso de </w:t>
      </w:r>
      <w:r w:rsidR="15F482CE" w:rsidRPr="00B0001E">
        <w:rPr>
          <w:sz w:val="20"/>
          <w:szCs w:val="20"/>
          <w:lang w:val="es"/>
        </w:rPr>
        <w:t>las personas defensor</w:t>
      </w:r>
      <w:r w:rsidR="598C35D6" w:rsidRPr="00B0001E">
        <w:rPr>
          <w:sz w:val="20"/>
          <w:szCs w:val="20"/>
          <w:lang w:val="es"/>
        </w:rPr>
        <w:t>as</w:t>
      </w:r>
      <w:r w:rsidR="4586D1D5" w:rsidRPr="00B0001E">
        <w:rPr>
          <w:sz w:val="20"/>
          <w:szCs w:val="20"/>
          <w:lang w:val="es"/>
        </w:rPr>
        <w:t xml:space="preserve"> de derechos humanos</w:t>
      </w:r>
      <w:r w:rsidR="598C35D6" w:rsidRPr="00B0001E">
        <w:rPr>
          <w:sz w:val="20"/>
          <w:szCs w:val="20"/>
          <w:lang w:val="es"/>
        </w:rPr>
        <w:t xml:space="preserve"> </w:t>
      </w:r>
      <w:r w:rsidR="48F57BE1" w:rsidRPr="00B0001E">
        <w:rPr>
          <w:sz w:val="20"/>
          <w:szCs w:val="20"/>
          <w:lang w:val="es"/>
        </w:rPr>
        <w:t xml:space="preserve">a </w:t>
      </w:r>
      <w:r w:rsidR="598C35D6" w:rsidRPr="00B0001E">
        <w:rPr>
          <w:sz w:val="20"/>
          <w:szCs w:val="20"/>
          <w:lang w:val="es"/>
        </w:rPr>
        <w:t>c</w:t>
      </w:r>
      <w:r w:rsidR="35BD67C0" w:rsidRPr="00B0001E">
        <w:rPr>
          <w:sz w:val="20"/>
          <w:szCs w:val="20"/>
          <w:lang w:val="es"/>
        </w:rPr>
        <w:t xml:space="preserve">ontar </w:t>
      </w:r>
      <w:r w:rsidR="598C35D6" w:rsidRPr="00B0001E">
        <w:rPr>
          <w:sz w:val="20"/>
          <w:szCs w:val="20"/>
          <w:lang w:val="es"/>
        </w:rPr>
        <w:t xml:space="preserve">con </w:t>
      </w:r>
      <w:r w:rsidR="15F482CE" w:rsidRPr="00B0001E">
        <w:rPr>
          <w:sz w:val="20"/>
          <w:szCs w:val="20"/>
          <w:lang w:val="es"/>
        </w:rPr>
        <w:t>defensa legal desde el inicio d</w:t>
      </w:r>
      <w:r w:rsidR="244E9955" w:rsidRPr="00B0001E">
        <w:rPr>
          <w:sz w:val="20"/>
          <w:szCs w:val="20"/>
          <w:lang w:val="es"/>
        </w:rPr>
        <w:t>e</w:t>
      </w:r>
      <w:r w:rsidR="4461A612" w:rsidRPr="00B0001E">
        <w:rPr>
          <w:sz w:val="20"/>
          <w:szCs w:val="20"/>
          <w:lang w:val="es"/>
        </w:rPr>
        <w:t xml:space="preserve"> los </w:t>
      </w:r>
      <w:r w:rsidR="244E9955" w:rsidRPr="00B0001E">
        <w:rPr>
          <w:sz w:val="20"/>
          <w:szCs w:val="20"/>
          <w:lang w:val="es"/>
        </w:rPr>
        <w:t xml:space="preserve">procesos judiciales </w:t>
      </w:r>
      <w:r w:rsidR="497BC67F" w:rsidRPr="00B0001E">
        <w:rPr>
          <w:sz w:val="20"/>
          <w:szCs w:val="20"/>
          <w:lang w:val="es"/>
        </w:rPr>
        <w:t>a los que son sometidas</w:t>
      </w:r>
      <w:r w:rsidR="5501558E" w:rsidRPr="00B0001E">
        <w:rPr>
          <w:sz w:val="20"/>
          <w:szCs w:val="20"/>
          <w:lang w:val="es"/>
        </w:rPr>
        <w:t xml:space="preserve"> y </w:t>
      </w:r>
      <w:r w:rsidR="7EA846D5" w:rsidRPr="00B0001E">
        <w:rPr>
          <w:sz w:val="20"/>
          <w:szCs w:val="20"/>
          <w:lang w:val="es"/>
        </w:rPr>
        <w:t xml:space="preserve">que se asegure su derecho a la defensa. </w:t>
      </w:r>
      <w:r w:rsidR="6EDDE5F7" w:rsidRPr="00B0001E">
        <w:rPr>
          <w:sz w:val="20"/>
          <w:szCs w:val="20"/>
          <w:lang w:val="es"/>
        </w:rPr>
        <w:t xml:space="preserve"> </w:t>
      </w:r>
      <w:bookmarkEnd w:id="52"/>
    </w:p>
    <w:p w14:paraId="05490CBA" w14:textId="77777777" w:rsidR="008163D5" w:rsidRPr="00B0001E" w:rsidRDefault="008163D5" w:rsidP="008163D5">
      <w:pPr>
        <w:tabs>
          <w:tab w:val="left" w:pos="567"/>
        </w:tabs>
        <w:ind w:right="-43"/>
        <w:jc w:val="both"/>
        <w:rPr>
          <w:rFonts w:ascii="Cambria" w:eastAsia="Cambria" w:hAnsi="Cambria" w:cs="Cambria"/>
          <w:b/>
          <w:bCs/>
          <w:color w:val="000000" w:themeColor="text1"/>
          <w:sz w:val="20"/>
          <w:szCs w:val="20"/>
          <w:lang w:val="es-ES"/>
        </w:rPr>
      </w:pPr>
    </w:p>
    <w:p w14:paraId="5E79EC1F" w14:textId="77777777" w:rsidR="008163D5" w:rsidRPr="00B0001E" w:rsidRDefault="008163D5" w:rsidP="00237D76">
      <w:pPr>
        <w:pStyle w:val="Heading1"/>
        <w:ind w:left="720"/>
        <w:rPr>
          <w:rFonts w:ascii="Cambria" w:eastAsia="SimSun" w:hAnsi="Cambria" w:cs="Times New Roman"/>
          <w:bCs/>
          <w:lang w:eastAsia="en-US"/>
        </w:rPr>
      </w:pPr>
      <w:bookmarkStart w:id="53" w:name="_Toc51754530"/>
      <w:bookmarkStart w:id="54" w:name="_Toc87432713"/>
      <w:bookmarkStart w:id="55" w:name="_Toc87434321"/>
      <w:r w:rsidRPr="00B0001E">
        <w:rPr>
          <w:rFonts w:ascii="Cambria" w:eastAsia="SimSun" w:hAnsi="Cambria" w:cs="Times New Roman"/>
          <w:bCs/>
          <w:lang w:eastAsia="en-US"/>
        </w:rPr>
        <w:t xml:space="preserve"> </w:t>
      </w:r>
      <w:bookmarkStart w:id="56" w:name="_Toc196986987"/>
      <w:bookmarkStart w:id="57" w:name="_Toc216356094"/>
      <w:bookmarkEnd w:id="53"/>
      <w:bookmarkEnd w:id="54"/>
      <w:bookmarkEnd w:id="55"/>
      <w:r w:rsidRPr="00B0001E">
        <w:rPr>
          <w:rFonts w:ascii="Cambria" w:eastAsia="SimSun" w:hAnsi="Cambria" w:cs="Times New Roman"/>
          <w:bCs/>
          <w:lang w:eastAsia="en-US"/>
        </w:rPr>
        <w:t>PUBLICACIÓN</w:t>
      </w:r>
      <w:bookmarkEnd w:id="56"/>
      <w:bookmarkEnd w:id="57"/>
    </w:p>
    <w:p w14:paraId="06645614" w14:textId="77777777" w:rsidR="008163D5" w:rsidRPr="00B0001E" w:rsidRDefault="008163D5" w:rsidP="008163D5">
      <w:pPr>
        <w:tabs>
          <w:tab w:val="left" w:pos="567"/>
        </w:tabs>
        <w:ind w:right="-43"/>
        <w:jc w:val="both"/>
        <w:rPr>
          <w:rFonts w:ascii="Cambria" w:hAnsi="Cambria"/>
          <w:b/>
          <w:bCs/>
          <w:color w:val="000000"/>
          <w:sz w:val="20"/>
          <w:szCs w:val="20"/>
          <w:lang w:val="es-UY"/>
        </w:rPr>
      </w:pPr>
    </w:p>
    <w:p w14:paraId="5246F78F" w14:textId="269D2AF9" w:rsidR="008163D5" w:rsidRPr="00B0001E" w:rsidRDefault="008163D5" w:rsidP="00237D76">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360"/>
        </w:tabs>
        <w:ind w:left="0" w:firstLine="0"/>
        <w:jc w:val="both"/>
        <w:rPr>
          <w:rFonts w:ascii="Cambria" w:hAnsi="Cambria"/>
          <w:color w:val="000000"/>
          <w:sz w:val="20"/>
          <w:szCs w:val="20"/>
          <w:lang w:val="es-AR"/>
        </w:rPr>
      </w:pPr>
      <w:r w:rsidRPr="00B0001E">
        <w:rPr>
          <w:rFonts w:ascii="Cambria" w:hAnsi="Cambria"/>
          <w:color w:val="000000"/>
          <w:sz w:val="20"/>
          <w:szCs w:val="20"/>
          <w:lang w:val="es-ES"/>
        </w:rPr>
        <w:t>En</w:t>
      </w:r>
      <w:r w:rsidRPr="00B0001E">
        <w:rPr>
          <w:rFonts w:ascii="Cambria" w:hAnsi="Cambria"/>
          <w:color w:val="000000"/>
          <w:sz w:val="20"/>
          <w:szCs w:val="20"/>
          <w:lang w:val="es-AR"/>
        </w:rPr>
        <w:t xml:space="preserve"> vista de lo anterior y de conformidad con el artículo 47.3 de su Reglamento, la CIDH decide </w:t>
      </w:r>
      <w:r w:rsidRPr="00B0001E">
        <w:rPr>
          <w:rFonts w:ascii="Cambria" w:eastAsia="Cambria" w:hAnsi="Cambria" w:cs="Cambria"/>
          <w:color w:val="000000" w:themeColor="text1"/>
          <w:sz w:val="20"/>
          <w:szCs w:val="20"/>
          <w:lang w:val="es-ES_tradnl"/>
        </w:rPr>
        <w:t>hacer</w:t>
      </w:r>
      <w:r w:rsidRPr="00B0001E">
        <w:rPr>
          <w:rFonts w:ascii="Cambria" w:hAnsi="Cambria"/>
          <w:color w:val="000000"/>
          <w:sz w:val="20"/>
          <w:szCs w:val="20"/>
          <w:lang w:val="es-AR"/>
        </w:rPr>
        <w:t xml:space="preserve"> público el presente informe e incluirlo en su Informe Anual a la Asamblea General de la Organización de los Estados Americanos. La Comisión Interamericana, de acuerdo con las normas contenidas en los instrumentos que rigen su mandato, continuará evaluando las medidas adoptadas </w:t>
      </w:r>
      <w:r w:rsidR="002E6CDC" w:rsidRPr="00B0001E">
        <w:rPr>
          <w:rFonts w:ascii="Cambria" w:hAnsi="Cambria"/>
          <w:color w:val="000000"/>
          <w:sz w:val="20"/>
          <w:szCs w:val="20"/>
          <w:lang w:val="es-AR"/>
        </w:rPr>
        <w:t>Cuba</w:t>
      </w:r>
      <w:r w:rsidRPr="00B0001E">
        <w:rPr>
          <w:rFonts w:ascii="Cambria" w:hAnsi="Cambria"/>
          <w:color w:val="000000"/>
          <w:sz w:val="20"/>
          <w:szCs w:val="20"/>
          <w:lang w:val="es-AR"/>
        </w:rPr>
        <w:t xml:space="preserve"> con respecto a las referidas recomendaciones hasta que determine que se han cumplido plenamente.</w:t>
      </w:r>
    </w:p>
    <w:p w14:paraId="7BEFA455" w14:textId="13FA5110" w:rsidR="001B6877" w:rsidRDefault="001B6877" w:rsidP="0091620E">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lang w:val="es-AR"/>
        </w:rPr>
      </w:pPr>
    </w:p>
    <w:p w14:paraId="2BDEBA78" w14:textId="5568B0FD" w:rsidR="00A948F9" w:rsidRPr="00401157" w:rsidRDefault="00A948F9" w:rsidP="00A948F9">
      <w:pPr>
        <w:ind w:firstLine="708"/>
        <w:jc w:val="both"/>
        <w:rPr>
          <w:rFonts w:ascii="Cambria" w:hAnsi="Cambria"/>
          <w:color w:val="000000"/>
          <w:sz w:val="20"/>
          <w:szCs w:val="20"/>
          <w:lang w:val="es-VE"/>
        </w:rPr>
      </w:pPr>
      <w:r w:rsidRPr="00401157">
        <w:rPr>
          <w:rFonts w:ascii="Cambria" w:hAnsi="Cambria"/>
          <w:color w:val="000000"/>
          <w:sz w:val="20"/>
          <w:szCs w:val="20"/>
          <w:lang w:val="es-VE"/>
        </w:rPr>
        <w:t xml:space="preserve">Aprobado por la Comisión Interamericana de Derechos Humanos a los </w:t>
      </w:r>
      <w:r w:rsidR="009649D6">
        <w:rPr>
          <w:rFonts w:ascii="Cambria" w:hAnsi="Cambria"/>
          <w:color w:val="000000"/>
          <w:sz w:val="20"/>
          <w:szCs w:val="20"/>
          <w:lang w:val="es-VE"/>
        </w:rPr>
        <w:t>3</w:t>
      </w:r>
      <w:r w:rsidRPr="00401157">
        <w:rPr>
          <w:rFonts w:ascii="Cambria" w:hAnsi="Cambria"/>
          <w:color w:val="000000"/>
          <w:sz w:val="20"/>
          <w:szCs w:val="20"/>
          <w:lang w:val="es-VE"/>
        </w:rPr>
        <w:t xml:space="preserve"> días del mes de </w:t>
      </w:r>
      <w:r w:rsidR="009649D6">
        <w:rPr>
          <w:rFonts w:ascii="Cambria" w:hAnsi="Cambria"/>
          <w:color w:val="000000"/>
          <w:sz w:val="20"/>
          <w:szCs w:val="20"/>
          <w:lang w:val="es-VE"/>
        </w:rPr>
        <w:t>diciembre</w:t>
      </w:r>
      <w:r w:rsidRPr="00401157">
        <w:rPr>
          <w:rFonts w:ascii="Cambria" w:hAnsi="Cambria"/>
          <w:color w:val="000000"/>
          <w:sz w:val="20"/>
          <w:szCs w:val="20"/>
          <w:lang w:val="es-VE"/>
        </w:rPr>
        <w:t xml:space="preserve"> de 2025. (Firmado): José Luis Caballero Ochoa, Presidente</w:t>
      </w:r>
      <w:r w:rsidR="00914565">
        <w:rPr>
          <w:rFonts w:ascii="Cambria" w:hAnsi="Cambria"/>
          <w:color w:val="000000"/>
          <w:sz w:val="20"/>
          <w:szCs w:val="20"/>
          <w:lang w:val="es-VE"/>
        </w:rPr>
        <w:t>;</w:t>
      </w:r>
      <w:r w:rsidRPr="00401157">
        <w:rPr>
          <w:rFonts w:ascii="Cambria" w:hAnsi="Cambria"/>
          <w:color w:val="000000"/>
          <w:sz w:val="20"/>
          <w:szCs w:val="20"/>
          <w:lang w:val="es-VE"/>
        </w:rPr>
        <w:t xml:space="preserve"> A</w:t>
      </w:r>
      <w:r w:rsidR="00197553">
        <w:rPr>
          <w:rFonts w:ascii="Cambria" w:hAnsi="Cambria"/>
          <w:color w:val="000000"/>
          <w:sz w:val="20"/>
          <w:szCs w:val="20"/>
          <w:lang w:val="es-VE"/>
        </w:rPr>
        <w:t>ndrea Pochak</w:t>
      </w:r>
      <w:r w:rsidRPr="00401157">
        <w:rPr>
          <w:rFonts w:ascii="Cambria" w:hAnsi="Cambria"/>
          <w:color w:val="000000"/>
          <w:sz w:val="20"/>
          <w:szCs w:val="20"/>
          <w:lang w:val="es-VE"/>
        </w:rPr>
        <w:t>,</w:t>
      </w:r>
      <w:r w:rsidR="00197553">
        <w:rPr>
          <w:rFonts w:ascii="Cambria" w:hAnsi="Cambria"/>
          <w:color w:val="000000"/>
          <w:sz w:val="20"/>
          <w:szCs w:val="20"/>
          <w:lang w:val="es-VE"/>
        </w:rPr>
        <w:t xml:space="preserve"> Primera Vicepresidenta</w:t>
      </w:r>
      <w:r w:rsidR="00D46916">
        <w:rPr>
          <w:rFonts w:ascii="Cambria" w:hAnsi="Cambria"/>
          <w:color w:val="000000"/>
          <w:sz w:val="20"/>
          <w:szCs w:val="20"/>
          <w:lang w:val="es-VE"/>
        </w:rPr>
        <w:t xml:space="preserve">; Edgar </w:t>
      </w:r>
      <w:r w:rsidR="00914565">
        <w:rPr>
          <w:rFonts w:ascii="Cambria" w:hAnsi="Cambria"/>
          <w:color w:val="000000"/>
          <w:sz w:val="20"/>
          <w:szCs w:val="20"/>
          <w:lang w:val="es-VE"/>
        </w:rPr>
        <w:t>S</w:t>
      </w:r>
      <w:r w:rsidR="00D46916">
        <w:rPr>
          <w:rFonts w:ascii="Cambria" w:hAnsi="Cambria"/>
          <w:color w:val="000000"/>
          <w:sz w:val="20"/>
          <w:szCs w:val="20"/>
          <w:lang w:val="es-VE"/>
        </w:rPr>
        <w:t xml:space="preserve">tuardo Ralón </w:t>
      </w:r>
      <w:r w:rsidR="00914565">
        <w:rPr>
          <w:rFonts w:ascii="Cambria" w:hAnsi="Cambria"/>
          <w:color w:val="000000"/>
          <w:sz w:val="20"/>
          <w:szCs w:val="20"/>
          <w:lang w:val="es-VE"/>
        </w:rPr>
        <w:t xml:space="preserve">Orellana, </w:t>
      </w:r>
      <w:r w:rsidRPr="00401157">
        <w:rPr>
          <w:rFonts w:ascii="Cambria" w:hAnsi="Cambria"/>
          <w:color w:val="000000"/>
          <w:sz w:val="20"/>
          <w:szCs w:val="20"/>
          <w:lang w:val="es-VE"/>
        </w:rPr>
        <w:t>Segundo Vicepresidente</w:t>
      </w:r>
      <w:r w:rsidR="00914565">
        <w:rPr>
          <w:rFonts w:ascii="Cambria" w:hAnsi="Cambria"/>
          <w:color w:val="000000"/>
          <w:sz w:val="20"/>
          <w:szCs w:val="20"/>
          <w:lang w:val="es-VE"/>
        </w:rPr>
        <w:t>;</w:t>
      </w:r>
      <w:r w:rsidRPr="00401157">
        <w:rPr>
          <w:rFonts w:ascii="Cambria" w:hAnsi="Cambria"/>
          <w:color w:val="000000"/>
          <w:sz w:val="20"/>
          <w:szCs w:val="20"/>
          <w:lang w:val="es-VE"/>
        </w:rPr>
        <w:t xml:space="preserve"> Roberta Clarke; Carlos Bernal Pulido y Gloria Monique de Mees, Miembros de la Comisión.</w:t>
      </w:r>
    </w:p>
    <w:p w14:paraId="2C440B7C" w14:textId="574D73D6" w:rsidR="00A948F9" w:rsidRPr="00401157" w:rsidRDefault="00A948F9" w:rsidP="00A948F9">
      <w:pPr>
        <w:jc w:val="both"/>
        <w:rPr>
          <w:lang w:val="es-ES_tradnl"/>
        </w:rPr>
      </w:pPr>
    </w:p>
    <w:p w14:paraId="39B45C8D" w14:textId="77777777" w:rsidR="00306D68" w:rsidRPr="00A948F9" w:rsidRDefault="00306D68" w:rsidP="0091620E">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Cambria" w:hAnsi="Cambria"/>
          <w:sz w:val="20"/>
          <w:szCs w:val="20"/>
          <w:lang w:val="es-ES_tradnl"/>
        </w:rPr>
      </w:pPr>
    </w:p>
    <w:sectPr w:rsidR="00306D68" w:rsidRPr="00A948F9" w:rsidSect="00934A2C">
      <w:headerReference w:type="first" r:id="rId18"/>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200F0" w14:textId="77777777" w:rsidR="00187834" w:rsidRDefault="00187834">
      <w:r>
        <w:separator/>
      </w:r>
    </w:p>
  </w:endnote>
  <w:endnote w:type="continuationSeparator" w:id="0">
    <w:p w14:paraId="580A8188" w14:textId="77777777" w:rsidR="00187834" w:rsidRDefault="00187834">
      <w:r>
        <w:continuationSeparator/>
      </w:r>
    </w:p>
  </w:endnote>
  <w:endnote w:type="continuationNotice" w:id="1">
    <w:p w14:paraId="06024A95" w14:textId="77777777" w:rsidR="00187834" w:rsidRDefault="001878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ay Devanagari">
    <w:altName w:val="Times New Roman"/>
    <w:charset w:val="4D"/>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294112"/>
      <w:docPartObj>
        <w:docPartGallery w:val="Page Numbers (Bottom of Page)"/>
        <w:docPartUnique/>
      </w:docPartObj>
    </w:sdtPr>
    <w:sdtEndPr>
      <w:rPr>
        <w:noProof/>
        <w:sz w:val="16"/>
        <w:szCs w:val="22"/>
      </w:rPr>
    </w:sdtEndPr>
    <w:sdtContent>
      <w:p w14:paraId="606C6533" w14:textId="7777777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D515D5">
          <w:rPr>
            <w:noProof/>
            <w:sz w:val="16"/>
            <w:szCs w:val="22"/>
          </w:rPr>
          <w:t>4</w:t>
        </w:r>
        <w:r w:rsidRPr="00934A2C">
          <w:rPr>
            <w:noProof/>
            <w:sz w:val="16"/>
            <w:szCs w:val="22"/>
          </w:rPr>
          <w:fldChar w:fldCharType="end"/>
        </w:r>
      </w:p>
    </w:sdtContent>
  </w:sdt>
  <w:p w14:paraId="39733074"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AB328" w14:textId="77777777" w:rsidR="0070697F" w:rsidRPr="00934A2C" w:rsidRDefault="0070697F">
    <w:pPr>
      <w:pStyle w:val="Footer"/>
      <w:jc w:val="center"/>
      <w:rPr>
        <w:sz w:val="16"/>
        <w:szCs w:val="22"/>
      </w:rPr>
    </w:pPr>
  </w:p>
  <w:p w14:paraId="1D97EE6F"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FEA33" w14:textId="77777777" w:rsidR="00187834" w:rsidRPr="000F35ED" w:rsidRDefault="00187834">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2090C616" w14:textId="77777777" w:rsidR="00187834" w:rsidRPr="000F35ED" w:rsidRDefault="00187834" w:rsidP="000F35ED">
      <w:pPr>
        <w:rPr>
          <w:rFonts w:asciiTheme="majorHAnsi" w:hAnsiTheme="majorHAnsi"/>
          <w:sz w:val="16"/>
          <w:szCs w:val="16"/>
        </w:rPr>
      </w:pPr>
      <w:r w:rsidRPr="000F35ED">
        <w:rPr>
          <w:rFonts w:asciiTheme="majorHAnsi" w:hAnsiTheme="majorHAnsi"/>
          <w:sz w:val="16"/>
          <w:szCs w:val="16"/>
        </w:rPr>
        <w:separator/>
      </w:r>
    </w:p>
    <w:p w14:paraId="6D0BF243" w14:textId="77777777" w:rsidR="00187834" w:rsidRPr="000F35ED" w:rsidRDefault="00187834"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58A6113E" w14:textId="77777777" w:rsidR="00187834" w:rsidRPr="000F35ED" w:rsidRDefault="00187834"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2B1982CB" w14:textId="7BF13FD5" w:rsidR="008D4242" w:rsidRPr="005A1DC2" w:rsidRDefault="008D4242" w:rsidP="005A1DC2">
      <w:pPr>
        <w:pStyle w:val="FootnoteText"/>
        <w:rPr>
          <w:lang w:val="es-ES_tradnl"/>
        </w:rPr>
      </w:pPr>
      <w:r w:rsidRPr="005A1DC2">
        <w:rPr>
          <w:rStyle w:val="FootnoteReference"/>
        </w:rPr>
        <w:footnoteRef/>
      </w:r>
      <w:r w:rsidRPr="005A1DC2">
        <w:rPr>
          <w:lang w:val="es-ES"/>
        </w:rPr>
        <w:t xml:space="preserve"> </w:t>
      </w:r>
      <w:r w:rsidR="00941189" w:rsidRPr="005A1DC2">
        <w:rPr>
          <w:lang w:val="es-ES_tradnl"/>
        </w:rPr>
        <w:t>L</w:t>
      </w:r>
      <w:r w:rsidRPr="005A1DC2">
        <w:rPr>
          <w:lang w:val="es-ES_tradnl"/>
        </w:rPr>
        <w:t>a causal por la cual se aplicó la Resolució</w:t>
      </w:r>
      <w:r w:rsidR="00941189" w:rsidRPr="005A1DC2">
        <w:rPr>
          <w:lang w:val="es-ES_tradnl"/>
        </w:rPr>
        <w:t xml:space="preserve">n corresponde al </w:t>
      </w:r>
      <w:r w:rsidR="003567E6" w:rsidRPr="005A1DC2">
        <w:rPr>
          <w:lang w:val="es-ES_tradnl"/>
        </w:rPr>
        <w:t>siguiente</w:t>
      </w:r>
      <w:r w:rsidR="00941189" w:rsidRPr="005A1DC2">
        <w:rPr>
          <w:lang w:val="es-ES_tradnl"/>
        </w:rPr>
        <w:t xml:space="preserve"> criterio: “Peticiones en las cuales no haya </w:t>
      </w:r>
      <w:r w:rsidR="00697D86" w:rsidRPr="005A1DC2">
        <w:rPr>
          <w:lang w:val="es-ES_tradnl"/>
        </w:rPr>
        <w:t>respuesta del Estado concernido en la etapa de admisibilidad</w:t>
      </w:r>
      <w:r w:rsidR="00941189" w:rsidRPr="005A1DC2">
        <w:rPr>
          <w:lang w:val="es-ES_tradnl"/>
        </w:rPr>
        <w:t>”</w:t>
      </w:r>
      <w:r w:rsidR="00697D86" w:rsidRPr="005A1DC2">
        <w:rPr>
          <w:lang w:val="es-ES_tradnl"/>
        </w:rPr>
        <w:t>.</w:t>
      </w:r>
    </w:p>
  </w:footnote>
  <w:footnote w:id="3">
    <w:p w14:paraId="6BD4CD7A" w14:textId="74A5ABE1" w:rsidR="00ED6D2F" w:rsidRPr="005A1DC2" w:rsidRDefault="00ED6D2F" w:rsidP="005A1DC2">
      <w:pPr>
        <w:pStyle w:val="FootnoteText"/>
        <w:rPr>
          <w:color w:val="auto"/>
          <w:lang w:val="es-PE"/>
        </w:rPr>
      </w:pPr>
      <w:r w:rsidRPr="005A1DC2">
        <w:rPr>
          <w:rStyle w:val="FootnoteReference"/>
          <w:color w:val="auto"/>
        </w:rPr>
        <w:footnoteRef/>
      </w:r>
      <w:r w:rsidR="7AB0424C" w:rsidRPr="005A1DC2">
        <w:rPr>
          <w:color w:val="auto"/>
          <w:lang w:val="es-PE"/>
        </w:rPr>
        <w:t xml:space="preserve"> CIDH, Informe No. 71/16, Petición 765-09, Admisibilidad, Comunidad Q’oq’ob del Municipio de Santa María Nebaj, Guatemala, 6 de diciembre de 2016, párr. 27; Informe No. 77/20, Petición 1756-10, Inadmisibilidad, Ismael Estrada, Estados Unidos de América, 25 de marzo de 2020, párr. 8.</w:t>
      </w:r>
    </w:p>
  </w:footnote>
  <w:footnote w:id="4">
    <w:p w14:paraId="5878C3BB" w14:textId="6B2B206E" w:rsidR="00ED6D2F" w:rsidRPr="005A1DC2" w:rsidRDefault="00ED6D2F" w:rsidP="005A1DC2">
      <w:pPr>
        <w:pStyle w:val="FootnoteText"/>
        <w:rPr>
          <w:color w:val="auto"/>
          <w:lang w:val="es-CO"/>
        </w:rPr>
      </w:pPr>
      <w:r w:rsidRPr="005A1DC2">
        <w:rPr>
          <w:rStyle w:val="FootnoteReference"/>
          <w:color w:val="auto"/>
        </w:rPr>
        <w:footnoteRef/>
      </w:r>
      <w:r w:rsidR="7AB0424C" w:rsidRPr="005A1DC2">
        <w:rPr>
          <w:color w:val="auto"/>
          <w:lang w:val="es-CO"/>
        </w:rPr>
        <w:t xml:space="preserve"> CIDH, Informe No. 297/21, Caso 13.639, Admisibilidad y Fondo (Publicación), Yoani María Sánchez Cordero, Cuba, 30 de octubre de 2021;</w:t>
      </w:r>
      <w:r w:rsidR="7AB0424C" w:rsidRPr="005A1DC2">
        <w:rPr>
          <w:color w:val="auto"/>
          <w:spacing w:val="-2"/>
          <w:lang w:val="es-CO"/>
        </w:rPr>
        <w:t xml:space="preserve"> </w:t>
      </w:r>
      <w:r w:rsidR="7AB0424C" w:rsidRPr="005A1DC2">
        <w:rPr>
          <w:color w:val="auto"/>
          <w:lang w:val="es-CO"/>
        </w:rPr>
        <w:t>Informe</w:t>
      </w:r>
      <w:r w:rsidR="7AB0424C" w:rsidRPr="005A1DC2">
        <w:rPr>
          <w:color w:val="auto"/>
          <w:spacing w:val="-2"/>
          <w:lang w:val="es-CO"/>
        </w:rPr>
        <w:t xml:space="preserve"> </w:t>
      </w:r>
      <w:r w:rsidR="7AB0424C" w:rsidRPr="005A1DC2">
        <w:rPr>
          <w:color w:val="auto"/>
          <w:lang w:val="es-CO"/>
        </w:rPr>
        <w:t>No.</w:t>
      </w:r>
      <w:r w:rsidR="7AB0424C" w:rsidRPr="005A1DC2">
        <w:rPr>
          <w:color w:val="auto"/>
          <w:spacing w:val="-2"/>
          <w:lang w:val="es-CO"/>
        </w:rPr>
        <w:t xml:space="preserve"> </w:t>
      </w:r>
      <w:r w:rsidR="7AB0424C" w:rsidRPr="005A1DC2">
        <w:rPr>
          <w:color w:val="auto"/>
          <w:lang w:val="es-CO"/>
        </w:rPr>
        <w:t>67/06,</w:t>
      </w:r>
      <w:r w:rsidR="7AB0424C" w:rsidRPr="005A1DC2">
        <w:rPr>
          <w:color w:val="auto"/>
          <w:spacing w:val="-3"/>
          <w:lang w:val="es-CO"/>
        </w:rPr>
        <w:t xml:space="preserve"> </w:t>
      </w:r>
      <w:r w:rsidR="7AB0424C" w:rsidRPr="005A1DC2">
        <w:rPr>
          <w:color w:val="auto"/>
          <w:lang w:val="es-CO"/>
        </w:rPr>
        <w:t>Caso</w:t>
      </w:r>
      <w:r w:rsidR="7AB0424C" w:rsidRPr="005A1DC2">
        <w:rPr>
          <w:color w:val="auto"/>
          <w:spacing w:val="-3"/>
          <w:lang w:val="es-CO"/>
        </w:rPr>
        <w:t xml:space="preserve"> </w:t>
      </w:r>
      <w:r w:rsidR="7AB0424C" w:rsidRPr="005A1DC2">
        <w:rPr>
          <w:color w:val="auto"/>
          <w:lang w:val="es-CO"/>
        </w:rPr>
        <w:t>12.476,</w:t>
      </w:r>
      <w:r w:rsidR="7AB0424C" w:rsidRPr="005A1DC2">
        <w:rPr>
          <w:color w:val="auto"/>
          <w:spacing w:val="-2"/>
          <w:lang w:val="es-CO"/>
        </w:rPr>
        <w:t xml:space="preserve"> </w:t>
      </w:r>
      <w:r w:rsidR="7AB0424C" w:rsidRPr="005A1DC2">
        <w:rPr>
          <w:color w:val="auto"/>
          <w:lang w:val="es-CO"/>
        </w:rPr>
        <w:t>Fondo,</w:t>
      </w:r>
      <w:r w:rsidR="7AB0424C" w:rsidRPr="005A1DC2">
        <w:rPr>
          <w:color w:val="auto"/>
          <w:spacing w:val="-2"/>
          <w:lang w:val="es-CO"/>
        </w:rPr>
        <w:t xml:space="preserve"> </w:t>
      </w:r>
      <w:r w:rsidR="7AB0424C" w:rsidRPr="7AB0424C">
        <w:rPr>
          <w:color w:val="auto"/>
          <w:lang w:val="es-CO"/>
        </w:rPr>
        <w:t>Oscar</w:t>
      </w:r>
      <w:r w:rsidR="7AB0424C" w:rsidRPr="7AB0424C">
        <w:rPr>
          <w:color w:val="auto"/>
          <w:spacing w:val="-3"/>
          <w:lang w:val="es-CO"/>
        </w:rPr>
        <w:t xml:space="preserve"> </w:t>
      </w:r>
      <w:r w:rsidR="7AB0424C" w:rsidRPr="7AB0424C">
        <w:rPr>
          <w:color w:val="auto"/>
          <w:lang w:val="es-CO"/>
        </w:rPr>
        <w:t>Elías</w:t>
      </w:r>
      <w:r w:rsidR="7AB0424C" w:rsidRPr="7AB0424C">
        <w:rPr>
          <w:color w:val="auto"/>
          <w:spacing w:val="-2"/>
          <w:lang w:val="es-CO"/>
        </w:rPr>
        <w:t xml:space="preserve"> </w:t>
      </w:r>
      <w:r w:rsidR="7AB0424C" w:rsidRPr="7AB0424C">
        <w:rPr>
          <w:color w:val="auto"/>
          <w:lang w:val="es-CO"/>
        </w:rPr>
        <w:t>Biscet</w:t>
      </w:r>
      <w:r w:rsidR="7AB0424C" w:rsidRPr="7AB0424C">
        <w:rPr>
          <w:color w:val="auto"/>
          <w:spacing w:val="-2"/>
          <w:lang w:val="es-CO"/>
        </w:rPr>
        <w:t xml:space="preserve"> </w:t>
      </w:r>
      <w:r w:rsidR="7AB0424C" w:rsidRPr="7AB0424C">
        <w:rPr>
          <w:color w:val="auto"/>
          <w:lang w:val="es-CO"/>
        </w:rPr>
        <w:t>y</w:t>
      </w:r>
      <w:r w:rsidR="7AB0424C" w:rsidRPr="7AB0424C">
        <w:rPr>
          <w:color w:val="auto"/>
          <w:spacing w:val="-3"/>
          <w:lang w:val="es-CO"/>
        </w:rPr>
        <w:t xml:space="preserve"> </w:t>
      </w:r>
      <w:r w:rsidR="7AB0424C" w:rsidRPr="7AB0424C">
        <w:rPr>
          <w:color w:val="auto"/>
          <w:lang w:val="es-CO"/>
        </w:rPr>
        <w:t>Otros</w:t>
      </w:r>
      <w:r w:rsidR="7AB0424C" w:rsidRPr="7AB0424C">
        <w:rPr>
          <w:color w:val="auto"/>
          <w:spacing w:val="-2"/>
          <w:lang w:val="es-CO"/>
        </w:rPr>
        <w:t xml:space="preserve"> </w:t>
      </w:r>
      <w:r w:rsidR="7AB0424C" w:rsidRPr="7AB0424C">
        <w:rPr>
          <w:color w:val="auto"/>
          <w:lang w:val="es-CO"/>
        </w:rPr>
        <w:t>v.</w:t>
      </w:r>
      <w:r w:rsidR="7AB0424C" w:rsidRPr="7AB0424C">
        <w:rPr>
          <w:color w:val="auto"/>
          <w:spacing w:val="-3"/>
          <w:lang w:val="es-CO"/>
        </w:rPr>
        <w:t xml:space="preserve"> </w:t>
      </w:r>
      <w:r w:rsidR="7AB0424C" w:rsidRPr="7AB0424C">
        <w:rPr>
          <w:color w:val="auto"/>
          <w:lang w:val="es-CO"/>
        </w:rPr>
        <w:t>Cuba,</w:t>
      </w:r>
      <w:r w:rsidR="7AB0424C" w:rsidRPr="005A1DC2">
        <w:rPr>
          <w:color w:val="auto"/>
          <w:spacing w:val="-2"/>
          <w:lang w:val="es-CO"/>
        </w:rPr>
        <w:t xml:space="preserve"> </w:t>
      </w:r>
      <w:r w:rsidR="7AB0424C" w:rsidRPr="005A1DC2">
        <w:rPr>
          <w:color w:val="auto"/>
          <w:lang w:val="es-CO"/>
        </w:rPr>
        <w:t>21</w:t>
      </w:r>
      <w:r w:rsidR="7AB0424C" w:rsidRPr="005A1DC2">
        <w:rPr>
          <w:color w:val="auto"/>
          <w:spacing w:val="-3"/>
          <w:lang w:val="es-CO"/>
        </w:rPr>
        <w:t xml:space="preserve"> </w:t>
      </w:r>
      <w:r w:rsidR="7AB0424C" w:rsidRPr="005A1DC2">
        <w:rPr>
          <w:color w:val="auto"/>
          <w:lang w:val="es-CO"/>
        </w:rPr>
        <w:t>de</w:t>
      </w:r>
      <w:r w:rsidR="7AB0424C" w:rsidRPr="005A1DC2">
        <w:rPr>
          <w:color w:val="auto"/>
          <w:spacing w:val="-3"/>
          <w:lang w:val="es-CO"/>
        </w:rPr>
        <w:t xml:space="preserve"> </w:t>
      </w:r>
      <w:r w:rsidR="7AB0424C" w:rsidRPr="005A1DC2">
        <w:rPr>
          <w:color w:val="auto"/>
          <w:lang w:val="es-CO"/>
        </w:rPr>
        <w:t>octubre</w:t>
      </w:r>
      <w:r w:rsidR="7AB0424C" w:rsidRPr="005A1DC2">
        <w:rPr>
          <w:color w:val="auto"/>
          <w:spacing w:val="-3"/>
          <w:lang w:val="es-CO"/>
        </w:rPr>
        <w:t xml:space="preserve"> </w:t>
      </w:r>
      <w:r w:rsidR="7AB0424C" w:rsidRPr="005A1DC2">
        <w:rPr>
          <w:color w:val="auto"/>
          <w:lang w:val="es-CO"/>
        </w:rPr>
        <w:t>de</w:t>
      </w:r>
      <w:r w:rsidR="7AB0424C" w:rsidRPr="005A1DC2">
        <w:rPr>
          <w:color w:val="auto"/>
          <w:spacing w:val="-4"/>
          <w:lang w:val="es-CO"/>
        </w:rPr>
        <w:t xml:space="preserve"> </w:t>
      </w:r>
      <w:r w:rsidR="7AB0424C" w:rsidRPr="005A1DC2">
        <w:rPr>
          <w:color w:val="auto"/>
          <w:lang w:val="es-CO"/>
        </w:rPr>
        <w:t xml:space="preserve">2006; </w:t>
      </w:r>
      <w:r w:rsidR="7AB0424C" w:rsidRPr="00A4057E">
        <w:rPr>
          <w:color w:val="auto"/>
          <w:lang w:val="es-US"/>
        </w:rPr>
        <w:t>Informe No. 27/18, Caso N</w:t>
      </w:r>
      <w:r w:rsidR="7AB0424C">
        <w:rPr>
          <w:color w:val="auto"/>
          <w:lang w:val="es-US"/>
        </w:rPr>
        <w:t>o.</w:t>
      </w:r>
      <w:r w:rsidR="7AB0424C" w:rsidRPr="00A4057E">
        <w:rPr>
          <w:color w:val="auto"/>
          <w:lang w:val="es-US"/>
        </w:rPr>
        <w:t xml:space="preserve"> 12.127, </w:t>
      </w:r>
      <w:r w:rsidR="7AB0424C" w:rsidRPr="005A1DC2">
        <w:rPr>
          <w:color w:val="auto"/>
          <w:lang w:val="es-PE"/>
        </w:rPr>
        <w:t xml:space="preserve">Fondo, Vladimiro Roca Antúnez y Otros, Cuba, 24 de febrero de 2018; </w:t>
      </w:r>
      <w:r w:rsidR="7AB0424C" w:rsidRPr="005A1DC2">
        <w:rPr>
          <w:color w:val="auto"/>
          <w:lang w:val="es-CO"/>
        </w:rPr>
        <w:t>e Informe de País 2020, Cuba, Situación de Derechos Huma</w:t>
      </w:r>
      <w:r w:rsidR="7AB0424C">
        <w:rPr>
          <w:color w:val="auto"/>
          <w:lang w:val="es-CO"/>
        </w:rPr>
        <w:t>n</w:t>
      </w:r>
      <w:r w:rsidR="7AB0424C" w:rsidRPr="005A1DC2">
        <w:rPr>
          <w:color w:val="auto"/>
          <w:lang w:val="es-CO"/>
        </w:rPr>
        <w:t xml:space="preserve">os en Cuba. </w:t>
      </w:r>
    </w:p>
  </w:footnote>
  <w:footnote w:id="5">
    <w:p w14:paraId="2BF9B0C8" w14:textId="1CEF11B0" w:rsidR="00ED6D2F" w:rsidRPr="005A1DC2" w:rsidRDefault="00ED6D2F" w:rsidP="005A1DC2">
      <w:pPr>
        <w:pStyle w:val="FootnoteText"/>
        <w:rPr>
          <w:color w:val="auto"/>
          <w:lang w:val="es-CO"/>
        </w:rPr>
      </w:pPr>
      <w:r w:rsidRPr="005A1DC2">
        <w:rPr>
          <w:rStyle w:val="FootnoteReference"/>
          <w:color w:val="auto"/>
        </w:rPr>
        <w:footnoteRef/>
      </w:r>
      <w:r w:rsidR="7AB0424C" w:rsidRPr="005A1DC2">
        <w:rPr>
          <w:color w:val="auto"/>
          <w:lang w:val="es-CO"/>
        </w:rPr>
        <w:t xml:space="preserve"> CIDH, Informe de País 2020, Situación de Derechos Humanos en Cuba, párr. 25. </w:t>
      </w:r>
    </w:p>
  </w:footnote>
  <w:footnote w:id="6">
    <w:p w14:paraId="24FFA5F3" w14:textId="77777777" w:rsidR="00ED6D2F" w:rsidRPr="005A1DC2" w:rsidRDefault="00ED6D2F" w:rsidP="005A1DC2">
      <w:pPr>
        <w:pStyle w:val="FootnoteText"/>
        <w:rPr>
          <w:color w:val="auto"/>
          <w:lang w:val="es-CO"/>
        </w:rPr>
      </w:pPr>
      <w:r w:rsidRPr="005A1DC2">
        <w:rPr>
          <w:rStyle w:val="FootnoteReference"/>
          <w:color w:val="auto"/>
        </w:rPr>
        <w:footnoteRef/>
      </w:r>
      <w:r w:rsidRPr="00762485">
        <w:rPr>
          <w:color w:val="auto"/>
          <w:lang w:val="pt-BR"/>
        </w:rPr>
        <w:t xml:space="preserve"> CIDH,</w:t>
      </w:r>
      <w:r w:rsidRPr="00762485">
        <w:rPr>
          <w:color w:val="auto"/>
          <w:spacing w:val="-3"/>
          <w:lang w:val="pt-BR"/>
        </w:rPr>
        <w:t xml:space="preserve"> </w:t>
      </w:r>
      <w:r w:rsidRPr="00762485">
        <w:rPr>
          <w:color w:val="auto"/>
          <w:lang w:val="pt-BR"/>
        </w:rPr>
        <w:t>Informe</w:t>
      </w:r>
      <w:r w:rsidRPr="00762485">
        <w:rPr>
          <w:color w:val="auto"/>
          <w:spacing w:val="-3"/>
          <w:lang w:val="pt-BR"/>
        </w:rPr>
        <w:t xml:space="preserve"> </w:t>
      </w:r>
      <w:r w:rsidRPr="00762485">
        <w:rPr>
          <w:color w:val="auto"/>
          <w:lang w:val="pt-BR"/>
        </w:rPr>
        <w:t>Anual</w:t>
      </w:r>
      <w:r w:rsidRPr="00762485">
        <w:rPr>
          <w:color w:val="auto"/>
          <w:spacing w:val="-3"/>
          <w:lang w:val="pt-BR"/>
        </w:rPr>
        <w:t xml:space="preserve"> </w:t>
      </w:r>
      <w:r w:rsidRPr="00762485">
        <w:rPr>
          <w:color w:val="auto"/>
          <w:lang w:val="pt-BR"/>
        </w:rPr>
        <w:t>2018,</w:t>
      </w:r>
      <w:r w:rsidRPr="00762485">
        <w:rPr>
          <w:color w:val="auto"/>
          <w:spacing w:val="-2"/>
          <w:lang w:val="pt-BR"/>
        </w:rPr>
        <w:t xml:space="preserve"> </w:t>
      </w:r>
      <w:r w:rsidRPr="00762485">
        <w:rPr>
          <w:color w:val="auto"/>
          <w:lang w:val="pt-BR"/>
        </w:rPr>
        <w:t>Capítulo</w:t>
      </w:r>
      <w:r w:rsidRPr="00762485">
        <w:rPr>
          <w:color w:val="auto"/>
          <w:spacing w:val="-4"/>
          <w:lang w:val="pt-BR"/>
        </w:rPr>
        <w:t xml:space="preserve"> </w:t>
      </w:r>
      <w:r w:rsidRPr="00762485">
        <w:rPr>
          <w:color w:val="auto"/>
          <w:lang w:val="pt-BR"/>
        </w:rPr>
        <w:t>IV.B,</w:t>
      </w:r>
      <w:r w:rsidRPr="00762485">
        <w:rPr>
          <w:color w:val="auto"/>
          <w:spacing w:val="-3"/>
          <w:lang w:val="pt-BR"/>
        </w:rPr>
        <w:t xml:space="preserve"> </w:t>
      </w:r>
      <w:r w:rsidRPr="00762485">
        <w:rPr>
          <w:color w:val="auto"/>
          <w:lang w:val="pt-BR"/>
        </w:rPr>
        <w:t>“Cuba”,</w:t>
      </w:r>
      <w:r w:rsidRPr="00762485">
        <w:rPr>
          <w:color w:val="auto"/>
          <w:spacing w:val="-2"/>
          <w:lang w:val="pt-BR"/>
        </w:rPr>
        <w:t xml:space="preserve"> </w:t>
      </w:r>
      <w:r w:rsidRPr="00762485">
        <w:rPr>
          <w:color w:val="auto"/>
          <w:lang w:val="pt-BR"/>
        </w:rPr>
        <w:t>párr.</w:t>
      </w:r>
      <w:r w:rsidRPr="00762485">
        <w:rPr>
          <w:color w:val="auto"/>
          <w:spacing w:val="-3"/>
          <w:lang w:val="pt-BR"/>
        </w:rPr>
        <w:t xml:space="preserve"> </w:t>
      </w:r>
      <w:r w:rsidRPr="005A1DC2">
        <w:rPr>
          <w:color w:val="auto"/>
          <w:lang w:val="es-CO"/>
        </w:rPr>
        <w:t>20.</w:t>
      </w:r>
    </w:p>
  </w:footnote>
  <w:footnote w:id="7">
    <w:p w14:paraId="7E8E2514" w14:textId="77777777" w:rsidR="00ED6D2F" w:rsidRPr="005A1DC2" w:rsidRDefault="00ED6D2F" w:rsidP="005A1DC2">
      <w:pPr>
        <w:pStyle w:val="FootnoteText"/>
        <w:rPr>
          <w:color w:val="auto"/>
          <w:lang w:val="es-ES"/>
        </w:rPr>
      </w:pPr>
      <w:r w:rsidRPr="005A1DC2">
        <w:rPr>
          <w:rStyle w:val="FootnoteReference"/>
          <w:color w:val="auto"/>
        </w:rPr>
        <w:footnoteRef/>
      </w:r>
      <w:r w:rsidRPr="005A1DC2">
        <w:rPr>
          <w:color w:val="auto"/>
          <w:lang w:val="es-CO"/>
        </w:rPr>
        <w:t xml:space="preserve"> CIDH,</w:t>
      </w:r>
      <w:r w:rsidRPr="005A1DC2">
        <w:rPr>
          <w:color w:val="auto"/>
          <w:spacing w:val="-3"/>
          <w:lang w:val="es-CO"/>
        </w:rPr>
        <w:t xml:space="preserve"> </w:t>
      </w:r>
      <w:r w:rsidRPr="005A1DC2">
        <w:rPr>
          <w:color w:val="auto"/>
          <w:lang w:val="es-CO"/>
        </w:rPr>
        <w:t>Informe</w:t>
      </w:r>
      <w:r w:rsidRPr="005A1DC2">
        <w:rPr>
          <w:color w:val="auto"/>
          <w:spacing w:val="-2"/>
          <w:lang w:val="es-CO"/>
        </w:rPr>
        <w:t xml:space="preserve"> </w:t>
      </w:r>
      <w:r w:rsidRPr="005A1DC2">
        <w:rPr>
          <w:color w:val="auto"/>
          <w:lang w:val="es-CO"/>
        </w:rPr>
        <w:t>Anual</w:t>
      </w:r>
      <w:r w:rsidRPr="005A1DC2">
        <w:rPr>
          <w:color w:val="auto"/>
          <w:spacing w:val="-3"/>
          <w:lang w:val="es-CO"/>
        </w:rPr>
        <w:t xml:space="preserve"> </w:t>
      </w:r>
      <w:r w:rsidRPr="005A1DC2">
        <w:rPr>
          <w:color w:val="auto"/>
          <w:lang w:val="es-CO"/>
        </w:rPr>
        <w:t>1997,</w:t>
      </w:r>
      <w:r w:rsidRPr="005A1DC2">
        <w:rPr>
          <w:color w:val="auto"/>
          <w:spacing w:val="-2"/>
          <w:lang w:val="es-CO"/>
        </w:rPr>
        <w:t xml:space="preserve"> </w:t>
      </w:r>
      <w:r w:rsidRPr="005A1DC2">
        <w:rPr>
          <w:color w:val="auto"/>
          <w:lang w:val="es-CO"/>
        </w:rPr>
        <w:t>Capítulo</w:t>
      </w:r>
      <w:r w:rsidRPr="005A1DC2">
        <w:rPr>
          <w:color w:val="auto"/>
          <w:spacing w:val="-4"/>
          <w:lang w:val="es-CO"/>
        </w:rPr>
        <w:t xml:space="preserve"> </w:t>
      </w:r>
      <w:r w:rsidRPr="005A1DC2">
        <w:rPr>
          <w:color w:val="auto"/>
          <w:lang w:val="es-CO"/>
        </w:rPr>
        <w:t>V,</w:t>
      </w:r>
      <w:r w:rsidRPr="005A1DC2">
        <w:rPr>
          <w:color w:val="auto"/>
          <w:spacing w:val="-2"/>
          <w:lang w:val="es-CO"/>
        </w:rPr>
        <w:t xml:space="preserve"> </w:t>
      </w:r>
      <w:r w:rsidRPr="005A1DC2">
        <w:rPr>
          <w:color w:val="auto"/>
          <w:lang w:val="es-CO"/>
        </w:rPr>
        <w:t>“Desarrollo</w:t>
      </w:r>
      <w:r w:rsidRPr="005A1DC2">
        <w:rPr>
          <w:color w:val="auto"/>
          <w:spacing w:val="-4"/>
          <w:lang w:val="es-CO"/>
        </w:rPr>
        <w:t xml:space="preserve"> </w:t>
      </w:r>
      <w:r w:rsidRPr="005A1DC2">
        <w:rPr>
          <w:color w:val="auto"/>
          <w:lang w:val="es-CO"/>
        </w:rPr>
        <w:t>de</w:t>
      </w:r>
      <w:r w:rsidRPr="005A1DC2">
        <w:rPr>
          <w:color w:val="auto"/>
          <w:spacing w:val="-2"/>
          <w:lang w:val="es-CO"/>
        </w:rPr>
        <w:t xml:space="preserve"> </w:t>
      </w:r>
      <w:r w:rsidRPr="005A1DC2">
        <w:rPr>
          <w:color w:val="auto"/>
          <w:lang w:val="es-CO"/>
        </w:rPr>
        <w:t>los</w:t>
      </w:r>
      <w:r w:rsidRPr="005A1DC2">
        <w:rPr>
          <w:color w:val="auto"/>
          <w:spacing w:val="-3"/>
          <w:lang w:val="es-CO"/>
        </w:rPr>
        <w:t xml:space="preserve"> </w:t>
      </w:r>
      <w:r w:rsidRPr="005A1DC2">
        <w:rPr>
          <w:color w:val="auto"/>
          <w:lang w:val="es-CO"/>
        </w:rPr>
        <w:t>derechos</w:t>
      </w:r>
      <w:r w:rsidRPr="005A1DC2">
        <w:rPr>
          <w:color w:val="auto"/>
          <w:spacing w:val="-2"/>
          <w:lang w:val="es-CO"/>
        </w:rPr>
        <w:t xml:space="preserve"> </w:t>
      </w:r>
      <w:r w:rsidRPr="005A1DC2">
        <w:rPr>
          <w:color w:val="auto"/>
          <w:lang w:val="es-CO"/>
        </w:rPr>
        <w:t>humanos</w:t>
      </w:r>
      <w:r w:rsidRPr="005A1DC2">
        <w:rPr>
          <w:color w:val="auto"/>
          <w:spacing w:val="-3"/>
          <w:lang w:val="es-CO"/>
        </w:rPr>
        <w:t xml:space="preserve"> </w:t>
      </w:r>
      <w:r w:rsidRPr="005A1DC2">
        <w:rPr>
          <w:color w:val="auto"/>
          <w:lang w:val="es-CO"/>
        </w:rPr>
        <w:t>en</w:t>
      </w:r>
      <w:r w:rsidRPr="005A1DC2">
        <w:rPr>
          <w:color w:val="auto"/>
          <w:spacing w:val="-3"/>
          <w:lang w:val="es-CO"/>
        </w:rPr>
        <w:t xml:space="preserve"> </w:t>
      </w:r>
      <w:r w:rsidRPr="005A1DC2">
        <w:rPr>
          <w:color w:val="auto"/>
          <w:lang w:val="es-CO"/>
        </w:rPr>
        <w:t>la</w:t>
      </w:r>
      <w:r w:rsidRPr="005A1DC2">
        <w:rPr>
          <w:color w:val="auto"/>
          <w:spacing w:val="-3"/>
          <w:lang w:val="es-CO"/>
        </w:rPr>
        <w:t xml:space="preserve"> </w:t>
      </w:r>
      <w:r w:rsidRPr="005A1DC2">
        <w:rPr>
          <w:color w:val="auto"/>
          <w:lang w:val="es-CO"/>
        </w:rPr>
        <w:t>región”,</w:t>
      </w:r>
      <w:r w:rsidRPr="005A1DC2">
        <w:rPr>
          <w:color w:val="auto"/>
          <w:spacing w:val="-2"/>
          <w:lang w:val="es-CO"/>
        </w:rPr>
        <w:t xml:space="preserve"> </w:t>
      </w:r>
      <w:r w:rsidRPr="005A1DC2">
        <w:rPr>
          <w:color w:val="auto"/>
          <w:lang w:val="es-CO"/>
        </w:rPr>
        <w:t>párr.</w:t>
      </w:r>
      <w:r w:rsidRPr="005A1DC2">
        <w:rPr>
          <w:color w:val="auto"/>
          <w:spacing w:val="-3"/>
          <w:lang w:val="es-CO"/>
        </w:rPr>
        <w:t xml:space="preserve"> </w:t>
      </w:r>
      <w:r w:rsidRPr="005A1DC2">
        <w:rPr>
          <w:color w:val="auto"/>
          <w:lang w:val="es-CO"/>
        </w:rPr>
        <w:t>5.</w:t>
      </w:r>
    </w:p>
  </w:footnote>
  <w:footnote w:id="8">
    <w:p w14:paraId="2E316D3F" w14:textId="77777777" w:rsidR="00ED6D2F" w:rsidRPr="005A1DC2" w:rsidRDefault="00ED6D2F" w:rsidP="005A1DC2">
      <w:pPr>
        <w:pStyle w:val="FootnoteText"/>
        <w:rPr>
          <w:color w:val="auto"/>
          <w:lang w:val="es-ES"/>
        </w:rPr>
      </w:pPr>
      <w:r w:rsidRPr="005A1DC2">
        <w:rPr>
          <w:rStyle w:val="FootnoteReference"/>
          <w:color w:val="auto"/>
        </w:rPr>
        <w:footnoteRef/>
      </w:r>
      <w:r w:rsidRPr="005A1DC2">
        <w:rPr>
          <w:color w:val="auto"/>
          <w:lang w:val="es-CO"/>
        </w:rPr>
        <w:t xml:space="preserve"> Relatoría</w:t>
      </w:r>
      <w:r w:rsidRPr="005A1DC2">
        <w:rPr>
          <w:color w:val="auto"/>
          <w:spacing w:val="-2"/>
          <w:lang w:val="es-CO"/>
        </w:rPr>
        <w:t xml:space="preserve"> </w:t>
      </w:r>
      <w:r w:rsidRPr="005A1DC2">
        <w:rPr>
          <w:color w:val="auto"/>
          <w:lang w:val="es-CO"/>
        </w:rPr>
        <w:t>Especial</w:t>
      </w:r>
      <w:r w:rsidRPr="005A1DC2">
        <w:rPr>
          <w:color w:val="auto"/>
          <w:spacing w:val="-3"/>
          <w:lang w:val="es-CO"/>
        </w:rPr>
        <w:t xml:space="preserve"> </w:t>
      </w:r>
      <w:r w:rsidRPr="005A1DC2">
        <w:rPr>
          <w:color w:val="auto"/>
          <w:lang w:val="es-CO"/>
        </w:rPr>
        <w:t>para</w:t>
      </w:r>
      <w:r w:rsidRPr="005A1DC2">
        <w:rPr>
          <w:color w:val="auto"/>
          <w:spacing w:val="-2"/>
          <w:lang w:val="es-CO"/>
        </w:rPr>
        <w:t xml:space="preserve"> </w:t>
      </w:r>
      <w:r w:rsidRPr="005A1DC2">
        <w:rPr>
          <w:color w:val="auto"/>
          <w:lang w:val="es-CO"/>
        </w:rPr>
        <w:t>la</w:t>
      </w:r>
      <w:r w:rsidRPr="005A1DC2">
        <w:rPr>
          <w:color w:val="auto"/>
          <w:spacing w:val="-3"/>
          <w:lang w:val="es-CO"/>
        </w:rPr>
        <w:t xml:space="preserve"> </w:t>
      </w:r>
      <w:r w:rsidRPr="005A1DC2">
        <w:rPr>
          <w:color w:val="auto"/>
          <w:lang w:val="es-CO"/>
        </w:rPr>
        <w:t>Libertad</w:t>
      </w:r>
      <w:r w:rsidRPr="005A1DC2">
        <w:rPr>
          <w:color w:val="auto"/>
          <w:spacing w:val="-3"/>
          <w:lang w:val="es-CO"/>
        </w:rPr>
        <w:t xml:space="preserve"> </w:t>
      </w:r>
      <w:r w:rsidRPr="005A1DC2">
        <w:rPr>
          <w:color w:val="auto"/>
          <w:lang w:val="es-CO"/>
        </w:rPr>
        <w:t>de</w:t>
      </w:r>
      <w:r w:rsidRPr="005A1DC2">
        <w:rPr>
          <w:color w:val="auto"/>
          <w:spacing w:val="-4"/>
          <w:lang w:val="es-CO"/>
        </w:rPr>
        <w:t xml:space="preserve"> </w:t>
      </w:r>
      <w:r w:rsidRPr="005A1DC2">
        <w:rPr>
          <w:color w:val="auto"/>
          <w:lang w:val="es-CO"/>
        </w:rPr>
        <w:t>Expresión</w:t>
      </w:r>
      <w:r w:rsidRPr="005A1DC2">
        <w:rPr>
          <w:color w:val="auto"/>
          <w:spacing w:val="-3"/>
          <w:lang w:val="es-CO"/>
        </w:rPr>
        <w:t xml:space="preserve"> </w:t>
      </w:r>
      <w:r w:rsidRPr="005A1DC2">
        <w:rPr>
          <w:color w:val="auto"/>
          <w:lang w:val="es-CO"/>
        </w:rPr>
        <w:t>de</w:t>
      </w:r>
      <w:r w:rsidRPr="005A1DC2">
        <w:rPr>
          <w:color w:val="auto"/>
          <w:spacing w:val="-3"/>
          <w:lang w:val="es-CO"/>
        </w:rPr>
        <w:t xml:space="preserve"> </w:t>
      </w:r>
      <w:r w:rsidRPr="005A1DC2">
        <w:rPr>
          <w:color w:val="auto"/>
          <w:lang w:val="es-CO"/>
        </w:rPr>
        <w:t>la</w:t>
      </w:r>
      <w:r w:rsidRPr="005A1DC2">
        <w:rPr>
          <w:color w:val="auto"/>
          <w:spacing w:val="-4"/>
          <w:lang w:val="es-CO"/>
        </w:rPr>
        <w:t xml:space="preserve"> </w:t>
      </w:r>
      <w:r w:rsidRPr="005A1DC2">
        <w:rPr>
          <w:color w:val="auto"/>
          <w:lang w:val="es-CO"/>
        </w:rPr>
        <w:t>CIDH,</w:t>
      </w:r>
      <w:r w:rsidRPr="005A1DC2">
        <w:rPr>
          <w:color w:val="auto"/>
          <w:spacing w:val="-2"/>
          <w:lang w:val="es-CO"/>
        </w:rPr>
        <w:t xml:space="preserve"> </w:t>
      </w:r>
      <w:r w:rsidRPr="005A1DC2">
        <w:rPr>
          <w:color w:val="auto"/>
          <w:lang w:val="es-CO"/>
        </w:rPr>
        <w:t>Informe</w:t>
      </w:r>
      <w:r w:rsidRPr="005A1DC2">
        <w:rPr>
          <w:color w:val="auto"/>
          <w:spacing w:val="-3"/>
          <w:lang w:val="es-CO"/>
        </w:rPr>
        <w:t xml:space="preserve"> </w:t>
      </w:r>
      <w:r w:rsidRPr="005A1DC2">
        <w:rPr>
          <w:color w:val="auto"/>
          <w:lang w:val="es-CO"/>
        </w:rPr>
        <w:t>Especial</w:t>
      </w:r>
      <w:r w:rsidRPr="005A1DC2">
        <w:rPr>
          <w:color w:val="auto"/>
          <w:spacing w:val="-2"/>
          <w:lang w:val="es-CO"/>
        </w:rPr>
        <w:t xml:space="preserve"> </w:t>
      </w:r>
      <w:r w:rsidRPr="005A1DC2">
        <w:rPr>
          <w:color w:val="auto"/>
          <w:lang w:val="es-CO"/>
        </w:rPr>
        <w:t>de</w:t>
      </w:r>
      <w:r w:rsidRPr="005A1DC2">
        <w:rPr>
          <w:color w:val="auto"/>
          <w:spacing w:val="-3"/>
          <w:lang w:val="es-CO"/>
        </w:rPr>
        <w:t xml:space="preserve"> </w:t>
      </w:r>
      <w:r w:rsidRPr="005A1DC2">
        <w:rPr>
          <w:color w:val="auto"/>
          <w:lang w:val="es-CO"/>
        </w:rPr>
        <w:t>País</w:t>
      </w:r>
      <w:r w:rsidRPr="005A1DC2">
        <w:rPr>
          <w:color w:val="auto"/>
          <w:spacing w:val="-2"/>
          <w:lang w:val="es-CO"/>
        </w:rPr>
        <w:t xml:space="preserve"> </w:t>
      </w:r>
      <w:r w:rsidRPr="005A1DC2">
        <w:rPr>
          <w:color w:val="auto"/>
          <w:lang w:val="es-CO"/>
        </w:rPr>
        <w:t>(2019),</w:t>
      </w:r>
      <w:r w:rsidRPr="005A1DC2">
        <w:rPr>
          <w:color w:val="auto"/>
          <w:spacing w:val="-3"/>
          <w:lang w:val="es-CO"/>
        </w:rPr>
        <w:t xml:space="preserve"> </w:t>
      </w:r>
      <w:r w:rsidRPr="005A1DC2">
        <w:rPr>
          <w:color w:val="auto"/>
          <w:lang w:val="es-CO"/>
        </w:rPr>
        <w:t>párr.</w:t>
      </w:r>
      <w:r w:rsidRPr="005A1DC2">
        <w:rPr>
          <w:color w:val="auto"/>
          <w:spacing w:val="-2"/>
          <w:lang w:val="es-CO"/>
        </w:rPr>
        <w:t xml:space="preserve"> </w:t>
      </w:r>
      <w:r w:rsidRPr="005A1DC2">
        <w:rPr>
          <w:color w:val="auto"/>
          <w:lang w:val="es-CO"/>
        </w:rPr>
        <w:t>246.</w:t>
      </w:r>
    </w:p>
  </w:footnote>
  <w:footnote w:id="9">
    <w:p w14:paraId="3938E2D4" w14:textId="77777777" w:rsidR="00ED6D2F" w:rsidRPr="005A1DC2" w:rsidRDefault="00ED6D2F" w:rsidP="005A1DC2">
      <w:pPr>
        <w:jc w:val="both"/>
        <w:rPr>
          <w:rFonts w:asciiTheme="majorHAnsi" w:hAnsiTheme="majorHAnsi"/>
          <w:sz w:val="16"/>
          <w:szCs w:val="16"/>
          <w:lang w:val="es-AR"/>
        </w:rPr>
      </w:pPr>
      <w:r w:rsidRPr="005A1DC2">
        <w:rPr>
          <w:rStyle w:val="FootnoteReference"/>
          <w:rFonts w:asciiTheme="majorHAnsi" w:hAnsiTheme="majorHAnsi"/>
          <w:sz w:val="16"/>
          <w:szCs w:val="16"/>
        </w:rPr>
        <w:footnoteRef/>
      </w:r>
      <w:r w:rsidRPr="005A1DC2">
        <w:rPr>
          <w:rFonts w:asciiTheme="majorHAnsi" w:hAnsiTheme="majorHAnsi"/>
          <w:sz w:val="16"/>
          <w:szCs w:val="16"/>
          <w:lang w:val="es-AR"/>
        </w:rPr>
        <w:t xml:space="preserve"> Relatoría</w:t>
      </w:r>
      <w:r w:rsidRPr="005A1DC2">
        <w:rPr>
          <w:rFonts w:asciiTheme="majorHAnsi" w:hAnsiTheme="majorHAnsi"/>
          <w:spacing w:val="-2"/>
          <w:sz w:val="16"/>
          <w:szCs w:val="16"/>
          <w:lang w:val="es-AR"/>
        </w:rPr>
        <w:t xml:space="preserve"> </w:t>
      </w:r>
      <w:r w:rsidRPr="005A1DC2">
        <w:rPr>
          <w:rFonts w:asciiTheme="majorHAnsi" w:hAnsiTheme="majorHAnsi"/>
          <w:sz w:val="16"/>
          <w:szCs w:val="16"/>
          <w:lang w:val="es-AR"/>
        </w:rPr>
        <w:t>Especial</w:t>
      </w:r>
      <w:r w:rsidRPr="005A1DC2">
        <w:rPr>
          <w:rFonts w:asciiTheme="majorHAnsi" w:hAnsiTheme="majorHAnsi"/>
          <w:spacing w:val="-3"/>
          <w:sz w:val="16"/>
          <w:szCs w:val="16"/>
          <w:lang w:val="es-AR"/>
        </w:rPr>
        <w:t xml:space="preserve"> </w:t>
      </w:r>
      <w:r w:rsidRPr="005A1DC2">
        <w:rPr>
          <w:rFonts w:asciiTheme="majorHAnsi" w:hAnsiTheme="majorHAnsi"/>
          <w:sz w:val="16"/>
          <w:szCs w:val="16"/>
          <w:lang w:val="es-AR"/>
        </w:rPr>
        <w:t>para</w:t>
      </w:r>
      <w:r w:rsidRPr="005A1DC2">
        <w:rPr>
          <w:rFonts w:asciiTheme="majorHAnsi" w:hAnsiTheme="majorHAnsi"/>
          <w:spacing w:val="-2"/>
          <w:sz w:val="16"/>
          <w:szCs w:val="16"/>
          <w:lang w:val="es-AR"/>
        </w:rPr>
        <w:t xml:space="preserve"> </w:t>
      </w:r>
      <w:r w:rsidRPr="005A1DC2">
        <w:rPr>
          <w:rFonts w:asciiTheme="majorHAnsi" w:hAnsiTheme="majorHAnsi"/>
          <w:sz w:val="16"/>
          <w:szCs w:val="16"/>
          <w:lang w:val="es-AR"/>
        </w:rPr>
        <w:t>la</w:t>
      </w:r>
      <w:r w:rsidRPr="005A1DC2">
        <w:rPr>
          <w:rFonts w:asciiTheme="majorHAnsi" w:hAnsiTheme="majorHAnsi"/>
          <w:spacing w:val="-3"/>
          <w:sz w:val="16"/>
          <w:szCs w:val="16"/>
          <w:lang w:val="es-AR"/>
        </w:rPr>
        <w:t xml:space="preserve"> </w:t>
      </w:r>
      <w:r w:rsidRPr="005A1DC2">
        <w:rPr>
          <w:rFonts w:asciiTheme="majorHAnsi" w:hAnsiTheme="majorHAnsi"/>
          <w:sz w:val="16"/>
          <w:szCs w:val="16"/>
          <w:lang w:val="es-AR"/>
        </w:rPr>
        <w:t>Libertad</w:t>
      </w:r>
      <w:r w:rsidRPr="005A1DC2">
        <w:rPr>
          <w:rFonts w:asciiTheme="majorHAnsi" w:hAnsiTheme="majorHAnsi"/>
          <w:spacing w:val="-3"/>
          <w:sz w:val="16"/>
          <w:szCs w:val="16"/>
          <w:lang w:val="es-AR"/>
        </w:rPr>
        <w:t xml:space="preserve"> </w:t>
      </w:r>
      <w:r w:rsidRPr="005A1DC2">
        <w:rPr>
          <w:rFonts w:asciiTheme="majorHAnsi" w:hAnsiTheme="majorHAnsi"/>
          <w:sz w:val="16"/>
          <w:szCs w:val="16"/>
          <w:lang w:val="es-AR"/>
        </w:rPr>
        <w:t>de</w:t>
      </w:r>
      <w:r w:rsidRPr="005A1DC2">
        <w:rPr>
          <w:rFonts w:asciiTheme="majorHAnsi" w:hAnsiTheme="majorHAnsi"/>
          <w:spacing w:val="-2"/>
          <w:sz w:val="16"/>
          <w:szCs w:val="16"/>
          <w:lang w:val="es-AR"/>
        </w:rPr>
        <w:t xml:space="preserve"> </w:t>
      </w:r>
      <w:r w:rsidRPr="005A1DC2">
        <w:rPr>
          <w:rFonts w:asciiTheme="majorHAnsi" w:hAnsiTheme="majorHAnsi"/>
          <w:sz w:val="16"/>
          <w:szCs w:val="16"/>
          <w:lang w:val="es-AR"/>
        </w:rPr>
        <w:t>Expresión</w:t>
      </w:r>
      <w:r w:rsidRPr="005A1DC2">
        <w:rPr>
          <w:rFonts w:asciiTheme="majorHAnsi" w:hAnsiTheme="majorHAnsi"/>
          <w:spacing w:val="-4"/>
          <w:sz w:val="16"/>
          <w:szCs w:val="16"/>
          <w:lang w:val="es-AR"/>
        </w:rPr>
        <w:t xml:space="preserve"> </w:t>
      </w:r>
      <w:r w:rsidRPr="005A1DC2">
        <w:rPr>
          <w:rFonts w:asciiTheme="majorHAnsi" w:hAnsiTheme="majorHAnsi"/>
          <w:sz w:val="16"/>
          <w:szCs w:val="16"/>
          <w:lang w:val="es-AR"/>
        </w:rPr>
        <w:t>de</w:t>
      </w:r>
      <w:r w:rsidRPr="005A1DC2">
        <w:rPr>
          <w:rFonts w:asciiTheme="majorHAnsi" w:hAnsiTheme="majorHAnsi"/>
          <w:spacing w:val="-2"/>
          <w:sz w:val="16"/>
          <w:szCs w:val="16"/>
          <w:lang w:val="es-AR"/>
        </w:rPr>
        <w:t xml:space="preserve"> </w:t>
      </w:r>
      <w:r w:rsidRPr="005A1DC2">
        <w:rPr>
          <w:rFonts w:asciiTheme="majorHAnsi" w:hAnsiTheme="majorHAnsi"/>
          <w:sz w:val="16"/>
          <w:szCs w:val="16"/>
          <w:lang w:val="es-AR"/>
        </w:rPr>
        <w:t>la</w:t>
      </w:r>
      <w:r w:rsidRPr="005A1DC2">
        <w:rPr>
          <w:rFonts w:asciiTheme="majorHAnsi" w:hAnsiTheme="majorHAnsi"/>
          <w:spacing w:val="-3"/>
          <w:sz w:val="16"/>
          <w:szCs w:val="16"/>
          <w:lang w:val="es-AR"/>
        </w:rPr>
        <w:t xml:space="preserve"> </w:t>
      </w:r>
      <w:r w:rsidRPr="005A1DC2">
        <w:rPr>
          <w:rFonts w:asciiTheme="majorHAnsi" w:hAnsiTheme="majorHAnsi"/>
          <w:sz w:val="16"/>
          <w:szCs w:val="16"/>
          <w:lang w:val="es-AR"/>
        </w:rPr>
        <w:t>CIDH,</w:t>
      </w:r>
      <w:r w:rsidRPr="005A1DC2">
        <w:rPr>
          <w:rFonts w:asciiTheme="majorHAnsi" w:hAnsiTheme="majorHAnsi"/>
          <w:spacing w:val="-2"/>
          <w:sz w:val="16"/>
          <w:szCs w:val="16"/>
          <w:lang w:val="es-AR"/>
        </w:rPr>
        <w:t xml:space="preserve"> </w:t>
      </w:r>
      <w:r w:rsidRPr="005A1DC2">
        <w:rPr>
          <w:rFonts w:asciiTheme="majorHAnsi" w:hAnsiTheme="majorHAnsi"/>
          <w:sz w:val="16"/>
          <w:szCs w:val="16"/>
          <w:lang w:val="es-AR"/>
        </w:rPr>
        <w:t>Informe</w:t>
      </w:r>
      <w:r w:rsidRPr="005A1DC2">
        <w:rPr>
          <w:rFonts w:asciiTheme="majorHAnsi" w:hAnsiTheme="majorHAnsi"/>
          <w:spacing w:val="-2"/>
          <w:sz w:val="16"/>
          <w:szCs w:val="16"/>
          <w:lang w:val="es-AR"/>
        </w:rPr>
        <w:t xml:space="preserve"> </w:t>
      </w:r>
      <w:r w:rsidRPr="005A1DC2">
        <w:rPr>
          <w:rFonts w:asciiTheme="majorHAnsi" w:hAnsiTheme="majorHAnsi"/>
          <w:sz w:val="16"/>
          <w:szCs w:val="16"/>
          <w:lang w:val="es-AR"/>
        </w:rPr>
        <w:t>Especial</w:t>
      </w:r>
      <w:r w:rsidRPr="005A1DC2">
        <w:rPr>
          <w:rFonts w:asciiTheme="majorHAnsi" w:hAnsiTheme="majorHAnsi"/>
          <w:spacing w:val="-3"/>
          <w:sz w:val="16"/>
          <w:szCs w:val="16"/>
          <w:lang w:val="es-AR"/>
        </w:rPr>
        <w:t xml:space="preserve"> </w:t>
      </w:r>
      <w:r w:rsidRPr="005A1DC2">
        <w:rPr>
          <w:rFonts w:asciiTheme="majorHAnsi" w:hAnsiTheme="majorHAnsi"/>
          <w:sz w:val="16"/>
          <w:szCs w:val="16"/>
          <w:lang w:val="es-AR"/>
        </w:rPr>
        <w:t>de</w:t>
      </w:r>
      <w:r w:rsidRPr="005A1DC2">
        <w:rPr>
          <w:rFonts w:asciiTheme="majorHAnsi" w:hAnsiTheme="majorHAnsi"/>
          <w:spacing w:val="-2"/>
          <w:sz w:val="16"/>
          <w:szCs w:val="16"/>
          <w:lang w:val="es-AR"/>
        </w:rPr>
        <w:t xml:space="preserve"> </w:t>
      </w:r>
      <w:r w:rsidRPr="005A1DC2">
        <w:rPr>
          <w:rFonts w:asciiTheme="majorHAnsi" w:hAnsiTheme="majorHAnsi"/>
          <w:sz w:val="16"/>
          <w:szCs w:val="16"/>
          <w:lang w:val="es-AR"/>
        </w:rPr>
        <w:t>País,</w:t>
      </w:r>
      <w:r w:rsidRPr="005A1DC2">
        <w:rPr>
          <w:rFonts w:asciiTheme="majorHAnsi" w:hAnsiTheme="majorHAnsi"/>
          <w:spacing w:val="-4"/>
          <w:sz w:val="16"/>
          <w:szCs w:val="16"/>
          <w:lang w:val="es-AR"/>
        </w:rPr>
        <w:t xml:space="preserve"> </w:t>
      </w:r>
      <w:r w:rsidRPr="005A1DC2">
        <w:rPr>
          <w:rFonts w:asciiTheme="majorHAnsi" w:hAnsiTheme="majorHAnsi"/>
          <w:sz w:val="16"/>
          <w:szCs w:val="16"/>
          <w:lang w:val="es-AR"/>
        </w:rPr>
        <w:t>(2019),</w:t>
      </w:r>
      <w:r w:rsidRPr="005A1DC2">
        <w:rPr>
          <w:rFonts w:asciiTheme="majorHAnsi" w:hAnsiTheme="majorHAnsi"/>
          <w:spacing w:val="-2"/>
          <w:sz w:val="16"/>
          <w:szCs w:val="16"/>
          <w:lang w:val="es-AR"/>
        </w:rPr>
        <w:t xml:space="preserve"> </w:t>
      </w:r>
      <w:r w:rsidRPr="005A1DC2">
        <w:rPr>
          <w:rFonts w:asciiTheme="majorHAnsi" w:hAnsiTheme="majorHAnsi"/>
          <w:sz w:val="16"/>
          <w:szCs w:val="16"/>
          <w:lang w:val="es-AR"/>
        </w:rPr>
        <w:t>párr.</w:t>
      </w:r>
      <w:r w:rsidRPr="005A1DC2">
        <w:rPr>
          <w:rFonts w:asciiTheme="majorHAnsi" w:hAnsiTheme="majorHAnsi"/>
          <w:spacing w:val="-2"/>
          <w:sz w:val="16"/>
          <w:szCs w:val="16"/>
          <w:lang w:val="es-AR"/>
        </w:rPr>
        <w:t xml:space="preserve"> </w:t>
      </w:r>
      <w:r w:rsidRPr="005A1DC2">
        <w:rPr>
          <w:rFonts w:asciiTheme="majorHAnsi" w:hAnsiTheme="majorHAnsi"/>
          <w:sz w:val="16"/>
          <w:szCs w:val="16"/>
          <w:lang w:val="es-AR"/>
        </w:rPr>
        <w:t>147.</w:t>
      </w:r>
    </w:p>
  </w:footnote>
  <w:footnote w:id="10">
    <w:p w14:paraId="5662A9CB" w14:textId="77777777" w:rsidR="00ED6D2F" w:rsidRPr="005A1DC2" w:rsidRDefault="00ED6D2F" w:rsidP="005A1DC2">
      <w:pPr>
        <w:jc w:val="both"/>
        <w:rPr>
          <w:rFonts w:asciiTheme="majorHAnsi" w:hAnsiTheme="majorHAnsi"/>
          <w:sz w:val="16"/>
          <w:szCs w:val="16"/>
          <w:lang w:val="es-AR"/>
        </w:rPr>
      </w:pPr>
      <w:r w:rsidRPr="005A1DC2">
        <w:rPr>
          <w:rStyle w:val="FootnoteReference"/>
          <w:rFonts w:asciiTheme="majorHAnsi" w:hAnsiTheme="majorHAnsi"/>
          <w:sz w:val="16"/>
          <w:szCs w:val="16"/>
        </w:rPr>
        <w:footnoteRef/>
      </w:r>
      <w:r w:rsidRPr="005A1DC2">
        <w:rPr>
          <w:rFonts w:asciiTheme="majorHAnsi" w:hAnsiTheme="majorHAnsi"/>
          <w:sz w:val="16"/>
          <w:szCs w:val="16"/>
          <w:lang w:val="es-AR"/>
        </w:rPr>
        <w:t xml:space="preserve"> CIDH,</w:t>
      </w:r>
      <w:r w:rsidRPr="005A1DC2">
        <w:rPr>
          <w:rFonts w:asciiTheme="majorHAnsi" w:hAnsiTheme="majorHAnsi"/>
          <w:spacing w:val="-2"/>
          <w:sz w:val="16"/>
          <w:szCs w:val="16"/>
          <w:lang w:val="es-AR"/>
        </w:rPr>
        <w:t xml:space="preserve"> </w:t>
      </w:r>
      <w:r w:rsidRPr="005A1DC2">
        <w:rPr>
          <w:rFonts w:asciiTheme="majorHAnsi" w:hAnsiTheme="majorHAnsi"/>
          <w:sz w:val="16"/>
          <w:szCs w:val="16"/>
          <w:lang w:val="es-AR"/>
        </w:rPr>
        <w:t>Informe</w:t>
      </w:r>
      <w:r w:rsidRPr="005A1DC2">
        <w:rPr>
          <w:rFonts w:asciiTheme="majorHAnsi" w:hAnsiTheme="majorHAnsi"/>
          <w:spacing w:val="-2"/>
          <w:sz w:val="16"/>
          <w:szCs w:val="16"/>
          <w:lang w:val="es-AR"/>
        </w:rPr>
        <w:t xml:space="preserve"> </w:t>
      </w:r>
      <w:r w:rsidRPr="005A1DC2">
        <w:rPr>
          <w:rFonts w:asciiTheme="majorHAnsi" w:hAnsiTheme="majorHAnsi"/>
          <w:sz w:val="16"/>
          <w:szCs w:val="16"/>
          <w:lang w:val="es-AR"/>
        </w:rPr>
        <w:t>No.</w:t>
      </w:r>
      <w:r w:rsidRPr="005A1DC2">
        <w:rPr>
          <w:rFonts w:asciiTheme="majorHAnsi" w:hAnsiTheme="majorHAnsi"/>
          <w:spacing w:val="-2"/>
          <w:sz w:val="16"/>
          <w:szCs w:val="16"/>
          <w:lang w:val="es-AR"/>
        </w:rPr>
        <w:t xml:space="preserve"> </w:t>
      </w:r>
      <w:r w:rsidRPr="005A1DC2">
        <w:rPr>
          <w:rFonts w:asciiTheme="majorHAnsi" w:hAnsiTheme="majorHAnsi"/>
          <w:sz w:val="16"/>
          <w:szCs w:val="16"/>
          <w:lang w:val="es-AR"/>
        </w:rPr>
        <w:t>67/06,</w:t>
      </w:r>
      <w:r w:rsidRPr="005A1DC2">
        <w:rPr>
          <w:rFonts w:asciiTheme="majorHAnsi" w:hAnsiTheme="majorHAnsi"/>
          <w:spacing w:val="-3"/>
          <w:sz w:val="16"/>
          <w:szCs w:val="16"/>
          <w:lang w:val="es-AR"/>
        </w:rPr>
        <w:t xml:space="preserve"> </w:t>
      </w:r>
      <w:r w:rsidRPr="005A1DC2">
        <w:rPr>
          <w:rFonts w:asciiTheme="majorHAnsi" w:hAnsiTheme="majorHAnsi"/>
          <w:sz w:val="16"/>
          <w:szCs w:val="16"/>
          <w:lang w:val="es-AR"/>
        </w:rPr>
        <w:t>Caso</w:t>
      </w:r>
      <w:r w:rsidRPr="005A1DC2">
        <w:rPr>
          <w:rFonts w:asciiTheme="majorHAnsi" w:hAnsiTheme="majorHAnsi"/>
          <w:spacing w:val="-3"/>
          <w:sz w:val="16"/>
          <w:szCs w:val="16"/>
          <w:lang w:val="es-AR"/>
        </w:rPr>
        <w:t xml:space="preserve"> </w:t>
      </w:r>
      <w:r w:rsidRPr="005A1DC2">
        <w:rPr>
          <w:rFonts w:asciiTheme="majorHAnsi" w:hAnsiTheme="majorHAnsi"/>
          <w:sz w:val="16"/>
          <w:szCs w:val="16"/>
          <w:lang w:val="es-AR"/>
        </w:rPr>
        <w:t>12.476,</w:t>
      </w:r>
      <w:r w:rsidRPr="005A1DC2">
        <w:rPr>
          <w:rFonts w:asciiTheme="majorHAnsi" w:hAnsiTheme="majorHAnsi"/>
          <w:spacing w:val="-2"/>
          <w:sz w:val="16"/>
          <w:szCs w:val="16"/>
          <w:lang w:val="es-AR"/>
        </w:rPr>
        <w:t xml:space="preserve"> </w:t>
      </w:r>
      <w:r w:rsidRPr="005A1DC2">
        <w:rPr>
          <w:rFonts w:asciiTheme="majorHAnsi" w:hAnsiTheme="majorHAnsi"/>
          <w:sz w:val="16"/>
          <w:szCs w:val="16"/>
          <w:lang w:val="es-AR"/>
        </w:rPr>
        <w:t>Fondo,</w:t>
      </w:r>
      <w:r w:rsidRPr="005A1DC2">
        <w:rPr>
          <w:rFonts w:asciiTheme="majorHAnsi" w:hAnsiTheme="majorHAnsi"/>
          <w:spacing w:val="-2"/>
          <w:sz w:val="16"/>
          <w:szCs w:val="16"/>
          <w:lang w:val="es-AR"/>
        </w:rPr>
        <w:t xml:space="preserve"> </w:t>
      </w:r>
      <w:r w:rsidRPr="005A1DC2">
        <w:rPr>
          <w:rFonts w:asciiTheme="majorHAnsi" w:hAnsiTheme="majorHAnsi"/>
          <w:i/>
          <w:sz w:val="16"/>
          <w:szCs w:val="16"/>
          <w:lang w:val="es-AR"/>
        </w:rPr>
        <w:t>Oscar</w:t>
      </w:r>
      <w:r w:rsidRPr="005A1DC2">
        <w:rPr>
          <w:rFonts w:asciiTheme="majorHAnsi" w:hAnsiTheme="majorHAnsi"/>
          <w:i/>
          <w:spacing w:val="-3"/>
          <w:sz w:val="16"/>
          <w:szCs w:val="16"/>
          <w:lang w:val="es-AR"/>
        </w:rPr>
        <w:t xml:space="preserve"> </w:t>
      </w:r>
      <w:r w:rsidRPr="005A1DC2">
        <w:rPr>
          <w:rFonts w:asciiTheme="majorHAnsi" w:hAnsiTheme="majorHAnsi"/>
          <w:i/>
          <w:sz w:val="16"/>
          <w:szCs w:val="16"/>
          <w:lang w:val="es-AR"/>
        </w:rPr>
        <w:t>Elías</w:t>
      </w:r>
      <w:r w:rsidRPr="005A1DC2">
        <w:rPr>
          <w:rFonts w:asciiTheme="majorHAnsi" w:hAnsiTheme="majorHAnsi"/>
          <w:i/>
          <w:spacing w:val="-2"/>
          <w:sz w:val="16"/>
          <w:szCs w:val="16"/>
          <w:lang w:val="es-AR"/>
        </w:rPr>
        <w:t xml:space="preserve"> </w:t>
      </w:r>
      <w:r w:rsidRPr="005A1DC2">
        <w:rPr>
          <w:rFonts w:asciiTheme="majorHAnsi" w:hAnsiTheme="majorHAnsi"/>
          <w:i/>
          <w:sz w:val="16"/>
          <w:szCs w:val="16"/>
          <w:lang w:val="es-AR"/>
        </w:rPr>
        <w:t>Biscet</w:t>
      </w:r>
      <w:r w:rsidRPr="005A1DC2">
        <w:rPr>
          <w:rFonts w:asciiTheme="majorHAnsi" w:hAnsiTheme="majorHAnsi"/>
          <w:i/>
          <w:spacing w:val="-2"/>
          <w:sz w:val="16"/>
          <w:szCs w:val="16"/>
          <w:lang w:val="es-AR"/>
        </w:rPr>
        <w:t xml:space="preserve"> </w:t>
      </w:r>
      <w:r w:rsidRPr="005A1DC2">
        <w:rPr>
          <w:rFonts w:asciiTheme="majorHAnsi" w:hAnsiTheme="majorHAnsi"/>
          <w:i/>
          <w:sz w:val="16"/>
          <w:szCs w:val="16"/>
          <w:lang w:val="es-AR"/>
        </w:rPr>
        <w:t>y</w:t>
      </w:r>
      <w:r w:rsidRPr="005A1DC2">
        <w:rPr>
          <w:rFonts w:asciiTheme="majorHAnsi" w:hAnsiTheme="majorHAnsi"/>
          <w:i/>
          <w:spacing w:val="-3"/>
          <w:sz w:val="16"/>
          <w:szCs w:val="16"/>
          <w:lang w:val="es-AR"/>
        </w:rPr>
        <w:t xml:space="preserve"> </w:t>
      </w:r>
      <w:r w:rsidRPr="005A1DC2">
        <w:rPr>
          <w:rFonts w:asciiTheme="majorHAnsi" w:hAnsiTheme="majorHAnsi"/>
          <w:i/>
          <w:sz w:val="16"/>
          <w:szCs w:val="16"/>
          <w:lang w:val="es-AR"/>
        </w:rPr>
        <w:t>Otros</w:t>
      </w:r>
      <w:r w:rsidRPr="005A1DC2">
        <w:rPr>
          <w:rFonts w:asciiTheme="majorHAnsi" w:hAnsiTheme="majorHAnsi"/>
          <w:i/>
          <w:spacing w:val="-2"/>
          <w:sz w:val="16"/>
          <w:szCs w:val="16"/>
          <w:lang w:val="es-AR"/>
        </w:rPr>
        <w:t xml:space="preserve"> </w:t>
      </w:r>
      <w:r w:rsidRPr="005A1DC2">
        <w:rPr>
          <w:rFonts w:asciiTheme="majorHAnsi" w:hAnsiTheme="majorHAnsi"/>
          <w:i/>
          <w:sz w:val="16"/>
          <w:szCs w:val="16"/>
          <w:lang w:val="es-AR"/>
        </w:rPr>
        <w:t>v.</w:t>
      </w:r>
      <w:r w:rsidRPr="005A1DC2">
        <w:rPr>
          <w:rFonts w:asciiTheme="majorHAnsi" w:hAnsiTheme="majorHAnsi"/>
          <w:i/>
          <w:spacing w:val="-3"/>
          <w:sz w:val="16"/>
          <w:szCs w:val="16"/>
          <w:lang w:val="es-AR"/>
        </w:rPr>
        <w:t xml:space="preserve"> </w:t>
      </w:r>
      <w:r w:rsidRPr="005A1DC2">
        <w:rPr>
          <w:rFonts w:asciiTheme="majorHAnsi" w:hAnsiTheme="majorHAnsi"/>
          <w:i/>
          <w:sz w:val="16"/>
          <w:szCs w:val="16"/>
          <w:lang w:val="es-AR"/>
        </w:rPr>
        <w:t>Cuba</w:t>
      </w:r>
      <w:r w:rsidRPr="005A1DC2">
        <w:rPr>
          <w:rFonts w:asciiTheme="majorHAnsi" w:hAnsiTheme="majorHAnsi"/>
          <w:sz w:val="16"/>
          <w:szCs w:val="16"/>
          <w:lang w:val="es-AR"/>
        </w:rPr>
        <w:t>,</w:t>
      </w:r>
      <w:r w:rsidRPr="005A1DC2">
        <w:rPr>
          <w:rFonts w:asciiTheme="majorHAnsi" w:hAnsiTheme="majorHAnsi"/>
          <w:spacing w:val="-2"/>
          <w:sz w:val="16"/>
          <w:szCs w:val="16"/>
          <w:lang w:val="es-AR"/>
        </w:rPr>
        <w:t xml:space="preserve"> </w:t>
      </w:r>
      <w:r w:rsidRPr="005A1DC2">
        <w:rPr>
          <w:rFonts w:asciiTheme="majorHAnsi" w:hAnsiTheme="majorHAnsi"/>
          <w:sz w:val="16"/>
          <w:szCs w:val="16"/>
          <w:lang w:val="es-AR"/>
        </w:rPr>
        <w:t>21</w:t>
      </w:r>
      <w:r w:rsidRPr="005A1DC2">
        <w:rPr>
          <w:rFonts w:asciiTheme="majorHAnsi" w:hAnsiTheme="majorHAnsi"/>
          <w:spacing w:val="-3"/>
          <w:sz w:val="16"/>
          <w:szCs w:val="16"/>
          <w:lang w:val="es-AR"/>
        </w:rPr>
        <w:t xml:space="preserve"> </w:t>
      </w:r>
      <w:r w:rsidRPr="005A1DC2">
        <w:rPr>
          <w:rFonts w:asciiTheme="majorHAnsi" w:hAnsiTheme="majorHAnsi"/>
          <w:sz w:val="16"/>
          <w:szCs w:val="16"/>
          <w:lang w:val="es-AR"/>
        </w:rPr>
        <w:t>de</w:t>
      </w:r>
      <w:r w:rsidRPr="005A1DC2">
        <w:rPr>
          <w:rFonts w:asciiTheme="majorHAnsi" w:hAnsiTheme="majorHAnsi"/>
          <w:spacing w:val="-3"/>
          <w:sz w:val="16"/>
          <w:szCs w:val="16"/>
          <w:lang w:val="es-AR"/>
        </w:rPr>
        <w:t xml:space="preserve"> </w:t>
      </w:r>
      <w:r w:rsidRPr="005A1DC2">
        <w:rPr>
          <w:rFonts w:asciiTheme="majorHAnsi" w:hAnsiTheme="majorHAnsi"/>
          <w:sz w:val="16"/>
          <w:szCs w:val="16"/>
          <w:lang w:val="es-AR"/>
        </w:rPr>
        <w:t>octubre</w:t>
      </w:r>
      <w:r w:rsidRPr="005A1DC2">
        <w:rPr>
          <w:rFonts w:asciiTheme="majorHAnsi" w:hAnsiTheme="majorHAnsi"/>
          <w:spacing w:val="-3"/>
          <w:sz w:val="16"/>
          <w:szCs w:val="16"/>
          <w:lang w:val="es-AR"/>
        </w:rPr>
        <w:t xml:space="preserve"> </w:t>
      </w:r>
      <w:r w:rsidRPr="005A1DC2">
        <w:rPr>
          <w:rFonts w:asciiTheme="majorHAnsi" w:hAnsiTheme="majorHAnsi"/>
          <w:sz w:val="16"/>
          <w:szCs w:val="16"/>
          <w:lang w:val="es-AR"/>
        </w:rPr>
        <w:t>de</w:t>
      </w:r>
      <w:r w:rsidRPr="005A1DC2">
        <w:rPr>
          <w:rFonts w:asciiTheme="majorHAnsi" w:hAnsiTheme="majorHAnsi"/>
          <w:spacing w:val="-4"/>
          <w:sz w:val="16"/>
          <w:szCs w:val="16"/>
          <w:lang w:val="es-AR"/>
        </w:rPr>
        <w:t xml:space="preserve"> </w:t>
      </w:r>
      <w:r w:rsidRPr="005A1DC2">
        <w:rPr>
          <w:rFonts w:asciiTheme="majorHAnsi" w:hAnsiTheme="majorHAnsi"/>
          <w:sz w:val="16"/>
          <w:szCs w:val="16"/>
          <w:lang w:val="es-AR"/>
        </w:rPr>
        <w:t>2006,</w:t>
      </w:r>
      <w:r w:rsidRPr="005A1DC2">
        <w:rPr>
          <w:rFonts w:asciiTheme="majorHAnsi" w:hAnsiTheme="majorHAnsi"/>
          <w:spacing w:val="-2"/>
          <w:sz w:val="16"/>
          <w:szCs w:val="16"/>
          <w:lang w:val="es-AR"/>
        </w:rPr>
        <w:t xml:space="preserve"> </w:t>
      </w:r>
      <w:r w:rsidRPr="005A1DC2">
        <w:rPr>
          <w:rFonts w:asciiTheme="majorHAnsi" w:hAnsiTheme="majorHAnsi"/>
          <w:sz w:val="16"/>
          <w:szCs w:val="16"/>
          <w:lang w:val="es-AR"/>
        </w:rPr>
        <w:t>párr.</w:t>
      </w:r>
      <w:r w:rsidRPr="005A1DC2">
        <w:rPr>
          <w:rFonts w:asciiTheme="majorHAnsi" w:hAnsiTheme="majorHAnsi"/>
          <w:spacing w:val="-2"/>
          <w:sz w:val="16"/>
          <w:szCs w:val="16"/>
          <w:lang w:val="es-AR"/>
        </w:rPr>
        <w:t xml:space="preserve"> </w:t>
      </w:r>
      <w:r w:rsidRPr="005A1DC2">
        <w:rPr>
          <w:rFonts w:asciiTheme="majorHAnsi" w:hAnsiTheme="majorHAnsi"/>
          <w:sz w:val="16"/>
          <w:szCs w:val="16"/>
          <w:lang w:val="es-AR"/>
        </w:rPr>
        <w:t>189.</w:t>
      </w:r>
    </w:p>
  </w:footnote>
  <w:footnote w:id="11">
    <w:p w14:paraId="2218B53A" w14:textId="77777777" w:rsidR="00ED6D2F" w:rsidRPr="005A1DC2" w:rsidRDefault="00ED6D2F" w:rsidP="005A1DC2">
      <w:pPr>
        <w:pStyle w:val="FootnoteText"/>
        <w:rPr>
          <w:color w:val="auto"/>
          <w:lang w:val="es-ES"/>
        </w:rPr>
      </w:pPr>
      <w:r w:rsidRPr="005A1DC2">
        <w:rPr>
          <w:rStyle w:val="FootnoteReference"/>
          <w:color w:val="auto"/>
        </w:rPr>
        <w:footnoteRef/>
      </w:r>
      <w:r w:rsidRPr="005A1DC2">
        <w:rPr>
          <w:color w:val="auto"/>
          <w:lang w:val="es-CO"/>
        </w:rPr>
        <w:t xml:space="preserve"> </w:t>
      </w:r>
      <w:r w:rsidRPr="005A1DC2">
        <w:rPr>
          <w:i/>
          <w:color w:val="auto"/>
          <w:lang w:val="es-CO"/>
        </w:rPr>
        <w:t>Ver,</w:t>
      </w:r>
      <w:r w:rsidRPr="005A1DC2">
        <w:rPr>
          <w:i/>
          <w:color w:val="auto"/>
          <w:spacing w:val="-3"/>
          <w:lang w:val="es-CO"/>
        </w:rPr>
        <w:t xml:space="preserve"> </w:t>
      </w:r>
      <w:r w:rsidRPr="005A1DC2">
        <w:rPr>
          <w:i/>
          <w:color w:val="auto"/>
          <w:lang w:val="es-CO"/>
        </w:rPr>
        <w:t>por</w:t>
      </w:r>
      <w:r w:rsidRPr="005A1DC2">
        <w:rPr>
          <w:i/>
          <w:color w:val="auto"/>
          <w:spacing w:val="-3"/>
          <w:lang w:val="es-CO"/>
        </w:rPr>
        <w:t xml:space="preserve"> </w:t>
      </w:r>
      <w:r w:rsidRPr="005A1DC2">
        <w:rPr>
          <w:i/>
          <w:color w:val="auto"/>
          <w:lang w:val="es-CO"/>
        </w:rPr>
        <w:t>ejemplo</w:t>
      </w:r>
      <w:r w:rsidRPr="005A1DC2">
        <w:rPr>
          <w:color w:val="auto"/>
          <w:lang w:val="es-CO"/>
        </w:rPr>
        <w:t>,</w:t>
      </w:r>
      <w:r w:rsidRPr="005A1DC2">
        <w:rPr>
          <w:color w:val="auto"/>
          <w:spacing w:val="-2"/>
          <w:lang w:val="es-CO"/>
        </w:rPr>
        <w:t xml:space="preserve"> </w:t>
      </w:r>
      <w:r w:rsidRPr="005A1DC2">
        <w:rPr>
          <w:color w:val="auto"/>
          <w:lang w:val="es-CO"/>
        </w:rPr>
        <w:t>CIDH,</w:t>
      </w:r>
      <w:r w:rsidRPr="005A1DC2">
        <w:rPr>
          <w:color w:val="auto"/>
          <w:spacing w:val="-3"/>
          <w:lang w:val="es-CO"/>
        </w:rPr>
        <w:t xml:space="preserve"> </w:t>
      </w:r>
      <w:r w:rsidRPr="005A1DC2">
        <w:rPr>
          <w:color w:val="auto"/>
          <w:lang w:val="es-CO"/>
        </w:rPr>
        <w:t>Informe</w:t>
      </w:r>
      <w:r w:rsidRPr="005A1DC2">
        <w:rPr>
          <w:color w:val="auto"/>
          <w:spacing w:val="-3"/>
          <w:lang w:val="es-CO"/>
        </w:rPr>
        <w:t xml:space="preserve"> </w:t>
      </w:r>
      <w:r w:rsidRPr="005A1DC2">
        <w:rPr>
          <w:color w:val="auto"/>
          <w:lang w:val="es-CO"/>
        </w:rPr>
        <w:t>Anual</w:t>
      </w:r>
      <w:r w:rsidRPr="005A1DC2">
        <w:rPr>
          <w:color w:val="auto"/>
          <w:spacing w:val="-3"/>
          <w:lang w:val="es-CO"/>
        </w:rPr>
        <w:t xml:space="preserve"> </w:t>
      </w:r>
      <w:r w:rsidRPr="005A1DC2">
        <w:rPr>
          <w:color w:val="auto"/>
          <w:lang w:val="es-CO"/>
        </w:rPr>
        <w:t>2012,</w:t>
      </w:r>
      <w:r w:rsidRPr="005A1DC2">
        <w:rPr>
          <w:color w:val="auto"/>
          <w:spacing w:val="-3"/>
          <w:lang w:val="es-CO"/>
        </w:rPr>
        <w:t xml:space="preserve"> </w:t>
      </w:r>
      <w:r w:rsidRPr="005A1DC2">
        <w:rPr>
          <w:color w:val="auto"/>
          <w:lang w:val="es-CO"/>
        </w:rPr>
        <w:t>Capítulo</w:t>
      </w:r>
      <w:r w:rsidRPr="005A1DC2">
        <w:rPr>
          <w:color w:val="auto"/>
          <w:spacing w:val="-3"/>
          <w:lang w:val="es-CO"/>
        </w:rPr>
        <w:t xml:space="preserve"> </w:t>
      </w:r>
      <w:r w:rsidRPr="005A1DC2">
        <w:rPr>
          <w:color w:val="auto"/>
          <w:lang w:val="es-CO"/>
        </w:rPr>
        <w:t>IV,</w:t>
      </w:r>
      <w:r w:rsidRPr="005A1DC2">
        <w:rPr>
          <w:color w:val="auto"/>
          <w:spacing w:val="-3"/>
          <w:lang w:val="es-CO"/>
        </w:rPr>
        <w:t xml:space="preserve"> </w:t>
      </w:r>
      <w:r w:rsidRPr="005A1DC2">
        <w:rPr>
          <w:color w:val="auto"/>
          <w:lang w:val="es-CO"/>
        </w:rPr>
        <w:t>“Cuba”,</w:t>
      </w:r>
      <w:r w:rsidRPr="005A1DC2">
        <w:rPr>
          <w:color w:val="auto"/>
          <w:spacing w:val="-3"/>
          <w:lang w:val="es-CO"/>
        </w:rPr>
        <w:t xml:space="preserve"> </w:t>
      </w:r>
      <w:r w:rsidRPr="005A1DC2">
        <w:rPr>
          <w:color w:val="auto"/>
          <w:lang w:val="es-CO"/>
        </w:rPr>
        <w:t>párr.</w:t>
      </w:r>
      <w:r w:rsidRPr="005A1DC2">
        <w:rPr>
          <w:color w:val="auto"/>
          <w:spacing w:val="-2"/>
          <w:lang w:val="es-CO"/>
        </w:rPr>
        <w:t xml:space="preserve"> </w:t>
      </w:r>
      <w:r w:rsidRPr="005A1DC2">
        <w:rPr>
          <w:color w:val="auto"/>
          <w:lang w:val="es-CO"/>
        </w:rPr>
        <w:t>69.</w:t>
      </w:r>
    </w:p>
  </w:footnote>
  <w:footnote w:id="12">
    <w:p w14:paraId="28ED3BCD" w14:textId="51211A94" w:rsidR="00ED6D2F" w:rsidRPr="005A1DC2" w:rsidRDefault="00ED6D2F" w:rsidP="005A1DC2">
      <w:pPr>
        <w:pStyle w:val="FootnoteText"/>
        <w:rPr>
          <w:color w:val="auto"/>
          <w:lang w:val="es-ES"/>
        </w:rPr>
      </w:pPr>
      <w:r w:rsidRPr="005A1DC2">
        <w:rPr>
          <w:rStyle w:val="FootnoteReference"/>
          <w:color w:val="auto"/>
        </w:rPr>
        <w:footnoteRef/>
      </w:r>
      <w:r w:rsidR="7AB0424C" w:rsidRPr="005A1DC2">
        <w:rPr>
          <w:color w:val="auto"/>
          <w:lang w:val="es-CO"/>
        </w:rPr>
        <w:t xml:space="preserve"> CIDH, Informe de País 2020, Situación de Derechos Humanos en Cuba, párr.158.</w:t>
      </w:r>
    </w:p>
  </w:footnote>
  <w:footnote w:id="13">
    <w:p w14:paraId="301BF71F" w14:textId="6A2FB734" w:rsidR="00ED6D2F" w:rsidRPr="005A1DC2" w:rsidRDefault="00ED6D2F" w:rsidP="005A1DC2">
      <w:pPr>
        <w:pStyle w:val="FootnoteText"/>
        <w:rPr>
          <w:color w:val="auto"/>
          <w:lang w:val="es-CO"/>
        </w:rPr>
      </w:pPr>
      <w:r w:rsidRPr="005A1DC2">
        <w:rPr>
          <w:rStyle w:val="FootnoteReference"/>
          <w:color w:val="auto"/>
        </w:rPr>
        <w:footnoteRef/>
      </w:r>
      <w:r w:rsidR="7AB0424C" w:rsidRPr="005A1DC2">
        <w:rPr>
          <w:color w:val="auto"/>
          <w:lang w:val="es-CO"/>
        </w:rPr>
        <w:t xml:space="preserve"> CIDH, Informe No. 67/06, Caso 12.476, Fondo, </w:t>
      </w:r>
      <w:r w:rsidR="7AB0424C" w:rsidRPr="7AB0424C">
        <w:rPr>
          <w:i/>
          <w:iCs/>
          <w:color w:val="auto"/>
          <w:lang w:val="es-CO"/>
        </w:rPr>
        <w:t>Oscar Elías Biscet y Otros v. Cuba</w:t>
      </w:r>
      <w:r w:rsidR="7AB0424C" w:rsidRPr="005A1DC2">
        <w:rPr>
          <w:color w:val="auto"/>
          <w:lang w:val="es-CO"/>
        </w:rPr>
        <w:t>, 21 de octubre de 2006, párr. 129; Informe Anual 2012, Capítulo IV, “Cuba”, párrs. 42-43; Relatoría Especial para la Libertad de Expresión de la CIDH, Informe</w:t>
      </w:r>
      <w:r w:rsidR="7AB0424C" w:rsidRPr="005A1DC2">
        <w:rPr>
          <w:color w:val="auto"/>
          <w:spacing w:val="-42"/>
          <w:lang w:val="es-CO"/>
        </w:rPr>
        <w:t xml:space="preserve"> </w:t>
      </w:r>
      <w:r w:rsidR="7AB0424C" w:rsidRPr="005A1DC2">
        <w:rPr>
          <w:color w:val="auto"/>
          <w:lang w:val="es-CO"/>
        </w:rPr>
        <w:t>Especial</w:t>
      </w:r>
      <w:r w:rsidR="7AB0424C" w:rsidRPr="005A1DC2">
        <w:rPr>
          <w:color w:val="auto"/>
          <w:spacing w:val="-2"/>
          <w:lang w:val="es-CO"/>
        </w:rPr>
        <w:t xml:space="preserve"> </w:t>
      </w:r>
      <w:r w:rsidR="7AB0424C" w:rsidRPr="005A1DC2">
        <w:rPr>
          <w:color w:val="auto"/>
          <w:lang w:val="es-CO"/>
        </w:rPr>
        <w:t>de</w:t>
      </w:r>
      <w:r w:rsidR="7AB0424C" w:rsidRPr="005A1DC2">
        <w:rPr>
          <w:color w:val="auto"/>
          <w:spacing w:val="-1"/>
          <w:lang w:val="es-CO"/>
        </w:rPr>
        <w:t xml:space="preserve"> </w:t>
      </w:r>
      <w:r w:rsidR="7AB0424C" w:rsidRPr="005A1DC2">
        <w:rPr>
          <w:color w:val="auto"/>
          <w:lang w:val="es-CO"/>
        </w:rPr>
        <w:t>País</w:t>
      </w:r>
      <w:r w:rsidR="7AB0424C" w:rsidRPr="005A1DC2">
        <w:rPr>
          <w:color w:val="auto"/>
          <w:spacing w:val="-1"/>
          <w:lang w:val="es-CO"/>
        </w:rPr>
        <w:t xml:space="preserve"> </w:t>
      </w:r>
      <w:r w:rsidR="7AB0424C" w:rsidRPr="005A1DC2">
        <w:rPr>
          <w:color w:val="auto"/>
          <w:lang w:val="es-CO"/>
        </w:rPr>
        <w:t>(2019),</w:t>
      </w:r>
      <w:r w:rsidR="7AB0424C" w:rsidRPr="005A1DC2">
        <w:rPr>
          <w:color w:val="auto"/>
          <w:spacing w:val="-1"/>
          <w:lang w:val="es-CO"/>
        </w:rPr>
        <w:t xml:space="preserve"> </w:t>
      </w:r>
      <w:r w:rsidR="7AB0424C" w:rsidRPr="005A1DC2">
        <w:rPr>
          <w:color w:val="auto"/>
          <w:lang w:val="es-CO"/>
        </w:rPr>
        <w:t>párr. 445.</w:t>
      </w:r>
    </w:p>
  </w:footnote>
  <w:footnote w:id="14">
    <w:p w14:paraId="3BE43D53" w14:textId="77777777" w:rsidR="00ED6D2F" w:rsidRPr="005A1DC2" w:rsidRDefault="00ED6D2F" w:rsidP="005A1DC2">
      <w:pPr>
        <w:pStyle w:val="FootnoteText"/>
        <w:rPr>
          <w:color w:val="auto"/>
          <w:lang w:val="es-CO"/>
        </w:rPr>
      </w:pPr>
      <w:r w:rsidRPr="005A1DC2">
        <w:rPr>
          <w:rStyle w:val="FootnoteReference"/>
          <w:color w:val="auto"/>
        </w:rPr>
        <w:footnoteRef/>
      </w:r>
      <w:r w:rsidRPr="005A1DC2">
        <w:rPr>
          <w:color w:val="auto"/>
          <w:lang w:val="es-CO"/>
        </w:rPr>
        <w:t xml:space="preserve"> Relatoría Especial para la Libertad de Expresión de la CIDH, Informe Especial de País (2019), párr. 446.</w:t>
      </w:r>
    </w:p>
  </w:footnote>
  <w:footnote w:id="15">
    <w:p w14:paraId="058D2C7F" w14:textId="226FCE8A" w:rsidR="00D4444A" w:rsidRPr="005A1DC2" w:rsidRDefault="00D4444A" w:rsidP="005A1DC2">
      <w:pPr>
        <w:pStyle w:val="FootnoteText"/>
        <w:rPr>
          <w:color w:val="auto"/>
          <w:lang w:val="es-CO"/>
        </w:rPr>
      </w:pPr>
      <w:r w:rsidRPr="005A1DC2">
        <w:rPr>
          <w:color w:val="auto"/>
          <w:vertAlign w:val="superscript"/>
          <w:lang w:val="es-CO"/>
        </w:rPr>
        <w:footnoteRef/>
      </w:r>
      <w:r w:rsidRPr="005A1DC2">
        <w:rPr>
          <w:color w:val="auto"/>
          <w:lang w:val="es-CO"/>
        </w:rPr>
        <w:t xml:space="preserve"> </w:t>
      </w:r>
      <w:r w:rsidR="003803D7" w:rsidRPr="005A1DC2">
        <w:rPr>
          <w:color w:val="auto"/>
          <w:lang w:val="es-CO"/>
        </w:rPr>
        <w:t>Petición Inicial; Comunicación de la parte peticionaria de 13 de marzo de 2019; Comunicación de la parte peticionaria de 18 de marzo de 2021.</w:t>
      </w:r>
    </w:p>
  </w:footnote>
  <w:footnote w:id="16">
    <w:p w14:paraId="36192F41" w14:textId="110D080A" w:rsidR="00E601D7" w:rsidRPr="005A1DC2" w:rsidRDefault="00E601D7" w:rsidP="005A1DC2">
      <w:pPr>
        <w:pStyle w:val="FootnoteText"/>
        <w:rPr>
          <w:lang w:val="es-AR"/>
        </w:rPr>
      </w:pPr>
      <w:r w:rsidRPr="005A1DC2">
        <w:rPr>
          <w:rStyle w:val="FootnoteReference"/>
        </w:rPr>
        <w:footnoteRef/>
      </w:r>
      <w:r w:rsidR="7AB0424C" w:rsidRPr="005A1DC2">
        <w:rPr>
          <w:lang w:val="es-AR"/>
        </w:rPr>
        <w:t xml:space="preserve"> </w:t>
      </w:r>
      <w:r w:rsidR="7AB0424C" w:rsidRPr="005A1DC2">
        <w:rPr>
          <w:lang w:val="es-CL"/>
        </w:rPr>
        <w:t>CIDH, Resolución 14/2021, Medida Cautelar No. 1101/20, 20 miembros identificados del Movimiento San Isidro (MSI) respecto de Cuba, 11 de febrero de 2021</w:t>
      </w:r>
      <w:r w:rsidR="7AB0424C" w:rsidRPr="005A1DC2">
        <w:rPr>
          <w:lang w:val="es-AR"/>
        </w:rPr>
        <w:t>, párr. 22.</w:t>
      </w:r>
    </w:p>
  </w:footnote>
  <w:footnote w:id="17">
    <w:p w14:paraId="40006E6A" w14:textId="01A1F0D7" w:rsidR="00E90B8A" w:rsidRPr="005A1DC2" w:rsidRDefault="00E90B8A" w:rsidP="005A1DC2">
      <w:pPr>
        <w:pStyle w:val="FootnoteText"/>
        <w:rPr>
          <w:lang w:val="es-AR"/>
        </w:rPr>
      </w:pPr>
      <w:r w:rsidRPr="005A1DC2">
        <w:rPr>
          <w:color w:val="auto"/>
          <w:vertAlign w:val="superscript"/>
          <w:lang w:val="es-CO"/>
        </w:rPr>
        <w:footnoteRef/>
      </w:r>
      <w:r w:rsidRPr="005A1DC2">
        <w:rPr>
          <w:color w:val="auto"/>
          <w:vertAlign w:val="superscript"/>
          <w:lang w:val="es-CO"/>
        </w:rPr>
        <w:t xml:space="preserve"> </w:t>
      </w:r>
      <w:r w:rsidR="003803D7" w:rsidRPr="005A1DC2">
        <w:rPr>
          <w:color w:val="auto"/>
          <w:vertAlign w:val="superscript"/>
          <w:lang w:val="es-CO"/>
        </w:rPr>
        <w:t xml:space="preserve"> </w:t>
      </w:r>
      <w:r w:rsidR="003803D7" w:rsidRPr="005A1DC2">
        <w:rPr>
          <w:color w:val="auto"/>
          <w:lang w:val="es-CO"/>
        </w:rPr>
        <w:t>Petición Inicial; Comunicación de la parte peticionaria de 13 de marzo de 2019; Comunicación de la parte peticionaria de 18 de marzo de 2021.</w:t>
      </w:r>
    </w:p>
  </w:footnote>
  <w:footnote w:id="18">
    <w:p w14:paraId="4FA4352C" w14:textId="1C84E25D" w:rsidR="00D4444A" w:rsidRPr="005A1DC2" w:rsidRDefault="00D4444A" w:rsidP="005A1DC2">
      <w:pPr>
        <w:pStyle w:val="FootnoteText"/>
        <w:rPr>
          <w:lang w:val="es-AR"/>
        </w:rPr>
      </w:pPr>
      <w:r w:rsidRPr="005A1DC2">
        <w:rPr>
          <w:rStyle w:val="FootnoteReference"/>
        </w:rPr>
        <w:footnoteRef/>
      </w:r>
      <w:r w:rsidR="7AB0424C" w:rsidRPr="005A1DC2">
        <w:rPr>
          <w:lang w:val="es-AR"/>
        </w:rPr>
        <w:t xml:space="preserve"> </w:t>
      </w:r>
      <w:r w:rsidR="7AB0424C" w:rsidRPr="005A1DC2">
        <w:rPr>
          <w:color w:val="auto"/>
          <w:lang w:val="es-AR"/>
        </w:rPr>
        <w:t xml:space="preserve">Amnistía Internacional, Cuba: Preso de conciencia Maykel Osorbo en peligro, 1 de agosto de 2023. Disponible en: </w:t>
      </w:r>
      <w:hyperlink r:id="rId1" w:history="1">
        <w:r w:rsidR="7AB0424C" w:rsidRPr="005A1DC2">
          <w:rPr>
            <w:rStyle w:val="Hyperlink"/>
            <w:color w:val="auto"/>
            <w:lang w:val="es-AR"/>
          </w:rPr>
          <w:t>https://www.amnesty.org/es/documents/amr25/7078/2023/es/</w:t>
        </w:r>
      </w:hyperlink>
      <w:r w:rsidR="7AB0424C" w:rsidRPr="005A1DC2">
        <w:rPr>
          <w:color w:val="auto"/>
          <w:lang w:val="es-AR"/>
        </w:rPr>
        <w:t xml:space="preserve"> </w:t>
      </w:r>
    </w:p>
  </w:footnote>
  <w:footnote w:id="19">
    <w:p w14:paraId="3944687C" w14:textId="3D83BACC" w:rsidR="00613E66" w:rsidRPr="005A1DC2" w:rsidRDefault="00613E66" w:rsidP="005A1DC2">
      <w:pPr>
        <w:pStyle w:val="FootnoteText"/>
        <w:rPr>
          <w:lang w:val="es-AR"/>
        </w:rPr>
      </w:pPr>
      <w:r w:rsidRPr="005A1DC2">
        <w:rPr>
          <w:rStyle w:val="FootnoteReference"/>
        </w:rPr>
        <w:footnoteRef/>
      </w:r>
      <w:r w:rsidRPr="005A1DC2">
        <w:rPr>
          <w:lang w:val="es-AR"/>
        </w:rPr>
        <w:t xml:space="preserve">  </w:t>
      </w:r>
      <w:r w:rsidR="001256B8" w:rsidRPr="005A1DC2">
        <w:rPr>
          <w:color w:val="auto"/>
          <w:lang w:val="es-AR"/>
        </w:rPr>
        <w:t>Petición Inicial.</w:t>
      </w:r>
    </w:p>
  </w:footnote>
  <w:footnote w:id="20">
    <w:p w14:paraId="6D8F7C1D" w14:textId="2D35CF67" w:rsidR="001C05D3" w:rsidRPr="005A1DC2" w:rsidRDefault="001C05D3" w:rsidP="005A1DC2">
      <w:pPr>
        <w:pStyle w:val="FootnoteText"/>
        <w:rPr>
          <w:lang w:val="es-AR"/>
        </w:rPr>
      </w:pPr>
      <w:r w:rsidRPr="005A1DC2">
        <w:rPr>
          <w:rStyle w:val="FootnoteReference"/>
        </w:rPr>
        <w:footnoteRef/>
      </w:r>
      <w:r w:rsidRPr="005A1DC2">
        <w:rPr>
          <w:lang w:val="es-AR"/>
        </w:rPr>
        <w:t xml:space="preserve"> </w:t>
      </w:r>
      <w:r w:rsidR="001256B8" w:rsidRPr="005A1DC2">
        <w:rPr>
          <w:lang w:val="es-AR"/>
        </w:rPr>
        <w:t xml:space="preserve">Anexo </w:t>
      </w:r>
      <w:r w:rsidR="001C3D17" w:rsidRPr="005A1DC2">
        <w:rPr>
          <w:lang w:val="es-AR"/>
        </w:rPr>
        <w:t>1</w:t>
      </w:r>
      <w:r w:rsidR="001256B8" w:rsidRPr="005A1DC2">
        <w:rPr>
          <w:color w:val="auto"/>
          <w:lang w:val="es-AR"/>
        </w:rPr>
        <w:t>. Conclusiones Provisionales de Fiscalía, 14 de diciembre de 2018. Anexo a la comunicación de la parte peticionaria de 13 de marzo de 2019.</w:t>
      </w:r>
    </w:p>
  </w:footnote>
  <w:footnote w:id="21">
    <w:p w14:paraId="4837CF20" w14:textId="42537721" w:rsidR="004C6867" w:rsidRPr="005A1DC2" w:rsidRDefault="004C6867" w:rsidP="005A1DC2">
      <w:pPr>
        <w:pStyle w:val="FootnoteText"/>
        <w:rPr>
          <w:lang w:val="es-AR"/>
        </w:rPr>
      </w:pPr>
      <w:r w:rsidRPr="005A1DC2">
        <w:rPr>
          <w:rStyle w:val="FootnoteReference"/>
        </w:rPr>
        <w:footnoteRef/>
      </w:r>
      <w:r w:rsidR="43155C10" w:rsidRPr="005A1DC2">
        <w:rPr>
          <w:lang w:val="es-AR"/>
        </w:rPr>
        <w:t xml:space="preserve">  </w:t>
      </w:r>
      <w:r w:rsidR="43155C10" w:rsidRPr="005A1DC2">
        <w:rPr>
          <w:color w:val="auto"/>
          <w:lang w:val="es-AR"/>
        </w:rPr>
        <w:t xml:space="preserve">Anexo 2. </w:t>
      </w:r>
      <w:r w:rsidR="43155C10" w:rsidRPr="43155C10">
        <w:rPr>
          <w:lang w:val="es-AR"/>
        </w:rPr>
        <w:t xml:space="preserve">Hábeas corpus, </w:t>
      </w:r>
      <w:r w:rsidR="43155C10" w:rsidRPr="005A1DC2">
        <w:rPr>
          <w:lang w:val="es-AR"/>
        </w:rPr>
        <w:t xml:space="preserve">1 de octubre de </w:t>
      </w:r>
      <w:r w:rsidR="43155C10" w:rsidRPr="005A1DC2">
        <w:rPr>
          <w:color w:val="auto"/>
          <w:lang w:val="es-AR"/>
        </w:rPr>
        <w:t>2018. Anexo a la comunicación de la parte peticionaria de 4 de octubre de 2018.</w:t>
      </w:r>
    </w:p>
  </w:footnote>
  <w:footnote w:id="22">
    <w:p w14:paraId="01C92F9F" w14:textId="555D1739" w:rsidR="00773302" w:rsidRPr="005A1DC2" w:rsidRDefault="00773302" w:rsidP="005A1DC2">
      <w:pPr>
        <w:pStyle w:val="FootnoteText"/>
        <w:rPr>
          <w:lang w:val="es-AR"/>
        </w:rPr>
      </w:pPr>
      <w:r w:rsidRPr="005A1DC2">
        <w:rPr>
          <w:rStyle w:val="FootnoteReference"/>
        </w:rPr>
        <w:footnoteRef/>
      </w:r>
      <w:r w:rsidR="43155C10" w:rsidRPr="005A1DC2">
        <w:rPr>
          <w:lang w:val="es-AR"/>
        </w:rPr>
        <w:t xml:space="preserve">  </w:t>
      </w:r>
      <w:r w:rsidR="43155C10" w:rsidRPr="005A1DC2">
        <w:rPr>
          <w:color w:val="auto"/>
          <w:lang w:val="es-AR"/>
        </w:rPr>
        <w:t xml:space="preserve">Anexo 2. </w:t>
      </w:r>
      <w:r w:rsidR="43155C10" w:rsidRPr="43155C10">
        <w:rPr>
          <w:lang w:val="es-AR"/>
        </w:rPr>
        <w:t>Hábeas corpus,</w:t>
      </w:r>
      <w:r w:rsidR="43155C10" w:rsidRPr="005A1DC2">
        <w:rPr>
          <w:lang w:val="es-AR"/>
        </w:rPr>
        <w:t xml:space="preserve"> 1 de octubre de </w:t>
      </w:r>
      <w:r w:rsidR="43155C10" w:rsidRPr="005A1DC2">
        <w:rPr>
          <w:color w:val="auto"/>
          <w:lang w:val="es-AR"/>
        </w:rPr>
        <w:t>2018. Anexo a la comunicación de la parte peticionaria de 4 de octubre de 2018.</w:t>
      </w:r>
    </w:p>
  </w:footnote>
  <w:footnote w:id="23">
    <w:p w14:paraId="261A7E84" w14:textId="70F5EB46" w:rsidR="00773302" w:rsidRPr="005A1DC2" w:rsidRDefault="00773302" w:rsidP="005A1DC2">
      <w:pPr>
        <w:pStyle w:val="FootnoteText"/>
        <w:rPr>
          <w:lang w:val="es-AR"/>
        </w:rPr>
      </w:pPr>
      <w:r w:rsidRPr="005A1DC2">
        <w:rPr>
          <w:rStyle w:val="FootnoteReference"/>
        </w:rPr>
        <w:footnoteRef/>
      </w:r>
      <w:r w:rsidRPr="005A1DC2">
        <w:rPr>
          <w:lang w:val="es-AR"/>
        </w:rPr>
        <w:t xml:space="preserve"> </w:t>
      </w:r>
      <w:r w:rsidR="001256B8" w:rsidRPr="005A1DC2">
        <w:rPr>
          <w:lang w:val="es-AR"/>
        </w:rPr>
        <w:t xml:space="preserve"> </w:t>
      </w:r>
      <w:r w:rsidR="001256B8" w:rsidRPr="005A1DC2">
        <w:rPr>
          <w:color w:val="auto"/>
          <w:lang w:val="es-AR"/>
        </w:rPr>
        <w:t xml:space="preserve">Anexo </w:t>
      </w:r>
      <w:r w:rsidR="001C3D17" w:rsidRPr="005A1DC2">
        <w:rPr>
          <w:color w:val="auto"/>
          <w:lang w:val="es-AR"/>
        </w:rPr>
        <w:t>3</w:t>
      </w:r>
      <w:r w:rsidR="001256B8" w:rsidRPr="005A1DC2">
        <w:rPr>
          <w:color w:val="auto"/>
          <w:lang w:val="es-AR"/>
        </w:rPr>
        <w:t xml:space="preserve">. </w:t>
      </w:r>
      <w:r w:rsidR="001256B8" w:rsidRPr="005A1DC2">
        <w:rPr>
          <w:lang w:val="es-AR"/>
        </w:rPr>
        <w:t>Comprobante de pago de multa, 2</w:t>
      </w:r>
      <w:r w:rsidR="00B320D3" w:rsidRPr="005A1DC2">
        <w:rPr>
          <w:lang w:val="es-AR"/>
        </w:rPr>
        <w:t>7</w:t>
      </w:r>
      <w:r w:rsidR="001256B8" w:rsidRPr="005A1DC2">
        <w:rPr>
          <w:lang w:val="es-AR"/>
        </w:rPr>
        <w:t xml:space="preserve"> de junio de </w:t>
      </w:r>
      <w:r w:rsidR="001256B8" w:rsidRPr="005A1DC2">
        <w:rPr>
          <w:color w:val="auto"/>
          <w:lang w:val="es-AR"/>
        </w:rPr>
        <w:t xml:space="preserve">2018. Anexo a la comunicación de la parte peticionaria de 4 de octubre de 2018. </w:t>
      </w:r>
    </w:p>
  </w:footnote>
  <w:footnote w:id="24">
    <w:p w14:paraId="432F5DDD" w14:textId="77777777" w:rsidR="00C473AC" w:rsidRPr="005A1DC2" w:rsidRDefault="00C473AC" w:rsidP="005A1DC2">
      <w:pPr>
        <w:pStyle w:val="FootnoteText"/>
        <w:rPr>
          <w:lang w:val="es-AR"/>
        </w:rPr>
      </w:pPr>
      <w:r w:rsidRPr="005A1DC2">
        <w:rPr>
          <w:rStyle w:val="FootnoteReference"/>
        </w:rPr>
        <w:footnoteRef/>
      </w:r>
      <w:r w:rsidRPr="005A1DC2">
        <w:rPr>
          <w:lang w:val="es-AR"/>
        </w:rPr>
        <w:t xml:space="preserve"> </w:t>
      </w:r>
      <w:r w:rsidRPr="005A1DC2">
        <w:rPr>
          <w:color w:val="auto"/>
          <w:lang w:val="es-CO"/>
        </w:rPr>
        <w:t xml:space="preserve">Comunicación de la parte peticionaria de </w:t>
      </w:r>
      <w:r w:rsidRPr="005A1DC2">
        <w:rPr>
          <w:color w:val="auto"/>
          <w:lang w:val="es-AR"/>
        </w:rPr>
        <w:t>13 de marzo de 2019.</w:t>
      </w:r>
    </w:p>
  </w:footnote>
  <w:footnote w:id="25">
    <w:p w14:paraId="4DE71FD1" w14:textId="00725B27" w:rsidR="00A26A03" w:rsidRPr="005A1DC2" w:rsidRDefault="00A26A03" w:rsidP="005A1DC2">
      <w:pPr>
        <w:pStyle w:val="FootnoteText"/>
        <w:rPr>
          <w:lang w:val="es-AR"/>
        </w:rPr>
      </w:pPr>
      <w:r w:rsidRPr="005A1DC2">
        <w:rPr>
          <w:rStyle w:val="FootnoteReference"/>
        </w:rPr>
        <w:footnoteRef/>
      </w:r>
      <w:r w:rsidRPr="005A1DC2">
        <w:rPr>
          <w:lang w:val="es-AR"/>
        </w:rPr>
        <w:t xml:space="preserve"> </w:t>
      </w:r>
      <w:r w:rsidRPr="005A1DC2">
        <w:rPr>
          <w:color w:val="auto"/>
          <w:lang w:val="es-AR"/>
        </w:rPr>
        <w:t>Petición Inicial</w:t>
      </w:r>
      <w:r w:rsidR="001256B8" w:rsidRPr="005A1DC2">
        <w:rPr>
          <w:color w:val="auto"/>
          <w:lang w:val="es-AR"/>
        </w:rPr>
        <w:t>.</w:t>
      </w:r>
    </w:p>
  </w:footnote>
  <w:footnote w:id="26">
    <w:p w14:paraId="24146B3E" w14:textId="78EDC939" w:rsidR="00A26A03" w:rsidRPr="005A1DC2" w:rsidRDefault="00A26A03" w:rsidP="005A1DC2">
      <w:pPr>
        <w:pStyle w:val="FootnoteText"/>
        <w:rPr>
          <w:lang w:val="es-AR"/>
        </w:rPr>
      </w:pPr>
      <w:r w:rsidRPr="005A1DC2">
        <w:rPr>
          <w:rStyle w:val="FootnoteReference"/>
        </w:rPr>
        <w:footnoteRef/>
      </w:r>
      <w:r w:rsidR="43155C10" w:rsidRPr="005A1DC2">
        <w:rPr>
          <w:lang w:val="es-AR"/>
        </w:rPr>
        <w:t xml:space="preserve"> </w:t>
      </w:r>
      <w:r w:rsidR="43155C10" w:rsidRPr="005A1DC2">
        <w:rPr>
          <w:color w:val="auto"/>
          <w:lang w:val="es-AR"/>
        </w:rPr>
        <w:t xml:space="preserve">Anexo 2. </w:t>
      </w:r>
      <w:r w:rsidR="43155C10" w:rsidRPr="43155C10">
        <w:rPr>
          <w:lang w:val="es-AR"/>
        </w:rPr>
        <w:t xml:space="preserve">Hábeas corpus </w:t>
      </w:r>
      <w:r w:rsidR="43155C10" w:rsidRPr="005A1DC2">
        <w:rPr>
          <w:lang w:val="es-AR"/>
        </w:rPr>
        <w:t xml:space="preserve">1 de octubre de </w:t>
      </w:r>
      <w:r w:rsidR="43155C10" w:rsidRPr="005A1DC2">
        <w:rPr>
          <w:color w:val="auto"/>
          <w:lang w:val="es-AR"/>
        </w:rPr>
        <w:t>2018. Anexo a la comunicación de la parte peticionaria de 4 de octubre de 2018.</w:t>
      </w:r>
    </w:p>
  </w:footnote>
  <w:footnote w:id="27">
    <w:p w14:paraId="38F1544E" w14:textId="1C3DC98E" w:rsidR="001C05D3" w:rsidRPr="005A1DC2" w:rsidRDefault="001C05D3" w:rsidP="005A1DC2">
      <w:pPr>
        <w:pStyle w:val="FootnoteText"/>
        <w:rPr>
          <w:lang w:val="es-AR"/>
        </w:rPr>
      </w:pPr>
      <w:r w:rsidRPr="005A1DC2">
        <w:rPr>
          <w:rStyle w:val="FootnoteReference"/>
        </w:rPr>
        <w:footnoteRef/>
      </w:r>
      <w:r w:rsidR="43155C10" w:rsidRPr="005A1DC2">
        <w:rPr>
          <w:lang w:val="es-AR"/>
        </w:rPr>
        <w:t xml:space="preserve"> </w:t>
      </w:r>
      <w:r w:rsidR="43155C10" w:rsidRPr="005A1DC2">
        <w:rPr>
          <w:color w:val="auto"/>
          <w:lang w:val="es-AR"/>
        </w:rPr>
        <w:t xml:space="preserve">Anexo 2. </w:t>
      </w:r>
      <w:r w:rsidR="43155C10" w:rsidRPr="005A1DC2">
        <w:rPr>
          <w:lang w:val="es-AR"/>
        </w:rPr>
        <w:t xml:space="preserve">Hábeas corpus, 1 de octubre de </w:t>
      </w:r>
      <w:r w:rsidR="43155C10" w:rsidRPr="005A1DC2">
        <w:rPr>
          <w:color w:val="auto"/>
          <w:lang w:val="es-AR"/>
        </w:rPr>
        <w:t xml:space="preserve">2018. Anexo a la comunicación de la parte peticionaria de 4 de octubre de 2018. </w:t>
      </w:r>
    </w:p>
  </w:footnote>
  <w:footnote w:id="28">
    <w:p w14:paraId="19117806" w14:textId="1769B22C" w:rsidR="00540B3F" w:rsidRPr="005A1DC2" w:rsidRDefault="00540B3F" w:rsidP="005A1DC2">
      <w:pPr>
        <w:pStyle w:val="FootnoteText"/>
        <w:rPr>
          <w:color w:val="auto"/>
          <w:lang w:val="es-AR"/>
        </w:rPr>
      </w:pPr>
      <w:r w:rsidRPr="005A1DC2">
        <w:rPr>
          <w:color w:val="auto"/>
          <w:vertAlign w:val="superscript"/>
          <w:lang w:val="es-AR"/>
        </w:rPr>
        <w:footnoteRef/>
      </w:r>
      <w:r w:rsidR="00090E1A" w:rsidRPr="005A1DC2">
        <w:rPr>
          <w:color w:val="auto"/>
          <w:lang w:val="es-AR"/>
        </w:rPr>
        <w:t xml:space="preserve"> </w:t>
      </w:r>
      <w:r w:rsidR="00683EDE" w:rsidRPr="005A1DC2">
        <w:rPr>
          <w:color w:val="auto"/>
          <w:lang w:val="es-AR"/>
        </w:rPr>
        <w:t xml:space="preserve">Anexo </w:t>
      </w:r>
      <w:r w:rsidR="001C3D17" w:rsidRPr="005A1DC2">
        <w:rPr>
          <w:color w:val="auto"/>
          <w:lang w:val="es-AR"/>
        </w:rPr>
        <w:t>4</w:t>
      </w:r>
      <w:r w:rsidR="00683EDE" w:rsidRPr="005A1DC2">
        <w:rPr>
          <w:color w:val="auto"/>
          <w:lang w:val="es-AR"/>
        </w:rPr>
        <w:t>. Resolución</w:t>
      </w:r>
      <w:r w:rsidRPr="005A1DC2">
        <w:rPr>
          <w:color w:val="auto"/>
          <w:lang w:val="es-AR"/>
        </w:rPr>
        <w:t xml:space="preserve"> del Tribunal Provincial Popular de La Habana, Sala Cuarta de lo Penal, 9 de octubre de 2018.</w:t>
      </w:r>
      <w:r w:rsidR="00683EDE" w:rsidRPr="005A1DC2">
        <w:rPr>
          <w:color w:val="auto"/>
          <w:lang w:val="es-AR"/>
        </w:rPr>
        <w:t xml:space="preserve"> Anexo a la comunicación de la parte peticionaria de 13 de marzo de 2019.</w:t>
      </w:r>
    </w:p>
  </w:footnote>
  <w:footnote w:id="29">
    <w:p w14:paraId="3008C637" w14:textId="1A34E92E" w:rsidR="00090E1A" w:rsidRPr="005A1DC2" w:rsidRDefault="00090E1A" w:rsidP="005A1DC2">
      <w:pPr>
        <w:pStyle w:val="FootnoteText"/>
        <w:rPr>
          <w:lang w:val="es-AR"/>
        </w:rPr>
      </w:pPr>
      <w:r w:rsidRPr="005A1DC2">
        <w:rPr>
          <w:rStyle w:val="FootnoteReference"/>
        </w:rPr>
        <w:footnoteRef/>
      </w:r>
      <w:r w:rsidRPr="005A1DC2">
        <w:rPr>
          <w:lang w:val="es-AR"/>
        </w:rPr>
        <w:t xml:space="preserve"> </w:t>
      </w:r>
      <w:bookmarkStart w:id="22" w:name="_Hlk172883940"/>
      <w:r w:rsidRPr="005A1DC2">
        <w:rPr>
          <w:rStyle w:val="normaltextrun"/>
          <w:bdr w:val="none" w:sz="0" w:space="0" w:color="auto" w:frame="1"/>
          <w:lang w:val="es-AR"/>
        </w:rPr>
        <w:t xml:space="preserve">Anexo </w:t>
      </w:r>
      <w:r w:rsidR="001C3D17" w:rsidRPr="005A1DC2">
        <w:rPr>
          <w:rStyle w:val="normaltextrun"/>
          <w:bdr w:val="none" w:sz="0" w:space="0" w:color="auto" w:frame="1"/>
          <w:lang w:val="es-AR"/>
        </w:rPr>
        <w:t>4</w:t>
      </w:r>
      <w:r w:rsidRPr="005A1DC2">
        <w:rPr>
          <w:rStyle w:val="normaltextrun"/>
          <w:bdr w:val="none" w:sz="0" w:space="0" w:color="auto" w:frame="1"/>
          <w:lang w:val="es-AR"/>
        </w:rPr>
        <w:t>. Resolución del Tribunal Provincial Popular de La Habana, Sala Cuarta de lo Penal, 12 de octubre de 2018. Anexo a la comunicación de la parte peticionaria de 13 de marzo de 2019.</w:t>
      </w:r>
      <w:bookmarkEnd w:id="22"/>
    </w:p>
  </w:footnote>
  <w:footnote w:id="30">
    <w:p w14:paraId="560FBD69" w14:textId="4B6449E2" w:rsidR="00540B3F" w:rsidRPr="005A1DC2" w:rsidRDefault="00540B3F" w:rsidP="005A1DC2">
      <w:pPr>
        <w:pStyle w:val="FootnoteText"/>
        <w:rPr>
          <w:color w:val="auto"/>
          <w:lang w:val="es-AR"/>
        </w:rPr>
      </w:pPr>
      <w:r w:rsidRPr="005A1DC2">
        <w:rPr>
          <w:rStyle w:val="FootnoteReference"/>
          <w:color w:val="auto"/>
        </w:rPr>
        <w:footnoteRef/>
      </w:r>
      <w:r w:rsidRPr="005A1DC2">
        <w:rPr>
          <w:color w:val="auto"/>
          <w:lang w:val="es-AR"/>
        </w:rPr>
        <w:t xml:space="preserve"> </w:t>
      </w:r>
      <w:r w:rsidR="00683EDE" w:rsidRPr="005A1DC2">
        <w:rPr>
          <w:color w:val="auto"/>
          <w:lang w:val="es-AR"/>
        </w:rPr>
        <w:t xml:space="preserve">Anexo </w:t>
      </w:r>
      <w:r w:rsidR="001C3D17" w:rsidRPr="005A1DC2">
        <w:rPr>
          <w:color w:val="auto"/>
          <w:lang w:val="es-AR"/>
        </w:rPr>
        <w:t>4</w:t>
      </w:r>
      <w:r w:rsidR="00683EDE" w:rsidRPr="005A1DC2">
        <w:rPr>
          <w:color w:val="auto"/>
          <w:lang w:val="es-AR"/>
        </w:rPr>
        <w:t xml:space="preserve">. </w:t>
      </w:r>
      <w:r w:rsidRPr="005A1DC2">
        <w:rPr>
          <w:color w:val="auto"/>
          <w:lang w:val="es-AR"/>
        </w:rPr>
        <w:t>Resolución del Tribunal Provincial Popular de La Habana, Sala Cuarta de lo Penal, 12 de octubre de 2018.</w:t>
      </w:r>
      <w:r w:rsidR="00683EDE" w:rsidRPr="005A1DC2">
        <w:rPr>
          <w:color w:val="auto"/>
          <w:lang w:val="es-AR"/>
        </w:rPr>
        <w:t xml:space="preserve"> Anexo a la comunicación de la parte peticionaria de 13 de marzo de 2019.</w:t>
      </w:r>
    </w:p>
  </w:footnote>
  <w:footnote w:id="31">
    <w:p w14:paraId="3DEA0F40" w14:textId="0A49A10E" w:rsidR="00540B3F" w:rsidRPr="005A1DC2" w:rsidRDefault="00540B3F" w:rsidP="005A1DC2">
      <w:pPr>
        <w:pStyle w:val="FootnoteText"/>
        <w:rPr>
          <w:lang w:val="es-AR"/>
        </w:rPr>
      </w:pPr>
      <w:r w:rsidRPr="005A1DC2">
        <w:rPr>
          <w:rStyle w:val="FootnoteReference"/>
          <w:color w:val="auto"/>
        </w:rPr>
        <w:footnoteRef/>
      </w:r>
      <w:r w:rsidRPr="005A1DC2">
        <w:rPr>
          <w:color w:val="auto"/>
          <w:lang w:val="es-AR"/>
        </w:rPr>
        <w:t xml:space="preserve"> </w:t>
      </w:r>
      <w:r w:rsidR="00683EDE" w:rsidRPr="005A1DC2">
        <w:rPr>
          <w:color w:val="auto"/>
          <w:lang w:val="es-AR"/>
        </w:rPr>
        <w:t xml:space="preserve">Anexo </w:t>
      </w:r>
      <w:r w:rsidR="001C3D17" w:rsidRPr="005A1DC2">
        <w:rPr>
          <w:color w:val="auto"/>
          <w:lang w:val="es-AR"/>
        </w:rPr>
        <w:t>4</w:t>
      </w:r>
      <w:r w:rsidR="00683EDE" w:rsidRPr="005A1DC2">
        <w:rPr>
          <w:color w:val="auto"/>
          <w:lang w:val="es-AR"/>
        </w:rPr>
        <w:t xml:space="preserve">. </w:t>
      </w:r>
      <w:r w:rsidRPr="005A1DC2">
        <w:rPr>
          <w:color w:val="auto"/>
          <w:lang w:val="es-AR"/>
        </w:rPr>
        <w:t>Resolución del Tribunal Provincial Popular de La Habana, Sala Cuarta de lo Penal, 17 de octubre de 2018.</w:t>
      </w:r>
      <w:r w:rsidR="00683EDE" w:rsidRPr="005A1DC2">
        <w:rPr>
          <w:color w:val="auto"/>
          <w:lang w:val="es-AR"/>
        </w:rPr>
        <w:t xml:space="preserve"> Anexo a la comunicación de la parte peticionaria de 13 de marzo de 2019.</w:t>
      </w:r>
    </w:p>
  </w:footnote>
  <w:footnote w:id="32">
    <w:p w14:paraId="4A2FC220" w14:textId="1306FF5A" w:rsidR="009B54B5" w:rsidRPr="005A1DC2" w:rsidRDefault="009B54B5" w:rsidP="005A1DC2">
      <w:pPr>
        <w:pStyle w:val="FootnoteText"/>
        <w:rPr>
          <w:lang w:val="es-AR"/>
        </w:rPr>
      </w:pPr>
      <w:r w:rsidRPr="005A1DC2">
        <w:rPr>
          <w:rStyle w:val="FootnoteReference"/>
        </w:rPr>
        <w:footnoteRef/>
      </w:r>
      <w:r w:rsidRPr="005A1DC2">
        <w:rPr>
          <w:lang w:val="es-AR"/>
        </w:rPr>
        <w:t xml:space="preserve"> </w:t>
      </w:r>
      <w:r w:rsidR="00683EDE" w:rsidRPr="005A1DC2">
        <w:rPr>
          <w:lang w:val="es-AR"/>
        </w:rPr>
        <w:t>Comunicación d</w:t>
      </w:r>
      <w:r w:rsidRPr="005A1DC2">
        <w:rPr>
          <w:lang w:val="es-AR"/>
        </w:rPr>
        <w:t>e la parte peticionaria</w:t>
      </w:r>
      <w:r w:rsidR="00683EDE" w:rsidRPr="005A1DC2">
        <w:rPr>
          <w:lang w:val="es-AR"/>
        </w:rPr>
        <w:t xml:space="preserve"> de</w:t>
      </w:r>
      <w:r w:rsidRPr="005A1DC2">
        <w:rPr>
          <w:lang w:val="es-AR"/>
        </w:rPr>
        <w:t xml:space="preserve"> 13 de marzo de 2019</w:t>
      </w:r>
      <w:r w:rsidR="00683EDE" w:rsidRPr="005A1DC2">
        <w:rPr>
          <w:lang w:val="es-AR"/>
        </w:rPr>
        <w:t>.</w:t>
      </w:r>
    </w:p>
  </w:footnote>
  <w:footnote w:id="33">
    <w:p w14:paraId="3B731D9F" w14:textId="22A0984F" w:rsidR="00540B3F" w:rsidRPr="005A1DC2" w:rsidRDefault="00540B3F" w:rsidP="005A1DC2">
      <w:pPr>
        <w:pStyle w:val="FootnoteText"/>
        <w:rPr>
          <w:lang w:val="es-AR"/>
        </w:rPr>
      </w:pPr>
      <w:r w:rsidRPr="005A1DC2">
        <w:rPr>
          <w:rStyle w:val="FootnoteReference"/>
        </w:rPr>
        <w:footnoteRef/>
      </w:r>
      <w:r w:rsidRPr="005A1DC2">
        <w:rPr>
          <w:lang w:val="es-AR"/>
        </w:rPr>
        <w:t xml:space="preserve"> </w:t>
      </w:r>
      <w:r w:rsidR="001256B8" w:rsidRPr="005A1DC2">
        <w:rPr>
          <w:lang w:val="es-AR"/>
        </w:rPr>
        <w:t xml:space="preserve">Anexo </w:t>
      </w:r>
      <w:r w:rsidR="001C3D17" w:rsidRPr="005A1DC2">
        <w:rPr>
          <w:lang w:val="es-AR"/>
        </w:rPr>
        <w:t>1</w:t>
      </w:r>
      <w:r w:rsidR="001256B8" w:rsidRPr="005A1DC2">
        <w:rPr>
          <w:color w:val="auto"/>
          <w:lang w:val="es-AR"/>
        </w:rPr>
        <w:t>. Conclusiones Provisionales</w:t>
      </w:r>
      <w:r w:rsidRPr="005A1DC2">
        <w:rPr>
          <w:color w:val="auto"/>
          <w:lang w:val="es-AR"/>
        </w:rPr>
        <w:t xml:space="preserve"> de Fiscalía, 14 de diciembre de 2018.</w:t>
      </w:r>
      <w:r w:rsidR="001256B8" w:rsidRPr="005A1DC2">
        <w:rPr>
          <w:color w:val="auto"/>
          <w:lang w:val="es-AR"/>
        </w:rPr>
        <w:t xml:space="preserve"> Anexo a la comunicación de la parte peticionaria de 13 de marzo de 2019.</w:t>
      </w:r>
    </w:p>
  </w:footnote>
  <w:footnote w:id="34">
    <w:p w14:paraId="2F149B0D" w14:textId="1439FE61" w:rsidR="00540B3F" w:rsidRPr="005A1DC2" w:rsidRDefault="00540B3F" w:rsidP="005A1DC2">
      <w:pPr>
        <w:pStyle w:val="FootnoteText"/>
        <w:rPr>
          <w:lang w:val="es-AR"/>
        </w:rPr>
      </w:pPr>
      <w:r w:rsidRPr="005A1DC2">
        <w:rPr>
          <w:rStyle w:val="FootnoteReference"/>
          <w:color w:val="auto"/>
        </w:rPr>
        <w:footnoteRef/>
      </w:r>
      <w:r w:rsidRPr="005A1DC2">
        <w:rPr>
          <w:color w:val="auto"/>
          <w:lang w:val="es-AR"/>
        </w:rPr>
        <w:t xml:space="preserve"> </w:t>
      </w:r>
      <w:bookmarkStart w:id="23" w:name="_Hlk172884094"/>
      <w:r w:rsidR="00683EDE" w:rsidRPr="005A1DC2">
        <w:rPr>
          <w:color w:val="auto"/>
          <w:lang w:val="es-AR"/>
        </w:rPr>
        <w:t xml:space="preserve">Anexo </w:t>
      </w:r>
      <w:r w:rsidR="001C3D17" w:rsidRPr="005A1DC2">
        <w:rPr>
          <w:color w:val="auto"/>
          <w:lang w:val="es-AR"/>
        </w:rPr>
        <w:t>5</w:t>
      </w:r>
      <w:r w:rsidR="00683EDE" w:rsidRPr="005A1DC2">
        <w:rPr>
          <w:color w:val="auto"/>
          <w:lang w:val="es-AR"/>
        </w:rPr>
        <w:t xml:space="preserve">. </w:t>
      </w:r>
      <w:r w:rsidRPr="005A1DC2">
        <w:rPr>
          <w:color w:val="auto"/>
          <w:lang w:val="es-AR"/>
        </w:rPr>
        <w:t>Resolución Tribunal Supremo Popular, 18 de enero de 2019.</w:t>
      </w:r>
      <w:r w:rsidR="00683EDE" w:rsidRPr="005A1DC2">
        <w:rPr>
          <w:color w:val="auto"/>
          <w:lang w:val="es-AR"/>
        </w:rPr>
        <w:t xml:space="preserve"> Anexo a la comunicación de la parte peticionaria de 13 de marzo de 2019.</w:t>
      </w:r>
      <w:bookmarkEnd w:id="23"/>
    </w:p>
  </w:footnote>
  <w:footnote w:id="35">
    <w:p w14:paraId="0299ABF8" w14:textId="3E3E26F0" w:rsidR="004C6867" w:rsidRPr="005A1DC2" w:rsidRDefault="004C6867" w:rsidP="005A1DC2">
      <w:pPr>
        <w:pStyle w:val="FootnoteText"/>
        <w:rPr>
          <w:lang w:val="es-AR"/>
        </w:rPr>
      </w:pPr>
      <w:r w:rsidRPr="005A1DC2">
        <w:rPr>
          <w:rStyle w:val="FootnoteReference"/>
        </w:rPr>
        <w:footnoteRef/>
      </w:r>
      <w:r w:rsidRPr="005A1DC2">
        <w:rPr>
          <w:lang w:val="es-AR"/>
        </w:rPr>
        <w:t xml:space="preserve"> </w:t>
      </w:r>
      <w:r w:rsidRPr="005A1DC2">
        <w:rPr>
          <w:color w:val="auto"/>
          <w:lang w:val="es-CO"/>
        </w:rPr>
        <w:t>Comunicación de la parte peticionaria de 18 de marzo de 2021.</w:t>
      </w:r>
    </w:p>
  </w:footnote>
  <w:footnote w:id="36">
    <w:p w14:paraId="09A4A04B" w14:textId="4E8422F6" w:rsidR="001C7DE6" w:rsidRPr="005A1DC2" w:rsidRDefault="001C7DE6" w:rsidP="005A1DC2">
      <w:pPr>
        <w:pStyle w:val="FootnoteText"/>
        <w:rPr>
          <w:lang w:val="es-AR"/>
        </w:rPr>
      </w:pPr>
      <w:r w:rsidRPr="005A1DC2">
        <w:rPr>
          <w:rStyle w:val="FootnoteReference"/>
        </w:rPr>
        <w:footnoteRef/>
      </w:r>
      <w:r w:rsidRPr="005A1DC2">
        <w:rPr>
          <w:lang w:val="es-AR"/>
        </w:rPr>
        <w:t xml:space="preserve"> </w:t>
      </w:r>
      <w:r w:rsidR="003803D7" w:rsidRPr="005A1DC2">
        <w:rPr>
          <w:color w:val="auto"/>
          <w:lang w:val="es-CO"/>
        </w:rPr>
        <w:t>Comunicación de la parte peticionaria de 18 de marzo de 2021.</w:t>
      </w:r>
    </w:p>
  </w:footnote>
  <w:footnote w:id="37">
    <w:p w14:paraId="6AB98D64" w14:textId="5AE64223" w:rsidR="001C7DE6" w:rsidRPr="005A1DC2" w:rsidRDefault="001C7DE6" w:rsidP="005A1DC2">
      <w:pPr>
        <w:pStyle w:val="FootnoteText"/>
        <w:rPr>
          <w:lang w:val="es-AR"/>
        </w:rPr>
      </w:pPr>
      <w:r w:rsidRPr="005A1DC2">
        <w:rPr>
          <w:rStyle w:val="FootnoteReference"/>
        </w:rPr>
        <w:footnoteRef/>
      </w:r>
      <w:r w:rsidRPr="005A1DC2">
        <w:rPr>
          <w:lang w:val="es-AR"/>
        </w:rPr>
        <w:t xml:space="preserve"> </w:t>
      </w:r>
      <w:r w:rsidR="003803D7" w:rsidRPr="005A1DC2">
        <w:rPr>
          <w:color w:val="auto"/>
          <w:lang w:val="es-CO"/>
        </w:rPr>
        <w:t>Comunicación de la parte peticionaria de 18 de marzo de 2021.</w:t>
      </w:r>
    </w:p>
  </w:footnote>
  <w:footnote w:id="38">
    <w:p w14:paraId="3888B8CA" w14:textId="77777777" w:rsidR="003F4419" w:rsidRPr="005A1DC2" w:rsidRDefault="003F4419" w:rsidP="005A1DC2">
      <w:pPr>
        <w:pStyle w:val="FootnoteText"/>
        <w:rPr>
          <w:lang w:val="es-AR"/>
        </w:rPr>
      </w:pPr>
      <w:r w:rsidRPr="005A1DC2">
        <w:rPr>
          <w:rStyle w:val="FootnoteReference"/>
        </w:rPr>
        <w:footnoteRef/>
      </w:r>
      <w:r w:rsidRPr="005A1DC2">
        <w:rPr>
          <w:lang w:val="es-AR"/>
        </w:rPr>
        <w:t xml:space="preserve"> </w:t>
      </w:r>
      <w:r w:rsidRPr="005A1DC2">
        <w:rPr>
          <w:color w:val="auto"/>
          <w:lang w:val="es-CO"/>
        </w:rPr>
        <w:t>Comunicación de la parte peticionaria de 18 de marzo de 2021.</w:t>
      </w:r>
    </w:p>
  </w:footnote>
  <w:footnote w:id="39">
    <w:p w14:paraId="7A0BC893" w14:textId="77777777" w:rsidR="003F4419" w:rsidRPr="005A1DC2" w:rsidRDefault="003F4419" w:rsidP="005A1DC2">
      <w:pPr>
        <w:pStyle w:val="FootnoteText"/>
        <w:rPr>
          <w:lang w:val="es-AR"/>
        </w:rPr>
      </w:pPr>
      <w:r w:rsidRPr="005A1DC2">
        <w:rPr>
          <w:rStyle w:val="FootnoteReference"/>
        </w:rPr>
        <w:footnoteRef/>
      </w:r>
      <w:r w:rsidRPr="005A1DC2">
        <w:rPr>
          <w:lang w:val="es-AR"/>
        </w:rPr>
        <w:t xml:space="preserve"> </w:t>
      </w:r>
      <w:r w:rsidRPr="005A1DC2">
        <w:rPr>
          <w:color w:val="auto"/>
          <w:lang w:val="es-CO"/>
        </w:rPr>
        <w:t>Comunicación de la parte peticionaria de 18 de marzo de 2021.</w:t>
      </w:r>
    </w:p>
  </w:footnote>
  <w:footnote w:id="40">
    <w:p w14:paraId="6967CCB0" w14:textId="77777777" w:rsidR="003F4419" w:rsidRPr="005A1DC2" w:rsidRDefault="003F4419" w:rsidP="005A1DC2">
      <w:pPr>
        <w:pStyle w:val="FootnoteText"/>
        <w:rPr>
          <w:lang w:val="es-AR"/>
        </w:rPr>
      </w:pPr>
      <w:r w:rsidRPr="005A1DC2">
        <w:rPr>
          <w:rStyle w:val="FootnoteReference"/>
        </w:rPr>
        <w:footnoteRef/>
      </w:r>
      <w:r w:rsidRPr="005A1DC2">
        <w:rPr>
          <w:lang w:val="es-AR"/>
        </w:rPr>
        <w:t xml:space="preserve"> </w:t>
      </w:r>
      <w:r w:rsidRPr="005A1DC2">
        <w:rPr>
          <w:color w:val="auto"/>
          <w:lang w:val="es-CO"/>
        </w:rPr>
        <w:t>Comunicación de la parte peticionaria de 18 de marzo de 2021.</w:t>
      </w:r>
    </w:p>
  </w:footnote>
  <w:footnote w:id="41">
    <w:p w14:paraId="64926890" w14:textId="26A31EED" w:rsidR="00300A44" w:rsidRPr="005A1DC2" w:rsidRDefault="00300A44" w:rsidP="005A1DC2">
      <w:pPr>
        <w:pStyle w:val="FootnoteText"/>
        <w:rPr>
          <w:lang w:val="es-AR"/>
        </w:rPr>
      </w:pPr>
      <w:r w:rsidRPr="005A1DC2">
        <w:rPr>
          <w:rStyle w:val="FootnoteReference"/>
        </w:rPr>
        <w:footnoteRef/>
      </w:r>
      <w:r w:rsidRPr="005A1DC2">
        <w:rPr>
          <w:lang w:val="es-AR"/>
        </w:rPr>
        <w:t xml:space="preserve"> </w:t>
      </w:r>
      <w:r w:rsidRPr="005A1DC2">
        <w:rPr>
          <w:color w:val="auto"/>
          <w:lang w:val="es-CO"/>
        </w:rPr>
        <w:t>Comunicación de la parte peticionaria de 18 de marzo de 2021.</w:t>
      </w:r>
    </w:p>
  </w:footnote>
  <w:footnote w:id="42">
    <w:p w14:paraId="6BAD7A2B" w14:textId="46E3CCB5" w:rsidR="00300A44" w:rsidRPr="005A1DC2" w:rsidRDefault="00300A44" w:rsidP="005A1DC2">
      <w:pPr>
        <w:pStyle w:val="FootnoteText"/>
        <w:rPr>
          <w:rFonts w:cs="TimesNewRomanPSMT"/>
          <w:color w:val="FF0000"/>
          <w:lang w:val="es-AR"/>
        </w:rPr>
      </w:pPr>
      <w:r w:rsidRPr="005A1DC2">
        <w:rPr>
          <w:rStyle w:val="FootnoteReference"/>
        </w:rPr>
        <w:footnoteRef/>
      </w:r>
      <w:r w:rsidRPr="005A1DC2">
        <w:rPr>
          <w:lang w:val="es-ES"/>
        </w:rPr>
        <w:t xml:space="preserve">YouTube, Arrestos y golpes contra artistas y activistas en La Habana, 12 de junio de 2020. Disponible en: </w:t>
      </w:r>
      <w:hyperlink r:id="rId2" w:history="1">
        <w:r w:rsidRPr="005A1DC2">
          <w:rPr>
            <w:rStyle w:val="Hyperlink"/>
            <w:rFonts w:cs="TimesNewRomanPSMT"/>
            <w:lang w:val="es-AR"/>
          </w:rPr>
          <w:t>https://www.youtube.com/watch?v=Vq7pgRQAxS0&amp;has_verified=1</w:t>
        </w:r>
      </w:hyperlink>
      <w:r w:rsidRPr="005A1DC2">
        <w:rPr>
          <w:rStyle w:val="Hyperlink"/>
          <w:rFonts w:cs="TimesNewRomanPSMT"/>
          <w:lang w:val="es-AR"/>
        </w:rPr>
        <w:t xml:space="preserve"> </w:t>
      </w:r>
    </w:p>
  </w:footnote>
  <w:footnote w:id="43">
    <w:p w14:paraId="6BBACE7F" w14:textId="71688A6B" w:rsidR="00300A44" w:rsidRPr="005A1DC2" w:rsidRDefault="00300A44" w:rsidP="005A1DC2">
      <w:pPr>
        <w:pStyle w:val="FootnoteText"/>
        <w:rPr>
          <w:lang w:val="es-AR"/>
        </w:rPr>
      </w:pPr>
      <w:r w:rsidRPr="005A1DC2">
        <w:rPr>
          <w:rStyle w:val="FootnoteReference"/>
        </w:rPr>
        <w:footnoteRef/>
      </w:r>
      <w:r w:rsidRPr="005A1DC2">
        <w:rPr>
          <w:lang w:val="es-AR"/>
        </w:rPr>
        <w:t xml:space="preserve"> </w:t>
      </w:r>
      <w:r w:rsidRPr="005A1DC2">
        <w:rPr>
          <w:color w:val="auto"/>
          <w:lang w:val="es-CO"/>
        </w:rPr>
        <w:t>Comunicación de la parte peticionaria de 18 de marzo de 2021.</w:t>
      </w:r>
    </w:p>
  </w:footnote>
  <w:footnote w:id="44">
    <w:p w14:paraId="194C9C53" w14:textId="3D2110E5" w:rsidR="008F6B18" w:rsidRPr="005A1DC2" w:rsidRDefault="008F6B18" w:rsidP="005A1DC2">
      <w:pPr>
        <w:pStyle w:val="FootnoteText"/>
        <w:rPr>
          <w:lang w:val="es-AR"/>
        </w:rPr>
      </w:pPr>
      <w:r w:rsidRPr="005A1DC2">
        <w:rPr>
          <w:rStyle w:val="FootnoteReference"/>
        </w:rPr>
        <w:footnoteRef/>
      </w:r>
      <w:r w:rsidRPr="005A1DC2">
        <w:rPr>
          <w:lang w:val="es-AR"/>
        </w:rPr>
        <w:t xml:space="preserve"> ADN Cuba. Seguridad del Estado detiene a Maykel Osorbo para impedirle asistir a la protesta de hoy. 30 de junio de 2020. Disponible en: </w:t>
      </w:r>
      <w:hyperlink r:id="rId3" w:history="1">
        <w:r w:rsidRPr="005A1DC2">
          <w:rPr>
            <w:rStyle w:val="Hyperlink"/>
            <w:rFonts w:cs="TimesNewRomanPSMT"/>
            <w:lang w:val="es-AR"/>
          </w:rPr>
          <w:t>https://adncuba.com/noticias-de-cuba/actualidad/seguridad-del-estado-detiene-maykel-osorbo-para-impedirle-asistir-la?fbclid=IwAR1Fjn-NWrfdxH5u7sqOcTqiae-xbDpQ7r-B0PjURiCG_ozi4xlnZWImBYo</w:t>
        </w:r>
      </w:hyperlink>
      <w:r w:rsidRPr="005A1DC2">
        <w:rPr>
          <w:rStyle w:val="Hyperlink"/>
          <w:rFonts w:cs="TimesNewRomanPSMT"/>
          <w:lang w:val="es-AR"/>
        </w:rPr>
        <w:t xml:space="preserve"> </w:t>
      </w:r>
      <w:r w:rsidRPr="005A1DC2">
        <w:rPr>
          <w:lang w:val="es-AR"/>
        </w:rPr>
        <w:t xml:space="preserve"> </w:t>
      </w:r>
    </w:p>
  </w:footnote>
  <w:footnote w:id="45">
    <w:p w14:paraId="683FA84F" w14:textId="30C51826" w:rsidR="003F4419" w:rsidRPr="005A1DC2" w:rsidRDefault="003F4419" w:rsidP="005A1DC2">
      <w:pPr>
        <w:pStyle w:val="FootnoteText"/>
        <w:rPr>
          <w:color w:val="auto"/>
          <w:lang w:val="es-CO"/>
        </w:rPr>
      </w:pPr>
      <w:r w:rsidRPr="005A1DC2">
        <w:rPr>
          <w:rStyle w:val="FootnoteReference"/>
        </w:rPr>
        <w:footnoteRef/>
      </w:r>
      <w:r w:rsidRPr="005A1DC2">
        <w:rPr>
          <w:lang w:val="es-AR"/>
        </w:rPr>
        <w:t xml:space="preserve"> </w:t>
      </w:r>
      <w:r w:rsidRPr="005A1DC2">
        <w:rPr>
          <w:color w:val="auto"/>
          <w:lang w:val="es-CO"/>
        </w:rPr>
        <w:t>Comunicación de la parte peticionaria de 18 de marzo de 2021.</w:t>
      </w:r>
      <w:r w:rsidR="00211EC3" w:rsidRPr="005A1DC2">
        <w:rPr>
          <w:color w:val="auto"/>
          <w:lang w:val="es-CO"/>
        </w:rPr>
        <w:t xml:space="preserve"> El decreto ley 370 </w:t>
      </w:r>
      <w:r w:rsidR="00046F61" w:rsidRPr="005A1DC2">
        <w:rPr>
          <w:color w:val="auto"/>
          <w:lang w:val="es-CO"/>
        </w:rPr>
        <w:t xml:space="preserve">“Sobre la informatización de la sociedad en Cuba” entro en vigor el 4 de julio de 2019 </w:t>
      </w:r>
      <w:r w:rsidR="00247C25" w:rsidRPr="005A1DC2">
        <w:rPr>
          <w:color w:val="auto"/>
          <w:lang w:val="es-CO"/>
        </w:rPr>
        <w:t xml:space="preserve">y </w:t>
      </w:r>
      <w:r w:rsidR="00046F61" w:rsidRPr="005A1DC2">
        <w:rPr>
          <w:color w:val="auto"/>
          <w:lang w:val="es-CO"/>
        </w:rPr>
        <w:t xml:space="preserve">prohíbe la difusión de información en su art. 68 inc. </w:t>
      </w:r>
      <w:r w:rsidR="00247C25" w:rsidRPr="005A1DC2">
        <w:rPr>
          <w:color w:val="auto"/>
          <w:lang w:val="es-CO"/>
        </w:rPr>
        <w:t>I que sea</w:t>
      </w:r>
      <w:r w:rsidR="00046F61" w:rsidRPr="005A1DC2">
        <w:rPr>
          <w:color w:val="auto"/>
          <w:lang w:val="es-CO"/>
        </w:rPr>
        <w:t xml:space="preserve"> “contraria al interés social, la moral, las buenas costumbres y la integridad de las personas”. </w:t>
      </w:r>
    </w:p>
  </w:footnote>
  <w:footnote w:id="46">
    <w:p w14:paraId="1C3030E8" w14:textId="6B649360" w:rsidR="00A8681F" w:rsidRPr="005A1DC2" w:rsidRDefault="00A8681F" w:rsidP="005A1DC2">
      <w:pPr>
        <w:pStyle w:val="FootnoteText"/>
        <w:rPr>
          <w:lang w:val="es-AR"/>
        </w:rPr>
      </w:pPr>
      <w:r w:rsidRPr="005A1DC2">
        <w:rPr>
          <w:rStyle w:val="FootnoteReference"/>
        </w:rPr>
        <w:footnoteRef/>
      </w:r>
      <w:r w:rsidRPr="005A1DC2">
        <w:rPr>
          <w:lang w:val="es-AR"/>
        </w:rPr>
        <w:t xml:space="preserve"> Facebook, publicación de 23 de julio de 2020, cuenta de Maykel Osorbo 349. Disponible en: </w:t>
      </w:r>
      <w:hyperlink r:id="rId4" w:history="1">
        <w:r w:rsidRPr="005A1DC2">
          <w:rPr>
            <w:rStyle w:val="Hyperlink"/>
            <w:lang w:val="es-AR"/>
          </w:rPr>
          <w:t>https://www.facebook.com/100052174990089/posts/189956819146594/</w:t>
        </w:r>
      </w:hyperlink>
      <w:r w:rsidRPr="005A1DC2">
        <w:rPr>
          <w:lang w:val="es-AR"/>
        </w:rPr>
        <w:t xml:space="preserve">. </w:t>
      </w:r>
    </w:p>
  </w:footnote>
  <w:footnote w:id="47">
    <w:p w14:paraId="24700FDA" w14:textId="77777777" w:rsidR="006B7195" w:rsidRPr="005A1DC2" w:rsidRDefault="006B7195" w:rsidP="005A1DC2">
      <w:pPr>
        <w:pStyle w:val="FootnoteText"/>
        <w:rPr>
          <w:lang w:val="es-AR"/>
        </w:rPr>
      </w:pPr>
      <w:r w:rsidRPr="005A1DC2">
        <w:rPr>
          <w:rStyle w:val="FootnoteReference"/>
        </w:rPr>
        <w:footnoteRef/>
      </w:r>
      <w:r w:rsidRPr="005A1DC2">
        <w:rPr>
          <w:lang w:val="es-AR"/>
        </w:rPr>
        <w:t xml:space="preserve"> </w:t>
      </w:r>
      <w:r w:rsidRPr="005A1DC2">
        <w:rPr>
          <w:color w:val="auto"/>
          <w:lang w:val="es-CO"/>
        </w:rPr>
        <w:t>Comunicación de la parte peticionaria sobre observaciones de fondo de 18 de marzo de 2021.</w:t>
      </w:r>
    </w:p>
  </w:footnote>
  <w:footnote w:id="48">
    <w:p w14:paraId="4A5F35DC" w14:textId="5A3AA7A7" w:rsidR="00D77396" w:rsidRPr="005A1DC2" w:rsidRDefault="00D77396" w:rsidP="005A1DC2">
      <w:pPr>
        <w:pStyle w:val="FootnoteText"/>
        <w:rPr>
          <w:lang w:val="es-AR"/>
        </w:rPr>
      </w:pPr>
      <w:r w:rsidRPr="005A1DC2">
        <w:rPr>
          <w:rStyle w:val="FootnoteReference"/>
        </w:rPr>
        <w:footnoteRef/>
      </w:r>
      <w:r w:rsidRPr="005A1DC2">
        <w:rPr>
          <w:lang w:val="es-AR"/>
        </w:rPr>
        <w:t xml:space="preserve"> Facebook, publicación de 24 de julio de 2020, cuenta de Maykel Osorbo 349. Disponible en: </w:t>
      </w:r>
      <w:hyperlink r:id="rId5" w:history="1">
        <w:r w:rsidRPr="005A1DC2">
          <w:rPr>
            <w:rStyle w:val="Hyperlink"/>
            <w:lang w:val="es-AR"/>
          </w:rPr>
          <w:t>https://www.facebook.com/maykelosorbo349/videos/205863560846298/</w:t>
        </w:r>
      </w:hyperlink>
      <w:r w:rsidRPr="005A1DC2">
        <w:rPr>
          <w:lang w:val="es-AR"/>
        </w:rPr>
        <w:t xml:space="preserve"> </w:t>
      </w:r>
    </w:p>
  </w:footnote>
  <w:footnote w:id="49">
    <w:p w14:paraId="4C7948CB" w14:textId="68444E06" w:rsidR="009B7CD6" w:rsidRPr="005A1DC2" w:rsidRDefault="009B7CD6" w:rsidP="005A1DC2">
      <w:pPr>
        <w:pStyle w:val="FootnoteText"/>
        <w:rPr>
          <w:lang w:val="es-AR"/>
        </w:rPr>
      </w:pPr>
      <w:r w:rsidRPr="005A1DC2">
        <w:rPr>
          <w:rStyle w:val="FootnoteReference"/>
        </w:rPr>
        <w:footnoteRef/>
      </w:r>
      <w:r w:rsidRPr="005A1DC2">
        <w:rPr>
          <w:lang w:val="es-AR"/>
        </w:rPr>
        <w:t xml:space="preserve"> ADN Cuba. Policía del régimen detiene al rapero Maykel Osorbo. 4 de agosto de 2020. Disponible en: </w:t>
      </w:r>
      <w:hyperlink r:id="rId6" w:history="1">
        <w:r w:rsidRPr="005A1DC2">
          <w:rPr>
            <w:rStyle w:val="Hyperlink"/>
            <w:lang w:val="es-AR"/>
          </w:rPr>
          <w:t>https://adncuba.com/noticias-de-cuba/actualidad/policia-del-regimen-detiene-al-rapero-maykel-osorbo</w:t>
        </w:r>
      </w:hyperlink>
      <w:r w:rsidRPr="005A1DC2">
        <w:rPr>
          <w:lang w:val="es-AR"/>
        </w:rPr>
        <w:t xml:space="preserve">; Facebook, publicación de 18 de agosto de 2020, cuenta de Maykel Osorbo 349. Disponible en: </w:t>
      </w:r>
      <w:hyperlink r:id="rId7" w:history="1">
        <w:r w:rsidRPr="005A1DC2">
          <w:rPr>
            <w:rStyle w:val="Hyperlink"/>
            <w:lang w:val="es-AR"/>
          </w:rPr>
          <w:t>https://www.facebook.com/100052174990089/posts/196355815173361/</w:t>
        </w:r>
      </w:hyperlink>
      <w:r w:rsidRPr="005A1DC2">
        <w:rPr>
          <w:lang w:val="es-AR"/>
        </w:rPr>
        <w:t xml:space="preserve">; Facebook, publicación de 28 de septiembre de 2020, cuenta de Maykel Osorbo 349. Disponible en:  </w:t>
      </w:r>
      <w:hyperlink r:id="rId8" w:history="1">
        <w:r w:rsidRPr="005A1DC2">
          <w:rPr>
            <w:rStyle w:val="Hyperlink"/>
            <w:lang w:val="es-AR"/>
          </w:rPr>
          <w:t>https://www.facebook.com/101986484610295/photos/a.106299627512314/206021957540080/?type=3</w:t>
        </w:r>
      </w:hyperlink>
      <w:r w:rsidRPr="005A1DC2">
        <w:rPr>
          <w:lang w:val="es-AR"/>
        </w:rPr>
        <w:t xml:space="preserve">;   </w:t>
      </w:r>
      <w:r w:rsidR="003267B9" w:rsidRPr="005A1DC2">
        <w:rPr>
          <w:lang w:val="es-AR"/>
        </w:rPr>
        <w:t>YouTube</w:t>
      </w:r>
      <w:r w:rsidRPr="005A1DC2">
        <w:rPr>
          <w:lang w:val="es-AR"/>
        </w:rPr>
        <w:t xml:space="preserve">, Detención de Maykel Osorbo el 14 de noviembre en Cuba y Chacón, 16 de noviembre de 2020. Disponible en: </w:t>
      </w:r>
      <w:hyperlink r:id="rId9" w:history="1">
        <w:r w:rsidRPr="005A1DC2">
          <w:rPr>
            <w:rStyle w:val="Hyperlink"/>
            <w:lang w:val="es-AR"/>
          </w:rPr>
          <w:t>https://www.youtube.com/watch?v=vAIJUZxtgt8</w:t>
        </w:r>
      </w:hyperlink>
      <w:r w:rsidRPr="005A1DC2">
        <w:rPr>
          <w:lang w:val="es-AR"/>
        </w:rPr>
        <w:t xml:space="preserve">; Facebook, publicación de 17 de diciembre de 2020, cuenta de Anamely Ramos González. Disponible en: </w:t>
      </w:r>
      <w:hyperlink r:id="rId10" w:history="1">
        <w:r w:rsidRPr="005A1DC2">
          <w:rPr>
            <w:rStyle w:val="Hyperlink"/>
            <w:lang w:val="es-AR"/>
          </w:rPr>
          <w:t>https://www.facebook.com/anamely.ramosgonzalez/posts/1999488470194239</w:t>
        </w:r>
      </w:hyperlink>
      <w:r w:rsidRPr="005A1DC2">
        <w:rPr>
          <w:lang w:val="es-AR"/>
        </w:rPr>
        <w:t xml:space="preserve">.  </w:t>
      </w:r>
    </w:p>
  </w:footnote>
  <w:footnote w:id="50">
    <w:p w14:paraId="536FFC2B" w14:textId="614402C6" w:rsidR="003F4419" w:rsidRPr="005A1DC2" w:rsidRDefault="003F4419" w:rsidP="7AB0424C">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Theme="majorHAnsi" w:hAnsiTheme="majorHAnsi"/>
          <w:sz w:val="16"/>
          <w:szCs w:val="16"/>
          <w:lang w:val="es-CL"/>
        </w:rPr>
      </w:pPr>
      <w:r w:rsidRPr="7AB0424C">
        <w:rPr>
          <w:rStyle w:val="FootnoteReference"/>
          <w:rFonts w:asciiTheme="majorHAnsi" w:hAnsiTheme="majorHAnsi"/>
          <w:sz w:val="16"/>
          <w:szCs w:val="16"/>
        </w:rPr>
        <w:footnoteRef/>
      </w:r>
      <w:r w:rsidR="7AB0424C" w:rsidRPr="7AB0424C">
        <w:rPr>
          <w:rFonts w:asciiTheme="majorHAnsi" w:hAnsiTheme="majorHAnsi"/>
          <w:sz w:val="16"/>
          <w:szCs w:val="16"/>
          <w:lang w:val="es-AR"/>
        </w:rPr>
        <w:t xml:space="preserve"> </w:t>
      </w:r>
      <w:r w:rsidR="7AB0424C" w:rsidRPr="7AB0424C">
        <w:rPr>
          <w:rFonts w:asciiTheme="majorHAnsi" w:hAnsiTheme="majorHAnsi"/>
          <w:sz w:val="16"/>
          <w:szCs w:val="16"/>
          <w:lang w:val="es-CL"/>
        </w:rPr>
        <w:t>CIDH, Resolución 14/2021, Medida Cautelar No. 1101/20, 20 miembros identificados del Movimiento San Isidro (MSI) respecto de Cuba, 11 de febrero de 2021, párr. 6.</w:t>
      </w:r>
    </w:p>
  </w:footnote>
  <w:footnote w:id="51">
    <w:p w14:paraId="738BF74B" w14:textId="77777777" w:rsidR="003F4419" w:rsidRPr="005A1DC2" w:rsidRDefault="003F4419" w:rsidP="005A1DC2">
      <w:pPr>
        <w:pStyle w:val="FootnoteText"/>
        <w:rPr>
          <w:lang w:val="es-AR"/>
        </w:rPr>
      </w:pPr>
      <w:r w:rsidRPr="005A1DC2">
        <w:rPr>
          <w:rStyle w:val="FootnoteReference"/>
        </w:rPr>
        <w:footnoteRef/>
      </w:r>
      <w:r w:rsidRPr="005A1DC2">
        <w:rPr>
          <w:lang w:val="es-AR"/>
        </w:rPr>
        <w:t xml:space="preserve"> </w:t>
      </w:r>
      <w:r w:rsidRPr="005A1DC2">
        <w:rPr>
          <w:color w:val="auto"/>
          <w:lang w:val="es-CO"/>
        </w:rPr>
        <w:t>Comunicación de la parte peticionaria de 18 de marzo de 2021.</w:t>
      </w:r>
    </w:p>
  </w:footnote>
  <w:footnote w:id="52">
    <w:p w14:paraId="20E2D640" w14:textId="1AF93421" w:rsidR="00844082" w:rsidRPr="005A1DC2" w:rsidRDefault="00844082" w:rsidP="7AB0424C">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Theme="majorHAnsi" w:hAnsiTheme="majorHAnsi"/>
          <w:sz w:val="16"/>
          <w:szCs w:val="16"/>
          <w:lang w:val="es-CL"/>
        </w:rPr>
      </w:pPr>
      <w:r w:rsidRPr="7AB0424C">
        <w:rPr>
          <w:rStyle w:val="FootnoteReference"/>
          <w:rFonts w:asciiTheme="majorHAnsi" w:hAnsiTheme="majorHAnsi"/>
          <w:sz w:val="16"/>
          <w:szCs w:val="16"/>
        </w:rPr>
        <w:footnoteRef/>
      </w:r>
      <w:r w:rsidR="7AB0424C" w:rsidRPr="7AB0424C">
        <w:rPr>
          <w:rFonts w:asciiTheme="majorHAnsi" w:hAnsiTheme="majorHAnsi"/>
          <w:sz w:val="16"/>
          <w:szCs w:val="16"/>
          <w:lang w:val="es-AR"/>
        </w:rPr>
        <w:t xml:space="preserve"> </w:t>
      </w:r>
      <w:r w:rsidR="7AB0424C" w:rsidRPr="7AB0424C">
        <w:rPr>
          <w:rFonts w:asciiTheme="majorHAnsi" w:hAnsiTheme="majorHAnsi"/>
          <w:sz w:val="16"/>
          <w:szCs w:val="16"/>
          <w:lang w:val="es-CL"/>
        </w:rPr>
        <w:t>CIDH, Resolución 14/2021, Medida Cautelar No. 1101/20, 20 miembros identificados del Movimiento San Isidro (MSI) respecto de Cuba, 11 de febrero de 2021, párr. 12.</w:t>
      </w:r>
    </w:p>
  </w:footnote>
  <w:footnote w:id="53">
    <w:p w14:paraId="62BE8B02" w14:textId="77777777" w:rsidR="003F4419" w:rsidRPr="005A1DC2" w:rsidRDefault="003F4419" w:rsidP="005A1DC2">
      <w:pPr>
        <w:pStyle w:val="FootnoteText"/>
        <w:rPr>
          <w:lang w:val="es-AR"/>
        </w:rPr>
      </w:pPr>
      <w:r w:rsidRPr="005A1DC2">
        <w:rPr>
          <w:rStyle w:val="FootnoteReference"/>
        </w:rPr>
        <w:footnoteRef/>
      </w:r>
      <w:r w:rsidRPr="005A1DC2">
        <w:rPr>
          <w:lang w:val="es-AR"/>
        </w:rPr>
        <w:t xml:space="preserve"> </w:t>
      </w:r>
      <w:r w:rsidRPr="005A1DC2">
        <w:rPr>
          <w:color w:val="auto"/>
          <w:lang w:val="es-CO"/>
        </w:rPr>
        <w:t>Comunicación de la parte peticionaria de 18 de marzo de 2021.</w:t>
      </w:r>
    </w:p>
  </w:footnote>
  <w:footnote w:id="54">
    <w:p w14:paraId="4BD779AF" w14:textId="42E7BCDE" w:rsidR="00AB0D73" w:rsidRPr="005A1DC2" w:rsidRDefault="00AB0D73" w:rsidP="005A1DC2">
      <w:pPr>
        <w:pStyle w:val="FootnoteText"/>
        <w:rPr>
          <w:lang w:val="es-AR"/>
        </w:rPr>
      </w:pPr>
      <w:r w:rsidRPr="005A1DC2">
        <w:rPr>
          <w:rStyle w:val="FootnoteReference"/>
        </w:rPr>
        <w:footnoteRef/>
      </w:r>
      <w:r w:rsidRPr="005A1DC2">
        <w:rPr>
          <w:lang w:val="es-AR"/>
        </w:rPr>
        <w:t xml:space="preserve"> </w:t>
      </w:r>
      <w:r w:rsidRPr="005A1DC2">
        <w:rPr>
          <w:color w:val="auto"/>
          <w:lang w:val="es-CO"/>
        </w:rPr>
        <w:t>Comunicación de la parte peticionaria de 18 de marzo de 2021.</w:t>
      </w:r>
    </w:p>
  </w:footnote>
  <w:footnote w:id="55">
    <w:p w14:paraId="0112C3DC" w14:textId="61619E58" w:rsidR="00AB0D73" w:rsidRPr="005A1DC2" w:rsidRDefault="00AB0D73" w:rsidP="005A1DC2">
      <w:pPr>
        <w:pStyle w:val="FootnoteText"/>
        <w:rPr>
          <w:lang w:val="es-AR"/>
        </w:rPr>
      </w:pPr>
      <w:r w:rsidRPr="005A1DC2">
        <w:rPr>
          <w:rStyle w:val="FootnoteReference"/>
        </w:rPr>
        <w:footnoteRef/>
      </w:r>
      <w:r w:rsidRPr="005A1DC2">
        <w:rPr>
          <w:color w:val="auto"/>
          <w:lang w:val="es-CO"/>
        </w:rPr>
        <w:t>Youtube</w:t>
      </w:r>
      <w:r w:rsidRPr="005A1DC2">
        <w:rPr>
          <w:lang w:val="es-AR"/>
        </w:rPr>
        <w:t xml:space="preserve">, Anamely actualiza la situación de los huelguistas del MSI, 29 de noviembre de 2020. Disponible en: </w:t>
      </w:r>
      <w:hyperlink r:id="rId11" w:history="1">
        <w:r w:rsidRPr="005A1DC2">
          <w:rPr>
            <w:rStyle w:val="Hyperlink"/>
            <w:rFonts w:cs="TimesNewRomanPSMT"/>
            <w:lang w:val="es-AR"/>
          </w:rPr>
          <w:t>https://www.youtube.com/watch?v=AIRzzt3QtAY</w:t>
        </w:r>
      </w:hyperlink>
      <w:r w:rsidRPr="005A1DC2">
        <w:rPr>
          <w:lang w:val="es-AR"/>
        </w:rPr>
        <w:t xml:space="preserve">  </w:t>
      </w:r>
    </w:p>
  </w:footnote>
  <w:footnote w:id="56">
    <w:p w14:paraId="4DD2B8F6" w14:textId="62452E7E" w:rsidR="00B00E22" w:rsidRPr="005A1DC2" w:rsidRDefault="00B00E22" w:rsidP="005A1DC2">
      <w:pPr>
        <w:pStyle w:val="FootnoteText"/>
        <w:rPr>
          <w:lang w:val="es-AR"/>
        </w:rPr>
      </w:pPr>
      <w:r w:rsidRPr="005A1DC2">
        <w:rPr>
          <w:rStyle w:val="FootnoteReference"/>
        </w:rPr>
        <w:footnoteRef/>
      </w:r>
      <w:r w:rsidRPr="005A1DC2">
        <w:rPr>
          <w:lang w:val="es-AR"/>
        </w:rPr>
        <w:t xml:space="preserve"> </w:t>
      </w:r>
      <w:r w:rsidRPr="005A1DC2">
        <w:rPr>
          <w:color w:val="auto"/>
          <w:lang w:val="es-CO"/>
        </w:rPr>
        <w:t>Comunicación de la parte peticionaria de 18 de marzo de 2021.</w:t>
      </w:r>
    </w:p>
  </w:footnote>
  <w:footnote w:id="57">
    <w:p w14:paraId="3BA7AD17" w14:textId="0F46B8BA" w:rsidR="00B00E22" w:rsidRPr="005A1DC2" w:rsidRDefault="00B00E22" w:rsidP="005A1DC2">
      <w:pPr>
        <w:pStyle w:val="FootnoteText"/>
        <w:rPr>
          <w:lang w:val="es-AR"/>
        </w:rPr>
      </w:pPr>
      <w:r w:rsidRPr="005A1DC2">
        <w:rPr>
          <w:rStyle w:val="FootnoteReference"/>
        </w:rPr>
        <w:footnoteRef/>
      </w:r>
      <w:r w:rsidRPr="005A1DC2">
        <w:rPr>
          <w:lang w:val="es-AR"/>
        </w:rPr>
        <w:t xml:space="preserve"> Facebook, publicación de 15 de diciembre de </w:t>
      </w:r>
      <w:r w:rsidR="00A8681F" w:rsidRPr="005A1DC2">
        <w:rPr>
          <w:lang w:val="es-AR"/>
        </w:rPr>
        <w:t xml:space="preserve">2020, cuenta de Omara Isabel Ruiz Urquiola. Disponible en: </w:t>
      </w:r>
      <w:hyperlink r:id="rId12" w:history="1">
        <w:r w:rsidR="00A8681F" w:rsidRPr="005A1DC2">
          <w:rPr>
            <w:rStyle w:val="Hyperlink"/>
            <w:lang w:val="es-AR"/>
          </w:rPr>
          <w:t>https://www.facebook.com/omara.ruizurquiola.12/videos/1754862138001981</w:t>
        </w:r>
      </w:hyperlink>
      <w:r w:rsidR="00A8681F" w:rsidRPr="005A1DC2">
        <w:rPr>
          <w:lang w:val="es-AR"/>
        </w:rPr>
        <w:t xml:space="preserve">. </w:t>
      </w:r>
    </w:p>
  </w:footnote>
  <w:footnote w:id="58">
    <w:p w14:paraId="36AB3CB8" w14:textId="77777777" w:rsidR="003F4419" w:rsidRPr="005A1DC2" w:rsidRDefault="003F4419" w:rsidP="005A1DC2">
      <w:pPr>
        <w:pStyle w:val="FootnoteText"/>
        <w:rPr>
          <w:lang w:val="es-AR"/>
        </w:rPr>
      </w:pPr>
      <w:r w:rsidRPr="005A1DC2">
        <w:rPr>
          <w:rStyle w:val="FootnoteReference"/>
        </w:rPr>
        <w:footnoteRef/>
      </w:r>
      <w:r w:rsidRPr="005A1DC2">
        <w:rPr>
          <w:lang w:val="es-AR"/>
        </w:rPr>
        <w:t xml:space="preserve"> </w:t>
      </w:r>
      <w:r w:rsidRPr="005A1DC2">
        <w:rPr>
          <w:color w:val="auto"/>
          <w:lang w:val="es-CO"/>
        </w:rPr>
        <w:t>Comunicación de la parte peticionaria de 18 de marzo de 2021.</w:t>
      </w:r>
    </w:p>
  </w:footnote>
  <w:footnote w:id="59">
    <w:p w14:paraId="4D09DAE1" w14:textId="01827372" w:rsidR="00A8681F" w:rsidRPr="005A1DC2" w:rsidRDefault="00A8681F" w:rsidP="005A1DC2">
      <w:pPr>
        <w:pStyle w:val="FootnoteText"/>
        <w:rPr>
          <w:lang w:val="es-AR"/>
        </w:rPr>
      </w:pPr>
      <w:r w:rsidRPr="005A1DC2">
        <w:rPr>
          <w:rStyle w:val="FootnoteReference"/>
        </w:rPr>
        <w:footnoteRef/>
      </w:r>
      <w:r w:rsidRPr="005A1DC2">
        <w:rPr>
          <w:lang w:val="es-AR"/>
        </w:rPr>
        <w:t xml:space="preserve"> </w:t>
      </w:r>
      <w:r w:rsidRPr="005A1DC2">
        <w:rPr>
          <w:color w:val="auto"/>
          <w:lang w:val="es-CO"/>
        </w:rPr>
        <w:t>Comunicación de la parte peticionaria de 18 de marzo de 2021.</w:t>
      </w:r>
    </w:p>
  </w:footnote>
  <w:footnote w:id="60">
    <w:p w14:paraId="1B98E4F7" w14:textId="21BB4F87" w:rsidR="00DC5CBF" w:rsidRPr="005A1DC2" w:rsidRDefault="00DC5CBF" w:rsidP="005A1DC2">
      <w:pPr>
        <w:pStyle w:val="FootnoteText"/>
        <w:rPr>
          <w:lang w:val="es-AR"/>
        </w:rPr>
      </w:pPr>
      <w:r w:rsidRPr="005A1DC2">
        <w:rPr>
          <w:rStyle w:val="FootnoteReference"/>
        </w:rPr>
        <w:footnoteRef/>
      </w:r>
      <w:r w:rsidRPr="005A1DC2">
        <w:rPr>
          <w:lang w:val="es-AR"/>
        </w:rPr>
        <w:t xml:space="preserve"> El Toque. ¿Qué pasó el 27 de enero frente al Ministerio de Cultura? 26 de enero de 2021. Disponible en: </w:t>
      </w:r>
      <w:hyperlink r:id="rId13" w:history="1">
        <w:r w:rsidRPr="005A1DC2">
          <w:rPr>
            <w:rStyle w:val="Hyperlink"/>
            <w:lang w:val="es-AR"/>
          </w:rPr>
          <w:t>https://eltoque.com/que-paso-el-27-de-enero-frente-al-ministerio-de-cultura-cuba</w:t>
        </w:r>
      </w:hyperlink>
      <w:r w:rsidRPr="005A1DC2">
        <w:rPr>
          <w:lang w:val="es-AR"/>
        </w:rPr>
        <w:t xml:space="preserve">; DDC. Liberados el rapero Maykel Castillo y la artista Tania Bruguera. 28 de enero e 2021. Disponible en: </w:t>
      </w:r>
      <w:hyperlink r:id="rId14" w:history="1">
        <w:r w:rsidRPr="005A1DC2">
          <w:rPr>
            <w:rStyle w:val="Hyperlink"/>
            <w:lang w:val="es-AR"/>
          </w:rPr>
          <w:t>https://diariodecuba.com/derechos-humanos/1611828438_28387.html</w:t>
        </w:r>
      </w:hyperlink>
      <w:r w:rsidRPr="005A1DC2">
        <w:rPr>
          <w:lang w:val="es-AR"/>
        </w:rPr>
        <w:t xml:space="preserve"> </w:t>
      </w:r>
    </w:p>
  </w:footnote>
  <w:footnote w:id="61">
    <w:p w14:paraId="4BA695CA" w14:textId="49DC9E20" w:rsidR="00DC5CBF" w:rsidRPr="005A1DC2" w:rsidRDefault="00DC5CBF" w:rsidP="005A1DC2">
      <w:pPr>
        <w:pStyle w:val="FootnoteText"/>
        <w:rPr>
          <w:lang w:val="es-AR"/>
        </w:rPr>
      </w:pPr>
      <w:r w:rsidRPr="005A1DC2">
        <w:rPr>
          <w:rStyle w:val="FootnoteReference"/>
        </w:rPr>
        <w:footnoteRef/>
      </w:r>
      <w:r w:rsidRPr="005A1DC2">
        <w:rPr>
          <w:lang w:val="es-AR"/>
        </w:rPr>
        <w:t xml:space="preserve"> CiberCuba. Maykel Osorbo: “El concierto de que va, va”. 28 de enero de 2021. Disponible en: </w:t>
      </w:r>
      <w:hyperlink r:id="rId15" w:history="1">
        <w:r w:rsidRPr="005A1DC2">
          <w:rPr>
            <w:rStyle w:val="Hyperlink"/>
            <w:lang w:val="es-AR"/>
          </w:rPr>
          <w:t>https://www.cibercuba.com/noticias/2021-01-28-u192519-e192519-s27061-maykel-osorbo-concierto</w:t>
        </w:r>
      </w:hyperlink>
      <w:r w:rsidRPr="005A1DC2">
        <w:rPr>
          <w:lang w:val="es-AR"/>
        </w:rPr>
        <w:t xml:space="preserve"> </w:t>
      </w:r>
    </w:p>
  </w:footnote>
  <w:footnote w:id="62">
    <w:p w14:paraId="251B8719" w14:textId="131574D6" w:rsidR="00B00E22" w:rsidRPr="005A1DC2" w:rsidRDefault="00B00E22" w:rsidP="005A1DC2">
      <w:pPr>
        <w:pStyle w:val="FootnoteText"/>
        <w:rPr>
          <w:lang w:val="es-AR"/>
        </w:rPr>
      </w:pPr>
      <w:r w:rsidRPr="005A1DC2">
        <w:rPr>
          <w:rStyle w:val="FootnoteReference"/>
        </w:rPr>
        <w:footnoteRef/>
      </w:r>
      <w:r w:rsidRPr="005A1DC2">
        <w:rPr>
          <w:lang w:val="es-AR"/>
        </w:rPr>
        <w:t xml:space="preserve"> </w:t>
      </w:r>
      <w:r w:rsidRPr="005A1DC2">
        <w:rPr>
          <w:color w:val="auto"/>
          <w:lang w:val="es-CO"/>
        </w:rPr>
        <w:t>Comunicación de la parte peticionaria de 18 de marzo de 2021.</w:t>
      </w:r>
    </w:p>
  </w:footnote>
  <w:footnote w:id="63">
    <w:p w14:paraId="23261CE2" w14:textId="39300026" w:rsidR="00BE35A4" w:rsidRPr="005A1DC2" w:rsidRDefault="00BE35A4" w:rsidP="005A1DC2">
      <w:pPr>
        <w:pStyle w:val="FootnoteText"/>
        <w:rPr>
          <w:lang w:val="es-AR"/>
        </w:rPr>
      </w:pPr>
      <w:r w:rsidRPr="005A1DC2">
        <w:rPr>
          <w:rStyle w:val="FootnoteReference"/>
        </w:rPr>
        <w:footnoteRef/>
      </w:r>
      <w:r w:rsidRPr="005A1DC2">
        <w:rPr>
          <w:lang w:val="es-AR"/>
        </w:rPr>
        <w:t xml:space="preserve"> </w:t>
      </w:r>
      <w:r w:rsidRPr="005A1DC2">
        <w:rPr>
          <w:color w:val="auto"/>
          <w:lang w:val="es-CO"/>
        </w:rPr>
        <w:t>Comunicación de la parte peticionaria de 18 de marzo de 2021.</w:t>
      </w:r>
    </w:p>
  </w:footnote>
  <w:footnote w:id="64">
    <w:p w14:paraId="00E7DBB4" w14:textId="4EE95964" w:rsidR="000E2D77" w:rsidRPr="005A1DC2" w:rsidRDefault="000E2D77" w:rsidP="005A1DC2">
      <w:pPr>
        <w:pStyle w:val="FootnoteText"/>
        <w:rPr>
          <w:lang w:val="es-AR"/>
        </w:rPr>
      </w:pPr>
      <w:r w:rsidRPr="005A1DC2">
        <w:rPr>
          <w:rStyle w:val="FootnoteReference"/>
        </w:rPr>
        <w:footnoteRef/>
      </w:r>
      <w:r w:rsidRPr="005A1DC2">
        <w:rPr>
          <w:lang w:val="es-AR"/>
        </w:rPr>
        <w:t xml:space="preserve"> CubitaNow. Maykel Osorbo ha sido detenido otra vez por la Seguridad del Estado. 1 de febrero de 2021. Disponible en: </w:t>
      </w:r>
      <w:hyperlink r:id="rId16" w:history="1">
        <w:r w:rsidRPr="005A1DC2">
          <w:rPr>
            <w:rStyle w:val="Hyperlink"/>
            <w:lang w:val="es-AR"/>
          </w:rPr>
          <w:t>https://noticias.cubitanow.com/maykel-osorbo-ha-sido-detenido-otra-vez-por-la-seguridad-del-estado-</w:t>
        </w:r>
      </w:hyperlink>
      <w:r w:rsidRPr="005A1DC2">
        <w:rPr>
          <w:lang w:val="es-AR"/>
        </w:rPr>
        <w:t xml:space="preserve">; Diario Las Américas. Detienen al rapero Maykel Osorbo tras criticar el régimen. Disponible en; </w:t>
      </w:r>
      <w:hyperlink r:id="rId17" w:history="1">
        <w:r w:rsidRPr="005A1DC2">
          <w:rPr>
            <w:rStyle w:val="Hyperlink"/>
            <w:lang w:val="es-AR"/>
          </w:rPr>
          <w:t>https://www.diariolasamericas.com/america-latina/detienen-rapero-maykel-osorbo-criticar-al-regimen-n4215763</w:t>
        </w:r>
      </w:hyperlink>
      <w:r w:rsidRPr="005A1DC2">
        <w:rPr>
          <w:lang w:val="es-AR"/>
        </w:rPr>
        <w:t xml:space="preserve">;  ADN Cuba. Continúa acoso policial contra Osorbo: vuelve a ser detenido. 9 de febrero de 2021. Disponible en: </w:t>
      </w:r>
      <w:hyperlink r:id="rId18" w:history="1">
        <w:r w:rsidRPr="005A1DC2">
          <w:rPr>
            <w:rStyle w:val="Hyperlink"/>
            <w:lang w:val="es-AR"/>
          </w:rPr>
          <w:t>https://adncuba.com/noticias-de-cuba/actualidad/osorbo-vuelve-ser-detenido</w:t>
        </w:r>
      </w:hyperlink>
      <w:r w:rsidRPr="005A1DC2">
        <w:rPr>
          <w:lang w:val="es-AR"/>
        </w:rPr>
        <w:t xml:space="preserve">. </w:t>
      </w:r>
    </w:p>
  </w:footnote>
  <w:footnote w:id="65">
    <w:p w14:paraId="1AD18E44" w14:textId="04939464" w:rsidR="00B00E22" w:rsidRPr="005A1DC2" w:rsidRDefault="00B00E22" w:rsidP="005A1DC2">
      <w:pPr>
        <w:pStyle w:val="FootnoteText"/>
        <w:rPr>
          <w:lang w:val="es-AR"/>
        </w:rPr>
      </w:pPr>
      <w:r w:rsidRPr="005A1DC2">
        <w:rPr>
          <w:rStyle w:val="FootnoteReference"/>
        </w:rPr>
        <w:footnoteRef/>
      </w:r>
      <w:r w:rsidRPr="005A1DC2">
        <w:rPr>
          <w:lang w:val="es-AR"/>
        </w:rPr>
        <w:t xml:space="preserve"> </w:t>
      </w:r>
      <w:r w:rsidRPr="005A1DC2">
        <w:rPr>
          <w:color w:val="auto"/>
          <w:lang w:val="es-CO"/>
        </w:rPr>
        <w:t>Comunicación de la parte peticionaria de 18 de marzo de 2021.</w:t>
      </w:r>
    </w:p>
  </w:footnote>
  <w:footnote w:id="66">
    <w:p w14:paraId="3F7D3EC6" w14:textId="790481F0" w:rsidR="00BE35A4" w:rsidRPr="005A1DC2" w:rsidRDefault="00BE35A4" w:rsidP="005A1DC2">
      <w:pPr>
        <w:autoSpaceDE w:val="0"/>
        <w:autoSpaceDN w:val="0"/>
        <w:adjustRightInd w:val="0"/>
        <w:jc w:val="both"/>
        <w:rPr>
          <w:rFonts w:asciiTheme="majorHAnsi" w:hAnsiTheme="majorHAnsi" w:cs="TimesNewRomanPSMT"/>
          <w:sz w:val="16"/>
          <w:szCs w:val="16"/>
          <w:lang w:val="es-AR"/>
        </w:rPr>
      </w:pPr>
      <w:r w:rsidRPr="005A1DC2">
        <w:rPr>
          <w:rStyle w:val="FootnoteReference"/>
          <w:rFonts w:asciiTheme="majorHAnsi" w:hAnsiTheme="majorHAnsi"/>
          <w:sz w:val="16"/>
          <w:szCs w:val="16"/>
        </w:rPr>
        <w:footnoteRef/>
      </w:r>
      <w:r w:rsidRPr="005A1DC2">
        <w:rPr>
          <w:rFonts w:asciiTheme="majorHAnsi" w:hAnsiTheme="majorHAnsi" w:cs="TimesNewRomanPSMT"/>
          <w:sz w:val="16"/>
          <w:szCs w:val="16"/>
          <w:lang w:val="es-AR"/>
        </w:rPr>
        <w:t xml:space="preserve">Facebook, publicación de 6 de febrero de 2021, cuenta de Maykel Osorbo 349. Disponible en: </w:t>
      </w:r>
      <w:hyperlink r:id="rId19" w:history="1">
        <w:r w:rsidRPr="005A1DC2">
          <w:rPr>
            <w:rStyle w:val="Hyperlink"/>
            <w:rFonts w:asciiTheme="majorHAnsi" w:hAnsiTheme="majorHAnsi" w:cs="TimesNewRomanPSMT"/>
            <w:sz w:val="16"/>
            <w:szCs w:val="16"/>
            <w:lang w:val="es-AR"/>
          </w:rPr>
          <w:t>https://www.facebook.com/maykelosorbo349/videos/435714627775513/</w:t>
        </w:r>
      </w:hyperlink>
      <w:r w:rsidRPr="005A1DC2">
        <w:rPr>
          <w:rFonts w:asciiTheme="majorHAnsi" w:hAnsiTheme="majorHAnsi" w:cs="TimesNewRomanPSMT"/>
          <w:sz w:val="16"/>
          <w:szCs w:val="16"/>
          <w:lang w:val="es-AR"/>
        </w:rPr>
        <w:t xml:space="preserve">; Facebook, publicación de 6 de febrero de 2021, cuenta Maykel Osorbo 349. Disponible en: </w:t>
      </w:r>
      <w:hyperlink r:id="rId20" w:history="1">
        <w:r w:rsidRPr="005A1DC2">
          <w:rPr>
            <w:rStyle w:val="Hyperlink"/>
            <w:rFonts w:asciiTheme="majorHAnsi" w:hAnsiTheme="majorHAnsi" w:cs="TimesNewRomanPSMT"/>
            <w:sz w:val="16"/>
            <w:szCs w:val="16"/>
            <w:lang w:val="es-AR"/>
          </w:rPr>
          <w:t>https://www.facebook.com/101986484610295/videos/142159997740696/</w:t>
        </w:r>
      </w:hyperlink>
      <w:r w:rsidRPr="005A1DC2">
        <w:rPr>
          <w:rFonts w:asciiTheme="majorHAnsi" w:hAnsiTheme="majorHAnsi" w:cs="TimesNewRomanPSMT"/>
          <w:sz w:val="16"/>
          <w:szCs w:val="16"/>
          <w:lang w:val="es-AR"/>
        </w:rPr>
        <w:t xml:space="preserve">. </w:t>
      </w:r>
    </w:p>
  </w:footnote>
  <w:footnote w:id="67">
    <w:p w14:paraId="54EE7B09" w14:textId="2CB067BE" w:rsidR="003803D7" w:rsidRPr="005A1DC2" w:rsidRDefault="003803D7" w:rsidP="005A1DC2">
      <w:pPr>
        <w:pStyle w:val="FootnoteText"/>
        <w:rPr>
          <w:lang w:val="es-AR"/>
        </w:rPr>
      </w:pPr>
      <w:r w:rsidRPr="005A1DC2">
        <w:rPr>
          <w:rStyle w:val="FootnoteReference"/>
        </w:rPr>
        <w:footnoteRef/>
      </w:r>
      <w:r w:rsidRPr="005A1DC2">
        <w:rPr>
          <w:lang w:val="es-AR"/>
        </w:rPr>
        <w:t xml:space="preserve"> </w:t>
      </w:r>
      <w:r w:rsidRPr="005A1DC2">
        <w:rPr>
          <w:color w:val="auto"/>
          <w:lang w:val="es-CO"/>
        </w:rPr>
        <w:t>Comunicación de la parte peticionaria de 18 de marzo de 2021.</w:t>
      </w:r>
    </w:p>
  </w:footnote>
  <w:footnote w:id="68">
    <w:p w14:paraId="59E72C1F" w14:textId="5A16BACE" w:rsidR="009B2DFF" w:rsidRPr="005A1DC2" w:rsidRDefault="009B2DFF" w:rsidP="005A1DC2">
      <w:pPr>
        <w:pStyle w:val="FootnoteText"/>
        <w:rPr>
          <w:lang w:val="es-AR"/>
        </w:rPr>
      </w:pPr>
      <w:r w:rsidRPr="005A1DC2">
        <w:rPr>
          <w:rStyle w:val="FootnoteReference"/>
        </w:rPr>
        <w:footnoteRef/>
      </w:r>
      <w:r w:rsidRPr="005A1DC2">
        <w:rPr>
          <w:lang w:val="es-AR"/>
        </w:rPr>
        <w:t xml:space="preserve"> Comité contra la Desaparición Forzada, Comunicación del 28 de mayo de 2021. Solicitud AU No. 1182/2021.</w:t>
      </w:r>
    </w:p>
  </w:footnote>
  <w:footnote w:id="69">
    <w:p w14:paraId="5DECA20E" w14:textId="1B3D0556" w:rsidR="000F30A5" w:rsidRPr="005A1DC2" w:rsidRDefault="000F30A5" w:rsidP="005A1DC2">
      <w:pPr>
        <w:pStyle w:val="FootnoteText"/>
        <w:rPr>
          <w:lang w:val="es-AR"/>
        </w:rPr>
      </w:pPr>
      <w:r w:rsidRPr="005A1DC2">
        <w:rPr>
          <w:rStyle w:val="FootnoteReference"/>
        </w:rPr>
        <w:footnoteRef/>
      </w:r>
      <w:r w:rsidR="7AB0424C" w:rsidRPr="005A1DC2">
        <w:rPr>
          <w:lang w:val="es-AR"/>
        </w:rPr>
        <w:t xml:space="preserve"> Freedom H</w:t>
      </w:r>
      <w:r w:rsidR="7AB0424C">
        <w:rPr>
          <w:lang w:val="es-AR"/>
        </w:rPr>
        <w:t>o</w:t>
      </w:r>
      <w:r w:rsidR="7AB0424C" w:rsidRPr="005A1DC2">
        <w:rPr>
          <w:lang w:val="es-AR"/>
        </w:rPr>
        <w:t xml:space="preserve">use, Cuba, Condenamos la Detención Arbitraria del Músico y Activista Maykel Osorbo y Apoyamos una Investigación Internacional, 10 de agosto de 2021. Disponible en: </w:t>
      </w:r>
      <w:hyperlink r:id="rId21" w:history="1">
        <w:r w:rsidR="7AB0424C" w:rsidRPr="005A1DC2">
          <w:rPr>
            <w:rStyle w:val="Hyperlink"/>
            <w:lang w:val="es-AR"/>
          </w:rPr>
          <w:t>https://freedomhouse.org/es/article/cuba-condenamos-la-detencion-arbitraria-del-musico-y-activista-maykel-osorbo-y-apoyamos-una</w:t>
        </w:r>
      </w:hyperlink>
      <w:r w:rsidR="7AB0424C" w:rsidRPr="005A1DC2">
        <w:rPr>
          <w:lang w:val="es-AR"/>
        </w:rPr>
        <w:t xml:space="preserve">. </w:t>
      </w:r>
    </w:p>
  </w:footnote>
  <w:footnote w:id="70">
    <w:p w14:paraId="03BE1089" w14:textId="41CE2493" w:rsidR="00FD08BD" w:rsidRPr="005A1DC2" w:rsidRDefault="00FD08BD" w:rsidP="005A1DC2">
      <w:pPr>
        <w:pStyle w:val="FootnoteText"/>
        <w:rPr>
          <w:lang w:val="es-AR"/>
        </w:rPr>
      </w:pPr>
      <w:r w:rsidRPr="005A1DC2">
        <w:rPr>
          <w:rStyle w:val="FootnoteReference"/>
        </w:rPr>
        <w:footnoteRef/>
      </w:r>
      <w:r w:rsidRPr="005A1DC2">
        <w:rPr>
          <w:lang w:val="es-AR"/>
        </w:rPr>
        <w:t xml:space="preserve"> Grupo de Trabajo sobre Detenciones Arbitrarias, Opinión núm. 63/2021, relativa a Maykel Castillo Pérez (Cuba), 4 de febrero de 2022, párr. 98-101.</w:t>
      </w:r>
    </w:p>
  </w:footnote>
  <w:footnote w:id="71">
    <w:p w14:paraId="1643420D" w14:textId="1704362E" w:rsidR="00015735" w:rsidRPr="005A1DC2" w:rsidRDefault="00015735" w:rsidP="005A1DC2">
      <w:pPr>
        <w:pStyle w:val="FootnoteText"/>
        <w:rPr>
          <w:lang w:val="es-AR"/>
        </w:rPr>
      </w:pPr>
      <w:r w:rsidRPr="005A1DC2">
        <w:rPr>
          <w:rStyle w:val="FootnoteReference"/>
        </w:rPr>
        <w:footnoteRef/>
      </w:r>
      <w:r w:rsidR="7AB0424C" w:rsidRPr="005A1DC2">
        <w:rPr>
          <w:color w:val="auto"/>
          <w:lang w:val="es-AR"/>
        </w:rPr>
        <w:t xml:space="preserve">Amnistía Internacional, Cuba: Preso de conciencia Maykel Osorbo en peligro, 1 de agosto de 2023. Disponible en: </w:t>
      </w:r>
      <w:hyperlink r:id="rId22" w:history="1">
        <w:r w:rsidR="7AB0424C" w:rsidRPr="005A1DC2">
          <w:rPr>
            <w:rStyle w:val="Hyperlink"/>
            <w:color w:val="auto"/>
            <w:lang w:val="es-AR"/>
          </w:rPr>
          <w:t>https://www.amnesty.org/es/documents/amr25/7078/2023/es/</w:t>
        </w:r>
      </w:hyperlink>
    </w:p>
  </w:footnote>
  <w:footnote w:id="72">
    <w:p w14:paraId="512CE8B7" w14:textId="5E18A94D" w:rsidR="00A707DB" w:rsidRPr="005A1DC2" w:rsidRDefault="00A707DB" w:rsidP="005A1DC2">
      <w:pPr>
        <w:pStyle w:val="FootnoteText"/>
        <w:rPr>
          <w:color w:val="auto"/>
          <w:lang w:val="es-ES"/>
        </w:rPr>
      </w:pPr>
      <w:r w:rsidRPr="005A1DC2">
        <w:rPr>
          <w:rStyle w:val="FootnoteReference"/>
          <w:color w:val="auto"/>
          <w:lang w:val="es-ES"/>
        </w:rPr>
        <w:footnoteRef/>
      </w:r>
      <w:r w:rsidR="7AB0424C" w:rsidRPr="005A1DC2">
        <w:rPr>
          <w:color w:val="auto"/>
          <w:lang w:val="es-AR"/>
        </w:rPr>
        <w:t xml:space="preserve"> Corte IDH, </w:t>
      </w:r>
      <w:r w:rsidR="7AB0424C" w:rsidRPr="7AB0424C">
        <w:rPr>
          <w:i/>
          <w:iCs/>
          <w:color w:val="auto"/>
          <w:lang w:val="es-ES"/>
        </w:rPr>
        <w:t xml:space="preserve">Interpretación de la Declaración Americana de los Derechos y Deberes del Hombre en el marco del artículo 64 de la Convención Americana sobre Derechos Humanos, </w:t>
      </w:r>
      <w:r w:rsidR="7AB0424C" w:rsidRPr="005A1DC2">
        <w:rPr>
          <w:color w:val="auto"/>
          <w:lang w:val="es-ES"/>
        </w:rPr>
        <w:t>Opinión Consultiva OC-10/89 del 14 de julio de 1989 [en adelante “</w:t>
      </w:r>
      <w:r w:rsidR="7AB0424C" w:rsidRPr="7AB0424C">
        <w:rPr>
          <w:i/>
          <w:iCs/>
          <w:color w:val="auto"/>
          <w:lang w:val="es-ES"/>
        </w:rPr>
        <w:t>Interpretación de la Declaración Americana</w:t>
      </w:r>
      <w:r w:rsidR="7AB0424C" w:rsidRPr="005A1DC2">
        <w:rPr>
          <w:color w:val="auto"/>
          <w:lang w:val="es-ES"/>
        </w:rPr>
        <w:t>”], párr. 47 (“los Estados Miembros han entendido que la Declaración contiene y define aquellos derechos humanos esenciales a los que la Carta se refiere, de manera que no se puede interpretar y aplicar la Carta de la Organización en materia de derechos humanos, sin integrar las normas pertinentes de ella con las correspondientes disposiciones de la Declaración, como resulta de la práctica seguida por los órganos de la OEA”).</w:t>
      </w:r>
    </w:p>
  </w:footnote>
  <w:footnote w:id="73">
    <w:p w14:paraId="42E88A20" w14:textId="0CC5E3D3" w:rsidR="00A707DB" w:rsidRPr="005A1DC2" w:rsidRDefault="00A707DB" w:rsidP="7AB0424C">
      <w:pPr>
        <w:pStyle w:val="Footnotes"/>
        <w:spacing w:after="0"/>
        <w:ind w:firstLine="0"/>
        <w:rPr>
          <w:rFonts w:asciiTheme="majorHAnsi" w:hAnsiTheme="majorHAnsi"/>
          <w:b/>
          <w:bCs/>
          <w:sz w:val="16"/>
          <w:szCs w:val="16"/>
          <w:lang w:val="es-ES"/>
        </w:rPr>
      </w:pPr>
      <w:r w:rsidRPr="7AB0424C">
        <w:rPr>
          <w:rStyle w:val="FootnoteReference"/>
          <w:rFonts w:asciiTheme="majorHAnsi" w:eastAsia="Trebuchet MS" w:hAnsiTheme="majorHAnsi"/>
          <w:sz w:val="16"/>
          <w:szCs w:val="16"/>
          <w:lang w:val="es-ES"/>
        </w:rPr>
        <w:footnoteRef/>
      </w:r>
      <w:r w:rsidR="7AB0424C" w:rsidRPr="7AB0424C">
        <w:rPr>
          <w:rFonts w:asciiTheme="majorHAnsi" w:hAnsiTheme="majorHAnsi"/>
          <w:sz w:val="16"/>
          <w:szCs w:val="16"/>
          <w:lang w:val="es-ES"/>
        </w:rPr>
        <w:t xml:space="preserve"> CIDH, Informe No. 50/16, Caso 12.834, Fondo (Publicación), </w:t>
      </w:r>
      <w:r w:rsidR="7AB0424C" w:rsidRPr="7AB0424C">
        <w:rPr>
          <w:rFonts w:asciiTheme="majorHAnsi" w:hAnsiTheme="majorHAnsi"/>
          <w:i/>
          <w:iCs/>
          <w:sz w:val="16"/>
          <w:szCs w:val="16"/>
          <w:lang w:val="es-ES"/>
        </w:rPr>
        <w:t xml:space="preserve">Trabajadores indocumentados, </w:t>
      </w:r>
      <w:r w:rsidR="7AB0424C" w:rsidRPr="7AB0424C">
        <w:rPr>
          <w:rFonts w:asciiTheme="majorHAnsi" w:hAnsiTheme="majorHAnsi"/>
          <w:sz w:val="16"/>
          <w:szCs w:val="16"/>
          <w:lang w:val="es-ES"/>
        </w:rPr>
        <w:t xml:space="preserve">Estados Unidos de América, 30 de noviembre de 2016, párr. 68. Véase Corte IDH, </w:t>
      </w:r>
      <w:r w:rsidR="7AB0424C" w:rsidRPr="7AB0424C">
        <w:rPr>
          <w:rFonts w:asciiTheme="majorHAnsi" w:hAnsiTheme="majorHAnsi"/>
          <w:i/>
          <w:iCs/>
          <w:sz w:val="16"/>
          <w:szCs w:val="16"/>
          <w:lang w:val="es-ES"/>
        </w:rPr>
        <w:t>Interpretación de la Declaración Americana,</w:t>
      </w:r>
      <w:r w:rsidR="7AB0424C" w:rsidRPr="7AB0424C">
        <w:rPr>
          <w:rFonts w:asciiTheme="majorHAnsi" w:hAnsiTheme="majorHAnsi"/>
          <w:sz w:val="16"/>
          <w:szCs w:val="16"/>
          <w:lang w:val="es-ES"/>
        </w:rPr>
        <w:t xml:space="preserve"> Opinión Consultiva OC-10/89 de 14 de julio de 1989, párr. 37. Véase también</w:t>
      </w:r>
      <w:r w:rsidR="7AB0424C" w:rsidRPr="7AB0424C">
        <w:rPr>
          <w:rFonts w:asciiTheme="majorHAnsi" w:hAnsiTheme="majorHAnsi"/>
          <w:i/>
          <w:iCs/>
          <w:sz w:val="16"/>
          <w:szCs w:val="16"/>
          <w:lang w:val="es-ES"/>
        </w:rPr>
        <w:t xml:space="preserve"> </w:t>
      </w:r>
      <w:r w:rsidR="7AB0424C" w:rsidRPr="7AB0424C">
        <w:rPr>
          <w:rFonts w:asciiTheme="majorHAnsi" w:hAnsiTheme="majorHAnsi"/>
          <w:sz w:val="16"/>
          <w:szCs w:val="16"/>
          <w:lang w:val="es-ES"/>
        </w:rPr>
        <w:t xml:space="preserve">CIJ, </w:t>
      </w:r>
      <w:r w:rsidR="7AB0424C" w:rsidRPr="7AB0424C">
        <w:rPr>
          <w:rFonts w:asciiTheme="majorHAnsi" w:hAnsiTheme="majorHAnsi"/>
          <w:i/>
          <w:iCs/>
          <w:sz w:val="16"/>
          <w:szCs w:val="16"/>
          <w:lang w:val="es-ES"/>
        </w:rPr>
        <w:t xml:space="preserve">Consecuencias jurídicas para los estados de la continuada presencia de Sudáfrica en Namibia (África Sudoccidental) no obstante la Resolución 276 (1970) del Consejo de Seguridad, </w:t>
      </w:r>
      <w:r w:rsidR="7AB0424C" w:rsidRPr="7AB0424C">
        <w:rPr>
          <w:rFonts w:asciiTheme="majorHAnsi" w:hAnsiTheme="majorHAnsi"/>
          <w:sz w:val="16"/>
          <w:szCs w:val="16"/>
          <w:lang w:val="es-ES"/>
        </w:rPr>
        <w:t>Opinión Consultiva, CIJ, Informes de 1971, p. 16 ad 31 (donde se afirma que “un instrumento internacional debe interpretarse y aplicarse dentro del marco general del sistema jurídico vigente a la fecha de la interpretación”).</w:t>
      </w:r>
    </w:p>
  </w:footnote>
  <w:footnote w:id="74">
    <w:p w14:paraId="7B760212" w14:textId="44B19CDD" w:rsidR="00BF1791" w:rsidRPr="005A1DC2" w:rsidRDefault="00BF1791" w:rsidP="7AB0424C">
      <w:pPr>
        <w:pStyle w:val="Footnotes"/>
        <w:spacing w:after="0"/>
        <w:ind w:firstLine="0"/>
        <w:rPr>
          <w:rFonts w:asciiTheme="majorHAnsi" w:hAnsiTheme="majorHAnsi"/>
          <w:sz w:val="16"/>
          <w:szCs w:val="16"/>
          <w:lang w:val="es-ES"/>
        </w:rPr>
      </w:pPr>
      <w:r w:rsidRPr="7AB0424C">
        <w:rPr>
          <w:rStyle w:val="FootnoteReference"/>
          <w:rFonts w:asciiTheme="majorHAnsi" w:eastAsia="Trebuchet MS" w:hAnsiTheme="majorHAnsi"/>
          <w:sz w:val="16"/>
          <w:szCs w:val="16"/>
          <w:lang w:val="es-ES"/>
        </w:rPr>
        <w:footnoteRef/>
      </w:r>
      <w:r w:rsidR="7AB0424C" w:rsidRPr="7AB0424C">
        <w:rPr>
          <w:rFonts w:asciiTheme="majorHAnsi" w:hAnsiTheme="majorHAnsi"/>
          <w:sz w:val="16"/>
          <w:szCs w:val="16"/>
          <w:lang w:val="es-ES"/>
        </w:rPr>
        <w:t xml:space="preserve"> CIDH, </w:t>
      </w:r>
      <w:r w:rsidR="7AB0424C" w:rsidRPr="7AB0424C">
        <w:rPr>
          <w:rFonts w:asciiTheme="majorHAnsi" w:hAnsiTheme="majorHAnsi"/>
          <w:i/>
          <w:iCs/>
          <w:sz w:val="16"/>
          <w:szCs w:val="16"/>
          <w:lang w:val="es-ES"/>
        </w:rPr>
        <w:t>Informe sobre la situación de los derechos humanos de los solicitantes de asilo en el marco del sistema canadiense de determinación de la condición de refugiado</w:t>
      </w:r>
      <w:r w:rsidR="7AB0424C" w:rsidRPr="7AB0424C">
        <w:rPr>
          <w:rFonts w:asciiTheme="majorHAnsi" w:hAnsiTheme="majorHAnsi"/>
          <w:sz w:val="16"/>
          <w:szCs w:val="16"/>
          <w:lang w:val="es-ES"/>
        </w:rPr>
        <w:t xml:space="preserve"> (2000), párr. 38; CIDH, </w:t>
      </w:r>
      <w:r w:rsidR="7AB0424C" w:rsidRPr="7AB0424C">
        <w:rPr>
          <w:rFonts w:asciiTheme="majorHAnsi" w:hAnsiTheme="majorHAnsi"/>
          <w:i/>
          <w:iCs/>
          <w:sz w:val="16"/>
          <w:szCs w:val="16"/>
          <w:lang w:val="es-ES"/>
        </w:rPr>
        <w:t>Garza c. Estados Unidos,</w:t>
      </w:r>
      <w:r w:rsidR="7AB0424C" w:rsidRPr="7AB0424C">
        <w:rPr>
          <w:rFonts w:asciiTheme="majorHAnsi" w:hAnsiTheme="majorHAnsi"/>
          <w:sz w:val="16"/>
          <w:szCs w:val="16"/>
          <w:lang w:val="es-ES"/>
        </w:rPr>
        <w:t xml:space="preserve"> Caso No. 12.275, Informe Anual de la CIDH 2000, párrs. 88 y 89.</w:t>
      </w:r>
    </w:p>
  </w:footnote>
  <w:footnote w:id="75">
    <w:p w14:paraId="1A95E2FF" w14:textId="1BEA0D1E" w:rsidR="00195604" w:rsidRPr="005A1DC2" w:rsidRDefault="00195604" w:rsidP="005A1DC2">
      <w:pPr>
        <w:shd w:val="clear" w:color="auto" w:fill="FFFFFF"/>
        <w:tabs>
          <w:tab w:val="num" w:pos="720"/>
          <w:tab w:val="left" w:pos="1440"/>
          <w:tab w:val="num" w:pos="2040"/>
        </w:tabs>
        <w:jc w:val="both"/>
        <w:rPr>
          <w:rFonts w:asciiTheme="majorHAnsi" w:hAnsiTheme="majorHAnsi"/>
          <w:sz w:val="16"/>
          <w:szCs w:val="16"/>
          <w:lang w:val="es-ES"/>
        </w:rPr>
      </w:pPr>
      <w:r w:rsidRPr="005A1DC2">
        <w:rPr>
          <w:rStyle w:val="FootnoteReference"/>
          <w:rFonts w:asciiTheme="majorHAnsi" w:hAnsiTheme="majorHAnsi"/>
          <w:sz w:val="16"/>
          <w:szCs w:val="16"/>
        </w:rPr>
        <w:footnoteRef/>
      </w:r>
      <w:r w:rsidRPr="005A1DC2">
        <w:rPr>
          <w:rFonts w:asciiTheme="majorHAnsi" w:hAnsiTheme="majorHAnsi"/>
          <w:sz w:val="16"/>
          <w:szCs w:val="16"/>
          <w:lang w:val="es-VE"/>
        </w:rPr>
        <w:t xml:space="preserve"> Artículo XXV. </w:t>
      </w:r>
      <w:r w:rsidRPr="005A1DC2">
        <w:rPr>
          <w:rFonts w:asciiTheme="majorHAnsi" w:eastAsia="Calibri" w:hAnsiTheme="majorHAnsi"/>
          <w:color w:val="000000"/>
          <w:sz w:val="16"/>
          <w:szCs w:val="16"/>
          <w:bdr w:val="none" w:sz="0" w:space="0" w:color="auto"/>
          <w:lang w:val="es-AR"/>
        </w:rPr>
        <w:t>Nadie puede ser privado de su libertad sino en los casos y según las formas establecidas por leyes preexistentes. Nadie puede ser detenido por incumplimiento de obligaciones de carácter netamente civil.</w:t>
      </w:r>
      <w:r w:rsidR="004621F6" w:rsidRPr="005A1DC2">
        <w:rPr>
          <w:rFonts w:asciiTheme="majorHAnsi" w:eastAsia="Calibri" w:hAnsiTheme="majorHAnsi"/>
          <w:color w:val="000000"/>
          <w:sz w:val="16"/>
          <w:szCs w:val="16"/>
          <w:bdr w:val="none" w:sz="0" w:space="0" w:color="auto"/>
          <w:lang w:val="es-AR"/>
        </w:rPr>
        <w:t xml:space="preserve"> </w:t>
      </w:r>
    </w:p>
  </w:footnote>
  <w:footnote w:id="76">
    <w:p w14:paraId="615257D0" w14:textId="745AB229" w:rsidR="00B930C1" w:rsidRPr="005A1DC2" w:rsidRDefault="00B930C1" w:rsidP="005A1DC2">
      <w:pPr>
        <w:pStyle w:val="FootnoteText"/>
        <w:rPr>
          <w:lang w:val="es-AR"/>
        </w:rPr>
      </w:pPr>
      <w:r w:rsidRPr="005A1DC2">
        <w:rPr>
          <w:rStyle w:val="FootnoteReference"/>
        </w:rPr>
        <w:footnoteRef/>
      </w:r>
      <w:r w:rsidR="7AB0424C" w:rsidRPr="005A1DC2">
        <w:rPr>
          <w:lang w:val="es-AR"/>
        </w:rPr>
        <w:t xml:space="preserve"> CIDH, </w:t>
      </w:r>
      <w:r w:rsidR="7AB0424C" w:rsidRPr="7AB0424C">
        <w:rPr>
          <w:i/>
          <w:iCs/>
          <w:lang w:val="es-AR"/>
        </w:rPr>
        <w:t>Informe sobre terrorismo y derechos humanos</w:t>
      </w:r>
      <w:r w:rsidR="7AB0424C" w:rsidRPr="005A1DC2">
        <w:rPr>
          <w:lang w:val="es-AR"/>
        </w:rPr>
        <w:t>, OEA/Ser.L/V/II.116.Doc.5 rev.1, 22 de octubre de 2002, párr. 120.</w:t>
      </w:r>
    </w:p>
  </w:footnote>
  <w:footnote w:id="77">
    <w:p w14:paraId="6A4E84B0" w14:textId="1043088A" w:rsidR="0027590C" w:rsidRPr="00463CEE" w:rsidRDefault="0027590C" w:rsidP="0027590C">
      <w:pPr>
        <w:jc w:val="both"/>
        <w:rPr>
          <w:rFonts w:ascii="Cambria" w:eastAsia="Cambria" w:hAnsi="Cambria" w:cs="Cambria"/>
          <w:sz w:val="16"/>
          <w:szCs w:val="16"/>
          <w:lang w:val="es-AR"/>
        </w:rPr>
      </w:pPr>
      <w:r w:rsidRPr="7AB0424C">
        <w:rPr>
          <w:rFonts w:asciiTheme="majorHAnsi" w:hAnsiTheme="majorHAnsi"/>
          <w:sz w:val="16"/>
          <w:szCs w:val="16"/>
          <w:vertAlign w:val="superscript"/>
        </w:rPr>
        <w:footnoteRef/>
      </w:r>
      <w:r w:rsidR="7AB0424C" w:rsidRPr="0027590C">
        <w:rPr>
          <w:rFonts w:ascii="Cambria" w:eastAsia="Cambria" w:hAnsi="Cambria" w:cs="Cambria"/>
          <w:sz w:val="12"/>
          <w:szCs w:val="12"/>
          <w:lang w:val="es-AR"/>
        </w:rPr>
        <w:t xml:space="preserve"> </w:t>
      </w:r>
      <w:r w:rsidR="7AB0424C" w:rsidRPr="0027590C">
        <w:rPr>
          <w:rFonts w:ascii="Cambria" w:eastAsia="Cambria" w:hAnsi="Cambria" w:cs="Cambria"/>
          <w:sz w:val="16"/>
          <w:szCs w:val="16"/>
          <w:lang w:val="es-AR"/>
        </w:rPr>
        <w:t xml:space="preserve">CIDH, Informe No. 76/11, Caso 11.769, </w:t>
      </w:r>
      <w:r w:rsidR="7AB0424C">
        <w:rPr>
          <w:rFonts w:ascii="Cambria" w:eastAsia="Cambria" w:hAnsi="Cambria" w:cs="Cambria"/>
          <w:sz w:val="16"/>
          <w:szCs w:val="16"/>
          <w:lang w:val="es-AR"/>
        </w:rPr>
        <w:t xml:space="preserve">Fondo, </w:t>
      </w:r>
      <w:r w:rsidR="7AB0424C" w:rsidRPr="0027590C">
        <w:rPr>
          <w:rFonts w:ascii="Cambria" w:eastAsia="Cambria" w:hAnsi="Cambria" w:cs="Cambria"/>
          <w:sz w:val="16"/>
          <w:szCs w:val="16"/>
          <w:lang w:val="es-AR"/>
        </w:rPr>
        <w:t>J., Perú, 20 de julio de 2011</w:t>
      </w:r>
      <w:r w:rsidR="7AB0424C">
        <w:rPr>
          <w:rFonts w:ascii="Cambria" w:eastAsia="Cambria" w:hAnsi="Cambria" w:cs="Cambria"/>
          <w:sz w:val="16"/>
          <w:szCs w:val="16"/>
          <w:lang w:val="es-AR"/>
        </w:rPr>
        <w:t>, p</w:t>
      </w:r>
      <w:r w:rsidR="7AB0424C" w:rsidRPr="0027590C">
        <w:rPr>
          <w:rFonts w:ascii="Cambria" w:eastAsia="Cambria" w:hAnsi="Cambria" w:cs="Cambria"/>
          <w:sz w:val="16"/>
          <w:szCs w:val="16"/>
          <w:lang w:val="es-AR"/>
        </w:rPr>
        <w:t xml:space="preserve">árr. 160; Informe No. 153/18, Caso 13.069, </w:t>
      </w:r>
      <w:r w:rsidR="7AB0424C">
        <w:rPr>
          <w:rFonts w:ascii="Cambria" w:eastAsia="Cambria" w:hAnsi="Cambria" w:cs="Cambria"/>
          <w:sz w:val="16"/>
          <w:szCs w:val="16"/>
          <w:lang w:val="es-AR"/>
        </w:rPr>
        <w:t xml:space="preserve">Fondo, </w:t>
      </w:r>
      <w:r w:rsidR="7AB0424C" w:rsidRPr="0027590C">
        <w:rPr>
          <w:rFonts w:ascii="Cambria" w:eastAsia="Cambria" w:hAnsi="Cambria" w:cs="Cambria"/>
          <w:sz w:val="16"/>
          <w:szCs w:val="16"/>
          <w:lang w:val="es-AR"/>
        </w:rPr>
        <w:t>Manuela y Familia, El Salvador, 7 diciembre 2018</w:t>
      </w:r>
      <w:r w:rsidR="7AB0424C">
        <w:rPr>
          <w:rFonts w:ascii="Cambria" w:eastAsia="Cambria" w:hAnsi="Cambria" w:cs="Cambria"/>
          <w:sz w:val="16"/>
          <w:szCs w:val="16"/>
          <w:lang w:val="es-AR"/>
        </w:rPr>
        <w:t>, p</w:t>
      </w:r>
      <w:r w:rsidR="7AB0424C" w:rsidRPr="0027590C">
        <w:rPr>
          <w:rFonts w:ascii="Cambria" w:eastAsia="Cambria" w:hAnsi="Cambria" w:cs="Cambria"/>
          <w:sz w:val="16"/>
          <w:szCs w:val="16"/>
          <w:lang w:val="es-AR"/>
        </w:rPr>
        <w:t xml:space="preserve">árr. 80; Informe No. 298/23, Caso 11.464, </w:t>
      </w:r>
      <w:r w:rsidR="7AB0424C">
        <w:rPr>
          <w:rFonts w:ascii="Cambria" w:eastAsia="Cambria" w:hAnsi="Cambria" w:cs="Cambria"/>
          <w:sz w:val="16"/>
          <w:szCs w:val="16"/>
          <w:lang w:val="es-AR"/>
        </w:rPr>
        <w:t>Ad</w:t>
      </w:r>
      <w:r w:rsidR="7AB0424C" w:rsidRPr="0027590C">
        <w:rPr>
          <w:rFonts w:ascii="Cambria" w:eastAsia="Cambria" w:hAnsi="Cambria" w:cs="Cambria"/>
          <w:sz w:val="16"/>
          <w:szCs w:val="16"/>
          <w:lang w:val="es-AR"/>
        </w:rPr>
        <w:t xml:space="preserve">misibilidad y fondo, Alberto Augusto Zalles Cueto, Ecuador, </w:t>
      </w:r>
      <w:r w:rsidR="7AB0424C" w:rsidRPr="00463CEE">
        <w:rPr>
          <w:rFonts w:ascii="Cambria" w:eastAsia="Cambria" w:hAnsi="Cambria" w:cs="Cambria"/>
          <w:sz w:val="16"/>
          <w:szCs w:val="16"/>
          <w:lang w:val="es-AR"/>
        </w:rPr>
        <w:t>30 noviembre 2023, párr. 120.</w:t>
      </w:r>
    </w:p>
  </w:footnote>
  <w:footnote w:id="78">
    <w:p w14:paraId="43EC8A41" w14:textId="44EA8FC6" w:rsidR="008805E1" w:rsidRPr="005A1DC2" w:rsidRDefault="008805E1" w:rsidP="005A1DC2">
      <w:pPr>
        <w:pStyle w:val="FootnoteText"/>
        <w:rPr>
          <w:lang w:val="es-AR"/>
        </w:rPr>
      </w:pPr>
      <w:r w:rsidRPr="005A1DC2">
        <w:rPr>
          <w:rStyle w:val="FootnoteReference"/>
        </w:rPr>
        <w:footnoteRef/>
      </w:r>
      <w:r w:rsidR="7AB0424C" w:rsidRPr="005A1DC2">
        <w:rPr>
          <w:lang w:val="es-AR"/>
        </w:rPr>
        <w:t xml:space="preserve"> CIDH, Informe No. 129/17, Caso 12.315, Fondo, Carlos Alberto Fernández Prieto y Carlos Alejandro Tumbeiro, Argentina, 25 de octubre de 2017, párr. 47.</w:t>
      </w:r>
    </w:p>
  </w:footnote>
  <w:footnote w:id="79">
    <w:p w14:paraId="51C7442F" w14:textId="75BE08EB" w:rsidR="00CC2F4A" w:rsidRPr="005A1DC2" w:rsidRDefault="00CC2F4A" w:rsidP="005A1DC2">
      <w:pPr>
        <w:pStyle w:val="FootnoteText"/>
        <w:rPr>
          <w:lang w:val="es-AR"/>
        </w:rPr>
      </w:pPr>
      <w:r w:rsidRPr="005A1DC2">
        <w:rPr>
          <w:rStyle w:val="FootnoteReference"/>
        </w:rPr>
        <w:footnoteRef/>
      </w:r>
      <w:r w:rsidR="7AB0424C" w:rsidRPr="005A1DC2">
        <w:rPr>
          <w:lang w:val="es-AR"/>
        </w:rPr>
        <w:t xml:space="preserve"> CIDH, Demanda ante la Corte IDH, Walter David Bulacio, Argentina, 24 de enero de 2001, párr. 61.</w:t>
      </w:r>
    </w:p>
  </w:footnote>
  <w:footnote w:id="80">
    <w:p w14:paraId="327A0B21" w14:textId="128067A6" w:rsidR="00CC2F4A" w:rsidRPr="0083046E" w:rsidRDefault="00CC2F4A" w:rsidP="005A1DC2">
      <w:pPr>
        <w:pStyle w:val="FootnoteText"/>
        <w:rPr>
          <w:lang w:val="es-US"/>
        </w:rPr>
      </w:pPr>
      <w:r w:rsidRPr="005A1DC2">
        <w:rPr>
          <w:rStyle w:val="FootnoteReference"/>
        </w:rPr>
        <w:footnoteRef/>
      </w:r>
      <w:r w:rsidR="7AB0424C" w:rsidRPr="005A1DC2">
        <w:rPr>
          <w:lang w:val="es-AR"/>
        </w:rPr>
        <w:t xml:space="preserve"> CIDH, Informe No. 24/18, Caso 12.982, Fondo, Azul Rojas Martín y otra, </w:t>
      </w:r>
      <w:r w:rsidR="7AB0424C" w:rsidRPr="0083046E">
        <w:rPr>
          <w:lang w:val="es-US"/>
        </w:rPr>
        <w:t>Perú, 24 de febrero de 2018, párr. 65.</w:t>
      </w:r>
    </w:p>
  </w:footnote>
  <w:footnote w:id="81">
    <w:p w14:paraId="05595B40" w14:textId="75D50D96" w:rsidR="00CC2F4A" w:rsidRPr="005A1DC2" w:rsidRDefault="00CC2F4A" w:rsidP="005A1DC2">
      <w:pPr>
        <w:pStyle w:val="FootnoteText"/>
        <w:rPr>
          <w:lang w:val="es-AR"/>
        </w:rPr>
      </w:pPr>
      <w:r w:rsidRPr="005A1DC2">
        <w:rPr>
          <w:rStyle w:val="FootnoteReference"/>
        </w:rPr>
        <w:footnoteRef/>
      </w:r>
      <w:r w:rsidR="7AB0424C">
        <w:rPr>
          <w:lang w:val="es-AR"/>
        </w:rPr>
        <w:t xml:space="preserve"> </w:t>
      </w:r>
      <w:r w:rsidR="7AB0424C" w:rsidRPr="00837185">
        <w:rPr>
          <w:lang w:val="es-AR"/>
        </w:rPr>
        <w:t>CIDH, Informe No.172/10, Caso 12.561, César Alberto Mendoza y otros (Prisión y reclusión perpetuas de adolescentes), Fondo, Argentina, 2 de noviembre de 2010</w:t>
      </w:r>
      <w:r w:rsidR="7AB0424C">
        <w:rPr>
          <w:lang w:val="es-AR"/>
        </w:rPr>
        <w:t>, p</w:t>
      </w:r>
      <w:r w:rsidR="7AB0424C" w:rsidRPr="00837185">
        <w:rPr>
          <w:lang w:val="es-AR"/>
        </w:rPr>
        <w:t>árr. 174; Demanda ante la Corte Interamericana de Derechos Humanos, Caso 12.651, César Alberto Mendoza y otros (Prisión y reclusión perpetuas de adolescentes), Argentina, 17 de junio de 2011</w:t>
      </w:r>
      <w:r w:rsidR="7AB0424C">
        <w:rPr>
          <w:lang w:val="es-AR"/>
        </w:rPr>
        <w:t>, p</w:t>
      </w:r>
      <w:r w:rsidR="7AB0424C" w:rsidRPr="00837185">
        <w:rPr>
          <w:lang w:val="es-AR"/>
        </w:rPr>
        <w:t>árr. 182; Informe No. 8/20, Caso 12.999, Fondo, Julio Rogelio Viteri Ungaretti y Familia, Ecuador, 3 de marzo de 2020</w:t>
      </w:r>
      <w:r w:rsidR="7AB0424C">
        <w:rPr>
          <w:lang w:val="es-AR"/>
        </w:rPr>
        <w:t>, p</w:t>
      </w:r>
      <w:r w:rsidR="7AB0424C" w:rsidRPr="00837185">
        <w:rPr>
          <w:lang w:val="es-AR"/>
        </w:rPr>
        <w:t>árr. 80</w:t>
      </w:r>
      <w:r w:rsidR="7AB0424C">
        <w:rPr>
          <w:lang w:val="es-AR"/>
        </w:rPr>
        <w:t>.</w:t>
      </w:r>
      <w:r w:rsidR="7AB0424C" w:rsidRPr="005A1DC2">
        <w:rPr>
          <w:lang w:val="es-AR"/>
        </w:rPr>
        <w:t xml:space="preserve"> </w:t>
      </w:r>
    </w:p>
  </w:footnote>
  <w:footnote w:id="82">
    <w:p w14:paraId="02367490" w14:textId="2ADA3115" w:rsidR="00151F04" w:rsidRPr="005A1DC2" w:rsidRDefault="00151F04" w:rsidP="005A1DC2">
      <w:pPr>
        <w:pStyle w:val="FootnoteText"/>
        <w:rPr>
          <w:lang w:val="es-AR"/>
        </w:rPr>
      </w:pPr>
      <w:r w:rsidRPr="005A1DC2">
        <w:rPr>
          <w:rStyle w:val="FootnoteReference"/>
        </w:rPr>
        <w:footnoteRef/>
      </w:r>
      <w:r w:rsidR="7AB0424C" w:rsidRPr="005A1DC2">
        <w:rPr>
          <w:lang w:val="es-AR"/>
        </w:rPr>
        <w:t xml:space="preserve"> CIDH, Informe No. 58/12, Caso 12.606, Fondo, Hermanos Landaeta Mejías. Venezuela, párr. 218. </w:t>
      </w:r>
    </w:p>
  </w:footnote>
  <w:footnote w:id="83">
    <w:p w14:paraId="5257F1CA" w14:textId="05F2C6E5" w:rsidR="00151F04" w:rsidRPr="00552C7C" w:rsidRDefault="00151F04" w:rsidP="005A1DC2">
      <w:pPr>
        <w:pStyle w:val="FootnoteText"/>
        <w:rPr>
          <w:lang w:val="es-AR"/>
        </w:rPr>
      </w:pPr>
      <w:r w:rsidRPr="005A1DC2">
        <w:rPr>
          <w:rStyle w:val="FootnoteReference"/>
        </w:rPr>
        <w:footnoteRef/>
      </w:r>
      <w:r w:rsidR="7AB0424C" w:rsidRPr="005A1DC2">
        <w:rPr>
          <w:lang w:val="es-AR"/>
        </w:rPr>
        <w:t xml:space="preserve"> Corte IDH, </w:t>
      </w:r>
      <w:r w:rsidR="7AB0424C" w:rsidRPr="7AB0424C">
        <w:rPr>
          <w:lang w:val="es-AR"/>
        </w:rPr>
        <w:t xml:space="preserve">Caso </w:t>
      </w:r>
      <w:r w:rsidR="7AB0424C" w:rsidRPr="7AB0424C">
        <w:rPr>
          <w:i/>
          <w:iCs/>
          <w:lang w:val="es-AR"/>
        </w:rPr>
        <w:t xml:space="preserve">Nadege Dorzema y otros Vs. República Dominicana, </w:t>
      </w:r>
      <w:r w:rsidR="7AB0424C" w:rsidRPr="005A1DC2">
        <w:rPr>
          <w:lang w:val="es-AR"/>
        </w:rPr>
        <w:t xml:space="preserve">Fondo, Reparaciones y Costas, Sentencia de 24 de octubre de 2012, Serie C. No. 251, párr. </w:t>
      </w:r>
      <w:r w:rsidR="7AB0424C" w:rsidRPr="00552C7C">
        <w:rPr>
          <w:lang w:val="es-AR"/>
        </w:rPr>
        <w:t xml:space="preserve">133. </w:t>
      </w:r>
    </w:p>
  </w:footnote>
  <w:footnote w:id="84">
    <w:p w14:paraId="369AA516" w14:textId="34A932ED" w:rsidR="00151F04" w:rsidRPr="005A1DC2" w:rsidRDefault="00151F04" w:rsidP="005A1DC2">
      <w:pPr>
        <w:pStyle w:val="FootnoteText"/>
        <w:rPr>
          <w:lang w:val="es-AR"/>
        </w:rPr>
      </w:pPr>
      <w:r w:rsidRPr="005A1DC2">
        <w:rPr>
          <w:rStyle w:val="FootnoteReference"/>
        </w:rPr>
        <w:footnoteRef/>
      </w:r>
      <w:r w:rsidR="7AB0424C" w:rsidRPr="00552C7C">
        <w:rPr>
          <w:lang w:val="es-AR"/>
        </w:rPr>
        <w:t xml:space="preserve"> CIDH, Informe No. 76/11, Caso 11.769, A.J., Perú, 20 de julio de 2011, párr. 166. Corte IDH, Caso </w:t>
      </w:r>
      <w:r w:rsidR="7AB0424C" w:rsidRPr="00552C7C">
        <w:rPr>
          <w:i/>
          <w:iCs/>
          <w:lang w:val="es-AR"/>
        </w:rPr>
        <w:t xml:space="preserve">Cabrera García y Montiel Flores Vs. </w:t>
      </w:r>
      <w:r w:rsidR="7AB0424C" w:rsidRPr="7AB0424C">
        <w:rPr>
          <w:i/>
          <w:iCs/>
          <w:lang w:val="es-AR"/>
        </w:rPr>
        <w:t>México,</w:t>
      </w:r>
      <w:r w:rsidR="7AB0424C" w:rsidRPr="005A1DC2">
        <w:rPr>
          <w:lang w:val="es-AR"/>
        </w:rPr>
        <w:t xml:space="preserve"> Excepción Preliminar, Fondo, Reparaciones y Costas, Sentencia de 26 de noviembre de 2010, Serie C. No. 220, párr. 106.</w:t>
      </w:r>
    </w:p>
  </w:footnote>
  <w:footnote w:id="85">
    <w:p w14:paraId="1A849E87" w14:textId="624BE695" w:rsidR="00151F04" w:rsidRPr="005A1DC2" w:rsidRDefault="00151F04" w:rsidP="005A1DC2">
      <w:pPr>
        <w:pStyle w:val="FootnoteText"/>
        <w:rPr>
          <w:lang w:val="es-AR"/>
        </w:rPr>
      </w:pPr>
      <w:r w:rsidRPr="005A1DC2">
        <w:rPr>
          <w:rStyle w:val="FootnoteReference"/>
        </w:rPr>
        <w:footnoteRef/>
      </w:r>
      <w:r w:rsidR="7AB0424C" w:rsidRPr="0083046E">
        <w:rPr>
          <w:lang w:val="es-AR"/>
        </w:rPr>
        <w:t xml:space="preserve"> CIDH, Informe No. 76/11, Caso 11.769, A.J., Perú, 20 de julio de 2011, párr. </w:t>
      </w:r>
      <w:r w:rsidR="7AB0424C" w:rsidRPr="0083046E">
        <w:rPr>
          <w:lang w:val="es-US"/>
        </w:rPr>
        <w:t>166</w:t>
      </w:r>
      <w:r w:rsidR="7AB0424C" w:rsidRPr="005A1DC2">
        <w:rPr>
          <w:lang w:val="es-AR"/>
        </w:rPr>
        <w:t>.</w:t>
      </w:r>
    </w:p>
  </w:footnote>
  <w:footnote w:id="86">
    <w:p w14:paraId="2EF591A3" w14:textId="63A4D360" w:rsidR="00151F04" w:rsidRPr="005A1DC2" w:rsidRDefault="00151F04" w:rsidP="7AB0424C">
      <w:pPr>
        <w:pStyle w:val="FootnoteText"/>
        <w:rPr>
          <w:rFonts w:ascii="Cambria" w:eastAsia="Cambria" w:hAnsi="Cambria" w:cs="Cambria"/>
          <w:lang w:val="es-AR"/>
        </w:rPr>
      </w:pPr>
      <w:r w:rsidRPr="005A1DC2">
        <w:rPr>
          <w:rStyle w:val="FootnoteReference"/>
        </w:rPr>
        <w:footnoteRef/>
      </w:r>
      <w:r w:rsidR="7AB0424C" w:rsidRPr="005A1DC2">
        <w:rPr>
          <w:lang w:val="es-AR"/>
        </w:rPr>
        <w:t xml:space="preserve"> </w:t>
      </w:r>
      <w:r w:rsidR="7AB0424C" w:rsidRPr="00F33DE3">
        <w:rPr>
          <w:rFonts w:ascii="Cambria" w:eastAsia="Cambria" w:hAnsi="Cambria" w:cs="Cambria"/>
          <w:lang w:val="es-AR"/>
        </w:rPr>
        <w:t>CIDH, Informe No. 76/11, Caso 11.769, Fondo, J, Perú, 20 de julio de 2011</w:t>
      </w:r>
      <w:r w:rsidR="7AB0424C">
        <w:rPr>
          <w:rFonts w:ascii="Cambria" w:eastAsia="Cambria" w:hAnsi="Cambria" w:cs="Cambria"/>
          <w:lang w:val="es-AR"/>
        </w:rPr>
        <w:t>, p</w:t>
      </w:r>
      <w:r w:rsidR="7AB0424C" w:rsidRPr="00F33DE3">
        <w:rPr>
          <w:rFonts w:ascii="Cambria" w:eastAsia="Cambria" w:hAnsi="Cambria" w:cs="Cambria"/>
          <w:lang w:val="es-AR"/>
        </w:rPr>
        <w:t xml:space="preserve">árr. 166; CIDH, </w:t>
      </w:r>
      <w:r w:rsidR="7AB0424C" w:rsidRPr="7AB0424C">
        <w:rPr>
          <w:rFonts w:ascii="Cambria" w:eastAsia="Cambria" w:hAnsi="Cambria" w:cs="Cambria"/>
          <w:i/>
          <w:iCs/>
          <w:lang w:val="es-AR"/>
        </w:rPr>
        <w:t xml:space="preserve">Derechos humanos de los migrantes y otras personas en el contexto de la movilidad humana en México, </w:t>
      </w:r>
      <w:r w:rsidR="7AB0424C" w:rsidRPr="00F33DE3">
        <w:rPr>
          <w:rFonts w:ascii="Cambria" w:eastAsia="Cambria" w:hAnsi="Cambria" w:cs="Cambria"/>
          <w:lang w:val="es-AR"/>
        </w:rPr>
        <w:t>30 de diciembre de 2013</w:t>
      </w:r>
      <w:r w:rsidR="7AB0424C">
        <w:rPr>
          <w:rFonts w:ascii="Cambria" w:eastAsia="Cambria" w:hAnsi="Cambria" w:cs="Cambria"/>
          <w:lang w:val="es-AR"/>
        </w:rPr>
        <w:t>, p</w:t>
      </w:r>
      <w:r w:rsidR="7AB0424C" w:rsidRPr="00F33DE3">
        <w:rPr>
          <w:rFonts w:ascii="Cambria" w:eastAsia="Cambria" w:hAnsi="Cambria" w:cs="Cambria"/>
          <w:lang w:val="es-AR"/>
        </w:rPr>
        <w:t>árr. 448; CIDH, Informe No. 74/15, Caso 12.846, Fondo, Mariana Selvas Gómez y otras, México, 28 octubre 2015</w:t>
      </w:r>
      <w:r w:rsidR="7AB0424C">
        <w:rPr>
          <w:rFonts w:ascii="Cambria" w:eastAsia="Cambria" w:hAnsi="Cambria" w:cs="Cambria"/>
          <w:lang w:val="es-AR"/>
        </w:rPr>
        <w:t>, p</w:t>
      </w:r>
      <w:r w:rsidR="7AB0424C" w:rsidRPr="00F33DE3">
        <w:rPr>
          <w:rFonts w:ascii="Cambria" w:eastAsia="Cambria" w:hAnsi="Cambria" w:cs="Cambria"/>
          <w:lang w:val="es-AR"/>
        </w:rPr>
        <w:t xml:space="preserve">árr. 327; CIDH, Informe No. 298/23, Caso 11.464, Admisibilidad y Fondo, Alberto Augusto Zalles Cueto, </w:t>
      </w:r>
      <w:r w:rsidR="7AB0424C" w:rsidRPr="00463CEE">
        <w:rPr>
          <w:rFonts w:ascii="Cambria" w:eastAsia="Cambria" w:hAnsi="Cambria" w:cs="Cambria"/>
          <w:lang w:val="es-AR"/>
        </w:rPr>
        <w:t>Ecuador, 30 de noviembre de 2023, párr. 327.</w:t>
      </w:r>
    </w:p>
  </w:footnote>
  <w:footnote w:id="87">
    <w:p w14:paraId="2646E088" w14:textId="4D1FB6D9" w:rsidR="00B22D02" w:rsidRPr="005A1DC2" w:rsidRDefault="00B22D02" w:rsidP="005A1DC2">
      <w:pPr>
        <w:pStyle w:val="FootnoteText"/>
        <w:rPr>
          <w:lang w:val="es-AR"/>
        </w:rPr>
      </w:pPr>
      <w:r w:rsidRPr="005A1DC2">
        <w:rPr>
          <w:rStyle w:val="FootnoteReference"/>
        </w:rPr>
        <w:footnoteRef/>
      </w:r>
      <w:r w:rsidR="7AB0424C" w:rsidRPr="005A1DC2">
        <w:rPr>
          <w:lang w:val="es-AR"/>
        </w:rPr>
        <w:t xml:space="preserve"> CIDH, Informe No. 40/14, Caso 11.438, Fondo, Herrera Espinoza y otros, Ecuador, 17 de julio de 2004, párr. 138.</w:t>
      </w:r>
    </w:p>
  </w:footnote>
  <w:footnote w:id="88">
    <w:p w14:paraId="3DE1B672" w14:textId="4776E4A9" w:rsidR="00B22D02" w:rsidRPr="005A1DC2" w:rsidRDefault="00B22D02" w:rsidP="005A1DC2">
      <w:pPr>
        <w:pStyle w:val="FootnoteText"/>
        <w:rPr>
          <w:lang w:val="es-AR"/>
        </w:rPr>
      </w:pPr>
      <w:r w:rsidRPr="005A1DC2">
        <w:rPr>
          <w:rStyle w:val="FootnoteReference"/>
        </w:rPr>
        <w:footnoteRef/>
      </w:r>
      <w:r w:rsidR="7AB0424C" w:rsidRPr="005A1DC2">
        <w:rPr>
          <w:lang w:val="es-AR"/>
        </w:rPr>
        <w:t xml:space="preserve"> CIDH, Informe No. 8/14, Caso 12.617, Fondo, Luis Pollo Rivera, Perú, 2 de abril de 2014, párr. 197.</w:t>
      </w:r>
    </w:p>
  </w:footnote>
  <w:footnote w:id="89">
    <w:p w14:paraId="30B72337" w14:textId="2C37F52A" w:rsidR="00B22D02" w:rsidRPr="005A1DC2" w:rsidRDefault="00B22D02" w:rsidP="005A1DC2">
      <w:pPr>
        <w:pStyle w:val="FootnoteText"/>
        <w:rPr>
          <w:lang w:val="es-AR"/>
        </w:rPr>
      </w:pPr>
      <w:r w:rsidRPr="005A1DC2">
        <w:rPr>
          <w:rStyle w:val="FootnoteReference"/>
        </w:rPr>
        <w:footnoteRef/>
      </w:r>
      <w:r w:rsidR="7AB0424C" w:rsidRPr="005A1DC2">
        <w:rPr>
          <w:lang w:val="es-AR"/>
        </w:rPr>
        <w:t xml:space="preserve"> CIDH, Criminalización de la labor de las defensoras y los defensores de derechos humanos, 31 de diciembre de 2015, párr. 193.</w:t>
      </w:r>
    </w:p>
  </w:footnote>
  <w:footnote w:id="90">
    <w:p w14:paraId="187D4AED" w14:textId="6458FBA6" w:rsidR="000F4F72" w:rsidRPr="005A1DC2" w:rsidRDefault="000F4F72" w:rsidP="005A1DC2">
      <w:pPr>
        <w:pStyle w:val="FootnoteText"/>
        <w:rPr>
          <w:lang w:val="es-AR"/>
        </w:rPr>
      </w:pPr>
      <w:r w:rsidRPr="005A1DC2">
        <w:rPr>
          <w:rStyle w:val="FootnoteReference"/>
        </w:rPr>
        <w:footnoteRef/>
      </w:r>
      <w:r w:rsidR="7AB0424C" w:rsidRPr="005A1DC2">
        <w:rPr>
          <w:lang w:val="es-AR"/>
        </w:rPr>
        <w:t xml:space="preserve"> Corte IDH, </w:t>
      </w:r>
      <w:r w:rsidR="7AB0424C" w:rsidRPr="7AB0424C">
        <w:rPr>
          <w:lang w:val="es-AR"/>
        </w:rPr>
        <w:t xml:space="preserve">Caso </w:t>
      </w:r>
      <w:r w:rsidR="7AB0424C" w:rsidRPr="7AB0424C">
        <w:rPr>
          <w:i/>
          <w:iCs/>
          <w:lang w:val="es-AR"/>
        </w:rPr>
        <w:t>Chaparro Álvarez y Lapo Íñiguez Vs. Ecuador,</w:t>
      </w:r>
      <w:r w:rsidR="7AB0424C" w:rsidRPr="005A1DC2">
        <w:rPr>
          <w:lang w:val="es-AR"/>
        </w:rPr>
        <w:t xml:space="preserve"> Excepciones Preliminares, Fondo, Reparaciones y Costas, Sentencia de 21 de noviembre de 2007, Serie C. No. 170, párr. 73.</w:t>
      </w:r>
    </w:p>
  </w:footnote>
  <w:footnote w:id="91">
    <w:p w14:paraId="19E0B154" w14:textId="3E0CB08D" w:rsidR="002F195C" w:rsidRPr="005A1DC2" w:rsidRDefault="002F195C" w:rsidP="002F195C">
      <w:pPr>
        <w:pStyle w:val="FootnoteText"/>
        <w:rPr>
          <w:lang w:val="es-AR"/>
        </w:rPr>
      </w:pPr>
      <w:r w:rsidRPr="005A1DC2">
        <w:rPr>
          <w:rStyle w:val="FootnoteReference"/>
        </w:rPr>
        <w:footnoteRef/>
      </w:r>
      <w:r w:rsidR="7AB0424C" w:rsidRPr="005A1DC2">
        <w:rPr>
          <w:lang w:val="es-AR"/>
        </w:rPr>
        <w:t xml:space="preserve"> CIDH, Criminalización de la labor de las defensoras y los defensores de derechos humanos, 31 de diciembre de 2015, párr. 194.</w:t>
      </w:r>
    </w:p>
  </w:footnote>
  <w:footnote w:id="92">
    <w:p w14:paraId="62D8D583" w14:textId="24B7C5B8" w:rsidR="00195604" w:rsidRPr="005A1DC2" w:rsidRDefault="00195604" w:rsidP="005A1DC2">
      <w:pPr>
        <w:shd w:val="clear" w:color="auto" w:fill="FFFFFF"/>
        <w:tabs>
          <w:tab w:val="num" w:pos="720"/>
          <w:tab w:val="left" w:pos="1440"/>
          <w:tab w:val="num" w:pos="2040"/>
        </w:tabs>
        <w:jc w:val="both"/>
        <w:rPr>
          <w:rFonts w:asciiTheme="majorHAnsi" w:hAnsiTheme="majorHAnsi"/>
          <w:sz w:val="16"/>
          <w:szCs w:val="16"/>
          <w:lang w:val="es-ES"/>
        </w:rPr>
      </w:pPr>
      <w:r w:rsidRPr="005A1DC2">
        <w:rPr>
          <w:rStyle w:val="FootnoteReference"/>
          <w:rFonts w:asciiTheme="majorHAnsi" w:hAnsiTheme="majorHAnsi"/>
          <w:sz w:val="16"/>
          <w:szCs w:val="16"/>
        </w:rPr>
        <w:footnoteRef/>
      </w:r>
      <w:r w:rsidRPr="005A1DC2">
        <w:rPr>
          <w:rFonts w:asciiTheme="majorHAnsi" w:hAnsiTheme="majorHAnsi"/>
          <w:sz w:val="16"/>
          <w:szCs w:val="16"/>
          <w:lang w:val="es-VE"/>
        </w:rPr>
        <w:t xml:space="preserve"> Artículo XVIII. </w:t>
      </w:r>
      <w:r w:rsidRPr="005A1DC2">
        <w:rPr>
          <w:rFonts w:asciiTheme="majorHAnsi" w:eastAsia="Calibri" w:hAnsiTheme="majorHAnsi"/>
          <w:color w:val="000000"/>
          <w:sz w:val="16"/>
          <w:szCs w:val="16"/>
          <w:bdr w:val="none" w:sz="0" w:space="0" w:color="auto"/>
          <w:lang w:val="es-AR"/>
        </w:rPr>
        <w:t>Toda persona puede concurrir a los tribunales para hacer valer sus derechos. Asimismo debe disponer de un procedimiento sencillo y breve por el cual la justicia la ampare contra actos de la autoridad que violen, en perjuicio suyo, alguno de los derechos fundamentales consagrados constitucionalmente.</w:t>
      </w:r>
    </w:p>
  </w:footnote>
  <w:footnote w:id="93">
    <w:p w14:paraId="766E1833" w14:textId="2899D017" w:rsidR="00195604" w:rsidRPr="005A1DC2" w:rsidRDefault="00195604" w:rsidP="005A1DC2">
      <w:pPr>
        <w:pStyle w:val="FootnoteText"/>
        <w:rPr>
          <w:lang w:val="es-AR"/>
        </w:rPr>
      </w:pPr>
      <w:r w:rsidRPr="005A1DC2">
        <w:rPr>
          <w:rStyle w:val="FootnoteReference"/>
        </w:rPr>
        <w:footnoteRef/>
      </w:r>
      <w:r w:rsidRPr="005A1DC2">
        <w:rPr>
          <w:lang w:val="es-AR"/>
        </w:rPr>
        <w:t xml:space="preserve"> </w:t>
      </w:r>
      <w:r w:rsidRPr="005A1DC2">
        <w:rPr>
          <w:lang w:val="es-VE"/>
        </w:rPr>
        <w:t xml:space="preserve">Artículo XXVI. </w:t>
      </w:r>
      <w:r w:rsidRPr="005A1DC2">
        <w:rPr>
          <w:rFonts w:cs="Times New Roman"/>
          <w:bdr w:val="none" w:sz="0" w:space="0" w:color="auto"/>
          <w:lang w:val="es-AR"/>
        </w:rPr>
        <w:t>Se presume que todo acusado es inocente, hasta que se pruebe que es culpable.</w:t>
      </w:r>
      <w:r w:rsidRPr="005A1DC2">
        <w:rPr>
          <w:bdr w:val="none" w:sz="0" w:space="0" w:color="auto"/>
          <w:lang w:val="es-AR"/>
        </w:rPr>
        <w:t xml:space="preserve"> </w:t>
      </w:r>
      <w:r w:rsidRPr="005A1DC2">
        <w:rPr>
          <w:rFonts w:cs="Times New Roman"/>
          <w:bdr w:val="none" w:sz="0" w:space="0" w:color="auto"/>
          <w:lang w:val="es-AR"/>
        </w:rPr>
        <w:t>Toda persona acusada de delito tiene derecho a ser oída en forma imparcial y pública, a ser juzgada por tribunales anteriormente establecidos de acuerdo con leyes preexistentes y a que no se le impongan penas crueles, infamantes o inusitadas.</w:t>
      </w:r>
    </w:p>
  </w:footnote>
  <w:footnote w:id="94">
    <w:p w14:paraId="6EBCD307" w14:textId="0E6EF0C3" w:rsidR="000B2895" w:rsidRPr="005A1DC2" w:rsidRDefault="000B2895" w:rsidP="005A1DC2">
      <w:pPr>
        <w:pStyle w:val="FootnoteText"/>
        <w:rPr>
          <w:lang w:val="es-AR"/>
        </w:rPr>
      </w:pPr>
      <w:r w:rsidRPr="005A1DC2">
        <w:rPr>
          <w:rStyle w:val="FootnoteReference"/>
        </w:rPr>
        <w:footnoteRef/>
      </w:r>
      <w:r w:rsidR="7AB0424C" w:rsidRPr="00A4057E">
        <w:rPr>
          <w:lang w:val="pt-BR"/>
        </w:rPr>
        <w:t xml:space="preserve"> Corte IDH, </w:t>
      </w:r>
      <w:r w:rsidR="7AB0424C" w:rsidRPr="7AB0424C">
        <w:rPr>
          <w:lang w:val="pt-BR"/>
        </w:rPr>
        <w:t xml:space="preserve">Caso </w:t>
      </w:r>
      <w:r w:rsidR="7AB0424C" w:rsidRPr="7AB0424C">
        <w:rPr>
          <w:i/>
          <w:iCs/>
          <w:lang w:val="pt-BR"/>
        </w:rPr>
        <w:t xml:space="preserve">Palamara Iribarne Vs. </w:t>
      </w:r>
      <w:r w:rsidR="7AB0424C" w:rsidRPr="7AB0424C">
        <w:rPr>
          <w:i/>
          <w:iCs/>
          <w:lang w:val="es-AR"/>
        </w:rPr>
        <w:t>Chile,</w:t>
      </w:r>
      <w:r w:rsidR="7AB0424C" w:rsidRPr="005A1DC2">
        <w:rPr>
          <w:lang w:val="es-AR"/>
        </w:rPr>
        <w:t xml:space="preserve"> Fondo, Reparaciones y Costas, Sentencia de 22 de noviembre de 2005, Serie C. No. 135, párrs. 174 y 175.</w:t>
      </w:r>
    </w:p>
  </w:footnote>
  <w:footnote w:id="95">
    <w:p w14:paraId="6EDF7C8F" w14:textId="77B6DEC3" w:rsidR="000B2895" w:rsidRPr="00DE7322" w:rsidRDefault="000B2895" w:rsidP="00DE7322">
      <w:pPr>
        <w:jc w:val="both"/>
        <w:rPr>
          <w:rFonts w:ascii="Cambria" w:eastAsia="Cambria" w:hAnsi="Cambria" w:cs="Cambria"/>
          <w:sz w:val="16"/>
          <w:szCs w:val="16"/>
          <w:lang w:val="es-AR"/>
        </w:rPr>
      </w:pPr>
      <w:r w:rsidRPr="7AB0424C">
        <w:rPr>
          <w:rStyle w:val="FootnoteReference"/>
          <w:rFonts w:asciiTheme="majorHAnsi" w:hAnsiTheme="majorHAnsi"/>
          <w:sz w:val="16"/>
          <w:szCs w:val="16"/>
        </w:rPr>
        <w:footnoteRef/>
      </w:r>
      <w:r w:rsidR="7AB0424C" w:rsidRPr="00DE7322">
        <w:rPr>
          <w:sz w:val="16"/>
          <w:szCs w:val="16"/>
          <w:lang w:val="es-AR"/>
        </w:rPr>
        <w:t xml:space="preserve"> </w:t>
      </w:r>
      <w:r w:rsidR="7AB0424C" w:rsidRPr="00DE7322">
        <w:rPr>
          <w:rFonts w:ascii="Cambria" w:eastAsia="Cambria" w:hAnsi="Cambria" w:cs="Cambria"/>
          <w:sz w:val="16"/>
          <w:szCs w:val="16"/>
          <w:lang w:val="es-AR"/>
        </w:rPr>
        <w:t>CIDH,</w:t>
      </w:r>
      <w:r w:rsidR="7AB0424C">
        <w:rPr>
          <w:rFonts w:ascii="Cambria" w:eastAsia="Cambria" w:hAnsi="Cambria" w:cs="Cambria"/>
          <w:sz w:val="16"/>
          <w:szCs w:val="16"/>
          <w:lang w:val="es-AR"/>
        </w:rPr>
        <w:t xml:space="preserve"> </w:t>
      </w:r>
      <w:r w:rsidR="7AB0424C" w:rsidRPr="00DE7322">
        <w:rPr>
          <w:rFonts w:ascii="Cambria" w:eastAsia="Cambria" w:hAnsi="Cambria" w:cs="Cambria"/>
          <w:sz w:val="16"/>
          <w:szCs w:val="16"/>
          <w:lang w:val="es-AR"/>
        </w:rPr>
        <w:t>Hacia el cierre de Guantánamo, 3 de junio de 2015</w:t>
      </w:r>
      <w:r w:rsidR="7AB0424C">
        <w:rPr>
          <w:rFonts w:ascii="Cambria" w:eastAsia="Cambria" w:hAnsi="Cambria" w:cs="Cambria"/>
          <w:sz w:val="16"/>
          <w:szCs w:val="16"/>
          <w:lang w:val="es-AR"/>
        </w:rPr>
        <w:t>, p</w:t>
      </w:r>
      <w:r w:rsidR="7AB0424C" w:rsidRPr="00DE7322">
        <w:rPr>
          <w:rFonts w:ascii="Cambria" w:eastAsia="Cambria" w:hAnsi="Cambria" w:cs="Cambria"/>
          <w:sz w:val="16"/>
          <w:szCs w:val="16"/>
          <w:lang w:val="es-AR"/>
        </w:rPr>
        <w:t>árr. 236; Informe No. 83/23, Caso 14.196 Admisibilidad y Fondo, Oswaldo José Payá Sardiñas y otros, Cuba, 9 de junio de 2023, párr. 93.</w:t>
      </w:r>
    </w:p>
  </w:footnote>
  <w:footnote w:id="96">
    <w:p w14:paraId="3B7596BF" w14:textId="323CB1AE" w:rsidR="00B92BD3" w:rsidRPr="00463CEE" w:rsidRDefault="00B92BD3" w:rsidP="00B92BD3">
      <w:pPr>
        <w:jc w:val="both"/>
        <w:rPr>
          <w:rFonts w:ascii="Cambria" w:hAnsi="Cambria"/>
          <w:sz w:val="16"/>
          <w:szCs w:val="16"/>
          <w:lang w:val="es-AR"/>
        </w:rPr>
      </w:pPr>
      <w:r w:rsidRPr="002819B7">
        <w:rPr>
          <w:rFonts w:ascii="Cambria" w:hAnsi="Cambria"/>
          <w:sz w:val="16"/>
          <w:szCs w:val="16"/>
          <w:vertAlign w:val="superscript"/>
        </w:rPr>
        <w:footnoteRef/>
      </w:r>
      <w:r w:rsidR="7AB0424C" w:rsidRPr="00B92BD3">
        <w:rPr>
          <w:rFonts w:ascii="Cambria" w:eastAsia="Cambria" w:hAnsi="Cambria" w:cs="Cambria"/>
          <w:sz w:val="16"/>
          <w:szCs w:val="16"/>
          <w:lang w:val="es-AR"/>
        </w:rPr>
        <w:t xml:space="preserve">  CIDH, Informe No. 76/11, Caso 11.769, Fondo, J, Perú, 20 de julio de 2011</w:t>
      </w:r>
      <w:r w:rsidR="7AB0424C">
        <w:rPr>
          <w:rFonts w:ascii="Cambria" w:eastAsia="Cambria" w:hAnsi="Cambria" w:cs="Cambria"/>
          <w:sz w:val="16"/>
          <w:szCs w:val="16"/>
          <w:lang w:val="es-AR"/>
        </w:rPr>
        <w:t>, p</w:t>
      </w:r>
      <w:r w:rsidR="7AB0424C" w:rsidRPr="00B92BD3">
        <w:rPr>
          <w:rFonts w:ascii="Cambria" w:eastAsia="Cambria" w:hAnsi="Cambria" w:cs="Cambria"/>
          <w:sz w:val="16"/>
          <w:szCs w:val="16"/>
          <w:lang w:val="es-AR"/>
        </w:rPr>
        <w:t>árr. 269; Informe No. 237/19, Caso 13.041, Fondo, Guillermo Antonio Álvarez, Argentina, 5 de diciembre de 2019</w:t>
      </w:r>
      <w:r w:rsidR="7AB0424C">
        <w:rPr>
          <w:rFonts w:ascii="Cambria" w:eastAsia="Cambria" w:hAnsi="Cambria" w:cs="Cambria"/>
          <w:sz w:val="16"/>
          <w:szCs w:val="16"/>
          <w:lang w:val="es-AR"/>
        </w:rPr>
        <w:t>, p</w:t>
      </w:r>
      <w:r w:rsidR="7AB0424C" w:rsidRPr="00B92BD3">
        <w:rPr>
          <w:rFonts w:ascii="Cambria" w:eastAsia="Cambria" w:hAnsi="Cambria" w:cs="Cambria"/>
          <w:sz w:val="16"/>
          <w:szCs w:val="16"/>
          <w:lang w:val="es-AR"/>
        </w:rPr>
        <w:t xml:space="preserve">árr. 54; Informe No. 13/20, Caso 13.333, Fondo, Reyes Alpizar Ortíz y Daniel García Rodríguez, </w:t>
      </w:r>
      <w:r w:rsidR="7AB0424C" w:rsidRPr="00463CEE">
        <w:rPr>
          <w:rFonts w:ascii="Cambria" w:eastAsia="Cambria" w:hAnsi="Cambria" w:cs="Cambria"/>
          <w:sz w:val="16"/>
          <w:szCs w:val="16"/>
          <w:lang w:val="es-AR"/>
        </w:rPr>
        <w:t>México, 3 de marzo de 2020, párr. 93.</w:t>
      </w:r>
      <w:r w:rsidR="7AB0424C" w:rsidRPr="00463CEE">
        <w:rPr>
          <w:rFonts w:ascii="Cambria" w:hAnsi="Cambria"/>
          <w:sz w:val="16"/>
          <w:szCs w:val="16"/>
          <w:lang w:val="es-AR"/>
        </w:rPr>
        <w:t xml:space="preserve"> </w:t>
      </w:r>
    </w:p>
  </w:footnote>
  <w:footnote w:id="97">
    <w:p w14:paraId="39F8A3E7" w14:textId="79A7D6E9" w:rsidR="006C4C94" w:rsidRPr="005A1DC2" w:rsidRDefault="006C4C94" w:rsidP="005A1DC2">
      <w:pPr>
        <w:pStyle w:val="FootnoteText"/>
        <w:rPr>
          <w:lang w:val="es-AR"/>
        </w:rPr>
      </w:pPr>
      <w:r w:rsidRPr="005A1DC2">
        <w:rPr>
          <w:rStyle w:val="FootnoteReference"/>
        </w:rPr>
        <w:footnoteRef/>
      </w:r>
      <w:r w:rsidR="7AB0424C" w:rsidRPr="005A1DC2">
        <w:rPr>
          <w:lang w:val="es-AR"/>
        </w:rPr>
        <w:t xml:space="preserve"> CIDH, Informe No. 82/13, Caso 12.679, Fondo, José Agapito Ruano Torres y Familia, El Salvador, 4 de noviembre de 2013, párr. 145; Corte IDH, </w:t>
      </w:r>
      <w:r w:rsidR="7AB0424C" w:rsidRPr="7AB0424C">
        <w:rPr>
          <w:i/>
          <w:iCs/>
          <w:lang w:val="es-AR"/>
        </w:rPr>
        <w:t xml:space="preserve">Caso Cabrera García y Montiel Flores Vs. México, </w:t>
      </w:r>
      <w:r w:rsidR="7AB0424C" w:rsidRPr="005A1DC2">
        <w:rPr>
          <w:lang w:val="es-AR"/>
        </w:rPr>
        <w:t>Excepción Preliminar, Fondo, Reparaciones y Costas, Sentencia de 26 de noviembre de 2010, Serie C. No. 220, párr. 155.</w:t>
      </w:r>
    </w:p>
  </w:footnote>
  <w:footnote w:id="98">
    <w:p w14:paraId="3560CFAD" w14:textId="4F6A96D2" w:rsidR="00B92BD3" w:rsidRPr="002A4CCF" w:rsidRDefault="00B92BD3" w:rsidP="00B92BD3">
      <w:pPr>
        <w:jc w:val="both"/>
        <w:rPr>
          <w:rFonts w:ascii="Cambria" w:eastAsia="Cambria" w:hAnsi="Cambria" w:cs="Cambria"/>
          <w:sz w:val="16"/>
          <w:szCs w:val="16"/>
          <w:lang w:val="es-AR"/>
        </w:rPr>
      </w:pPr>
      <w:r w:rsidRPr="002819B7">
        <w:rPr>
          <w:rFonts w:ascii="Cambria" w:hAnsi="Cambria"/>
          <w:sz w:val="16"/>
          <w:szCs w:val="16"/>
          <w:vertAlign w:val="superscript"/>
        </w:rPr>
        <w:footnoteRef/>
      </w:r>
      <w:r w:rsidR="7AB0424C" w:rsidRPr="0083046E">
        <w:rPr>
          <w:rFonts w:ascii="Cambria" w:eastAsia="Cambria" w:hAnsi="Cambria" w:cs="Cambria"/>
          <w:sz w:val="16"/>
          <w:szCs w:val="16"/>
          <w:lang w:val="es-AR"/>
        </w:rPr>
        <w:t xml:space="preserve"> CIDH, Informe No.82/13, Caso 12.679, José Agapito Ruano Torres y familia, </w:t>
      </w:r>
      <w:r w:rsidR="7AB0424C" w:rsidRPr="00B92BD3">
        <w:rPr>
          <w:rFonts w:ascii="Cambria" w:eastAsia="Cambria" w:hAnsi="Cambria" w:cs="Cambria"/>
          <w:sz w:val="16"/>
          <w:szCs w:val="16"/>
          <w:lang w:val="es-AR"/>
        </w:rPr>
        <w:t>El Salvador, 4 de noviembre de 2013</w:t>
      </w:r>
      <w:r w:rsidR="7AB0424C">
        <w:rPr>
          <w:rFonts w:ascii="Cambria" w:eastAsia="Cambria" w:hAnsi="Cambria" w:cs="Cambria"/>
          <w:sz w:val="16"/>
          <w:szCs w:val="16"/>
          <w:lang w:val="es-AR"/>
        </w:rPr>
        <w:t>, p</w:t>
      </w:r>
      <w:r w:rsidR="7AB0424C" w:rsidRPr="00B92BD3">
        <w:rPr>
          <w:rFonts w:ascii="Cambria" w:eastAsia="Cambria" w:hAnsi="Cambria" w:cs="Cambria"/>
          <w:sz w:val="16"/>
          <w:szCs w:val="16"/>
          <w:lang w:val="es-AR"/>
        </w:rPr>
        <w:t>árr. 146; Informe No. 237/19, Caso 13.041, Fondo, Guillermo Antonio Álvarez, Argentina, 5 de diciembre de 2019</w:t>
      </w:r>
      <w:r w:rsidR="7AB0424C">
        <w:rPr>
          <w:rFonts w:ascii="Cambria" w:eastAsia="Cambria" w:hAnsi="Cambria" w:cs="Cambria"/>
          <w:sz w:val="16"/>
          <w:szCs w:val="16"/>
          <w:lang w:val="es-AR"/>
        </w:rPr>
        <w:t>, p</w:t>
      </w:r>
      <w:r w:rsidR="7AB0424C" w:rsidRPr="00B92BD3">
        <w:rPr>
          <w:rFonts w:ascii="Cambria" w:eastAsia="Cambria" w:hAnsi="Cambria" w:cs="Cambria"/>
          <w:sz w:val="16"/>
          <w:szCs w:val="16"/>
          <w:lang w:val="es-AR"/>
        </w:rPr>
        <w:t>árr.49; Informe No. 13/20, Caso 13.333, Fondo, Reyes Alpizar Ortíz y Daniel García Rodríguez. México, 3 de marzo de 2020</w:t>
      </w:r>
      <w:r w:rsidR="7AB0424C">
        <w:rPr>
          <w:rFonts w:ascii="Cambria" w:eastAsia="Cambria" w:hAnsi="Cambria" w:cs="Cambria"/>
          <w:sz w:val="16"/>
          <w:szCs w:val="16"/>
          <w:lang w:val="es-AR"/>
        </w:rPr>
        <w:t>, p</w:t>
      </w:r>
      <w:r w:rsidR="7AB0424C" w:rsidRPr="00B92BD3">
        <w:rPr>
          <w:rFonts w:ascii="Cambria" w:eastAsia="Cambria" w:hAnsi="Cambria" w:cs="Cambria"/>
          <w:sz w:val="16"/>
          <w:szCs w:val="16"/>
          <w:lang w:val="es-AR"/>
        </w:rPr>
        <w:t>árr.88</w:t>
      </w:r>
      <w:r w:rsidR="7AB0424C">
        <w:rPr>
          <w:rFonts w:ascii="Cambria" w:eastAsia="Cambria" w:hAnsi="Cambria" w:cs="Cambria"/>
          <w:sz w:val="16"/>
          <w:szCs w:val="16"/>
          <w:lang w:val="es-AR"/>
        </w:rPr>
        <w:t>.</w:t>
      </w:r>
    </w:p>
  </w:footnote>
  <w:footnote w:id="99">
    <w:p w14:paraId="16511B43" w14:textId="11C58AD2" w:rsidR="002A4CCF" w:rsidRPr="00463CEE" w:rsidRDefault="002A4CCF" w:rsidP="002A4CCF">
      <w:pPr>
        <w:jc w:val="both"/>
        <w:rPr>
          <w:rFonts w:ascii="Cambria" w:hAnsi="Cambria"/>
          <w:sz w:val="16"/>
          <w:szCs w:val="16"/>
          <w:lang w:val="es-AR"/>
        </w:rPr>
      </w:pPr>
      <w:r w:rsidRPr="002819B7">
        <w:rPr>
          <w:rFonts w:ascii="Cambria" w:hAnsi="Cambria"/>
          <w:sz w:val="16"/>
          <w:szCs w:val="16"/>
          <w:vertAlign w:val="superscript"/>
        </w:rPr>
        <w:footnoteRef/>
      </w:r>
      <w:r w:rsidR="7AB0424C" w:rsidRPr="002A4CCF">
        <w:rPr>
          <w:rFonts w:ascii="Cambria" w:eastAsia="Cambria" w:hAnsi="Cambria" w:cs="Cambria"/>
          <w:sz w:val="16"/>
          <w:szCs w:val="16"/>
          <w:lang w:val="es-AR"/>
        </w:rPr>
        <w:t xml:space="preserve"> CIDH, Informe No. 79/17, Caso 12.650. Informe de fondo. Hugo Humberto Ruiz Fuentes y familia. Guatemala. 2017</w:t>
      </w:r>
      <w:r w:rsidR="7AB0424C">
        <w:rPr>
          <w:rFonts w:ascii="Cambria" w:eastAsia="Cambria" w:hAnsi="Cambria" w:cs="Cambria"/>
          <w:sz w:val="16"/>
          <w:szCs w:val="16"/>
          <w:lang w:val="es-AR"/>
        </w:rPr>
        <w:t>, p</w:t>
      </w:r>
      <w:r w:rsidR="7AB0424C" w:rsidRPr="002A4CCF">
        <w:rPr>
          <w:rFonts w:ascii="Cambria" w:eastAsia="Cambria" w:hAnsi="Cambria" w:cs="Cambria"/>
          <w:sz w:val="16"/>
          <w:szCs w:val="16"/>
          <w:lang w:val="es-AR"/>
        </w:rPr>
        <w:t xml:space="preserve">árr. </w:t>
      </w:r>
      <w:r w:rsidR="7AB0424C" w:rsidRPr="00463CEE">
        <w:rPr>
          <w:rFonts w:ascii="Cambria" w:eastAsia="Cambria" w:hAnsi="Cambria" w:cs="Cambria"/>
          <w:sz w:val="16"/>
          <w:szCs w:val="16"/>
          <w:lang w:val="es-AR"/>
        </w:rPr>
        <w:t xml:space="preserve">124. </w:t>
      </w:r>
    </w:p>
  </w:footnote>
  <w:footnote w:id="100">
    <w:p w14:paraId="444B96EE" w14:textId="41C896F9" w:rsidR="00A611D1" w:rsidRPr="005A1DC2" w:rsidRDefault="00A611D1" w:rsidP="005A1DC2">
      <w:pPr>
        <w:pStyle w:val="FootnoteText"/>
        <w:rPr>
          <w:lang w:val="es-AR"/>
        </w:rPr>
      </w:pPr>
      <w:r w:rsidRPr="005A1DC2">
        <w:rPr>
          <w:rStyle w:val="FootnoteReference"/>
        </w:rPr>
        <w:footnoteRef/>
      </w:r>
      <w:r w:rsidR="7AB0424C" w:rsidRPr="005A1DC2">
        <w:rPr>
          <w:lang w:val="es-AR"/>
        </w:rPr>
        <w:t xml:space="preserve"> CIDH, Criminalización de la labor de las defensoras y los defensores de derechos humanos, 31 de diciembre de 2015, párr. 198.</w:t>
      </w:r>
    </w:p>
  </w:footnote>
  <w:footnote w:id="101">
    <w:p w14:paraId="525BFEAA" w14:textId="124F853E" w:rsidR="00681C00" w:rsidRPr="005A1DC2" w:rsidRDefault="00681C00" w:rsidP="00681C00">
      <w:pPr>
        <w:pStyle w:val="FootnoteText"/>
        <w:rPr>
          <w:color w:val="auto"/>
          <w:lang w:val="es-ES"/>
        </w:rPr>
      </w:pPr>
      <w:r w:rsidRPr="005A1DC2">
        <w:rPr>
          <w:rStyle w:val="FootnoteReference"/>
          <w:color w:val="auto"/>
        </w:rPr>
        <w:footnoteRef/>
      </w:r>
      <w:r w:rsidR="7AB0424C" w:rsidRPr="005A1DC2">
        <w:rPr>
          <w:color w:val="auto"/>
          <w:lang w:val="es-CO"/>
        </w:rPr>
        <w:t xml:space="preserve"> </w:t>
      </w:r>
      <w:r w:rsidR="7AB0424C" w:rsidRPr="005A1DC2">
        <w:rPr>
          <w:color w:val="auto"/>
          <w:lang w:val="es-MX"/>
        </w:rPr>
        <w:t xml:space="preserve">CIDH, </w:t>
      </w:r>
      <w:hyperlink r:id="rId23" w:history="1">
        <w:r w:rsidR="7AB0424C" w:rsidRPr="005A1DC2">
          <w:rPr>
            <w:rStyle w:val="Hyperlink"/>
            <w:color w:val="auto"/>
            <w:u w:val="none"/>
            <w:lang w:val="es-CO"/>
          </w:rPr>
          <w:t>Informe sobre la Situación de los derechos humanos en Cuba,</w:t>
        </w:r>
      </w:hyperlink>
      <w:r w:rsidR="7AB0424C" w:rsidRPr="005A1DC2">
        <w:rPr>
          <w:color w:val="auto"/>
          <w:lang w:val="es-PE"/>
        </w:rPr>
        <w:t xml:space="preserve"> 3 de febrero de 2020</w:t>
      </w:r>
      <w:r w:rsidR="7AB0424C" w:rsidRPr="005A1DC2">
        <w:rPr>
          <w:color w:val="auto"/>
          <w:lang w:val="es-MX"/>
        </w:rPr>
        <w:t xml:space="preserve">, capítulo 4.D. </w:t>
      </w:r>
    </w:p>
  </w:footnote>
  <w:footnote w:id="102">
    <w:p w14:paraId="6ED1D734" w14:textId="0D997CD3" w:rsidR="00D82171" w:rsidRPr="00D82171" w:rsidRDefault="00D82171" w:rsidP="7AB0424C">
      <w:pPr>
        <w:pStyle w:val="FootnoteText"/>
        <w:rPr>
          <w:lang w:val="es-ES"/>
        </w:rPr>
      </w:pPr>
      <w:r>
        <w:rPr>
          <w:rStyle w:val="FootnoteReference"/>
        </w:rPr>
        <w:footnoteRef/>
      </w:r>
      <w:r w:rsidR="7AB0424C" w:rsidRPr="00D82171">
        <w:rPr>
          <w:lang w:val="es-ES"/>
        </w:rPr>
        <w:t xml:space="preserve"> </w:t>
      </w:r>
      <w:r w:rsidR="7AB0424C" w:rsidRPr="005A1DC2">
        <w:rPr>
          <w:color w:val="auto"/>
          <w:lang w:val="es-MX"/>
        </w:rPr>
        <w:t>CIDH,</w:t>
      </w:r>
      <w:r w:rsidR="7AB0424C" w:rsidRPr="00FC4520">
        <w:rPr>
          <w:color w:val="auto"/>
          <w:lang w:val="es-MX"/>
        </w:rPr>
        <w:t xml:space="preserve"> </w:t>
      </w:r>
      <w:hyperlink r:id="rId24" w:history="1">
        <w:r w:rsidR="7AB0424C" w:rsidRPr="00FC4520">
          <w:rPr>
            <w:rStyle w:val="Hyperlink"/>
            <w:color w:val="auto"/>
            <w:u w:val="none"/>
            <w:lang w:val="es-CO"/>
          </w:rPr>
          <w:t>Informe sobre la Situación de los derechos humanos en Cuba,</w:t>
        </w:r>
      </w:hyperlink>
      <w:r w:rsidR="7AB0424C" w:rsidRPr="00FC4520">
        <w:rPr>
          <w:color w:val="auto"/>
          <w:lang w:val="es-PE"/>
        </w:rPr>
        <w:t xml:space="preserve"> 3 de febrero de 2020</w:t>
      </w:r>
      <w:r w:rsidR="7AB0424C" w:rsidRPr="00FC4520">
        <w:rPr>
          <w:color w:val="auto"/>
          <w:lang w:val="es-MX"/>
        </w:rPr>
        <w:t xml:space="preserve">, </w:t>
      </w:r>
      <w:r w:rsidR="7AB0424C">
        <w:rPr>
          <w:color w:val="auto"/>
          <w:lang w:val="es-MX"/>
        </w:rPr>
        <w:t>párr. 188.</w:t>
      </w:r>
    </w:p>
  </w:footnote>
  <w:footnote w:id="103">
    <w:p w14:paraId="0212ABFE" w14:textId="010A43CD" w:rsidR="00C10196" w:rsidRPr="005A1DC2" w:rsidRDefault="00C10196" w:rsidP="005A1DC2">
      <w:pPr>
        <w:pStyle w:val="FootnoteText"/>
        <w:rPr>
          <w:lang w:val="es-AR"/>
        </w:rPr>
      </w:pPr>
      <w:r w:rsidRPr="005A1DC2">
        <w:rPr>
          <w:rStyle w:val="FootnoteReference"/>
        </w:rPr>
        <w:footnoteRef/>
      </w:r>
      <w:r w:rsidRPr="005A1DC2">
        <w:rPr>
          <w:lang w:val="es-AR"/>
        </w:rPr>
        <w:t xml:space="preserve"> </w:t>
      </w:r>
      <w:r w:rsidRPr="005A1DC2">
        <w:rPr>
          <w:lang w:val="es-VE"/>
        </w:rPr>
        <w:t>Artículo IV.</w:t>
      </w:r>
      <w:r w:rsidRPr="005A1DC2">
        <w:rPr>
          <w:rFonts w:cs="Times New Roman"/>
          <w:bdr w:val="none" w:sz="0" w:space="0" w:color="auto"/>
          <w:lang w:val="es-AR"/>
        </w:rPr>
        <w:t xml:space="preserve"> Toda persona tiene derecho a la libertad de investigación, de opinión y de expresión y difusión del pensamiento por cualquier medio</w:t>
      </w:r>
      <w:r w:rsidR="008566BC" w:rsidRPr="005A1DC2">
        <w:rPr>
          <w:rFonts w:cs="Times New Roman"/>
          <w:bdr w:val="none" w:sz="0" w:space="0" w:color="auto"/>
          <w:lang w:val="es-AR"/>
        </w:rPr>
        <w:t>.</w:t>
      </w:r>
    </w:p>
  </w:footnote>
  <w:footnote w:id="104">
    <w:p w14:paraId="46EB59AA" w14:textId="4A8570EC" w:rsidR="00C10196" w:rsidRPr="005A1DC2" w:rsidRDefault="00C10196" w:rsidP="005A1DC2">
      <w:pPr>
        <w:pStyle w:val="FootnoteText"/>
        <w:rPr>
          <w:lang w:val="es-AR"/>
        </w:rPr>
      </w:pPr>
      <w:r w:rsidRPr="005A1DC2">
        <w:rPr>
          <w:rStyle w:val="FootnoteReference"/>
        </w:rPr>
        <w:footnoteRef/>
      </w:r>
      <w:r w:rsidRPr="005A1DC2">
        <w:rPr>
          <w:lang w:val="es-AR"/>
        </w:rPr>
        <w:t xml:space="preserve"> </w:t>
      </w:r>
      <w:r w:rsidRPr="005A1DC2">
        <w:rPr>
          <w:lang w:val="es-VE"/>
        </w:rPr>
        <w:t>Artículo XIII.</w:t>
      </w:r>
      <w:r w:rsidRPr="005A1DC2">
        <w:rPr>
          <w:rFonts w:cs="Times New Roman"/>
          <w:bdr w:val="none" w:sz="0" w:space="0" w:color="auto"/>
          <w:lang w:val="es-AR"/>
        </w:rPr>
        <w:t xml:space="preserve"> Toda persona tiene el derecho de participar en la vida cultural de la comunidad, gozar de las artes y disfrutar de los beneficios que resulten de los progresos intelectuales y especialmente de los descubrimientos científicos.</w:t>
      </w:r>
      <w:r w:rsidRPr="005A1DC2">
        <w:rPr>
          <w:bdr w:val="none" w:sz="0" w:space="0" w:color="auto"/>
          <w:lang w:val="es-AR"/>
        </w:rPr>
        <w:t xml:space="preserve"> </w:t>
      </w:r>
      <w:r w:rsidRPr="005A1DC2">
        <w:rPr>
          <w:rFonts w:cs="Times New Roman"/>
          <w:bdr w:val="none" w:sz="0" w:space="0" w:color="auto"/>
          <w:lang w:val="es-AR"/>
        </w:rPr>
        <w:t xml:space="preserve">Tiene asimismo derecho a la </w:t>
      </w:r>
      <w:r w:rsidRPr="005A1DC2">
        <w:rPr>
          <w:bdr w:val="none" w:sz="0" w:space="0" w:color="auto"/>
          <w:lang w:val="es-AR"/>
        </w:rPr>
        <w:t>protección</w:t>
      </w:r>
      <w:r w:rsidRPr="005A1DC2">
        <w:rPr>
          <w:rFonts w:cs="Times New Roman"/>
          <w:bdr w:val="none" w:sz="0" w:space="0" w:color="auto"/>
          <w:lang w:val="es-AR"/>
        </w:rPr>
        <w:t xml:space="preserve"> de los intereses morales y materiales que le correspondan por razón de los inventos, obras literarias, científicas y artísticas de que sea autor.</w:t>
      </w:r>
    </w:p>
  </w:footnote>
  <w:footnote w:id="105">
    <w:p w14:paraId="3D7EBEF5" w14:textId="72D17FDC" w:rsidR="00C10196" w:rsidRPr="005A1DC2" w:rsidRDefault="00C10196" w:rsidP="005A1DC2">
      <w:pPr>
        <w:pStyle w:val="FootnoteText"/>
        <w:rPr>
          <w:lang w:val="es-AR"/>
        </w:rPr>
      </w:pPr>
      <w:r w:rsidRPr="005A1DC2">
        <w:rPr>
          <w:rStyle w:val="FootnoteReference"/>
        </w:rPr>
        <w:footnoteRef/>
      </w:r>
      <w:r w:rsidRPr="005A1DC2">
        <w:rPr>
          <w:lang w:val="es-AR"/>
        </w:rPr>
        <w:t xml:space="preserve"> </w:t>
      </w:r>
      <w:r w:rsidRPr="005A1DC2">
        <w:rPr>
          <w:lang w:val="es-VE"/>
        </w:rPr>
        <w:t xml:space="preserve">Artículo XXII. </w:t>
      </w:r>
      <w:r w:rsidRPr="005A1DC2">
        <w:rPr>
          <w:rFonts w:cs="Times New Roman"/>
          <w:bdr w:val="none" w:sz="0" w:space="0" w:color="auto"/>
          <w:lang w:val="es-AR"/>
        </w:rPr>
        <w:t>Toda persona tiene el derecho de asociarse con otras para promover, ejercer y proteger sus intereses legítimos de orden político, económico, religioso, social, cultural, profesional, sindical o de cualquier otro orden.</w:t>
      </w:r>
    </w:p>
  </w:footnote>
  <w:footnote w:id="106">
    <w:p w14:paraId="66CB338F" w14:textId="266E3575" w:rsidR="00E30625" w:rsidRPr="005A1DC2" w:rsidRDefault="00E30625" w:rsidP="7AB0424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16"/>
          <w:szCs w:val="16"/>
          <w:bdr w:val="none" w:sz="0" w:space="0" w:color="auto"/>
          <w:lang w:val="es-AR"/>
        </w:rPr>
      </w:pPr>
      <w:r w:rsidRPr="7AB0424C">
        <w:rPr>
          <w:rStyle w:val="FootnoteReference"/>
          <w:rFonts w:asciiTheme="majorHAnsi" w:hAnsiTheme="majorHAnsi"/>
          <w:sz w:val="16"/>
          <w:szCs w:val="16"/>
        </w:rPr>
        <w:footnoteRef/>
      </w:r>
      <w:r w:rsidR="7AB0424C" w:rsidRPr="7AB0424C">
        <w:rPr>
          <w:rFonts w:asciiTheme="majorHAnsi" w:hAnsiTheme="majorHAnsi"/>
          <w:sz w:val="16"/>
          <w:szCs w:val="16"/>
          <w:lang w:val="es-AR"/>
        </w:rPr>
        <w:t xml:space="preserve"> </w:t>
      </w:r>
      <w:r w:rsidR="7AB0424C" w:rsidRPr="7AB0424C">
        <w:rPr>
          <w:rFonts w:asciiTheme="majorHAnsi" w:eastAsia="Times New Roman" w:hAnsiTheme="majorHAnsi" w:cs="Open Sans"/>
          <w:sz w:val="16"/>
          <w:szCs w:val="16"/>
          <w:bdr w:val="none" w:sz="0" w:space="0" w:color="auto"/>
          <w:shd w:val="clear" w:color="auto" w:fill="FFFFFF"/>
          <w:lang w:val="es-AR"/>
        </w:rPr>
        <w:t xml:space="preserve">CIDH, Criminalización de la labor de las defensoras y los defensores de derechos humanos, 31 de diciembre de 2015, párr. 21. </w:t>
      </w:r>
    </w:p>
  </w:footnote>
  <w:footnote w:id="107">
    <w:p w14:paraId="20534E79" w14:textId="180776FF" w:rsidR="000911CE" w:rsidRPr="005A1DC2" w:rsidRDefault="000911CE" w:rsidP="7AB0424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16"/>
          <w:szCs w:val="16"/>
          <w:bdr w:val="none" w:sz="0" w:space="0" w:color="auto"/>
          <w:lang w:val="es-AR"/>
        </w:rPr>
      </w:pPr>
      <w:r w:rsidRPr="7AB0424C">
        <w:rPr>
          <w:rStyle w:val="FootnoteReference"/>
          <w:rFonts w:asciiTheme="majorHAnsi" w:hAnsiTheme="majorHAnsi"/>
          <w:sz w:val="16"/>
          <w:szCs w:val="16"/>
        </w:rPr>
        <w:footnoteRef/>
      </w:r>
      <w:r w:rsidR="7AB0424C" w:rsidRPr="7AB0424C">
        <w:rPr>
          <w:rFonts w:asciiTheme="majorHAnsi" w:hAnsiTheme="majorHAnsi"/>
          <w:sz w:val="16"/>
          <w:szCs w:val="16"/>
          <w:lang w:val="es-AR"/>
        </w:rPr>
        <w:t xml:space="preserve"> </w:t>
      </w:r>
      <w:r w:rsidR="7AB0424C" w:rsidRPr="7AB0424C">
        <w:rPr>
          <w:rFonts w:asciiTheme="majorHAnsi" w:hAnsiTheme="majorHAnsi"/>
          <w:sz w:val="16"/>
          <w:szCs w:val="16"/>
          <w:lang w:val="es-ES"/>
        </w:rPr>
        <w:t xml:space="preserve">Corte IDH, </w:t>
      </w:r>
      <w:r w:rsidR="7AB0424C" w:rsidRPr="7AB0424C">
        <w:rPr>
          <w:rFonts w:asciiTheme="majorHAnsi" w:eastAsia="Times New Roman" w:hAnsiTheme="majorHAnsi"/>
          <w:sz w:val="16"/>
          <w:szCs w:val="16"/>
          <w:bdr w:val="none" w:sz="0" w:space="0" w:color="auto"/>
          <w:lang w:val="es-AR"/>
        </w:rPr>
        <w:t xml:space="preserve">Caso </w:t>
      </w:r>
      <w:r w:rsidR="7AB0424C" w:rsidRPr="7AB0424C">
        <w:rPr>
          <w:rFonts w:asciiTheme="majorHAnsi" w:eastAsia="Times New Roman" w:hAnsiTheme="majorHAnsi"/>
          <w:i/>
          <w:iCs/>
          <w:sz w:val="16"/>
          <w:szCs w:val="16"/>
          <w:bdr w:val="none" w:sz="0" w:space="0" w:color="auto"/>
          <w:lang w:val="es-AR"/>
        </w:rPr>
        <w:t>de la Fundación de Antropología Forense de Guatemala</w:t>
      </w:r>
      <w:r w:rsidR="7AB0424C" w:rsidRPr="7AB0424C">
        <w:rPr>
          <w:rFonts w:asciiTheme="majorHAnsi" w:eastAsia="Times New Roman" w:hAnsiTheme="majorHAnsi"/>
          <w:sz w:val="16"/>
          <w:szCs w:val="16"/>
          <w:bdr w:val="none" w:sz="0" w:space="0" w:color="auto"/>
          <w:lang w:val="es-AR"/>
        </w:rPr>
        <w:t>. Medidas Provisionales. Resolución de la Corte Interamericana de Derechos Humanos de 9 de febrero de 2006, Considerando décimo segundo.</w:t>
      </w:r>
    </w:p>
  </w:footnote>
  <w:footnote w:id="108">
    <w:p w14:paraId="28882D27" w14:textId="764F9AE9" w:rsidR="00F121A6" w:rsidRPr="00F121A6" w:rsidRDefault="00F121A6" w:rsidP="7AB0424C">
      <w:pPr>
        <w:pStyle w:val="FootnoteText"/>
        <w:rPr>
          <w:lang w:val="es-ES"/>
        </w:rPr>
      </w:pPr>
      <w:r>
        <w:rPr>
          <w:rStyle w:val="FootnoteReference"/>
        </w:rPr>
        <w:footnoteRef/>
      </w:r>
      <w:r w:rsidR="7AB0424C" w:rsidRPr="00F121A6">
        <w:rPr>
          <w:lang w:val="es-ES"/>
        </w:rPr>
        <w:t xml:space="preserve"> </w:t>
      </w:r>
      <w:r w:rsidR="7AB0424C" w:rsidRPr="55AE4616">
        <w:rPr>
          <w:lang w:val="es-ES"/>
        </w:rPr>
        <w:t>CIDH, Directrices básicas para la investigación de delitos contra personas defensoras de derechos humanos en el Triángulo Norte, 1 de junio de 2021, párr. 24.</w:t>
      </w:r>
    </w:p>
  </w:footnote>
  <w:footnote w:id="109">
    <w:p w14:paraId="579D857E" w14:textId="33E906E8" w:rsidR="00E30625" w:rsidRPr="005A1DC2" w:rsidRDefault="00E30625" w:rsidP="7AB0424C">
      <w:pPr>
        <w:pStyle w:val="NoSpacing"/>
        <w:jc w:val="both"/>
        <w:rPr>
          <w:rFonts w:asciiTheme="majorHAnsi" w:hAnsiTheme="majorHAnsi"/>
          <w:sz w:val="16"/>
          <w:szCs w:val="16"/>
          <w:lang w:val="es-ES"/>
        </w:rPr>
      </w:pPr>
      <w:r w:rsidRPr="7AB0424C">
        <w:rPr>
          <w:rStyle w:val="FootnoteReference"/>
          <w:rFonts w:asciiTheme="majorHAnsi" w:hAnsiTheme="majorHAnsi"/>
          <w:sz w:val="16"/>
          <w:szCs w:val="16"/>
        </w:rPr>
        <w:footnoteRef/>
      </w:r>
      <w:r w:rsidR="7AB0424C" w:rsidRPr="7AB0424C">
        <w:rPr>
          <w:rFonts w:asciiTheme="majorHAnsi" w:hAnsiTheme="majorHAnsi"/>
          <w:sz w:val="16"/>
          <w:szCs w:val="16"/>
          <w:lang w:val="es-ES"/>
        </w:rPr>
        <w:t xml:space="preserve"> CIDH, Directrices básicas para la investigación de delitos contra personas defensoras de derechos humanos en el Triángulo Norte, 1 de junio de 2021, párr. 24.</w:t>
      </w:r>
    </w:p>
  </w:footnote>
  <w:footnote w:id="110">
    <w:p w14:paraId="511727BC" w14:textId="3FAB0CE1" w:rsidR="00E30625" w:rsidRPr="005A1DC2" w:rsidRDefault="00E30625" w:rsidP="005A1DC2">
      <w:pPr>
        <w:pStyle w:val="FootnoteText"/>
        <w:rPr>
          <w:color w:val="auto"/>
          <w:lang w:val="es-ES"/>
        </w:rPr>
      </w:pPr>
      <w:r w:rsidRPr="005A1DC2">
        <w:rPr>
          <w:rStyle w:val="FootnoteReference"/>
          <w:color w:val="auto"/>
        </w:rPr>
        <w:footnoteRef/>
      </w:r>
      <w:r w:rsidR="7AB0424C" w:rsidRPr="005A1DC2">
        <w:rPr>
          <w:color w:val="auto"/>
          <w:lang w:val="es-ES"/>
        </w:rPr>
        <w:t xml:space="preserve"> Corte IDH, </w:t>
      </w:r>
      <w:r w:rsidR="7AB0424C" w:rsidRPr="7AB0424C">
        <w:rPr>
          <w:color w:val="auto"/>
          <w:lang w:val="es-ES"/>
        </w:rPr>
        <w:t xml:space="preserve">Caso </w:t>
      </w:r>
      <w:r w:rsidR="7AB0424C" w:rsidRPr="7AB0424C">
        <w:rPr>
          <w:i/>
          <w:iCs/>
          <w:color w:val="auto"/>
          <w:lang w:val="es-ES"/>
        </w:rPr>
        <w:t>Vélez Restrepo y familiares Vs. Colombia,</w:t>
      </w:r>
      <w:r w:rsidR="7AB0424C" w:rsidRPr="005A1DC2">
        <w:rPr>
          <w:color w:val="auto"/>
          <w:lang w:val="es-ES"/>
        </w:rPr>
        <w:t xml:space="preserve"> Excepción Preliminar, Fondo, Reparaciones y Costas, Sentencia de 3 de septiembre de 2012, Serie C No. 248, párr. 209.  </w:t>
      </w:r>
    </w:p>
  </w:footnote>
  <w:footnote w:id="111">
    <w:p w14:paraId="005C45E5" w14:textId="5913DB7A" w:rsidR="00E30625" w:rsidRPr="005A1DC2" w:rsidRDefault="00E30625" w:rsidP="005A1DC2">
      <w:pPr>
        <w:pStyle w:val="FootnoteText"/>
        <w:rPr>
          <w:color w:val="auto"/>
          <w:lang w:val="es-ES"/>
        </w:rPr>
      </w:pPr>
      <w:r w:rsidRPr="005A1DC2">
        <w:rPr>
          <w:rStyle w:val="FootnoteReference"/>
          <w:color w:val="auto"/>
          <w:lang w:val="es-ES"/>
        </w:rPr>
        <w:footnoteRef/>
      </w:r>
      <w:r w:rsidR="7AB0424C" w:rsidRPr="005A1DC2">
        <w:rPr>
          <w:color w:val="auto"/>
          <w:lang w:val="es-ES"/>
        </w:rPr>
        <w:t xml:space="preserve"> CIDH, Segundo Informe sobre la situación de las defensoras y los defensores de derechos humanos en las Américas. 31 de diciembre de 2011, párr. 98.</w:t>
      </w:r>
    </w:p>
  </w:footnote>
  <w:footnote w:id="112">
    <w:p w14:paraId="6EF21990" w14:textId="7053625E" w:rsidR="00E30625" w:rsidRPr="005A1DC2" w:rsidRDefault="00E30625" w:rsidP="005A1DC2">
      <w:pPr>
        <w:pStyle w:val="FootnoteText"/>
        <w:rPr>
          <w:rFonts w:cs="Cambay Devanagari"/>
          <w:color w:val="auto"/>
          <w:lang w:val="es-ES"/>
        </w:rPr>
      </w:pPr>
      <w:r w:rsidRPr="005A1DC2">
        <w:rPr>
          <w:rStyle w:val="FootnoteReference"/>
          <w:rFonts w:cs="Cambay Devanagari"/>
          <w:color w:val="auto"/>
        </w:rPr>
        <w:footnoteRef/>
      </w:r>
      <w:r w:rsidR="7AB0424C" w:rsidRPr="00B677F1">
        <w:rPr>
          <w:rFonts w:cs="Cambay Devanagari"/>
          <w:color w:val="auto"/>
          <w:lang w:val="es-US"/>
        </w:rPr>
        <w:t xml:space="preserve"> Corte IDH, Caso </w:t>
      </w:r>
      <w:r w:rsidR="7AB0424C" w:rsidRPr="00B677F1">
        <w:rPr>
          <w:rFonts w:cs="Cambay Devanagari"/>
          <w:i/>
          <w:iCs/>
          <w:color w:val="auto"/>
          <w:lang w:val="es-US"/>
        </w:rPr>
        <w:t xml:space="preserve">Manuel Cepeda Vargas Vs. </w:t>
      </w:r>
      <w:r w:rsidR="7AB0424C" w:rsidRPr="7AB0424C">
        <w:rPr>
          <w:rFonts w:cs="Cambay Devanagari"/>
          <w:i/>
          <w:iCs/>
          <w:color w:val="auto"/>
          <w:lang w:val="es-ES"/>
        </w:rPr>
        <w:t xml:space="preserve">Colombia, </w:t>
      </w:r>
      <w:r w:rsidR="7AB0424C" w:rsidRPr="005A1DC2">
        <w:rPr>
          <w:rFonts w:cs="Cambay Devanagari"/>
          <w:color w:val="auto"/>
          <w:lang w:val="es-ES"/>
        </w:rPr>
        <w:t xml:space="preserve">Excepciones Preliminares, Fondo, Reparaciones y Costas, Sentencia de 26 de mayo de 2010, Serie C No. 213, párrs. 172-173. </w:t>
      </w:r>
    </w:p>
  </w:footnote>
  <w:footnote w:id="113">
    <w:p w14:paraId="416FD892" w14:textId="00439C13" w:rsidR="00BD6C53" w:rsidRPr="005138C7" w:rsidRDefault="00BD6C53">
      <w:pPr>
        <w:pStyle w:val="FootnoteText"/>
        <w:rPr>
          <w:lang w:val="es-AR"/>
        </w:rPr>
      </w:pPr>
      <w:r w:rsidRPr="005138C7">
        <w:rPr>
          <w:rStyle w:val="FootnoteReference"/>
          <w:lang w:val="es-AR"/>
        </w:rPr>
        <w:footnoteRef/>
      </w:r>
      <w:r w:rsidR="7AB0424C" w:rsidRPr="005138C7">
        <w:rPr>
          <w:lang w:val="es-AR"/>
        </w:rPr>
        <w:t xml:space="preserve"> CIDH, RELE. Protesta y Derechos Humanos, Septiembre de 2019, párr. 308 y 355. </w:t>
      </w:r>
    </w:p>
  </w:footnote>
  <w:footnote w:id="114">
    <w:p w14:paraId="5797078C" w14:textId="3242C439" w:rsidR="00BC3D6D" w:rsidRPr="005138C7" w:rsidRDefault="00BC3D6D" w:rsidP="7AB0424C">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Theme="majorHAnsi" w:hAnsiTheme="majorHAnsi"/>
          <w:sz w:val="16"/>
          <w:szCs w:val="16"/>
          <w:lang w:val="es-AR"/>
        </w:rPr>
      </w:pPr>
      <w:r w:rsidRPr="7AB0424C">
        <w:rPr>
          <w:rStyle w:val="FootnoteReference"/>
          <w:rFonts w:asciiTheme="majorHAnsi" w:hAnsiTheme="majorHAnsi"/>
          <w:sz w:val="16"/>
          <w:szCs w:val="16"/>
          <w:lang w:val="es-AR"/>
        </w:rPr>
        <w:footnoteRef/>
      </w:r>
      <w:r w:rsidR="7AB0424C" w:rsidRPr="7AB0424C">
        <w:rPr>
          <w:rFonts w:asciiTheme="majorHAnsi" w:hAnsiTheme="majorHAnsi"/>
          <w:sz w:val="16"/>
          <w:szCs w:val="16"/>
          <w:lang w:val="es-AR"/>
        </w:rPr>
        <w:t xml:space="preserve"> </w:t>
      </w:r>
      <w:r w:rsidR="7AB0424C" w:rsidRPr="7AB0424C">
        <w:rPr>
          <w:rFonts w:asciiTheme="majorHAnsi" w:eastAsia="Calibri" w:hAnsiTheme="majorHAnsi" w:cs="Calibri"/>
          <w:sz w:val="16"/>
          <w:szCs w:val="16"/>
          <w:lang w:val="es-AR" w:eastAsia="es-ES"/>
        </w:rPr>
        <w:t>CIDH, Informe sobre los Derechos Económicos, Sociales, Culturales y Ambientales de personas Afrodescendientes, 16 de marzo de 2021, párr.</w:t>
      </w:r>
      <w:r w:rsidR="7AB0424C" w:rsidRPr="7AB0424C">
        <w:rPr>
          <w:rFonts w:asciiTheme="majorHAnsi" w:eastAsia="Calibri" w:hAnsiTheme="majorHAnsi" w:cs="Calibri"/>
          <w:color w:val="000000"/>
          <w:sz w:val="16"/>
          <w:szCs w:val="16"/>
          <w:lang w:val="es-AR" w:eastAsia="es-ES"/>
        </w:rPr>
        <w:t xml:space="preserve"> 209.</w:t>
      </w:r>
    </w:p>
  </w:footnote>
  <w:footnote w:id="115">
    <w:p w14:paraId="0C6BC8FA" w14:textId="7DC82866" w:rsidR="00BC3D6D" w:rsidRPr="005138C7" w:rsidRDefault="00BC3D6D" w:rsidP="7AB0424C">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asciiTheme="majorHAnsi" w:hAnsiTheme="majorHAnsi"/>
          <w:sz w:val="16"/>
          <w:szCs w:val="16"/>
          <w:lang w:val="es-AR"/>
        </w:rPr>
      </w:pPr>
      <w:r w:rsidRPr="7AB0424C">
        <w:rPr>
          <w:rStyle w:val="FootnoteReference"/>
          <w:rFonts w:asciiTheme="majorHAnsi" w:hAnsiTheme="majorHAnsi"/>
          <w:sz w:val="16"/>
          <w:szCs w:val="16"/>
          <w:lang w:val="es-AR"/>
        </w:rPr>
        <w:footnoteRef/>
      </w:r>
      <w:r w:rsidR="7AB0424C" w:rsidRPr="7AB0424C">
        <w:rPr>
          <w:rFonts w:asciiTheme="majorHAnsi" w:hAnsiTheme="majorHAnsi"/>
          <w:sz w:val="16"/>
          <w:szCs w:val="16"/>
          <w:lang w:val="es-AR"/>
        </w:rPr>
        <w:t xml:space="preserve"> CIDH, Caso 13.608, Demanda Pueblos indígenas maya Kaqchikel de Sumpango y otros contra Guatemala, 9 de noviembre de 2019, pár. 93.</w:t>
      </w:r>
    </w:p>
  </w:footnote>
  <w:footnote w:id="116">
    <w:p w14:paraId="13810C1A" w14:textId="39D0DAA8" w:rsidR="00BC3D6D" w:rsidRPr="005138C7" w:rsidRDefault="00BC3D6D" w:rsidP="005A1DC2">
      <w:pPr>
        <w:pStyle w:val="FootnoteText"/>
        <w:rPr>
          <w:lang w:val="es-AR"/>
        </w:rPr>
      </w:pPr>
      <w:r w:rsidRPr="005138C7">
        <w:rPr>
          <w:rStyle w:val="FootnoteReference"/>
          <w:lang w:val="es-AR"/>
        </w:rPr>
        <w:footnoteRef/>
      </w:r>
      <w:r w:rsidR="7AB0424C" w:rsidRPr="005138C7">
        <w:rPr>
          <w:lang w:val="es-AR"/>
        </w:rPr>
        <w:t xml:space="preserve"> CIDH, Caso 13.608, Demanda Pueblos indígenas maya Kaqchikel de Sumpango y otros contra Guatemala, 9 de noviembre de 2019, pár. 93.</w:t>
      </w:r>
    </w:p>
  </w:footnote>
  <w:footnote w:id="117">
    <w:p w14:paraId="653E419F" w14:textId="77777777" w:rsidR="001C7CC1" w:rsidRPr="005138C7" w:rsidRDefault="001C7CC1" w:rsidP="005A1DC2">
      <w:pPr>
        <w:pStyle w:val="FootnoteText"/>
        <w:rPr>
          <w:lang w:val="es-AR"/>
        </w:rPr>
      </w:pPr>
      <w:r w:rsidRPr="005138C7">
        <w:rPr>
          <w:rStyle w:val="FootnoteReference"/>
          <w:lang w:val="es-AR"/>
        </w:rPr>
        <w:footnoteRef/>
      </w:r>
      <w:r w:rsidRPr="005138C7">
        <w:rPr>
          <w:lang w:val="es-AR"/>
        </w:rPr>
        <w:t xml:space="preserve"> </w:t>
      </w:r>
      <w:r w:rsidRPr="005138C7">
        <w:rPr>
          <w:color w:val="auto"/>
          <w:lang w:val="es-AR"/>
        </w:rPr>
        <w:t>Relator Especial de las Naciones Unidas sobre los derechos culturales, Informe de la Relatora Especial de las Naciones Unidas sobre los derechos culturales, 4 de enero de 2018, párr. 3-5.</w:t>
      </w:r>
    </w:p>
  </w:footnote>
  <w:footnote w:id="118">
    <w:p w14:paraId="0B74B958" w14:textId="0D571CF3" w:rsidR="00BD6C53" w:rsidRPr="005138C7" w:rsidRDefault="00BD6C53">
      <w:pPr>
        <w:pStyle w:val="FootnoteText"/>
        <w:rPr>
          <w:lang w:val="es-AR"/>
        </w:rPr>
      </w:pPr>
      <w:r w:rsidRPr="005138C7">
        <w:rPr>
          <w:rStyle w:val="FootnoteReference"/>
          <w:lang w:val="es-AR"/>
        </w:rPr>
        <w:footnoteRef/>
      </w:r>
      <w:r w:rsidR="7AB0424C" w:rsidRPr="005138C7">
        <w:rPr>
          <w:lang w:val="es-AR"/>
        </w:rPr>
        <w:t xml:space="preserve"> CIDH, RELE. Una agenda hemisférica para la Libertad de Expresión, 25 de febrero de 2009, párr. 17.</w:t>
      </w:r>
    </w:p>
  </w:footnote>
  <w:footnote w:id="119">
    <w:p w14:paraId="02C8DC11" w14:textId="05EC76B7" w:rsidR="00BD6C53" w:rsidRPr="00552C7C" w:rsidRDefault="00BD6C53">
      <w:pPr>
        <w:pStyle w:val="FootnoteText"/>
      </w:pPr>
      <w:r w:rsidRPr="005138C7">
        <w:rPr>
          <w:rStyle w:val="FootnoteReference"/>
          <w:lang w:val="es-AR"/>
        </w:rPr>
        <w:footnoteRef/>
      </w:r>
      <w:r w:rsidR="7AB0424C" w:rsidRPr="005138C7">
        <w:rPr>
          <w:lang w:val="es-AR"/>
        </w:rPr>
        <w:t xml:space="preserve"> CIDH, RELE. Marco Jurídico Interamericano sobre el Derecho a la Libertad de </w:t>
      </w:r>
      <w:r w:rsidR="7AB0424C">
        <w:rPr>
          <w:lang w:val="es-AR"/>
        </w:rPr>
        <w:t>Expresión,</w:t>
      </w:r>
      <w:r w:rsidR="7AB0424C" w:rsidRPr="005138C7">
        <w:rPr>
          <w:lang w:val="es-AR"/>
        </w:rPr>
        <w:t xml:space="preserve"> 30 de diciembre de 2009, párr. </w:t>
      </w:r>
      <w:r w:rsidR="7AB0424C" w:rsidRPr="00552C7C">
        <w:t>26.</w:t>
      </w:r>
    </w:p>
  </w:footnote>
  <w:footnote w:id="120">
    <w:p w14:paraId="1220A0C8" w14:textId="195A20A9" w:rsidR="00BD6C53" w:rsidRPr="002A0199" w:rsidRDefault="00BD6C53">
      <w:pPr>
        <w:pStyle w:val="FootnoteText"/>
        <w:rPr>
          <w:lang w:val="es-AR"/>
        </w:rPr>
      </w:pPr>
      <w:r w:rsidRPr="002A0199">
        <w:rPr>
          <w:rStyle w:val="FootnoteReference"/>
          <w:lang w:val="es-AR"/>
        </w:rPr>
        <w:footnoteRef/>
      </w:r>
      <w:r w:rsidR="7AB0424C" w:rsidRPr="00BF7FAB">
        <w:t xml:space="preserve"> HRC.</w:t>
      </w:r>
      <w:r w:rsidR="7AB0424C" w:rsidRPr="00BF7FAB">
        <w:rPr>
          <w:rFonts w:ascii="Times New Roman" w:eastAsia="Arial Unicode MS" w:hAnsi="Times New Roman" w:cs="Times New Roman"/>
          <w:color w:val="auto"/>
          <w:sz w:val="24"/>
          <w:szCs w:val="24"/>
          <w:lang w:eastAsia="en-US"/>
        </w:rPr>
        <w:t xml:space="preserve"> </w:t>
      </w:r>
      <w:r w:rsidR="7AB0424C" w:rsidRPr="002A0199">
        <w:t>Report of the Special Rapporteur on the promotion and promotion and protection of the freedom of opinion and expression.</w:t>
      </w:r>
      <w:r w:rsidR="7AB0424C" w:rsidRPr="00BF7FAB">
        <w:t xml:space="preserve"> </w:t>
      </w:r>
      <w:r w:rsidR="7AB0424C" w:rsidRPr="002A0199">
        <w:rPr>
          <w:lang w:val="es-AR"/>
        </w:rPr>
        <w:t>24 de julio de 2020, párr. 5</w:t>
      </w:r>
    </w:p>
  </w:footnote>
  <w:footnote w:id="121">
    <w:p w14:paraId="5CD4630F" w14:textId="53C97723" w:rsidR="00BD6C53" w:rsidRPr="002A0199" w:rsidRDefault="00BD6C53">
      <w:pPr>
        <w:pStyle w:val="FootnoteText"/>
        <w:rPr>
          <w:lang w:val="es-AR"/>
        </w:rPr>
      </w:pPr>
      <w:r w:rsidRPr="002A0199">
        <w:rPr>
          <w:rStyle w:val="FootnoteReference"/>
          <w:lang w:val="es-AR"/>
        </w:rPr>
        <w:footnoteRef/>
      </w:r>
      <w:r w:rsidR="7AB0424C" w:rsidRPr="002A0199">
        <w:rPr>
          <w:lang w:val="es-AR"/>
        </w:rPr>
        <w:t xml:space="preserve"> CIDH, RELE. Protesta y Derechos Humanos, Septiembre de 2019, párr. 8.</w:t>
      </w:r>
    </w:p>
  </w:footnote>
  <w:footnote w:id="122">
    <w:p w14:paraId="40897EB4" w14:textId="5346CEE0" w:rsidR="00BD6C53" w:rsidRPr="00552C7C" w:rsidRDefault="00BD6C53">
      <w:pPr>
        <w:pStyle w:val="FootnoteText"/>
        <w:rPr>
          <w:lang w:val="es-US"/>
        </w:rPr>
      </w:pPr>
      <w:r w:rsidRPr="002A0199">
        <w:rPr>
          <w:rStyle w:val="FootnoteReference"/>
          <w:lang w:val="es-AR"/>
        </w:rPr>
        <w:footnoteRef/>
      </w:r>
      <w:r w:rsidR="7AB0424C" w:rsidRPr="002A0199">
        <w:rPr>
          <w:lang w:val="es-AR"/>
        </w:rPr>
        <w:t xml:space="preserve">  CIDH, RELE. Una agenda hemisférica para la Libertad de Expresión, 25 de febrero de 2009, párr. 64.</w:t>
      </w:r>
    </w:p>
  </w:footnote>
  <w:footnote w:id="123">
    <w:p w14:paraId="42832280" w14:textId="375235A1" w:rsidR="00454579" w:rsidRPr="005A1DC2" w:rsidRDefault="00454579" w:rsidP="002A0199">
      <w:pPr>
        <w:pStyle w:val="FootnoteText"/>
        <w:rPr>
          <w:lang w:val="es-AR"/>
        </w:rPr>
      </w:pPr>
      <w:r w:rsidRPr="005A1DC2">
        <w:rPr>
          <w:rStyle w:val="FootnoteReference"/>
        </w:rPr>
        <w:footnoteRef/>
      </w:r>
      <w:r w:rsidR="7AB0424C" w:rsidRPr="005A1DC2">
        <w:rPr>
          <w:lang w:val="es-AR"/>
        </w:rPr>
        <w:t xml:space="preserve"> CIDH, Informe sobre la situación de los derechos humanos en Cuba, 3 de febrero de 2020, párr. 211.</w:t>
      </w:r>
    </w:p>
  </w:footnote>
  <w:footnote w:id="124">
    <w:p w14:paraId="3BCF6D0E" w14:textId="22C27FD9" w:rsidR="00454579" w:rsidRPr="005A1DC2" w:rsidRDefault="00454579" w:rsidP="002A0199">
      <w:pPr>
        <w:pStyle w:val="FootnoteText"/>
        <w:rPr>
          <w:lang w:val="es-AR"/>
        </w:rPr>
      </w:pPr>
      <w:r w:rsidRPr="005A1DC2">
        <w:rPr>
          <w:rStyle w:val="FootnoteReference"/>
        </w:rPr>
        <w:footnoteRef/>
      </w:r>
      <w:r w:rsidR="7AB0424C" w:rsidRPr="005A1DC2">
        <w:rPr>
          <w:lang w:val="es-AR"/>
        </w:rPr>
        <w:t xml:space="preserve"> CIDH, Informe sobre la situación de los derechos humanos en Cuba, 3 de febrero de 2020, párrs. 214-216.</w:t>
      </w:r>
    </w:p>
  </w:footnote>
  <w:footnote w:id="125">
    <w:p w14:paraId="3E542FF0" w14:textId="1442CED4" w:rsidR="00E30625" w:rsidRPr="005A1DC2" w:rsidRDefault="00E30625" w:rsidP="002A0199">
      <w:pPr>
        <w:pStyle w:val="FootnoteText"/>
        <w:rPr>
          <w:color w:val="auto"/>
          <w:lang w:val="es-ES"/>
        </w:rPr>
      </w:pPr>
      <w:r w:rsidRPr="005A1DC2">
        <w:rPr>
          <w:rStyle w:val="FootnoteReference"/>
          <w:color w:val="auto"/>
        </w:rPr>
        <w:footnoteRef/>
      </w:r>
      <w:r w:rsidR="7AB0424C" w:rsidRPr="005A1DC2">
        <w:rPr>
          <w:color w:val="auto"/>
          <w:lang w:val="es-ES"/>
        </w:rPr>
        <w:t xml:space="preserve"> Corte IDH, </w:t>
      </w:r>
      <w:r w:rsidR="7AB0424C" w:rsidRPr="7AB0424C">
        <w:rPr>
          <w:i/>
          <w:iCs/>
          <w:color w:val="auto"/>
          <w:lang w:val="es-ES"/>
        </w:rPr>
        <w:t>Caso Huilca Tecse Vs. Perú,</w:t>
      </w:r>
      <w:r w:rsidR="7AB0424C" w:rsidRPr="005A1DC2">
        <w:rPr>
          <w:color w:val="auto"/>
          <w:lang w:val="es-ES"/>
        </w:rPr>
        <w:t xml:space="preserve"> Fondo, Reparaciones y Costas, Sentencia de 3 de marzo de 2005, Serie C No. 121, párr. 6.</w:t>
      </w:r>
    </w:p>
  </w:footnote>
  <w:footnote w:id="126">
    <w:p w14:paraId="3EBFE4A0" w14:textId="77777777" w:rsidR="00E30625" w:rsidRPr="005A1DC2" w:rsidRDefault="00E30625" w:rsidP="002A0199">
      <w:pPr>
        <w:pStyle w:val="FootnoteText"/>
        <w:rPr>
          <w:color w:val="auto"/>
          <w:lang w:val="es-ES"/>
        </w:rPr>
      </w:pPr>
      <w:r w:rsidRPr="005A1DC2">
        <w:rPr>
          <w:rStyle w:val="FootnoteReference"/>
          <w:color w:val="auto"/>
        </w:rPr>
        <w:footnoteRef/>
      </w:r>
      <w:r w:rsidRPr="005A1DC2">
        <w:rPr>
          <w:color w:val="auto"/>
          <w:lang w:val="es-ES"/>
        </w:rPr>
        <w:t xml:space="preserve"> CIDH, Informe No. 56/12, Caso 12.775, Fondo, Florentín Gudiel y otros, Guatemala, 21 de marzo de 2012, párr. 21.</w:t>
      </w:r>
    </w:p>
  </w:footnote>
  <w:footnote w:id="127">
    <w:p w14:paraId="62B2B12E" w14:textId="48A681EC" w:rsidR="00E30625" w:rsidRPr="005A1DC2" w:rsidRDefault="00E30625" w:rsidP="002A0199">
      <w:pPr>
        <w:pStyle w:val="FootnoteText"/>
        <w:rPr>
          <w:color w:val="auto"/>
          <w:lang w:val="es-ES"/>
        </w:rPr>
      </w:pPr>
      <w:r w:rsidRPr="005A1DC2">
        <w:rPr>
          <w:rStyle w:val="FootnoteReference"/>
          <w:color w:val="auto"/>
        </w:rPr>
        <w:footnoteRef/>
      </w:r>
      <w:r w:rsidR="7AB0424C" w:rsidRPr="005A1DC2">
        <w:rPr>
          <w:color w:val="auto"/>
          <w:lang w:val="es-ES"/>
        </w:rPr>
        <w:t xml:space="preserve"> Corte IDH, Caso Yarce y otras Vs. Colombia, Excepción Preliminar, Fondo, Reparaciones y Costas, Sentencia de 22 de noviembre de 2016, Serie C No. 325, párr. 271.</w:t>
      </w:r>
    </w:p>
  </w:footnote>
  <w:footnote w:id="128">
    <w:p w14:paraId="0CF04937" w14:textId="2EB64DD1" w:rsidR="00E433FD" w:rsidRPr="005A1DC2" w:rsidRDefault="00E433FD" w:rsidP="002A0199">
      <w:pPr>
        <w:pStyle w:val="FootnoteText"/>
        <w:rPr>
          <w:lang w:val="es-AR"/>
        </w:rPr>
      </w:pPr>
      <w:r w:rsidRPr="005A1DC2">
        <w:rPr>
          <w:rStyle w:val="FootnoteReference"/>
        </w:rPr>
        <w:footnoteRef/>
      </w:r>
      <w:r w:rsidR="7AB0424C" w:rsidRPr="005A1DC2">
        <w:rPr>
          <w:lang w:val="es-AR"/>
        </w:rPr>
        <w:t xml:space="preserve"> CIDH, Informe sobre la situación de los derechos humanos en Cuba, 3 de febrero de 2020, párr.</w:t>
      </w:r>
      <w:r w:rsidR="7AB0424C">
        <w:rPr>
          <w:lang w:val="es-AR"/>
        </w:rPr>
        <w:t xml:space="preserve"> 193.</w:t>
      </w:r>
    </w:p>
  </w:footnote>
  <w:footnote w:id="129">
    <w:p w14:paraId="0BF135BB" w14:textId="7B6285D1" w:rsidR="00DE3A31" w:rsidRPr="005138C7" w:rsidRDefault="00DE3A31" w:rsidP="002A0199">
      <w:pPr>
        <w:pStyle w:val="FootnoteText"/>
        <w:rPr>
          <w:lang w:val="es-AR"/>
        </w:rPr>
      </w:pPr>
      <w:r w:rsidRPr="005138C7">
        <w:rPr>
          <w:rStyle w:val="FootnoteReference"/>
          <w:lang w:val="es-AR"/>
        </w:rPr>
        <w:footnoteRef/>
      </w:r>
      <w:r w:rsidR="7AB0424C" w:rsidRPr="005138C7">
        <w:rPr>
          <w:lang w:val="es-AR"/>
        </w:rPr>
        <w:t xml:space="preserve"> CIDH, RELE. Protesta y Derechos Humanos</w:t>
      </w:r>
      <w:r w:rsidR="7AB0424C">
        <w:rPr>
          <w:lang w:val="es-AR"/>
        </w:rPr>
        <w:t>.</w:t>
      </w:r>
      <w:r w:rsidR="7AB0424C" w:rsidRPr="005138C7">
        <w:rPr>
          <w:lang w:val="es-AR"/>
        </w:rPr>
        <w:t xml:space="preserve"> Septiembre de 2019, párr. 308 y 355. </w:t>
      </w:r>
    </w:p>
  </w:footnote>
  <w:footnote w:id="130">
    <w:p w14:paraId="5CFED754" w14:textId="2E3A8484" w:rsidR="00E433FD" w:rsidRPr="00E433FD" w:rsidRDefault="00E433FD" w:rsidP="002A0199">
      <w:pPr>
        <w:pStyle w:val="FootnoteText"/>
        <w:rPr>
          <w:lang w:val="es-ES"/>
        </w:rPr>
      </w:pPr>
      <w:r>
        <w:rPr>
          <w:rStyle w:val="FootnoteReference"/>
        </w:rPr>
        <w:footnoteRef/>
      </w:r>
      <w:r w:rsidR="7AB0424C" w:rsidRPr="00E433FD">
        <w:rPr>
          <w:lang w:val="es-ES"/>
        </w:rPr>
        <w:t xml:space="preserve"> CIDH, Segundo informe sobre la situación de las defensoras y los defensores de derechos humanos en las Américas, 31 de diciembre de 2011, párr. </w:t>
      </w:r>
      <w:r w:rsidR="7AB0424C" w:rsidRPr="00A4057E">
        <w:rPr>
          <w:lang w:val="es-US"/>
        </w:rPr>
        <w:t>25.</w:t>
      </w:r>
    </w:p>
  </w:footnote>
  <w:footnote w:id="131">
    <w:p w14:paraId="5A766A49" w14:textId="11ACEF90" w:rsidR="00C10196" w:rsidRPr="005A1DC2" w:rsidRDefault="00C10196" w:rsidP="002A0199">
      <w:pPr>
        <w:shd w:val="clear" w:color="auto" w:fill="FFFFFF"/>
        <w:tabs>
          <w:tab w:val="num" w:pos="720"/>
          <w:tab w:val="left" w:pos="1440"/>
          <w:tab w:val="num" w:pos="2040"/>
        </w:tabs>
        <w:jc w:val="both"/>
        <w:rPr>
          <w:rFonts w:asciiTheme="majorHAnsi" w:hAnsiTheme="majorHAnsi"/>
          <w:sz w:val="16"/>
          <w:szCs w:val="16"/>
          <w:lang w:val="es-ES"/>
        </w:rPr>
      </w:pPr>
      <w:r w:rsidRPr="005A1DC2">
        <w:rPr>
          <w:rStyle w:val="FootnoteReference"/>
          <w:rFonts w:asciiTheme="majorHAnsi" w:hAnsiTheme="majorHAnsi"/>
          <w:sz w:val="16"/>
          <w:szCs w:val="16"/>
        </w:rPr>
        <w:footnoteRef/>
      </w:r>
      <w:r w:rsidRPr="005A1DC2">
        <w:rPr>
          <w:rFonts w:asciiTheme="majorHAnsi" w:hAnsiTheme="majorHAnsi"/>
          <w:sz w:val="16"/>
          <w:szCs w:val="16"/>
          <w:lang w:val="es-VE"/>
        </w:rPr>
        <w:t xml:space="preserve"> Artículo I. </w:t>
      </w:r>
      <w:r w:rsidRPr="005A1DC2">
        <w:rPr>
          <w:rFonts w:asciiTheme="majorHAnsi" w:eastAsia="Calibri" w:hAnsiTheme="majorHAnsi"/>
          <w:color w:val="000000"/>
          <w:sz w:val="16"/>
          <w:szCs w:val="16"/>
          <w:bdr w:val="none" w:sz="0" w:space="0" w:color="auto"/>
          <w:lang w:val="es-AR"/>
        </w:rPr>
        <w:t>Todo ser humano tiene derecho a la vida, a la libertad y a la seguridad de su persona.</w:t>
      </w:r>
    </w:p>
  </w:footnote>
  <w:footnote w:id="132">
    <w:p w14:paraId="37701F1A" w14:textId="1EE4A1D8" w:rsidR="00B930C1" w:rsidRPr="005A1DC2" w:rsidRDefault="00B930C1" w:rsidP="002A0199">
      <w:pPr>
        <w:pStyle w:val="FootnoteText"/>
        <w:rPr>
          <w:lang w:val="es-AR"/>
        </w:rPr>
      </w:pPr>
      <w:r w:rsidRPr="005A1DC2">
        <w:rPr>
          <w:rStyle w:val="FootnoteReference"/>
        </w:rPr>
        <w:footnoteRef/>
      </w:r>
      <w:r w:rsidR="7AB0424C" w:rsidRPr="00BF7FAB">
        <w:rPr>
          <w:lang w:val="es-US"/>
        </w:rPr>
        <w:t xml:space="preserve"> CIDH, Informe No. 27/18, Caso No. 12.127, </w:t>
      </w:r>
      <w:r w:rsidR="7AB0424C" w:rsidRPr="005A1DC2">
        <w:rPr>
          <w:lang w:val="es-AR"/>
        </w:rPr>
        <w:t>Fondo, Vladimiro Roca Antúnez y otros, Cuba, 24 de febrero de 2018, párr. 144.</w:t>
      </w:r>
    </w:p>
  </w:footnote>
  <w:footnote w:id="133">
    <w:p w14:paraId="7DC1892E" w14:textId="6646F3FB" w:rsidR="00B930C1" w:rsidRPr="005A1DC2" w:rsidRDefault="00B930C1" w:rsidP="002A0199">
      <w:pPr>
        <w:pStyle w:val="FootnoteText"/>
        <w:rPr>
          <w:lang w:val="es-AR"/>
        </w:rPr>
      </w:pPr>
      <w:r w:rsidRPr="005A1DC2">
        <w:rPr>
          <w:rStyle w:val="FootnoteReference"/>
        </w:rPr>
        <w:footnoteRef/>
      </w:r>
      <w:r w:rsidR="7AB0424C" w:rsidRPr="005A1DC2">
        <w:rPr>
          <w:lang w:val="es-AR"/>
        </w:rPr>
        <w:t xml:space="preserve"> CIDH, Informe sobre las Personas Privadas de Libertad (2011), párr. 50. Este principio fue desarrollado por primera vez por la Corte Interamericana de Derechos Humanos en </w:t>
      </w:r>
      <w:r w:rsidR="7AB0424C" w:rsidRPr="7AB0424C">
        <w:rPr>
          <w:i/>
          <w:iCs/>
          <w:lang w:val="es-AR"/>
        </w:rPr>
        <w:t>Neira Alegría vs. Perú</w:t>
      </w:r>
      <w:r w:rsidR="7AB0424C" w:rsidRPr="005A1DC2">
        <w:rPr>
          <w:lang w:val="es-AR"/>
        </w:rPr>
        <w:t xml:space="preserve"> y subsecuentemente desarrollado en jurisprudencia posterior</w:t>
      </w:r>
    </w:p>
  </w:footnote>
  <w:footnote w:id="134">
    <w:p w14:paraId="2FC7F64B" w14:textId="5F2A8885" w:rsidR="00B930C1" w:rsidRPr="005A1DC2" w:rsidRDefault="00B930C1" w:rsidP="002A0199">
      <w:pPr>
        <w:pStyle w:val="FootnoteText"/>
        <w:rPr>
          <w:lang w:val="es-AR"/>
        </w:rPr>
      </w:pPr>
      <w:r w:rsidRPr="005A1DC2">
        <w:rPr>
          <w:rStyle w:val="FootnoteReference"/>
        </w:rPr>
        <w:footnoteRef/>
      </w:r>
      <w:r w:rsidR="7AB0424C" w:rsidRPr="005A1DC2">
        <w:rPr>
          <w:lang w:val="es-AR"/>
        </w:rPr>
        <w:t xml:space="preserve"> CIDH, Informe No. 41/99, Fondo, Menores detenidos, Honduras, 10 de marzo de 1999, párr. 135; CIDH, Informe especial sobre la situación de los derechos humanos en la cárcel de Challapalca, Perú, párr. 113.</w:t>
      </w:r>
    </w:p>
  </w:footnote>
  <w:footnote w:id="135">
    <w:p w14:paraId="2E77B5B3" w14:textId="7D8374EF" w:rsidR="4AEC06F1" w:rsidRDefault="4AEC06F1" w:rsidP="002A0199">
      <w:pPr>
        <w:pStyle w:val="FootnoteText"/>
        <w:rPr>
          <w:lang w:val="es-AR"/>
        </w:rPr>
      </w:pPr>
      <w:r w:rsidRPr="4AEC06F1">
        <w:rPr>
          <w:rStyle w:val="FootnoteReference"/>
        </w:rPr>
        <w:footnoteRef/>
      </w:r>
      <w:r w:rsidR="7AB0424C" w:rsidRPr="4AEC06F1">
        <w:rPr>
          <w:lang w:val="es-AR"/>
        </w:rPr>
        <w:t xml:space="preserve"> CIDH, Informe No. 12/14, Caso 12.231, Fondo, </w:t>
      </w:r>
      <w:r w:rsidR="7AB0424C" w:rsidRPr="4AEC06F1">
        <w:rPr>
          <w:lang w:val="es-ES"/>
        </w:rPr>
        <w:t xml:space="preserve">Peter Cash. Commonwealth de las Bahamas. </w:t>
      </w:r>
      <w:r w:rsidR="7AB0424C" w:rsidRPr="4AEC06F1">
        <w:rPr>
          <w:lang w:val="es-AR"/>
        </w:rPr>
        <w:t>2 de abril de 2014, párr. 98.</w:t>
      </w:r>
    </w:p>
  </w:footnote>
  <w:footnote w:id="136">
    <w:p w14:paraId="1E8D3BC3" w14:textId="7DF7890C" w:rsidR="4AEC06F1" w:rsidRDefault="4AEC06F1" w:rsidP="002A0199">
      <w:pPr>
        <w:pStyle w:val="FootnoteText"/>
        <w:rPr>
          <w:lang w:val="es-AR"/>
        </w:rPr>
      </w:pPr>
      <w:r w:rsidRPr="4AEC06F1">
        <w:rPr>
          <w:rStyle w:val="FootnoteReference"/>
        </w:rPr>
        <w:footnoteRef/>
      </w:r>
      <w:r w:rsidR="7AB0424C" w:rsidRPr="4AEC06F1">
        <w:rPr>
          <w:lang w:val="es-AR"/>
        </w:rPr>
        <w:t xml:space="preserve"> CIDH, Resolución 1/08. Principios y Buenas Prácticas sobre la Protección de las Personas Privadas de Libertad en las Américas, 31 marzo 2008.</w:t>
      </w:r>
    </w:p>
  </w:footnote>
  <w:footnote w:id="137">
    <w:p w14:paraId="6A6267D9" w14:textId="2A111E15" w:rsidR="00E433FD" w:rsidRPr="005A1DC2" w:rsidRDefault="00E433FD" w:rsidP="002A0199">
      <w:pPr>
        <w:pStyle w:val="FootnoteText"/>
        <w:rPr>
          <w:color w:val="auto"/>
          <w:lang w:val="es-ES"/>
        </w:rPr>
      </w:pPr>
      <w:r w:rsidRPr="005A1DC2">
        <w:rPr>
          <w:rStyle w:val="FootnoteReference"/>
          <w:color w:val="auto"/>
        </w:rPr>
        <w:footnoteRef/>
      </w:r>
      <w:r w:rsidR="7AB0424C" w:rsidRPr="005A1DC2">
        <w:rPr>
          <w:color w:val="auto"/>
          <w:lang w:val="es-ES"/>
        </w:rPr>
        <w:t xml:space="preserve"> CIDH, Casos 12.595, 12.596 y 12.621. Informe No. 86/13, Fondo. Ana Teresa Yarce y Otras (Comuna 13), Colombia. 4 de noviembre de 2013, párr. 276. </w:t>
      </w:r>
    </w:p>
  </w:footnote>
  <w:footnote w:id="138">
    <w:p w14:paraId="5C36D19D" w14:textId="3A98A204" w:rsidR="00E433FD" w:rsidRPr="005A1DC2" w:rsidRDefault="00E433FD" w:rsidP="002A0199">
      <w:pPr>
        <w:pStyle w:val="FootnoteText"/>
        <w:rPr>
          <w:color w:val="auto"/>
          <w:lang w:val="es-ES"/>
        </w:rPr>
      </w:pPr>
      <w:r w:rsidRPr="005A1DC2">
        <w:rPr>
          <w:rStyle w:val="FootnoteReference"/>
          <w:color w:val="auto"/>
        </w:rPr>
        <w:footnoteRef/>
      </w:r>
      <w:r w:rsidR="7AB0424C" w:rsidRPr="005A1DC2">
        <w:rPr>
          <w:color w:val="auto"/>
          <w:lang w:val="es-ES"/>
        </w:rPr>
        <w:t xml:space="preserve"> CIDH, Casos 12.595, 12.596 y 12.621. Informe No. 86/13, Fondo. Ana Teresa Yarce y Otras (Comuna 13), Colombia. 4 de noviembre de 2013, párr. 276.</w:t>
      </w:r>
    </w:p>
  </w:footnote>
  <w:footnote w:id="139">
    <w:p w14:paraId="3E144F73" w14:textId="63FDFAFD" w:rsidR="00E433FD" w:rsidRPr="005A1DC2" w:rsidRDefault="00E433FD" w:rsidP="002A0199">
      <w:pPr>
        <w:pStyle w:val="FootnoteText"/>
        <w:rPr>
          <w:color w:val="auto"/>
          <w:lang w:val="es-ES"/>
        </w:rPr>
      </w:pPr>
      <w:r w:rsidRPr="005A1DC2">
        <w:rPr>
          <w:rStyle w:val="FootnoteReference"/>
          <w:color w:val="auto"/>
        </w:rPr>
        <w:footnoteRef/>
      </w:r>
      <w:r w:rsidR="7AB0424C" w:rsidRPr="005A1DC2">
        <w:rPr>
          <w:color w:val="auto"/>
          <w:lang w:val="es-ES"/>
        </w:rPr>
        <w:t xml:space="preserve"> CIDH, Informe sobre la Situación de las Defensoras y Defensores de los Derechos Humanos en las Américas, Doc. 5 rev. 1, 7 de marzo de 2006, párr. 47.</w:t>
      </w:r>
    </w:p>
  </w:footnote>
  <w:footnote w:id="140">
    <w:p w14:paraId="4236ADD8" w14:textId="77777777" w:rsidR="00A0143D" w:rsidRPr="00FF55DC" w:rsidRDefault="00A0143D" w:rsidP="00A0143D">
      <w:pPr>
        <w:pStyle w:val="FootnoteText"/>
        <w:rPr>
          <w:rFonts w:ascii="Cambria" w:hAnsi="Cambria"/>
          <w:lang w:val="es-US"/>
        </w:rPr>
      </w:pPr>
      <w:r w:rsidRPr="00FF55DC">
        <w:rPr>
          <w:rStyle w:val="FootnoteReference"/>
          <w:rFonts w:ascii="Cambria" w:hAnsi="Cambria"/>
        </w:rPr>
        <w:footnoteRef/>
      </w:r>
      <w:r w:rsidRPr="00131404">
        <w:rPr>
          <w:rFonts w:ascii="Cambria" w:hAnsi="Cambria"/>
          <w:lang w:val="es-US"/>
        </w:rPr>
        <w:t xml:space="preserve"> CIDH. Informe Anual, Cap. IVB Cuba, párr. </w:t>
      </w:r>
      <w:r w:rsidRPr="00FF55DC">
        <w:rPr>
          <w:rFonts w:ascii="Cambria" w:hAnsi="Cambria"/>
          <w:lang w:val="es-US"/>
        </w:rPr>
        <w:t>60.</w:t>
      </w:r>
    </w:p>
  </w:footnote>
  <w:footnote w:id="141">
    <w:p w14:paraId="46B816ED" w14:textId="77777777" w:rsidR="00A0143D" w:rsidRPr="00FF55DC" w:rsidRDefault="00A0143D" w:rsidP="00A0143D">
      <w:pPr>
        <w:pStyle w:val="FootnoteText"/>
        <w:rPr>
          <w:rFonts w:ascii="Cambria" w:hAnsi="Cambria"/>
          <w:vertAlign w:val="superscript"/>
          <w:lang w:val="es-US"/>
        </w:rPr>
      </w:pPr>
      <w:r w:rsidRPr="00FF55DC">
        <w:rPr>
          <w:rStyle w:val="FootnoteReference"/>
          <w:rFonts w:ascii="Cambria" w:hAnsi="Cambria"/>
        </w:rPr>
        <w:footnoteRef/>
      </w:r>
      <w:r w:rsidRPr="00FF55DC">
        <w:rPr>
          <w:rFonts w:ascii="Cambria" w:hAnsi="Cambria"/>
          <w:lang w:val="es-US"/>
        </w:rPr>
        <w:t xml:space="preserve"> Alas Tensas. Maykel Castillo: agredido, castigado y enfrentando nuevas injustas acusaciones dentro del presidio político Cubano, 21 de agosto de 2025.</w:t>
      </w:r>
    </w:p>
  </w:footnote>
  <w:footnote w:id="142">
    <w:p w14:paraId="1F546BAD" w14:textId="77777777" w:rsidR="00A0143D" w:rsidRPr="00FF55DC" w:rsidRDefault="00A0143D" w:rsidP="00A0143D">
      <w:pPr>
        <w:pStyle w:val="FootnoteText"/>
        <w:rPr>
          <w:rFonts w:ascii="Cambria" w:hAnsi="Cambria"/>
          <w:lang w:val="es-US"/>
        </w:rPr>
      </w:pPr>
      <w:r w:rsidRPr="00FF55DC">
        <w:rPr>
          <w:rFonts w:ascii="Cambria" w:hAnsi="Cambria"/>
          <w:vertAlign w:val="superscript"/>
          <w:lang w:val="es-US"/>
        </w:rPr>
        <w:footnoteRef/>
      </w:r>
      <w:r w:rsidRPr="00FF55DC">
        <w:rPr>
          <w:rFonts w:ascii="Cambria" w:hAnsi="Cambria"/>
          <w:lang w:val="es-US"/>
        </w:rPr>
        <w:t xml:space="preserve"> Martí Noticias. Maykel Castillo Pérez conocido como “El Osorbo” en celda de castigo tras protesta en prisión, 27 de septiembre de 2025.</w:t>
      </w:r>
    </w:p>
  </w:footnote>
  <w:footnote w:id="143">
    <w:p w14:paraId="04B37CB4" w14:textId="77777777" w:rsidR="00A0143D" w:rsidRPr="00FF55DC" w:rsidRDefault="00A0143D" w:rsidP="00A0143D">
      <w:pPr>
        <w:pStyle w:val="FootnoteText"/>
        <w:rPr>
          <w:rFonts w:ascii="Cambria" w:hAnsi="Cambria"/>
          <w:lang w:val="es-US"/>
        </w:rPr>
      </w:pPr>
      <w:r w:rsidRPr="00FF55DC">
        <w:rPr>
          <w:rFonts w:ascii="Cambria" w:hAnsi="Cambria"/>
          <w:vertAlign w:val="superscript"/>
          <w:lang w:val="es-US"/>
        </w:rPr>
        <w:footnoteRef/>
      </w:r>
      <w:r w:rsidRPr="00FF55DC">
        <w:rPr>
          <w:rFonts w:ascii="Cambria" w:hAnsi="Cambria"/>
          <w:lang w:val="es-US"/>
        </w:rPr>
        <w:t xml:space="preserve"> Martí Noticias. “El Osorbo” visiblemente Delgado tras salir de celda de castigo, 16 de octubre de 2025.</w:t>
      </w:r>
    </w:p>
  </w:footnote>
  <w:footnote w:id="144">
    <w:p w14:paraId="74C3C959" w14:textId="77777777" w:rsidR="00A0143D" w:rsidRPr="0009765E" w:rsidRDefault="00A0143D" w:rsidP="00A0143D">
      <w:pPr>
        <w:pStyle w:val="FootnoteText"/>
        <w:rPr>
          <w:lang w:val="es-US"/>
        </w:rPr>
      </w:pPr>
      <w:r>
        <w:rPr>
          <w:rStyle w:val="FootnoteReference"/>
        </w:rPr>
        <w:footnoteRef/>
      </w:r>
      <w:r w:rsidRPr="0009765E">
        <w:rPr>
          <w:lang w:val="es-US"/>
        </w:rPr>
        <w:t xml:space="preserve"> </w:t>
      </w:r>
      <w:r w:rsidRPr="006F1F92">
        <w:rPr>
          <w:rFonts w:ascii="Cambria" w:hAnsi="Cambria"/>
          <w:lang w:val="es-US"/>
        </w:rPr>
        <w:t>Principio III. CIDH. Princ</w:t>
      </w:r>
      <w:r>
        <w:rPr>
          <w:rFonts w:ascii="Cambria" w:hAnsi="Cambria"/>
          <w:lang w:val="es-US"/>
        </w:rPr>
        <w:t>i</w:t>
      </w:r>
      <w:r w:rsidRPr="006F1F92">
        <w:rPr>
          <w:rFonts w:ascii="Cambria" w:hAnsi="Cambria"/>
          <w:lang w:val="es-US"/>
        </w:rPr>
        <w:t>pios y buenas p</w:t>
      </w:r>
      <w:r>
        <w:rPr>
          <w:rFonts w:ascii="Cambria" w:hAnsi="Cambria"/>
          <w:lang w:val="es-US"/>
        </w:rPr>
        <w:t>rá</w:t>
      </w:r>
      <w:r w:rsidRPr="006F1F92">
        <w:rPr>
          <w:rFonts w:ascii="Cambria" w:hAnsi="Cambria"/>
          <w:lang w:val="es-US"/>
        </w:rPr>
        <w:t>cticas sobre la protección de las personas privadas de libertad en las Américas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9F876"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108DADD2"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ABEDB"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36DEC936" wp14:editId="1BD9FD6D">
          <wp:extent cx="1972237" cy="104775"/>
          <wp:effectExtent l="0" t="0" r="9525" b="0"/>
          <wp:docPr id="3" name="Picture 3"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00D89AA0" w14:textId="77777777" w:rsidR="00040C3A" w:rsidRPr="00EC7D62" w:rsidRDefault="0046446B" w:rsidP="00A50FCF">
    <w:pPr>
      <w:pStyle w:val="Header"/>
      <w:tabs>
        <w:tab w:val="clear" w:pos="4320"/>
        <w:tab w:val="clear" w:pos="8640"/>
      </w:tabs>
      <w:jc w:val="center"/>
      <w:rPr>
        <w:sz w:val="22"/>
        <w:szCs w:val="22"/>
      </w:rPr>
    </w:pPr>
    <w:r>
      <w:rPr>
        <w:noProof/>
        <w:sz w:val="22"/>
        <w:szCs w:val="22"/>
        <w:bdr w:val="nil"/>
      </w:rPr>
      <w:pict w14:anchorId="661617F9">
        <v:rect id="_x0000_i1025" alt="" style="width:468pt;height:.05pt;mso-width-percent:0;mso-height-percent:0;mso-width-percent:0;mso-height-percent:0"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FC9C0D2" w14:paraId="7D803613" w14:textId="77777777" w:rsidTr="2FC9C0D2">
      <w:tc>
        <w:tcPr>
          <w:tcW w:w="3120" w:type="dxa"/>
        </w:tcPr>
        <w:p w14:paraId="4464E956" w14:textId="07317B7E" w:rsidR="2FC9C0D2" w:rsidRDefault="2FC9C0D2" w:rsidP="2FC9C0D2">
          <w:pPr>
            <w:ind w:left="-115"/>
          </w:pPr>
        </w:p>
      </w:tc>
      <w:tc>
        <w:tcPr>
          <w:tcW w:w="3120" w:type="dxa"/>
        </w:tcPr>
        <w:p w14:paraId="244ABD2C" w14:textId="2429716E" w:rsidR="2FC9C0D2" w:rsidRDefault="2FC9C0D2" w:rsidP="2FC9C0D2">
          <w:pPr>
            <w:jc w:val="center"/>
          </w:pPr>
        </w:p>
      </w:tc>
      <w:tc>
        <w:tcPr>
          <w:tcW w:w="3120" w:type="dxa"/>
        </w:tcPr>
        <w:p w14:paraId="2D57A25F" w14:textId="24543860" w:rsidR="2FC9C0D2" w:rsidRDefault="2FC9C0D2" w:rsidP="2FC9C0D2">
          <w:pPr>
            <w:ind w:right="-115"/>
            <w:jc w:val="right"/>
          </w:pPr>
        </w:p>
      </w:tc>
    </w:tr>
  </w:tbl>
  <w:p w14:paraId="2F009001" w14:textId="0AC7465E" w:rsidR="2FC9C0D2" w:rsidRDefault="2FC9C0D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FC9C0D2" w14:paraId="15FEE6BF" w14:textId="77777777" w:rsidTr="2FC9C0D2">
      <w:tc>
        <w:tcPr>
          <w:tcW w:w="3120" w:type="dxa"/>
        </w:tcPr>
        <w:p w14:paraId="16CFAB87" w14:textId="606712C6" w:rsidR="2FC9C0D2" w:rsidRDefault="2FC9C0D2" w:rsidP="2FC9C0D2">
          <w:pPr>
            <w:ind w:left="-115"/>
          </w:pPr>
        </w:p>
      </w:tc>
      <w:tc>
        <w:tcPr>
          <w:tcW w:w="3120" w:type="dxa"/>
        </w:tcPr>
        <w:p w14:paraId="26DB027C" w14:textId="3D7339C2" w:rsidR="2FC9C0D2" w:rsidRDefault="2FC9C0D2" w:rsidP="2FC9C0D2">
          <w:pPr>
            <w:jc w:val="center"/>
          </w:pPr>
        </w:p>
      </w:tc>
      <w:tc>
        <w:tcPr>
          <w:tcW w:w="3120" w:type="dxa"/>
        </w:tcPr>
        <w:p w14:paraId="47BAC48E" w14:textId="55B05660" w:rsidR="2FC9C0D2" w:rsidRDefault="2FC9C0D2" w:rsidP="2FC9C0D2">
          <w:pPr>
            <w:ind w:right="-115"/>
            <w:jc w:val="right"/>
          </w:pPr>
        </w:p>
      </w:tc>
    </w:tr>
  </w:tbl>
  <w:p w14:paraId="22CF934D" w14:textId="3E1D439A" w:rsidR="2FC9C0D2" w:rsidRDefault="2FC9C0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5123"/>
    <w:multiLevelType w:val="hybridMultilevel"/>
    <w:tmpl w:val="C83673D6"/>
    <w:lvl w:ilvl="0" w:tplc="5FA4A708">
      <w:start w:val="1"/>
      <w:numFmt w:val="bullet"/>
      <w:lvlText w:val="-"/>
      <w:lvlJc w:val="left"/>
      <w:pPr>
        <w:ind w:left="720" w:hanging="360"/>
      </w:pPr>
      <w:rPr>
        <w:rFonts w:ascii="Cambria" w:hAnsi="Cambria" w:hint="default"/>
      </w:rPr>
    </w:lvl>
    <w:lvl w:ilvl="1" w:tplc="8DBCCA7A">
      <w:start w:val="1"/>
      <w:numFmt w:val="bullet"/>
      <w:lvlText w:val="o"/>
      <w:lvlJc w:val="left"/>
      <w:pPr>
        <w:ind w:left="1440" w:hanging="360"/>
      </w:pPr>
      <w:rPr>
        <w:rFonts w:ascii="Courier New" w:hAnsi="Courier New" w:hint="default"/>
      </w:rPr>
    </w:lvl>
    <w:lvl w:ilvl="2" w:tplc="1F627366">
      <w:start w:val="1"/>
      <w:numFmt w:val="bullet"/>
      <w:lvlText w:val=""/>
      <w:lvlJc w:val="left"/>
      <w:pPr>
        <w:ind w:left="2160" w:hanging="360"/>
      </w:pPr>
      <w:rPr>
        <w:rFonts w:ascii="Wingdings" w:hAnsi="Wingdings" w:hint="default"/>
      </w:rPr>
    </w:lvl>
    <w:lvl w:ilvl="3" w:tplc="8A241A90">
      <w:start w:val="1"/>
      <w:numFmt w:val="bullet"/>
      <w:lvlText w:val=""/>
      <w:lvlJc w:val="left"/>
      <w:pPr>
        <w:ind w:left="2880" w:hanging="360"/>
      </w:pPr>
      <w:rPr>
        <w:rFonts w:ascii="Symbol" w:hAnsi="Symbol" w:hint="default"/>
      </w:rPr>
    </w:lvl>
    <w:lvl w:ilvl="4" w:tplc="5B2AEE42">
      <w:start w:val="1"/>
      <w:numFmt w:val="bullet"/>
      <w:lvlText w:val="o"/>
      <w:lvlJc w:val="left"/>
      <w:pPr>
        <w:ind w:left="3600" w:hanging="360"/>
      </w:pPr>
      <w:rPr>
        <w:rFonts w:ascii="Courier New" w:hAnsi="Courier New" w:hint="default"/>
      </w:rPr>
    </w:lvl>
    <w:lvl w:ilvl="5" w:tplc="EEA8559A">
      <w:start w:val="1"/>
      <w:numFmt w:val="bullet"/>
      <w:lvlText w:val=""/>
      <w:lvlJc w:val="left"/>
      <w:pPr>
        <w:ind w:left="4320" w:hanging="360"/>
      </w:pPr>
      <w:rPr>
        <w:rFonts w:ascii="Wingdings" w:hAnsi="Wingdings" w:hint="default"/>
      </w:rPr>
    </w:lvl>
    <w:lvl w:ilvl="6" w:tplc="71263FFE">
      <w:start w:val="1"/>
      <w:numFmt w:val="bullet"/>
      <w:lvlText w:val=""/>
      <w:lvlJc w:val="left"/>
      <w:pPr>
        <w:ind w:left="5040" w:hanging="360"/>
      </w:pPr>
      <w:rPr>
        <w:rFonts w:ascii="Symbol" w:hAnsi="Symbol" w:hint="default"/>
      </w:rPr>
    </w:lvl>
    <w:lvl w:ilvl="7" w:tplc="54EE9B92">
      <w:start w:val="1"/>
      <w:numFmt w:val="bullet"/>
      <w:lvlText w:val="o"/>
      <w:lvlJc w:val="left"/>
      <w:pPr>
        <w:ind w:left="5760" w:hanging="360"/>
      </w:pPr>
      <w:rPr>
        <w:rFonts w:ascii="Courier New" w:hAnsi="Courier New" w:hint="default"/>
      </w:rPr>
    </w:lvl>
    <w:lvl w:ilvl="8" w:tplc="9BF465DA">
      <w:start w:val="1"/>
      <w:numFmt w:val="bullet"/>
      <w:lvlText w:val=""/>
      <w:lvlJc w:val="left"/>
      <w:pPr>
        <w:ind w:left="6480" w:hanging="360"/>
      </w:pPr>
      <w:rPr>
        <w:rFonts w:ascii="Wingdings" w:hAnsi="Wingdings" w:hint="default"/>
      </w:rPr>
    </w:lvl>
  </w:abstractNum>
  <w:abstractNum w:abstractNumId="1"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2"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5" w15:restartNumberingAfterBreak="0">
    <w:nsid w:val="0E977725"/>
    <w:multiLevelType w:val="hybridMultilevel"/>
    <w:tmpl w:val="A4D870BA"/>
    <w:lvl w:ilvl="0" w:tplc="15BAC1BC">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7"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9"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2"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5"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9BC57C3"/>
    <w:multiLevelType w:val="hybridMultilevel"/>
    <w:tmpl w:val="2CA04538"/>
    <w:lvl w:ilvl="0" w:tplc="E904D5E2">
      <w:start w:val="1"/>
      <w:numFmt w:val="decimal"/>
      <w:lvlText w:val="%1."/>
      <w:lvlJc w:val="left"/>
      <w:pPr>
        <w:tabs>
          <w:tab w:val="num" w:pos="0"/>
        </w:tabs>
        <w:ind w:left="-720" w:firstLine="720"/>
      </w:pPr>
      <w:rPr>
        <w:rFonts w:ascii="Cambria" w:hAnsi="Cambria" w:hint="default"/>
        <w:b w:val="0"/>
        <w:bCs w:val="0"/>
        <w:i w:val="0"/>
        <w:color w:val="auto"/>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2"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3"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72A0BA1"/>
    <w:multiLevelType w:val="hybridMultilevel"/>
    <w:tmpl w:val="626C3048"/>
    <w:lvl w:ilvl="0" w:tplc="BEA2EB98">
      <w:start w:val="1"/>
      <w:numFmt w:val="upperRoman"/>
      <w:pStyle w:val="Heading1"/>
      <w:lvlText w:val="%1."/>
      <w:lvlJc w:val="left"/>
      <w:pPr>
        <w:ind w:left="3060" w:hanging="72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94A1496"/>
    <w:multiLevelType w:val="hybridMultilevel"/>
    <w:tmpl w:val="C6728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1" w15:restartNumberingAfterBreak="0">
    <w:nsid w:val="40651C0C"/>
    <w:multiLevelType w:val="hybridMultilevel"/>
    <w:tmpl w:val="5896C32E"/>
    <w:lvl w:ilvl="0" w:tplc="8858172A">
      <w:start w:val="1"/>
      <w:numFmt w:val="bullet"/>
      <w:lvlText w:val="-"/>
      <w:lvlJc w:val="left"/>
      <w:pPr>
        <w:ind w:left="1080" w:hanging="360"/>
      </w:pPr>
      <w:rPr>
        <w:rFonts w:ascii="Cambria" w:eastAsia="Cambria"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0"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2"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4"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6"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7" w15:restartNumberingAfterBreak="0">
    <w:nsid w:val="5C3360A6"/>
    <w:multiLevelType w:val="multilevel"/>
    <w:tmpl w:val="0ECE3A64"/>
    <w:lvl w:ilvl="0">
      <w:start w:val="1"/>
      <w:numFmt w:val="decimal"/>
      <w:pStyle w:val="Heading3"/>
      <w:lvlText w:val="%1."/>
      <w:lvlJc w:val="left"/>
      <w:pPr>
        <w:ind w:left="720" w:hanging="360"/>
      </w:pPr>
      <w:rPr>
        <w:rFonts w:ascii="Cambria" w:hAnsi="Cambria" w:hint="default"/>
        <w:b/>
        <w:color w:val="auto"/>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5D7D4B9D"/>
    <w:multiLevelType w:val="hybridMultilevel"/>
    <w:tmpl w:val="402EB966"/>
    <w:lvl w:ilvl="0" w:tplc="FFFFFFFF">
      <w:start w:val="1"/>
      <w:numFmt w:val="decimal"/>
      <w:pStyle w:val="parrafos"/>
      <w:lvlText w:val="%1."/>
      <w:lvlJc w:val="left"/>
      <w:pPr>
        <w:ind w:left="1440" w:hanging="360"/>
      </w:pPr>
      <w:rPr>
        <w:rFonts w:ascii="Cambria" w:hAnsi="Cambria" w:hint="default"/>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019715A"/>
    <w:multiLevelType w:val="hybridMultilevel"/>
    <w:tmpl w:val="E9109E52"/>
    <w:lvl w:ilvl="0" w:tplc="2F624256">
      <w:start w:val="1"/>
      <w:numFmt w:val="upperLetter"/>
      <w:pStyle w:val="Heading2"/>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0"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1"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2"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3"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4"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5"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7"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292909963">
    <w:abstractNumId w:val="0"/>
  </w:num>
  <w:num w:numId="2" w16cid:durableId="1169904775">
    <w:abstractNumId w:val="4"/>
  </w:num>
  <w:num w:numId="3" w16cid:durableId="1257059261">
    <w:abstractNumId w:val="6"/>
  </w:num>
  <w:num w:numId="4" w16cid:durableId="1359894998">
    <w:abstractNumId w:val="56"/>
  </w:num>
  <w:num w:numId="5" w16cid:durableId="1206136330">
    <w:abstractNumId w:val="22"/>
  </w:num>
  <w:num w:numId="6" w16cid:durableId="864097905">
    <w:abstractNumId w:val="51"/>
  </w:num>
  <w:num w:numId="7" w16cid:durableId="1242136383">
    <w:abstractNumId w:val="29"/>
  </w:num>
  <w:num w:numId="8" w16cid:durableId="1718973108">
    <w:abstractNumId w:val="7"/>
  </w:num>
  <w:num w:numId="9" w16cid:durableId="1359963769">
    <w:abstractNumId w:val="18"/>
  </w:num>
  <w:num w:numId="10" w16cid:durableId="97526048">
    <w:abstractNumId w:val="44"/>
  </w:num>
  <w:num w:numId="11" w16cid:durableId="2038120164">
    <w:abstractNumId w:val="1"/>
  </w:num>
  <w:num w:numId="12" w16cid:durableId="1990359167">
    <w:abstractNumId w:val="39"/>
  </w:num>
  <w:num w:numId="13" w16cid:durableId="1491369506">
    <w:abstractNumId w:val="40"/>
  </w:num>
  <w:num w:numId="14" w16cid:durableId="1611623707">
    <w:abstractNumId w:val="45"/>
  </w:num>
  <w:num w:numId="15" w16cid:durableId="528222279">
    <w:abstractNumId w:val="2"/>
  </w:num>
  <w:num w:numId="16" w16cid:durableId="1104963260">
    <w:abstractNumId w:val="3"/>
  </w:num>
  <w:num w:numId="17" w16cid:durableId="1130705706">
    <w:abstractNumId w:val="8"/>
  </w:num>
  <w:num w:numId="18" w16cid:durableId="927924773">
    <w:abstractNumId w:val="9"/>
  </w:num>
  <w:num w:numId="19" w16cid:durableId="564030406">
    <w:abstractNumId w:val="10"/>
  </w:num>
  <w:num w:numId="20" w16cid:durableId="713696498">
    <w:abstractNumId w:val="11"/>
  </w:num>
  <w:num w:numId="21" w16cid:durableId="1982609545">
    <w:abstractNumId w:val="12"/>
  </w:num>
  <w:num w:numId="22" w16cid:durableId="668754591">
    <w:abstractNumId w:val="13"/>
  </w:num>
  <w:num w:numId="23" w16cid:durableId="1164735988">
    <w:abstractNumId w:val="14"/>
  </w:num>
  <w:num w:numId="24" w16cid:durableId="2079670276">
    <w:abstractNumId w:val="15"/>
  </w:num>
  <w:num w:numId="25" w16cid:durableId="1504735091">
    <w:abstractNumId w:val="16"/>
  </w:num>
  <w:num w:numId="26" w16cid:durableId="225531269">
    <w:abstractNumId w:val="19"/>
  </w:num>
  <w:num w:numId="27" w16cid:durableId="737023220">
    <w:abstractNumId w:val="20"/>
  </w:num>
  <w:num w:numId="28" w16cid:durableId="767240662">
    <w:abstractNumId w:val="23"/>
  </w:num>
  <w:num w:numId="29" w16cid:durableId="1988581991">
    <w:abstractNumId w:val="24"/>
  </w:num>
  <w:num w:numId="30" w16cid:durableId="2077052072">
    <w:abstractNumId w:val="25"/>
  </w:num>
  <w:num w:numId="31" w16cid:durableId="252519949">
    <w:abstractNumId w:val="27"/>
  </w:num>
  <w:num w:numId="32" w16cid:durableId="946812509">
    <w:abstractNumId w:val="30"/>
  </w:num>
  <w:num w:numId="33" w16cid:durableId="1777863972">
    <w:abstractNumId w:val="32"/>
  </w:num>
  <w:num w:numId="34" w16cid:durableId="2033602566">
    <w:abstractNumId w:val="33"/>
  </w:num>
  <w:num w:numId="35" w16cid:durableId="1381393191">
    <w:abstractNumId w:val="34"/>
  </w:num>
  <w:num w:numId="36" w16cid:durableId="1324897914">
    <w:abstractNumId w:val="35"/>
  </w:num>
  <w:num w:numId="37" w16cid:durableId="405107908">
    <w:abstractNumId w:val="36"/>
  </w:num>
  <w:num w:numId="38" w16cid:durableId="666595650">
    <w:abstractNumId w:val="37"/>
  </w:num>
  <w:num w:numId="39" w16cid:durableId="1362318683">
    <w:abstractNumId w:val="38"/>
  </w:num>
  <w:num w:numId="40" w16cid:durableId="388310001">
    <w:abstractNumId w:val="41"/>
  </w:num>
  <w:num w:numId="41" w16cid:durableId="37241337">
    <w:abstractNumId w:val="42"/>
  </w:num>
  <w:num w:numId="42" w16cid:durableId="1790318712">
    <w:abstractNumId w:val="50"/>
  </w:num>
  <w:num w:numId="43" w16cid:durableId="1566407437">
    <w:abstractNumId w:val="52"/>
  </w:num>
  <w:num w:numId="44" w16cid:durableId="276525886">
    <w:abstractNumId w:val="53"/>
  </w:num>
  <w:num w:numId="45" w16cid:durableId="1372539413">
    <w:abstractNumId w:val="54"/>
  </w:num>
  <w:num w:numId="46" w16cid:durableId="443430678">
    <w:abstractNumId w:val="55"/>
  </w:num>
  <w:num w:numId="47" w16cid:durableId="1106729365">
    <w:abstractNumId w:val="57"/>
  </w:num>
  <w:num w:numId="48" w16cid:durableId="1984119927">
    <w:abstractNumId w:val="58"/>
  </w:num>
  <w:num w:numId="49" w16cid:durableId="1969624573">
    <w:abstractNumId w:val="59"/>
  </w:num>
  <w:num w:numId="50" w16cid:durableId="1323192634">
    <w:abstractNumId w:val="60"/>
  </w:num>
  <w:num w:numId="51" w16cid:durableId="1358850946">
    <w:abstractNumId w:val="61"/>
  </w:num>
  <w:num w:numId="52" w16cid:durableId="1739596497">
    <w:abstractNumId w:val="21"/>
  </w:num>
  <w:num w:numId="53" w16cid:durableId="63531161">
    <w:abstractNumId w:val="43"/>
  </w:num>
  <w:num w:numId="54" w16cid:durableId="1351418108">
    <w:abstractNumId w:val="46"/>
  </w:num>
  <w:num w:numId="55" w16cid:durableId="1701660327">
    <w:abstractNumId w:val="26"/>
  </w:num>
  <w:num w:numId="56" w16cid:durableId="1044672423">
    <w:abstractNumId w:val="48"/>
  </w:num>
  <w:num w:numId="57" w16cid:durableId="282275581">
    <w:abstractNumId w:val="49"/>
  </w:num>
  <w:num w:numId="58" w16cid:durableId="910307865">
    <w:abstractNumId w:val="47"/>
  </w:num>
  <w:num w:numId="59" w16cid:durableId="1192843658">
    <w:abstractNumId w:val="28"/>
  </w:num>
  <w:num w:numId="60" w16cid:durableId="324667314">
    <w:abstractNumId w:val="17"/>
  </w:num>
  <w:num w:numId="61" w16cid:durableId="562645078">
    <w:abstractNumId w:val="31"/>
  </w:num>
  <w:num w:numId="62" w16cid:durableId="1991517239">
    <w:abstractNumId w:val="5"/>
  </w:num>
  <w:num w:numId="63" w16cid:durableId="622267574">
    <w:abstractNumId w:val="5"/>
    <w:lvlOverride w:ilvl="0">
      <w:startOverride w:val="1"/>
    </w:lvlOverride>
  </w:num>
  <w:num w:numId="64" w16cid:durableId="94446164">
    <w:abstractNumId w:val="49"/>
    <w:lvlOverride w:ilvl="0">
      <w:startOverride w:val="1"/>
    </w:lvlOverride>
  </w:num>
  <w:num w:numId="65" w16cid:durableId="587080820">
    <w:abstractNumId w:val="49"/>
    <w:lvlOverride w:ilvl="0">
      <w:startOverride w:val="1"/>
    </w:lvlOverride>
  </w:num>
  <w:num w:numId="66" w16cid:durableId="159902140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6846227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3129117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CDA"/>
    <w:rsid w:val="00005DD2"/>
    <w:rsid w:val="00006896"/>
    <w:rsid w:val="00006E1F"/>
    <w:rsid w:val="000070D7"/>
    <w:rsid w:val="000106DC"/>
    <w:rsid w:val="00010F1C"/>
    <w:rsid w:val="00011096"/>
    <w:rsid w:val="0001270D"/>
    <w:rsid w:val="00015735"/>
    <w:rsid w:val="000158FD"/>
    <w:rsid w:val="00017437"/>
    <w:rsid w:val="0001788C"/>
    <w:rsid w:val="000220D5"/>
    <w:rsid w:val="00023752"/>
    <w:rsid w:val="000257EF"/>
    <w:rsid w:val="000266A4"/>
    <w:rsid w:val="00027A6B"/>
    <w:rsid w:val="00030F24"/>
    <w:rsid w:val="000319B6"/>
    <w:rsid w:val="00032214"/>
    <w:rsid w:val="00032589"/>
    <w:rsid w:val="00040C3A"/>
    <w:rsid w:val="00043BE7"/>
    <w:rsid w:val="00044112"/>
    <w:rsid w:val="00046F61"/>
    <w:rsid w:val="00054BE4"/>
    <w:rsid w:val="0006317A"/>
    <w:rsid w:val="0006565A"/>
    <w:rsid w:val="00066EA8"/>
    <w:rsid w:val="00067A5D"/>
    <w:rsid w:val="000716C5"/>
    <w:rsid w:val="00075E23"/>
    <w:rsid w:val="00076A53"/>
    <w:rsid w:val="0008537A"/>
    <w:rsid w:val="000864BE"/>
    <w:rsid w:val="0008768F"/>
    <w:rsid w:val="00090E1A"/>
    <w:rsid w:val="000911CE"/>
    <w:rsid w:val="00092520"/>
    <w:rsid w:val="0009297F"/>
    <w:rsid w:val="0009344A"/>
    <w:rsid w:val="0009539B"/>
    <w:rsid w:val="00096A49"/>
    <w:rsid w:val="000A0055"/>
    <w:rsid w:val="000A34C9"/>
    <w:rsid w:val="000A392E"/>
    <w:rsid w:val="000A39E4"/>
    <w:rsid w:val="000A575F"/>
    <w:rsid w:val="000A576A"/>
    <w:rsid w:val="000A748E"/>
    <w:rsid w:val="000A7F9F"/>
    <w:rsid w:val="000B2895"/>
    <w:rsid w:val="000B5410"/>
    <w:rsid w:val="000B7F13"/>
    <w:rsid w:val="000C1C34"/>
    <w:rsid w:val="000C225D"/>
    <w:rsid w:val="000C3CD9"/>
    <w:rsid w:val="000C50F1"/>
    <w:rsid w:val="000D10DB"/>
    <w:rsid w:val="000D78A0"/>
    <w:rsid w:val="000E02EC"/>
    <w:rsid w:val="000E0C8F"/>
    <w:rsid w:val="000E2D77"/>
    <w:rsid w:val="000E5EB5"/>
    <w:rsid w:val="000F30A5"/>
    <w:rsid w:val="000F3113"/>
    <w:rsid w:val="000F35ED"/>
    <w:rsid w:val="000F4F72"/>
    <w:rsid w:val="000F5828"/>
    <w:rsid w:val="00107131"/>
    <w:rsid w:val="0010736F"/>
    <w:rsid w:val="001104AF"/>
    <w:rsid w:val="00113F73"/>
    <w:rsid w:val="00114346"/>
    <w:rsid w:val="00115BF5"/>
    <w:rsid w:val="00121CC2"/>
    <w:rsid w:val="0012213C"/>
    <w:rsid w:val="001256B8"/>
    <w:rsid w:val="00127E7C"/>
    <w:rsid w:val="00131404"/>
    <w:rsid w:val="00131431"/>
    <w:rsid w:val="00133EE5"/>
    <w:rsid w:val="00137EDB"/>
    <w:rsid w:val="00151F04"/>
    <w:rsid w:val="001606B5"/>
    <w:rsid w:val="00161D34"/>
    <w:rsid w:val="00165CF6"/>
    <w:rsid w:val="00166189"/>
    <w:rsid w:val="00167A34"/>
    <w:rsid w:val="001769FC"/>
    <w:rsid w:val="00181F34"/>
    <w:rsid w:val="00182CA9"/>
    <w:rsid w:val="00187834"/>
    <w:rsid w:val="00195604"/>
    <w:rsid w:val="00197553"/>
    <w:rsid w:val="001A043F"/>
    <w:rsid w:val="001A4728"/>
    <w:rsid w:val="001A4D23"/>
    <w:rsid w:val="001A574E"/>
    <w:rsid w:val="001A7870"/>
    <w:rsid w:val="001B3E44"/>
    <w:rsid w:val="001B4CDD"/>
    <w:rsid w:val="001B62CA"/>
    <w:rsid w:val="001B6877"/>
    <w:rsid w:val="001C05D3"/>
    <w:rsid w:val="001C103F"/>
    <w:rsid w:val="001C1B41"/>
    <w:rsid w:val="001C32DB"/>
    <w:rsid w:val="001C3D17"/>
    <w:rsid w:val="001C7CC1"/>
    <w:rsid w:val="001C7DE6"/>
    <w:rsid w:val="001D18C7"/>
    <w:rsid w:val="001D65EF"/>
    <w:rsid w:val="001E15B6"/>
    <w:rsid w:val="001F555A"/>
    <w:rsid w:val="00200A8F"/>
    <w:rsid w:val="00202589"/>
    <w:rsid w:val="00204B61"/>
    <w:rsid w:val="00211EC3"/>
    <w:rsid w:val="00212978"/>
    <w:rsid w:val="002176CA"/>
    <w:rsid w:val="00220A9F"/>
    <w:rsid w:val="0022273F"/>
    <w:rsid w:val="0022299C"/>
    <w:rsid w:val="00223BEB"/>
    <w:rsid w:val="002250A3"/>
    <w:rsid w:val="00225587"/>
    <w:rsid w:val="002266A0"/>
    <w:rsid w:val="00233603"/>
    <w:rsid w:val="002347EE"/>
    <w:rsid w:val="00235217"/>
    <w:rsid w:val="002358E6"/>
    <w:rsid w:val="00237D76"/>
    <w:rsid w:val="00242EA8"/>
    <w:rsid w:val="00246B79"/>
    <w:rsid w:val="00246D1F"/>
    <w:rsid w:val="00247403"/>
    <w:rsid w:val="00247542"/>
    <w:rsid w:val="00247C25"/>
    <w:rsid w:val="00261A07"/>
    <w:rsid w:val="00261AC6"/>
    <w:rsid w:val="0026270A"/>
    <w:rsid w:val="002638BE"/>
    <w:rsid w:val="002639D9"/>
    <w:rsid w:val="00264BED"/>
    <w:rsid w:val="00266589"/>
    <w:rsid w:val="00266B61"/>
    <w:rsid w:val="0026712A"/>
    <w:rsid w:val="002703F8"/>
    <w:rsid w:val="002704DB"/>
    <w:rsid w:val="002709B1"/>
    <w:rsid w:val="002739FB"/>
    <w:rsid w:val="0027590C"/>
    <w:rsid w:val="00276DF8"/>
    <w:rsid w:val="00277EF9"/>
    <w:rsid w:val="002827DD"/>
    <w:rsid w:val="00283D7D"/>
    <w:rsid w:val="002A0199"/>
    <w:rsid w:val="002A0AAE"/>
    <w:rsid w:val="002A188A"/>
    <w:rsid w:val="002A4CCF"/>
    <w:rsid w:val="002A5820"/>
    <w:rsid w:val="002B60A8"/>
    <w:rsid w:val="002C6800"/>
    <w:rsid w:val="002D11CA"/>
    <w:rsid w:val="002D2B26"/>
    <w:rsid w:val="002D7EA2"/>
    <w:rsid w:val="002E187C"/>
    <w:rsid w:val="002E42F1"/>
    <w:rsid w:val="002E4AEA"/>
    <w:rsid w:val="002E6CDC"/>
    <w:rsid w:val="002F195C"/>
    <w:rsid w:val="00300A44"/>
    <w:rsid w:val="00302733"/>
    <w:rsid w:val="00303D52"/>
    <w:rsid w:val="003046E5"/>
    <w:rsid w:val="00304D6B"/>
    <w:rsid w:val="003057A9"/>
    <w:rsid w:val="00306D68"/>
    <w:rsid w:val="00307ABC"/>
    <w:rsid w:val="0031160D"/>
    <w:rsid w:val="00314078"/>
    <w:rsid w:val="0031535D"/>
    <w:rsid w:val="00315A6E"/>
    <w:rsid w:val="00316E26"/>
    <w:rsid w:val="00322B86"/>
    <w:rsid w:val="00323E53"/>
    <w:rsid w:val="003267B9"/>
    <w:rsid w:val="0032742E"/>
    <w:rsid w:val="0033028D"/>
    <w:rsid w:val="0033169F"/>
    <w:rsid w:val="00346C95"/>
    <w:rsid w:val="00355091"/>
    <w:rsid w:val="00355DCC"/>
    <w:rsid w:val="00356185"/>
    <w:rsid w:val="003567E6"/>
    <w:rsid w:val="00360380"/>
    <w:rsid w:val="00361415"/>
    <w:rsid w:val="003617C9"/>
    <w:rsid w:val="003621DD"/>
    <w:rsid w:val="0036232B"/>
    <w:rsid w:val="00363049"/>
    <w:rsid w:val="003640F9"/>
    <w:rsid w:val="00365872"/>
    <w:rsid w:val="00367458"/>
    <w:rsid w:val="00370F68"/>
    <w:rsid w:val="0037519E"/>
    <w:rsid w:val="003761CE"/>
    <w:rsid w:val="003803D7"/>
    <w:rsid w:val="00386CF0"/>
    <w:rsid w:val="003973E8"/>
    <w:rsid w:val="003A0EAC"/>
    <w:rsid w:val="003A388C"/>
    <w:rsid w:val="003B0B55"/>
    <w:rsid w:val="003B1D16"/>
    <w:rsid w:val="003B2CEA"/>
    <w:rsid w:val="003B365A"/>
    <w:rsid w:val="003B3F8C"/>
    <w:rsid w:val="003B5F32"/>
    <w:rsid w:val="003B7ED7"/>
    <w:rsid w:val="003C053F"/>
    <w:rsid w:val="003C470F"/>
    <w:rsid w:val="003C676B"/>
    <w:rsid w:val="003C7DD3"/>
    <w:rsid w:val="003D3BC2"/>
    <w:rsid w:val="003D5660"/>
    <w:rsid w:val="003D61B7"/>
    <w:rsid w:val="003D67C7"/>
    <w:rsid w:val="003D7C03"/>
    <w:rsid w:val="003E26A0"/>
    <w:rsid w:val="003E328F"/>
    <w:rsid w:val="003E432F"/>
    <w:rsid w:val="003E6CA1"/>
    <w:rsid w:val="003E7383"/>
    <w:rsid w:val="003E77C4"/>
    <w:rsid w:val="003F4419"/>
    <w:rsid w:val="003F4C70"/>
    <w:rsid w:val="003F7183"/>
    <w:rsid w:val="003F725B"/>
    <w:rsid w:val="003F7F64"/>
    <w:rsid w:val="00403C18"/>
    <w:rsid w:val="00410BAB"/>
    <w:rsid w:val="004165C2"/>
    <w:rsid w:val="00425CDF"/>
    <w:rsid w:val="00426114"/>
    <w:rsid w:val="0042653A"/>
    <w:rsid w:val="0042782C"/>
    <w:rsid w:val="004348AA"/>
    <w:rsid w:val="00434DA4"/>
    <w:rsid w:val="0043663D"/>
    <w:rsid w:val="004371F3"/>
    <w:rsid w:val="00437655"/>
    <w:rsid w:val="00441ECB"/>
    <w:rsid w:val="00445972"/>
    <w:rsid w:val="00447FD3"/>
    <w:rsid w:val="004502CA"/>
    <w:rsid w:val="00454579"/>
    <w:rsid w:val="00456515"/>
    <w:rsid w:val="00461D3E"/>
    <w:rsid w:val="004621F6"/>
    <w:rsid w:val="00463CEE"/>
    <w:rsid w:val="00463DE0"/>
    <w:rsid w:val="0046446B"/>
    <w:rsid w:val="00467B7E"/>
    <w:rsid w:val="00471BA9"/>
    <w:rsid w:val="0047697B"/>
    <w:rsid w:val="00477279"/>
    <w:rsid w:val="00477592"/>
    <w:rsid w:val="00482EC8"/>
    <w:rsid w:val="00486F1C"/>
    <w:rsid w:val="004938F1"/>
    <w:rsid w:val="0049419D"/>
    <w:rsid w:val="00494B71"/>
    <w:rsid w:val="004A5DD4"/>
    <w:rsid w:val="004B1C8A"/>
    <w:rsid w:val="004B3EC7"/>
    <w:rsid w:val="004C20D2"/>
    <w:rsid w:val="004C299F"/>
    <w:rsid w:val="004C2E56"/>
    <w:rsid w:val="004C4B62"/>
    <w:rsid w:val="004C54C9"/>
    <w:rsid w:val="004C6867"/>
    <w:rsid w:val="004C790D"/>
    <w:rsid w:val="004D195F"/>
    <w:rsid w:val="004D2720"/>
    <w:rsid w:val="004D31DD"/>
    <w:rsid w:val="004D4468"/>
    <w:rsid w:val="004D6025"/>
    <w:rsid w:val="004D6618"/>
    <w:rsid w:val="004E024F"/>
    <w:rsid w:val="004E2649"/>
    <w:rsid w:val="004E51DE"/>
    <w:rsid w:val="004F36A3"/>
    <w:rsid w:val="004F47A6"/>
    <w:rsid w:val="004F49F9"/>
    <w:rsid w:val="004F627D"/>
    <w:rsid w:val="004F73DF"/>
    <w:rsid w:val="00501399"/>
    <w:rsid w:val="00501F60"/>
    <w:rsid w:val="00503D49"/>
    <w:rsid w:val="0050633D"/>
    <w:rsid w:val="005064F1"/>
    <w:rsid w:val="00507BC4"/>
    <w:rsid w:val="00510A24"/>
    <w:rsid w:val="005128E4"/>
    <w:rsid w:val="005133DB"/>
    <w:rsid w:val="005138C7"/>
    <w:rsid w:val="00525560"/>
    <w:rsid w:val="00526998"/>
    <w:rsid w:val="005269D1"/>
    <w:rsid w:val="00530703"/>
    <w:rsid w:val="005354F3"/>
    <w:rsid w:val="00536923"/>
    <w:rsid w:val="00540B3F"/>
    <w:rsid w:val="00540C82"/>
    <w:rsid w:val="005430CE"/>
    <w:rsid w:val="00544C49"/>
    <w:rsid w:val="005466EC"/>
    <w:rsid w:val="005516A1"/>
    <w:rsid w:val="00552C7C"/>
    <w:rsid w:val="005552AB"/>
    <w:rsid w:val="005572EF"/>
    <w:rsid w:val="0056538A"/>
    <w:rsid w:val="00565744"/>
    <w:rsid w:val="0057402A"/>
    <w:rsid w:val="005771D0"/>
    <w:rsid w:val="005827A7"/>
    <w:rsid w:val="00585495"/>
    <w:rsid w:val="0059191A"/>
    <w:rsid w:val="005921FF"/>
    <w:rsid w:val="005937F1"/>
    <w:rsid w:val="00595C1D"/>
    <w:rsid w:val="005961D9"/>
    <w:rsid w:val="005A1DC2"/>
    <w:rsid w:val="005A6C62"/>
    <w:rsid w:val="005A6D0E"/>
    <w:rsid w:val="005A6FE3"/>
    <w:rsid w:val="005B2258"/>
    <w:rsid w:val="005B52B0"/>
    <w:rsid w:val="005B6806"/>
    <w:rsid w:val="005B77ED"/>
    <w:rsid w:val="005B7820"/>
    <w:rsid w:val="005C0494"/>
    <w:rsid w:val="005C1647"/>
    <w:rsid w:val="005C4225"/>
    <w:rsid w:val="005C4CA5"/>
    <w:rsid w:val="005C67BB"/>
    <w:rsid w:val="005D0DB1"/>
    <w:rsid w:val="005D2B31"/>
    <w:rsid w:val="005D67B8"/>
    <w:rsid w:val="005D7146"/>
    <w:rsid w:val="005D7795"/>
    <w:rsid w:val="005F0DAD"/>
    <w:rsid w:val="005F0F33"/>
    <w:rsid w:val="005F2A7B"/>
    <w:rsid w:val="005F309E"/>
    <w:rsid w:val="00600DEB"/>
    <w:rsid w:val="00602BA0"/>
    <w:rsid w:val="00604C10"/>
    <w:rsid w:val="006125C3"/>
    <w:rsid w:val="00613E66"/>
    <w:rsid w:val="006212B3"/>
    <w:rsid w:val="00624987"/>
    <w:rsid w:val="00627C9F"/>
    <w:rsid w:val="006311E9"/>
    <w:rsid w:val="00632354"/>
    <w:rsid w:val="006327A9"/>
    <w:rsid w:val="00640C93"/>
    <w:rsid w:val="00640E08"/>
    <w:rsid w:val="00642810"/>
    <w:rsid w:val="00644885"/>
    <w:rsid w:val="00645038"/>
    <w:rsid w:val="00645348"/>
    <w:rsid w:val="00646274"/>
    <w:rsid w:val="00647FCE"/>
    <w:rsid w:val="00652333"/>
    <w:rsid w:val="00655B8E"/>
    <w:rsid w:val="00655FE7"/>
    <w:rsid w:val="0068009E"/>
    <w:rsid w:val="00681C00"/>
    <w:rsid w:val="00681EE8"/>
    <w:rsid w:val="00683EDE"/>
    <w:rsid w:val="00692219"/>
    <w:rsid w:val="00697D86"/>
    <w:rsid w:val="006A17D2"/>
    <w:rsid w:val="006A3810"/>
    <w:rsid w:val="006A4B39"/>
    <w:rsid w:val="006A5489"/>
    <w:rsid w:val="006A5E13"/>
    <w:rsid w:val="006A73E6"/>
    <w:rsid w:val="006A74FA"/>
    <w:rsid w:val="006B2D5C"/>
    <w:rsid w:val="006B4D40"/>
    <w:rsid w:val="006B5899"/>
    <w:rsid w:val="006B7195"/>
    <w:rsid w:val="006C1A20"/>
    <w:rsid w:val="006C3575"/>
    <w:rsid w:val="006C4C94"/>
    <w:rsid w:val="006C4EB1"/>
    <w:rsid w:val="006E0166"/>
    <w:rsid w:val="006E52FA"/>
    <w:rsid w:val="006E7B34"/>
    <w:rsid w:val="006F305B"/>
    <w:rsid w:val="006F54E9"/>
    <w:rsid w:val="00704F0D"/>
    <w:rsid w:val="0070697F"/>
    <w:rsid w:val="007110B9"/>
    <w:rsid w:val="0072199C"/>
    <w:rsid w:val="00722C9F"/>
    <w:rsid w:val="00725161"/>
    <w:rsid w:val="007253B8"/>
    <w:rsid w:val="00727475"/>
    <w:rsid w:val="00731FFF"/>
    <w:rsid w:val="00735CAE"/>
    <w:rsid w:val="0073631B"/>
    <w:rsid w:val="0073741F"/>
    <w:rsid w:val="0073793F"/>
    <w:rsid w:val="00750254"/>
    <w:rsid w:val="00753409"/>
    <w:rsid w:val="00762485"/>
    <w:rsid w:val="0076643F"/>
    <w:rsid w:val="007668F7"/>
    <w:rsid w:val="00771AB8"/>
    <w:rsid w:val="00772227"/>
    <w:rsid w:val="00773302"/>
    <w:rsid w:val="007748B6"/>
    <w:rsid w:val="0077580F"/>
    <w:rsid w:val="00777F63"/>
    <w:rsid w:val="0078070F"/>
    <w:rsid w:val="007827C1"/>
    <w:rsid w:val="00784999"/>
    <w:rsid w:val="00785EB0"/>
    <w:rsid w:val="00791FEF"/>
    <w:rsid w:val="007942A7"/>
    <w:rsid w:val="007A3FFE"/>
    <w:rsid w:val="007A5817"/>
    <w:rsid w:val="007B0E40"/>
    <w:rsid w:val="007B1F28"/>
    <w:rsid w:val="007B60E9"/>
    <w:rsid w:val="007B6CC3"/>
    <w:rsid w:val="007B73E1"/>
    <w:rsid w:val="007C3334"/>
    <w:rsid w:val="007C756A"/>
    <w:rsid w:val="007D0F0D"/>
    <w:rsid w:val="007D1042"/>
    <w:rsid w:val="007D27E6"/>
    <w:rsid w:val="007D2B98"/>
    <w:rsid w:val="007D4297"/>
    <w:rsid w:val="007E13F0"/>
    <w:rsid w:val="007E183F"/>
    <w:rsid w:val="007E21BC"/>
    <w:rsid w:val="007E59BE"/>
    <w:rsid w:val="007F743F"/>
    <w:rsid w:val="007F7E9A"/>
    <w:rsid w:val="008014DC"/>
    <w:rsid w:val="00803F1C"/>
    <w:rsid w:val="0080600E"/>
    <w:rsid w:val="00807CAC"/>
    <w:rsid w:val="00810A92"/>
    <w:rsid w:val="00811E25"/>
    <w:rsid w:val="0081205E"/>
    <w:rsid w:val="00813005"/>
    <w:rsid w:val="00815021"/>
    <w:rsid w:val="008163D5"/>
    <w:rsid w:val="00817612"/>
    <w:rsid w:val="00821035"/>
    <w:rsid w:val="008217E6"/>
    <w:rsid w:val="00822175"/>
    <w:rsid w:val="00824132"/>
    <w:rsid w:val="008266A7"/>
    <w:rsid w:val="0083046E"/>
    <w:rsid w:val="008338A4"/>
    <w:rsid w:val="00835116"/>
    <w:rsid w:val="00837185"/>
    <w:rsid w:val="00837C45"/>
    <w:rsid w:val="00844082"/>
    <w:rsid w:val="00844106"/>
    <w:rsid w:val="00844730"/>
    <w:rsid w:val="008457C2"/>
    <w:rsid w:val="00850DB7"/>
    <w:rsid w:val="008566BC"/>
    <w:rsid w:val="00857A82"/>
    <w:rsid w:val="00861FB3"/>
    <w:rsid w:val="00865597"/>
    <w:rsid w:val="00866BFB"/>
    <w:rsid w:val="00873836"/>
    <w:rsid w:val="008805E1"/>
    <w:rsid w:val="00885737"/>
    <w:rsid w:val="0088799D"/>
    <w:rsid w:val="00890650"/>
    <w:rsid w:val="00890CA2"/>
    <w:rsid w:val="00896C71"/>
    <w:rsid w:val="00897E12"/>
    <w:rsid w:val="008A078F"/>
    <w:rsid w:val="008A20E0"/>
    <w:rsid w:val="008A7E0F"/>
    <w:rsid w:val="008B12F5"/>
    <w:rsid w:val="008B7F23"/>
    <w:rsid w:val="008C1DAD"/>
    <w:rsid w:val="008C3098"/>
    <w:rsid w:val="008C4951"/>
    <w:rsid w:val="008C7015"/>
    <w:rsid w:val="008D1665"/>
    <w:rsid w:val="008D2EB9"/>
    <w:rsid w:val="008D35D2"/>
    <w:rsid w:val="008D4242"/>
    <w:rsid w:val="008D4B73"/>
    <w:rsid w:val="008D7189"/>
    <w:rsid w:val="008D768D"/>
    <w:rsid w:val="008E0E2E"/>
    <w:rsid w:val="008E2E59"/>
    <w:rsid w:val="008E3378"/>
    <w:rsid w:val="008E3759"/>
    <w:rsid w:val="008E46C1"/>
    <w:rsid w:val="008F1912"/>
    <w:rsid w:val="008F1B28"/>
    <w:rsid w:val="008F43FD"/>
    <w:rsid w:val="008F497D"/>
    <w:rsid w:val="008F604B"/>
    <w:rsid w:val="008F6B18"/>
    <w:rsid w:val="009014A4"/>
    <w:rsid w:val="0090270B"/>
    <w:rsid w:val="009041DC"/>
    <w:rsid w:val="00907C20"/>
    <w:rsid w:val="00910791"/>
    <w:rsid w:val="009113FE"/>
    <w:rsid w:val="0091358E"/>
    <w:rsid w:val="00914565"/>
    <w:rsid w:val="00914740"/>
    <w:rsid w:val="0091620E"/>
    <w:rsid w:val="00917B5A"/>
    <w:rsid w:val="00920A58"/>
    <w:rsid w:val="00920A8C"/>
    <w:rsid w:val="0092111F"/>
    <w:rsid w:val="009306E9"/>
    <w:rsid w:val="009325E4"/>
    <w:rsid w:val="009344ED"/>
    <w:rsid w:val="00934A2C"/>
    <w:rsid w:val="00937F4D"/>
    <w:rsid w:val="00941189"/>
    <w:rsid w:val="00941C6B"/>
    <w:rsid w:val="00942651"/>
    <w:rsid w:val="0094623F"/>
    <w:rsid w:val="00951CBC"/>
    <w:rsid w:val="00955168"/>
    <w:rsid w:val="009609E8"/>
    <w:rsid w:val="00961698"/>
    <w:rsid w:val="00963AB8"/>
    <w:rsid w:val="009649D6"/>
    <w:rsid w:val="009649DC"/>
    <w:rsid w:val="0096706E"/>
    <w:rsid w:val="00975797"/>
    <w:rsid w:val="00975C4E"/>
    <w:rsid w:val="0097642C"/>
    <w:rsid w:val="0097645E"/>
    <w:rsid w:val="009765F1"/>
    <w:rsid w:val="00981FBA"/>
    <w:rsid w:val="009827A7"/>
    <w:rsid w:val="00990FA8"/>
    <w:rsid w:val="009916D3"/>
    <w:rsid w:val="00991866"/>
    <w:rsid w:val="00993879"/>
    <w:rsid w:val="00997275"/>
    <w:rsid w:val="00997BC5"/>
    <w:rsid w:val="00997D54"/>
    <w:rsid w:val="009A0BE3"/>
    <w:rsid w:val="009A33C5"/>
    <w:rsid w:val="009A4F41"/>
    <w:rsid w:val="009A5E52"/>
    <w:rsid w:val="009B2DFF"/>
    <w:rsid w:val="009B381B"/>
    <w:rsid w:val="009B506F"/>
    <w:rsid w:val="009B54B5"/>
    <w:rsid w:val="009B5807"/>
    <w:rsid w:val="009B7CD6"/>
    <w:rsid w:val="009C0969"/>
    <w:rsid w:val="009C43AB"/>
    <w:rsid w:val="009C4EAA"/>
    <w:rsid w:val="009C6BD2"/>
    <w:rsid w:val="009C7481"/>
    <w:rsid w:val="009D00C1"/>
    <w:rsid w:val="009D0E64"/>
    <w:rsid w:val="009D1753"/>
    <w:rsid w:val="009D3279"/>
    <w:rsid w:val="009D41F5"/>
    <w:rsid w:val="009D7611"/>
    <w:rsid w:val="009E0B61"/>
    <w:rsid w:val="009E46F2"/>
    <w:rsid w:val="009E53DE"/>
    <w:rsid w:val="00A0068C"/>
    <w:rsid w:val="00A00D0A"/>
    <w:rsid w:val="00A0143D"/>
    <w:rsid w:val="00A03A30"/>
    <w:rsid w:val="00A10DEC"/>
    <w:rsid w:val="00A114C1"/>
    <w:rsid w:val="00A14E25"/>
    <w:rsid w:val="00A25496"/>
    <w:rsid w:val="00A2598E"/>
    <w:rsid w:val="00A25F88"/>
    <w:rsid w:val="00A26A03"/>
    <w:rsid w:val="00A328B3"/>
    <w:rsid w:val="00A32EA9"/>
    <w:rsid w:val="00A3399C"/>
    <w:rsid w:val="00A33B1E"/>
    <w:rsid w:val="00A36D00"/>
    <w:rsid w:val="00A4057E"/>
    <w:rsid w:val="00A4212E"/>
    <w:rsid w:val="00A47F90"/>
    <w:rsid w:val="00A50F29"/>
    <w:rsid w:val="00A50FCF"/>
    <w:rsid w:val="00A528D1"/>
    <w:rsid w:val="00A553F0"/>
    <w:rsid w:val="00A610CD"/>
    <w:rsid w:val="00A611D1"/>
    <w:rsid w:val="00A6344C"/>
    <w:rsid w:val="00A66E7F"/>
    <w:rsid w:val="00A7047B"/>
    <w:rsid w:val="00A707DB"/>
    <w:rsid w:val="00A71B83"/>
    <w:rsid w:val="00A72532"/>
    <w:rsid w:val="00A75681"/>
    <w:rsid w:val="00A75E63"/>
    <w:rsid w:val="00A814FA"/>
    <w:rsid w:val="00A82717"/>
    <w:rsid w:val="00A8644A"/>
    <w:rsid w:val="00A8681F"/>
    <w:rsid w:val="00A903F0"/>
    <w:rsid w:val="00A948F9"/>
    <w:rsid w:val="00A954D7"/>
    <w:rsid w:val="00A967EC"/>
    <w:rsid w:val="00AA09A2"/>
    <w:rsid w:val="00AA53A2"/>
    <w:rsid w:val="00AA6562"/>
    <w:rsid w:val="00AA7080"/>
    <w:rsid w:val="00AA7996"/>
    <w:rsid w:val="00AB0D73"/>
    <w:rsid w:val="00AB2D93"/>
    <w:rsid w:val="00AC19CB"/>
    <w:rsid w:val="00AC2DD7"/>
    <w:rsid w:val="00AC55D4"/>
    <w:rsid w:val="00AD26B5"/>
    <w:rsid w:val="00AE090A"/>
    <w:rsid w:val="00AE4046"/>
    <w:rsid w:val="00AE5488"/>
    <w:rsid w:val="00AE6F91"/>
    <w:rsid w:val="00AE7974"/>
    <w:rsid w:val="00AF1F57"/>
    <w:rsid w:val="00AF2A4A"/>
    <w:rsid w:val="00AF5571"/>
    <w:rsid w:val="00AF7988"/>
    <w:rsid w:val="00B0001E"/>
    <w:rsid w:val="00B009F0"/>
    <w:rsid w:val="00B00E22"/>
    <w:rsid w:val="00B02243"/>
    <w:rsid w:val="00B05E14"/>
    <w:rsid w:val="00B07184"/>
    <w:rsid w:val="00B07341"/>
    <w:rsid w:val="00B20AB1"/>
    <w:rsid w:val="00B22D02"/>
    <w:rsid w:val="00B30539"/>
    <w:rsid w:val="00B314DB"/>
    <w:rsid w:val="00B320D3"/>
    <w:rsid w:val="00B34C9C"/>
    <w:rsid w:val="00B34CE7"/>
    <w:rsid w:val="00B361F2"/>
    <w:rsid w:val="00B3718B"/>
    <w:rsid w:val="00B40275"/>
    <w:rsid w:val="00B405AB"/>
    <w:rsid w:val="00B4426F"/>
    <w:rsid w:val="00B44329"/>
    <w:rsid w:val="00B447B6"/>
    <w:rsid w:val="00B4632A"/>
    <w:rsid w:val="00B50F66"/>
    <w:rsid w:val="00B5107C"/>
    <w:rsid w:val="00B513B1"/>
    <w:rsid w:val="00B51715"/>
    <w:rsid w:val="00B530F1"/>
    <w:rsid w:val="00B54658"/>
    <w:rsid w:val="00B54A0C"/>
    <w:rsid w:val="00B553E8"/>
    <w:rsid w:val="00B632D6"/>
    <w:rsid w:val="00B677F1"/>
    <w:rsid w:val="00B67999"/>
    <w:rsid w:val="00B706C4"/>
    <w:rsid w:val="00B74AF5"/>
    <w:rsid w:val="00B82A24"/>
    <w:rsid w:val="00B92BD3"/>
    <w:rsid w:val="00B930C1"/>
    <w:rsid w:val="00B95FFB"/>
    <w:rsid w:val="00B97006"/>
    <w:rsid w:val="00BA276C"/>
    <w:rsid w:val="00BA461E"/>
    <w:rsid w:val="00BA67A4"/>
    <w:rsid w:val="00BB01FB"/>
    <w:rsid w:val="00BB0EB4"/>
    <w:rsid w:val="00BB306F"/>
    <w:rsid w:val="00BB43E0"/>
    <w:rsid w:val="00BB5D01"/>
    <w:rsid w:val="00BB5D05"/>
    <w:rsid w:val="00BB68C2"/>
    <w:rsid w:val="00BC1180"/>
    <w:rsid w:val="00BC3D6D"/>
    <w:rsid w:val="00BD4B89"/>
    <w:rsid w:val="00BD6C53"/>
    <w:rsid w:val="00BE35A4"/>
    <w:rsid w:val="00BE5D98"/>
    <w:rsid w:val="00BE7937"/>
    <w:rsid w:val="00BF02CB"/>
    <w:rsid w:val="00BF0448"/>
    <w:rsid w:val="00BF0872"/>
    <w:rsid w:val="00BF11D3"/>
    <w:rsid w:val="00BF1664"/>
    <w:rsid w:val="00BF1791"/>
    <w:rsid w:val="00BF6FD8"/>
    <w:rsid w:val="00BF7D80"/>
    <w:rsid w:val="00BF7FAB"/>
    <w:rsid w:val="00C00755"/>
    <w:rsid w:val="00C00886"/>
    <w:rsid w:val="00C021D6"/>
    <w:rsid w:val="00C03680"/>
    <w:rsid w:val="00C03B38"/>
    <w:rsid w:val="00C03E66"/>
    <w:rsid w:val="00C054DF"/>
    <w:rsid w:val="00C10196"/>
    <w:rsid w:val="00C11C64"/>
    <w:rsid w:val="00C14A21"/>
    <w:rsid w:val="00C16598"/>
    <w:rsid w:val="00C1693A"/>
    <w:rsid w:val="00C21762"/>
    <w:rsid w:val="00C23B49"/>
    <w:rsid w:val="00C24543"/>
    <w:rsid w:val="00C24AD3"/>
    <w:rsid w:val="00C256A2"/>
    <w:rsid w:val="00C25EC4"/>
    <w:rsid w:val="00C34946"/>
    <w:rsid w:val="00C34E7C"/>
    <w:rsid w:val="00C40789"/>
    <w:rsid w:val="00C460F0"/>
    <w:rsid w:val="00C46EDB"/>
    <w:rsid w:val="00C46EE5"/>
    <w:rsid w:val="00C473AC"/>
    <w:rsid w:val="00C50243"/>
    <w:rsid w:val="00C51515"/>
    <w:rsid w:val="00C5660B"/>
    <w:rsid w:val="00C5692E"/>
    <w:rsid w:val="00C56B72"/>
    <w:rsid w:val="00C62A75"/>
    <w:rsid w:val="00C64489"/>
    <w:rsid w:val="00C66B72"/>
    <w:rsid w:val="00C72217"/>
    <w:rsid w:val="00C72652"/>
    <w:rsid w:val="00C75282"/>
    <w:rsid w:val="00C810D8"/>
    <w:rsid w:val="00C84F37"/>
    <w:rsid w:val="00C91638"/>
    <w:rsid w:val="00C9567A"/>
    <w:rsid w:val="00C963EE"/>
    <w:rsid w:val="00C97129"/>
    <w:rsid w:val="00CA1314"/>
    <w:rsid w:val="00CA29C6"/>
    <w:rsid w:val="00CA2B57"/>
    <w:rsid w:val="00CA33D3"/>
    <w:rsid w:val="00CB212D"/>
    <w:rsid w:val="00CB2583"/>
    <w:rsid w:val="00CB25C3"/>
    <w:rsid w:val="00CB2660"/>
    <w:rsid w:val="00CC2F4A"/>
    <w:rsid w:val="00CC3DB0"/>
    <w:rsid w:val="00CC5E90"/>
    <w:rsid w:val="00CC63CF"/>
    <w:rsid w:val="00CC676A"/>
    <w:rsid w:val="00CC7B38"/>
    <w:rsid w:val="00CD046C"/>
    <w:rsid w:val="00CE076C"/>
    <w:rsid w:val="00CE102D"/>
    <w:rsid w:val="00CE5199"/>
    <w:rsid w:val="00CE66D5"/>
    <w:rsid w:val="00CF04C4"/>
    <w:rsid w:val="00CF637A"/>
    <w:rsid w:val="00D059DE"/>
    <w:rsid w:val="00D07787"/>
    <w:rsid w:val="00D12193"/>
    <w:rsid w:val="00D13FCE"/>
    <w:rsid w:val="00D14302"/>
    <w:rsid w:val="00D15077"/>
    <w:rsid w:val="00D160FD"/>
    <w:rsid w:val="00D207D9"/>
    <w:rsid w:val="00D25568"/>
    <w:rsid w:val="00D27F08"/>
    <w:rsid w:val="00D306D1"/>
    <w:rsid w:val="00D33186"/>
    <w:rsid w:val="00D34786"/>
    <w:rsid w:val="00D3526F"/>
    <w:rsid w:val="00D37BFC"/>
    <w:rsid w:val="00D41732"/>
    <w:rsid w:val="00D41F9A"/>
    <w:rsid w:val="00D4204F"/>
    <w:rsid w:val="00D43258"/>
    <w:rsid w:val="00D4444A"/>
    <w:rsid w:val="00D44AA9"/>
    <w:rsid w:val="00D46916"/>
    <w:rsid w:val="00D46F6B"/>
    <w:rsid w:val="00D47A8E"/>
    <w:rsid w:val="00D50517"/>
    <w:rsid w:val="00D515D5"/>
    <w:rsid w:val="00D52D14"/>
    <w:rsid w:val="00D700A2"/>
    <w:rsid w:val="00D712D3"/>
    <w:rsid w:val="00D71422"/>
    <w:rsid w:val="00D72DC6"/>
    <w:rsid w:val="00D73373"/>
    <w:rsid w:val="00D7558D"/>
    <w:rsid w:val="00D766FB"/>
    <w:rsid w:val="00D77396"/>
    <w:rsid w:val="00D811E6"/>
    <w:rsid w:val="00D81D92"/>
    <w:rsid w:val="00D82171"/>
    <w:rsid w:val="00D82A10"/>
    <w:rsid w:val="00D83D73"/>
    <w:rsid w:val="00D94655"/>
    <w:rsid w:val="00D9589A"/>
    <w:rsid w:val="00D96E66"/>
    <w:rsid w:val="00D97533"/>
    <w:rsid w:val="00DA7B5F"/>
    <w:rsid w:val="00DC11E7"/>
    <w:rsid w:val="00DC2326"/>
    <w:rsid w:val="00DC5CBF"/>
    <w:rsid w:val="00DC5D77"/>
    <w:rsid w:val="00DC7023"/>
    <w:rsid w:val="00DC769A"/>
    <w:rsid w:val="00DD3D86"/>
    <w:rsid w:val="00DD4FF7"/>
    <w:rsid w:val="00DE0DD3"/>
    <w:rsid w:val="00DE3A31"/>
    <w:rsid w:val="00DE7322"/>
    <w:rsid w:val="00DF1721"/>
    <w:rsid w:val="00DF1EC4"/>
    <w:rsid w:val="00DF6D64"/>
    <w:rsid w:val="00DF769F"/>
    <w:rsid w:val="00E00146"/>
    <w:rsid w:val="00E0301F"/>
    <w:rsid w:val="00E0340B"/>
    <w:rsid w:val="00E04A90"/>
    <w:rsid w:val="00E101A0"/>
    <w:rsid w:val="00E125E2"/>
    <w:rsid w:val="00E13487"/>
    <w:rsid w:val="00E143F8"/>
    <w:rsid w:val="00E14A08"/>
    <w:rsid w:val="00E17D32"/>
    <w:rsid w:val="00E20F52"/>
    <w:rsid w:val="00E219C7"/>
    <w:rsid w:val="00E231CB"/>
    <w:rsid w:val="00E30625"/>
    <w:rsid w:val="00E30B3F"/>
    <w:rsid w:val="00E37172"/>
    <w:rsid w:val="00E41912"/>
    <w:rsid w:val="00E43157"/>
    <w:rsid w:val="00E433FD"/>
    <w:rsid w:val="00E444D6"/>
    <w:rsid w:val="00E45102"/>
    <w:rsid w:val="00E461CE"/>
    <w:rsid w:val="00E533DE"/>
    <w:rsid w:val="00E554D1"/>
    <w:rsid w:val="00E56E67"/>
    <w:rsid w:val="00E601D7"/>
    <w:rsid w:val="00E67837"/>
    <w:rsid w:val="00E720CA"/>
    <w:rsid w:val="00E810C3"/>
    <w:rsid w:val="00E829B8"/>
    <w:rsid w:val="00E84EB5"/>
    <w:rsid w:val="00E85618"/>
    <w:rsid w:val="00E85662"/>
    <w:rsid w:val="00E8589B"/>
    <w:rsid w:val="00E8789F"/>
    <w:rsid w:val="00E909AA"/>
    <w:rsid w:val="00E90B8A"/>
    <w:rsid w:val="00E94F44"/>
    <w:rsid w:val="00E9543F"/>
    <w:rsid w:val="00E97B71"/>
    <w:rsid w:val="00E97FD1"/>
    <w:rsid w:val="00EA04F0"/>
    <w:rsid w:val="00EA3D34"/>
    <w:rsid w:val="00EA3DAE"/>
    <w:rsid w:val="00EB2F17"/>
    <w:rsid w:val="00EB454D"/>
    <w:rsid w:val="00EB4E7C"/>
    <w:rsid w:val="00EB4EB4"/>
    <w:rsid w:val="00EC6929"/>
    <w:rsid w:val="00ED0E93"/>
    <w:rsid w:val="00ED6D2F"/>
    <w:rsid w:val="00ED76BE"/>
    <w:rsid w:val="00EE0F2E"/>
    <w:rsid w:val="00EE49F5"/>
    <w:rsid w:val="00EE7413"/>
    <w:rsid w:val="00EF1750"/>
    <w:rsid w:val="00EF5CA4"/>
    <w:rsid w:val="00EF619B"/>
    <w:rsid w:val="00F00B55"/>
    <w:rsid w:val="00F02AD1"/>
    <w:rsid w:val="00F05500"/>
    <w:rsid w:val="00F10ABA"/>
    <w:rsid w:val="00F11967"/>
    <w:rsid w:val="00F121A6"/>
    <w:rsid w:val="00F155F6"/>
    <w:rsid w:val="00F25213"/>
    <w:rsid w:val="00F253CC"/>
    <w:rsid w:val="00F25E67"/>
    <w:rsid w:val="00F2725A"/>
    <w:rsid w:val="00F3004A"/>
    <w:rsid w:val="00F32C70"/>
    <w:rsid w:val="00F33DE3"/>
    <w:rsid w:val="00F37106"/>
    <w:rsid w:val="00F47198"/>
    <w:rsid w:val="00F473EE"/>
    <w:rsid w:val="00F519CF"/>
    <w:rsid w:val="00F53070"/>
    <w:rsid w:val="00F551E4"/>
    <w:rsid w:val="00F56BA5"/>
    <w:rsid w:val="00F60E22"/>
    <w:rsid w:val="00F64407"/>
    <w:rsid w:val="00F65B15"/>
    <w:rsid w:val="00F65F7C"/>
    <w:rsid w:val="00F7222B"/>
    <w:rsid w:val="00F73104"/>
    <w:rsid w:val="00F805FB"/>
    <w:rsid w:val="00F81395"/>
    <w:rsid w:val="00F851C5"/>
    <w:rsid w:val="00F86588"/>
    <w:rsid w:val="00F902EB"/>
    <w:rsid w:val="00F917D1"/>
    <w:rsid w:val="00F9531F"/>
    <w:rsid w:val="00F9653B"/>
    <w:rsid w:val="00F973BC"/>
    <w:rsid w:val="00FA0580"/>
    <w:rsid w:val="00FA6E2C"/>
    <w:rsid w:val="00FB1110"/>
    <w:rsid w:val="00FB62CF"/>
    <w:rsid w:val="00FC1DAF"/>
    <w:rsid w:val="00FC6D5C"/>
    <w:rsid w:val="00FD08BD"/>
    <w:rsid w:val="00FD0CED"/>
    <w:rsid w:val="00FD3C3B"/>
    <w:rsid w:val="00FD5A99"/>
    <w:rsid w:val="00FE07DD"/>
    <w:rsid w:val="00FE6B45"/>
    <w:rsid w:val="00FF3FC3"/>
    <w:rsid w:val="00FF55F3"/>
    <w:rsid w:val="00FF5851"/>
    <w:rsid w:val="00FF7B79"/>
    <w:rsid w:val="010709B8"/>
    <w:rsid w:val="0135F749"/>
    <w:rsid w:val="014C1723"/>
    <w:rsid w:val="01937422"/>
    <w:rsid w:val="01A4071A"/>
    <w:rsid w:val="01B3CAC7"/>
    <w:rsid w:val="01E37122"/>
    <w:rsid w:val="01EDCAD9"/>
    <w:rsid w:val="01EF6453"/>
    <w:rsid w:val="023B7B3E"/>
    <w:rsid w:val="0245095C"/>
    <w:rsid w:val="0269E206"/>
    <w:rsid w:val="02924849"/>
    <w:rsid w:val="0313C724"/>
    <w:rsid w:val="03371BCE"/>
    <w:rsid w:val="033AD784"/>
    <w:rsid w:val="0381082C"/>
    <w:rsid w:val="0382307F"/>
    <w:rsid w:val="03879573"/>
    <w:rsid w:val="0393B2EB"/>
    <w:rsid w:val="03F652D6"/>
    <w:rsid w:val="04086A66"/>
    <w:rsid w:val="04575D93"/>
    <w:rsid w:val="0464E515"/>
    <w:rsid w:val="047C7B1E"/>
    <w:rsid w:val="04E6FB45"/>
    <w:rsid w:val="04F7440F"/>
    <w:rsid w:val="052DAF58"/>
    <w:rsid w:val="0573EF05"/>
    <w:rsid w:val="059E7836"/>
    <w:rsid w:val="0661EC32"/>
    <w:rsid w:val="069DBFCC"/>
    <w:rsid w:val="07049330"/>
    <w:rsid w:val="0744882C"/>
    <w:rsid w:val="0746B2D0"/>
    <w:rsid w:val="07760117"/>
    <w:rsid w:val="0791F135"/>
    <w:rsid w:val="07C01D29"/>
    <w:rsid w:val="07E58950"/>
    <w:rsid w:val="0827F79B"/>
    <w:rsid w:val="0869FE22"/>
    <w:rsid w:val="08786425"/>
    <w:rsid w:val="0881E715"/>
    <w:rsid w:val="099DBB15"/>
    <w:rsid w:val="09DC533D"/>
    <w:rsid w:val="09FFC1CC"/>
    <w:rsid w:val="0A1E5395"/>
    <w:rsid w:val="0A369CB4"/>
    <w:rsid w:val="0A69E643"/>
    <w:rsid w:val="0A6DC4CF"/>
    <w:rsid w:val="0A7B5753"/>
    <w:rsid w:val="0A8A028F"/>
    <w:rsid w:val="0A9F29DB"/>
    <w:rsid w:val="0AB3658F"/>
    <w:rsid w:val="0AEA01D5"/>
    <w:rsid w:val="0B2B4673"/>
    <w:rsid w:val="0B70C1E9"/>
    <w:rsid w:val="0B728D3F"/>
    <w:rsid w:val="0C1607F3"/>
    <w:rsid w:val="0C34B774"/>
    <w:rsid w:val="0C915EB7"/>
    <w:rsid w:val="0CC4D74C"/>
    <w:rsid w:val="0CD3DFF9"/>
    <w:rsid w:val="0CE19318"/>
    <w:rsid w:val="0D008B8C"/>
    <w:rsid w:val="0D4EB682"/>
    <w:rsid w:val="0D5FFFCB"/>
    <w:rsid w:val="0D934449"/>
    <w:rsid w:val="0DD3FC6A"/>
    <w:rsid w:val="0DF0C36A"/>
    <w:rsid w:val="0E2241CD"/>
    <w:rsid w:val="0E382570"/>
    <w:rsid w:val="0E5027E3"/>
    <w:rsid w:val="0E8079A5"/>
    <w:rsid w:val="0E845CB9"/>
    <w:rsid w:val="0E9A6F9B"/>
    <w:rsid w:val="0EA57D46"/>
    <w:rsid w:val="0ED62311"/>
    <w:rsid w:val="0EDEC4FB"/>
    <w:rsid w:val="0EF9F998"/>
    <w:rsid w:val="0F2E0CD4"/>
    <w:rsid w:val="0F2FB06C"/>
    <w:rsid w:val="0F34ED99"/>
    <w:rsid w:val="0F432307"/>
    <w:rsid w:val="0F594D09"/>
    <w:rsid w:val="0F9CC906"/>
    <w:rsid w:val="0FA40F00"/>
    <w:rsid w:val="0FAEDBA3"/>
    <w:rsid w:val="0FCD8A64"/>
    <w:rsid w:val="0FFCE6A5"/>
    <w:rsid w:val="10805C9A"/>
    <w:rsid w:val="10918FD4"/>
    <w:rsid w:val="10EA2A5A"/>
    <w:rsid w:val="10F88793"/>
    <w:rsid w:val="11117793"/>
    <w:rsid w:val="113DFA3A"/>
    <w:rsid w:val="1153B962"/>
    <w:rsid w:val="115F12F7"/>
    <w:rsid w:val="115F30A5"/>
    <w:rsid w:val="117B58E6"/>
    <w:rsid w:val="11D0C41C"/>
    <w:rsid w:val="11DB90C8"/>
    <w:rsid w:val="11E087F0"/>
    <w:rsid w:val="11E17E8A"/>
    <w:rsid w:val="1217B05A"/>
    <w:rsid w:val="12580ABA"/>
    <w:rsid w:val="12672C90"/>
    <w:rsid w:val="128FDEAA"/>
    <w:rsid w:val="12A62855"/>
    <w:rsid w:val="12F3E536"/>
    <w:rsid w:val="12F9CE6E"/>
    <w:rsid w:val="12FF260A"/>
    <w:rsid w:val="13348464"/>
    <w:rsid w:val="1359B2F5"/>
    <w:rsid w:val="135CD80E"/>
    <w:rsid w:val="13C5D395"/>
    <w:rsid w:val="13ECD5C3"/>
    <w:rsid w:val="141F7A11"/>
    <w:rsid w:val="1421925A"/>
    <w:rsid w:val="142C7093"/>
    <w:rsid w:val="145E46FD"/>
    <w:rsid w:val="1467B7C7"/>
    <w:rsid w:val="146AE858"/>
    <w:rsid w:val="1495DFAC"/>
    <w:rsid w:val="1499A6AE"/>
    <w:rsid w:val="1509AC6D"/>
    <w:rsid w:val="153F4604"/>
    <w:rsid w:val="15F482CE"/>
    <w:rsid w:val="163375B3"/>
    <w:rsid w:val="16544C59"/>
    <w:rsid w:val="1672D575"/>
    <w:rsid w:val="16FF7858"/>
    <w:rsid w:val="17480F90"/>
    <w:rsid w:val="17CA8F15"/>
    <w:rsid w:val="184AE539"/>
    <w:rsid w:val="184FD623"/>
    <w:rsid w:val="18580214"/>
    <w:rsid w:val="185C2A0F"/>
    <w:rsid w:val="1869E553"/>
    <w:rsid w:val="186C6F8F"/>
    <w:rsid w:val="18B71FE7"/>
    <w:rsid w:val="18C0D144"/>
    <w:rsid w:val="194C2091"/>
    <w:rsid w:val="19C4384B"/>
    <w:rsid w:val="19E14BD8"/>
    <w:rsid w:val="19F86F9A"/>
    <w:rsid w:val="1A526247"/>
    <w:rsid w:val="1A769373"/>
    <w:rsid w:val="1AC0577D"/>
    <w:rsid w:val="1AC83169"/>
    <w:rsid w:val="1AE1661C"/>
    <w:rsid w:val="1B195020"/>
    <w:rsid w:val="1BF8F23B"/>
    <w:rsid w:val="1C399F75"/>
    <w:rsid w:val="1CB31FDF"/>
    <w:rsid w:val="1CC2BED4"/>
    <w:rsid w:val="1D29F314"/>
    <w:rsid w:val="1D39AB4D"/>
    <w:rsid w:val="1D4BDAFE"/>
    <w:rsid w:val="1D778BC2"/>
    <w:rsid w:val="1E3A0857"/>
    <w:rsid w:val="1E470FD5"/>
    <w:rsid w:val="1E5E084A"/>
    <w:rsid w:val="1EB63D28"/>
    <w:rsid w:val="1EB641B4"/>
    <w:rsid w:val="1ECE4048"/>
    <w:rsid w:val="1ED3CF8F"/>
    <w:rsid w:val="1F0772AF"/>
    <w:rsid w:val="1F385811"/>
    <w:rsid w:val="1F4BC200"/>
    <w:rsid w:val="1FAD3716"/>
    <w:rsid w:val="1FBCEF08"/>
    <w:rsid w:val="20451F46"/>
    <w:rsid w:val="208B8141"/>
    <w:rsid w:val="20B170C9"/>
    <w:rsid w:val="20B6EBFC"/>
    <w:rsid w:val="20D2433A"/>
    <w:rsid w:val="214D63A7"/>
    <w:rsid w:val="21797C24"/>
    <w:rsid w:val="2187CA7B"/>
    <w:rsid w:val="21C01DE4"/>
    <w:rsid w:val="21C06605"/>
    <w:rsid w:val="21C2A668"/>
    <w:rsid w:val="21F738F6"/>
    <w:rsid w:val="21FE8643"/>
    <w:rsid w:val="2200F90C"/>
    <w:rsid w:val="22209521"/>
    <w:rsid w:val="2276BBBE"/>
    <w:rsid w:val="227A4D6E"/>
    <w:rsid w:val="227FEF64"/>
    <w:rsid w:val="2285AF86"/>
    <w:rsid w:val="22AD782F"/>
    <w:rsid w:val="22DB2448"/>
    <w:rsid w:val="230D29FD"/>
    <w:rsid w:val="232A7A38"/>
    <w:rsid w:val="2340945D"/>
    <w:rsid w:val="2356B59C"/>
    <w:rsid w:val="238F2456"/>
    <w:rsid w:val="2391891D"/>
    <w:rsid w:val="23B4CC90"/>
    <w:rsid w:val="23D02799"/>
    <w:rsid w:val="23DE4284"/>
    <w:rsid w:val="23E466D8"/>
    <w:rsid w:val="24064399"/>
    <w:rsid w:val="243CB1E2"/>
    <w:rsid w:val="244E9955"/>
    <w:rsid w:val="246908D4"/>
    <w:rsid w:val="24AE4D54"/>
    <w:rsid w:val="24C4FE43"/>
    <w:rsid w:val="250044E2"/>
    <w:rsid w:val="2553B34F"/>
    <w:rsid w:val="25587518"/>
    <w:rsid w:val="25930EF5"/>
    <w:rsid w:val="25DF309B"/>
    <w:rsid w:val="26379DDC"/>
    <w:rsid w:val="263E8D1A"/>
    <w:rsid w:val="266C7AC4"/>
    <w:rsid w:val="267362FF"/>
    <w:rsid w:val="26C44AED"/>
    <w:rsid w:val="26D8ED18"/>
    <w:rsid w:val="26DCC086"/>
    <w:rsid w:val="26E547C6"/>
    <w:rsid w:val="27170035"/>
    <w:rsid w:val="272B1798"/>
    <w:rsid w:val="272EAAC6"/>
    <w:rsid w:val="272EECF2"/>
    <w:rsid w:val="27453836"/>
    <w:rsid w:val="2749C39F"/>
    <w:rsid w:val="279CEE5F"/>
    <w:rsid w:val="27C4EDEA"/>
    <w:rsid w:val="27C8970B"/>
    <w:rsid w:val="28485530"/>
    <w:rsid w:val="288C124F"/>
    <w:rsid w:val="28965081"/>
    <w:rsid w:val="28D76B27"/>
    <w:rsid w:val="2914815E"/>
    <w:rsid w:val="291B5139"/>
    <w:rsid w:val="292D76A7"/>
    <w:rsid w:val="295B6D9C"/>
    <w:rsid w:val="29BE24F0"/>
    <w:rsid w:val="29C97A42"/>
    <w:rsid w:val="29DFBE37"/>
    <w:rsid w:val="2A0663AD"/>
    <w:rsid w:val="2A06C07E"/>
    <w:rsid w:val="2A0D3E41"/>
    <w:rsid w:val="2B1F279F"/>
    <w:rsid w:val="2B5490EA"/>
    <w:rsid w:val="2B55E9DB"/>
    <w:rsid w:val="2B822132"/>
    <w:rsid w:val="2B8B95E0"/>
    <w:rsid w:val="2B94DA66"/>
    <w:rsid w:val="2BC0CA7F"/>
    <w:rsid w:val="2BCFE6E5"/>
    <w:rsid w:val="2BE9E981"/>
    <w:rsid w:val="2BF193E6"/>
    <w:rsid w:val="2C05E326"/>
    <w:rsid w:val="2C2B8A06"/>
    <w:rsid w:val="2C876355"/>
    <w:rsid w:val="2C9D2593"/>
    <w:rsid w:val="2CAEE540"/>
    <w:rsid w:val="2CBCEB3B"/>
    <w:rsid w:val="2CD5F4F1"/>
    <w:rsid w:val="2CDB7DE1"/>
    <w:rsid w:val="2CEF7171"/>
    <w:rsid w:val="2CF04DD0"/>
    <w:rsid w:val="2D342F61"/>
    <w:rsid w:val="2D5B1211"/>
    <w:rsid w:val="2E28D2E0"/>
    <w:rsid w:val="2E5853C3"/>
    <w:rsid w:val="2E67936B"/>
    <w:rsid w:val="2E8F83E1"/>
    <w:rsid w:val="2EBB932B"/>
    <w:rsid w:val="2F07D34A"/>
    <w:rsid w:val="2F334802"/>
    <w:rsid w:val="2F8907DC"/>
    <w:rsid w:val="2FC9C0D2"/>
    <w:rsid w:val="2FDE3F46"/>
    <w:rsid w:val="2FE5FED1"/>
    <w:rsid w:val="2FFA0163"/>
    <w:rsid w:val="3017DD6E"/>
    <w:rsid w:val="30802F82"/>
    <w:rsid w:val="30B4C63E"/>
    <w:rsid w:val="3119074B"/>
    <w:rsid w:val="312CEA40"/>
    <w:rsid w:val="31313052"/>
    <w:rsid w:val="3137508D"/>
    <w:rsid w:val="31484B51"/>
    <w:rsid w:val="31946A14"/>
    <w:rsid w:val="31ABF3A9"/>
    <w:rsid w:val="31FDFCBB"/>
    <w:rsid w:val="3224DA76"/>
    <w:rsid w:val="32384CB2"/>
    <w:rsid w:val="323FDF5A"/>
    <w:rsid w:val="32445FC1"/>
    <w:rsid w:val="3255FA91"/>
    <w:rsid w:val="3260B698"/>
    <w:rsid w:val="3262477C"/>
    <w:rsid w:val="32734AB0"/>
    <w:rsid w:val="32A8CB00"/>
    <w:rsid w:val="32C1C339"/>
    <w:rsid w:val="32F1D7CF"/>
    <w:rsid w:val="33402A54"/>
    <w:rsid w:val="3347044E"/>
    <w:rsid w:val="3360E6DC"/>
    <w:rsid w:val="336552A2"/>
    <w:rsid w:val="336E7ABB"/>
    <w:rsid w:val="33EAEBDE"/>
    <w:rsid w:val="33FDA9EB"/>
    <w:rsid w:val="34349DB3"/>
    <w:rsid w:val="343898DF"/>
    <w:rsid w:val="3486B957"/>
    <w:rsid w:val="34908F7B"/>
    <w:rsid w:val="34961B7F"/>
    <w:rsid w:val="34B29144"/>
    <w:rsid w:val="34D6D66F"/>
    <w:rsid w:val="34EABA70"/>
    <w:rsid w:val="3531CB29"/>
    <w:rsid w:val="3540A4C6"/>
    <w:rsid w:val="35BD67C0"/>
    <w:rsid w:val="35DE8E49"/>
    <w:rsid w:val="35EAD851"/>
    <w:rsid w:val="360F5737"/>
    <w:rsid w:val="361DB1FE"/>
    <w:rsid w:val="363A3BB8"/>
    <w:rsid w:val="364AF2DF"/>
    <w:rsid w:val="368A7A5D"/>
    <w:rsid w:val="3691A13A"/>
    <w:rsid w:val="36B25FA8"/>
    <w:rsid w:val="3749472E"/>
    <w:rsid w:val="376EDBC7"/>
    <w:rsid w:val="37CA049A"/>
    <w:rsid w:val="37DB1CD8"/>
    <w:rsid w:val="380694CD"/>
    <w:rsid w:val="3832D34E"/>
    <w:rsid w:val="3893358F"/>
    <w:rsid w:val="389F5B5E"/>
    <w:rsid w:val="38EBD6DE"/>
    <w:rsid w:val="3938F992"/>
    <w:rsid w:val="39D80542"/>
    <w:rsid w:val="3A77DCEC"/>
    <w:rsid w:val="3A7C06EF"/>
    <w:rsid w:val="3AC732E3"/>
    <w:rsid w:val="3AD5406D"/>
    <w:rsid w:val="3AFABE9D"/>
    <w:rsid w:val="3B4AE34F"/>
    <w:rsid w:val="3B57DE31"/>
    <w:rsid w:val="3B9377E4"/>
    <w:rsid w:val="3B948788"/>
    <w:rsid w:val="3BB13747"/>
    <w:rsid w:val="3C0A8A3D"/>
    <w:rsid w:val="3C17492D"/>
    <w:rsid w:val="3C346678"/>
    <w:rsid w:val="3C5185DC"/>
    <w:rsid w:val="3C76D7AF"/>
    <w:rsid w:val="3C77BEF8"/>
    <w:rsid w:val="3D38915C"/>
    <w:rsid w:val="3D6717AE"/>
    <w:rsid w:val="3D76A237"/>
    <w:rsid w:val="3D8C96B7"/>
    <w:rsid w:val="3EB61B41"/>
    <w:rsid w:val="3EB62507"/>
    <w:rsid w:val="3F09C15B"/>
    <w:rsid w:val="3F4AD088"/>
    <w:rsid w:val="3F622B5F"/>
    <w:rsid w:val="3FB54678"/>
    <w:rsid w:val="3FBE42E5"/>
    <w:rsid w:val="3FF4395B"/>
    <w:rsid w:val="400A663D"/>
    <w:rsid w:val="401C770A"/>
    <w:rsid w:val="4020DA8B"/>
    <w:rsid w:val="4036EE73"/>
    <w:rsid w:val="403B1E0C"/>
    <w:rsid w:val="40AAF62C"/>
    <w:rsid w:val="40E6969A"/>
    <w:rsid w:val="40FB40BB"/>
    <w:rsid w:val="410007C7"/>
    <w:rsid w:val="41038E03"/>
    <w:rsid w:val="411A1C55"/>
    <w:rsid w:val="41348A5F"/>
    <w:rsid w:val="4136FDAE"/>
    <w:rsid w:val="41408214"/>
    <w:rsid w:val="414F54E5"/>
    <w:rsid w:val="416E4534"/>
    <w:rsid w:val="41778736"/>
    <w:rsid w:val="41974333"/>
    <w:rsid w:val="41E6FFAD"/>
    <w:rsid w:val="41EF9BE2"/>
    <w:rsid w:val="4243E4D5"/>
    <w:rsid w:val="4272061D"/>
    <w:rsid w:val="42D1ADC8"/>
    <w:rsid w:val="4300E6AB"/>
    <w:rsid w:val="43155C10"/>
    <w:rsid w:val="4316C78A"/>
    <w:rsid w:val="4346672D"/>
    <w:rsid w:val="434DB8F2"/>
    <w:rsid w:val="43527A96"/>
    <w:rsid w:val="4374D548"/>
    <w:rsid w:val="43C38D07"/>
    <w:rsid w:val="43CE14F5"/>
    <w:rsid w:val="43CECB50"/>
    <w:rsid w:val="43D199D6"/>
    <w:rsid w:val="43D2F32B"/>
    <w:rsid w:val="43E29662"/>
    <w:rsid w:val="43E570A8"/>
    <w:rsid w:val="44275D98"/>
    <w:rsid w:val="44278A61"/>
    <w:rsid w:val="44612DCE"/>
    <w:rsid w:val="4461A612"/>
    <w:rsid w:val="446EA409"/>
    <w:rsid w:val="446FE430"/>
    <w:rsid w:val="44C46221"/>
    <w:rsid w:val="44F9903D"/>
    <w:rsid w:val="4508125B"/>
    <w:rsid w:val="4519883D"/>
    <w:rsid w:val="453474AF"/>
    <w:rsid w:val="4586D1D5"/>
    <w:rsid w:val="459B40ED"/>
    <w:rsid w:val="45B44320"/>
    <w:rsid w:val="45D640E8"/>
    <w:rsid w:val="45EC20C7"/>
    <w:rsid w:val="46929EC7"/>
    <w:rsid w:val="46E1A2F7"/>
    <w:rsid w:val="4706F86F"/>
    <w:rsid w:val="470A03AE"/>
    <w:rsid w:val="4734279A"/>
    <w:rsid w:val="47C75DF9"/>
    <w:rsid w:val="486E1AF8"/>
    <w:rsid w:val="4895401B"/>
    <w:rsid w:val="48F57BE1"/>
    <w:rsid w:val="49209D23"/>
    <w:rsid w:val="49628CA5"/>
    <w:rsid w:val="497BC67F"/>
    <w:rsid w:val="49B0DF6F"/>
    <w:rsid w:val="49DDADDC"/>
    <w:rsid w:val="4A158D52"/>
    <w:rsid w:val="4A19BC8D"/>
    <w:rsid w:val="4ACD72EA"/>
    <w:rsid w:val="4AE38D5D"/>
    <w:rsid w:val="4AEC06F1"/>
    <w:rsid w:val="4B3B975F"/>
    <w:rsid w:val="4B50820E"/>
    <w:rsid w:val="4C4A5ABE"/>
    <w:rsid w:val="4C95823A"/>
    <w:rsid w:val="4CC3E56F"/>
    <w:rsid w:val="4CE44BB9"/>
    <w:rsid w:val="4CE6D008"/>
    <w:rsid w:val="4CF2C3FA"/>
    <w:rsid w:val="4D06B905"/>
    <w:rsid w:val="4D77C6FE"/>
    <w:rsid w:val="4DF45367"/>
    <w:rsid w:val="4E16B6DC"/>
    <w:rsid w:val="4E5C52B8"/>
    <w:rsid w:val="4E7793EE"/>
    <w:rsid w:val="4EFE3C04"/>
    <w:rsid w:val="4F202269"/>
    <w:rsid w:val="4F4BBD5E"/>
    <w:rsid w:val="4F7F3C49"/>
    <w:rsid w:val="4F9B8321"/>
    <w:rsid w:val="4FB7FA4C"/>
    <w:rsid w:val="4FD69E7B"/>
    <w:rsid w:val="5034521C"/>
    <w:rsid w:val="505526D8"/>
    <w:rsid w:val="505DA721"/>
    <w:rsid w:val="50B64C94"/>
    <w:rsid w:val="50ED6F45"/>
    <w:rsid w:val="51017635"/>
    <w:rsid w:val="51D47BF8"/>
    <w:rsid w:val="52324FA7"/>
    <w:rsid w:val="5254BF18"/>
    <w:rsid w:val="52606B8C"/>
    <w:rsid w:val="52F83106"/>
    <w:rsid w:val="53335BD5"/>
    <w:rsid w:val="53464879"/>
    <w:rsid w:val="535167F1"/>
    <w:rsid w:val="5359341B"/>
    <w:rsid w:val="536C70D5"/>
    <w:rsid w:val="537B8EA1"/>
    <w:rsid w:val="53BEADC8"/>
    <w:rsid w:val="541B52CD"/>
    <w:rsid w:val="542D36A3"/>
    <w:rsid w:val="5444CAE9"/>
    <w:rsid w:val="54649990"/>
    <w:rsid w:val="54A07D30"/>
    <w:rsid w:val="54B55ADC"/>
    <w:rsid w:val="54D97030"/>
    <w:rsid w:val="5501558E"/>
    <w:rsid w:val="553CF0A8"/>
    <w:rsid w:val="5548DDEB"/>
    <w:rsid w:val="5568ADF3"/>
    <w:rsid w:val="557BA5E4"/>
    <w:rsid w:val="5587999A"/>
    <w:rsid w:val="55AD3264"/>
    <w:rsid w:val="55AE4616"/>
    <w:rsid w:val="560EB686"/>
    <w:rsid w:val="567AF42B"/>
    <w:rsid w:val="56C76101"/>
    <w:rsid w:val="56C79730"/>
    <w:rsid w:val="56D69809"/>
    <w:rsid w:val="56FB33CD"/>
    <w:rsid w:val="5725A847"/>
    <w:rsid w:val="576F04E1"/>
    <w:rsid w:val="5770E456"/>
    <w:rsid w:val="57C557F0"/>
    <w:rsid w:val="57DC1762"/>
    <w:rsid w:val="57FB11AB"/>
    <w:rsid w:val="5804B72F"/>
    <w:rsid w:val="581DE825"/>
    <w:rsid w:val="583B8D41"/>
    <w:rsid w:val="585C17AA"/>
    <w:rsid w:val="586B0908"/>
    <w:rsid w:val="587E13A9"/>
    <w:rsid w:val="5889047A"/>
    <w:rsid w:val="5915513A"/>
    <w:rsid w:val="59563C47"/>
    <w:rsid w:val="598C35D6"/>
    <w:rsid w:val="59A475D0"/>
    <w:rsid w:val="59B63997"/>
    <w:rsid w:val="59CB5BAF"/>
    <w:rsid w:val="59F6DD26"/>
    <w:rsid w:val="5A013214"/>
    <w:rsid w:val="5A47513E"/>
    <w:rsid w:val="5A60224B"/>
    <w:rsid w:val="5A77C48D"/>
    <w:rsid w:val="5A932A1D"/>
    <w:rsid w:val="5A958154"/>
    <w:rsid w:val="5AF28C17"/>
    <w:rsid w:val="5B1DAFBC"/>
    <w:rsid w:val="5B788B21"/>
    <w:rsid w:val="5BB9AF50"/>
    <w:rsid w:val="5BC386DB"/>
    <w:rsid w:val="5BE298E8"/>
    <w:rsid w:val="5BEC792E"/>
    <w:rsid w:val="5BFFD2CE"/>
    <w:rsid w:val="5C617D66"/>
    <w:rsid w:val="5C71BE5B"/>
    <w:rsid w:val="5CD0B98D"/>
    <w:rsid w:val="5CF8CE24"/>
    <w:rsid w:val="5D675CB0"/>
    <w:rsid w:val="5D9E1A2C"/>
    <w:rsid w:val="5DC4D315"/>
    <w:rsid w:val="5DF23230"/>
    <w:rsid w:val="5DFA5E7E"/>
    <w:rsid w:val="5E4BFA35"/>
    <w:rsid w:val="5E4E0871"/>
    <w:rsid w:val="5EA7CB03"/>
    <w:rsid w:val="5EE04DDB"/>
    <w:rsid w:val="5F03398D"/>
    <w:rsid w:val="5F3D37FB"/>
    <w:rsid w:val="5F434145"/>
    <w:rsid w:val="5F464D6C"/>
    <w:rsid w:val="5F4D38E6"/>
    <w:rsid w:val="5F5BF307"/>
    <w:rsid w:val="5F6D8E00"/>
    <w:rsid w:val="5F6F8435"/>
    <w:rsid w:val="5F730709"/>
    <w:rsid w:val="5FE2D820"/>
    <w:rsid w:val="602198B2"/>
    <w:rsid w:val="602532BD"/>
    <w:rsid w:val="60A9D455"/>
    <w:rsid w:val="60B0946A"/>
    <w:rsid w:val="611F0AD6"/>
    <w:rsid w:val="612627EA"/>
    <w:rsid w:val="61774821"/>
    <w:rsid w:val="61835D7B"/>
    <w:rsid w:val="619534E6"/>
    <w:rsid w:val="61C0522D"/>
    <w:rsid w:val="61CEE2C2"/>
    <w:rsid w:val="61E27E6C"/>
    <w:rsid w:val="627A01CE"/>
    <w:rsid w:val="628D8F03"/>
    <w:rsid w:val="62ADD2B4"/>
    <w:rsid w:val="62F8150A"/>
    <w:rsid w:val="62FC4949"/>
    <w:rsid w:val="6318C972"/>
    <w:rsid w:val="631B111E"/>
    <w:rsid w:val="6352945E"/>
    <w:rsid w:val="636B76EC"/>
    <w:rsid w:val="637F466D"/>
    <w:rsid w:val="63ABC8D8"/>
    <w:rsid w:val="63B317C7"/>
    <w:rsid w:val="63F9A21F"/>
    <w:rsid w:val="64611CCF"/>
    <w:rsid w:val="64C0FF4B"/>
    <w:rsid w:val="64D15613"/>
    <w:rsid w:val="64DE3FC9"/>
    <w:rsid w:val="64F340F9"/>
    <w:rsid w:val="65086A62"/>
    <w:rsid w:val="653798CD"/>
    <w:rsid w:val="6555A4BF"/>
    <w:rsid w:val="656E0209"/>
    <w:rsid w:val="65B1A290"/>
    <w:rsid w:val="664C5951"/>
    <w:rsid w:val="6675EDA1"/>
    <w:rsid w:val="6698D647"/>
    <w:rsid w:val="66AFE45B"/>
    <w:rsid w:val="66C176F2"/>
    <w:rsid w:val="66FF0096"/>
    <w:rsid w:val="673413F8"/>
    <w:rsid w:val="675A21E6"/>
    <w:rsid w:val="676506E1"/>
    <w:rsid w:val="6782A944"/>
    <w:rsid w:val="67A606F0"/>
    <w:rsid w:val="68484C45"/>
    <w:rsid w:val="688B6F5E"/>
    <w:rsid w:val="689931CF"/>
    <w:rsid w:val="689B2B9F"/>
    <w:rsid w:val="68A2BEFF"/>
    <w:rsid w:val="68B5D63C"/>
    <w:rsid w:val="68CC6C8D"/>
    <w:rsid w:val="68D175E7"/>
    <w:rsid w:val="693B9549"/>
    <w:rsid w:val="694F40EE"/>
    <w:rsid w:val="69782496"/>
    <w:rsid w:val="69BBB72C"/>
    <w:rsid w:val="69CA492C"/>
    <w:rsid w:val="69CF9CEE"/>
    <w:rsid w:val="69E28D29"/>
    <w:rsid w:val="69ED9143"/>
    <w:rsid w:val="69F24F12"/>
    <w:rsid w:val="6A13BF5B"/>
    <w:rsid w:val="6A20CD65"/>
    <w:rsid w:val="6A721BE9"/>
    <w:rsid w:val="6A8476E6"/>
    <w:rsid w:val="6AA2EB9D"/>
    <w:rsid w:val="6AF2BB6B"/>
    <w:rsid w:val="6B1A9878"/>
    <w:rsid w:val="6B30DB56"/>
    <w:rsid w:val="6B42CE22"/>
    <w:rsid w:val="6B60E202"/>
    <w:rsid w:val="6B61B7AB"/>
    <w:rsid w:val="6B6DB1B9"/>
    <w:rsid w:val="6BC31A7C"/>
    <w:rsid w:val="6BF626E4"/>
    <w:rsid w:val="6C5AEAD0"/>
    <w:rsid w:val="6C657A58"/>
    <w:rsid w:val="6C9623FB"/>
    <w:rsid w:val="6CB0A4F9"/>
    <w:rsid w:val="6CEDAB18"/>
    <w:rsid w:val="6D1AAA7C"/>
    <w:rsid w:val="6D66D47E"/>
    <w:rsid w:val="6D9CAED4"/>
    <w:rsid w:val="6DB1E8F6"/>
    <w:rsid w:val="6DCAEE24"/>
    <w:rsid w:val="6DD67D9C"/>
    <w:rsid w:val="6DFB8FD3"/>
    <w:rsid w:val="6E00DBAB"/>
    <w:rsid w:val="6E5BCF0D"/>
    <w:rsid w:val="6E8333E9"/>
    <w:rsid w:val="6EC49614"/>
    <w:rsid w:val="6EDDE5F7"/>
    <w:rsid w:val="6EFEB008"/>
    <w:rsid w:val="6F132AB6"/>
    <w:rsid w:val="6F35647A"/>
    <w:rsid w:val="6F453A08"/>
    <w:rsid w:val="6F55A870"/>
    <w:rsid w:val="6F70A961"/>
    <w:rsid w:val="6F963012"/>
    <w:rsid w:val="6F9F839D"/>
    <w:rsid w:val="6FC1AB04"/>
    <w:rsid w:val="6FCC116D"/>
    <w:rsid w:val="6FDB4FA9"/>
    <w:rsid w:val="70175B61"/>
    <w:rsid w:val="704A49BF"/>
    <w:rsid w:val="7089FF19"/>
    <w:rsid w:val="70D07E18"/>
    <w:rsid w:val="70E65565"/>
    <w:rsid w:val="70F86E4C"/>
    <w:rsid w:val="71248D4B"/>
    <w:rsid w:val="713F4304"/>
    <w:rsid w:val="718C409A"/>
    <w:rsid w:val="71D7BF66"/>
    <w:rsid w:val="71DEDA6B"/>
    <w:rsid w:val="71EA94A4"/>
    <w:rsid w:val="722D118A"/>
    <w:rsid w:val="724CBE30"/>
    <w:rsid w:val="724FDBB6"/>
    <w:rsid w:val="72531E23"/>
    <w:rsid w:val="7290A851"/>
    <w:rsid w:val="72DAAA16"/>
    <w:rsid w:val="7319B3BD"/>
    <w:rsid w:val="7326F5B7"/>
    <w:rsid w:val="73642302"/>
    <w:rsid w:val="7370ADE7"/>
    <w:rsid w:val="73B4238E"/>
    <w:rsid w:val="73C2F13C"/>
    <w:rsid w:val="73D79749"/>
    <w:rsid w:val="741A90F7"/>
    <w:rsid w:val="74621340"/>
    <w:rsid w:val="746C7089"/>
    <w:rsid w:val="749ACC70"/>
    <w:rsid w:val="74BFE170"/>
    <w:rsid w:val="7525E9F8"/>
    <w:rsid w:val="75577740"/>
    <w:rsid w:val="7558DB32"/>
    <w:rsid w:val="75603ABD"/>
    <w:rsid w:val="75877972"/>
    <w:rsid w:val="75C5F152"/>
    <w:rsid w:val="75F36D6A"/>
    <w:rsid w:val="75F7F870"/>
    <w:rsid w:val="7682E274"/>
    <w:rsid w:val="768E403F"/>
    <w:rsid w:val="76C987DF"/>
    <w:rsid w:val="76D2C68A"/>
    <w:rsid w:val="76E17BDA"/>
    <w:rsid w:val="76EAAA87"/>
    <w:rsid w:val="76F6324D"/>
    <w:rsid w:val="76FAF696"/>
    <w:rsid w:val="77348820"/>
    <w:rsid w:val="77787E6A"/>
    <w:rsid w:val="778B83BF"/>
    <w:rsid w:val="778FECE7"/>
    <w:rsid w:val="77D3F671"/>
    <w:rsid w:val="77FACD92"/>
    <w:rsid w:val="78553D49"/>
    <w:rsid w:val="7870F047"/>
    <w:rsid w:val="78F46AC7"/>
    <w:rsid w:val="792C91B4"/>
    <w:rsid w:val="794B4376"/>
    <w:rsid w:val="79B8722D"/>
    <w:rsid w:val="7A7FC7B4"/>
    <w:rsid w:val="7A9645A8"/>
    <w:rsid w:val="7A9D2E91"/>
    <w:rsid w:val="7AB0424C"/>
    <w:rsid w:val="7AD3E665"/>
    <w:rsid w:val="7AE3B45F"/>
    <w:rsid w:val="7B309A09"/>
    <w:rsid w:val="7B56D5DA"/>
    <w:rsid w:val="7B5A6B26"/>
    <w:rsid w:val="7B6D54D1"/>
    <w:rsid w:val="7B99C19D"/>
    <w:rsid w:val="7BCE7C60"/>
    <w:rsid w:val="7BE5AA94"/>
    <w:rsid w:val="7BF1A9E8"/>
    <w:rsid w:val="7C21512B"/>
    <w:rsid w:val="7C4CAE75"/>
    <w:rsid w:val="7C6F82F6"/>
    <w:rsid w:val="7C75C784"/>
    <w:rsid w:val="7C7CC485"/>
    <w:rsid w:val="7CC0265E"/>
    <w:rsid w:val="7CCD8E1C"/>
    <w:rsid w:val="7CCF4674"/>
    <w:rsid w:val="7CDB5C4D"/>
    <w:rsid w:val="7CE590A8"/>
    <w:rsid w:val="7D11A274"/>
    <w:rsid w:val="7D271696"/>
    <w:rsid w:val="7D29C9D3"/>
    <w:rsid w:val="7D3F2443"/>
    <w:rsid w:val="7D686389"/>
    <w:rsid w:val="7D9A14B8"/>
    <w:rsid w:val="7DA03E76"/>
    <w:rsid w:val="7DEC6D80"/>
    <w:rsid w:val="7E4D0BBF"/>
    <w:rsid w:val="7E724AA1"/>
    <w:rsid w:val="7EA846D5"/>
    <w:rsid w:val="7EC42DB7"/>
    <w:rsid w:val="7F62F023"/>
    <w:rsid w:val="7F828AF9"/>
    <w:rsid w:val="7FAA4221"/>
    <w:rsid w:val="7FB0934E"/>
    <w:rsid w:val="7FB0C9F9"/>
    <w:rsid w:val="7FC293D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BC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ListParagraph"/>
    <w:next w:val="Normal"/>
    <w:link w:val="Heading1Char"/>
    <w:autoRedefine/>
    <w:uiPriority w:val="9"/>
    <w:qFormat/>
    <w:rsid w:val="003D5660"/>
    <w:pPr>
      <w:numPr>
        <w:numId w:val="55"/>
      </w:numPr>
      <w:tabs>
        <w:tab w:val="left" w:pos="2340"/>
      </w:tabs>
      <w:suppressAutoHyphens/>
      <w:outlineLvl w:val="0"/>
    </w:pPr>
    <w:rPr>
      <w:rFonts w:asciiTheme="majorHAnsi" w:hAnsiTheme="majorHAnsi"/>
      <w:b/>
      <w:sz w:val="20"/>
      <w:szCs w:val="20"/>
      <w:lang w:val="es-ES_tradnl"/>
    </w:rPr>
  </w:style>
  <w:style w:type="paragraph" w:styleId="Heading2">
    <w:name w:val="heading 2"/>
    <w:basedOn w:val="Normal"/>
    <w:next w:val="Normal"/>
    <w:link w:val="Heading2Char"/>
    <w:autoRedefine/>
    <w:qFormat/>
    <w:rsid w:val="00CA1314"/>
    <w:pPr>
      <w:keepNext/>
      <w:numPr>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outlineLvl w:val="1"/>
    </w:pPr>
    <w:rPr>
      <w:rFonts w:ascii="Cambria" w:eastAsia="Times New Roman" w:hAnsi="Cambria" w:cs="Arial"/>
      <w:b/>
      <w:bCs/>
      <w:iCs/>
      <w:sz w:val="20"/>
      <w:szCs w:val="28"/>
      <w:bdr w:val="none" w:sz="0" w:space="0" w:color="auto"/>
      <w:lang w:val="es-ES"/>
    </w:rPr>
  </w:style>
  <w:style w:type="paragraph" w:styleId="Heading3">
    <w:name w:val="heading 3"/>
    <w:basedOn w:val="Normal"/>
    <w:next w:val="Normal"/>
    <w:link w:val="Heading3Char"/>
    <w:qFormat/>
    <w:rsid w:val="00161D34"/>
    <w:pPr>
      <w:keepNext/>
      <w:numPr>
        <w:numId w:val="58"/>
      </w:numPr>
      <w:pBdr>
        <w:top w:val="none" w:sz="0" w:space="0" w:color="auto"/>
        <w:left w:val="none" w:sz="0" w:space="0" w:color="auto"/>
        <w:bottom w:val="none" w:sz="0" w:space="0" w:color="auto"/>
        <w:right w:val="none" w:sz="0" w:space="0" w:color="auto"/>
        <w:between w:val="none" w:sz="0" w:space="0" w:color="auto"/>
        <w:bar w:val="none" w:sz="0" w:color="auto"/>
      </w:pBdr>
      <w:outlineLvl w:val="2"/>
    </w:pPr>
    <w:rPr>
      <w:rFonts w:asciiTheme="majorHAnsi" w:eastAsia="Times New Roman" w:hAnsiTheme="majorHAnsi" w:cs="Arial"/>
      <w:b/>
      <w:bCs/>
      <w:sz w:val="20"/>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Colorful List - Accent 12,Lista vistosa - Énfasis 11,Subtle Emphasis1,Footnote1,Parragrap,Superíndice,Dot pt,No Spacing1,Indicator Text"/>
    <w:link w:val="ListParagraphChar"/>
    <w:autoRedefine/>
    <w:uiPriority w:val="72"/>
    <w:qFormat/>
    <w:rsid w:val="008D2EB9"/>
    <w:pPr>
      <w:numPr>
        <w:numId w:val="6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ind w:right="720"/>
      <w:jc w:val="both"/>
    </w:pPr>
    <w:rPr>
      <w:rFonts w:ascii="Cambria" w:eastAsia="Cambria" w:hAnsi="Cambria" w:cs="Cambria"/>
      <w:color w:val="000000"/>
      <w:sz w:val="18"/>
      <w:szCs w:val="18"/>
      <w:u w:color="000000"/>
      <w:lang w:val="es-CO"/>
    </w:rPr>
  </w:style>
  <w:style w:type="numbering" w:customStyle="1" w:styleId="List0">
    <w:name w:val="List 0"/>
    <w:basedOn w:val="Estiloimportado1"/>
    <w:pPr>
      <w:numPr>
        <w:numId w:val="32"/>
      </w:numPr>
    </w:pPr>
  </w:style>
  <w:style w:type="numbering" w:customStyle="1" w:styleId="Estiloimportado1">
    <w:name w:val="Estilo importado 1"/>
  </w:style>
  <w:style w:type="numbering" w:customStyle="1" w:styleId="List1">
    <w:name w:val="List 1"/>
    <w:basedOn w:val="Estiloimportado2"/>
    <w:pPr>
      <w:numPr>
        <w:numId w:val="2"/>
      </w:numPr>
    </w:pPr>
  </w:style>
  <w:style w:type="numbering" w:customStyle="1" w:styleId="Estiloimportado2">
    <w:name w:val="Estilo importado 2"/>
  </w:style>
  <w:style w:type="numbering" w:customStyle="1" w:styleId="List21">
    <w:name w:val="List 21"/>
    <w:basedOn w:val="Estiloimportado3"/>
    <w:pPr>
      <w:numPr>
        <w:numId w:val="53"/>
      </w:numPr>
    </w:pPr>
  </w:style>
  <w:style w:type="numbering" w:customStyle="1" w:styleId="Estiloimportado3">
    <w:name w:val="Estilo importado 3"/>
  </w:style>
  <w:style w:type="numbering" w:customStyle="1" w:styleId="List31">
    <w:name w:val="List 31"/>
    <w:basedOn w:val="Estiloimportado4"/>
    <w:pPr>
      <w:numPr>
        <w:numId w:val="52"/>
      </w:numPr>
    </w:pPr>
  </w:style>
  <w:style w:type="numbering" w:customStyle="1" w:styleId="Estiloimportado4">
    <w:name w:val="Estilo importado 4"/>
  </w:style>
  <w:style w:type="numbering" w:customStyle="1" w:styleId="List41">
    <w:name w:val="List 41"/>
    <w:basedOn w:val="Estiloimportado5"/>
    <w:pPr>
      <w:numPr>
        <w:numId w:val="3"/>
      </w:numPr>
    </w:pPr>
  </w:style>
  <w:style w:type="numbering" w:customStyle="1" w:styleId="Estiloimportado5">
    <w:name w:val="Estilo importado 5"/>
  </w:style>
  <w:style w:type="numbering" w:customStyle="1" w:styleId="List51">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4"/>
      </w:numPr>
    </w:pPr>
  </w:style>
  <w:style w:type="numbering" w:customStyle="1" w:styleId="Estiloimportado7">
    <w:name w:val="Estilo importado 7"/>
  </w:style>
  <w:style w:type="numbering" w:customStyle="1" w:styleId="List7">
    <w:name w:val="List 7"/>
    <w:basedOn w:val="Estiloimportado8"/>
    <w:pPr>
      <w:numPr>
        <w:numId w:val="5"/>
      </w:numPr>
    </w:pPr>
  </w:style>
  <w:style w:type="numbering" w:customStyle="1" w:styleId="Estiloimportado8">
    <w:name w:val="Estilo importado 8"/>
  </w:style>
  <w:style w:type="numbering" w:customStyle="1" w:styleId="List8">
    <w:name w:val="List 8"/>
    <w:basedOn w:val="Estiloimportado9"/>
    <w:pPr>
      <w:numPr>
        <w:numId w:val="6"/>
      </w:numPr>
    </w:pPr>
  </w:style>
  <w:style w:type="numbering" w:customStyle="1" w:styleId="Estiloimportado9">
    <w:name w:val="Estilo importado 9"/>
  </w:style>
  <w:style w:type="numbering" w:customStyle="1" w:styleId="List9">
    <w:name w:val="List 9"/>
    <w:basedOn w:val="Estiloimportado10"/>
    <w:pPr>
      <w:numPr>
        <w:numId w:val="23"/>
      </w:numPr>
    </w:pPr>
  </w:style>
  <w:style w:type="numbering" w:customStyle="1" w:styleId="Estiloimportado10">
    <w:name w:val="Estilo importado 10"/>
  </w:style>
  <w:style w:type="numbering" w:customStyle="1" w:styleId="List10">
    <w:name w:val="List 10"/>
    <w:basedOn w:val="Estiloimportado11"/>
    <w:pPr>
      <w:numPr>
        <w:numId w:val="7"/>
      </w:numPr>
    </w:pPr>
  </w:style>
  <w:style w:type="numbering" w:customStyle="1" w:styleId="Estiloimportado11">
    <w:name w:val="Estilo importado 11"/>
  </w:style>
  <w:style w:type="numbering" w:customStyle="1" w:styleId="List11">
    <w:name w:val="List 11"/>
    <w:basedOn w:val="Estiloimportado12"/>
    <w:pPr>
      <w:numPr>
        <w:numId w:val="8"/>
      </w:numPr>
    </w:pPr>
  </w:style>
  <w:style w:type="numbering" w:customStyle="1" w:styleId="Estiloimportado12">
    <w:name w:val="Estilo importado 12"/>
  </w:style>
  <w:style w:type="numbering" w:customStyle="1" w:styleId="List12">
    <w:name w:val="List 12"/>
    <w:basedOn w:val="Estiloimportado13"/>
    <w:pPr>
      <w:numPr>
        <w:numId w:val="37"/>
      </w:numPr>
    </w:pPr>
  </w:style>
  <w:style w:type="numbering" w:customStyle="1" w:styleId="Estiloimportado13">
    <w:name w:val="Estilo importado 13"/>
  </w:style>
  <w:style w:type="numbering" w:customStyle="1" w:styleId="List13">
    <w:name w:val="List 13"/>
    <w:basedOn w:val="Estiloimportado14"/>
    <w:pPr>
      <w:numPr>
        <w:numId w:val="43"/>
      </w:numPr>
    </w:pPr>
  </w:style>
  <w:style w:type="numbering" w:customStyle="1" w:styleId="Estiloimportado14">
    <w:name w:val="Estilo importado 14"/>
  </w:style>
  <w:style w:type="numbering" w:customStyle="1" w:styleId="List14">
    <w:name w:val="List 14"/>
    <w:basedOn w:val="Estiloimportado15"/>
    <w:pPr>
      <w:numPr>
        <w:numId w:val="18"/>
      </w:numPr>
    </w:pPr>
  </w:style>
  <w:style w:type="numbering" w:customStyle="1" w:styleId="Estiloimportado15">
    <w:name w:val="Estilo importado 15"/>
  </w:style>
  <w:style w:type="numbering" w:customStyle="1" w:styleId="List15">
    <w:name w:val="List 15"/>
    <w:basedOn w:val="Estiloimportado16"/>
    <w:pPr>
      <w:numPr>
        <w:numId w:val="17"/>
      </w:numPr>
    </w:pPr>
  </w:style>
  <w:style w:type="numbering" w:customStyle="1" w:styleId="Estiloimportado16">
    <w:name w:val="Estilo importado 16"/>
  </w:style>
  <w:style w:type="numbering" w:customStyle="1" w:styleId="List16">
    <w:name w:val="List 16"/>
    <w:basedOn w:val="Estiloimportado16"/>
    <w:pPr>
      <w:numPr>
        <w:numId w:val="11"/>
      </w:numPr>
    </w:pPr>
  </w:style>
  <w:style w:type="numbering" w:customStyle="1" w:styleId="List17">
    <w:name w:val="List 17"/>
    <w:basedOn w:val="Estiloimportado17"/>
    <w:pPr>
      <w:numPr>
        <w:numId w:val="26"/>
      </w:numPr>
    </w:pPr>
  </w:style>
  <w:style w:type="numbering" w:customStyle="1" w:styleId="Estiloimportado17">
    <w:name w:val="Estilo importado 17"/>
  </w:style>
  <w:style w:type="numbering" w:customStyle="1" w:styleId="List18">
    <w:name w:val="List 18"/>
    <w:basedOn w:val="Estiloimportado18"/>
    <w:pPr>
      <w:numPr>
        <w:numId w:val="28"/>
      </w:numPr>
    </w:pPr>
  </w:style>
  <w:style w:type="numbering" w:customStyle="1" w:styleId="Estiloimportado18">
    <w:name w:val="Estilo importado 18"/>
  </w:style>
  <w:style w:type="numbering" w:customStyle="1" w:styleId="List19">
    <w:name w:val="List 19"/>
    <w:basedOn w:val="Estiloimportado10"/>
    <w:pPr>
      <w:numPr>
        <w:numId w:val="20"/>
      </w:numPr>
    </w:pPr>
  </w:style>
  <w:style w:type="numbering" w:customStyle="1" w:styleId="List20">
    <w:name w:val="List 20"/>
    <w:basedOn w:val="Estiloimportado12"/>
    <w:pPr>
      <w:numPr>
        <w:numId w:val="44"/>
      </w:numPr>
    </w:pPr>
  </w:style>
  <w:style w:type="numbering" w:customStyle="1" w:styleId="List210">
    <w:name w:val="List 210"/>
    <w:basedOn w:val="Estiloimportado19"/>
    <w:pPr>
      <w:numPr>
        <w:numId w:val="39"/>
      </w:numPr>
    </w:pPr>
  </w:style>
  <w:style w:type="numbering" w:customStyle="1" w:styleId="Estiloimportado19">
    <w:name w:val="Estilo importado 19"/>
  </w:style>
  <w:style w:type="numbering" w:customStyle="1" w:styleId="List22">
    <w:name w:val="List 22"/>
    <w:basedOn w:val="Estiloimportado19"/>
    <w:pPr>
      <w:numPr>
        <w:numId w:val="29"/>
      </w:numPr>
    </w:pPr>
  </w:style>
  <w:style w:type="numbering" w:customStyle="1" w:styleId="List23">
    <w:name w:val="List 23"/>
    <w:basedOn w:val="Estiloimportado19"/>
    <w:pPr>
      <w:numPr>
        <w:numId w:val="19"/>
      </w:numPr>
    </w:pPr>
  </w:style>
  <w:style w:type="numbering" w:customStyle="1" w:styleId="List24">
    <w:name w:val="List 24"/>
    <w:basedOn w:val="Estiloimportado20"/>
    <w:pPr>
      <w:numPr>
        <w:numId w:val="14"/>
      </w:numPr>
    </w:pPr>
  </w:style>
  <w:style w:type="numbering" w:customStyle="1" w:styleId="Estiloimportado20">
    <w:name w:val="Estilo importado 20"/>
  </w:style>
  <w:style w:type="numbering" w:customStyle="1" w:styleId="List25">
    <w:name w:val="List 25"/>
    <w:basedOn w:val="Estiloimportado21"/>
    <w:pPr>
      <w:numPr>
        <w:numId w:val="16"/>
      </w:numPr>
    </w:pPr>
  </w:style>
  <w:style w:type="numbering" w:customStyle="1" w:styleId="Estiloimportado21">
    <w:name w:val="Estilo importado 21"/>
  </w:style>
  <w:style w:type="numbering" w:customStyle="1" w:styleId="List26">
    <w:name w:val="List 26"/>
    <w:basedOn w:val="Estiloimportado22"/>
    <w:pPr>
      <w:numPr>
        <w:numId w:val="50"/>
      </w:numPr>
    </w:pPr>
  </w:style>
  <w:style w:type="numbering" w:customStyle="1" w:styleId="Estiloimportado22">
    <w:name w:val="Estilo importado 22"/>
  </w:style>
  <w:style w:type="numbering" w:customStyle="1" w:styleId="List27">
    <w:name w:val="List 27"/>
    <w:basedOn w:val="Estiloimportado23"/>
    <w:pPr>
      <w:numPr>
        <w:numId w:val="42"/>
      </w:numPr>
    </w:pPr>
  </w:style>
  <w:style w:type="numbering" w:customStyle="1" w:styleId="Estiloimportado23">
    <w:name w:val="Estilo importado 23"/>
  </w:style>
  <w:style w:type="numbering" w:customStyle="1" w:styleId="List28">
    <w:name w:val="List 28"/>
    <w:basedOn w:val="Estiloimportado24"/>
    <w:pPr>
      <w:numPr>
        <w:numId w:val="31"/>
      </w:numPr>
    </w:pPr>
  </w:style>
  <w:style w:type="numbering" w:customStyle="1" w:styleId="Estiloimportado24">
    <w:name w:val="Estilo importado 24"/>
  </w:style>
  <w:style w:type="numbering" w:customStyle="1" w:styleId="List29">
    <w:name w:val="List 29"/>
    <w:basedOn w:val="Estiloimportado25"/>
    <w:pPr>
      <w:numPr>
        <w:numId w:val="35"/>
      </w:numPr>
    </w:pPr>
  </w:style>
  <w:style w:type="numbering" w:customStyle="1" w:styleId="Estiloimportado25">
    <w:name w:val="Estilo importado 25"/>
  </w:style>
  <w:style w:type="numbering" w:customStyle="1" w:styleId="List30">
    <w:name w:val="List 30"/>
    <w:basedOn w:val="Estiloimportado26"/>
    <w:pPr>
      <w:numPr>
        <w:numId w:val="33"/>
      </w:numPr>
    </w:pPr>
  </w:style>
  <w:style w:type="numbering" w:customStyle="1" w:styleId="Estiloimportado26">
    <w:name w:val="Estilo importado 26"/>
  </w:style>
  <w:style w:type="numbering" w:customStyle="1" w:styleId="List310">
    <w:name w:val="List 310"/>
    <w:basedOn w:val="Estiloimportado27"/>
    <w:pPr>
      <w:numPr>
        <w:numId w:val="46"/>
      </w:numPr>
    </w:pPr>
  </w:style>
  <w:style w:type="numbering" w:customStyle="1" w:styleId="Estiloimportado27">
    <w:name w:val="Estilo importado 27"/>
  </w:style>
  <w:style w:type="numbering" w:customStyle="1" w:styleId="List32">
    <w:name w:val="List 32"/>
    <w:basedOn w:val="Estiloimportado28"/>
    <w:pPr>
      <w:numPr>
        <w:numId w:val="49"/>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Ca,ft"/>
    <w:link w:val="FootnoteTextChar"/>
    <w:uiPriority w:val="99"/>
    <w:qFormat/>
    <w:rsid w:val="00A03A30"/>
    <w:pPr>
      <w:jc w:val="both"/>
    </w:pPr>
    <w:rPr>
      <w:rFonts w:asciiTheme="majorHAnsi" w:eastAsia="Calibri" w:hAnsiTheme="majorHAnsi" w:cs="Calibri"/>
      <w:color w:val="000000"/>
      <w:sz w:val="16"/>
      <w:szCs w:val="16"/>
      <w:u w:color="000000"/>
      <w:lang w:val="en-US"/>
    </w:rPr>
  </w:style>
  <w:style w:type="numbering" w:customStyle="1" w:styleId="List33">
    <w:name w:val="List 33"/>
    <w:basedOn w:val="Estiloimportado29"/>
    <w:pPr>
      <w:numPr>
        <w:numId w:val="27"/>
      </w:numPr>
    </w:pPr>
  </w:style>
  <w:style w:type="numbering" w:customStyle="1" w:styleId="Estiloimportado29">
    <w:name w:val="Estilo importado 29"/>
  </w:style>
  <w:style w:type="numbering" w:customStyle="1" w:styleId="List34">
    <w:name w:val="List 34"/>
    <w:basedOn w:val="Estiloimportado30"/>
    <w:pPr>
      <w:numPr>
        <w:numId w:val="12"/>
      </w:numPr>
    </w:pPr>
  </w:style>
  <w:style w:type="numbering" w:customStyle="1" w:styleId="Estiloimportado30">
    <w:name w:val="Estilo importado 30"/>
  </w:style>
  <w:style w:type="numbering" w:customStyle="1" w:styleId="List35">
    <w:name w:val="List 35"/>
    <w:basedOn w:val="Estiloimportado31"/>
    <w:pPr>
      <w:numPr>
        <w:numId w:val="9"/>
      </w:numPr>
    </w:pPr>
  </w:style>
  <w:style w:type="numbering" w:customStyle="1" w:styleId="Estiloimportado31">
    <w:name w:val="Estilo importado 31"/>
  </w:style>
  <w:style w:type="numbering" w:customStyle="1" w:styleId="List36">
    <w:name w:val="List 36"/>
    <w:basedOn w:val="Estiloimportado32"/>
    <w:pPr>
      <w:numPr>
        <w:numId w:val="15"/>
      </w:numPr>
    </w:pPr>
  </w:style>
  <w:style w:type="numbering" w:customStyle="1" w:styleId="Estiloimportado32">
    <w:name w:val="Estilo importado 32"/>
  </w:style>
  <w:style w:type="numbering" w:customStyle="1" w:styleId="List37">
    <w:name w:val="List 37"/>
    <w:basedOn w:val="Estiloimportado33"/>
    <w:pPr>
      <w:numPr>
        <w:numId w:val="48"/>
      </w:numPr>
    </w:pPr>
  </w:style>
  <w:style w:type="numbering" w:customStyle="1" w:styleId="Estiloimportado33">
    <w:name w:val="Estilo importado 33"/>
  </w:style>
  <w:style w:type="numbering" w:customStyle="1" w:styleId="List38">
    <w:name w:val="List 38"/>
    <w:basedOn w:val="Estiloimportado34"/>
    <w:pPr>
      <w:numPr>
        <w:numId w:val="36"/>
      </w:numPr>
    </w:pPr>
  </w:style>
  <w:style w:type="numbering" w:customStyle="1" w:styleId="Estiloimportado34">
    <w:name w:val="Estilo importado 34"/>
  </w:style>
  <w:style w:type="numbering" w:customStyle="1" w:styleId="List39">
    <w:name w:val="List 39"/>
    <w:basedOn w:val="Estiloimportado35"/>
    <w:pPr>
      <w:numPr>
        <w:numId w:val="47"/>
      </w:numPr>
    </w:pPr>
  </w:style>
  <w:style w:type="numbering" w:customStyle="1" w:styleId="Estiloimportado35">
    <w:name w:val="Estilo importado 35"/>
  </w:style>
  <w:style w:type="numbering" w:customStyle="1" w:styleId="List40">
    <w:name w:val="List 40"/>
    <w:basedOn w:val="Estiloimportado36"/>
    <w:pPr>
      <w:numPr>
        <w:numId w:val="22"/>
      </w:numPr>
    </w:pPr>
  </w:style>
  <w:style w:type="numbering" w:customStyle="1" w:styleId="Estiloimportado36">
    <w:name w:val="Estilo importado 36"/>
  </w:style>
  <w:style w:type="numbering" w:customStyle="1" w:styleId="List410">
    <w:name w:val="List 410"/>
    <w:basedOn w:val="Estiloimportado37"/>
    <w:pPr>
      <w:numPr>
        <w:numId w:val="45"/>
      </w:numPr>
    </w:pPr>
  </w:style>
  <w:style w:type="numbering" w:customStyle="1" w:styleId="Estiloimportado37">
    <w:name w:val="Estilo importado 37"/>
  </w:style>
  <w:style w:type="numbering" w:customStyle="1" w:styleId="List42">
    <w:name w:val="List 42"/>
    <w:basedOn w:val="Estiloimportado12"/>
    <w:pPr>
      <w:numPr>
        <w:numId w:val="13"/>
      </w:numPr>
    </w:pPr>
  </w:style>
  <w:style w:type="numbering" w:customStyle="1" w:styleId="List43">
    <w:name w:val="List 43"/>
    <w:basedOn w:val="Estiloimportado38"/>
    <w:pPr>
      <w:numPr>
        <w:numId w:val="24"/>
      </w:numPr>
    </w:pPr>
  </w:style>
  <w:style w:type="numbering" w:customStyle="1" w:styleId="Estiloimportado38">
    <w:name w:val="Estilo importado 38"/>
  </w:style>
  <w:style w:type="numbering" w:customStyle="1" w:styleId="List44">
    <w:name w:val="List 44"/>
    <w:basedOn w:val="Estiloimportado39"/>
    <w:pPr>
      <w:numPr>
        <w:numId w:val="41"/>
      </w:numPr>
    </w:pPr>
  </w:style>
  <w:style w:type="numbering" w:customStyle="1" w:styleId="Estiloimportado39">
    <w:name w:val="Estilo importado 39"/>
  </w:style>
  <w:style w:type="numbering" w:customStyle="1" w:styleId="List45">
    <w:name w:val="List 45"/>
    <w:basedOn w:val="Estiloimportado40"/>
    <w:pPr>
      <w:numPr>
        <w:numId w:val="21"/>
      </w:numPr>
    </w:pPr>
  </w:style>
  <w:style w:type="numbering" w:customStyle="1" w:styleId="Estiloimportado40">
    <w:name w:val="Estilo importado 40"/>
  </w:style>
  <w:style w:type="numbering" w:customStyle="1" w:styleId="List46">
    <w:name w:val="List 46"/>
    <w:basedOn w:val="Estiloimportado41"/>
    <w:pPr>
      <w:numPr>
        <w:numId w:val="25"/>
      </w:numPr>
    </w:pPr>
  </w:style>
  <w:style w:type="numbering" w:customStyle="1" w:styleId="Estiloimportado41">
    <w:name w:val="Estilo importado 41"/>
  </w:style>
  <w:style w:type="numbering" w:customStyle="1" w:styleId="List47">
    <w:name w:val="List 47"/>
    <w:basedOn w:val="Estiloimportado42"/>
    <w:pPr>
      <w:numPr>
        <w:numId w:val="30"/>
      </w:numPr>
    </w:pPr>
  </w:style>
  <w:style w:type="numbering" w:customStyle="1" w:styleId="Estiloimportado42">
    <w:name w:val="Estilo importado 42"/>
  </w:style>
  <w:style w:type="numbering" w:customStyle="1" w:styleId="List48">
    <w:name w:val="List 48"/>
    <w:basedOn w:val="Estiloimportado43"/>
    <w:pPr>
      <w:numPr>
        <w:numId w:val="51"/>
      </w:numPr>
    </w:pPr>
  </w:style>
  <w:style w:type="numbering" w:customStyle="1" w:styleId="Estiloimportado43">
    <w:name w:val="Estilo importado 43"/>
  </w:style>
  <w:style w:type="numbering" w:customStyle="1" w:styleId="List49">
    <w:name w:val="List 49"/>
    <w:basedOn w:val="Estiloimportado44"/>
    <w:pPr>
      <w:numPr>
        <w:numId w:val="40"/>
      </w:numPr>
    </w:pPr>
  </w:style>
  <w:style w:type="numbering" w:customStyle="1" w:styleId="Estiloimportado44">
    <w:name w:val="Estilo importado 44"/>
  </w:style>
  <w:style w:type="numbering" w:customStyle="1" w:styleId="List50">
    <w:name w:val="List 50"/>
    <w:basedOn w:val="Estiloimportado45"/>
    <w:pPr>
      <w:numPr>
        <w:numId w:val="38"/>
      </w:numPr>
    </w:pPr>
  </w:style>
  <w:style w:type="numbering" w:customStyle="1" w:styleId="Estiloimportado45">
    <w:name w:val="Estilo importado 45"/>
  </w:style>
  <w:style w:type="numbering" w:customStyle="1" w:styleId="List510">
    <w:name w:val="List 510"/>
    <w:basedOn w:val="Estiloimportado46"/>
    <w:pPr>
      <w:numPr>
        <w:numId w:val="34"/>
      </w:numPr>
    </w:pPr>
  </w:style>
  <w:style w:type="numbering" w:customStyle="1" w:styleId="Estiloimportado46">
    <w:name w:val="Estilo importado 46"/>
  </w:style>
  <w:style w:type="numbering" w:customStyle="1" w:styleId="List52">
    <w:name w:val="List 52"/>
    <w:basedOn w:val="Estiloimportado1"/>
    <w:pPr>
      <w:numPr>
        <w:numId w:val="10"/>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3D5660"/>
    <w:rPr>
      <w:rFonts w:asciiTheme="majorHAnsi" w:eastAsia="Cambria" w:hAnsiTheme="majorHAnsi" w:cs="Cambria"/>
      <w:b/>
      <w:color w:val="000000"/>
      <w:u w:color="000000"/>
      <w:lang w:val="es-ES_tradnl"/>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1,4_G,16 Point,Superscript 6 Point,Footnote symbol,Footnote,Texto nota al pie"/>
    <w:basedOn w:val="DefaultParagraphFont"/>
    <w:link w:val="FootnotesrefssChar1Char"/>
    <w:uiPriority w:val="99"/>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unhideWhenUsed/>
    <w:rsid w:val="0031535D"/>
    <w:pPr>
      <w:spacing w:after="120"/>
    </w:pPr>
  </w:style>
  <w:style w:type="character" w:customStyle="1" w:styleId="BodyTextChar">
    <w:name w:val="Body Text Char"/>
    <w:basedOn w:val="DefaultParagraphFont"/>
    <w:link w:val="BodyText"/>
    <w:uiPriority w:val="99"/>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uiPriority w:val="99"/>
    <w:qFormat/>
    <w:locked/>
    <w:rsid w:val="00A03A30"/>
    <w:rPr>
      <w:rFonts w:asciiTheme="majorHAnsi" w:eastAsia="Calibri" w:hAnsiTheme="majorHAnsi" w:cs="Calibri"/>
      <w:color w:val="000000"/>
      <w:sz w:val="16"/>
      <w:szCs w:val="16"/>
      <w:u w:color="000000"/>
      <w:lang w:val="en-US"/>
    </w:rPr>
  </w:style>
  <w:style w:type="character" w:customStyle="1" w:styleId="Heading2Char">
    <w:name w:val="Heading 2 Char"/>
    <w:basedOn w:val="DefaultParagraphFont"/>
    <w:link w:val="Heading2"/>
    <w:rsid w:val="00CA1314"/>
    <w:rPr>
      <w:rFonts w:ascii="Cambria" w:eastAsia="Times New Roman" w:hAnsi="Cambria" w:cs="Arial"/>
      <w:b/>
      <w:bCs/>
      <w:iCs/>
      <w:szCs w:val="28"/>
      <w:bdr w:val="none" w:sz="0" w:space="0" w:color="auto"/>
      <w:lang w:eastAsia="en-US"/>
    </w:rPr>
  </w:style>
  <w:style w:type="character" w:customStyle="1" w:styleId="Heading3Char">
    <w:name w:val="Heading 3 Char"/>
    <w:basedOn w:val="DefaultParagraphFont"/>
    <w:link w:val="Heading3"/>
    <w:rsid w:val="00161D34"/>
    <w:rPr>
      <w:rFonts w:asciiTheme="majorHAnsi" w:eastAsia="Times New Roman" w:hAnsiTheme="majorHAnsi" w:cs="Arial"/>
      <w:b/>
      <w:bCs/>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paragraph" w:customStyle="1" w:styleId="FootnotesrefssChar1Char">
    <w:name w:val="Footnotes refss Char1 Char"/>
    <w:aliases w:val="Texto de nota al pie Char1 Char,Appel note de bas de page Char1 Char,Footnote number Char1 Char,referencia nota al pie Char1 Char,BVI fnr Char1 Char,f Char1 Char,4_G Char1 Char,16 Point Char1 Char"/>
    <w:basedOn w:val="Normal"/>
    <w:link w:val="FootnoteReference"/>
    <w:qFormat/>
    <w:rsid w:val="009014A4"/>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paragraph" w:customStyle="1" w:styleId="BVIfnrCar1CarCarCarCar">
    <w:name w:val="BVI fnr Car1 Car Car Car Car"/>
    <w:aliases w:val="ftref Car Car Car Car Car Car Car Car Car Car,BVI fnr Char Car Car Car Car Car Car Car Car Car Car Car,BVI fnr Char Car Car Car Car Car Car Car Car Car Car Car Car Car"/>
    <w:basedOn w:val="Normal"/>
    <w:uiPriority w:val="99"/>
    <w:rsid w:val="004D6618"/>
    <w:pPr>
      <w:pBdr>
        <w:top w:val="none" w:sz="0" w:space="0" w:color="auto"/>
        <w:left w:val="none" w:sz="0" w:space="0" w:color="auto"/>
        <w:bottom w:val="none" w:sz="0" w:space="0" w:color="auto"/>
        <w:right w:val="none" w:sz="0" w:space="0" w:color="auto"/>
        <w:between w:val="none" w:sz="0" w:space="0" w:color="auto"/>
        <w:bar w:val="none" w:sz="0" w:color="auto"/>
      </w:pBdr>
      <w:spacing w:before="200" w:after="160" w:line="240" w:lineRule="exact"/>
    </w:pPr>
    <w:rPr>
      <w:rFonts w:ascii="Verdana" w:hAnsi="Verdana"/>
      <w:sz w:val="22"/>
      <w:szCs w:val="20"/>
      <w:bdr w:val="none" w:sz="0" w:space="0" w:color="auto"/>
      <w:vertAlign w:val="superscript"/>
      <w:lang w:val="es-ES" w:eastAsia="es-ES"/>
    </w:rPr>
  </w:style>
  <w:style w:type="character" w:customStyle="1" w:styleId="ListParagraphChar">
    <w:name w:val="List Paragraph Char"/>
    <w:aliases w:val="Párrafo de lista1 Char,List Paragraph1 Char,Colorful List - Accent 11 Char,List Paragraph11 Char,List Paragraph2 Char,Colorful List - Accent 12 Char,Lista vistosa - Énfasis 11 Char,Subtle Emphasis1 Char,Footnote1 Char,Parragrap Char"/>
    <w:link w:val="ListParagraph"/>
    <w:uiPriority w:val="72"/>
    <w:locked/>
    <w:rsid w:val="008D2EB9"/>
    <w:rPr>
      <w:rFonts w:ascii="Cambria" w:eastAsia="Cambria" w:hAnsi="Cambria" w:cs="Cambria"/>
      <w:color w:val="000000"/>
      <w:sz w:val="18"/>
      <w:szCs w:val="18"/>
      <w:u w:color="000000"/>
      <w:lang w:val="es-CO"/>
    </w:rPr>
  </w:style>
  <w:style w:type="paragraph" w:styleId="NoSpacing">
    <w:name w:val="No Spacing"/>
    <w:aliases w:val="Informes"/>
    <w:link w:val="NoSpacingChar"/>
    <w:uiPriority w:val="99"/>
    <w:qFormat/>
    <w:rsid w:val="00161D34"/>
    <w:rPr>
      <w:sz w:val="24"/>
      <w:szCs w:val="24"/>
      <w:lang w:val="en-US" w:eastAsia="en-US"/>
    </w:rPr>
  </w:style>
  <w:style w:type="paragraph" w:customStyle="1" w:styleId="parrafos">
    <w:name w:val="parrafos"/>
    <w:basedOn w:val="Normal"/>
    <w:link w:val="parrafosChar"/>
    <w:qFormat/>
    <w:rsid w:val="00914740"/>
    <w:pPr>
      <w:numPr>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pPr>
    <w:rPr>
      <w:rFonts w:asciiTheme="majorHAnsi" w:hAnsiTheme="majorHAnsi"/>
      <w:color w:val="000000" w:themeColor="text1"/>
      <w:sz w:val="20"/>
      <w:szCs w:val="20"/>
      <w:lang w:val="es-VE"/>
    </w:rPr>
  </w:style>
  <w:style w:type="paragraph" w:customStyle="1" w:styleId="citas">
    <w:name w:val="citas"/>
    <w:basedOn w:val="ListParagraph"/>
    <w:link w:val="citasChar"/>
    <w:qFormat/>
    <w:rsid w:val="00914740"/>
  </w:style>
  <w:style w:type="character" w:customStyle="1" w:styleId="parrafosChar">
    <w:name w:val="parrafos Char"/>
    <w:basedOn w:val="DefaultParagraphFont"/>
    <w:link w:val="parrafos"/>
    <w:rsid w:val="00914740"/>
    <w:rPr>
      <w:rFonts w:asciiTheme="majorHAnsi" w:hAnsiTheme="majorHAnsi"/>
      <w:color w:val="000000" w:themeColor="text1"/>
      <w:lang w:val="es-VE" w:eastAsia="en-US"/>
    </w:rPr>
  </w:style>
  <w:style w:type="character" w:customStyle="1" w:styleId="citasChar">
    <w:name w:val="citas Char"/>
    <w:basedOn w:val="ListParagraphChar"/>
    <w:link w:val="citas"/>
    <w:rsid w:val="00914740"/>
    <w:rPr>
      <w:rFonts w:ascii="Cambria" w:eastAsia="Cambria" w:hAnsi="Cambria" w:cs="Cambria"/>
      <w:color w:val="000000"/>
      <w:sz w:val="18"/>
      <w:szCs w:val="18"/>
      <w:u w:color="000000"/>
      <w:lang w:val="es-CO"/>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ootnotes">
    <w:name w:val="Footnotes"/>
    <w:basedOn w:val="FootnoteText"/>
    <w:qFormat/>
    <w:rsid w:val="00A707DB"/>
    <w:pPr>
      <w:pBdr>
        <w:top w:val="none" w:sz="0" w:space="0" w:color="auto"/>
        <w:left w:val="none" w:sz="0" w:space="0" w:color="auto"/>
        <w:bottom w:val="none" w:sz="0" w:space="0" w:color="auto"/>
        <w:right w:val="none" w:sz="0" w:space="0" w:color="auto"/>
        <w:between w:val="none" w:sz="0" w:space="0" w:color="auto"/>
        <w:bar w:val="none" w:sz="0" w:color="auto"/>
      </w:pBdr>
      <w:spacing w:after="120"/>
      <w:ind w:firstLine="720"/>
    </w:pPr>
    <w:rPr>
      <w:rFonts w:ascii="Cambria" w:eastAsia="Times New Roman" w:hAnsi="Cambria" w:cs="Times New Roman"/>
      <w:color w:val="auto"/>
      <w:sz w:val="18"/>
      <w:szCs w:val="18"/>
      <w:bdr w:val="none" w:sz="0" w:space="0" w:color="auto"/>
      <w:lang w:eastAsia="en-US"/>
    </w:rPr>
  </w:style>
  <w:style w:type="character" w:styleId="UnresolvedMention">
    <w:name w:val="Unresolved Mention"/>
    <w:basedOn w:val="DefaultParagraphFont"/>
    <w:uiPriority w:val="99"/>
    <w:semiHidden/>
    <w:unhideWhenUsed/>
    <w:rsid w:val="00D4444A"/>
    <w:rPr>
      <w:color w:val="605E5C"/>
      <w:shd w:val="clear" w:color="auto" w:fill="E1DFDD"/>
    </w:rPr>
  </w:style>
  <w:style w:type="character" w:styleId="FollowedHyperlink">
    <w:name w:val="FollowedHyperlink"/>
    <w:basedOn w:val="DefaultParagraphFont"/>
    <w:uiPriority w:val="99"/>
    <w:semiHidden/>
    <w:unhideWhenUsed/>
    <w:rsid w:val="008E46C1"/>
    <w:rPr>
      <w:color w:val="800080" w:themeColor="followedHyperlink"/>
      <w:u w:val="single"/>
    </w:rPr>
  </w:style>
  <w:style w:type="character" w:styleId="CommentReference">
    <w:name w:val="annotation reference"/>
    <w:basedOn w:val="DefaultParagraphFont"/>
    <w:uiPriority w:val="99"/>
    <w:semiHidden/>
    <w:unhideWhenUsed/>
    <w:rsid w:val="000864BE"/>
    <w:rPr>
      <w:sz w:val="16"/>
      <w:szCs w:val="16"/>
    </w:rPr>
  </w:style>
  <w:style w:type="paragraph" w:styleId="CommentText">
    <w:name w:val="annotation text"/>
    <w:basedOn w:val="Normal"/>
    <w:link w:val="CommentTextChar"/>
    <w:uiPriority w:val="99"/>
    <w:unhideWhenUsed/>
    <w:rsid w:val="000864BE"/>
    <w:rPr>
      <w:sz w:val="20"/>
      <w:szCs w:val="20"/>
    </w:rPr>
  </w:style>
  <w:style w:type="character" w:customStyle="1" w:styleId="CommentTextChar">
    <w:name w:val="Comment Text Char"/>
    <w:basedOn w:val="DefaultParagraphFont"/>
    <w:link w:val="CommentText"/>
    <w:uiPriority w:val="99"/>
    <w:rsid w:val="000864BE"/>
    <w:rPr>
      <w:lang w:val="en-US" w:eastAsia="en-US"/>
    </w:rPr>
  </w:style>
  <w:style w:type="paragraph" w:styleId="CommentSubject">
    <w:name w:val="annotation subject"/>
    <w:basedOn w:val="CommentText"/>
    <w:next w:val="CommentText"/>
    <w:link w:val="CommentSubjectChar"/>
    <w:uiPriority w:val="99"/>
    <w:semiHidden/>
    <w:unhideWhenUsed/>
    <w:rsid w:val="000864BE"/>
    <w:rPr>
      <w:b/>
      <w:bCs/>
    </w:rPr>
  </w:style>
  <w:style w:type="character" w:customStyle="1" w:styleId="CommentSubjectChar">
    <w:name w:val="Comment Subject Char"/>
    <w:basedOn w:val="CommentTextChar"/>
    <w:link w:val="CommentSubject"/>
    <w:uiPriority w:val="99"/>
    <w:semiHidden/>
    <w:rsid w:val="000864BE"/>
    <w:rPr>
      <w:b/>
      <w:bCs/>
      <w:lang w:val="en-US" w:eastAsia="en-US"/>
    </w:rPr>
  </w:style>
  <w:style w:type="character" w:styleId="Emphasis">
    <w:name w:val="Emphasis"/>
    <w:basedOn w:val="DefaultParagraphFont"/>
    <w:uiPriority w:val="20"/>
    <w:qFormat/>
    <w:rsid w:val="000F30A5"/>
    <w:rPr>
      <w:i/>
      <w:iCs/>
    </w:rPr>
  </w:style>
  <w:style w:type="character" w:customStyle="1" w:styleId="normaltextrun">
    <w:name w:val="normaltextrun"/>
    <w:basedOn w:val="DefaultParagraphFont"/>
    <w:rsid w:val="003567E6"/>
  </w:style>
  <w:style w:type="character" w:customStyle="1" w:styleId="eop">
    <w:name w:val="eop"/>
    <w:basedOn w:val="DefaultParagraphFont"/>
    <w:rsid w:val="003567E6"/>
  </w:style>
  <w:style w:type="paragraph" w:customStyle="1" w:styleId="paragraph">
    <w:name w:val="paragraph"/>
    <w:basedOn w:val="Normal"/>
    <w:rsid w:val="003567E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uiPriority w:val="22"/>
    <w:qFormat/>
    <w:rsid w:val="00D9589A"/>
    <w:rPr>
      <w:b/>
      <w:bCs/>
    </w:rPr>
  </w:style>
  <w:style w:type="character" w:customStyle="1" w:styleId="EnlacedeInternet">
    <w:name w:val="Enlace de Internet"/>
    <w:uiPriority w:val="99"/>
    <w:unhideWhenUsed/>
    <w:rsid w:val="00D9589A"/>
    <w:rPr>
      <w:color w:val="0000FF"/>
      <w:u w:val="single"/>
    </w:rPr>
  </w:style>
  <w:style w:type="character" w:customStyle="1" w:styleId="NoSpacingChar">
    <w:name w:val="No Spacing Char"/>
    <w:aliases w:val="Informes Char"/>
    <w:link w:val="NoSpacing"/>
    <w:uiPriority w:val="99"/>
    <w:qFormat/>
    <w:locked/>
    <w:rsid w:val="00D9589A"/>
    <w:rPr>
      <w:sz w:val="24"/>
      <w:szCs w:val="24"/>
      <w:lang w:val="en-US" w:eastAsia="en-US"/>
    </w:rPr>
  </w:style>
  <w:style w:type="paragraph" w:styleId="NormalWeb">
    <w:name w:val="Normal (Web)"/>
    <w:basedOn w:val="Normal"/>
    <w:uiPriority w:val="99"/>
    <w:semiHidden/>
    <w:unhideWhenUsed/>
    <w:rsid w:val="00C11C6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superscript">
    <w:name w:val="superscript"/>
    <w:basedOn w:val="DefaultParagraphFont"/>
    <w:rsid w:val="004621F6"/>
  </w:style>
  <w:style w:type="character" w:customStyle="1" w:styleId="highlight">
    <w:name w:val="highlight"/>
    <w:basedOn w:val="DefaultParagraphFont"/>
    <w:rsid w:val="00C021D6"/>
  </w:style>
  <w:style w:type="paragraph" w:styleId="Revision">
    <w:name w:val="Revision"/>
    <w:hidden/>
    <w:uiPriority w:val="99"/>
    <w:semiHidden/>
    <w:rsid w:val="009D00C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1644">
      <w:bodyDiv w:val="1"/>
      <w:marLeft w:val="0"/>
      <w:marRight w:val="0"/>
      <w:marTop w:val="0"/>
      <w:marBottom w:val="0"/>
      <w:divBdr>
        <w:top w:val="none" w:sz="0" w:space="0" w:color="auto"/>
        <w:left w:val="none" w:sz="0" w:space="0" w:color="auto"/>
        <w:bottom w:val="none" w:sz="0" w:space="0" w:color="auto"/>
        <w:right w:val="none" w:sz="0" w:space="0" w:color="auto"/>
      </w:divBdr>
      <w:divsChild>
        <w:div w:id="491677773">
          <w:marLeft w:val="0"/>
          <w:marRight w:val="0"/>
          <w:marTop w:val="0"/>
          <w:marBottom w:val="0"/>
          <w:divBdr>
            <w:top w:val="none" w:sz="0" w:space="0" w:color="auto"/>
            <w:left w:val="none" w:sz="0" w:space="0" w:color="auto"/>
            <w:bottom w:val="none" w:sz="0" w:space="0" w:color="auto"/>
            <w:right w:val="none" w:sz="0" w:space="0" w:color="auto"/>
          </w:divBdr>
        </w:div>
        <w:div w:id="1892568597">
          <w:marLeft w:val="0"/>
          <w:marRight w:val="0"/>
          <w:marTop w:val="0"/>
          <w:marBottom w:val="0"/>
          <w:divBdr>
            <w:top w:val="none" w:sz="0" w:space="0" w:color="auto"/>
            <w:left w:val="none" w:sz="0" w:space="0" w:color="auto"/>
            <w:bottom w:val="none" w:sz="0" w:space="0" w:color="auto"/>
            <w:right w:val="none" w:sz="0" w:space="0" w:color="auto"/>
          </w:divBdr>
        </w:div>
        <w:div w:id="361788774">
          <w:marLeft w:val="0"/>
          <w:marRight w:val="0"/>
          <w:marTop w:val="0"/>
          <w:marBottom w:val="0"/>
          <w:divBdr>
            <w:top w:val="none" w:sz="0" w:space="0" w:color="auto"/>
            <w:left w:val="none" w:sz="0" w:space="0" w:color="auto"/>
            <w:bottom w:val="none" w:sz="0" w:space="0" w:color="auto"/>
            <w:right w:val="none" w:sz="0" w:space="0" w:color="auto"/>
          </w:divBdr>
        </w:div>
        <w:div w:id="1748532859">
          <w:marLeft w:val="0"/>
          <w:marRight w:val="0"/>
          <w:marTop w:val="0"/>
          <w:marBottom w:val="0"/>
          <w:divBdr>
            <w:top w:val="none" w:sz="0" w:space="0" w:color="auto"/>
            <w:left w:val="none" w:sz="0" w:space="0" w:color="auto"/>
            <w:bottom w:val="none" w:sz="0" w:space="0" w:color="auto"/>
            <w:right w:val="none" w:sz="0" w:space="0" w:color="auto"/>
          </w:divBdr>
        </w:div>
        <w:div w:id="1830974679">
          <w:marLeft w:val="0"/>
          <w:marRight w:val="0"/>
          <w:marTop w:val="0"/>
          <w:marBottom w:val="0"/>
          <w:divBdr>
            <w:top w:val="none" w:sz="0" w:space="0" w:color="auto"/>
            <w:left w:val="none" w:sz="0" w:space="0" w:color="auto"/>
            <w:bottom w:val="none" w:sz="0" w:space="0" w:color="auto"/>
            <w:right w:val="none" w:sz="0" w:space="0" w:color="auto"/>
          </w:divBdr>
        </w:div>
      </w:divsChild>
    </w:div>
    <w:div w:id="586501786">
      <w:bodyDiv w:val="1"/>
      <w:marLeft w:val="0"/>
      <w:marRight w:val="0"/>
      <w:marTop w:val="0"/>
      <w:marBottom w:val="0"/>
      <w:divBdr>
        <w:top w:val="none" w:sz="0" w:space="0" w:color="auto"/>
        <w:left w:val="none" w:sz="0" w:space="0" w:color="auto"/>
        <w:bottom w:val="none" w:sz="0" w:space="0" w:color="auto"/>
        <w:right w:val="none" w:sz="0" w:space="0" w:color="auto"/>
      </w:divBdr>
      <w:divsChild>
        <w:div w:id="354910">
          <w:marLeft w:val="0"/>
          <w:marRight w:val="0"/>
          <w:marTop w:val="0"/>
          <w:marBottom w:val="0"/>
          <w:divBdr>
            <w:top w:val="none" w:sz="0" w:space="0" w:color="auto"/>
            <w:left w:val="none" w:sz="0" w:space="0" w:color="auto"/>
            <w:bottom w:val="none" w:sz="0" w:space="0" w:color="auto"/>
            <w:right w:val="none" w:sz="0" w:space="0" w:color="auto"/>
          </w:divBdr>
        </w:div>
        <w:div w:id="1167209693">
          <w:marLeft w:val="0"/>
          <w:marRight w:val="0"/>
          <w:marTop w:val="0"/>
          <w:marBottom w:val="0"/>
          <w:divBdr>
            <w:top w:val="none" w:sz="0" w:space="0" w:color="auto"/>
            <w:left w:val="none" w:sz="0" w:space="0" w:color="auto"/>
            <w:bottom w:val="none" w:sz="0" w:space="0" w:color="auto"/>
            <w:right w:val="none" w:sz="0" w:space="0" w:color="auto"/>
          </w:divBdr>
        </w:div>
      </w:divsChild>
    </w:div>
    <w:div w:id="801001336">
      <w:bodyDiv w:val="1"/>
      <w:marLeft w:val="0"/>
      <w:marRight w:val="0"/>
      <w:marTop w:val="0"/>
      <w:marBottom w:val="0"/>
      <w:divBdr>
        <w:top w:val="none" w:sz="0" w:space="0" w:color="auto"/>
        <w:left w:val="none" w:sz="0" w:space="0" w:color="auto"/>
        <w:bottom w:val="none" w:sz="0" w:space="0" w:color="auto"/>
        <w:right w:val="none" w:sz="0" w:space="0" w:color="auto"/>
      </w:divBdr>
    </w:div>
    <w:div w:id="1000697397">
      <w:bodyDiv w:val="1"/>
      <w:marLeft w:val="0"/>
      <w:marRight w:val="0"/>
      <w:marTop w:val="0"/>
      <w:marBottom w:val="0"/>
      <w:divBdr>
        <w:top w:val="none" w:sz="0" w:space="0" w:color="auto"/>
        <w:left w:val="none" w:sz="0" w:space="0" w:color="auto"/>
        <w:bottom w:val="none" w:sz="0" w:space="0" w:color="auto"/>
        <w:right w:val="none" w:sz="0" w:space="0" w:color="auto"/>
      </w:divBdr>
      <w:divsChild>
        <w:div w:id="741097883">
          <w:marLeft w:val="0"/>
          <w:marRight w:val="0"/>
          <w:marTop w:val="0"/>
          <w:marBottom w:val="0"/>
          <w:divBdr>
            <w:top w:val="none" w:sz="0" w:space="0" w:color="auto"/>
            <w:left w:val="none" w:sz="0" w:space="0" w:color="auto"/>
            <w:bottom w:val="none" w:sz="0" w:space="0" w:color="auto"/>
            <w:right w:val="none" w:sz="0" w:space="0" w:color="auto"/>
          </w:divBdr>
          <w:divsChild>
            <w:div w:id="25475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83100">
      <w:bodyDiv w:val="1"/>
      <w:marLeft w:val="0"/>
      <w:marRight w:val="0"/>
      <w:marTop w:val="0"/>
      <w:marBottom w:val="0"/>
      <w:divBdr>
        <w:top w:val="none" w:sz="0" w:space="0" w:color="auto"/>
        <w:left w:val="none" w:sz="0" w:space="0" w:color="auto"/>
        <w:bottom w:val="none" w:sz="0" w:space="0" w:color="auto"/>
        <w:right w:val="none" w:sz="0" w:space="0" w:color="auto"/>
      </w:divBdr>
      <w:divsChild>
        <w:div w:id="33695388">
          <w:marLeft w:val="0"/>
          <w:marRight w:val="0"/>
          <w:marTop w:val="0"/>
          <w:marBottom w:val="0"/>
          <w:divBdr>
            <w:top w:val="none" w:sz="0" w:space="0" w:color="auto"/>
            <w:left w:val="none" w:sz="0" w:space="0" w:color="auto"/>
            <w:bottom w:val="none" w:sz="0" w:space="0" w:color="auto"/>
            <w:right w:val="none" w:sz="0" w:space="0" w:color="auto"/>
          </w:divBdr>
        </w:div>
        <w:div w:id="1231379829">
          <w:marLeft w:val="0"/>
          <w:marRight w:val="0"/>
          <w:marTop w:val="0"/>
          <w:marBottom w:val="0"/>
          <w:divBdr>
            <w:top w:val="none" w:sz="0" w:space="0" w:color="auto"/>
            <w:left w:val="none" w:sz="0" w:space="0" w:color="auto"/>
            <w:bottom w:val="none" w:sz="0" w:space="0" w:color="auto"/>
            <w:right w:val="none" w:sz="0" w:space="0" w:color="auto"/>
          </w:divBdr>
        </w:div>
        <w:div w:id="1650286071">
          <w:marLeft w:val="0"/>
          <w:marRight w:val="0"/>
          <w:marTop w:val="0"/>
          <w:marBottom w:val="0"/>
          <w:divBdr>
            <w:top w:val="none" w:sz="0" w:space="0" w:color="auto"/>
            <w:left w:val="none" w:sz="0" w:space="0" w:color="auto"/>
            <w:bottom w:val="none" w:sz="0" w:space="0" w:color="auto"/>
            <w:right w:val="none" w:sz="0" w:space="0" w:color="auto"/>
          </w:divBdr>
        </w:div>
        <w:div w:id="1927304948">
          <w:marLeft w:val="0"/>
          <w:marRight w:val="0"/>
          <w:marTop w:val="0"/>
          <w:marBottom w:val="0"/>
          <w:divBdr>
            <w:top w:val="none" w:sz="0" w:space="0" w:color="auto"/>
            <w:left w:val="none" w:sz="0" w:space="0" w:color="auto"/>
            <w:bottom w:val="none" w:sz="0" w:space="0" w:color="auto"/>
            <w:right w:val="none" w:sz="0" w:space="0" w:color="auto"/>
          </w:divBdr>
        </w:div>
        <w:div w:id="1617445695">
          <w:marLeft w:val="0"/>
          <w:marRight w:val="0"/>
          <w:marTop w:val="0"/>
          <w:marBottom w:val="0"/>
          <w:divBdr>
            <w:top w:val="none" w:sz="0" w:space="0" w:color="auto"/>
            <w:left w:val="none" w:sz="0" w:space="0" w:color="auto"/>
            <w:bottom w:val="none" w:sz="0" w:space="0" w:color="auto"/>
            <w:right w:val="none" w:sz="0" w:space="0" w:color="auto"/>
          </w:divBdr>
        </w:div>
        <w:div w:id="1361005999">
          <w:marLeft w:val="0"/>
          <w:marRight w:val="0"/>
          <w:marTop w:val="0"/>
          <w:marBottom w:val="0"/>
          <w:divBdr>
            <w:top w:val="none" w:sz="0" w:space="0" w:color="auto"/>
            <w:left w:val="none" w:sz="0" w:space="0" w:color="auto"/>
            <w:bottom w:val="none" w:sz="0" w:space="0" w:color="auto"/>
            <w:right w:val="none" w:sz="0" w:space="0" w:color="auto"/>
          </w:divBdr>
        </w:div>
        <w:div w:id="1090658527">
          <w:marLeft w:val="0"/>
          <w:marRight w:val="0"/>
          <w:marTop w:val="0"/>
          <w:marBottom w:val="0"/>
          <w:divBdr>
            <w:top w:val="none" w:sz="0" w:space="0" w:color="auto"/>
            <w:left w:val="none" w:sz="0" w:space="0" w:color="auto"/>
            <w:bottom w:val="none" w:sz="0" w:space="0" w:color="auto"/>
            <w:right w:val="none" w:sz="0" w:space="0" w:color="auto"/>
          </w:divBdr>
        </w:div>
        <w:div w:id="196941189">
          <w:marLeft w:val="0"/>
          <w:marRight w:val="0"/>
          <w:marTop w:val="0"/>
          <w:marBottom w:val="0"/>
          <w:divBdr>
            <w:top w:val="none" w:sz="0" w:space="0" w:color="auto"/>
            <w:left w:val="none" w:sz="0" w:space="0" w:color="auto"/>
            <w:bottom w:val="none" w:sz="0" w:space="0" w:color="auto"/>
            <w:right w:val="none" w:sz="0" w:space="0" w:color="auto"/>
          </w:divBdr>
        </w:div>
        <w:div w:id="716777828">
          <w:marLeft w:val="0"/>
          <w:marRight w:val="0"/>
          <w:marTop w:val="0"/>
          <w:marBottom w:val="0"/>
          <w:divBdr>
            <w:top w:val="none" w:sz="0" w:space="0" w:color="auto"/>
            <w:left w:val="none" w:sz="0" w:space="0" w:color="auto"/>
            <w:bottom w:val="none" w:sz="0" w:space="0" w:color="auto"/>
            <w:right w:val="none" w:sz="0" w:space="0" w:color="auto"/>
          </w:divBdr>
        </w:div>
        <w:div w:id="59254347">
          <w:marLeft w:val="0"/>
          <w:marRight w:val="0"/>
          <w:marTop w:val="0"/>
          <w:marBottom w:val="0"/>
          <w:divBdr>
            <w:top w:val="none" w:sz="0" w:space="0" w:color="auto"/>
            <w:left w:val="none" w:sz="0" w:space="0" w:color="auto"/>
            <w:bottom w:val="none" w:sz="0" w:space="0" w:color="auto"/>
            <w:right w:val="none" w:sz="0" w:space="0" w:color="auto"/>
          </w:divBdr>
        </w:div>
        <w:div w:id="461070686">
          <w:marLeft w:val="0"/>
          <w:marRight w:val="0"/>
          <w:marTop w:val="0"/>
          <w:marBottom w:val="0"/>
          <w:divBdr>
            <w:top w:val="none" w:sz="0" w:space="0" w:color="auto"/>
            <w:left w:val="none" w:sz="0" w:space="0" w:color="auto"/>
            <w:bottom w:val="none" w:sz="0" w:space="0" w:color="auto"/>
            <w:right w:val="none" w:sz="0" w:space="0" w:color="auto"/>
          </w:divBdr>
        </w:div>
        <w:div w:id="26613166">
          <w:marLeft w:val="0"/>
          <w:marRight w:val="0"/>
          <w:marTop w:val="0"/>
          <w:marBottom w:val="0"/>
          <w:divBdr>
            <w:top w:val="none" w:sz="0" w:space="0" w:color="auto"/>
            <w:left w:val="none" w:sz="0" w:space="0" w:color="auto"/>
            <w:bottom w:val="none" w:sz="0" w:space="0" w:color="auto"/>
            <w:right w:val="none" w:sz="0" w:space="0" w:color="auto"/>
          </w:divBdr>
        </w:div>
        <w:div w:id="1115638920">
          <w:marLeft w:val="0"/>
          <w:marRight w:val="0"/>
          <w:marTop w:val="0"/>
          <w:marBottom w:val="0"/>
          <w:divBdr>
            <w:top w:val="none" w:sz="0" w:space="0" w:color="auto"/>
            <w:left w:val="none" w:sz="0" w:space="0" w:color="auto"/>
            <w:bottom w:val="none" w:sz="0" w:space="0" w:color="auto"/>
            <w:right w:val="none" w:sz="0" w:space="0" w:color="auto"/>
          </w:divBdr>
        </w:div>
        <w:div w:id="783813042">
          <w:marLeft w:val="0"/>
          <w:marRight w:val="0"/>
          <w:marTop w:val="0"/>
          <w:marBottom w:val="0"/>
          <w:divBdr>
            <w:top w:val="none" w:sz="0" w:space="0" w:color="auto"/>
            <w:left w:val="none" w:sz="0" w:space="0" w:color="auto"/>
            <w:bottom w:val="none" w:sz="0" w:space="0" w:color="auto"/>
            <w:right w:val="none" w:sz="0" w:space="0" w:color="auto"/>
          </w:divBdr>
        </w:div>
        <w:div w:id="1935937555">
          <w:marLeft w:val="0"/>
          <w:marRight w:val="0"/>
          <w:marTop w:val="0"/>
          <w:marBottom w:val="0"/>
          <w:divBdr>
            <w:top w:val="none" w:sz="0" w:space="0" w:color="auto"/>
            <w:left w:val="none" w:sz="0" w:space="0" w:color="auto"/>
            <w:bottom w:val="none" w:sz="0" w:space="0" w:color="auto"/>
            <w:right w:val="none" w:sz="0" w:space="0" w:color="auto"/>
          </w:divBdr>
        </w:div>
        <w:div w:id="901717395">
          <w:marLeft w:val="0"/>
          <w:marRight w:val="0"/>
          <w:marTop w:val="0"/>
          <w:marBottom w:val="0"/>
          <w:divBdr>
            <w:top w:val="none" w:sz="0" w:space="0" w:color="auto"/>
            <w:left w:val="none" w:sz="0" w:space="0" w:color="auto"/>
            <w:bottom w:val="none" w:sz="0" w:space="0" w:color="auto"/>
            <w:right w:val="none" w:sz="0" w:space="0" w:color="auto"/>
          </w:divBdr>
        </w:div>
        <w:div w:id="582296696">
          <w:marLeft w:val="0"/>
          <w:marRight w:val="0"/>
          <w:marTop w:val="0"/>
          <w:marBottom w:val="0"/>
          <w:divBdr>
            <w:top w:val="none" w:sz="0" w:space="0" w:color="auto"/>
            <w:left w:val="none" w:sz="0" w:space="0" w:color="auto"/>
            <w:bottom w:val="none" w:sz="0" w:space="0" w:color="auto"/>
            <w:right w:val="none" w:sz="0" w:space="0" w:color="auto"/>
          </w:divBdr>
        </w:div>
        <w:div w:id="336813766">
          <w:marLeft w:val="0"/>
          <w:marRight w:val="0"/>
          <w:marTop w:val="0"/>
          <w:marBottom w:val="0"/>
          <w:divBdr>
            <w:top w:val="none" w:sz="0" w:space="0" w:color="auto"/>
            <w:left w:val="none" w:sz="0" w:space="0" w:color="auto"/>
            <w:bottom w:val="none" w:sz="0" w:space="0" w:color="auto"/>
            <w:right w:val="none" w:sz="0" w:space="0" w:color="auto"/>
          </w:divBdr>
        </w:div>
        <w:div w:id="2096854814">
          <w:marLeft w:val="0"/>
          <w:marRight w:val="0"/>
          <w:marTop w:val="0"/>
          <w:marBottom w:val="0"/>
          <w:divBdr>
            <w:top w:val="none" w:sz="0" w:space="0" w:color="auto"/>
            <w:left w:val="none" w:sz="0" w:space="0" w:color="auto"/>
            <w:bottom w:val="none" w:sz="0" w:space="0" w:color="auto"/>
            <w:right w:val="none" w:sz="0" w:space="0" w:color="auto"/>
          </w:divBdr>
        </w:div>
        <w:div w:id="1519588487">
          <w:marLeft w:val="0"/>
          <w:marRight w:val="0"/>
          <w:marTop w:val="0"/>
          <w:marBottom w:val="0"/>
          <w:divBdr>
            <w:top w:val="none" w:sz="0" w:space="0" w:color="auto"/>
            <w:left w:val="none" w:sz="0" w:space="0" w:color="auto"/>
            <w:bottom w:val="none" w:sz="0" w:space="0" w:color="auto"/>
            <w:right w:val="none" w:sz="0" w:space="0" w:color="auto"/>
          </w:divBdr>
        </w:div>
        <w:div w:id="2132899337">
          <w:marLeft w:val="0"/>
          <w:marRight w:val="0"/>
          <w:marTop w:val="0"/>
          <w:marBottom w:val="0"/>
          <w:divBdr>
            <w:top w:val="none" w:sz="0" w:space="0" w:color="auto"/>
            <w:left w:val="none" w:sz="0" w:space="0" w:color="auto"/>
            <w:bottom w:val="none" w:sz="0" w:space="0" w:color="auto"/>
            <w:right w:val="none" w:sz="0" w:space="0" w:color="auto"/>
          </w:divBdr>
        </w:div>
        <w:div w:id="1467509761">
          <w:marLeft w:val="0"/>
          <w:marRight w:val="0"/>
          <w:marTop w:val="0"/>
          <w:marBottom w:val="0"/>
          <w:divBdr>
            <w:top w:val="none" w:sz="0" w:space="0" w:color="auto"/>
            <w:left w:val="none" w:sz="0" w:space="0" w:color="auto"/>
            <w:bottom w:val="none" w:sz="0" w:space="0" w:color="auto"/>
            <w:right w:val="none" w:sz="0" w:space="0" w:color="auto"/>
          </w:divBdr>
        </w:div>
        <w:div w:id="2024015905">
          <w:marLeft w:val="0"/>
          <w:marRight w:val="0"/>
          <w:marTop w:val="0"/>
          <w:marBottom w:val="0"/>
          <w:divBdr>
            <w:top w:val="none" w:sz="0" w:space="0" w:color="auto"/>
            <w:left w:val="none" w:sz="0" w:space="0" w:color="auto"/>
            <w:bottom w:val="none" w:sz="0" w:space="0" w:color="auto"/>
            <w:right w:val="none" w:sz="0" w:space="0" w:color="auto"/>
          </w:divBdr>
        </w:div>
        <w:div w:id="1775132000">
          <w:marLeft w:val="0"/>
          <w:marRight w:val="0"/>
          <w:marTop w:val="0"/>
          <w:marBottom w:val="0"/>
          <w:divBdr>
            <w:top w:val="none" w:sz="0" w:space="0" w:color="auto"/>
            <w:left w:val="none" w:sz="0" w:space="0" w:color="auto"/>
            <w:bottom w:val="none" w:sz="0" w:space="0" w:color="auto"/>
            <w:right w:val="none" w:sz="0" w:space="0" w:color="auto"/>
          </w:divBdr>
        </w:div>
        <w:div w:id="1359744847">
          <w:marLeft w:val="0"/>
          <w:marRight w:val="0"/>
          <w:marTop w:val="0"/>
          <w:marBottom w:val="0"/>
          <w:divBdr>
            <w:top w:val="none" w:sz="0" w:space="0" w:color="auto"/>
            <w:left w:val="none" w:sz="0" w:space="0" w:color="auto"/>
            <w:bottom w:val="none" w:sz="0" w:space="0" w:color="auto"/>
            <w:right w:val="none" w:sz="0" w:space="0" w:color="auto"/>
          </w:divBdr>
        </w:div>
        <w:div w:id="1149134291">
          <w:marLeft w:val="0"/>
          <w:marRight w:val="0"/>
          <w:marTop w:val="0"/>
          <w:marBottom w:val="0"/>
          <w:divBdr>
            <w:top w:val="none" w:sz="0" w:space="0" w:color="auto"/>
            <w:left w:val="none" w:sz="0" w:space="0" w:color="auto"/>
            <w:bottom w:val="none" w:sz="0" w:space="0" w:color="auto"/>
            <w:right w:val="none" w:sz="0" w:space="0" w:color="auto"/>
          </w:divBdr>
        </w:div>
        <w:div w:id="2110419624">
          <w:marLeft w:val="0"/>
          <w:marRight w:val="0"/>
          <w:marTop w:val="0"/>
          <w:marBottom w:val="0"/>
          <w:divBdr>
            <w:top w:val="none" w:sz="0" w:space="0" w:color="auto"/>
            <w:left w:val="none" w:sz="0" w:space="0" w:color="auto"/>
            <w:bottom w:val="none" w:sz="0" w:space="0" w:color="auto"/>
            <w:right w:val="none" w:sz="0" w:space="0" w:color="auto"/>
          </w:divBdr>
        </w:div>
        <w:div w:id="1030108515">
          <w:marLeft w:val="0"/>
          <w:marRight w:val="0"/>
          <w:marTop w:val="0"/>
          <w:marBottom w:val="0"/>
          <w:divBdr>
            <w:top w:val="none" w:sz="0" w:space="0" w:color="auto"/>
            <w:left w:val="none" w:sz="0" w:space="0" w:color="auto"/>
            <w:bottom w:val="none" w:sz="0" w:space="0" w:color="auto"/>
            <w:right w:val="none" w:sz="0" w:space="0" w:color="auto"/>
          </w:divBdr>
        </w:div>
        <w:div w:id="898592759">
          <w:marLeft w:val="0"/>
          <w:marRight w:val="0"/>
          <w:marTop w:val="0"/>
          <w:marBottom w:val="0"/>
          <w:divBdr>
            <w:top w:val="none" w:sz="0" w:space="0" w:color="auto"/>
            <w:left w:val="none" w:sz="0" w:space="0" w:color="auto"/>
            <w:bottom w:val="none" w:sz="0" w:space="0" w:color="auto"/>
            <w:right w:val="none" w:sz="0" w:space="0" w:color="auto"/>
          </w:divBdr>
        </w:div>
        <w:div w:id="1942372555">
          <w:marLeft w:val="0"/>
          <w:marRight w:val="0"/>
          <w:marTop w:val="0"/>
          <w:marBottom w:val="0"/>
          <w:divBdr>
            <w:top w:val="none" w:sz="0" w:space="0" w:color="auto"/>
            <w:left w:val="none" w:sz="0" w:space="0" w:color="auto"/>
            <w:bottom w:val="none" w:sz="0" w:space="0" w:color="auto"/>
            <w:right w:val="none" w:sz="0" w:space="0" w:color="auto"/>
          </w:divBdr>
        </w:div>
        <w:div w:id="1473525871">
          <w:marLeft w:val="0"/>
          <w:marRight w:val="0"/>
          <w:marTop w:val="0"/>
          <w:marBottom w:val="0"/>
          <w:divBdr>
            <w:top w:val="none" w:sz="0" w:space="0" w:color="auto"/>
            <w:left w:val="none" w:sz="0" w:space="0" w:color="auto"/>
            <w:bottom w:val="none" w:sz="0" w:space="0" w:color="auto"/>
            <w:right w:val="none" w:sz="0" w:space="0" w:color="auto"/>
          </w:divBdr>
        </w:div>
        <w:div w:id="44765122">
          <w:marLeft w:val="0"/>
          <w:marRight w:val="0"/>
          <w:marTop w:val="0"/>
          <w:marBottom w:val="0"/>
          <w:divBdr>
            <w:top w:val="none" w:sz="0" w:space="0" w:color="auto"/>
            <w:left w:val="none" w:sz="0" w:space="0" w:color="auto"/>
            <w:bottom w:val="none" w:sz="0" w:space="0" w:color="auto"/>
            <w:right w:val="none" w:sz="0" w:space="0" w:color="auto"/>
          </w:divBdr>
        </w:div>
        <w:div w:id="518859019">
          <w:marLeft w:val="0"/>
          <w:marRight w:val="0"/>
          <w:marTop w:val="0"/>
          <w:marBottom w:val="0"/>
          <w:divBdr>
            <w:top w:val="none" w:sz="0" w:space="0" w:color="auto"/>
            <w:left w:val="none" w:sz="0" w:space="0" w:color="auto"/>
            <w:bottom w:val="none" w:sz="0" w:space="0" w:color="auto"/>
            <w:right w:val="none" w:sz="0" w:space="0" w:color="auto"/>
          </w:divBdr>
        </w:div>
        <w:div w:id="796529617">
          <w:marLeft w:val="0"/>
          <w:marRight w:val="0"/>
          <w:marTop w:val="0"/>
          <w:marBottom w:val="0"/>
          <w:divBdr>
            <w:top w:val="none" w:sz="0" w:space="0" w:color="auto"/>
            <w:left w:val="none" w:sz="0" w:space="0" w:color="auto"/>
            <w:bottom w:val="none" w:sz="0" w:space="0" w:color="auto"/>
            <w:right w:val="none" w:sz="0" w:space="0" w:color="auto"/>
          </w:divBdr>
        </w:div>
        <w:div w:id="1479882969">
          <w:marLeft w:val="0"/>
          <w:marRight w:val="0"/>
          <w:marTop w:val="0"/>
          <w:marBottom w:val="0"/>
          <w:divBdr>
            <w:top w:val="none" w:sz="0" w:space="0" w:color="auto"/>
            <w:left w:val="none" w:sz="0" w:space="0" w:color="auto"/>
            <w:bottom w:val="none" w:sz="0" w:space="0" w:color="auto"/>
            <w:right w:val="none" w:sz="0" w:space="0" w:color="auto"/>
          </w:divBdr>
        </w:div>
        <w:div w:id="2089109221">
          <w:marLeft w:val="0"/>
          <w:marRight w:val="0"/>
          <w:marTop w:val="0"/>
          <w:marBottom w:val="0"/>
          <w:divBdr>
            <w:top w:val="none" w:sz="0" w:space="0" w:color="auto"/>
            <w:left w:val="none" w:sz="0" w:space="0" w:color="auto"/>
            <w:bottom w:val="none" w:sz="0" w:space="0" w:color="auto"/>
            <w:right w:val="none" w:sz="0" w:space="0" w:color="auto"/>
          </w:divBdr>
        </w:div>
        <w:div w:id="1837695694">
          <w:marLeft w:val="0"/>
          <w:marRight w:val="0"/>
          <w:marTop w:val="0"/>
          <w:marBottom w:val="0"/>
          <w:divBdr>
            <w:top w:val="none" w:sz="0" w:space="0" w:color="auto"/>
            <w:left w:val="none" w:sz="0" w:space="0" w:color="auto"/>
            <w:bottom w:val="none" w:sz="0" w:space="0" w:color="auto"/>
            <w:right w:val="none" w:sz="0" w:space="0" w:color="auto"/>
          </w:divBdr>
        </w:div>
        <w:div w:id="373963468">
          <w:marLeft w:val="0"/>
          <w:marRight w:val="0"/>
          <w:marTop w:val="0"/>
          <w:marBottom w:val="0"/>
          <w:divBdr>
            <w:top w:val="none" w:sz="0" w:space="0" w:color="auto"/>
            <w:left w:val="none" w:sz="0" w:space="0" w:color="auto"/>
            <w:bottom w:val="none" w:sz="0" w:space="0" w:color="auto"/>
            <w:right w:val="none" w:sz="0" w:space="0" w:color="auto"/>
          </w:divBdr>
        </w:div>
      </w:divsChild>
    </w:div>
    <w:div w:id="1106391004">
      <w:bodyDiv w:val="1"/>
      <w:marLeft w:val="0"/>
      <w:marRight w:val="0"/>
      <w:marTop w:val="0"/>
      <w:marBottom w:val="0"/>
      <w:divBdr>
        <w:top w:val="none" w:sz="0" w:space="0" w:color="auto"/>
        <w:left w:val="none" w:sz="0" w:space="0" w:color="auto"/>
        <w:bottom w:val="none" w:sz="0" w:space="0" w:color="auto"/>
        <w:right w:val="none" w:sz="0" w:space="0" w:color="auto"/>
      </w:divBdr>
      <w:divsChild>
        <w:div w:id="1020208216">
          <w:marLeft w:val="0"/>
          <w:marRight w:val="0"/>
          <w:marTop w:val="0"/>
          <w:marBottom w:val="0"/>
          <w:divBdr>
            <w:top w:val="none" w:sz="0" w:space="0" w:color="auto"/>
            <w:left w:val="none" w:sz="0" w:space="0" w:color="auto"/>
            <w:bottom w:val="none" w:sz="0" w:space="0" w:color="auto"/>
            <w:right w:val="none" w:sz="0" w:space="0" w:color="auto"/>
          </w:divBdr>
        </w:div>
        <w:div w:id="1497064076">
          <w:marLeft w:val="0"/>
          <w:marRight w:val="0"/>
          <w:marTop w:val="0"/>
          <w:marBottom w:val="0"/>
          <w:divBdr>
            <w:top w:val="none" w:sz="0" w:space="0" w:color="auto"/>
            <w:left w:val="none" w:sz="0" w:space="0" w:color="auto"/>
            <w:bottom w:val="none" w:sz="0" w:space="0" w:color="auto"/>
            <w:right w:val="none" w:sz="0" w:space="0" w:color="auto"/>
          </w:divBdr>
        </w:div>
        <w:div w:id="1170827793">
          <w:marLeft w:val="0"/>
          <w:marRight w:val="0"/>
          <w:marTop w:val="0"/>
          <w:marBottom w:val="0"/>
          <w:divBdr>
            <w:top w:val="none" w:sz="0" w:space="0" w:color="auto"/>
            <w:left w:val="none" w:sz="0" w:space="0" w:color="auto"/>
            <w:bottom w:val="none" w:sz="0" w:space="0" w:color="auto"/>
            <w:right w:val="none" w:sz="0" w:space="0" w:color="auto"/>
          </w:divBdr>
        </w:div>
      </w:divsChild>
    </w:div>
    <w:div w:id="1124351049">
      <w:bodyDiv w:val="1"/>
      <w:marLeft w:val="0"/>
      <w:marRight w:val="0"/>
      <w:marTop w:val="0"/>
      <w:marBottom w:val="0"/>
      <w:divBdr>
        <w:top w:val="none" w:sz="0" w:space="0" w:color="auto"/>
        <w:left w:val="none" w:sz="0" w:space="0" w:color="auto"/>
        <w:bottom w:val="none" w:sz="0" w:space="0" w:color="auto"/>
        <w:right w:val="none" w:sz="0" w:space="0" w:color="auto"/>
      </w:divBdr>
      <w:divsChild>
        <w:div w:id="714810727">
          <w:marLeft w:val="0"/>
          <w:marRight w:val="0"/>
          <w:marTop w:val="0"/>
          <w:marBottom w:val="0"/>
          <w:divBdr>
            <w:top w:val="none" w:sz="0" w:space="0" w:color="auto"/>
            <w:left w:val="none" w:sz="0" w:space="0" w:color="auto"/>
            <w:bottom w:val="none" w:sz="0" w:space="0" w:color="auto"/>
            <w:right w:val="none" w:sz="0" w:space="0" w:color="auto"/>
          </w:divBdr>
        </w:div>
        <w:div w:id="2003239567">
          <w:marLeft w:val="0"/>
          <w:marRight w:val="0"/>
          <w:marTop w:val="0"/>
          <w:marBottom w:val="0"/>
          <w:divBdr>
            <w:top w:val="none" w:sz="0" w:space="0" w:color="auto"/>
            <w:left w:val="none" w:sz="0" w:space="0" w:color="auto"/>
            <w:bottom w:val="none" w:sz="0" w:space="0" w:color="auto"/>
            <w:right w:val="none" w:sz="0" w:space="0" w:color="auto"/>
          </w:divBdr>
        </w:div>
      </w:divsChild>
    </w:div>
    <w:div w:id="1147628324">
      <w:bodyDiv w:val="1"/>
      <w:marLeft w:val="0"/>
      <w:marRight w:val="0"/>
      <w:marTop w:val="0"/>
      <w:marBottom w:val="0"/>
      <w:divBdr>
        <w:top w:val="none" w:sz="0" w:space="0" w:color="auto"/>
        <w:left w:val="none" w:sz="0" w:space="0" w:color="auto"/>
        <w:bottom w:val="none" w:sz="0" w:space="0" w:color="auto"/>
        <w:right w:val="none" w:sz="0" w:space="0" w:color="auto"/>
      </w:divBdr>
    </w:div>
    <w:div w:id="1269316464">
      <w:bodyDiv w:val="1"/>
      <w:marLeft w:val="0"/>
      <w:marRight w:val="0"/>
      <w:marTop w:val="0"/>
      <w:marBottom w:val="0"/>
      <w:divBdr>
        <w:top w:val="none" w:sz="0" w:space="0" w:color="auto"/>
        <w:left w:val="none" w:sz="0" w:space="0" w:color="auto"/>
        <w:bottom w:val="none" w:sz="0" w:space="0" w:color="auto"/>
        <w:right w:val="none" w:sz="0" w:space="0" w:color="auto"/>
      </w:divBdr>
      <w:divsChild>
        <w:div w:id="910627692">
          <w:marLeft w:val="0"/>
          <w:marRight w:val="0"/>
          <w:marTop w:val="0"/>
          <w:marBottom w:val="0"/>
          <w:divBdr>
            <w:top w:val="none" w:sz="0" w:space="0" w:color="auto"/>
            <w:left w:val="none" w:sz="0" w:space="0" w:color="auto"/>
            <w:bottom w:val="none" w:sz="0" w:space="0" w:color="auto"/>
            <w:right w:val="none" w:sz="0" w:space="0" w:color="auto"/>
          </w:divBdr>
        </w:div>
        <w:div w:id="557480129">
          <w:marLeft w:val="0"/>
          <w:marRight w:val="0"/>
          <w:marTop w:val="0"/>
          <w:marBottom w:val="0"/>
          <w:divBdr>
            <w:top w:val="none" w:sz="0" w:space="0" w:color="auto"/>
            <w:left w:val="none" w:sz="0" w:space="0" w:color="auto"/>
            <w:bottom w:val="none" w:sz="0" w:space="0" w:color="auto"/>
            <w:right w:val="none" w:sz="0" w:space="0" w:color="auto"/>
          </w:divBdr>
        </w:div>
        <w:div w:id="726487950">
          <w:marLeft w:val="0"/>
          <w:marRight w:val="0"/>
          <w:marTop w:val="0"/>
          <w:marBottom w:val="0"/>
          <w:divBdr>
            <w:top w:val="none" w:sz="0" w:space="0" w:color="auto"/>
            <w:left w:val="none" w:sz="0" w:space="0" w:color="auto"/>
            <w:bottom w:val="none" w:sz="0" w:space="0" w:color="auto"/>
            <w:right w:val="none" w:sz="0" w:space="0" w:color="auto"/>
          </w:divBdr>
        </w:div>
        <w:div w:id="481433621">
          <w:marLeft w:val="0"/>
          <w:marRight w:val="0"/>
          <w:marTop w:val="0"/>
          <w:marBottom w:val="0"/>
          <w:divBdr>
            <w:top w:val="none" w:sz="0" w:space="0" w:color="auto"/>
            <w:left w:val="none" w:sz="0" w:space="0" w:color="auto"/>
            <w:bottom w:val="none" w:sz="0" w:space="0" w:color="auto"/>
            <w:right w:val="none" w:sz="0" w:space="0" w:color="auto"/>
          </w:divBdr>
        </w:div>
        <w:div w:id="1523013286">
          <w:marLeft w:val="0"/>
          <w:marRight w:val="0"/>
          <w:marTop w:val="0"/>
          <w:marBottom w:val="0"/>
          <w:divBdr>
            <w:top w:val="none" w:sz="0" w:space="0" w:color="auto"/>
            <w:left w:val="none" w:sz="0" w:space="0" w:color="auto"/>
            <w:bottom w:val="none" w:sz="0" w:space="0" w:color="auto"/>
            <w:right w:val="none" w:sz="0" w:space="0" w:color="auto"/>
          </w:divBdr>
        </w:div>
        <w:div w:id="223761419">
          <w:marLeft w:val="0"/>
          <w:marRight w:val="0"/>
          <w:marTop w:val="0"/>
          <w:marBottom w:val="0"/>
          <w:divBdr>
            <w:top w:val="none" w:sz="0" w:space="0" w:color="auto"/>
            <w:left w:val="none" w:sz="0" w:space="0" w:color="auto"/>
            <w:bottom w:val="none" w:sz="0" w:space="0" w:color="auto"/>
            <w:right w:val="none" w:sz="0" w:space="0" w:color="auto"/>
          </w:divBdr>
        </w:div>
      </w:divsChild>
    </w:div>
    <w:div w:id="1368993403">
      <w:bodyDiv w:val="1"/>
      <w:marLeft w:val="0"/>
      <w:marRight w:val="0"/>
      <w:marTop w:val="0"/>
      <w:marBottom w:val="0"/>
      <w:divBdr>
        <w:top w:val="none" w:sz="0" w:space="0" w:color="auto"/>
        <w:left w:val="none" w:sz="0" w:space="0" w:color="auto"/>
        <w:bottom w:val="none" w:sz="0" w:space="0" w:color="auto"/>
        <w:right w:val="none" w:sz="0" w:space="0" w:color="auto"/>
      </w:divBdr>
      <w:divsChild>
        <w:div w:id="1895658879">
          <w:marLeft w:val="0"/>
          <w:marRight w:val="0"/>
          <w:marTop w:val="0"/>
          <w:marBottom w:val="0"/>
          <w:divBdr>
            <w:top w:val="none" w:sz="0" w:space="0" w:color="auto"/>
            <w:left w:val="none" w:sz="0" w:space="0" w:color="auto"/>
            <w:bottom w:val="none" w:sz="0" w:space="0" w:color="auto"/>
            <w:right w:val="none" w:sz="0" w:space="0" w:color="auto"/>
          </w:divBdr>
        </w:div>
        <w:div w:id="1047728661">
          <w:marLeft w:val="0"/>
          <w:marRight w:val="0"/>
          <w:marTop w:val="0"/>
          <w:marBottom w:val="0"/>
          <w:divBdr>
            <w:top w:val="none" w:sz="0" w:space="0" w:color="auto"/>
            <w:left w:val="none" w:sz="0" w:space="0" w:color="auto"/>
            <w:bottom w:val="none" w:sz="0" w:space="0" w:color="auto"/>
            <w:right w:val="none" w:sz="0" w:space="0" w:color="auto"/>
          </w:divBdr>
        </w:div>
        <w:div w:id="835072087">
          <w:marLeft w:val="0"/>
          <w:marRight w:val="0"/>
          <w:marTop w:val="0"/>
          <w:marBottom w:val="0"/>
          <w:divBdr>
            <w:top w:val="none" w:sz="0" w:space="0" w:color="auto"/>
            <w:left w:val="none" w:sz="0" w:space="0" w:color="auto"/>
            <w:bottom w:val="none" w:sz="0" w:space="0" w:color="auto"/>
            <w:right w:val="none" w:sz="0" w:space="0" w:color="auto"/>
          </w:divBdr>
        </w:div>
        <w:div w:id="2113084100">
          <w:marLeft w:val="0"/>
          <w:marRight w:val="0"/>
          <w:marTop w:val="0"/>
          <w:marBottom w:val="0"/>
          <w:divBdr>
            <w:top w:val="none" w:sz="0" w:space="0" w:color="auto"/>
            <w:left w:val="none" w:sz="0" w:space="0" w:color="auto"/>
            <w:bottom w:val="none" w:sz="0" w:space="0" w:color="auto"/>
            <w:right w:val="none" w:sz="0" w:space="0" w:color="auto"/>
          </w:divBdr>
        </w:div>
        <w:div w:id="1622686793">
          <w:marLeft w:val="0"/>
          <w:marRight w:val="0"/>
          <w:marTop w:val="0"/>
          <w:marBottom w:val="0"/>
          <w:divBdr>
            <w:top w:val="none" w:sz="0" w:space="0" w:color="auto"/>
            <w:left w:val="none" w:sz="0" w:space="0" w:color="auto"/>
            <w:bottom w:val="none" w:sz="0" w:space="0" w:color="auto"/>
            <w:right w:val="none" w:sz="0" w:space="0" w:color="auto"/>
          </w:divBdr>
        </w:div>
        <w:div w:id="1398282412">
          <w:marLeft w:val="0"/>
          <w:marRight w:val="0"/>
          <w:marTop w:val="0"/>
          <w:marBottom w:val="0"/>
          <w:divBdr>
            <w:top w:val="none" w:sz="0" w:space="0" w:color="auto"/>
            <w:left w:val="none" w:sz="0" w:space="0" w:color="auto"/>
            <w:bottom w:val="none" w:sz="0" w:space="0" w:color="auto"/>
            <w:right w:val="none" w:sz="0" w:space="0" w:color="auto"/>
          </w:divBdr>
        </w:div>
        <w:div w:id="203713075">
          <w:marLeft w:val="0"/>
          <w:marRight w:val="0"/>
          <w:marTop w:val="0"/>
          <w:marBottom w:val="0"/>
          <w:divBdr>
            <w:top w:val="none" w:sz="0" w:space="0" w:color="auto"/>
            <w:left w:val="none" w:sz="0" w:space="0" w:color="auto"/>
            <w:bottom w:val="none" w:sz="0" w:space="0" w:color="auto"/>
            <w:right w:val="none" w:sz="0" w:space="0" w:color="auto"/>
          </w:divBdr>
        </w:div>
      </w:divsChild>
    </w:div>
    <w:div w:id="1665359848">
      <w:bodyDiv w:val="1"/>
      <w:marLeft w:val="0"/>
      <w:marRight w:val="0"/>
      <w:marTop w:val="0"/>
      <w:marBottom w:val="0"/>
      <w:divBdr>
        <w:top w:val="none" w:sz="0" w:space="0" w:color="auto"/>
        <w:left w:val="none" w:sz="0" w:space="0" w:color="auto"/>
        <w:bottom w:val="none" w:sz="0" w:space="0" w:color="auto"/>
        <w:right w:val="none" w:sz="0" w:space="0" w:color="auto"/>
      </w:divBdr>
    </w:div>
    <w:div w:id="1666932938">
      <w:bodyDiv w:val="1"/>
      <w:marLeft w:val="0"/>
      <w:marRight w:val="0"/>
      <w:marTop w:val="0"/>
      <w:marBottom w:val="0"/>
      <w:divBdr>
        <w:top w:val="none" w:sz="0" w:space="0" w:color="auto"/>
        <w:left w:val="none" w:sz="0" w:space="0" w:color="auto"/>
        <w:bottom w:val="none" w:sz="0" w:space="0" w:color="auto"/>
        <w:right w:val="none" w:sz="0" w:space="0" w:color="auto"/>
      </w:divBdr>
      <w:divsChild>
        <w:div w:id="1138765738">
          <w:marLeft w:val="0"/>
          <w:marRight w:val="0"/>
          <w:marTop w:val="0"/>
          <w:marBottom w:val="0"/>
          <w:divBdr>
            <w:top w:val="none" w:sz="0" w:space="0" w:color="auto"/>
            <w:left w:val="none" w:sz="0" w:space="0" w:color="auto"/>
            <w:bottom w:val="none" w:sz="0" w:space="0" w:color="auto"/>
            <w:right w:val="none" w:sz="0" w:space="0" w:color="auto"/>
          </w:divBdr>
        </w:div>
        <w:div w:id="708458646">
          <w:marLeft w:val="0"/>
          <w:marRight w:val="0"/>
          <w:marTop w:val="0"/>
          <w:marBottom w:val="0"/>
          <w:divBdr>
            <w:top w:val="none" w:sz="0" w:space="0" w:color="auto"/>
            <w:left w:val="none" w:sz="0" w:space="0" w:color="auto"/>
            <w:bottom w:val="none" w:sz="0" w:space="0" w:color="auto"/>
            <w:right w:val="none" w:sz="0" w:space="0" w:color="auto"/>
          </w:divBdr>
        </w:div>
        <w:div w:id="2118483390">
          <w:marLeft w:val="0"/>
          <w:marRight w:val="0"/>
          <w:marTop w:val="0"/>
          <w:marBottom w:val="0"/>
          <w:divBdr>
            <w:top w:val="none" w:sz="0" w:space="0" w:color="auto"/>
            <w:left w:val="none" w:sz="0" w:space="0" w:color="auto"/>
            <w:bottom w:val="none" w:sz="0" w:space="0" w:color="auto"/>
            <w:right w:val="none" w:sz="0" w:space="0" w:color="auto"/>
          </w:divBdr>
        </w:div>
        <w:div w:id="364983824">
          <w:marLeft w:val="0"/>
          <w:marRight w:val="0"/>
          <w:marTop w:val="0"/>
          <w:marBottom w:val="0"/>
          <w:divBdr>
            <w:top w:val="none" w:sz="0" w:space="0" w:color="auto"/>
            <w:left w:val="none" w:sz="0" w:space="0" w:color="auto"/>
            <w:bottom w:val="none" w:sz="0" w:space="0" w:color="auto"/>
            <w:right w:val="none" w:sz="0" w:space="0" w:color="auto"/>
          </w:divBdr>
        </w:div>
        <w:div w:id="292181446">
          <w:marLeft w:val="0"/>
          <w:marRight w:val="0"/>
          <w:marTop w:val="0"/>
          <w:marBottom w:val="0"/>
          <w:divBdr>
            <w:top w:val="none" w:sz="0" w:space="0" w:color="auto"/>
            <w:left w:val="none" w:sz="0" w:space="0" w:color="auto"/>
            <w:bottom w:val="none" w:sz="0" w:space="0" w:color="auto"/>
            <w:right w:val="none" w:sz="0" w:space="0" w:color="auto"/>
          </w:divBdr>
        </w:div>
        <w:div w:id="603462918">
          <w:marLeft w:val="0"/>
          <w:marRight w:val="0"/>
          <w:marTop w:val="0"/>
          <w:marBottom w:val="0"/>
          <w:divBdr>
            <w:top w:val="none" w:sz="0" w:space="0" w:color="auto"/>
            <w:left w:val="none" w:sz="0" w:space="0" w:color="auto"/>
            <w:bottom w:val="none" w:sz="0" w:space="0" w:color="auto"/>
            <w:right w:val="none" w:sz="0" w:space="0" w:color="auto"/>
          </w:divBdr>
        </w:div>
        <w:div w:id="239751339">
          <w:marLeft w:val="0"/>
          <w:marRight w:val="0"/>
          <w:marTop w:val="0"/>
          <w:marBottom w:val="0"/>
          <w:divBdr>
            <w:top w:val="none" w:sz="0" w:space="0" w:color="auto"/>
            <w:left w:val="none" w:sz="0" w:space="0" w:color="auto"/>
            <w:bottom w:val="none" w:sz="0" w:space="0" w:color="auto"/>
            <w:right w:val="none" w:sz="0" w:space="0" w:color="auto"/>
          </w:divBdr>
        </w:div>
        <w:div w:id="1284120011">
          <w:marLeft w:val="0"/>
          <w:marRight w:val="0"/>
          <w:marTop w:val="0"/>
          <w:marBottom w:val="0"/>
          <w:divBdr>
            <w:top w:val="none" w:sz="0" w:space="0" w:color="auto"/>
            <w:left w:val="none" w:sz="0" w:space="0" w:color="auto"/>
            <w:bottom w:val="none" w:sz="0" w:space="0" w:color="auto"/>
            <w:right w:val="none" w:sz="0" w:space="0" w:color="auto"/>
          </w:divBdr>
        </w:div>
        <w:div w:id="163712947">
          <w:marLeft w:val="0"/>
          <w:marRight w:val="0"/>
          <w:marTop w:val="0"/>
          <w:marBottom w:val="0"/>
          <w:divBdr>
            <w:top w:val="none" w:sz="0" w:space="0" w:color="auto"/>
            <w:left w:val="none" w:sz="0" w:space="0" w:color="auto"/>
            <w:bottom w:val="none" w:sz="0" w:space="0" w:color="auto"/>
            <w:right w:val="none" w:sz="0" w:space="0" w:color="auto"/>
          </w:divBdr>
        </w:div>
        <w:div w:id="1187327442">
          <w:marLeft w:val="0"/>
          <w:marRight w:val="0"/>
          <w:marTop w:val="0"/>
          <w:marBottom w:val="0"/>
          <w:divBdr>
            <w:top w:val="none" w:sz="0" w:space="0" w:color="auto"/>
            <w:left w:val="none" w:sz="0" w:space="0" w:color="auto"/>
            <w:bottom w:val="none" w:sz="0" w:space="0" w:color="auto"/>
            <w:right w:val="none" w:sz="0" w:space="0" w:color="auto"/>
          </w:divBdr>
        </w:div>
        <w:div w:id="1922137193">
          <w:marLeft w:val="0"/>
          <w:marRight w:val="0"/>
          <w:marTop w:val="0"/>
          <w:marBottom w:val="0"/>
          <w:divBdr>
            <w:top w:val="none" w:sz="0" w:space="0" w:color="auto"/>
            <w:left w:val="none" w:sz="0" w:space="0" w:color="auto"/>
            <w:bottom w:val="none" w:sz="0" w:space="0" w:color="auto"/>
            <w:right w:val="none" w:sz="0" w:space="0" w:color="auto"/>
          </w:divBdr>
        </w:div>
        <w:div w:id="12996216">
          <w:marLeft w:val="0"/>
          <w:marRight w:val="0"/>
          <w:marTop w:val="0"/>
          <w:marBottom w:val="0"/>
          <w:divBdr>
            <w:top w:val="none" w:sz="0" w:space="0" w:color="auto"/>
            <w:left w:val="none" w:sz="0" w:space="0" w:color="auto"/>
            <w:bottom w:val="none" w:sz="0" w:space="0" w:color="auto"/>
            <w:right w:val="none" w:sz="0" w:space="0" w:color="auto"/>
          </w:divBdr>
        </w:div>
        <w:div w:id="1687367608">
          <w:marLeft w:val="0"/>
          <w:marRight w:val="0"/>
          <w:marTop w:val="0"/>
          <w:marBottom w:val="0"/>
          <w:divBdr>
            <w:top w:val="none" w:sz="0" w:space="0" w:color="auto"/>
            <w:left w:val="none" w:sz="0" w:space="0" w:color="auto"/>
            <w:bottom w:val="none" w:sz="0" w:space="0" w:color="auto"/>
            <w:right w:val="none" w:sz="0" w:space="0" w:color="auto"/>
          </w:divBdr>
        </w:div>
        <w:div w:id="1000306207">
          <w:marLeft w:val="0"/>
          <w:marRight w:val="0"/>
          <w:marTop w:val="0"/>
          <w:marBottom w:val="0"/>
          <w:divBdr>
            <w:top w:val="none" w:sz="0" w:space="0" w:color="auto"/>
            <w:left w:val="none" w:sz="0" w:space="0" w:color="auto"/>
            <w:bottom w:val="none" w:sz="0" w:space="0" w:color="auto"/>
            <w:right w:val="none" w:sz="0" w:space="0" w:color="auto"/>
          </w:divBdr>
        </w:div>
        <w:div w:id="902914121">
          <w:marLeft w:val="0"/>
          <w:marRight w:val="0"/>
          <w:marTop w:val="0"/>
          <w:marBottom w:val="0"/>
          <w:divBdr>
            <w:top w:val="none" w:sz="0" w:space="0" w:color="auto"/>
            <w:left w:val="none" w:sz="0" w:space="0" w:color="auto"/>
            <w:bottom w:val="none" w:sz="0" w:space="0" w:color="auto"/>
            <w:right w:val="none" w:sz="0" w:space="0" w:color="auto"/>
          </w:divBdr>
        </w:div>
      </w:divsChild>
    </w:div>
    <w:div w:id="1704400007">
      <w:bodyDiv w:val="1"/>
      <w:marLeft w:val="0"/>
      <w:marRight w:val="0"/>
      <w:marTop w:val="0"/>
      <w:marBottom w:val="0"/>
      <w:divBdr>
        <w:top w:val="none" w:sz="0" w:space="0" w:color="auto"/>
        <w:left w:val="none" w:sz="0" w:space="0" w:color="auto"/>
        <w:bottom w:val="none" w:sz="0" w:space="0" w:color="auto"/>
        <w:right w:val="none" w:sz="0" w:space="0" w:color="auto"/>
      </w:divBdr>
      <w:divsChild>
        <w:div w:id="1610164787">
          <w:marLeft w:val="0"/>
          <w:marRight w:val="0"/>
          <w:marTop w:val="0"/>
          <w:marBottom w:val="0"/>
          <w:divBdr>
            <w:top w:val="none" w:sz="0" w:space="0" w:color="auto"/>
            <w:left w:val="none" w:sz="0" w:space="0" w:color="auto"/>
            <w:bottom w:val="none" w:sz="0" w:space="0" w:color="auto"/>
            <w:right w:val="none" w:sz="0" w:space="0" w:color="auto"/>
          </w:divBdr>
        </w:div>
        <w:div w:id="1909534515">
          <w:marLeft w:val="0"/>
          <w:marRight w:val="0"/>
          <w:marTop w:val="0"/>
          <w:marBottom w:val="0"/>
          <w:divBdr>
            <w:top w:val="none" w:sz="0" w:space="0" w:color="auto"/>
            <w:left w:val="none" w:sz="0" w:space="0" w:color="auto"/>
            <w:bottom w:val="none" w:sz="0" w:space="0" w:color="auto"/>
            <w:right w:val="none" w:sz="0" w:space="0" w:color="auto"/>
          </w:divBdr>
        </w:div>
        <w:div w:id="1536234890">
          <w:marLeft w:val="0"/>
          <w:marRight w:val="0"/>
          <w:marTop w:val="0"/>
          <w:marBottom w:val="0"/>
          <w:divBdr>
            <w:top w:val="none" w:sz="0" w:space="0" w:color="auto"/>
            <w:left w:val="none" w:sz="0" w:space="0" w:color="auto"/>
            <w:bottom w:val="none" w:sz="0" w:space="0" w:color="auto"/>
            <w:right w:val="none" w:sz="0" w:space="0" w:color="auto"/>
          </w:divBdr>
        </w:div>
        <w:div w:id="1878928367">
          <w:marLeft w:val="0"/>
          <w:marRight w:val="0"/>
          <w:marTop w:val="0"/>
          <w:marBottom w:val="0"/>
          <w:divBdr>
            <w:top w:val="none" w:sz="0" w:space="0" w:color="auto"/>
            <w:left w:val="none" w:sz="0" w:space="0" w:color="auto"/>
            <w:bottom w:val="none" w:sz="0" w:space="0" w:color="auto"/>
            <w:right w:val="none" w:sz="0" w:space="0" w:color="auto"/>
          </w:divBdr>
        </w:div>
        <w:div w:id="186215574">
          <w:marLeft w:val="0"/>
          <w:marRight w:val="0"/>
          <w:marTop w:val="0"/>
          <w:marBottom w:val="0"/>
          <w:divBdr>
            <w:top w:val="none" w:sz="0" w:space="0" w:color="auto"/>
            <w:left w:val="none" w:sz="0" w:space="0" w:color="auto"/>
            <w:bottom w:val="none" w:sz="0" w:space="0" w:color="auto"/>
            <w:right w:val="none" w:sz="0" w:space="0" w:color="auto"/>
          </w:divBdr>
        </w:div>
        <w:div w:id="1275290836">
          <w:marLeft w:val="0"/>
          <w:marRight w:val="0"/>
          <w:marTop w:val="0"/>
          <w:marBottom w:val="0"/>
          <w:divBdr>
            <w:top w:val="none" w:sz="0" w:space="0" w:color="auto"/>
            <w:left w:val="none" w:sz="0" w:space="0" w:color="auto"/>
            <w:bottom w:val="none" w:sz="0" w:space="0" w:color="auto"/>
            <w:right w:val="none" w:sz="0" w:space="0" w:color="auto"/>
          </w:divBdr>
        </w:div>
        <w:div w:id="1022896255">
          <w:marLeft w:val="0"/>
          <w:marRight w:val="0"/>
          <w:marTop w:val="0"/>
          <w:marBottom w:val="0"/>
          <w:divBdr>
            <w:top w:val="none" w:sz="0" w:space="0" w:color="auto"/>
            <w:left w:val="none" w:sz="0" w:space="0" w:color="auto"/>
            <w:bottom w:val="none" w:sz="0" w:space="0" w:color="auto"/>
            <w:right w:val="none" w:sz="0" w:space="0" w:color="auto"/>
          </w:divBdr>
        </w:div>
        <w:div w:id="334570929">
          <w:marLeft w:val="0"/>
          <w:marRight w:val="0"/>
          <w:marTop w:val="0"/>
          <w:marBottom w:val="0"/>
          <w:divBdr>
            <w:top w:val="none" w:sz="0" w:space="0" w:color="auto"/>
            <w:left w:val="none" w:sz="0" w:space="0" w:color="auto"/>
            <w:bottom w:val="none" w:sz="0" w:space="0" w:color="auto"/>
            <w:right w:val="none" w:sz="0" w:space="0" w:color="auto"/>
          </w:divBdr>
        </w:div>
        <w:div w:id="219094534">
          <w:marLeft w:val="0"/>
          <w:marRight w:val="0"/>
          <w:marTop w:val="0"/>
          <w:marBottom w:val="0"/>
          <w:divBdr>
            <w:top w:val="none" w:sz="0" w:space="0" w:color="auto"/>
            <w:left w:val="none" w:sz="0" w:space="0" w:color="auto"/>
            <w:bottom w:val="none" w:sz="0" w:space="0" w:color="auto"/>
            <w:right w:val="none" w:sz="0" w:space="0" w:color="auto"/>
          </w:divBdr>
        </w:div>
        <w:div w:id="1563326485">
          <w:marLeft w:val="0"/>
          <w:marRight w:val="0"/>
          <w:marTop w:val="0"/>
          <w:marBottom w:val="0"/>
          <w:divBdr>
            <w:top w:val="none" w:sz="0" w:space="0" w:color="auto"/>
            <w:left w:val="none" w:sz="0" w:space="0" w:color="auto"/>
            <w:bottom w:val="none" w:sz="0" w:space="0" w:color="auto"/>
            <w:right w:val="none" w:sz="0" w:space="0" w:color="auto"/>
          </w:divBdr>
        </w:div>
        <w:div w:id="1548762457">
          <w:marLeft w:val="0"/>
          <w:marRight w:val="0"/>
          <w:marTop w:val="0"/>
          <w:marBottom w:val="0"/>
          <w:divBdr>
            <w:top w:val="none" w:sz="0" w:space="0" w:color="auto"/>
            <w:left w:val="none" w:sz="0" w:space="0" w:color="auto"/>
            <w:bottom w:val="none" w:sz="0" w:space="0" w:color="auto"/>
            <w:right w:val="none" w:sz="0" w:space="0" w:color="auto"/>
          </w:divBdr>
        </w:div>
        <w:div w:id="595284186">
          <w:marLeft w:val="0"/>
          <w:marRight w:val="0"/>
          <w:marTop w:val="0"/>
          <w:marBottom w:val="0"/>
          <w:divBdr>
            <w:top w:val="none" w:sz="0" w:space="0" w:color="auto"/>
            <w:left w:val="none" w:sz="0" w:space="0" w:color="auto"/>
            <w:bottom w:val="none" w:sz="0" w:space="0" w:color="auto"/>
            <w:right w:val="none" w:sz="0" w:space="0" w:color="auto"/>
          </w:divBdr>
        </w:div>
        <w:div w:id="1556117379">
          <w:marLeft w:val="0"/>
          <w:marRight w:val="0"/>
          <w:marTop w:val="0"/>
          <w:marBottom w:val="0"/>
          <w:divBdr>
            <w:top w:val="none" w:sz="0" w:space="0" w:color="auto"/>
            <w:left w:val="none" w:sz="0" w:space="0" w:color="auto"/>
            <w:bottom w:val="none" w:sz="0" w:space="0" w:color="auto"/>
            <w:right w:val="none" w:sz="0" w:space="0" w:color="auto"/>
          </w:divBdr>
        </w:div>
        <w:div w:id="364327230">
          <w:marLeft w:val="0"/>
          <w:marRight w:val="0"/>
          <w:marTop w:val="0"/>
          <w:marBottom w:val="0"/>
          <w:divBdr>
            <w:top w:val="none" w:sz="0" w:space="0" w:color="auto"/>
            <w:left w:val="none" w:sz="0" w:space="0" w:color="auto"/>
            <w:bottom w:val="none" w:sz="0" w:space="0" w:color="auto"/>
            <w:right w:val="none" w:sz="0" w:space="0" w:color="auto"/>
          </w:divBdr>
        </w:div>
        <w:div w:id="467868459">
          <w:marLeft w:val="0"/>
          <w:marRight w:val="0"/>
          <w:marTop w:val="0"/>
          <w:marBottom w:val="0"/>
          <w:divBdr>
            <w:top w:val="none" w:sz="0" w:space="0" w:color="auto"/>
            <w:left w:val="none" w:sz="0" w:space="0" w:color="auto"/>
            <w:bottom w:val="none" w:sz="0" w:space="0" w:color="auto"/>
            <w:right w:val="none" w:sz="0" w:space="0" w:color="auto"/>
          </w:divBdr>
        </w:div>
        <w:div w:id="1093746163">
          <w:marLeft w:val="0"/>
          <w:marRight w:val="0"/>
          <w:marTop w:val="0"/>
          <w:marBottom w:val="0"/>
          <w:divBdr>
            <w:top w:val="none" w:sz="0" w:space="0" w:color="auto"/>
            <w:left w:val="none" w:sz="0" w:space="0" w:color="auto"/>
            <w:bottom w:val="none" w:sz="0" w:space="0" w:color="auto"/>
            <w:right w:val="none" w:sz="0" w:space="0" w:color="auto"/>
          </w:divBdr>
        </w:div>
        <w:div w:id="736131960">
          <w:marLeft w:val="0"/>
          <w:marRight w:val="0"/>
          <w:marTop w:val="0"/>
          <w:marBottom w:val="0"/>
          <w:divBdr>
            <w:top w:val="none" w:sz="0" w:space="0" w:color="auto"/>
            <w:left w:val="none" w:sz="0" w:space="0" w:color="auto"/>
            <w:bottom w:val="none" w:sz="0" w:space="0" w:color="auto"/>
            <w:right w:val="none" w:sz="0" w:space="0" w:color="auto"/>
          </w:divBdr>
        </w:div>
        <w:div w:id="1169296455">
          <w:marLeft w:val="0"/>
          <w:marRight w:val="0"/>
          <w:marTop w:val="0"/>
          <w:marBottom w:val="0"/>
          <w:divBdr>
            <w:top w:val="none" w:sz="0" w:space="0" w:color="auto"/>
            <w:left w:val="none" w:sz="0" w:space="0" w:color="auto"/>
            <w:bottom w:val="none" w:sz="0" w:space="0" w:color="auto"/>
            <w:right w:val="none" w:sz="0" w:space="0" w:color="auto"/>
          </w:divBdr>
        </w:div>
        <w:div w:id="2102332608">
          <w:marLeft w:val="0"/>
          <w:marRight w:val="0"/>
          <w:marTop w:val="0"/>
          <w:marBottom w:val="0"/>
          <w:divBdr>
            <w:top w:val="none" w:sz="0" w:space="0" w:color="auto"/>
            <w:left w:val="none" w:sz="0" w:space="0" w:color="auto"/>
            <w:bottom w:val="none" w:sz="0" w:space="0" w:color="auto"/>
            <w:right w:val="none" w:sz="0" w:space="0" w:color="auto"/>
          </w:divBdr>
        </w:div>
        <w:div w:id="852064787">
          <w:marLeft w:val="0"/>
          <w:marRight w:val="0"/>
          <w:marTop w:val="0"/>
          <w:marBottom w:val="0"/>
          <w:divBdr>
            <w:top w:val="none" w:sz="0" w:space="0" w:color="auto"/>
            <w:left w:val="none" w:sz="0" w:space="0" w:color="auto"/>
            <w:bottom w:val="none" w:sz="0" w:space="0" w:color="auto"/>
            <w:right w:val="none" w:sz="0" w:space="0" w:color="auto"/>
          </w:divBdr>
        </w:div>
      </w:divsChild>
    </w:div>
    <w:div w:id="1708482845">
      <w:bodyDiv w:val="1"/>
      <w:marLeft w:val="0"/>
      <w:marRight w:val="0"/>
      <w:marTop w:val="0"/>
      <w:marBottom w:val="0"/>
      <w:divBdr>
        <w:top w:val="none" w:sz="0" w:space="0" w:color="auto"/>
        <w:left w:val="none" w:sz="0" w:space="0" w:color="auto"/>
        <w:bottom w:val="none" w:sz="0" w:space="0" w:color="auto"/>
        <w:right w:val="none" w:sz="0" w:space="0" w:color="auto"/>
      </w:divBdr>
      <w:divsChild>
        <w:div w:id="1108281749">
          <w:marLeft w:val="0"/>
          <w:marRight w:val="0"/>
          <w:marTop w:val="0"/>
          <w:marBottom w:val="0"/>
          <w:divBdr>
            <w:top w:val="none" w:sz="0" w:space="0" w:color="auto"/>
            <w:left w:val="none" w:sz="0" w:space="0" w:color="auto"/>
            <w:bottom w:val="none" w:sz="0" w:space="0" w:color="auto"/>
            <w:right w:val="none" w:sz="0" w:space="0" w:color="auto"/>
          </w:divBdr>
        </w:div>
        <w:div w:id="665089654">
          <w:marLeft w:val="0"/>
          <w:marRight w:val="0"/>
          <w:marTop w:val="0"/>
          <w:marBottom w:val="0"/>
          <w:divBdr>
            <w:top w:val="none" w:sz="0" w:space="0" w:color="auto"/>
            <w:left w:val="none" w:sz="0" w:space="0" w:color="auto"/>
            <w:bottom w:val="none" w:sz="0" w:space="0" w:color="auto"/>
            <w:right w:val="none" w:sz="0" w:space="0" w:color="auto"/>
          </w:divBdr>
        </w:div>
        <w:div w:id="676541864">
          <w:marLeft w:val="0"/>
          <w:marRight w:val="0"/>
          <w:marTop w:val="0"/>
          <w:marBottom w:val="0"/>
          <w:divBdr>
            <w:top w:val="none" w:sz="0" w:space="0" w:color="auto"/>
            <w:left w:val="none" w:sz="0" w:space="0" w:color="auto"/>
            <w:bottom w:val="none" w:sz="0" w:space="0" w:color="auto"/>
            <w:right w:val="none" w:sz="0" w:space="0" w:color="auto"/>
          </w:divBdr>
        </w:div>
        <w:div w:id="2016377672">
          <w:marLeft w:val="0"/>
          <w:marRight w:val="0"/>
          <w:marTop w:val="0"/>
          <w:marBottom w:val="0"/>
          <w:divBdr>
            <w:top w:val="none" w:sz="0" w:space="0" w:color="auto"/>
            <w:left w:val="none" w:sz="0" w:space="0" w:color="auto"/>
            <w:bottom w:val="none" w:sz="0" w:space="0" w:color="auto"/>
            <w:right w:val="none" w:sz="0" w:space="0" w:color="auto"/>
          </w:divBdr>
        </w:div>
        <w:div w:id="752238272">
          <w:marLeft w:val="0"/>
          <w:marRight w:val="0"/>
          <w:marTop w:val="0"/>
          <w:marBottom w:val="0"/>
          <w:divBdr>
            <w:top w:val="none" w:sz="0" w:space="0" w:color="auto"/>
            <w:left w:val="none" w:sz="0" w:space="0" w:color="auto"/>
            <w:bottom w:val="none" w:sz="0" w:space="0" w:color="auto"/>
            <w:right w:val="none" w:sz="0" w:space="0" w:color="auto"/>
          </w:divBdr>
        </w:div>
      </w:divsChild>
    </w:div>
    <w:div w:id="1714646601">
      <w:bodyDiv w:val="1"/>
      <w:marLeft w:val="0"/>
      <w:marRight w:val="0"/>
      <w:marTop w:val="0"/>
      <w:marBottom w:val="0"/>
      <w:divBdr>
        <w:top w:val="none" w:sz="0" w:space="0" w:color="auto"/>
        <w:left w:val="none" w:sz="0" w:space="0" w:color="auto"/>
        <w:bottom w:val="none" w:sz="0" w:space="0" w:color="auto"/>
        <w:right w:val="none" w:sz="0" w:space="0" w:color="auto"/>
      </w:divBdr>
      <w:divsChild>
        <w:div w:id="2014606396">
          <w:marLeft w:val="0"/>
          <w:marRight w:val="0"/>
          <w:marTop w:val="0"/>
          <w:marBottom w:val="0"/>
          <w:divBdr>
            <w:top w:val="none" w:sz="0" w:space="0" w:color="auto"/>
            <w:left w:val="none" w:sz="0" w:space="0" w:color="auto"/>
            <w:bottom w:val="none" w:sz="0" w:space="0" w:color="auto"/>
            <w:right w:val="none" w:sz="0" w:space="0" w:color="auto"/>
          </w:divBdr>
        </w:div>
        <w:div w:id="1192571222">
          <w:marLeft w:val="0"/>
          <w:marRight w:val="0"/>
          <w:marTop w:val="0"/>
          <w:marBottom w:val="0"/>
          <w:divBdr>
            <w:top w:val="none" w:sz="0" w:space="0" w:color="auto"/>
            <w:left w:val="none" w:sz="0" w:space="0" w:color="auto"/>
            <w:bottom w:val="none" w:sz="0" w:space="0" w:color="auto"/>
            <w:right w:val="none" w:sz="0" w:space="0" w:color="auto"/>
          </w:divBdr>
        </w:div>
        <w:div w:id="1463427055">
          <w:marLeft w:val="0"/>
          <w:marRight w:val="0"/>
          <w:marTop w:val="0"/>
          <w:marBottom w:val="0"/>
          <w:divBdr>
            <w:top w:val="none" w:sz="0" w:space="0" w:color="auto"/>
            <w:left w:val="none" w:sz="0" w:space="0" w:color="auto"/>
            <w:bottom w:val="none" w:sz="0" w:space="0" w:color="auto"/>
            <w:right w:val="none" w:sz="0" w:space="0" w:color="auto"/>
          </w:divBdr>
        </w:div>
        <w:div w:id="635915298">
          <w:marLeft w:val="0"/>
          <w:marRight w:val="0"/>
          <w:marTop w:val="0"/>
          <w:marBottom w:val="0"/>
          <w:divBdr>
            <w:top w:val="none" w:sz="0" w:space="0" w:color="auto"/>
            <w:left w:val="none" w:sz="0" w:space="0" w:color="auto"/>
            <w:bottom w:val="none" w:sz="0" w:space="0" w:color="auto"/>
            <w:right w:val="none" w:sz="0" w:space="0" w:color="auto"/>
          </w:divBdr>
        </w:div>
        <w:div w:id="1372000768">
          <w:marLeft w:val="0"/>
          <w:marRight w:val="0"/>
          <w:marTop w:val="0"/>
          <w:marBottom w:val="0"/>
          <w:divBdr>
            <w:top w:val="none" w:sz="0" w:space="0" w:color="auto"/>
            <w:left w:val="none" w:sz="0" w:space="0" w:color="auto"/>
            <w:bottom w:val="none" w:sz="0" w:space="0" w:color="auto"/>
            <w:right w:val="none" w:sz="0" w:space="0" w:color="auto"/>
          </w:divBdr>
        </w:div>
        <w:div w:id="511342216">
          <w:marLeft w:val="0"/>
          <w:marRight w:val="0"/>
          <w:marTop w:val="0"/>
          <w:marBottom w:val="0"/>
          <w:divBdr>
            <w:top w:val="none" w:sz="0" w:space="0" w:color="auto"/>
            <w:left w:val="none" w:sz="0" w:space="0" w:color="auto"/>
            <w:bottom w:val="none" w:sz="0" w:space="0" w:color="auto"/>
            <w:right w:val="none" w:sz="0" w:space="0" w:color="auto"/>
          </w:divBdr>
        </w:div>
      </w:divsChild>
    </w:div>
    <w:div w:id="1722904412">
      <w:bodyDiv w:val="1"/>
      <w:marLeft w:val="0"/>
      <w:marRight w:val="0"/>
      <w:marTop w:val="0"/>
      <w:marBottom w:val="0"/>
      <w:divBdr>
        <w:top w:val="none" w:sz="0" w:space="0" w:color="auto"/>
        <w:left w:val="none" w:sz="0" w:space="0" w:color="auto"/>
        <w:bottom w:val="none" w:sz="0" w:space="0" w:color="auto"/>
        <w:right w:val="none" w:sz="0" w:space="0" w:color="auto"/>
      </w:divBdr>
    </w:div>
    <w:div w:id="1789081584">
      <w:bodyDiv w:val="1"/>
      <w:marLeft w:val="0"/>
      <w:marRight w:val="0"/>
      <w:marTop w:val="0"/>
      <w:marBottom w:val="0"/>
      <w:divBdr>
        <w:top w:val="none" w:sz="0" w:space="0" w:color="auto"/>
        <w:left w:val="none" w:sz="0" w:space="0" w:color="auto"/>
        <w:bottom w:val="none" w:sz="0" w:space="0" w:color="auto"/>
        <w:right w:val="none" w:sz="0" w:space="0" w:color="auto"/>
      </w:divBdr>
      <w:divsChild>
        <w:div w:id="2114281976">
          <w:marLeft w:val="0"/>
          <w:marRight w:val="0"/>
          <w:marTop w:val="0"/>
          <w:marBottom w:val="0"/>
          <w:divBdr>
            <w:top w:val="none" w:sz="0" w:space="0" w:color="auto"/>
            <w:left w:val="none" w:sz="0" w:space="0" w:color="auto"/>
            <w:bottom w:val="none" w:sz="0" w:space="0" w:color="auto"/>
            <w:right w:val="none" w:sz="0" w:space="0" w:color="auto"/>
          </w:divBdr>
        </w:div>
        <w:div w:id="513346602">
          <w:marLeft w:val="0"/>
          <w:marRight w:val="0"/>
          <w:marTop w:val="0"/>
          <w:marBottom w:val="0"/>
          <w:divBdr>
            <w:top w:val="none" w:sz="0" w:space="0" w:color="auto"/>
            <w:left w:val="none" w:sz="0" w:space="0" w:color="auto"/>
            <w:bottom w:val="none" w:sz="0" w:space="0" w:color="auto"/>
            <w:right w:val="none" w:sz="0" w:space="0" w:color="auto"/>
          </w:divBdr>
        </w:div>
        <w:div w:id="555363278">
          <w:marLeft w:val="0"/>
          <w:marRight w:val="0"/>
          <w:marTop w:val="0"/>
          <w:marBottom w:val="0"/>
          <w:divBdr>
            <w:top w:val="none" w:sz="0" w:space="0" w:color="auto"/>
            <w:left w:val="none" w:sz="0" w:space="0" w:color="auto"/>
            <w:bottom w:val="none" w:sz="0" w:space="0" w:color="auto"/>
            <w:right w:val="none" w:sz="0" w:space="0" w:color="auto"/>
          </w:divBdr>
        </w:div>
        <w:div w:id="395394823">
          <w:marLeft w:val="0"/>
          <w:marRight w:val="0"/>
          <w:marTop w:val="0"/>
          <w:marBottom w:val="0"/>
          <w:divBdr>
            <w:top w:val="none" w:sz="0" w:space="0" w:color="auto"/>
            <w:left w:val="none" w:sz="0" w:space="0" w:color="auto"/>
            <w:bottom w:val="none" w:sz="0" w:space="0" w:color="auto"/>
            <w:right w:val="none" w:sz="0" w:space="0" w:color="auto"/>
          </w:divBdr>
        </w:div>
        <w:div w:id="85032125">
          <w:marLeft w:val="0"/>
          <w:marRight w:val="0"/>
          <w:marTop w:val="0"/>
          <w:marBottom w:val="0"/>
          <w:divBdr>
            <w:top w:val="none" w:sz="0" w:space="0" w:color="auto"/>
            <w:left w:val="none" w:sz="0" w:space="0" w:color="auto"/>
            <w:bottom w:val="none" w:sz="0" w:space="0" w:color="auto"/>
            <w:right w:val="none" w:sz="0" w:space="0" w:color="auto"/>
          </w:divBdr>
        </w:div>
        <w:div w:id="501504960">
          <w:marLeft w:val="0"/>
          <w:marRight w:val="0"/>
          <w:marTop w:val="0"/>
          <w:marBottom w:val="0"/>
          <w:divBdr>
            <w:top w:val="none" w:sz="0" w:space="0" w:color="auto"/>
            <w:left w:val="none" w:sz="0" w:space="0" w:color="auto"/>
            <w:bottom w:val="none" w:sz="0" w:space="0" w:color="auto"/>
            <w:right w:val="none" w:sz="0" w:space="0" w:color="auto"/>
          </w:divBdr>
        </w:div>
      </w:divsChild>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 w:id="2075154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facebook.com/101986484610295/photos/a.106299627512314/206021957540080/?type=3" TargetMode="External"/><Relationship Id="rId13" Type="http://schemas.openxmlformats.org/officeDocument/2006/relationships/hyperlink" Target="https://eltoque.com/que-paso-el-27-de-enero-frente-al-ministerio-de-cultura-cuba" TargetMode="External"/><Relationship Id="rId18" Type="http://schemas.openxmlformats.org/officeDocument/2006/relationships/hyperlink" Target="https://adncuba.com/noticias-de-cuba/actualidad/osorbo-vuelve-ser-detenido" TargetMode="External"/><Relationship Id="rId3" Type="http://schemas.openxmlformats.org/officeDocument/2006/relationships/hyperlink" Target="https://adncuba.com/noticias-de-cuba/actualidad/seguridad-del-estado-detiene-maykel-osorbo-para-impedirle-asistir-la?fbclid=IwAR1Fjn-NWrfdxH5u7sqOcTqiae-xbDpQ7r-B0PjURiCG_ozi4xlnZWImBYo" TargetMode="External"/><Relationship Id="rId21" Type="http://schemas.openxmlformats.org/officeDocument/2006/relationships/hyperlink" Target="https://freedomhouse.org/es/article/cuba-condenamos-la-detencion-arbitraria-del-musico-y-activista-maykel-osorbo-y-apoyamos-una" TargetMode="External"/><Relationship Id="rId7" Type="http://schemas.openxmlformats.org/officeDocument/2006/relationships/hyperlink" Target="https://www.facebook.com/100052174990089/posts/196355815173361/" TargetMode="External"/><Relationship Id="rId12" Type="http://schemas.openxmlformats.org/officeDocument/2006/relationships/hyperlink" Target="https://www.facebook.com/omara.ruizurquiola.12/videos/1754862138001981" TargetMode="External"/><Relationship Id="rId17" Type="http://schemas.openxmlformats.org/officeDocument/2006/relationships/hyperlink" Target="https://www.diariolasamericas.com/america-latina/detienen-rapero-maykel-osorbo-criticar-al-regimen-n4215763" TargetMode="External"/><Relationship Id="rId2" Type="http://schemas.openxmlformats.org/officeDocument/2006/relationships/hyperlink" Target="https://www.youtube.com/watch?v=Vq7pgRQAxS0&amp;has_verified=1" TargetMode="External"/><Relationship Id="rId16" Type="http://schemas.openxmlformats.org/officeDocument/2006/relationships/hyperlink" Target="https://noticias.cubitanow.com/maykel-osorbo-ha-sido-detenido-otra-vez-por-la-seguridad-del-estado-" TargetMode="External"/><Relationship Id="rId20" Type="http://schemas.openxmlformats.org/officeDocument/2006/relationships/hyperlink" Target="https://www.facebook.com/101986484610295/videos/142159997740696/" TargetMode="External"/><Relationship Id="rId1" Type="http://schemas.openxmlformats.org/officeDocument/2006/relationships/hyperlink" Target="https://www.amnesty.org/es/documents/amr25/7078/2023/es/" TargetMode="External"/><Relationship Id="rId6" Type="http://schemas.openxmlformats.org/officeDocument/2006/relationships/hyperlink" Target="https://adncuba.com/noticias-de-cuba/actualidad/policia-del-regimen-detiene-al-rapero-maykel-osorbo" TargetMode="External"/><Relationship Id="rId11" Type="http://schemas.openxmlformats.org/officeDocument/2006/relationships/hyperlink" Target="https://www.youtube.com/watch?v=AIRzzt3QtAY" TargetMode="External"/><Relationship Id="rId24" Type="http://schemas.openxmlformats.org/officeDocument/2006/relationships/hyperlink" Target="http://www.oas.org/es/cidh/informes/pdfs/Cuba2020-es.pdf" TargetMode="External"/><Relationship Id="rId5" Type="http://schemas.openxmlformats.org/officeDocument/2006/relationships/hyperlink" Target="https://www.facebook.com/maykelosorbo349/videos/205863560846298/" TargetMode="External"/><Relationship Id="rId15" Type="http://schemas.openxmlformats.org/officeDocument/2006/relationships/hyperlink" Target="https://www.cibercuba.com/noticias/2021-01-28-u192519-e192519-s27061-maykel-osorbo-concierto" TargetMode="External"/><Relationship Id="rId23" Type="http://schemas.openxmlformats.org/officeDocument/2006/relationships/hyperlink" Target="http://www.oas.org/es/cidh/informes/pdfs/Cuba2020-es.pdf" TargetMode="External"/><Relationship Id="rId10" Type="http://schemas.openxmlformats.org/officeDocument/2006/relationships/hyperlink" Target="https://www.facebook.com/anamely.ramosgonzalez/posts/1999488470194239" TargetMode="External"/><Relationship Id="rId19" Type="http://schemas.openxmlformats.org/officeDocument/2006/relationships/hyperlink" Target="https://www.facebook.com/maykelosorbo349/videos/435714627775513/" TargetMode="External"/><Relationship Id="rId4" Type="http://schemas.openxmlformats.org/officeDocument/2006/relationships/hyperlink" Target="https://www.facebook.com/100052174990089/posts/189956819146594/" TargetMode="External"/><Relationship Id="rId9" Type="http://schemas.openxmlformats.org/officeDocument/2006/relationships/hyperlink" Target="https://www.youtube.com/watch?v=vAIJUZxtgt8" TargetMode="External"/><Relationship Id="rId14" Type="http://schemas.openxmlformats.org/officeDocument/2006/relationships/hyperlink" Target="https://diariodecuba.com/derechos-humanos/1611828438_28387.html" TargetMode="External"/><Relationship Id="rId22" Type="http://schemas.openxmlformats.org/officeDocument/2006/relationships/hyperlink" Target="https://www.amnesty.org/es/documents/amr25/7078/2023/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f081b1d92e6917b2e4487620216c9ad3">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50f43e568dcf4af92164191fd483976b"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730f74aa-8393-4aa5-b2f8-3c7aae566a68">
      <UserInfo>
        <DisplayName>Bollier, Ignacio</DisplayName>
        <AccountId>205</AccountId>
        <AccountType/>
      </UserInfo>
      <UserInfo>
        <DisplayName>CIDH Intern 11 (López, Clara)</DisplayName>
        <AccountId>196</AccountId>
        <AccountType/>
      </UserInfo>
    </SharedWithUsers>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Props1.xml><?xml version="1.0" encoding="utf-8"?>
<ds:datastoreItem xmlns:ds="http://schemas.openxmlformats.org/officeDocument/2006/customXml" ds:itemID="{1287AFEE-4476-4A41-9AD9-A924DB9963B3}">
  <ds:schemaRefs>
    <ds:schemaRef ds:uri="http://schemas.microsoft.com/sharepoint/v3/contenttype/forms"/>
  </ds:schemaRefs>
</ds:datastoreItem>
</file>

<file path=customXml/itemProps2.xml><?xml version="1.0" encoding="utf-8"?>
<ds:datastoreItem xmlns:ds="http://schemas.openxmlformats.org/officeDocument/2006/customXml" ds:itemID="{D6D89C18-954D-48D2-A061-2A70B13ED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944A0C-733F-49F9-B19F-846F57FB69E6}">
  <ds:schemaRefs>
    <ds:schemaRef ds:uri="http://schemas.openxmlformats.org/officeDocument/2006/bibliography"/>
  </ds:schemaRefs>
</ds:datastoreItem>
</file>

<file path=customXml/itemProps4.xml><?xml version="1.0" encoding="utf-8"?>
<ds:datastoreItem xmlns:ds="http://schemas.openxmlformats.org/officeDocument/2006/customXml" ds:itemID="{B7FEFE11-8A2A-4102-89D8-ABE50D71BD54}">
  <ds:schemaRefs>
    <ds:schemaRef ds:uri="http://schemas.microsoft.com/office/2006/metadata/properties"/>
    <ds:schemaRef ds:uri="http://schemas.microsoft.com/office/infopath/2007/PartnerControls"/>
    <ds:schemaRef ds:uri="730f74aa-8393-4aa5-b2f8-3c7aae566a68"/>
    <ds:schemaRef ds:uri="7ff2a89a-f9c3-4229-b04b-1f4abb2786a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13700</Words>
  <Characters>78093</Characters>
  <Application>Microsoft Office Word</Application>
  <DocSecurity>0</DocSecurity>
  <Lines>650</Lines>
  <Paragraphs>183</Paragraphs>
  <ScaleCrop>false</ScaleCrop>
  <Company/>
  <LinksUpToDate>false</LinksUpToDate>
  <CharactersWithSpaces>91610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2025-12-12T15:46:00Z</dcterms:created>
  <dcterms:modified xsi:type="dcterms:W3CDTF">2025-12-12T15:46:00Z</dcterms:modified>
</cp:coreProperties>
</file>