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7A64BE" w:rsidRDefault="00D306D1" w:rsidP="00627C9F">
      <w:pPr>
        <w:jc w:val="both"/>
        <w:rPr>
          <w:rFonts w:asciiTheme="majorHAnsi" w:hAnsiTheme="majorHAnsi" w:cs="Univers"/>
          <w:b/>
          <w:bCs/>
          <w:sz w:val="22"/>
          <w:szCs w:val="22"/>
        </w:rPr>
      </w:pPr>
      <w:r w:rsidRPr="007A64BE">
        <w:rPr>
          <w:rFonts w:asciiTheme="majorHAnsi" w:hAnsiTheme="majorHAnsi"/>
          <w:noProof/>
          <w:sz w:val="22"/>
          <w:szCs w:val="22"/>
          <w:lang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65CF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7A64BE">
        <w:rPr>
          <w:rFonts w:asciiTheme="majorHAnsi" w:hAnsiTheme="majorHAnsi"/>
          <w:noProof/>
          <w:sz w:val="22"/>
          <w:szCs w:val="22"/>
          <w:lang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522192714"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522192714"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7A64BE" w:rsidRDefault="00040C3A" w:rsidP="00040C3A">
      <w:pPr>
        <w:tabs>
          <w:tab w:val="center" w:pos="5400"/>
        </w:tabs>
        <w:suppressAutoHyphens/>
        <w:jc w:val="both"/>
        <w:rPr>
          <w:rFonts w:asciiTheme="majorHAnsi" w:hAnsiTheme="majorHAnsi"/>
          <w:sz w:val="22"/>
          <w:szCs w:val="22"/>
        </w:rPr>
      </w:pPr>
    </w:p>
    <w:p w14:paraId="5A87E141" w14:textId="77777777" w:rsidR="00040C3A" w:rsidRPr="007A64BE" w:rsidRDefault="00040C3A" w:rsidP="00040C3A">
      <w:pPr>
        <w:tabs>
          <w:tab w:val="center" w:pos="5400"/>
        </w:tabs>
        <w:suppressAutoHyphens/>
        <w:jc w:val="both"/>
        <w:rPr>
          <w:rFonts w:asciiTheme="majorHAnsi" w:hAnsiTheme="majorHAnsi"/>
          <w:sz w:val="22"/>
          <w:szCs w:val="22"/>
        </w:rPr>
      </w:pPr>
    </w:p>
    <w:p w14:paraId="29D95BCC" w14:textId="77777777" w:rsidR="005128E4" w:rsidRPr="007A64BE" w:rsidRDefault="005128E4" w:rsidP="00040C3A">
      <w:pPr>
        <w:tabs>
          <w:tab w:val="center" w:pos="5400"/>
        </w:tabs>
        <w:suppressAutoHyphens/>
        <w:rPr>
          <w:rFonts w:asciiTheme="majorHAnsi" w:hAnsiTheme="majorHAnsi"/>
          <w:sz w:val="22"/>
          <w:szCs w:val="22"/>
        </w:rPr>
      </w:pPr>
    </w:p>
    <w:p w14:paraId="12A36B24" w14:textId="77777777" w:rsidR="005128E4" w:rsidRPr="007A64BE" w:rsidRDefault="005128E4" w:rsidP="00040C3A">
      <w:pPr>
        <w:tabs>
          <w:tab w:val="center" w:pos="5400"/>
        </w:tabs>
        <w:suppressAutoHyphens/>
        <w:rPr>
          <w:rFonts w:asciiTheme="majorHAnsi" w:hAnsiTheme="majorHAnsi"/>
          <w:sz w:val="22"/>
          <w:szCs w:val="22"/>
        </w:rPr>
      </w:pPr>
    </w:p>
    <w:p w14:paraId="2252093D" w14:textId="77777777" w:rsidR="005128E4" w:rsidRPr="007A64BE" w:rsidRDefault="005128E4" w:rsidP="00040C3A">
      <w:pPr>
        <w:tabs>
          <w:tab w:val="center" w:pos="5400"/>
        </w:tabs>
        <w:suppressAutoHyphens/>
        <w:rPr>
          <w:rFonts w:asciiTheme="majorHAnsi" w:hAnsiTheme="majorHAnsi"/>
          <w:sz w:val="22"/>
          <w:szCs w:val="22"/>
        </w:rPr>
      </w:pPr>
    </w:p>
    <w:p w14:paraId="403935BD" w14:textId="77777777" w:rsidR="00040C3A" w:rsidRPr="007A64BE" w:rsidRDefault="00040C3A" w:rsidP="005128E4">
      <w:pPr>
        <w:tabs>
          <w:tab w:val="center" w:pos="5400"/>
        </w:tabs>
        <w:suppressAutoHyphens/>
        <w:jc w:val="center"/>
        <w:rPr>
          <w:rFonts w:asciiTheme="majorHAnsi" w:hAnsiTheme="majorHAnsi"/>
          <w:sz w:val="22"/>
          <w:szCs w:val="22"/>
        </w:rPr>
      </w:pPr>
    </w:p>
    <w:p w14:paraId="6DCF5F8F" w14:textId="77777777" w:rsidR="00040C3A" w:rsidRPr="007A64BE" w:rsidRDefault="00040C3A" w:rsidP="005128E4">
      <w:pPr>
        <w:tabs>
          <w:tab w:val="center" w:pos="5400"/>
        </w:tabs>
        <w:suppressAutoHyphens/>
        <w:jc w:val="center"/>
        <w:rPr>
          <w:rFonts w:asciiTheme="majorHAnsi" w:hAnsiTheme="majorHAnsi"/>
          <w:sz w:val="22"/>
          <w:szCs w:val="22"/>
        </w:rPr>
      </w:pPr>
    </w:p>
    <w:p w14:paraId="4791F13A" w14:textId="77777777" w:rsidR="005B52B0" w:rsidRPr="007A64BE" w:rsidRDefault="005B52B0" w:rsidP="005128E4">
      <w:pPr>
        <w:tabs>
          <w:tab w:val="center" w:pos="5400"/>
        </w:tabs>
        <w:suppressAutoHyphens/>
        <w:jc w:val="center"/>
        <w:rPr>
          <w:rFonts w:asciiTheme="majorHAnsi" w:hAnsiTheme="majorHAnsi"/>
          <w:sz w:val="22"/>
          <w:szCs w:val="22"/>
        </w:rPr>
      </w:pPr>
    </w:p>
    <w:p w14:paraId="44E016B6" w14:textId="77777777" w:rsidR="005B52B0" w:rsidRPr="007A64BE" w:rsidRDefault="005B52B0" w:rsidP="005128E4">
      <w:pPr>
        <w:tabs>
          <w:tab w:val="center" w:pos="5400"/>
        </w:tabs>
        <w:suppressAutoHyphens/>
        <w:jc w:val="center"/>
        <w:rPr>
          <w:rFonts w:asciiTheme="majorHAnsi" w:hAnsiTheme="majorHAnsi"/>
          <w:sz w:val="22"/>
          <w:szCs w:val="22"/>
        </w:rPr>
      </w:pPr>
    </w:p>
    <w:p w14:paraId="63D41962" w14:textId="77777777" w:rsidR="005B52B0" w:rsidRPr="007A64BE" w:rsidRDefault="005B52B0" w:rsidP="005128E4">
      <w:pPr>
        <w:tabs>
          <w:tab w:val="center" w:pos="5400"/>
        </w:tabs>
        <w:suppressAutoHyphens/>
        <w:jc w:val="center"/>
        <w:rPr>
          <w:rFonts w:asciiTheme="majorHAnsi" w:hAnsiTheme="majorHAnsi"/>
          <w:sz w:val="22"/>
          <w:szCs w:val="22"/>
        </w:rPr>
      </w:pPr>
    </w:p>
    <w:p w14:paraId="5ADEB990" w14:textId="77777777" w:rsidR="00040C3A" w:rsidRPr="007A64BE" w:rsidRDefault="00040C3A" w:rsidP="00040C3A">
      <w:pPr>
        <w:tabs>
          <w:tab w:val="center" w:pos="5400"/>
        </w:tabs>
        <w:suppressAutoHyphens/>
        <w:jc w:val="center"/>
        <w:rPr>
          <w:rFonts w:asciiTheme="majorHAnsi" w:hAnsiTheme="majorHAnsi"/>
          <w:sz w:val="22"/>
          <w:szCs w:val="22"/>
        </w:rPr>
      </w:pPr>
    </w:p>
    <w:p w14:paraId="2D81B7E8" w14:textId="77777777" w:rsidR="00040C3A" w:rsidRPr="007A64BE" w:rsidRDefault="00040C3A" w:rsidP="00040C3A">
      <w:pPr>
        <w:tabs>
          <w:tab w:val="center" w:pos="5400"/>
        </w:tabs>
        <w:suppressAutoHyphens/>
        <w:jc w:val="center"/>
        <w:rPr>
          <w:rFonts w:asciiTheme="majorHAnsi" w:hAnsiTheme="majorHAnsi"/>
          <w:sz w:val="22"/>
          <w:szCs w:val="22"/>
        </w:rPr>
      </w:pPr>
    </w:p>
    <w:p w14:paraId="64791D04" w14:textId="77777777" w:rsidR="00040C3A" w:rsidRPr="007A64BE" w:rsidRDefault="003D3BC2" w:rsidP="00040C3A">
      <w:pPr>
        <w:tabs>
          <w:tab w:val="center" w:pos="5400"/>
        </w:tabs>
        <w:suppressAutoHyphens/>
        <w:jc w:val="center"/>
        <w:rPr>
          <w:rFonts w:asciiTheme="majorHAnsi" w:hAnsiTheme="majorHAnsi"/>
          <w:sz w:val="22"/>
          <w:szCs w:val="22"/>
        </w:rPr>
      </w:pPr>
      <w:r w:rsidRPr="007A64BE">
        <w:rPr>
          <w:rFonts w:asciiTheme="majorHAnsi" w:hAnsiTheme="majorHAnsi"/>
          <w:noProof/>
          <w:sz w:val="22"/>
          <w:szCs w:val="22"/>
          <w:lang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467DC60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D0FA3">
                              <w:rPr>
                                <w:rFonts w:asciiTheme="majorHAnsi" w:hAnsiTheme="majorHAnsi" w:cs="Arial"/>
                                <w:b/>
                                <w:bCs/>
                                <w:color w:val="0D0D0D" w:themeColor="text1" w:themeTint="F2"/>
                                <w:sz w:val="36"/>
                                <w:szCs w:val="22"/>
                                <w:lang w:val="es-ES_tradnl"/>
                              </w:rPr>
                              <w:t>189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63BB8E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F4466">
                              <w:rPr>
                                <w:rFonts w:asciiTheme="majorHAnsi" w:hAnsiTheme="majorHAnsi" w:cs="Arial"/>
                                <w:b/>
                                <w:color w:val="0D0D0D" w:themeColor="text1" w:themeTint="F2"/>
                                <w:sz w:val="36"/>
                                <w:szCs w:val="22"/>
                                <w:lang w:val="es-ES_tradnl"/>
                              </w:rPr>
                              <w:t>1492-11</w:t>
                            </w:r>
                          </w:p>
                          <w:p w14:paraId="70CF6833" w14:textId="3372C04C" w:rsidR="00CD046C" w:rsidRPr="001F7139" w:rsidRDefault="005B52B0" w:rsidP="00997BC5">
                            <w:pPr>
                              <w:spacing w:line="276" w:lineRule="auto"/>
                              <w:rPr>
                                <w:rFonts w:asciiTheme="majorHAnsi" w:hAnsiTheme="majorHAnsi" w:cs="Arial"/>
                                <w:color w:val="0D0D0D" w:themeColor="text1" w:themeTint="F2"/>
                                <w:szCs w:val="22"/>
                                <w:lang w:val="es-ES_tradnl"/>
                              </w:rPr>
                            </w:pPr>
                            <w:r w:rsidRPr="001F7139">
                              <w:rPr>
                                <w:rFonts w:asciiTheme="majorHAnsi" w:hAnsiTheme="majorHAnsi" w:cs="Arial"/>
                                <w:color w:val="0D0D0D" w:themeColor="text1" w:themeTint="F2"/>
                                <w:szCs w:val="22"/>
                                <w:lang w:val="es-ES_tradnl"/>
                              </w:rPr>
                              <w:t>INFORME DE ADMISIBILIDAD</w:t>
                            </w:r>
                          </w:p>
                          <w:p w14:paraId="5FDD6F0D" w14:textId="77777777" w:rsidR="008F1912" w:rsidRPr="001F7139"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2B005D12" w:rsidR="00EB197F" w:rsidRPr="001F7139" w:rsidRDefault="002F4466" w:rsidP="00997BC5">
                            <w:pPr>
                              <w:spacing w:line="276" w:lineRule="auto"/>
                              <w:rPr>
                                <w:rFonts w:asciiTheme="majorHAnsi" w:hAnsiTheme="majorHAnsi" w:cs="Arial"/>
                                <w:color w:val="0D0D0D" w:themeColor="text1" w:themeTint="F2"/>
                                <w:szCs w:val="22"/>
                                <w:lang w:val="es-ES_tradnl"/>
                              </w:rPr>
                            </w:pPr>
                            <w:r w:rsidRPr="001F7139">
                              <w:rPr>
                                <w:rFonts w:asciiTheme="majorHAnsi" w:hAnsiTheme="majorHAnsi" w:cs="Arial"/>
                                <w:color w:val="0D0D0D" w:themeColor="text1" w:themeTint="F2"/>
                                <w:szCs w:val="22"/>
                                <w:lang w:val="es-ES_tradnl"/>
                              </w:rPr>
                              <w:t xml:space="preserve">COMUNIDAD </w:t>
                            </w:r>
                            <w:r w:rsidR="00CD112E">
                              <w:rPr>
                                <w:rFonts w:asciiTheme="majorHAnsi" w:hAnsiTheme="majorHAnsi" w:cs="Arial"/>
                                <w:color w:val="0D0D0D" w:themeColor="text1" w:themeTint="F2"/>
                                <w:szCs w:val="22"/>
                                <w:lang w:val="es-ES_tradnl"/>
                              </w:rPr>
                              <w:t xml:space="preserve">VILLA </w:t>
                            </w:r>
                            <w:r w:rsidRPr="001F7139">
                              <w:rPr>
                                <w:rFonts w:asciiTheme="majorHAnsi" w:hAnsiTheme="majorHAnsi" w:cs="Arial"/>
                                <w:color w:val="0D0D0D" w:themeColor="text1" w:themeTint="F2"/>
                                <w:szCs w:val="22"/>
                                <w:lang w:val="es-ES_tradnl"/>
                              </w:rPr>
                              <w:t>HORTENSIA II</w:t>
                            </w:r>
                          </w:p>
                          <w:p w14:paraId="575DFD52" w14:textId="527346F1" w:rsidR="005B52B0" w:rsidRPr="00EB197F" w:rsidRDefault="002F4466" w:rsidP="007A5817">
                            <w:pPr>
                              <w:rPr>
                                <w:color w:val="0D0D0D" w:themeColor="text1" w:themeTint="F2"/>
                                <w:lang w:val="es-PE"/>
                              </w:rPr>
                            </w:pPr>
                            <w:r w:rsidRPr="001F7139">
                              <w:rPr>
                                <w:rFonts w:asciiTheme="majorHAnsi" w:hAnsiTheme="majorHAnsi" w:cs="Arial"/>
                                <w:color w:val="0D0D0D" w:themeColor="text1" w:themeTint="F2"/>
                                <w:szCs w:val="22"/>
                                <w:lang w:val="es-P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467DC60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D0FA3">
                        <w:rPr>
                          <w:rFonts w:asciiTheme="majorHAnsi" w:hAnsiTheme="majorHAnsi" w:cs="Arial"/>
                          <w:b/>
                          <w:bCs/>
                          <w:color w:val="0D0D0D" w:themeColor="text1" w:themeTint="F2"/>
                          <w:sz w:val="36"/>
                          <w:szCs w:val="22"/>
                          <w:lang w:val="es-ES_tradnl"/>
                        </w:rPr>
                        <w:t>189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63BB8E1"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2F4466">
                        <w:rPr>
                          <w:rFonts w:asciiTheme="majorHAnsi" w:hAnsiTheme="majorHAnsi" w:cs="Arial"/>
                          <w:b/>
                          <w:color w:val="0D0D0D" w:themeColor="text1" w:themeTint="F2"/>
                          <w:sz w:val="36"/>
                          <w:szCs w:val="22"/>
                          <w:lang w:val="es-ES_tradnl"/>
                        </w:rPr>
                        <w:t>1492-11</w:t>
                      </w:r>
                    </w:p>
                    <w:p w14:paraId="70CF6833" w14:textId="3372C04C" w:rsidR="00CD046C" w:rsidRPr="001F7139" w:rsidRDefault="005B52B0" w:rsidP="00997BC5">
                      <w:pPr>
                        <w:spacing w:line="276" w:lineRule="auto"/>
                        <w:rPr>
                          <w:rFonts w:asciiTheme="majorHAnsi" w:hAnsiTheme="majorHAnsi" w:cs="Arial"/>
                          <w:color w:val="0D0D0D" w:themeColor="text1" w:themeTint="F2"/>
                          <w:szCs w:val="22"/>
                          <w:lang w:val="es-ES_tradnl"/>
                        </w:rPr>
                      </w:pPr>
                      <w:r w:rsidRPr="001F7139">
                        <w:rPr>
                          <w:rFonts w:asciiTheme="majorHAnsi" w:hAnsiTheme="majorHAnsi" w:cs="Arial"/>
                          <w:color w:val="0D0D0D" w:themeColor="text1" w:themeTint="F2"/>
                          <w:szCs w:val="22"/>
                          <w:lang w:val="es-ES_tradnl"/>
                        </w:rPr>
                        <w:t>INFORME DE ADMISIBILIDAD</w:t>
                      </w:r>
                    </w:p>
                    <w:p w14:paraId="5FDD6F0D" w14:textId="77777777" w:rsidR="008F1912" w:rsidRPr="001F7139"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2B005D12" w:rsidR="00EB197F" w:rsidRPr="001F7139" w:rsidRDefault="002F4466" w:rsidP="00997BC5">
                      <w:pPr>
                        <w:spacing w:line="276" w:lineRule="auto"/>
                        <w:rPr>
                          <w:rFonts w:asciiTheme="majorHAnsi" w:hAnsiTheme="majorHAnsi" w:cs="Arial"/>
                          <w:color w:val="0D0D0D" w:themeColor="text1" w:themeTint="F2"/>
                          <w:szCs w:val="22"/>
                          <w:lang w:val="es-ES_tradnl"/>
                        </w:rPr>
                      </w:pPr>
                      <w:r w:rsidRPr="001F7139">
                        <w:rPr>
                          <w:rFonts w:asciiTheme="majorHAnsi" w:hAnsiTheme="majorHAnsi" w:cs="Arial"/>
                          <w:color w:val="0D0D0D" w:themeColor="text1" w:themeTint="F2"/>
                          <w:szCs w:val="22"/>
                          <w:lang w:val="es-ES_tradnl"/>
                        </w:rPr>
                        <w:t xml:space="preserve">COMUNIDAD </w:t>
                      </w:r>
                      <w:r w:rsidR="00CD112E">
                        <w:rPr>
                          <w:rFonts w:asciiTheme="majorHAnsi" w:hAnsiTheme="majorHAnsi" w:cs="Arial"/>
                          <w:color w:val="0D0D0D" w:themeColor="text1" w:themeTint="F2"/>
                          <w:szCs w:val="22"/>
                          <w:lang w:val="es-ES_tradnl"/>
                        </w:rPr>
                        <w:t xml:space="preserve">VILLA </w:t>
                      </w:r>
                      <w:r w:rsidRPr="001F7139">
                        <w:rPr>
                          <w:rFonts w:asciiTheme="majorHAnsi" w:hAnsiTheme="majorHAnsi" w:cs="Arial"/>
                          <w:color w:val="0D0D0D" w:themeColor="text1" w:themeTint="F2"/>
                          <w:szCs w:val="22"/>
                          <w:lang w:val="es-ES_tradnl"/>
                        </w:rPr>
                        <w:t>HORTENSIA II</w:t>
                      </w:r>
                    </w:p>
                    <w:p w14:paraId="575DFD52" w14:textId="527346F1" w:rsidR="005B52B0" w:rsidRPr="00EB197F" w:rsidRDefault="002F4466" w:rsidP="007A5817">
                      <w:pPr>
                        <w:rPr>
                          <w:color w:val="0D0D0D" w:themeColor="text1" w:themeTint="F2"/>
                          <w:lang w:val="es-PE"/>
                        </w:rPr>
                      </w:pPr>
                      <w:r w:rsidRPr="001F7139">
                        <w:rPr>
                          <w:rFonts w:asciiTheme="majorHAnsi" w:hAnsiTheme="majorHAnsi" w:cs="Arial"/>
                          <w:color w:val="0D0D0D" w:themeColor="text1" w:themeTint="F2"/>
                          <w:szCs w:val="22"/>
                          <w:lang w:val="es-PE"/>
                        </w:rPr>
                        <w:t>GUATEMALA</w:t>
                      </w:r>
                    </w:p>
                  </w:txbxContent>
                </v:textbox>
              </v:shape>
            </w:pict>
          </mc:Fallback>
        </mc:AlternateContent>
      </w:r>
      <w:r w:rsidR="004E2649" w:rsidRPr="007A64BE">
        <w:rPr>
          <w:rFonts w:asciiTheme="majorHAnsi" w:hAnsiTheme="majorHAnsi"/>
          <w:noProof/>
          <w:sz w:val="22"/>
          <w:szCs w:val="22"/>
          <w:lang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34503531"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B71170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D0535">
                              <w:rPr>
                                <w:rFonts w:asciiTheme="minorHAnsi" w:hAnsiTheme="minorHAnsi"/>
                                <w:color w:val="FFFFFF" w:themeColor="background1"/>
                                <w:sz w:val="22"/>
                                <w:lang w:val="pt-BR"/>
                              </w:rPr>
                              <w:t>200</w:t>
                            </w:r>
                          </w:p>
                          <w:p w14:paraId="69373ED2" w14:textId="4113C592" w:rsidR="00627C9F" w:rsidRPr="00DA1DA7" w:rsidRDefault="00FD0FA3" w:rsidP="007A5817">
                            <w:pPr>
                              <w:spacing w:line="276" w:lineRule="auto"/>
                              <w:jc w:val="right"/>
                              <w:rPr>
                                <w:rFonts w:asciiTheme="minorHAnsi" w:hAnsiTheme="minorHAnsi"/>
                                <w:color w:val="FFFFFF" w:themeColor="background1"/>
                                <w:sz w:val="22"/>
                                <w:lang w:val="pt-BR"/>
                              </w:rPr>
                            </w:pPr>
                            <w:r w:rsidRPr="00DA1DA7">
                              <w:rPr>
                                <w:rFonts w:asciiTheme="minorHAnsi" w:hAnsiTheme="minorHAnsi"/>
                                <w:color w:val="FFFFFF" w:themeColor="background1"/>
                                <w:sz w:val="22"/>
                                <w:lang w:val="pt-BR"/>
                              </w:rPr>
                              <w:t>25 agosto</w:t>
                            </w:r>
                            <w:r w:rsidR="007B05C4" w:rsidRPr="00DA1DA7">
                              <w:rPr>
                                <w:rFonts w:asciiTheme="minorHAnsi" w:hAnsiTheme="minorHAnsi"/>
                                <w:color w:val="FFFFFF" w:themeColor="background1"/>
                                <w:sz w:val="22"/>
                                <w:lang w:val="pt-BR"/>
                              </w:rPr>
                              <w:t xml:space="preserve"> </w:t>
                            </w:r>
                            <w:r w:rsidR="00627C9F" w:rsidRPr="00DA1DA7">
                              <w:rPr>
                                <w:rFonts w:asciiTheme="minorHAnsi" w:hAnsiTheme="minorHAnsi"/>
                                <w:color w:val="FFFFFF" w:themeColor="background1"/>
                                <w:sz w:val="22"/>
                                <w:lang w:val="pt-BR"/>
                              </w:rPr>
                              <w:t>20</w:t>
                            </w:r>
                            <w:r w:rsidR="00C23BA4" w:rsidRPr="00DA1DA7">
                              <w:rPr>
                                <w:rFonts w:asciiTheme="minorHAnsi" w:hAnsiTheme="minorHAnsi"/>
                                <w:color w:val="FFFFFF" w:themeColor="background1"/>
                                <w:sz w:val="22"/>
                                <w:lang w:val="pt-BR"/>
                              </w:rPr>
                              <w:t>2</w:t>
                            </w:r>
                            <w:r w:rsidR="00B11747" w:rsidRPr="00DA1DA7">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34503531"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7B71170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6D0535">
                        <w:rPr>
                          <w:rFonts w:asciiTheme="minorHAnsi" w:hAnsiTheme="minorHAnsi"/>
                          <w:color w:val="FFFFFF" w:themeColor="background1"/>
                          <w:sz w:val="22"/>
                          <w:lang w:val="pt-BR"/>
                        </w:rPr>
                        <w:t>200</w:t>
                      </w:r>
                    </w:p>
                    <w:p w14:paraId="69373ED2" w14:textId="4113C592" w:rsidR="00627C9F" w:rsidRPr="00DA1DA7" w:rsidRDefault="00FD0FA3" w:rsidP="007A5817">
                      <w:pPr>
                        <w:spacing w:line="276" w:lineRule="auto"/>
                        <w:jc w:val="right"/>
                        <w:rPr>
                          <w:rFonts w:asciiTheme="minorHAnsi" w:hAnsiTheme="minorHAnsi"/>
                          <w:color w:val="FFFFFF" w:themeColor="background1"/>
                          <w:sz w:val="22"/>
                          <w:lang w:val="pt-BR"/>
                        </w:rPr>
                      </w:pPr>
                      <w:r w:rsidRPr="00DA1DA7">
                        <w:rPr>
                          <w:rFonts w:asciiTheme="minorHAnsi" w:hAnsiTheme="minorHAnsi"/>
                          <w:color w:val="FFFFFF" w:themeColor="background1"/>
                          <w:sz w:val="22"/>
                          <w:lang w:val="pt-BR"/>
                        </w:rPr>
                        <w:t>25 agosto</w:t>
                      </w:r>
                      <w:r w:rsidR="007B05C4" w:rsidRPr="00DA1DA7">
                        <w:rPr>
                          <w:rFonts w:asciiTheme="minorHAnsi" w:hAnsiTheme="minorHAnsi"/>
                          <w:color w:val="FFFFFF" w:themeColor="background1"/>
                          <w:sz w:val="22"/>
                          <w:lang w:val="pt-BR"/>
                        </w:rPr>
                        <w:t xml:space="preserve"> </w:t>
                      </w:r>
                      <w:r w:rsidR="00627C9F" w:rsidRPr="00DA1DA7">
                        <w:rPr>
                          <w:rFonts w:asciiTheme="minorHAnsi" w:hAnsiTheme="minorHAnsi"/>
                          <w:color w:val="FFFFFF" w:themeColor="background1"/>
                          <w:sz w:val="22"/>
                          <w:lang w:val="pt-BR"/>
                        </w:rPr>
                        <w:t>20</w:t>
                      </w:r>
                      <w:r w:rsidR="00C23BA4" w:rsidRPr="00DA1DA7">
                        <w:rPr>
                          <w:rFonts w:asciiTheme="minorHAnsi" w:hAnsiTheme="minorHAnsi"/>
                          <w:color w:val="FFFFFF" w:themeColor="background1"/>
                          <w:sz w:val="22"/>
                          <w:lang w:val="pt-BR"/>
                        </w:rPr>
                        <w:t>2</w:t>
                      </w:r>
                      <w:r w:rsidR="00B11747" w:rsidRPr="00DA1DA7">
                        <w:rPr>
                          <w:rFonts w:asciiTheme="minorHAnsi" w:hAnsiTheme="minorHAnsi"/>
                          <w:color w:val="FFFFFF" w:themeColor="background1"/>
                          <w:sz w:val="22"/>
                          <w:lang w:val="pt-BR"/>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7A64BE" w:rsidRDefault="00040C3A" w:rsidP="00040C3A">
      <w:pPr>
        <w:tabs>
          <w:tab w:val="center" w:pos="5400"/>
        </w:tabs>
        <w:suppressAutoHyphens/>
        <w:jc w:val="center"/>
        <w:rPr>
          <w:rFonts w:asciiTheme="majorHAnsi" w:hAnsiTheme="majorHAnsi"/>
          <w:sz w:val="22"/>
          <w:szCs w:val="22"/>
        </w:rPr>
      </w:pPr>
    </w:p>
    <w:p w14:paraId="5FE3AB87" w14:textId="77777777" w:rsidR="00040C3A" w:rsidRPr="007A64BE" w:rsidRDefault="00040C3A" w:rsidP="00040C3A">
      <w:pPr>
        <w:tabs>
          <w:tab w:val="center" w:pos="5400"/>
        </w:tabs>
        <w:suppressAutoHyphens/>
        <w:jc w:val="center"/>
        <w:rPr>
          <w:rFonts w:asciiTheme="majorHAnsi" w:hAnsiTheme="majorHAnsi"/>
          <w:sz w:val="22"/>
          <w:szCs w:val="22"/>
        </w:rPr>
      </w:pPr>
    </w:p>
    <w:p w14:paraId="3C383BC0" w14:textId="77777777" w:rsidR="00040C3A" w:rsidRPr="007A64BE" w:rsidRDefault="00040C3A" w:rsidP="00040C3A">
      <w:pPr>
        <w:tabs>
          <w:tab w:val="center" w:pos="5400"/>
        </w:tabs>
        <w:suppressAutoHyphens/>
        <w:jc w:val="center"/>
        <w:rPr>
          <w:rFonts w:asciiTheme="majorHAnsi" w:hAnsiTheme="majorHAnsi" w:cs="Arial"/>
          <w:sz w:val="22"/>
          <w:szCs w:val="22"/>
        </w:rPr>
      </w:pPr>
    </w:p>
    <w:p w14:paraId="54590931" w14:textId="77777777" w:rsidR="00040C3A" w:rsidRPr="007A64BE" w:rsidRDefault="00040C3A" w:rsidP="00040C3A">
      <w:pPr>
        <w:tabs>
          <w:tab w:val="center" w:pos="5400"/>
        </w:tabs>
        <w:suppressAutoHyphens/>
        <w:jc w:val="center"/>
        <w:rPr>
          <w:rFonts w:asciiTheme="majorHAnsi" w:hAnsiTheme="majorHAnsi"/>
          <w:sz w:val="22"/>
          <w:szCs w:val="22"/>
        </w:rPr>
      </w:pPr>
    </w:p>
    <w:p w14:paraId="76C291D6" w14:textId="77777777" w:rsidR="00040C3A" w:rsidRPr="007A64BE" w:rsidRDefault="00040C3A" w:rsidP="00040C3A">
      <w:pPr>
        <w:tabs>
          <w:tab w:val="center" w:pos="5400"/>
        </w:tabs>
        <w:suppressAutoHyphens/>
        <w:jc w:val="center"/>
        <w:rPr>
          <w:rFonts w:asciiTheme="majorHAnsi" w:hAnsiTheme="majorHAnsi"/>
          <w:sz w:val="22"/>
          <w:szCs w:val="22"/>
        </w:rPr>
      </w:pPr>
    </w:p>
    <w:p w14:paraId="2161B44F" w14:textId="77777777" w:rsidR="00040C3A" w:rsidRPr="007A64BE" w:rsidRDefault="00040C3A" w:rsidP="00040C3A">
      <w:pPr>
        <w:tabs>
          <w:tab w:val="center" w:pos="5400"/>
        </w:tabs>
        <w:suppressAutoHyphens/>
        <w:jc w:val="center"/>
        <w:rPr>
          <w:rFonts w:asciiTheme="majorHAnsi" w:hAnsiTheme="majorHAnsi"/>
          <w:sz w:val="22"/>
          <w:szCs w:val="22"/>
        </w:rPr>
      </w:pPr>
    </w:p>
    <w:p w14:paraId="3C4EEE07" w14:textId="77777777" w:rsidR="00040C3A" w:rsidRPr="007A64BE" w:rsidRDefault="00040C3A" w:rsidP="00040C3A">
      <w:pPr>
        <w:tabs>
          <w:tab w:val="center" w:pos="5400"/>
        </w:tabs>
        <w:suppressAutoHyphens/>
        <w:jc w:val="center"/>
        <w:rPr>
          <w:rFonts w:asciiTheme="majorHAnsi" w:hAnsiTheme="majorHAnsi"/>
          <w:sz w:val="22"/>
          <w:szCs w:val="22"/>
        </w:rPr>
      </w:pPr>
    </w:p>
    <w:p w14:paraId="3B0E4647" w14:textId="77777777" w:rsidR="005128E4" w:rsidRPr="007A64BE" w:rsidRDefault="005128E4" w:rsidP="00040C3A">
      <w:pPr>
        <w:tabs>
          <w:tab w:val="center" w:pos="5400"/>
        </w:tabs>
        <w:suppressAutoHyphens/>
        <w:jc w:val="center"/>
        <w:rPr>
          <w:rFonts w:asciiTheme="majorHAnsi" w:hAnsiTheme="majorHAnsi"/>
          <w:sz w:val="22"/>
          <w:szCs w:val="22"/>
        </w:rPr>
      </w:pPr>
    </w:p>
    <w:p w14:paraId="2DAAF36D" w14:textId="77777777" w:rsidR="00040C3A" w:rsidRPr="007A64BE" w:rsidRDefault="00040C3A" w:rsidP="00040C3A">
      <w:pPr>
        <w:tabs>
          <w:tab w:val="center" w:pos="5400"/>
        </w:tabs>
        <w:suppressAutoHyphens/>
        <w:jc w:val="center"/>
        <w:rPr>
          <w:rFonts w:asciiTheme="majorHAnsi" w:hAnsiTheme="majorHAnsi"/>
          <w:sz w:val="22"/>
          <w:szCs w:val="22"/>
        </w:rPr>
      </w:pPr>
    </w:p>
    <w:p w14:paraId="12496A14" w14:textId="77777777" w:rsidR="005128E4" w:rsidRPr="007A64BE" w:rsidRDefault="005128E4" w:rsidP="00040C3A">
      <w:pPr>
        <w:tabs>
          <w:tab w:val="center" w:pos="5400"/>
        </w:tabs>
        <w:suppressAutoHyphens/>
        <w:jc w:val="center"/>
        <w:rPr>
          <w:rFonts w:asciiTheme="majorHAnsi" w:hAnsiTheme="majorHAnsi"/>
          <w:sz w:val="22"/>
          <w:szCs w:val="22"/>
        </w:rPr>
      </w:pPr>
    </w:p>
    <w:p w14:paraId="25772DB3" w14:textId="77777777" w:rsidR="005128E4" w:rsidRPr="007A64BE" w:rsidRDefault="005128E4" w:rsidP="00040C3A">
      <w:pPr>
        <w:tabs>
          <w:tab w:val="center" w:pos="5400"/>
        </w:tabs>
        <w:suppressAutoHyphens/>
        <w:jc w:val="center"/>
        <w:rPr>
          <w:rFonts w:asciiTheme="majorHAnsi" w:hAnsiTheme="majorHAnsi"/>
          <w:sz w:val="22"/>
          <w:szCs w:val="22"/>
        </w:rPr>
      </w:pPr>
    </w:p>
    <w:p w14:paraId="6820FADA" w14:textId="77777777" w:rsidR="005128E4" w:rsidRPr="007A64BE" w:rsidRDefault="005128E4" w:rsidP="00040C3A">
      <w:pPr>
        <w:tabs>
          <w:tab w:val="center" w:pos="5400"/>
        </w:tabs>
        <w:suppressAutoHyphens/>
        <w:jc w:val="center"/>
        <w:rPr>
          <w:rFonts w:asciiTheme="majorHAnsi" w:hAnsiTheme="majorHAnsi"/>
          <w:sz w:val="22"/>
          <w:szCs w:val="22"/>
        </w:rPr>
      </w:pPr>
    </w:p>
    <w:p w14:paraId="54445A55" w14:textId="77777777" w:rsidR="00040C3A" w:rsidRPr="007A64BE" w:rsidRDefault="00040C3A" w:rsidP="00040C3A">
      <w:pPr>
        <w:tabs>
          <w:tab w:val="center" w:pos="5400"/>
        </w:tabs>
        <w:suppressAutoHyphens/>
        <w:jc w:val="center"/>
        <w:rPr>
          <w:rFonts w:asciiTheme="majorHAnsi" w:hAnsiTheme="majorHAnsi"/>
          <w:sz w:val="22"/>
          <w:szCs w:val="22"/>
        </w:rPr>
      </w:pPr>
    </w:p>
    <w:p w14:paraId="5D4A4040" w14:textId="77777777" w:rsidR="00040C3A" w:rsidRPr="007A64BE" w:rsidRDefault="00040C3A" w:rsidP="00040C3A">
      <w:pPr>
        <w:tabs>
          <w:tab w:val="center" w:pos="5400"/>
        </w:tabs>
        <w:suppressAutoHyphens/>
        <w:jc w:val="center"/>
        <w:rPr>
          <w:rFonts w:asciiTheme="majorHAnsi" w:hAnsiTheme="majorHAnsi"/>
          <w:sz w:val="22"/>
          <w:szCs w:val="22"/>
        </w:rPr>
      </w:pPr>
    </w:p>
    <w:p w14:paraId="048FBB22" w14:textId="77777777" w:rsidR="00A50FCF" w:rsidRPr="007A64BE" w:rsidRDefault="00A50FCF" w:rsidP="00040C3A">
      <w:pPr>
        <w:tabs>
          <w:tab w:val="center" w:pos="5400"/>
        </w:tabs>
        <w:suppressAutoHyphens/>
        <w:jc w:val="center"/>
        <w:rPr>
          <w:rFonts w:asciiTheme="majorHAnsi" w:hAnsiTheme="majorHAnsi"/>
          <w:sz w:val="18"/>
          <w:szCs w:val="22"/>
        </w:rPr>
      </w:pPr>
    </w:p>
    <w:p w14:paraId="190ABFB3" w14:textId="77777777" w:rsidR="00A50FCF" w:rsidRPr="007A64BE" w:rsidRDefault="00A50FCF" w:rsidP="00040C3A">
      <w:pPr>
        <w:tabs>
          <w:tab w:val="center" w:pos="5400"/>
        </w:tabs>
        <w:suppressAutoHyphens/>
        <w:jc w:val="center"/>
        <w:rPr>
          <w:rFonts w:asciiTheme="majorHAnsi" w:hAnsiTheme="majorHAnsi"/>
          <w:sz w:val="18"/>
          <w:szCs w:val="22"/>
        </w:rPr>
      </w:pPr>
    </w:p>
    <w:p w14:paraId="4C690048" w14:textId="77777777" w:rsidR="00A50FCF" w:rsidRPr="007A64BE" w:rsidRDefault="00A50FCF" w:rsidP="00040C3A">
      <w:pPr>
        <w:tabs>
          <w:tab w:val="center" w:pos="5400"/>
        </w:tabs>
        <w:suppressAutoHyphens/>
        <w:jc w:val="center"/>
        <w:rPr>
          <w:rFonts w:asciiTheme="majorHAnsi" w:hAnsiTheme="majorHAnsi"/>
          <w:sz w:val="18"/>
          <w:szCs w:val="22"/>
        </w:rPr>
      </w:pPr>
    </w:p>
    <w:p w14:paraId="733CA438" w14:textId="77777777" w:rsidR="00A50FCF" w:rsidRPr="007A64BE" w:rsidRDefault="00A50FCF" w:rsidP="00040C3A">
      <w:pPr>
        <w:tabs>
          <w:tab w:val="center" w:pos="5400"/>
        </w:tabs>
        <w:suppressAutoHyphens/>
        <w:jc w:val="center"/>
        <w:rPr>
          <w:rFonts w:asciiTheme="majorHAnsi" w:hAnsiTheme="majorHAnsi"/>
          <w:sz w:val="18"/>
          <w:szCs w:val="22"/>
        </w:rPr>
      </w:pPr>
    </w:p>
    <w:p w14:paraId="7874DEEB" w14:textId="77777777" w:rsidR="00A50FCF" w:rsidRPr="007A64BE" w:rsidRDefault="00A50FCF" w:rsidP="00040C3A">
      <w:pPr>
        <w:tabs>
          <w:tab w:val="center" w:pos="5400"/>
        </w:tabs>
        <w:suppressAutoHyphens/>
        <w:jc w:val="center"/>
        <w:rPr>
          <w:rFonts w:asciiTheme="majorHAnsi" w:hAnsiTheme="majorHAnsi"/>
          <w:sz w:val="18"/>
          <w:szCs w:val="22"/>
        </w:rPr>
      </w:pPr>
    </w:p>
    <w:p w14:paraId="3698D0D6" w14:textId="77777777" w:rsidR="00A50FCF" w:rsidRPr="007A64BE" w:rsidRDefault="00A50FCF" w:rsidP="00040C3A">
      <w:pPr>
        <w:tabs>
          <w:tab w:val="center" w:pos="5400"/>
        </w:tabs>
        <w:suppressAutoHyphens/>
        <w:jc w:val="center"/>
        <w:rPr>
          <w:rFonts w:asciiTheme="majorHAnsi" w:hAnsiTheme="majorHAnsi"/>
          <w:sz w:val="18"/>
          <w:szCs w:val="22"/>
        </w:rPr>
      </w:pPr>
    </w:p>
    <w:p w14:paraId="1F907823" w14:textId="77777777" w:rsidR="00A50FCF" w:rsidRPr="007A64BE" w:rsidRDefault="00A50FCF" w:rsidP="00040C3A">
      <w:pPr>
        <w:tabs>
          <w:tab w:val="center" w:pos="5400"/>
        </w:tabs>
        <w:suppressAutoHyphens/>
        <w:jc w:val="center"/>
        <w:rPr>
          <w:rFonts w:asciiTheme="majorHAnsi" w:hAnsiTheme="majorHAnsi"/>
          <w:sz w:val="18"/>
          <w:szCs w:val="22"/>
        </w:rPr>
      </w:pPr>
    </w:p>
    <w:p w14:paraId="045D9AC1" w14:textId="77777777" w:rsidR="00A50FCF" w:rsidRPr="007A64BE" w:rsidRDefault="00A50FCF" w:rsidP="00040C3A">
      <w:pPr>
        <w:tabs>
          <w:tab w:val="center" w:pos="5400"/>
        </w:tabs>
        <w:suppressAutoHyphens/>
        <w:jc w:val="center"/>
        <w:rPr>
          <w:rFonts w:asciiTheme="majorHAnsi" w:hAnsiTheme="majorHAnsi"/>
          <w:sz w:val="18"/>
          <w:szCs w:val="22"/>
        </w:rPr>
      </w:pPr>
    </w:p>
    <w:p w14:paraId="16068EE5" w14:textId="77777777" w:rsidR="00A50FCF" w:rsidRPr="007A64BE" w:rsidRDefault="00A50FCF" w:rsidP="00040C3A">
      <w:pPr>
        <w:tabs>
          <w:tab w:val="center" w:pos="5400"/>
        </w:tabs>
        <w:suppressAutoHyphens/>
        <w:jc w:val="center"/>
        <w:rPr>
          <w:rFonts w:asciiTheme="majorHAnsi" w:hAnsiTheme="majorHAnsi"/>
          <w:sz w:val="18"/>
          <w:szCs w:val="22"/>
        </w:rPr>
      </w:pPr>
    </w:p>
    <w:p w14:paraId="14A4A430" w14:textId="77777777" w:rsidR="00A50FCF" w:rsidRPr="007A64BE" w:rsidRDefault="00A50FCF" w:rsidP="00040C3A">
      <w:pPr>
        <w:tabs>
          <w:tab w:val="center" w:pos="5400"/>
        </w:tabs>
        <w:suppressAutoHyphens/>
        <w:jc w:val="center"/>
        <w:rPr>
          <w:rFonts w:asciiTheme="majorHAnsi" w:hAnsiTheme="majorHAnsi"/>
          <w:sz w:val="18"/>
          <w:szCs w:val="22"/>
        </w:rPr>
      </w:pPr>
    </w:p>
    <w:p w14:paraId="0B3B735F" w14:textId="77777777" w:rsidR="00A50FCF" w:rsidRPr="007A64BE" w:rsidRDefault="00A50FCF" w:rsidP="00040C3A">
      <w:pPr>
        <w:tabs>
          <w:tab w:val="center" w:pos="5400"/>
        </w:tabs>
        <w:suppressAutoHyphens/>
        <w:jc w:val="center"/>
        <w:rPr>
          <w:rFonts w:asciiTheme="majorHAnsi" w:hAnsiTheme="majorHAnsi"/>
          <w:sz w:val="18"/>
          <w:szCs w:val="22"/>
        </w:rPr>
      </w:pPr>
    </w:p>
    <w:p w14:paraId="02C5C441" w14:textId="77777777" w:rsidR="00A50FCF" w:rsidRPr="007A64BE" w:rsidRDefault="00A50FCF" w:rsidP="00040C3A">
      <w:pPr>
        <w:tabs>
          <w:tab w:val="center" w:pos="5400"/>
        </w:tabs>
        <w:suppressAutoHyphens/>
        <w:jc w:val="center"/>
        <w:rPr>
          <w:rFonts w:asciiTheme="majorHAnsi" w:hAnsiTheme="majorHAnsi"/>
          <w:sz w:val="18"/>
          <w:szCs w:val="22"/>
        </w:rPr>
      </w:pPr>
    </w:p>
    <w:p w14:paraId="7806A2B0" w14:textId="77777777" w:rsidR="00A50FCF" w:rsidRPr="007A64BE" w:rsidRDefault="00A50FCF" w:rsidP="00040C3A">
      <w:pPr>
        <w:tabs>
          <w:tab w:val="center" w:pos="5400"/>
        </w:tabs>
        <w:suppressAutoHyphens/>
        <w:jc w:val="center"/>
        <w:rPr>
          <w:rFonts w:asciiTheme="majorHAnsi" w:hAnsiTheme="majorHAnsi"/>
          <w:sz w:val="18"/>
          <w:szCs w:val="22"/>
        </w:rPr>
      </w:pPr>
    </w:p>
    <w:p w14:paraId="319C392B" w14:textId="77777777" w:rsidR="00A50FCF" w:rsidRPr="007A64BE" w:rsidRDefault="00A50FCF" w:rsidP="00040C3A">
      <w:pPr>
        <w:tabs>
          <w:tab w:val="center" w:pos="5400"/>
        </w:tabs>
        <w:suppressAutoHyphens/>
        <w:jc w:val="center"/>
        <w:rPr>
          <w:rFonts w:asciiTheme="majorHAnsi" w:hAnsiTheme="majorHAnsi"/>
          <w:sz w:val="18"/>
          <w:szCs w:val="22"/>
        </w:rPr>
      </w:pPr>
    </w:p>
    <w:p w14:paraId="514A0182" w14:textId="77777777" w:rsidR="00A50FCF" w:rsidRPr="007A64BE" w:rsidRDefault="0090270B" w:rsidP="00040C3A">
      <w:pPr>
        <w:tabs>
          <w:tab w:val="center" w:pos="5400"/>
        </w:tabs>
        <w:suppressAutoHyphens/>
        <w:jc w:val="center"/>
        <w:rPr>
          <w:rFonts w:asciiTheme="majorHAnsi" w:hAnsiTheme="majorHAnsi"/>
          <w:sz w:val="18"/>
          <w:szCs w:val="22"/>
        </w:rPr>
      </w:pPr>
      <w:r w:rsidRPr="007A64BE">
        <w:rPr>
          <w:rFonts w:asciiTheme="majorHAnsi" w:hAnsiTheme="majorHAnsi"/>
          <w:noProof/>
          <w:sz w:val="22"/>
          <w:szCs w:val="22"/>
          <w:lang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467AD0C3"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rPr>
                            </w:pPr>
                            <w:r w:rsidRPr="00890650">
                              <w:rPr>
                                <w:rFonts w:asciiTheme="majorHAnsi" w:hAnsiTheme="majorHAnsi"/>
                                <w:color w:val="0D0D0D" w:themeColor="text1" w:themeTint="F2"/>
                                <w:sz w:val="18"/>
                                <w:szCs w:val="22"/>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rPr>
                              <w:t xml:space="preserve"> por la Comisión el </w:t>
                            </w:r>
                            <w:r w:rsidR="00FD0FA3">
                              <w:rPr>
                                <w:rFonts w:asciiTheme="majorHAnsi" w:hAnsiTheme="majorHAnsi"/>
                                <w:color w:val="0D0D0D" w:themeColor="text1" w:themeTint="F2"/>
                                <w:sz w:val="18"/>
                                <w:szCs w:val="22"/>
                              </w:rPr>
                              <w:t>25</w:t>
                            </w:r>
                            <w:r w:rsidRPr="00890650">
                              <w:rPr>
                                <w:rFonts w:asciiTheme="majorHAnsi" w:hAnsiTheme="majorHAnsi"/>
                                <w:color w:val="0D0D0D" w:themeColor="text1" w:themeTint="F2"/>
                                <w:sz w:val="18"/>
                                <w:szCs w:val="22"/>
                              </w:rPr>
                              <w:t xml:space="preserve"> de </w:t>
                            </w:r>
                            <w:r w:rsidR="00FD0FA3">
                              <w:rPr>
                                <w:rFonts w:asciiTheme="majorHAnsi" w:hAnsiTheme="majorHAnsi"/>
                                <w:color w:val="0D0D0D" w:themeColor="text1" w:themeTint="F2"/>
                                <w:sz w:val="18"/>
                                <w:szCs w:val="22"/>
                              </w:rPr>
                              <w:t>agosto</w:t>
                            </w:r>
                            <w:r w:rsidR="00F81BB8">
                              <w:rPr>
                                <w:rFonts w:asciiTheme="majorHAnsi" w:hAnsiTheme="majorHAnsi"/>
                                <w:color w:val="0D0D0D" w:themeColor="text1" w:themeTint="F2"/>
                                <w:sz w:val="18"/>
                                <w:szCs w:val="22"/>
                              </w:rPr>
                              <w:t xml:space="preserve"> </w:t>
                            </w:r>
                            <w:r w:rsidRPr="00890650">
                              <w:rPr>
                                <w:rFonts w:asciiTheme="majorHAnsi" w:hAnsiTheme="majorHAnsi"/>
                                <w:color w:val="0D0D0D" w:themeColor="text1" w:themeTint="F2"/>
                                <w:sz w:val="18"/>
                                <w:szCs w:val="22"/>
                              </w:rPr>
                              <w:t>de 20</w:t>
                            </w:r>
                            <w:r w:rsidR="00C23BA4">
                              <w:rPr>
                                <w:rFonts w:asciiTheme="majorHAnsi" w:hAnsiTheme="majorHAnsi"/>
                                <w:color w:val="0D0D0D" w:themeColor="text1" w:themeTint="F2"/>
                                <w:sz w:val="18"/>
                                <w:szCs w:val="22"/>
                              </w:rPr>
                              <w:t>2</w:t>
                            </w:r>
                            <w:r w:rsidR="00B11747">
                              <w:rPr>
                                <w:rFonts w:asciiTheme="majorHAnsi" w:hAnsiTheme="majorHAnsi"/>
                                <w:color w:val="0D0D0D" w:themeColor="text1" w:themeTint="F2"/>
                                <w:sz w:val="18"/>
                                <w:szCs w:val="22"/>
                              </w:rPr>
                              <w:t>5</w:t>
                            </w:r>
                            <w:r w:rsidR="00FD0FA3">
                              <w:rPr>
                                <w:rFonts w:asciiTheme="majorHAnsi" w:hAnsiTheme="majorHAnsi"/>
                                <w:color w:val="0D0D0D" w:themeColor="text1" w:themeTint="F2"/>
                                <w:sz w:val="18"/>
                                <w:szCs w:val="22"/>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467AD0C3"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rPr>
                      </w:pPr>
                      <w:r w:rsidRPr="00890650">
                        <w:rPr>
                          <w:rFonts w:asciiTheme="majorHAnsi" w:hAnsiTheme="majorHAnsi"/>
                          <w:color w:val="0D0D0D" w:themeColor="text1" w:themeTint="F2"/>
                          <w:sz w:val="18"/>
                          <w:szCs w:val="22"/>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rPr>
                        <w:t xml:space="preserve"> por la Comisión el </w:t>
                      </w:r>
                      <w:r w:rsidR="00FD0FA3">
                        <w:rPr>
                          <w:rFonts w:asciiTheme="majorHAnsi" w:hAnsiTheme="majorHAnsi"/>
                          <w:color w:val="0D0D0D" w:themeColor="text1" w:themeTint="F2"/>
                          <w:sz w:val="18"/>
                          <w:szCs w:val="22"/>
                        </w:rPr>
                        <w:t>25</w:t>
                      </w:r>
                      <w:r w:rsidRPr="00890650">
                        <w:rPr>
                          <w:rFonts w:asciiTheme="majorHAnsi" w:hAnsiTheme="majorHAnsi"/>
                          <w:color w:val="0D0D0D" w:themeColor="text1" w:themeTint="F2"/>
                          <w:sz w:val="18"/>
                          <w:szCs w:val="22"/>
                        </w:rPr>
                        <w:t xml:space="preserve"> de </w:t>
                      </w:r>
                      <w:r w:rsidR="00FD0FA3">
                        <w:rPr>
                          <w:rFonts w:asciiTheme="majorHAnsi" w:hAnsiTheme="majorHAnsi"/>
                          <w:color w:val="0D0D0D" w:themeColor="text1" w:themeTint="F2"/>
                          <w:sz w:val="18"/>
                          <w:szCs w:val="22"/>
                        </w:rPr>
                        <w:t>agosto</w:t>
                      </w:r>
                      <w:r w:rsidR="00F81BB8">
                        <w:rPr>
                          <w:rFonts w:asciiTheme="majorHAnsi" w:hAnsiTheme="majorHAnsi"/>
                          <w:color w:val="0D0D0D" w:themeColor="text1" w:themeTint="F2"/>
                          <w:sz w:val="18"/>
                          <w:szCs w:val="22"/>
                        </w:rPr>
                        <w:t xml:space="preserve"> </w:t>
                      </w:r>
                      <w:r w:rsidRPr="00890650">
                        <w:rPr>
                          <w:rFonts w:asciiTheme="majorHAnsi" w:hAnsiTheme="majorHAnsi"/>
                          <w:color w:val="0D0D0D" w:themeColor="text1" w:themeTint="F2"/>
                          <w:sz w:val="18"/>
                          <w:szCs w:val="22"/>
                        </w:rPr>
                        <w:t>de 20</w:t>
                      </w:r>
                      <w:r w:rsidR="00C23BA4">
                        <w:rPr>
                          <w:rFonts w:asciiTheme="majorHAnsi" w:hAnsiTheme="majorHAnsi"/>
                          <w:color w:val="0D0D0D" w:themeColor="text1" w:themeTint="F2"/>
                          <w:sz w:val="18"/>
                          <w:szCs w:val="22"/>
                        </w:rPr>
                        <w:t>2</w:t>
                      </w:r>
                      <w:r w:rsidR="00B11747">
                        <w:rPr>
                          <w:rFonts w:asciiTheme="majorHAnsi" w:hAnsiTheme="majorHAnsi"/>
                          <w:color w:val="0D0D0D" w:themeColor="text1" w:themeTint="F2"/>
                          <w:sz w:val="18"/>
                          <w:szCs w:val="22"/>
                        </w:rPr>
                        <w:t>5</w:t>
                      </w:r>
                      <w:r w:rsidR="00FD0FA3">
                        <w:rPr>
                          <w:rFonts w:asciiTheme="majorHAnsi" w:hAnsiTheme="majorHAnsi"/>
                          <w:color w:val="0D0D0D" w:themeColor="text1" w:themeTint="F2"/>
                          <w:sz w:val="18"/>
                          <w:szCs w:val="22"/>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1F28BEBB" w14:textId="77777777" w:rsidR="00A50FCF" w:rsidRPr="007A64BE" w:rsidRDefault="00A50FCF" w:rsidP="00040C3A">
      <w:pPr>
        <w:tabs>
          <w:tab w:val="center" w:pos="5400"/>
        </w:tabs>
        <w:suppressAutoHyphens/>
        <w:jc w:val="center"/>
        <w:rPr>
          <w:rFonts w:asciiTheme="majorHAnsi" w:hAnsiTheme="majorHAnsi"/>
          <w:sz w:val="18"/>
          <w:szCs w:val="22"/>
        </w:rPr>
      </w:pPr>
    </w:p>
    <w:p w14:paraId="7929D1FD" w14:textId="77777777" w:rsidR="00A50FCF" w:rsidRPr="007A64BE" w:rsidRDefault="00A50FCF" w:rsidP="00040C3A">
      <w:pPr>
        <w:tabs>
          <w:tab w:val="center" w:pos="5400"/>
        </w:tabs>
        <w:suppressAutoHyphens/>
        <w:jc w:val="center"/>
        <w:rPr>
          <w:rFonts w:asciiTheme="majorHAnsi" w:hAnsiTheme="majorHAnsi"/>
          <w:sz w:val="18"/>
          <w:szCs w:val="22"/>
        </w:rPr>
      </w:pPr>
    </w:p>
    <w:p w14:paraId="5469D0BE" w14:textId="77777777" w:rsidR="00A50FCF" w:rsidRPr="007A64BE" w:rsidRDefault="00A50FCF" w:rsidP="00040C3A">
      <w:pPr>
        <w:tabs>
          <w:tab w:val="center" w:pos="5400"/>
        </w:tabs>
        <w:suppressAutoHyphens/>
        <w:jc w:val="center"/>
        <w:rPr>
          <w:rFonts w:asciiTheme="majorHAnsi" w:hAnsiTheme="majorHAnsi"/>
          <w:sz w:val="18"/>
          <w:szCs w:val="22"/>
        </w:rPr>
      </w:pPr>
    </w:p>
    <w:p w14:paraId="7A79F059" w14:textId="77777777" w:rsidR="00A50FCF" w:rsidRPr="007A64BE" w:rsidRDefault="00A50FCF" w:rsidP="00040C3A">
      <w:pPr>
        <w:tabs>
          <w:tab w:val="center" w:pos="5400"/>
        </w:tabs>
        <w:suppressAutoHyphens/>
        <w:jc w:val="center"/>
        <w:rPr>
          <w:rFonts w:asciiTheme="majorHAnsi" w:hAnsiTheme="majorHAnsi"/>
          <w:sz w:val="18"/>
          <w:szCs w:val="22"/>
        </w:rPr>
      </w:pPr>
    </w:p>
    <w:p w14:paraId="330672AE" w14:textId="77777777" w:rsidR="00A50FCF" w:rsidRPr="007A64BE" w:rsidRDefault="0090270B" w:rsidP="00040C3A">
      <w:pPr>
        <w:tabs>
          <w:tab w:val="center" w:pos="5400"/>
        </w:tabs>
        <w:suppressAutoHyphens/>
        <w:jc w:val="center"/>
        <w:rPr>
          <w:rFonts w:asciiTheme="majorHAnsi" w:hAnsiTheme="majorHAnsi"/>
          <w:sz w:val="18"/>
          <w:szCs w:val="22"/>
        </w:rPr>
      </w:pPr>
      <w:r w:rsidRPr="007A64BE">
        <w:rPr>
          <w:rFonts w:asciiTheme="majorHAnsi" w:hAnsiTheme="majorHAnsi"/>
          <w:noProof/>
          <w:sz w:val="18"/>
          <w:szCs w:val="22"/>
          <w:lang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88BE7" w14:textId="77777777" w:rsidR="00FD0FA3"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D0FA3" w:rsidRPr="00FD0FA3">
                              <w:rPr>
                                <w:rFonts w:asciiTheme="majorHAnsi" w:hAnsiTheme="majorHAnsi"/>
                                <w:color w:val="595959" w:themeColor="text1" w:themeTint="A6"/>
                                <w:sz w:val="18"/>
                                <w:szCs w:val="18"/>
                                <w:lang w:val="pt-BR"/>
                              </w:rPr>
                              <w:t>189</w:t>
                            </w:r>
                            <w:r w:rsidR="007B05C4" w:rsidRPr="00FD0FA3">
                              <w:rPr>
                                <w:rFonts w:asciiTheme="majorHAnsi" w:hAnsiTheme="majorHAnsi"/>
                                <w:color w:val="595959" w:themeColor="text1" w:themeTint="A6"/>
                                <w:sz w:val="18"/>
                                <w:szCs w:val="18"/>
                                <w:lang w:val="pt-BR"/>
                              </w:rPr>
                              <w:t>/</w:t>
                            </w:r>
                            <w:r w:rsidR="00FD0FA3" w:rsidRPr="00FD0FA3">
                              <w:rPr>
                                <w:rFonts w:asciiTheme="majorHAnsi" w:hAnsiTheme="majorHAnsi"/>
                                <w:color w:val="595959" w:themeColor="text1" w:themeTint="A6"/>
                                <w:sz w:val="18"/>
                                <w:szCs w:val="18"/>
                                <w:lang w:val="pt-BR"/>
                              </w:rPr>
                              <w:t>25</w:t>
                            </w:r>
                            <w:r w:rsidRPr="00FD0FA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rPr>
                              <w:t>ón</w:t>
                            </w:r>
                            <w:r w:rsidR="002F4466">
                              <w:rPr>
                                <w:rFonts w:asciiTheme="majorHAnsi" w:hAnsiTheme="majorHAnsi"/>
                                <w:color w:val="595959" w:themeColor="text1" w:themeTint="A6"/>
                                <w:sz w:val="18"/>
                                <w:szCs w:val="18"/>
                              </w:rPr>
                              <w:t xml:space="preserve"> 1492-11</w:t>
                            </w:r>
                            <w:r w:rsidR="000433C9">
                              <w:rPr>
                                <w:rFonts w:asciiTheme="majorHAnsi" w:hAnsiTheme="majorHAnsi"/>
                                <w:color w:val="595959" w:themeColor="text1" w:themeTint="A6"/>
                                <w:sz w:val="18"/>
                                <w:szCs w:val="18"/>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E75E491" w:rsidR="00113F73" w:rsidRPr="007B05C4" w:rsidRDefault="002F4466" w:rsidP="00113F73">
                            <w:pPr>
                              <w:spacing w:line="276" w:lineRule="auto"/>
                              <w:rPr>
                                <w:rFonts w:asciiTheme="majorHAnsi" w:hAnsiTheme="majorHAnsi"/>
                                <w:color w:val="595959" w:themeColor="text1" w:themeTint="A6"/>
                                <w:sz w:val="18"/>
                                <w:szCs w:val="18"/>
                              </w:rPr>
                            </w:pPr>
                            <w:r>
                              <w:rPr>
                                <w:rFonts w:asciiTheme="majorHAnsi" w:hAnsiTheme="majorHAnsi"/>
                                <w:color w:val="595959" w:themeColor="text1" w:themeTint="A6"/>
                                <w:sz w:val="18"/>
                                <w:szCs w:val="18"/>
                                <w:lang w:val="es-ES_tradnl"/>
                              </w:rPr>
                              <w:t>Comunidad Villa Hortensia II</w:t>
                            </w:r>
                            <w:r w:rsidR="00113F73" w:rsidRPr="00890650">
                              <w:rPr>
                                <w:rFonts w:asciiTheme="majorHAnsi" w:hAnsiTheme="majorHAnsi"/>
                                <w:color w:val="595959" w:themeColor="text1" w:themeTint="A6"/>
                                <w:sz w:val="18"/>
                                <w:szCs w:val="18"/>
                                <w:lang w:val="es-ES_tradnl"/>
                              </w:rPr>
                              <w:t xml:space="preserve">. </w:t>
                            </w:r>
                            <w:r w:rsidR="00FD0FA3">
                              <w:rPr>
                                <w:rFonts w:asciiTheme="majorHAnsi" w:hAnsiTheme="majorHAnsi"/>
                                <w:color w:val="595959" w:themeColor="text1" w:themeTint="A6"/>
                                <w:sz w:val="18"/>
                                <w:szCs w:val="18"/>
                                <w:lang w:val="es-ES_tradnl"/>
                              </w:rPr>
                              <w:t>G</w:t>
                            </w:r>
                            <w:r>
                              <w:rPr>
                                <w:rFonts w:asciiTheme="majorHAnsi" w:hAnsiTheme="majorHAnsi"/>
                                <w:color w:val="595959" w:themeColor="text1" w:themeTint="A6"/>
                                <w:sz w:val="18"/>
                                <w:szCs w:val="18"/>
                                <w:lang w:val="es-ES_tradnl"/>
                              </w:rPr>
                              <w:t>uatemala</w:t>
                            </w:r>
                            <w:r w:rsidR="00113F73" w:rsidRPr="00890650">
                              <w:rPr>
                                <w:rFonts w:asciiTheme="majorHAnsi" w:hAnsiTheme="majorHAnsi"/>
                                <w:color w:val="595959" w:themeColor="text1" w:themeTint="A6"/>
                                <w:sz w:val="18"/>
                                <w:szCs w:val="18"/>
                                <w:lang w:val="es-ES_tradnl"/>
                              </w:rPr>
                              <w:t xml:space="preserve">. </w:t>
                            </w:r>
                            <w:r w:rsidR="00FD0FA3">
                              <w:rPr>
                                <w:rFonts w:asciiTheme="majorHAnsi" w:hAnsiTheme="majorHAnsi"/>
                                <w:color w:val="595959" w:themeColor="text1" w:themeTint="A6"/>
                                <w:sz w:val="18"/>
                                <w:szCs w:val="18"/>
                              </w:rPr>
                              <w:t>25 de agosto de 2025</w:t>
                            </w:r>
                            <w:r w:rsidR="00113F73" w:rsidRPr="007B05C4">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F788BE7" w14:textId="77777777" w:rsidR="00FD0FA3"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D0FA3" w:rsidRPr="00FD0FA3">
                        <w:rPr>
                          <w:rFonts w:asciiTheme="majorHAnsi" w:hAnsiTheme="majorHAnsi"/>
                          <w:color w:val="595959" w:themeColor="text1" w:themeTint="A6"/>
                          <w:sz w:val="18"/>
                          <w:szCs w:val="18"/>
                          <w:lang w:val="pt-BR"/>
                        </w:rPr>
                        <w:t>189</w:t>
                      </w:r>
                      <w:r w:rsidR="007B05C4" w:rsidRPr="00FD0FA3">
                        <w:rPr>
                          <w:rFonts w:asciiTheme="majorHAnsi" w:hAnsiTheme="majorHAnsi"/>
                          <w:color w:val="595959" w:themeColor="text1" w:themeTint="A6"/>
                          <w:sz w:val="18"/>
                          <w:szCs w:val="18"/>
                          <w:lang w:val="pt-BR"/>
                        </w:rPr>
                        <w:t>/</w:t>
                      </w:r>
                      <w:r w:rsidR="00FD0FA3" w:rsidRPr="00FD0FA3">
                        <w:rPr>
                          <w:rFonts w:asciiTheme="majorHAnsi" w:hAnsiTheme="majorHAnsi"/>
                          <w:color w:val="595959" w:themeColor="text1" w:themeTint="A6"/>
                          <w:sz w:val="18"/>
                          <w:szCs w:val="18"/>
                          <w:lang w:val="pt-BR"/>
                        </w:rPr>
                        <w:t>25</w:t>
                      </w:r>
                      <w:r w:rsidRPr="00FD0FA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rPr>
                        <w:t>ón</w:t>
                      </w:r>
                      <w:r w:rsidR="002F4466">
                        <w:rPr>
                          <w:rFonts w:asciiTheme="majorHAnsi" w:hAnsiTheme="majorHAnsi"/>
                          <w:color w:val="595959" w:themeColor="text1" w:themeTint="A6"/>
                          <w:sz w:val="18"/>
                          <w:szCs w:val="18"/>
                        </w:rPr>
                        <w:t xml:space="preserve"> 1492-11</w:t>
                      </w:r>
                      <w:r w:rsidR="000433C9">
                        <w:rPr>
                          <w:rFonts w:asciiTheme="majorHAnsi" w:hAnsiTheme="majorHAnsi"/>
                          <w:color w:val="595959" w:themeColor="text1" w:themeTint="A6"/>
                          <w:sz w:val="18"/>
                          <w:szCs w:val="18"/>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E75E491" w:rsidR="00113F73" w:rsidRPr="007B05C4" w:rsidRDefault="002F4466" w:rsidP="00113F73">
                      <w:pPr>
                        <w:spacing w:line="276" w:lineRule="auto"/>
                        <w:rPr>
                          <w:rFonts w:asciiTheme="majorHAnsi" w:hAnsiTheme="majorHAnsi"/>
                          <w:color w:val="595959" w:themeColor="text1" w:themeTint="A6"/>
                          <w:sz w:val="18"/>
                          <w:szCs w:val="18"/>
                        </w:rPr>
                      </w:pPr>
                      <w:r>
                        <w:rPr>
                          <w:rFonts w:asciiTheme="majorHAnsi" w:hAnsiTheme="majorHAnsi"/>
                          <w:color w:val="595959" w:themeColor="text1" w:themeTint="A6"/>
                          <w:sz w:val="18"/>
                          <w:szCs w:val="18"/>
                          <w:lang w:val="es-ES_tradnl"/>
                        </w:rPr>
                        <w:t>Comunidad Villa Hortensia II</w:t>
                      </w:r>
                      <w:r w:rsidR="00113F73" w:rsidRPr="00890650">
                        <w:rPr>
                          <w:rFonts w:asciiTheme="majorHAnsi" w:hAnsiTheme="majorHAnsi"/>
                          <w:color w:val="595959" w:themeColor="text1" w:themeTint="A6"/>
                          <w:sz w:val="18"/>
                          <w:szCs w:val="18"/>
                          <w:lang w:val="es-ES_tradnl"/>
                        </w:rPr>
                        <w:t xml:space="preserve">. </w:t>
                      </w:r>
                      <w:r w:rsidR="00FD0FA3">
                        <w:rPr>
                          <w:rFonts w:asciiTheme="majorHAnsi" w:hAnsiTheme="majorHAnsi"/>
                          <w:color w:val="595959" w:themeColor="text1" w:themeTint="A6"/>
                          <w:sz w:val="18"/>
                          <w:szCs w:val="18"/>
                          <w:lang w:val="es-ES_tradnl"/>
                        </w:rPr>
                        <w:t>G</w:t>
                      </w:r>
                      <w:r>
                        <w:rPr>
                          <w:rFonts w:asciiTheme="majorHAnsi" w:hAnsiTheme="majorHAnsi"/>
                          <w:color w:val="595959" w:themeColor="text1" w:themeTint="A6"/>
                          <w:sz w:val="18"/>
                          <w:szCs w:val="18"/>
                          <w:lang w:val="es-ES_tradnl"/>
                        </w:rPr>
                        <w:t>uatemala</w:t>
                      </w:r>
                      <w:r w:rsidR="00113F73" w:rsidRPr="00890650">
                        <w:rPr>
                          <w:rFonts w:asciiTheme="majorHAnsi" w:hAnsiTheme="majorHAnsi"/>
                          <w:color w:val="595959" w:themeColor="text1" w:themeTint="A6"/>
                          <w:sz w:val="18"/>
                          <w:szCs w:val="18"/>
                          <w:lang w:val="es-ES_tradnl"/>
                        </w:rPr>
                        <w:t xml:space="preserve">. </w:t>
                      </w:r>
                      <w:r w:rsidR="00FD0FA3">
                        <w:rPr>
                          <w:rFonts w:asciiTheme="majorHAnsi" w:hAnsiTheme="majorHAnsi"/>
                          <w:color w:val="595959" w:themeColor="text1" w:themeTint="A6"/>
                          <w:sz w:val="18"/>
                          <w:szCs w:val="18"/>
                        </w:rPr>
                        <w:t>25 de agosto de 2025</w:t>
                      </w:r>
                      <w:r w:rsidR="00113F73" w:rsidRPr="007B05C4">
                        <w:rPr>
                          <w:rFonts w:asciiTheme="majorHAnsi" w:hAnsiTheme="majorHAnsi"/>
                          <w:color w:val="595959" w:themeColor="text1" w:themeTint="A6"/>
                          <w:sz w:val="18"/>
                          <w:szCs w:val="18"/>
                        </w:rPr>
                        <w:t>.</w:t>
                      </w:r>
                    </w:p>
                  </w:txbxContent>
                </v:textbox>
              </v:shape>
            </w:pict>
          </mc:Fallback>
        </mc:AlternateContent>
      </w:r>
    </w:p>
    <w:p w14:paraId="196A49DE" w14:textId="77777777" w:rsidR="00A50FCF" w:rsidRPr="007A64BE" w:rsidRDefault="00A50FCF" w:rsidP="00040C3A">
      <w:pPr>
        <w:tabs>
          <w:tab w:val="center" w:pos="5400"/>
        </w:tabs>
        <w:suppressAutoHyphens/>
        <w:jc w:val="center"/>
        <w:rPr>
          <w:rFonts w:asciiTheme="majorHAnsi" w:hAnsiTheme="majorHAnsi"/>
          <w:sz w:val="18"/>
          <w:szCs w:val="22"/>
        </w:rPr>
      </w:pPr>
    </w:p>
    <w:p w14:paraId="1DA07629" w14:textId="77777777" w:rsidR="0090270B" w:rsidRPr="007A64BE" w:rsidRDefault="00D306D1" w:rsidP="005516A1">
      <w:pPr>
        <w:tabs>
          <w:tab w:val="center" w:pos="5400"/>
        </w:tabs>
        <w:suppressAutoHyphens/>
        <w:jc w:val="center"/>
        <w:rPr>
          <w:rFonts w:asciiTheme="majorHAnsi" w:hAnsiTheme="majorHAnsi"/>
          <w:b/>
          <w:sz w:val="20"/>
        </w:rPr>
      </w:pPr>
      <w:r w:rsidRPr="007A64BE">
        <w:rPr>
          <w:rFonts w:asciiTheme="majorHAnsi" w:hAnsiTheme="majorHAnsi"/>
          <w:noProof/>
          <w:sz w:val="18"/>
          <w:szCs w:val="22"/>
          <w:lang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3EA979E8" w:rsidR="00D72DC6" w:rsidRPr="00D72DC6" w:rsidRDefault="00FD0FA3" w:rsidP="00F02AD1">
                            <w:pPr>
                              <w:rPr>
                                <w:color w:val="FFFFFF" w:themeColor="background1"/>
                                <w14:textFill>
                                  <w14:noFill/>
                                </w14:textFill>
                              </w:rPr>
                            </w:pPr>
                            <w:r>
                              <w:rPr>
                                <w:noProof/>
                                <w:color w:val="FFFFFF" w:themeColor="background1"/>
                              </w:rPr>
                              <w:drawing>
                                <wp:inline distT="0" distB="0" distL="0" distR="0" wp14:anchorId="06B69F90" wp14:editId="27140878">
                                  <wp:extent cx="1824355" cy="469265"/>
                                  <wp:effectExtent l="0" t="0" r="4445" b="6985"/>
                                  <wp:docPr id="1939362778" name="Picture 19393627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3EA979E8" w:rsidR="00D72DC6" w:rsidRPr="00D72DC6" w:rsidRDefault="00FD0FA3" w:rsidP="00F02AD1">
                      <w:pPr>
                        <w:rPr>
                          <w:color w:val="FFFFFF" w:themeColor="background1"/>
                          <w14:textFill>
                            <w14:noFill/>
                          </w14:textFill>
                        </w:rPr>
                      </w:pPr>
                      <w:r>
                        <w:rPr>
                          <w:noProof/>
                          <w:color w:val="FFFFFF" w:themeColor="background1"/>
                        </w:rPr>
                        <w:drawing>
                          <wp:inline distT="0" distB="0" distL="0" distR="0" wp14:anchorId="06B69F90" wp14:editId="27140878">
                            <wp:extent cx="1824355" cy="469265"/>
                            <wp:effectExtent l="0" t="0" r="4445" b="6985"/>
                            <wp:docPr id="1939362778" name="Picture 19393627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Pr="007A64BE">
        <w:rPr>
          <w:rFonts w:asciiTheme="majorHAnsi" w:hAnsiTheme="majorHAnsi"/>
          <w:noProof/>
          <w:sz w:val="22"/>
          <w:szCs w:val="22"/>
          <w:lang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7A64BE" w:rsidRDefault="004A6A54" w:rsidP="005516A1">
      <w:pPr>
        <w:tabs>
          <w:tab w:val="center" w:pos="5400"/>
        </w:tabs>
        <w:suppressAutoHyphens/>
        <w:jc w:val="center"/>
        <w:rPr>
          <w:rFonts w:asciiTheme="majorHAnsi" w:hAnsiTheme="majorHAnsi"/>
          <w:b/>
          <w:sz w:val="20"/>
        </w:rPr>
        <w:sectPr w:rsidR="0070697F" w:rsidRPr="007A64BE"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7A64BE">
        <w:rPr>
          <w:rFonts w:asciiTheme="majorHAnsi" w:hAnsiTheme="majorHAnsi"/>
          <w:b/>
          <w:sz w:val="20"/>
        </w:rPr>
        <w:tab/>
      </w:r>
    </w:p>
    <w:p w14:paraId="376DDC8B" w14:textId="77777777" w:rsidR="003239B8" w:rsidRPr="007A64BE" w:rsidRDefault="003239B8" w:rsidP="004A6A54">
      <w:pPr>
        <w:spacing w:after="240"/>
        <w:ind w:firstLine="720"/>
        <w:jc w:val="both"/>
        <w:rPr>
          <w:rFonts w:asciiTheme="majorHAnsi" w:hAnsiTheme="majorHAnsi"/>
          <w:b/>
          <w:bCs/>
          <w:sz w:val="20"/>
          <w:szCs w:val="20"/>
        </w:rPr>
      </w:pPr>
      <w:r w:rsidRPr="007A64BE">
        <w:rPr>
          <w:rFonts w:asciiTheme="majorHAnsi" w:hAnsiTheme="majorHAnsi"/>
          <w:b/>
          <w:bCs/>
          <w:sz w:val="20"/>
          <w:szCs w:val="20"/>
        </w:rPr>
        <w:lastRenderedPageBreak/>
        <w:t>I.</w:t>
      </w:r>
      <w:r w:rsidRPr="007A64BE">
        <w:rPr>
          <w:rFonts w:asciiTheme="majorHAnsi" w:hAnsiTheme="majorHAnsi"/>
          <w:b/>
          <w:bCs/>
          <w:sz w:val="20"/>
          <w:szCs w:val="20"/>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7A64BE" w14:paraId="5A79D1F7" w14:textId="77777777" w:rsidTr="00CF2CC3">
        <w:tc>
          <w:tcPr>
            <w:tcW w:w="3600" w:type="dxa"/>
            <w:tcBorders>
              <w:top w:val="single" w:sz="4" w:space="0" w:color="auto"/>
              <w:bottom w:val="single" w:sz="6" w:space="0" w:color="auto"/>
            </w:tcBorders>
            <w:shd w:val="clear" w:color="auto" w:fill="386294"/>
            <w:vAlign w:val="center"/>
          </w:tcPr>
          <w:p w14:paraId="0CB2A43B" w14:textId="77777777" w:rsidR="003239B8" w:rsidRPr="007A64BE" w:rsidRDefault="003239B8">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Parte peticionaria:</w:t>
            </w:r>
          </w:p>
        </w:tc>
        <w:tc>
          <w:tcPr>
            <w:tcW w:w="5760" w:type="dxa"/>
            <w:tcBorders>
              <w:bottom w:val="single" w:sz="4" w:space="0" w:color="auto"/>
            </w:tcBorders>
            <w:vAlign w:val="center"/>
          </w:tcPr>
          <w:p w14:paraId="3C5315D8" w14:textId="112E1ACC" w:rsidR="003239B8" w:rsidRPr="00185BAB" w:rsidRDefault="00A32482" w:rsidP="00CF2CC3">
            <w:pPr>
              <w:pStyle w:val="p1"/>
              <w:jc w:val="both"/>
              <w:rPr>
                <w:rFonts w:asciiTheme="majorHAnsi" w:hAnsiTheme="majorHAnsi"/>
                <w:sz w:val="20"/>
                <w:szCs w:val="20"/>
                <w:lang w:val="es-ES"/>
              </w:rPr>
            </w:pPr>
            <w:r w:rsidRPr="00185BAB">
              <w:rPr>
                <w:rFonts w:ascii="Cambria" w:hAnsi="Cambria"/>
                <w:bCs/>
                <w:sz w:val="20"/>
                <w:szCs w:val="20"/>
                <w:lang w:val="es-ES"/>
              </w:rPr>
              <w:t>Bajo reserva de identidad</w:t>
            </w:r>
            <w:r w:rsidRPr="00185BAB">
              <w:rPr>
                <w:rStyle w:val="FootnoteReference"/>
                <w:rFonts w:ascii="Cambria" w:hAnsi="Cambria"/>
                <w:bCs/>
                <w:sz w:val="20"/>
                <w:szCs w:val="20"/>
                <w:lang w:val="es-ES"/>
              </w:rPr>
              <w:footnoteReference w:id="2"/>
            </w:r>
          </w:p>
        </w:tc>
      </w:tr>
      <w:tr w:rsidR="003239B8" w:rsidRPr="007A64BE" w14:paraId="593A7E45" w14:textId="77777777" w:rsidTr="00CF2CC3">
        <w:tc>
          <w:tcPr>
            <w:tcW w:w="3600" w:type="dxa"/>
            <w:tcBorders>
              <w:top w:val="single" w:sz="6" w:space="0" w:color="auto"/>
              <w:bottom w:val="single" w:sz="6" w:space="0" w:color="auto"/>
            </w:tcBorders>
            <w:shd w:val="clear" w:color="auto" w:fill="386294"/>
            <w:vAlign w:val="center"/>
          </w:tcPr>
          <w:p w14:paraId="0E78CA0C" w14:textId="77777777" w:rsidR="003239B8" w:rsidRPr="007A64BE" w:rsidRDefault="009B4E09">
            <w:pPr>
              <w:jc w:val="center"/>
              <w:rPr>
                <w:rFonts w:asciiTheme="majorHAnsi" w:hAnsiTheme="majorHAnsi"/>
                <w:b/>
                <w:bCs/>
                <w:color w:val="FFFFFF" w:themeColor="background1"/>
                <w:sz w:val="20"/>
                <w:szCs w:val="20"/>
              </w:rPr>
            </w:pPr>
            <w:sdt>
              <w:sdtPr>
                <w:rPr>
                  <w:rFonts w:asciiTheme="majorHAnsi" w:hAnsiTheme="majorHAnsi"/>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7A64BE">
                  <w:rPr>
                    <w:rFonts w:asciiTheme="majorHAnsi" w:hAnsiTheme="majorHAnsi"/>
                    <w:b/>
                    <w:bCs/>
                    <w:color w:val="FFFFFF" w:themeColor="background1"/>
                    <w:sz w:val="20"/>
                    <w:szCs w:val="20"/>
                  </w:rPr>
                  <w:t>Presunta víctima</w:t>
                </w:r>
              </w:sdtContent>
            </w:sdt>
            <w:r w:rsidR="003239B8" w:rsidRPr="007A64BE">
              <w:rPr>
                <w:rFonts w:asciiTheme="majorHAnsi" w:hAnsiTheme="majorHAnsi"/>
                <w:b/>
                <w:bCs/>
                <w:color w:val="FFFFFF" w:themeColor="background1"/>
                <w:sz w:val="20"/>
                <w:szCs w:val="20"/>
              </w:rPr>
              <w:t>:</w:t>
            </w:r>
          </w:p>
        </w:tc>
        <w:tc>
          <w:tcPr>
            <w:tcW w:w="5760" w:type="dxa"/>
            <w:tcBorders>
              <w:top w:val="single" w:sz="4" w:space="0" w:color="auto"/>
              <w:bottom w:val="single" w:sz="4" w:space="0" w:color="auto"/>
            </w:tcBorders>
            <w:vAlign w:val="center"/>
          </w:tcPr>
          <w:p w14:paraId="4AEBF59E" w14:textId="7573AC13" w:rsidR="003239B8" w:rsidRPr="007A64BE" w:rsidRDefault="00347A3B">
            <w:pPr>
              <w:jc w:val="both"/>
              <w:rPr>
                <w:rFonts w:asciiTheme="majorHAnsi" w:hAnsiTheme="majorHAnsi"/>
                <w:bCs/>
                <w:sz w:val="20"/>
                <w:szCs w:val="20"/>
              </w:rPr>
            </w:pPr>
            <w:r w:rsidRPr="007A64BE">
              <w:rPr>
                <w:rFonts w:asciiTheme="majorHAnsi" w:hAnsiTheme="majorHAnsi"/>
                <w:bCs/>
                <w:sz w:val="20"/>
                <w:szCs w:val="20"/>
              </w:rPr>
              <w:t>Comunidad Villa Hortensia II</w:t>
            </w:r>
          </w:p>
        </w:tc>
      </w:tr>
      <w:tr w:rsidR="003239B8" w:rsidRPr="007A64BE" w14:paraId="3E62E1D3" w14:textId="77777777" w:rsidTr="00CF2CC3">
        <w:tc>
          <w:tcPr>
            <w:tcW w:w="3600" w:type="dxa"/>
            <w:tcBorders>
              <w:top w:val="single" w:sz="6" w:space="0" w:color="auto"/>
              <w:bottom w:val="single" w:sz="6" w:space="0" w:color="auto"/>
            </w:tcBorders>
            <w:shd w:val="clear" w:color="auto" w:fill="386294"/>
            <w:vAlign w:val="center"/>
          </w:tcPr>
          <w:p w14:paraId="340B0F09" w14:textId="77777777" w:rsidR="003239B8" w:rsidRPr="007A64BE" w:rsidRDefault="003239B8">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Estado denunciado:</w:t>
            </w:r>
          </w:p>
        </w:tc>
        <w:tc>
          <w:tcPr>
            <w:tcW w:w="5760" w:type="dxa"/>
            <w:tcBorders>
              <w:top w:val="single" w:sz="4" w:space="0" w:color="auto"/>
            </w:tcBorders>
            <w:vAlign w:val="center"/>
          </w:tcPr>
          <w:p w14:paraId="274C8A50" w14:textId="35C091AE" w:rsidR="003239B8" w:rsidRPr="007A64BE" w:rsidRDefault="003C4099">
            <w:pPr>
              <w:jc w:val="both"/>
              <w:rPr>
                <w:rFonts w:asciiTheme="majorHAnsi" w:hAnsiTheme="majorHAnsi"/>
                <w:bCs/>
                <w:sz w:val="20"/>
                <w:szCs w:val="20"/>
              </w:rPr>
            </w:pPr>
            <w:r w:rsidRPr="007A64BE">
              <w:rPr>
                <w:rFonts w:asciiTheme="majorHAnsi" w:hAnsiTheme="majorHAnsi"/>
                <w:bCs/>
                <w:sz w:val="20"/>
                <w:szCs w:val="20"/>
              </w:rPr>
              <w:t>Guatemala</w:t>
            </w:r>
            <w:r w:rsidR="00C84621" w:rsidRPr="007A64BE">
              <w:rPr>
                <w:rStyle w:val="FootnoteReference"/>
                <w:rFonts w:asciiTheme="majorHAnsi" w:hAnsiTheme="majorHAnsi"/>
                <w:bCs/>
                <w:sz w:val="20"/>
                <w:szCs w:val="20"/>
              </w:rPr>
              <w:footnoteReference w:id="3"/>
            </w:r>
          </w:p>
        </w:tc>
      </w:tr>
      <w:tr w:rsidR="00223A29" w:rsidRPr="007A64BE" w14:paraId="632511BC" w14:textId="77777777" w:rsidTr="004D2F25">
        <w:tc>
          <w:tcPr>
            <w:tcW w:w="3600" w:type="dxa"/>
            <w:tcBorders>
              <w:top w:val="single" w:sz="6" w:space="0" w:color="auto"/>
              <w:bottom w:val="single" w:sz="6" w:space="0" w:color="auto"/>
            </w:tcBorders>
            <w:shd w:val="clear" w:color="auto" w:fill="386294"/>
            <w:vAlign w:val="center"/>
          </w:tcPr>
          <w:p w14:paraId="727E2F6B" w14:textId="60AEE329" w:rsidR="00223A29" w:rsidRPr="007A64BE" w:rsidRDefault="001B3A00" w:rsidP="00E4118C">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 xml:space="preserve">Derechos </w:t>
            </w:r>
            <w:r w:rsidR="00E4118C" w:rsidRPr="007A64BE">
              <w:rPr>
                <w:rFonts w:asciiTheme="majorHAnsi" w:hAnsiTheme="majorHAnsi"/>
                <w:b/>
                <w:bCs/>
                <w:color w:val="FFFFFF" w:themeColor="background1"/>
                <w:sz w:val="20"/>
                <w:szCs w:val="20"/>
              </w:rPr>
              <w:t>invocados</w:t>
            </w:r>
            <w:r w:rsidRPr="007A64BE">
              <w:rPr>
                <w:rFonts w:asciiTheme="majorHAnsi" w:hAnsiTheme="majorHAnsi"/>
                <w:b/>
                <w:bCs/>
                <w:color w:val="FFFFFF" w:themeColor="background1"/>
                <w:sz w:val="20"/>
                <w:szCs w:val="20"/>
              </w:rPr>
              <w:t>:</w:t>
            </w:r>
          </w:p>
        </w:tc>
        <w:tc>
          <w:tcPr>
            <w:tcW w:w="5760" w:type="dxa"/>
            <w:vAlign w:val="bottom"/>
          </w:tcPr>
          <w:p w14:paraId="6DEE1EEB" w14:textId="0CDE30D8" w:rsidR="00223A29" w:rsidRPr="007A64BE" w:rsidRDefault="00BD4524" w:rsidP="0051584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20"/>
                <w:szCs w:val="20"/>
              </w:rPr>
            </w:pPr>
            <w:r w:rsidRPr="007A64BE">
              <w:rPr>
                <w:rFonts w:asciiTheme="majorHAnsi" w:hAnsiTheme="majorHAnsi"/>
                <w:bCs/>
                <w:sz w:val="20"/>
                <w:szCs w:val="20"/>
              </w:rPr>
              <w:t>Artículos 4 (vida), 5 (integridad personal), 8 (garantías judiciales), 11 (protección de la honra y de la dignidad), 17 (protección a la familia), 19 (derechos del niño), 21 (propiedad privada)</w:t>
            </w:r>
            <w:r w:rsidR="00A80043" w:rsidRPr="007A64BE">
              <w:rPr>
                <w:rFonts w:asciiTheme="majorHAnsi" w:hAnsiTheme="majorHAnsi"/>
                <w:bCs/>
                <w:sz w:val="20"/>
                <w:szCs w:val="20"/>
              </w:rPr>
              <w:t xml:space="preserve"> y</w:t>
            </w:r>
            <w:r w:rsidRPr="007A64BE">
              <w:rPr>
                <w:rFonts w:asciiTheme="majorHAnsi" w:hAnsiTheme="majorHAnsi"/>
                <w:bCs/>
                <w:sz w:val="20"/>
                <w:szCs w:val="20"/>
              </w:rPr>
              <w:t xml:space="preserve"> 24 (igualdad ante la ley) de la Convención Americana sobre Derechos Humanos</w:t>
            </w:r>
            <w:r w:rsidRPr="007A64BE">
              <w:rPr>
                <w:rStyle w:val="FootnoteReference"/>
                <w:rFonts w:asciiTheme="majorHAnsi" w:hAnsiTheme="majorHAnsi"/>
                <w:bCs/>
                <w:sz w:val="20"/>
                <w:szCs w:val="20"/>
              </w:rPr>
              <w:footnoteReference w:id="4"/>
            </w:r>
            <w:r w:rsidR="00A80043" w:rsidRPr="007A64BE">
              <w:rPr>
                <w:rFonts w:asciiTheme="majorHAnsi" w:hAnsiTheme="majorHAnsi"/>
                <w:bCs/>
                <w:sz w:val="20"/>
                <w:szCs w:val="20"/>
              </w:rPr>
              <w:t>;</w:t>
            </w:r>
            <w:r w:rsidRPr="007A64BE">
              <w:rPr>
                <w:rFonts w:asciiTheme="majorHAnsi" w:hAnsiTheme="majorHAnsi"/>
                <w:bCs/>
                <w:sz w:val="20"/>
                <w:szCs w:val="20"/>
              </w:rPr>
              <w:t xml:space="preserve"> </w:t>
            </w:r>
            <w:r w:rsidR="00420166">
              <w:rPr>
                <w:rFonts w:asciiTheme="majorHAnsi" w:hAnsiTheme="majorHAnsi"/>
                <w:bCs/>
                <w:sz w:val="20"/>
                <w:szCs w:val="20"/>
              </w:rPr>
              <w:t xml:space="preserve">y </w:t>
            </w:r>
            <w:r w:rsidRPr="007A64BE">
              <w:rPr>
                <w:rFonts w:asciiTheme="majorHAnsi" w:hAnsiTheme="majorHAnsi"/>
                <w:bCs/>
                <w:sz w:val="20"/>
                <w:szCs w:val="20"/>
              </w:rPr>
              <w:t>artículos 3 (no discriminación), 6 (trabajo), 7 (condiciones justas, equitativas y satisfactorias de trabajo), 10 (salud), 11 (medio ambiente sano), 12 (alimentación), 13 (educación), 14 (beneficios de la cultura), 15 (constitución y protección de la familia), 16 (niñez), 17 (protección a los ancianos) y 19 (medios de protección) del Protocolo Adicional a la Convención Americana Sobre Derechos Humanos en Materia de Derechos Económicos, Sociales y Culturales</w:t>
            </w:r>
            <w:r w:rsidRPr="007A64BE">
              <w:rPr>
                <w:rStyle w:val="FootnoteReference"/>
                <w:rFonts w:asciiTheme="majorHAnsi" w:hAnsiTheme="majorHAnsi"/>
                <w:bCs/>
                <w:sz w:val="20"/>
                <w:szCs w:val="20"/>
              </w:rPr>
              <w:footnoteReference w:id="5"/>
            </w:r>
            <w:r w:rsidRPr="007A64BE">
              <w:rPr>
                <w:rFonts w:asciiTheme="majorHAnsi" w:hAnsiTheme="majorHAnsi"/>
                <w:bCs/>
                <w:sz w:val="20"/>
                <w:szCs w:val="20"/>
              </w:rPr>
              <w:t xml:space="preserve">; </w:t>
            </w:r>
            <w:r w:rsidR="00420166" w:rsidRPr="00972603">
              <w:rPr>
                <w:rFonts w:asciiTheme="majorHAnsi" w:hAnsiTheme="majorHAnsi"/>
                <w:bCs/>
                <w:sz w:val="20"/>
                <w:szCs w:val="20"/>
              </w:rPr>
              <w:t xml:space="preserve">y </w:t>
            </w:r>
            <w:r w:rsidR="00420166">
              <w:rPr>
                <w:rFonts w:asciiTheme="majorHAnsi" w:hAnsiTheme="majorHAnsi"/>
                <w:bCs/>
                <w:sz w:val="20"/>
                <w:szCs w:val="20"/>
              </w:rPr>
              <w:t>otro instrumento internacional</w:t>
            </w:r>
            <w:r w:rsidR="00420166">
              <w:rPr>
                <w:rStyle w:val="FootnoteReference"/>
                <w:rFonts w:asciiTheme="majorHAnsi" w:hAnsiTheme="majorHAnsi"/>
                <w:bCs/>
                <w:sz w:val="20"/>
                <w:szCs w:val="20"/>
              </w:rPr>
              <w:footnoteReference w:id="6"/>
            </w:r>
          </w:p>
        </w:tc>
      </w:tr>
    </w:tbl>
    <w:p w14:paraId="20263696" w14:textId="77777777" w:rsidR="003239B8" w:rsidRPr="007A64BE" w:rsidRDefault="003239B8" w:rsidP="003239B8">
      <w:pPr>
        <w:spacing w:before="240" w:after="240"/>
        <w:ind w:firstLine="720"/>
        <w:jc w:val="both"/>
        <w:rPr>
          <w:rFonts w:asciiTheme="majorHAnsi" w:hAnsiTheme="majorHAnsi"/>
          <w:b/>
          <w:bCs/>
          <w:sz w:val="20"/>
          <w:szCs w:val="20"/>
        </w:rPr>
      </w:pPr>
      <w:r w:rsidRPr="007A64BE">
        <w:rPr>
          <w:rFonts w:asciiTheme="majorHAnsi" w:hAnsiTheme="majorHAnsi"/>
          <w:b/>
          <w:bCs/>
          <w:sz w:val="20"/>
          <w:szCs w:val="20"/>
        </w:rPr>
        <w:t>II.</w:t>
      </w:r>
      <w:r w:rsidRPr="007A64BE">
        <w:rPr>
          <w:rFonts w:asciiTheme="majorHAnsi" w:hAnsiTheme="majorHAnsi"/>
          <w:b/>
          <w:bCs/>
          <w:sz w:val="20"/>
          <w:szCs w:val="20"/>
        </w:rPr>
        <w:tab/>
        <w:t>TRÁMITE ANTE LA CIDH</w:t>
      </w:r>
      <w:r w:rsidR="008E3BFE" w:rsidRPr="007A64BE">
        <w:rPr>
          <w:rStyle w:val="FootnoteReference"/>
          <w:rFonts w:asciiTheme="majorHAnsi" w:hAnsiTheme="majorHAnsi"/>
          <w:b/>
          <w:sz w:val="20"/>
          <w:szCs w:val="20"/>
        </w:rPr>
        <w:footnoteReference w:id="7"/>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7A64BE" w14:paraId="306EFCB0" w14:textId="77777777" w:rsidTr="00CF2CC3">
        <w:tc>
          <w:tcPr>
            <w:tcW w:w="3600" w:type="dxa"/>
            <w:tcBorders>
              <w:top w:val="single" w:sz="6" w:space="0" w:color="auto"/>
              <w:bottom w:val="single" w:sz="6" w:space="0" w:color="auto"/>
            </w:tcBorders>
            <w:shd w:val="clear" w:color="auto" w:fill="386294"/>
            <w:vAlign w:val="center"/>
          </w:tcPr>
          <w:p w14:paraId="7508D16F" w14:textId="653461D7" w:rsidR="004C2312" w:rsidRPr="007A64BE" w:rsidRDefault="004A6A54" w:rsidP="004A6A54">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P</w:t>
            </w:r>
            <w:r w:rsidR="004C2312" w:rsidRPr="007A64BE">
              <w:rPr>
                <w:rFonts w:asciiTheme="majorHAnsi" w:hAnsiTheme="majorHAnsi"/>
                <w:b/>
                <w:bCs/>
                <w:color w:val="FFFFFF" w:themeColor="background1"/>
                <w:sz w:val="20"/>
                <w:szCs w:val="20"/>
              </w:rPr>
              <w:t>resentación de la petición:</w:t>
            </w:r>
          </w:p>
        </w:tc>
        <w:tc>
          <w:tcPr>
            <w:tcW w:w="5760" w:type="dxa"/>
            <w:tcBorders>
              <w:bottom w:val="single" w:sz="4" w:space="0" w:color="auto"/>
            </w:tcBorders>
            <w:vAlign w:val="center"/>
          </w:tcPr>
          <w:p w14:paraId="6E579153" w14:textId="0E04CFDB" w:rsidR="004C2312" w:rsidRPr="007A64BE" w:rsidRDefault="00875952">
            <w:pPr>
              <w:jc w:val="both"/>
              <w:rPr>
                <w:rFonts w:asciiTheme="majorHAnsi" w:hAnsiTheme="majorHAnsi"/>
                <w:bCs/>
                <w:sz w:val="20"/>
                <w:szCs w:val="20"/>
              </w:rPr>
            </w:pPr>
            <w:r w:rsidRPr="007A64BE">
              <w:rPr>
                <w:rFonts w:asciiTheme="majorHAnsi" w:hAnsiTheme="majorHAnsi"/>
                <w:bCs/>
                <w:sz w:val="20"/>
                <w:szCs w:val="20"/>
              </w:rPr>
              <w:t>24 de octubre de 2011</w:t>
            </w:r>
          </w:p>
        </w:tc>
      </w:tr>
      <w:tr w:rsidR="00131425" w:rsidRPr="007A64BE" w14:paraId="337129E8" w14:textId="77777777" w:rsidTr="00CF2CC3">
        <w:tc>
          <w:tcPr>
            <w:tcW w:w="3600" w:type="dxa"/>
            <w:tcBorders>
              <w:top w:val="single" w:sz="6" w:space="0" w:color="auto"/>
              <w:bottom w:val="single" w:sz="6" w:space="0" w:color="auto"/>
            </w:tcBorders>
            <w:shd w:val="clear" w:color="auto" w:fill="386294"/>
            <w:vAlign w:val="center"/>
          </w:tcPr>
          <w:p w14:paraId="3D52E482" w14:textId="0FA8B3B3" w:rsidR="00131425" w:rsidRPr="007A64BE" w:rsidRDefault="00131425" w:rsidP="004A6A54">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Información adicional recibida durante la etapa de estudio:</w:t>
            </w:r>
          </w:p>
        </w:tc>
        <w:tc>
          <w:tcPr>
            <w:tcW w:w="5760" w:type="dxa"/>
            <w:tcBorders>
              <w:top w:val="single" w:sz="4" w:space="0" w:color="auto"/>
              <w:bottom w:val="single" w:sz="4" w:space="0" w:color="auto"/>
            </w:tcBorders>
            <w:vAlign w:val="center"/>
          </w:tcPr>
          <w:p w14:paraId="30151270" w14:textId="5D78A27A" w:rsidR="00131425" w:rsidRPr="007A64BE" w:rsidRDefault="00875952">
            <w:pPr>
              <w:jc w:val="both"/>
              <w:rPr>
                <w:rFonts w:asciiTheme="majorHAnsi" w:hAnsiTheme="majorHAnsi"/>
                <w:bCs/>
                <w:sz w:val="20"/>
                <w:szCs w:val="20"/>
              </w:rPr>
            </w:pPr>
            <w:r w:rsidRPr="007A64BE">
              <w:rPr>
                <w:rFonts w:asciiTheme="majorHAnsi" w:hAnsiTheme="majorHAnsi"/>
                <w:bCs/>
                <w:sz w:val="20"/>
                <w:szCs w:val="20"/>
              </w:rPr>
              <w:t>4 de noviembre de 2021</w:t>
            </w:r>
          </w:p>
        </w:tc>
      </w:tr>
      <w:tr w:rsidR="004C2312" w:rsidRPr="007A64BE" w14:paraId="1BDCD5C6" w14:textId="77777777" w:rsidTr="00CF2CC3">
        <w:tc>
          <w:tcPr>
            <w:tcW w:w="3600" w:type="dxa"/>
            <w:tcBorders>
              <w:top w:val="single" w:sz="6" w:space="0" w:color="auto"/>
              <w:bottom w:val="single" w:sz="6" w:space="0" w:color="auto"/>
            </w:tcBorders>
            <w:shd w:val="clear" w:color="auto" w:fill="386294"/>
            <w:vAlign w:val="center"/>
          </w:tcPr>
          <w:p w14:paraId="7A18664F" w14:textId="73FE510C" w:rsidR="004C2312" w:rsidRPr="007A64BE" w:rsidRDefault="004A6A54" w:rsidP="004A6A54">
            <w:pPr>
              <w:jc w:val="center"/>
              <w:rPr>
                <w:rFonts w:asciiTheme="majorHAnsi" w:hAnsiTheme="majorHAnsi"/>
                <w:b/>
                <w:bCs/>
                <w:color w:val="FFFFFF" w:themeColor="background1"/>
                <w:sz w:val="20"/>
                <w:szCs w:val="20"/>
              </w:rPr>
            </w:pPr>
            <w:r w:rsidRPr="007A64BE">
              <w:rPr>
                <w:rFonts w:asciiTheme="majorHAnsi" w:hAnsiTheme="majorHAnsi"/>
                <w:b/>
                <w:color w:val="FFFFFF" w:themeColor="background1"/>
                <w:sz w:val="20"/>
                <w:szCs w:val="20"/>
              </w:rPr>
              <w:t>N</w:t>
            </w:r>
            <w:r w:rsidR="004C2312" w:rsidRPr="007A64BE">
              <w:rPr>
                <w:rFonts w:asciiTheme="majorHAnsi" w:hAnsiTheme="majorHAnsi"/>
                <w:b/>
                <w:color w:val="FFFFFF" w:themeColor="background1"/>
                <w:sz w:val="20"/>
                <w:szCs w:val="20"/>
              </w:rPr>
              <w:t>otificación de la petición al Estado:</w:t>
            </w:r>
          </w:p>
        </w:tc>
        <w:tc>
          <w:tcPr>
            <w:tcW w:w="5760" w:type="dxa"/>
            <w:tcBorders>
              <w:top w:val="single" w:sz="4" w:space="0" w:color="auto"/>
              <w:bottom w:val="single" w:sz="4" w:space="0" w:color="auto"/>
            </w:tcBorders>
            <w:vAlign w:val="center"/>
          </w:tcPr>
          <w:p w14:paraId="1519DA6A" w14:textId="0FF6F0F0" w:rsidR="004C2312" w:rsidRPr="007A64BE" w:rsidRDefault="001E0D72">
            <w:pPr>
              <w:jc w:val="both"/>
              <w:rPr>
                <w:rFonts w:asciiTheme="majorHAnsi" w:hAnsiTheme="majorHAnsi"/>
                <w:bCs/>
                <w:sz w:val="20"/>
                <w:szCs w:val="20"/>
              </w:rPr>
            </w:pPr>
            <w:r w:rsidRPr="007A64BE">
              <w:rPr>
                <w:rFonts w:asciiTheme="majorHAnsi" w:hAnsiTheme="majorHAnsi"/>
                <w:bCs/>
                <w:sz w:val="20"/>
                <w:szCs w:val="20"/>
              </w:rPr>
              <w:t>11 de septiembre de 2024</w:t>
            </w:r>
          </w:p>
        </w:tc>
      </w:tr>
      <w:tr w:rsidR="004C2312" w:rsidRPr="007A64BE" w14:paraId="6147A8D5" w14:textId="77777777" w:rsidTr="00CF2CC3">
        <w:tc>
          <w:tcPr>
            <w:tcW w:w="3600" w:type="dxa"/>
            <w:tcBorders>
              <w:top w:val="single" w:sz="6" w:space="0" w:color="auto"/>
              <w:bottom w:val="single" w:sz="6" w:space="0" w:color="auto"/>
            </w:tcBorders>
            <w:shd w:val="clear" w:color="auto" w:fill="386294"/>
            <w:vAlign w:val="center"/>
          </w:tcPr>
          <w:p w14:paraId="0201C86D" w14:textId="4A5EC6F9" w:rsidR="004C2312" w:rsidRPr="007A64BE" w:rsidRDefault="004A6A54" w:rsidP="004A6A54">
            <w:pPr>
              <w:jc w:val="center"/>
              <w:rPr>
                <w:rFonts w:asciiTheme="majorHAnsi" w:hAnsiTheme="majorHAnsi"/>
                <w:b/>
                <w:bCs/>
                <w:color w:val="FFFFFF" w:themeColor="background1"/>
                <w:sz w:val="20"/>
                <w:szCs w:val="20"/>
              </w:rPr>
            </w:pPr>
            <w:r w:rsidRPr="007A64BE">
              <w:rPr>
                <w:rFonts w:asciiTheme="majorHAnsi" w:hAnsiTheme="majorHAnsi"/>
                <w:b/>
                <w:color w:val="FFFFFF" w:themeColor="background1"/>
                <w:sz w:val="20"/>
                <w:szCs w:val="20"/>
              </w:rPr>
              <w:t>P</w:t>
            </w:r>
            <w:r w:rsidR="004C2312" w:rsidRPr="007A64BE">
              <w:rPr>
                <w:rFonts w:asciiTheme="majorHAnsi" w:hAnsiTheme="majorHAnsi"/>
                <w:b/>
                <w:color w:val="FFFFFF" w:themeColor="background1"/>
                <w:sz w:val="20"/>
                <w:szCs w:val="20"/>
              </w:rPr>
              <w:t>rimera respuesta del Estado:</w:t>
            </w:r>
          </w:p>
        </w:tc>
        <w:tc>
          <w:tcPr>
            <w:tcW w:w="5760" w:type="dxa"/>
            <w:tcBorders>
              <w:top w:val="single" w:sz="4" w:space="0" w:color="auto"/>
              <w:bottom w:val="single" w:sz="4" w:space="0" w:color="auto"/>
            </w:tcBorders>
            <w:vAlign w:val="center"/>
          </w:tcPr>
          <w:p w14:paraId="1972B99E" w14:textId="424D96C7" w:rsidR="004C2312" w:rsidRPr="007A64BE" w:rsidRDefault="002D20AA">
            <w:pPr>
              <w:jc w:val="both"/>
              <w:rPr>
                <w:rFonts w:asciiTheme="majorHAnsi" w:hAnsiTheme="majorHAnsi"/>
                <w:bCs/>
                <w:sz w:val="20"/>
                <w:szCs w:val="20"/>
              </w:rPr>
            </w:pPr>
            <w:r w:rsidRPr="007A64BE">
              <w:rPr>
                <w:rFonts w:asciiTheme="majorHAnsi" w:hAnsiTheme="majorHAnsi"/>
                <w:bCs/>
                <w:sz w:val="20"/>
                <w:szCs w:val="20"/>
              </w:rPr>
              <w:t>13 de enero de 2025</w:t>
            </w:r>
          </w:p>
        </w:tc>
      </w:tr>
      <w:tr w:rsidR="001E49E7" w:rsidRPr="007A64BE" w14:paraId="0F502B44" w14:textId="77777777" w:rsidTr="00CF2CC3">
        <w:tc>
          <w:tcPr>
            <w:tcW w:w="3600" w:type="dxa"/>
            <w:tcBorders>
              <w:top w:val="single" w:sz="6" w:space="0" w:color="auto"/>
              <w:bottom w:val="single" w:sz="6" w:space="0" w:color="auto"/>
            </w:tcBorders>
            <w:shd w:val="clear" w:color="auto" w:fill="386294"/>
            <w:vAlign w:val="center"/>
          </w:tcPr>
          <w:p w14:paraId="046FEDC0" w14:textId="71E42F00" w:rsidR="001E49E7" w:rsidRPr="007A64BE" w:rsidRDefault="004A6A54" w:rsidP="00DD4AD2">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A</w:t>
            </w:r>
            <w:r w:rsidR="001E49E7" w:rsidRPr="007A64BE">
              <w:rPr>
                <w:rFonts w:asciiTheme="majorHAnsi" w:hAnsiTheme="majorHAnsi"/>
                <w:b/>
                <w:bCs/>
                <w:color w:val="FFFFFF" w:themeColor="background1"/>
                <w:sz w:val="20"/>
                <w:szCs w:val="20"/>
              </w:rPr>
              <w:t>dvertencia sobre posible archivo:</w:t>
            </w:r>
          </w:p>
        </w:tc>
        <w:tc>
          <w:tcPr>
            <w:tcW w:w="5760" w:type="dxa"/>
            <w:tcBorders>
              <w:top w:val="single" w:sz="4" w:space="0" w:color="auto"/>
            </w:tcBorders>
            <w:vAlign w:val="center"/>
          </w:tcPr>
          <w:p w14:paraId="5500808B" w14:textId="443F174B" w:rsidR="001E49E7" w:rsidRPr="007A64BE" w:rsidRDefault="001E0D72">
            <w:pPr>
              <w:jc w:val="both"/>
              <w:rPr>
                <w:rFonts w:asciiTheme="majorHAnsi" w:hAnsiTheme="majorHAnsi"/>
                <w:bCs/>
                <w:sz w:val="20"/>
                <w:szCs w:val="20"/>
              </w:rPr>
            </w:pPr>
            <w:r w:rsidRPr="007A64BE">
              <w:rPr>
                <w:rFonts w:asciiTheme="majorHAnsi" w:hAnsiTheme="majorHAnsi"/>
                <w:bCs/>
                <w:sz w:val="20"/>
                <w:szCs w:val="20"/>
              </w:rPr>
              <w:t>30 de mayo de 2024</w:t>
            </w:r>
          </w:p>
        </w:tc>
      </w:tr>
      <w:tr w:rsidR="001E49E7" w:rsidRPr="007A64BE"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7A64BE" w:rsidRDefault="004A6A54" w:rsidP="004A6A54">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R</w:t>
            </w:r>
            <w:r w:rsidR="001E49E7" w:rsidRPr="007A64BE">
              <w:rPr>
                <w:rFonts w:asciiTheme="majorHAnsi" w:hAnsiTheme="majorHAnsi"/>
                <w:b/>
                <w:bCs/>
                <w:color w:val="FFFFFF" w:themeColor="background1"/>
                <w:sz w:val="20"/>
                <w:szCs w:val="20"/>
              </w:rPr>
              <w:t xml:space="preserve">espuesta de la parte peticionaria ante advertencia </w:t>
            </w:r>
            <w:r w:rsidR="00DD4AD2" w:rsidRPr="007A64BE">
              <w:rPr>
                <w:rFonts w:asciiTheme="majorHAnsi" w:hAnsiTheme="majorHAnsi"/>
                <w:b/>
                <w:bCs/>
                <w:color w:val="FFFFFF" w:themeColor="background1"/>
                <w:sz w:val="20"/>
                <w:szCs w:val="20"/>
              </w:rPr>
              <w:t xml:space="preserve">de </w:t>
            </w:r>
            <w:r w:rsidR="001E49E7" w:rsidRPr="007A64BE">
              <w:rPr>
                <w:rFonts w:asciiTheme="majorHAnsi" w:hAnsiTheme="majorHAnsi"/>
                <w:b/>
                <w:bCs/>
                <w:color w:val="FFFFFF" w:themeColor="background1"/>
                <w:sz w:val="20"/>
                <w:szCs w:val="20"/>
              </w:rPr>
              <w:t>posible archivo:</w:t>
            </w:r>
          </w:p>
        </w:tc>
        <w:tc>
          <w:tcPr>
            <w:tcW w:w="5760" w:type="dxa"/>
            <w:vAlign w:val="center"/>
          </w:tcPr>
          <w:p w14:paraId="24E176E2" w14:textId="6BA9CE0E" w:rsidR="001E49E7" w:rsidRPr="007A64BE" w:rsidRDefault="001E0D72">
            <w:pPr>
              <w:jc w:val="both"/>
              <w:rPr>
                <w:rFonts w:asciiTheme="majorHAnsi" w:hAnsiTheme="majorHAnsi"/>
                <w:bCs/>
                <w:sz w:val="20"/>
                <w:szCs w:val="20"/>
              </w:rPr>
            </w:pPr>
            <w:r w:rsidRPr="007A64BE">
              <w:rPr>
                <w:rFonts w:asciiTheme="majorHAnsi" w:hAnsiTheme="majorHAnsi"/>
                <w:bCs/>
                <w:sz w:val="20"/>
                <w:szCs w:val="20"/>
              </w:rPr>
              <w:t>5 de junio de 2025</w:t>
            </w:r>
          </w:p>
        </w:tc>
      </w:tr>
    </w:tbl>
    <w:p w14:paraId="21DAA666" w14:textId="77777777" w:rsidR="003239B8" w:rsidRPr="007A64BE" w:rsidRDefault="003239B8" w:rsidP="003239B8">
      <w:pPr>
        <w:spacing w:before="240" w:after="240"/>
        <w:ind w:firstLine="720"/>
        <w:jc w:val="both"/>
        <w:rPr>
          <w:rFonts w:asciiTheme="majorHAnsi" w:hAnsiTheme="majorHAnsi"/>
          <w:b/>
          <w:bCs/>
          <w:sz w:val="20"/>
          <w:szCs w:val="20"/>
        </w:rPr>
      </w:pPr>
      <w:r w:rsidRPr="007A64BE">
        <w:rPr>
          <w:rFonts w:asciiTheme="majorHAnsi" w:hAnsiTheme="majorHAnsi"/>
          <w:b/>
          <w:bCs/>
          <w:sz w:val="20"/>
          <w:szCs w:val="20"/>
        </w:rPr>
        <w:t xml:space="preserve">III. </w:t>
      </w:r>
      <w:r w:rsidRPr="007A64BE">
        <w:rPr>
          <w:rFonts w:asciiTheme="majorHAnsi" w:hAnsiTheme="majorHAnsi"/>
          <w:b/>
          <w:bCs/>
          <w:sz w:val="20"/>
          <w:szCs w:val="20"/>
        </w:rPr>
        <w:tab/>
        <w:t>COMPETENCIA</w:t>
      </w:r>
      <w:r w:rsidR="00EE00E9" w:rsidRPr="007A64BE">
        <w:rPr>
          <w:rFonts w:asciiTheme="majorHAnsi" w:hAnsiTheme="majorHAnsi"/>
          <w:b/>
          <w:bCs/>
          <w:sz w:val="20"/>
          <w:szCs w:val="20"/>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3239B8" w:rsidRPr="007A64BE" w14:paraId="072532AD" w14:textId="77777777" w:rsidTr="00030EA9">
        <w:trPr>
          <w:cantSplit/>
        </w:trPr>
        <w:tc>
          <w:tcPr>
            <w:tcW w:w="3566" w:type="dxa"/>
            <w:tcBorders>
              <w:top w:val="single" w:sz="4" w:space="0" w:color="auto"/>
              <w:bottom w:val="single" w:sz="6" w:space="0" w:color="auto"/>
            </w:tcBorders>
            <w:shd w:val="clear" w:color="auto" w:fill="386294"/>
            <w:vAlign w:val="center"/>
          </w:tcPr>
          <w:p w14:paraId="5C2E4B34" w14:textId="77777777" w:rsidR="003239B8" w:rsidRPr="007A64BE" w:rsidRDefault="003239B8">
            <w:pPr>
              <w:jc w:val="center"/>
              <w:rPr>
                <w:rFonts w:asciiTheme="majorHAnsi" w:hAnsiTheme="majorHAnsi"/>
                <w:b/>
                <w:bCs/>
                <w:i/>
                <w:color w:val="FFFFFF" w:themeColor="background1"/>
                <w:sz w:val="20"/>
                <w:szCs w:val="20"/>
              </w:rPr>
            </w:pPr>
            <w:r w:rsidRPr="007A64BE">
              <w:rPr>
                <w:rFonts w:asciiTheme="majorHAnsi" w:hAnsiTheme="majorHAnsi"/>
                <w:b/>
                <w:bCs/>
                <w:color w:val="FFFFFF" w:themeColor="background1"/>
                <w:sz w:val="20"/>
                <w:szCs w:val="20"/>
              </w:rPr>
              <w:t>Competencia</w:t>
            </w:r>
            <w:r w:rsidRPr="007A64BE">
              <w:rPr>
                <w:rFonts w:asciiTheme="majorHAnsi" w:hAnsiTheme="majorHAnsi"/>
                <w:b/>
                <w:bCs/>
                <w:i/>
                <w:color w:val="FFFFFF" w:themeColor="background1"/>
                <w:sz w:val="20"/>
                <w:szCs w:val="20"/>
              </w:rPr>
              <w:t xml:space="preserve"> Ratione personae:</w:t>
            </w:r>
          </w:p>
        </w:tc>
        <w:tc>
          <w:tcPr>
            <w:tcW w:w="5771" w:type="dxa"/>
            <w:tcBorders>
              <w:bottom w:val="single" w:sz="4" w:space="0" w:color="auto"/>
            </w:tcBorders>
            <w:vAlign w:val="center"/>
          </w:tcPr>
          <w:p w14:paraId="7707F3E9" w14:textId="18DDC481" w:rsidR="003239B8" w:rsidRPr="007A64BE" w:rsidRDefault="004D4276">
            <w:pPr>
              <w:rPr>
                <w:rFonts w:asciiTheme="majorHAnsi" w:hAnsiTheme="majorHAnsi"/>
                <w:bCs/>
                <w:sz w:val="20"/>
                <w:szCs w:val="20"/>
              </w:rPr>
            </w:pPr>
            <w:r w:rsidRPr="007A64BE">
              <w:rPr>
                <w:rFonts w:asciiTheme="majorHAnsi" w:hAnsiTheme="majorHAnsi"/>
                <w:bCs/>
                <w:sz w:val="20"/>
                <w:szCs w:val="20"/>
              </w:rPr>
              <w:t>Sí</w:t>
            </w:r>
          </w:p>
        </w:tc>
      </w:tr>
      <w:tr w:rsidR="003239B8" w:rsidRPr="007A64BE" w14:paraId="4B8802DA" w14:textId="77777777" w:rsidTr="00030EA9">
        <w:trPr>
          <w:cantSplit/>
        </w:trPr>
        <w:tc>
          <w:tcPr>
            <w:tcW w:w="3566" w:type="dxa"/>
            <w:tcBorders>
              <w:top w:val="single" w:sz="6" w:space="0" w:color="auto"/>
              <w:bottom w:val="single" w:sz="6" w:space="0" w:color="auto"/>
            </w:tcBorders>
            <w:shd w:val="clear" w:color="auto" w:fill="386294"/>
            <w:vAlign w:val="center"/>
          </w:tcPr>
          <w:p w14:paraId="3915C23B" w14:textId="77777777" w:rsidR="003239B8" w:rsidRPr="007A64BE" w:rsidRDefault="003239B8">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Competencia</w:t>
            </w:r>
            <w:r w:rsidRPr="007A64BE">
              <w:rPr>
                <w:rFonts w:asciiTheme="majorHAnsi" w:hAnsiTheme="majorHAnsi"/>
                <w:b/>
                <w:bCs/>
                <w:i/>
                <w:color w:val="FFFFFF" w:themeColor="background1"/>
                <w:sz w:val="20"/>
                <w:szCs w:val="20"/>
              </w:rPr>
              <w:t xml:space="preserve"> Ratione loci</w:t>
            </w:r>
            <w:r w:rsidRPr="007A64BE">
              <w:rPr>
                <w:rFonts w:asciiTheme="majorHAnsi" w:hAnsiTheme="majorHAnsi"/>
                <w:b/>
                <w:bCs/>
                <w:color w:val="FFFFFF" w:themeColor="background1"/>
                <w:sz w:val="20"/>
                <w:szCs w:val="20"/>
              </w:rPr>
              <w:t>:</w:t>
            </w:r>
          </w:p>
        </w:tc>
        <w:tc>
          <w:tcPr>
            <w:tcW w:w="5771" w:type="dxa"/>
            <w:tcBorders>
              <w:top w:val="single" w:sz="4" w:space="0" w:color="auto"/>
              <w:bottom w:val="single" w:sz="4" w:space="0" w:color="auto"/>
            </w:tcBorders>
            <w:vAlign w:val="center"/>
          </w:tcPr>
          <w:p w14:paraId="12C931CB" w14:textId="3526CB9A" w:rsidR="003239B8" w:rsidRPr="007A64BE" w:rsidRDefault="004D4276">
            <w:pPr>
              <w:rPr>
                <w:rFonts w:asciiTheme="majorHAnsi" w:hAnsiTheme="majorHAnsi"/>
                <w:bCs/>
                <w:sz w:val="20"/>
                <w:szCs w:val="20"/>
              </w:rPr>
            </w:pPr>
            <w:r w:rsidRPr="007A64BE">
              <w:rPr>
                <w:rFonts w:asciiTheme="majorHAnsi" w:hAnsiTheme="majorHAnsi"/>
                <w:bCs/>
                <w:sz w:val="20"/>
                <w:szCs w:val="20"/>
              </w:rPr>
              <w:t>Sí</w:t>
            </w:r>
          </w:p>
        </w:tc>
      </w:tr>
      <w:tr w:rsidR="003239B8" w:rsidRPr="007A64BE" w14:paraId="4362FDF3" w14:textId="77777777" w:rsidTr="00030EA9">
        <w:trPr>
          <w:cantSplit/>
        </w:trPr>
        <w:tc>
          <w:tcPr>
            <w:tcW w:w="3566" w:type="dxa"/>
            <w:tcBorders>
              <w:top w:val="single" w:sz="6" w:space="0" w:color="auto"/>
              <w:bottom w:val="single" w:sz="6" w:space="0" w:color="auto"/>
            </w:tcBorders>
            <w:shd w:val="clear" w:color="auto" w:fill="386294"/>
            <w:vAlign w:val="center"/>
          </w:tcPr>
          <w:p w14:paraId="3BE23153" w14:textId="77777777" w:rsidR="003239B8" w:rsidRPr="007A64BE" w:rsidRDefault="003239B8">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Competencia</w:t>
            </w:r>
            <w:r w:rsidRPr="007A64BE">
              <w:rPr>
                <w:rFonts w:asciiTheme="majorHAnsi" w:hAnsiTheme="majorHAnsi"/>
                <w:b/>
                <w:bCs/>
                <w:i/>
                <w:color w:val="FFFFFF" w:themeColor="background1"/>
                <w:sz w:val="20"/>
                <w:szCs w:val="20"/>
              </w:rPr>
              <w:t xml:space="preserve"> Ratione temporis</w:t>
            </w:r>
            <w:r w:rsidRPr="007A64BE">
              <w:rPr>
                <w:rFonts w:asciiTheme="majorHAnsi" w:hAnsiTheme="majorHAnsi"/>
                <w:b/>
                <w:bCs/>
                <w:color w:val="FFFFFF" w:themeColor="background1"/>
                <w:sz w:val="20"/>
                <w:szCs w:val="20"/>
              </w:rPr>
              <w:t>:</w:t>
            </w:r>
          </w:p>
        </w:tc>
        <w:tc>
          <w:tcPr>
            <w:tcW w:w="5771" w:type="dxa"/>
            <w:tcBorders>
              <w:top w:val="single" w:sz="4" w:space="0" w:color="auto"/>
            </w:tcBorders>
            <w:vAlign w:val="center"/>
          </w:tcPr>
          <w:p w14:paraId="6F8B059B" w14:textId="20BA6CB2" w:rsidR="003239B8" w:rsidRPr="007A64BE" w:rsidRDefault="004D4276">
            <w:pPr>
              <w:rPr>
                <w:rFonts w:asciiTheme="majorHAnsi" w:hAnsiTheme="majorHAnsi"/>
                <w:bCs/>
                <w:sz w:val="20"/>
                <w:szCs w:val="20"/>
              </w:rPr>
            </w:pPr>
            <w:r w:rsidRPr="007A64BE">
              <w:rPr>
                <w:rFonts w:asciiTheme="majorHAnsi" w:hAnsiTheme="majorHAnsi"/>
                <w:bCs/>
                <w:sz w:val="20"/>
                <w:szCs w:val="20"/>
              </w:rPr>
              <w:t>Sí</w:t>
            </w:r>
          </w:p>
        </w:tc>
      </w:tr>
      <w:tr w:rsidR="008B0851" w:rsidRPr="007A64BE" w14:paraId="30ABEC3E" w14:textId="77777777" w:rsidTr="00030EA9">
        <w:trPr>
          <w:cantSplit/>
        </w:trPr>
        <w:tc>
          <w:tcPr>
            <w:tcW w:w="3566" w:type="dxa"/>
            <w:tcBorders>
              <w:top w:val="single" w:sz="6" w:space="0" w:color="auto"/>
              <w:bottom w:val="single" w:sz="6" w:space="0" w:color="auto"/>
            </w:tcBorders>
            <w:shd w:val="clear" w:color="auto" w:fill="386294"/>
            <w:vAlign w:val="center"/>
          </w:tcPr>
          <w:p w14:paraId="47B529D2" w14:textId="77777777" w:rsidR="008B0851" w:rsidRPr="007A64BE" w:rsidRDefault="008B0851" w:rsidP="008B0851">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Competencia</w:t>
            </w:r>
            <w:r w:rsidRPr="007A64BE">
              <w:rPr>
                <w:rFonts w:asciiTheme="majorHAnsi" w:hAnsiTheme="majorHAnsi"/>
                <w:b/>
                <w:bCs/>
                <w:i/>
                <w:color w:val="FFFFFF" w:themeColor="background1"/>
                <w:sz w:val="20"/>
                <w:szCs w:val="20"/>
              </w:rPr>
              <w:t xml:space="preserve"> Ratione materiae</w:t>
            </w:r>
            <w:r w:rsidRPr="007A64BE">
              <w:rPr>
                <w:rFonts w:asciiTheme="majorHAnsi" w:hAnsiTheme="majorHAnsi"/>
                <w:b/>
                <w:bCs/>
                <w:color w:val="FFFFFF" w:themeColor="background1"/>
                <w:sz w:val="20"/>
                <w:szCs w:val="20"/>
              </w:rPr>
              <w:t>:</w:t>
            </w:r>
          </w:p>
        </w:tc>
        <w:tc>
          <w:tcPr>
            <w:tcW w:w="5771" w:type="dxa"/>
            <w:vAlign w:val="center"/>
          </w:tcPr>
          <w:p w14:paraId="0C122F44" w14:textId="3B3167D4" w:rsidR="008B0851" w:rsidRPr="007A64BE" w:rsidRDefault="008B0851" w:rsidP="008B0851">
            <w:pPr>
              <w:jc w:val="both"/>
              <w:rPr>
                <w:rFonts w:asciiTheme="majorHAnsi" w:hAnsiTheme="majorHAnsi"/>
                <w:bCs/>
                <w:sz w:val="20"/>
                <w:szCs w:val="20"/>
              </w:rPr>
            </w:pPr>
            <w:r w:rsidRPr="007A64BE">
              <w:rPr>
                <w:rFonts w:asciiTheme="majorHAnsi" w:hAnsiTheme="majorHAnsi"/>
                <w:bCs/>
                <w:sz w:val="20"/>
                <w:szCs w:val="20"/>
              </w:rPr>
              <w:t>Sí, Convención Americana (depósito del instrumento de ratificación realizado el 25 de mayo de 1978)</w:t>
            </w:r>
            <w:r w:rsidR="00CF2CC3" w:rsidRPr="007A64BE">
              <w:rPr>
                <w:rFonts w:asciiTheme="majorHAnsi" w:hAnsiTheme="majorHAnsi"/>
                <w:bCs/>
                <w:sz w:val="20"/>
                <w:szCs w:val="20"/>
              </w:rPr>
              <w:t xml:space="preserve">; </w:t>
            </w:r>
            <w:r w:rsidR="00E625E7" w:rsidRPr="007A64BE">
              <w:rPr>
                <w:rFonts w:ascii="Cambria" w:hAnsi="Cambria"/>
                <w:bCs/>
                <w:sz w:val="20"/>
                <w:szCs w:val="20"/>
              </w:rPr>
              <w:t>y Protocolo de San Salvador (5 de octubre de 2000)</w:t>
            </w:r>
          </w:p>
        </w:tc>
      </w:tr>
    </w:tbl>
    <w:p w14:paraId="4E92C444" w14:textId="140CB1E7" w:rsidR="003239B8" w:rsidRPr="007A64BE" w:rsidRDefault="003239B8" w:rsidP="003239B8">
      <w:pPr>
        <w:spacing w:before="240" w:after="240"/>
        <w:ind w:firstLine="720"/>
        <w:jc w:val="both"/>
        <w:rPr>
          <w:rFonts w:asciiTheme="majorHAnsi" w:hAnsiTheme="majorHAnsi"/>
          <w:b/>
          <w:bCs/>
          <w:sz w:val="20"/>
          <w:szCs w:val="20"/>
        </w:rPr>
      </w:pPr>
      <w:r w:rsidRPr="007A64BE">
        <w:rPr>
          <w:rFonts w:asciiTheme="majorHAnsi" w:hAnsiTheme="majorHAnsi"/>
          <w:b/>
          <w:bCs/>
          <w:sz w:val="20"/>
          <w:szCs w:val="20"/>
        </w:rPr>
        <w:t xml:space="preserve">IV. </w:t>
      </w:r>
      <w:r w:rsidRPr="007A64BE">
        <w:rPr>
          <w:rFonts w:asciiTheme="majorHAnsi" w:hAnsiTheme="majorHAnsi"/>
          <w:b/>
          <w:bCs/>
          <w:sz w:val="20"/>
          <w:szCs w:val="20"/>
        </w:rPr>
        <w:tab/>
      </w:r>
      <w:r w:rsidR="00EE00E9" w:rsidRPr="007A64BE">
        <w:rPr>
          <w:rFonts w:asciiTheme="majorHAnsi" w:hAnsiTheme="majorHAnsi"/>
          <w:b/>
          <w:bCs/>
          <w:sz w:val="20"/>
          <w:szCs w:val="20"/>
        </w:rPr>
        <w:t>DUPLICACIÓN</w:t>
      </w:r>
      <w:r w:rsidR="00EE00E9" w:rsidRPr="007A64BE">
        <w:rPr>
          <w:rFonts w:asciiTheme="majorHAnsi" w:hAnsiTheme="majorHAnsi"/>
          <w:b/>
          <w:bCs/>
          <w:color w:val="FFFFFF" w:themeColor="background1"/>
          <w:sz w:val="20"/>
          <w:szCs w:val="20"/>
        </w:rPr>
        <w:t xml:space="preserve"> </w:t>
      </w:r>
      <w:r w:rsidR="00EE00E9" w:rsidRPr="007A64BE">
        <w:rPr>
          <w:rFonts w:asciiTheme="majorHAnsi" w:hAnsiTheme="majorHAnsi"/>
          <w:b/>
          <w:bCs/>
          <w:sz w:val="20"/>
          <w:szCs w:val="20"/>
        </w:rPr>
        <w:t>DE PROCEDIMIENTOS Y COSA JUZGADA</w:t>
      </w:r>
      <w:r w:rsidR="00EE00E9" w:rsidRPr="007A64BE">
        <w:rPr>
          <w:rFonts w:asciiTheme="majorHAnsi" w:hAnsiTheme="majorHAnsi"/>
          <w:b/>
          <w:bCs/>
          <w:i/>
          <w:sz w:val="20"/>
          <w:szCs w:val="20"/>
        </w:rPr>
        <w:t xml:space="preserve"> </w:t>
      </w:r>
      <w:r w:rsidR="00EE00E9" w:rsidRPr="007A64BE">
        <w:rPr>
          <w:rFonts w:asciiTheme="majorHAnsi" w:hAnsiTheme="majorHAnsi"/>
          <w:b/>
          <w:bCs/>
          <w:sz w:val="20"/>
          <w:szCs w:val="20"/>
        </w:rPr>
        <w:t>INTERNACIONAL</w:t>
      </w:r>
      <w:r w:rsidR="005D38F9" w:rsidRPr="007A64BE">
        <w:rPr>
          <w:rFonts w:asciiTheme="majorHAnsi" w:hAnsiTheme="majorHAnsi"/>
          <w:b/>
          <w:bCs/>
          <w:sz w:val="20"/>
          <w:szCs w:val="20"/>
        </w:rPr>
        <w:t>,</w:t>
      </w:r>
      <w:r w:rsidRPr="007A64BE">
        <w:rPr>
          <w:rFonts w:asciiTheme="majorHAnsi" w:hAnsiTheme="majorHAnsi"/>
          <w:b/>
          <w:bCs/>
          <w:sz w:val="20"/>
          <w:szCs w:val="20"/>
        </w:rPr>
        <w:t xml:space="preserve"> CARACTERIZACIÓN, </w:t>
      </w:r>
      <w:r w:rsidRPr="007A64BE">
        <w:rPr>
          <w:rFonts w:asciiTheme="majorHAnsi" w:hAnsiTheme="majorHAnsi"/>
          <w:b/>
          <w:sz w:val="20"/>
          <w:szCs w:val="20"/>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4"/>
        <w:gridCol w:w="5773"/>
      </w:tblGrid>
      <w:tr w:rsidR="00EE00E9" w:rsidRPr="007A64BE" w14:paraId="1231C988" w14:textId="77777777" w:rsidTr="00030EA9">
        <w:trPr>
          <w:cantSplit/>
        </w:trPr>
        <w:tc>
          <w:tcPr>
            <w:tcW w:w="3564" w:type="dxa"/>
            <w:tcBorders>
              <w:top w:val="single" w:sz="4" w:space="0" w:color="auto"/>
              <w:bottom w:val="single" w:sz="6" w:space="0" w:color="auto"/>
            </w:tcBorders>
            <w:shd w:val="clear" w:color="auto" w:fill="386294"/>
            <w:vAlign w:val="center"/>
          </w:tcPr>
          <w:p w14:paraId="6F8031F4" w14:textId="77777777" w:rsidR="00EE00E9" w:rsidRPr="007A64BE" w:rsidRDefault="00EE00E9">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Duplicación de procedimientos y cosa juzgada internacional:</w:t>
            </w:r>
          </w:p>
        </w:tc>
        <w:tc>
          <w:tcPr>
            <w:tcW w:w="5773" w:type="dxa"/>
            <w:vAlign w:val="center"/>
          </w:tcPr>
          <w:p w14:paraId="240941E6" w14:textId="18EDA011" w:rsidR="00EE00E9" w:rsidRPr="007A64BE" w:rsidRDefault="00BD4524">
            <w:pPr>
              <w:jc w:val="both"/>
              <w:rPr>
                <w:rFonts w:asciiTheme="majorHAnsi" w:hAnsiTheme="majorHAnsi"/>
                <w:bCs/>
                <w:sz w:val="20"/>
                <w:szCs w:val="20"/>
              </w:rPr>
            </w:pPr>
            <w:r w:rsidRPr="007A64BE">
              <w:rPr>
                <w:rFonts w:asciiTheme="majorHAnsi" w:hAnsiTheme="majorHAnsi"/>
                <w:bCs/>
                <w:sz w:val="20"/>
                <w:szCs w:val="20"/>
              </w:rPr>
              <w:t>No</w:t>
            </w:r>
          </w:p>
        </w:tc>
      </w:tr>
      <w:tr w:rsidR="003239B8" w:rsidRPr="007A64BE" w14:paraId="15FAA7D1" w14:textId="77777777" w:rsidTr="00030EA9">
        <w:trPr>
          <w:cantSplit/>
          <w:trHeight w:val="266"/>
        </w:trPr>
        <w:tc>
          <w:tcPr>
            <w:tcW w:w="3564" w:type="dxa"/>
            <w:tcBorders>
              <w:top w:val="single" w:sz="4" w:space="0" w:color="auto"/>
              <w:bottom w:val="single" w:sz="6" w:space="0" w:color="auto"/>
            </w:tcBorders>
            <w:shd w:val="clear" w:color="auto" w:fill="386294"/>
            <w:vAlign w:val="center"/>
          </w:tcPr>
          <w:p w14:paraId="1B0D29FF" w14:textId="4AF36BFC" w:rsidR="003239B8" w:rsidRPr="007A64BE" w:rsidRDefault="003239B8">
            <w:pPr>
              <w:jc w:val="center"/>
              <w:rPr>
                <w:rFonts w:asciiTheme="majorHAnsi" w:hAnsiTheme="majorHAnsi"/>
                <w:b/>
                <w:bCs/>
                <w:i/>
                <w:color w:val="FFFFFF" w:themeColor="background1"/>
                <w:sz w:val="20"/>
                <w:szCs w:val="20"/>
              </w:rPr>
            </w:pPr>
            <w:r w:rsidRPr="007A64BE">
              <w:rPr>
                <w:rFonts w:asciiTheme="majorHAnsi" w:hAnsiTheme="majorHAnsi"/>
                <w:b/>
                <w:bCs/>
                <w:color w:val="FFFFFF" w:themeColor="background1"/>
                <w:sz w:val="20"/>
                <w:szCs w:val="20"/>
              </w:rPr>
              <w:lastRenderedPageBreak/>
              <w:t>Derechos declarados admisibles</w:t>
            </w:r>
            <w:r w:rsidR="00FD1638">
              <w:rPr>
                <w:rFonts w:asciiTheme="majorHAnsi" w:hAnsiTheme="majorHAnsi"/>
                <w:b/>
                <w:bCs/>
                <w:color w:val="FFFFFF" w:themeColor="background1"/>
                <w:sz w:val="20"/>
                <w:szCs w:val="20"/>
              </w:rPr>
              <w:t>:</w:t>
            </w:r>
          </w:p>
        </w:tc>
        <w:tc>
          <w:tcPr>
            <w:tcW w:w="5773" w:type="dxa"/>
            <w:tcBorders>
              <w:bottom w:val="single" w:sz="4" w:space="0" w:color="auto"/>
            </w:tcBorders>
            <w:vAlign w:val="center"/>
          </w:tcPr>
          <w:p w14:paraId="6310C8F7" w14:textId="1071798B" w:rsidR="003239B8" w:rsidRPr="00437361" w:rsidRDefault="00BD4524" w:rsidP="00727CE0">
            <w:pPr>
              <w:jc w:val="both"/>
              <w:rPr>
                <w:rFonts w:asciiTheme="majorHAnsi" w:hAnsiTheme="majorHAnsi"/>
                <w:bCs/>
                <w:sz w:val="20"/>
                <w:szCs w:val="20"/>
              </w:rPr>
            </w:pPr>
            <w:r w:rsidRPr="00437361">
              <w:rPr>
                <w:rFonts w:asciiTheme="majorHAnsi" w:hAnsiTheme="majorHAnsi"/>
                <w:bCs/>
                <w:sz w:val="20"/>
                <w:szCs w:val="20"/>
              </w:rPr>
              <w:t>Artículos 5 (integridad personal), 8 (garantías judiciales)</w:t>
            </w:r>
            <w:r w:rsidR="00621169" w:rsidRPr="00437361">
              <w:rPr>
                <w:rFonts w:asciiTheme="majorHAnsi" w:hAnsiTheme="majorHAnsi"/>
                <w:bCs/>
                <w:sz w:val="20"/>
                <w:szCs w:val="20"/>
              </w:rPr>
              <w:t xml:space="preserve">, </w:t>
            </w:r>
            <w:r w:rsidRPr="00437361">
              <w:rPr>
                <w:rFonts w:asciiTheme="majorHAnsi" w:hAnsiTheme="majorHAnsi"/>
                <w:bCs/>
                <w:sz w:val="20"/>
                <w:szCs w:val="20"/>
              </w:rPr>
              <w:t>24 (igualdad ante la ley)</w:t>
            </w:r>
            <w:r w:rsidR="00621169" w:rsidRPr="00437361">
              <w:rPr>
                <w:rFonts w:asciiTheme="majorHAnsi" w:hAnsiTheme="majorHAnsi"/>
                <w:bCs/>
                <w:sz w:val="20"/>
                <w:szCs w:val="20"/>
              </w:rPr>
              <w:t xml:space="preserve"> y 25 (protección judicial)</w:t>
            </w:r>
            <w:r w:rsidRPr="00437361">
              <w:rPr>
                <w:rFonts w:asciiTheme="majorHAnsi" w:hAnsiTheme="majorHAnsi"/>
                <w:bCs/>
                <w:sz w:val="20"/>
                <w:szCs w:val="20"/>
              </w:rPr>
              <w:t xml:space="preserve"> de la Convención</w:t>
            </w:r>
            <w:r w:rsidR="00727CE0" w:rsidRPr="00437361">
              <w:rPr>
                <w:rFonts w:asciiTheme="majorHAnsi" w:hAnsiTheme="majorHAnsi"/>
                <w:bCs/>
                <w:sz w:val="20"/>
                <w:szCs w:val="20"/>
              </w:rPr>
              <w:t xml:space="preserve"> </w:t>
            </w:r>
            <w:r w:rsidRPr="00437361">
              <w:rPr>
                <w:rFonts w:asciiTheme="majorHAnsi" w:hAnsiTheme="majorHAnsi"/>
                <w:bCs/>
                <w:sz w:val="20"/>
                <w:szCs w:val="20"/>
              </w:rPr>
              <w:t>American</w:t>
            </w:r>
            <w:r w:rsidR="00515843" w:rsidRPr="00437361">
              <w:rPr>
                <w:rFonts w:asciiTheme="majorHAnsi" w:hAnsiTheme="majorHAnsi"/>
                <w:bCs/>
                <w:sz w:val="20"/>
                <w:szCs w:val="20"/>
              </w:rPr>
              <w:t>a</w:t>
            </w:r>
            <w:r w:rsidR="00030EA9">
              <w:rPr>
                <w:rFonts w:asciiTheme="majorHAnsi" w:hAnsiTheme="majorHAnsi"/>
                <w:bCs/>
                <w:sz w:val="20"/>
                <w:szCs w:val="20"/>
              </w:rPr>
              <w:t xml:space="preserve">, en relación con sus artículos 1.1 (obligación de </w:t>
            </w:r>
            <w:r w:rsidR="009D0482">
              <w:rPr>
                <w:rFonts w:asciiTheme="majorHAnsi" w:hAnsiTheme="majorHAnsi"/>
                <w:bCs/>
                <w:sz w:val="20"/>
                <w:szCs w:val="20"/>
              </w:rPr>
              <w:t>respetar los derechos) y 2 (deber de adoptar disposiciones de derecho interno)</w:t>
            </w:r>
          </w:p>
        </w:tc>
      </w:tr>
      <w:tr w:rsidR="00CB2C07" w:rsidRPr="007A64BE" w14:paraId="4EFD141E" w14:textId="77777777" w:rsidTr="00030EA9">
        <w:trPr>
          <w:cantSplit/>
        </w:trPr>
        <w:tc>
          <w:tcPr>
            <w:tcW w:w="3564" w:type="dxa"/>
            <w:tcBorders>
              <w:top w:val="single" w:sz="6" w:space="0" w:color="auto"/>
              <w:bottom w:val="single" w:sz="6" w:space="0" w:color="auto"/>
            </w:tcBorders>
            <w:shd w:val="clear" w:color="auto" w:fill="386294"/>
            <w:vAlign w:val="center"/>
          </w:tcPr>
          <w:p w14:paraId="4C04A89C" w14:textId="77777777" w:rsidR="00CB2C07" w:rsidRPr="007A64BE" w:rsidRDefault="00CB2C07" w:rsidP="00CB2C07">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Agotamiento de recursos internos o procedencia de una excepción:</w:t>
            </w:r>
          </w:p>
        </w:tc>
        <w:tc>
          <w:tcPr>
            <w:tcW w:w="5773" w:type="dxa"/>
            <w:tcBorders>
              <w:top w:val="single" w:sz="4" w:space="0" w:color="auto"/>
            </w:tcBorders>
            <w:vAlign w:val="center"/>
          </w:tcPr>
          <w:p w14:paraId="69C53E8A" w14:textId="1E18B316" w:rsidR="00CB2C07" w:rsidRPr="007A64BE" w:rsidRDefault="00CB2C07" w:rsidP="00CB2C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20"/>
                <w:szCs w:val="20"/>
              </w:rPr>
            </w:pPr>
            <w:r w:rsidRPr="007A64BE">
              <w:rPr>
                <w:rFonts w:asciiTheme="majorHAnsi" w:hAnsiTheme="majorHAnsi"/>
                <w:bCs/>
                <w:sz w:val="20"/>
                <w:szCs w:val="20"/>
              </w:rPr>
              <w:t>Sí, en los términos de la Sección VI</w:t>
            </w:r>
          </w:p>
        </w:tc>
      </w:tr>
      <w:tr w:rsidR="00CB2C07" w:rsidRPr="007A64BE" w14:paraId="52B5BA17" w14:textId="77777777" w:rsidTr="00030EA9">
        <w:trPr>
          <w:cantSplit/>
        </w:trPr>
        <w:tc>
          <w:tcPr>
            <w:tcW w:w="3564" w:type="dxa"/>
            <w:tcBorders>
              <w:top w:val="single" w:sz="6" w:space="0" w:color="auto"/>
              <w:bottom w:val="single" w:sz="6" w:space="0" w:color="auto"/>
            </w:tcBorders>
            <w:shd w:val="clear" w:color="auto" w:fill="386294"/>
            <w:vAlign w:val="center"/>
          </w:tcPr>
          <w:p w14:paraId="5DF99086" w14:textId="77777777" w:rsidR="00CB2C07" w:rsidRPr="007A64BE" w:rsidRDefault="00CB2C07" w:rsidP="00CB2C07">
            <w:pPr>
              <w:jc w:val="center"/>
              <w:rPr>
                <w:rFonts w:asciiTheme="majorHAnsi" w:hAnsiTheme="majorHAnsi"/>
                <w:b/>
                <w:bCs/>
                <w:color w:val="FFFFFF" w:themeColor="background1"/>
                <w:sz w:val="20"/>
                <w:szCs w:val="20"/>
              </w:rPr>
            </w:pPr>
            <w:r w:rsidRPr="007A64BE">
              <w:rPr>
                <w:rFonts w:asciiTheme="majorHAnsi" w:hAnsiTheme="majorHAnsi"/>
                <w:b/>
                <w:bCs/>
                <w:color w:val="FFFFFF" w:themeColor="background1"/>
                <w:sz w:val="20"/>
                <w:szCs w:val="20"/>
              </w:rPr>
              <w:t>Presentación dentro de plazo:</w:t>
            </w:r>
          </w:p>
        </w:tc>
        <w:tc>
          <w:tcPr>
            <w:tcW w:w="5773" w:type="dxa"/>
            <w:vAlign w:val="center"/>
          </w:tcPr>
          <w:p w14:paraId="4A2A4569" w14:textId="349B2770" w:rsidR="00CB2C07" w:rsidRPr="007A64BE" w:rsidRDefault="00CB2C07" w:rsidP="00CB2C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Cs/>
                <w:sz w:val="20"/>
                <w:szCs w:val="20"/>
              </w:rPr>
            </w:pPr>
            <w:r w:rsidRPr="007A64BE">
              <w:rPr>
                <w:rFonts w:asciiTheme="majorHAnsi" w:hAnsiTheme="majorHAnsi"/>
                <w:bCs/>
                <w:sz w:val="20"/>
                <w:szCs w:val="20"/>
              </w:rPr>
              <w:t>Sí, en los términos de la Sección VI</w:t>
            </w:r>
          </w:p>
        </w:tc>
      </w:tr>
    </w:tbl>
    <w:p w14:paraId="18E6423B" w14:textId="49E50269" w:rsidR="003239B8" w:rsidRDefault="00CB2C07" w:rsidP="00CB2C07">
      <w:pPr>
        <w:spacing w:before="240" w:after="240"/>
        <w:ind w:firstLine="720"/>
        <w:jc w:val="both"/>
        <w:rPr>
          <w:rFonts w:asciiTheme="majorHAnsi" w:hAnsiTheme="majorHAnsi"/>
          <w:b/>
          <w:sz w:val="20"/>
          <w:szCs w:val="20"/>
        </w:rPr>
      </w:pPr>
      <w:r w:rsidRPr="007A64BE">
        <w:rPr>
          <w:rFonts w:asciiTheme="majorHAnsi" w:hAnsiTheme="majorHAnsi"/>
          <w:b/>
          <w:sz w:val="20"/>
          <w:szCs w:val="20"/>
        </w:rPr>
        <w:t xml:space="preserve">V. </w:t>
      </w:r>
      <w:r w:rsidRPr="007A64BE">
        <w:rPr>
          <w:rFonts w:asciiTheme="majorHAnsi" w:hAnsiTheme="majorHAnsi"/>
          <w:b/>
          <w:sz w:val="20"/>
          <w:szCs w:val="20"/>
        </w:rPr>
        <w:tab/>
      </w:r>
      <w:r w:rsidR="00867314" w:rsidRPr="007A64BE">
        <w:rPr>
          <w:rFonts w:asciiTheme="majorHAnsi" w:hAnsiTheme="majorHAnsi"/>
          <w:b/>
          <w:sz w:val="20"/>
          <w:szCs w:val="20"/>
        </w:rPr>
        <w:t>POSICIÓN DE LAS PARTES</w:t>
      </w:r>
    </w:p>
    <w:p w14:paraId="12404625" w14:textId="2F04F42D" w:rsidR="00420166" w:rsidRPr="007A64BE" w:rsidRDefault="00420166" w:rsidP="00CB2C07">
      <w:pPr>
        <w:spacing w:before="240" w:after="240"/>
        <w:ind w:firstLine="720"/>
        <w:jc w:val="both"/>
        <w:rPr>
          <w:rFonts w:asciiTheme="majorHAnsi" w:hAnsiTheme="majorHAnsi"/>
          <w:b/>
          <w:sz w:val="20"/>
          <w:szCs w:val="20"/>
        </w:rPr>
      </w:pPr>
      <w:r>
        <w:rPr>
          <w:rFonts w:asciiTheme="majorHAnsi" w:hAnsiTheme="majorHAnsi"/>
          <w:b/>
          <w:sz w:val="20"/>
          <w:szCs w:val="20"/>
        </w:rPr>
        <w:t>La parte peticionaria</w:t>
      </w:r>
    </w:p>
    <w:p w14:paraId="370EF25E" w14:textId="787C3299" w:rsidR="002B1DF6" w:rsidRDefault="00420166" w:rsidP="002B1DF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D</w:t>
      </w:r>
      <w:r w:rsidR="002B1DF6" w:rsidRPr="007A64BE">
        <w:rPr>
          <w:rFonts w:asciiTheme="majorHAnsi" w:hAnsiTheme="majorHAnsi"/>
          <w:sz w:val="20"/>
          <w:szCs w:val="20"/>
        </w:rPr>
        <w:t>enuncia la responsabilidad internacional del Estado de Guatemala por la falta de acceso a una reparación integral y colectiva mediante el Programa Nacional de Resarcimiento (en adelante, “PNR”), frente a las graves violaciones de derechos humanos sufridas por la comunidad “Villa Hortensia II” (en adelante, “</w:t>
      </w:r>
      <w:r w:rsidR="009D0482">
        <w:rPr>
          <w:rFonts w:asciiTheme="majorHAnsi" w:hAnsiTheme="majorHAnsi"/>
          <w:sz w:val="20"/>
          <w:szCs w:val="20"/>
        </w:rPr>
        <w:t xml:space="preserve">las </w:t>
      </w:r>
      <w:r w:rsidR="002B1DF6" w:rsidRPr="007A64BE">
        <w:rPr>
          <w:rFonts w:asciiTheme="majorHAnsi" w:hAnsiTheme="majorHAnsi"/>
          <w:sz w:val="20"/>
          <w:szCs w:val="20"/>
        </w:rPr>
        <w:t>presuntas víctimas” o “</w:t>
      </w:r>
      <w:r w:rsidR="009D0482">
        <w:rPr>
          <w:rFonts w:asciiTheme="majorHAnsi" w:hAnsiTheme="majorHAnsi"/>
          <w:sz w:val="20"/>
          <w:szCs w:val="20"/>
        </w:rPr>
        <w:t xml:space="preserve">la </w:t>
      </w:r>
      <w:r w:rsidR="002B1DF6" w:rsidRPr="007A64BE">
        <w:rPr>
          <w:rFonts w:asciiTheme="majorHAnsi" w:hAnsiTheme="majorHAnsi"/>
          <w:sz w:val="20"/>
          <w:szCs w:val="20"/>
        </w:rPr>
        <w:t>comunidad campesina”) durante el conflicto armado. Dichas violaciones habrían incluido masacres, persecución, amenazas, tortura, reclutamiento forzado y desplazamiento interno.</w:t>
      </w:r>
    </w:p>
    <w:p w14:paraId="2EBB3773" w14:textId="40926350" w:rsidR="00206989" w:rsidRPr="0051187B" w:rsidRDefault="00563508" w:rsidP="00206989">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sz w:val="20"/>
          <w:szCs w:val="20"/>
          <w:lang w:val="es-PE"/>
        </w:rPr>
      </w:pPr>
      <w:r>
        <w:rPr>
          <w:rFonts w:asciiTheme="majorHAnsi" w:hAnsiTheme="majorHAnsi"/>
          <w:bCs/>
          <w:i/>
          <w:iCs/>
          <w:sz w:val="20"/>
          <w:szCs w:val="20"/>
          <w:lang w:val="es-PE"/>
        </w:rPr>
        <w:t>Sobre el</w:t>
      </w:r>
      <w:r w:rsidR="00206989" w:rsidRPr="0051187B">
        <w:rPr>
          <w:rFonts w:asciiTheme="majorHAnsi" w:hAnsiTheme="majorHAnsi"/>
          <w:bCs/>
          <w:i/>
          <w:iCs/>
          <w:sz w:val="20"/>
          <w:szCs w:val="20"/>
          <w:lang w:val="es-PE"/>
        </w:rPr>
        <w:t xml:space="preserve"> conflicto armado en Guatemala</w:t>
      </w:r>
    </w:p>
    <w:p w14:paraId="1F20F9BC" w14:textId="399896AC" w:rsidR="008232E7" w:rsidRPr="007A64BE" w:rsidRDefault="00420166" w:rsidP="0016624D">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Narra</w:t>
      </w:r>
      <w:r w:rsidR="009D0482">
        <w:rPr>
          <w:rFonts w:asciiTheme="majorHAnsi" w:hAnsiTheme="majorHAnsi"/>
          <w:sz w:val="20"/>
          <w:szCs w:val="20"/>
        </w:rPr>
        <w:t xml:space="preserve"> a</w:t>
      </w:r>
      <w:r w:rsidR="008E57E0" w:rsidRPr="007A64BE">
        <w:rPr>
          <w:rFonts w:asciiTheme="majorHAnsi" w:hAnsiTheme="majorHAnsi"/>
          <w:sz w:val="20"/>
          <w:szCs w:val="20"/>
        </w:rPr>
        <w:t xml:space="preserve"> modo de contexto </w:t>
      </w:r>
      <w:r w:rsidR="004B7F09" w:rsidRPr="007A64BE">
        <w:rPr>
          <w:rFonts w:asciiTheme="majorHAnsi" w:hAnsiTheme="majorHAnsi"/>
          <w:sz w:val="20"/>
          <w:szCs w:val="20"/>
        </w:rPr>
        <w:t xml:space="preserve">que la </w:t>
      </w:r>
      <w:r w:rsidR="009778DB" w:rsidRPr="007A64BE">
        <w:rPr>
          <w:rFonts w:asciiTheme="majorHAnsi" w:hAnsiTheme="majorHAnsi"/>
          <w:sz w:val="20"/>
          <w:szCs w:val="20"/>
        </w:rPr>
        <w:t>comunidad</w:t>
      </w:r>
      <w:r w:rsidR="004B7F09" w:rsidRPr="007A64BE">
        <w:rPr>
          <w:rFonts w:asciiTheme="majorHAnsi" w:hAnsiTheme="majorHAnsi"/>
          <w:sz w:val="20"/>
          <w:szCs w:val="20"/>
        </w:rPr>
        <w:t xml:space="preserve"> </w:t>
      </w:r>
      <w:r w:rsidR="0074661F" w:rsidRPr="007A64BE">
        <w:rPr>
          <w:rFonts w:asciiTheme="majorHAnsi" w:hAnsiTheme="majorHAnsi"/>
          <w:sz w:val="20"/>
          <w:szCs w:val="20"/>
        </w:rPr>
        <w:t>campesina</w:t>
      </w:r>
      <w:r w:rsidR="007B5855" w:rsidRPr="007A64BE">
        <w:rPr>
          <w:rFonts w:asciiTheme="majorHAnsi" w:hAnsiTheme="majorHAnsi"/>
          <w:sz w:val="20"/>
          <w:szCs w:val="20"/>
        </w:rPr>
        <w:t xml:space="preserve"> </w:t>
      </w:r>
      <w:r w:rsidR="004B7F09" w:rsidRPr="007A64BE">
        <w:rPr>
          <w:rFonts w:asciiTheme="majorHAnsi" w:hAnsiTheme="majorHAnsi"/>
          <w:sz w:val="20"/>
          <w:szCs w:val="20"/>
        </w:rPr>
        <w:t xml:space="preserve">se encontraba asentada </w:t>
      </w:r>
      <w:r w:rsidR="007B5855" w:rsidRPr="007A64BE">
        <w:rPr>
          <w:rFonts w:asciiTheme="majorHAnsi" w:hAnsiTheme="majorHAnsi"/>
          <w:sz w:val="20"/>
          <w:szCs w:val="20"/>
        </w:rPr>
        <w:t xml:space="preserve">en </w:t>
      </w:r>
      <w:r w:rsidR="004B7F09" w:rsidRPr="007A64BE">
        <w:rPr>
          <w:rFonts w:asciiTheme="majorHAnsi" w:hAnsiTheme="majorHAnsi"/>
          <w:sz w:val="20"/>
          <w:szCs w:val="20"/>
        </w:rPr>
        <w:t xml:space="preserve">una finca dedicada a la producción de azúcar, ubicada en el municipio de San Juan Cotzal, departamento de El Quinché. </w:t>
      </w:r>
      <w:r w:rsidR="008E2467">
        <w:rPr>
          <w:rFonts w:asciiTheme="majorHAnsi" w:hAnsiTheme="majorHAnsi"/>
          <w:sz w:val="20"/>
          <w:szCs w:val="20"/>
        </w:rPr>
        <w:t>L</w:t>
      </w:r>
      <w:r w:rsidR="004B7F09" w:rsidRPr="007A64BE">
        <w:rPr>
          <w:rFonts w:asciiTheme="majorHAnsi" w:hAnsiTheme="majorHAnsi"/>
          <w:sz w:val="20"/>
          <w:szCs w:val="20"/>
        </w:rPr>
        <w:t xml:space="preserve">as familias trabajaban </w:t>
      </w:r>
      <w:r w:rsidR="008E2467">
        <w:rPr>
          <w:rFonts w:asciiTheme="majorHAnsi" w:hAnsiTheme="majorHAnsi"/>
          <w:sz w:val="20"/>
          <w:szCs w:val="20"/>
        </w:rPr>
        <w:t>la</w:t>
      </w:r>
      <w:r w:rsidR="00BE3641" w:rsidRPr="007A64BE">
        <w:rPr>
          <w:rFonts w:asciiTheme="majorHAnsi" w:hAnsiTheme="majorHAnsi"/>
          <w:sz w:val="20"/>
          <w:szCs w:val="20"/>
        </w:rPr>
        <w:t xml:space="preserve"> </w:t>
      </w:r>
      <w:r w:rsidR="009778DB" w:rsidRPr="007A64BE">
        <w:rPr>
          <w:rFonts w:asciiTheme="majorHAnsi" w:hAnsiTheme="majorHAnsi"/>
          <w:sz w:val="20"/>
          <w:szCs w:val="20"/>
        </w:rPr>
        <w:t xml:space="preserve">agricultura y </w:t>
      </w:r>
      <w:r w:rsidR="008E2467">
        <w:rPr>
          <w:rFonts w:asciiTheme="majorHAnsi" w:hAnsiTheme="majorHAnsi"/>
          <w:sz w:val="20"/>
          <w:szCs w:val="20"/>
        </w:rPr>
        <w:t xml:space="preserve">la </w:t>
      </w:r>
      <w:r w:rsidR="009778DB" w:rsidRPr="007A64BE">
        <w:rPr>
          <w:rFonts w:asciiTheme="majorHAnsi" w:hAnsiTheme="majorHAnsi"/>
          <w:sz w:val="20"/>
          <w:szCs w:val="20"/>
        </w:rPr>
        <w:t xml:space="preserve">ganadería </w:t>
      </w:r>
      <w:r w:rsidR="004B7F09" w:rsidRPr="007A64BE">
        <w:rPr>
          <w:rFonts w:asciiTheme="majorHAnsi" w:hAnsiTheme="majorHAnsi"/>
          <w:sz w:val="20"/>
          <w:szCs w:val="20"/>
        </w:rPr>
        <w:t>como condición para conservar el derecho a habitar esos terrenos.</w:t>
      </w:r>
      <w:r w:rsidR="007B5855" w:rsidRPr="007A64BE">
        <w:rPr>
          <w:rFonts w:asciiTheme="majorHAnsi" w:hAnsiTheme="majorHAnsi"/>
          <w:sz w:val="20"/>
          <w:szCs w:val="20"/>
        </w:rPr>
        <w:t xml:space="preserve"> </w:t>
      </w:r>
      <w:r w:rsidR="00E07F60">
        <w:rPr>
          <w:rFonts w:asciiTheme="majorHAnsi" w:hAnsiTheme="majorHAnsi"/>
          <w:sz w:val="20"/>
          <w:szCs w:val="20"/>
        </w:rPr>
        <w:t xml:space="preserve">A </w:t>
      </w:r>
      <w:r w:rsidR="001E0B3C" w:rsidRPr="007A64BE">
        <w:rPr>
          <w:rFonts w:asciiTheme="majorHAnsi" w:hAnsiTheme="majorHAnsi"/>
          <w:sz w:val="20"/>
          <w:szCs w:val="20"/>
        </w:rPr>
        <w:t>partir del</w:t>
      </w:r>
      <w:r w:rsidR="008232E7" w:rsidRPr="007A64BE">
        <w:rPr>
          <w:rFonts w:asciiTheme="majorHAnsi" w:hAnsiTheme="majorHAnsi"/>
          <w:sz w:val="20"/>
          <w:szCs w:val="20"/>
        </w:rPr>
        <w:t xml:space="preserve"> 20 de marzo de 1982 el </w:t>
      </w:r>
      <w:r w:rsidR="00287613">
        <w:rPr>
          <w:rFonts w:asciiTheme="majorHAnsi" w:hAnsiTheme="majorHAnsi"/>
          <w:sz w:val="20"/>
          <w:szCs w:val="20"/>
        </w:rPr>
        <w:t>e</w:t>
      </w:r>
      <w:r w:rsidR="008232E7" w:rsidRPr="007A64BE">
        <w:rPr>
          <w:rFonts w:asciiTheme="majorHAnsi" w:hAnsiTheme="majorHAnsi"/>
          <w:sz w:val="20"/>
          <w:szCs w:val="20"/>
        </w:rPr>
        <w:t xml:space="preserve">jército y </w:t>
      </w:r>
      <w:r w:rsidR="007B5855" w:rsidRPr="007A64BE">
        <w:rPr>
          <w:rFonts w:asciiTheme="majorHAnsi" w:hAnsiTheme="majorHAnsi"/>
          <w:sz w:val="20"/>
          <w:szCs w:val="20"/>
        </w:rPr>
        <w:t>la</w:t>
      </w:r>
      <w:r w:rsidR="00E07F60">
        <w:rPr>
          <w:rFonts w:asciiTheme="majorHAnsi" w:hAnsiTheme="majorHAnsi"/>
          <w:sz w:val="20"/>
          <w:szCs w:val="20"/>
        </w:rPr>
        <w:t>s</w:t>
      </w:r>
      <w:r w:rsidR="007B5855" w:rsidRPr="007A64BE">
        <w:rPr>
          <w:rFonts w:asciiTheme="majorHAnsi" w:hAnsiTheme="majorHAnsi"/>
          <w:sz w:val="20"/>
          <w:szCs w:val="20"/>
        </w:rPr>
        <w:t xml:space="preserve"> Patrulla</w:t>
      </w:r>
      <w:r w:rsidR="00E07F60">
        <w:rPr>
          <w:rFonts w:asciiTheme="majorHAnsi" w:hAnsiTheme="majorHAnsi"/>
          <w:sz w:val="20"/>
          <w:szCs w:val="20"/>
        </w:rPr>
        <w:t>s</w:t>
      </w:r>
      <w:r w:rsidR="008232E7" w:rsidRPr="007A64BE">
        <w:rPr>
          <w:rFonts w:asciiTheme="majorHAnsi" w:hAnsiTheme="majorHAnsi"/>
          <w:sz w:val="20"/>
          <w:szCs w:val="20"/>
        </w:rPr>
        <w:t xml:space="preserve"> de Autodefensa Civil (en adelante “PAC”)</w:t>
      </w:r>
      <w:r w:rsidR="000E4DD4" w:rsidRPr="007A64BE">
        <w:rPr>
          <w:rStyle w:val="FootnoteReference"/>
          <w:rFonts w:asciiTheme="majorHAnsi" w:hAnsiTheme="majorHAnsi"/>
          <w:sz w:val="20"/>
          <w:szCs w:val="20"/>
        </w:rPr>
        <w:footnoteReference w:id="8"/>
      </w:r>
      <w:r w:rsidR="007B5855" w:rsidRPr="007A64BE">
        <w:rPr>
          <w:rFonts w:asciiTheme="majorHAnsi" w:hAnsiTheme="majorHAnsi"/>
          <w:sz w:val="20"/>
          <w:szCs w:val="20"/>
        </w:rPr>
        <w:t xml:space="preserve"> </w:t>
      </w:r>
      <w:r w:rsidR="008232E7" w:rsidRPr="007A64BE">
        <w:rPr>
          <w:rFonts w:asciiTheme="majorHAnsi" w:hAnsiTheme="majorHAnsi"/>
          <w:sz w:val="20"/>
          <w:szCs w:val="20"/>
        </w:rPr>
        <w:t xml:space="preserve">ingresaron a la comunidad, </w:t>
      </w:r>
      <w:r w:rsidR="00E90736" w:rsidRPr="007A64BE">
        <w:rPr>
          <w:rFonts w:asciiTheme="majorHAnsi" w:hAnsiTheme="majorHAnsi"/>
          <w:sz w:val="20"/>
          <w:szCs w:val="20"/>
        </w:rPr>
        <w:t>incineraron</w:t>
      </w:r>
      <w:r w:rsidR="008232E7" w:rsidRPr="007A64BE">
        <w:rPr>
          <w:rFonts w:asciiTheme="majorHAnsi" w:hAnsiTheme="majorHAnsi"/>
          <w:sz w:val="20"/>
          <w:szCs w:val="20"/>
        </w:rPr>
        <w:t xml:space="preserve"> las viviendas </w:t>
      </w:r>
      <w:r w:rsidR="00C13F6C" w:rsidRPr="007A64BE">
        <w:rPr>
          <w:rFonts w:asciiTheme="majorHAnsi" w:hAnsiTheme="majorHAnsi"/>
          <w:sz w:val="20"/>
          <w:szCs w:val="20"/>
        </w:rPr>
        <w:t xml:space="preserve">y </w:t>
      </w:r>
      <w:r w:rsidR="008232E7" w:rsidRPr="007A64BE">
        <w:rPr>
          <w:rFonts w:asciiTheme="majorHAnsi" w:hAnsiTheme="majorHAnsi"/>
          <w:sz w:val="20"/>
          <w:szCs w:val="20"/>
        </w:rPr>
        <w:t>los sembradíos</w:t>
      </w:r>
      <w:r w:rsidR="00C13F6C" w:rsidRPr="007A64BE">
        <w:rPr>
          <w:rFonts w:asciiTheme="majorHAnsi" w:hAnsiTheme="majorHAnsi"/>
          <w:sz w:val="20"/>
          <w:szCs w:val="20"/>
        </w:rPr>
        <w:t>; se apropiaron del ganado y animales;</w:t>
      </w:r>
      <w:r w:rsidR="008232E7" w:rsidRPr="007A64BE">
        <w:rPr>
          <w:rFonts w:asciiTheme="majorHAnsi" w:hAnsiTheme="majorHAnsi"/>
          <w:sz w:val="20"/>
          <w:szCs w:val="20"/>
        </w:rPr>
        <w:t xml:space="preserve"> y capturaron, agredieron con machetes, ahorcaron y ejecutaron a cerca de 70 personas, incluidos niñas y niños. </w:t>
      </w:r>
      <w:r w:rsidR="00313851" w:rsidRPr="007A64BE">
        <w:rPr>
          <w:rFonts w:asciiTheme="majorHAnsi" w:hAnsiTheme="majorHAnsi"/>
          <w:sz w:val="20"/>
          <w:szCs w:val="20"/>
        </w:rPr>
        <w:t>Además, los sol</w:t>
      </w:r>
      <w:r w:rsidR="00C856C6" w:rsidRPr="007A64BE">
        <w:rPr>
          <w:rFonts w:asciiTheme="majorHAnsi" w:hAnsiTheme="majorHAnsi"/>
          <w:sz w:val="20"/>
          <w:szCs w:val="20"/>
        </w:rPr>
        <w:t>d</w:t>
      </w:r>
      <w:r w:rsidR="00313851" w:rsidRPr="007A64BE">
        <w:rPr>
          <w:rFonts w:asciiTheme="majorHAnsi" w:hAnsiTheme="majorHAnsi"/>
          <w:sz w:val="20"/>
          <w:szCs w:val="20"/>
        </w:rPr>
        <w:t xml:space="preserve">ados violaron y asesinaron a la mayoría de las mujeres, y luego incineraron sus cuerpos junto con niñas y niños que aún estaban con vida dentro de una vivienda. </w:t>
      </w:r>
    </w:p>
    <w:p w14:paraId="436A2B5E" w14:textId="337EA3B4" w:rsidR="003E3A91" w:rsidRPr="007A64BE" w:rsidRDefault="004743C3" w:rsidP="00E60CA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Como consecuencia de la masacre</w:t>
      </w:r>
      <w:r w:rsidR="00420166">
        <w:rPr>
          <w:rFonts w:asciiTheme="majorHAnsi" w:hAnsiTheme="majorHAnsi"/>
          <w:sz w:val="20"/>
          <w:szCs w:val="20"/>
        </w:rPr>
        <w:t xml:space="preserve">, </w:t>
      </w:r>
      <w:r w:rsidR="007470A7" w:rsidRPr="007A64BE">
        <w:rPr>
          <w:rFonts w:asciiTheme="majorHAnsi" w:hAnsiTheme="majorHAnsi"/>
          <w:sz w:val="20"/>
          <w:szCs w:val="20"/>
        </w:rPr>
        <w:t>expone</w:t>
      </w:r>
      <w:r w:rsidR="000D19AE" w:rsidRPr="007A64BE">
        <w:rPr>
          <w:rFonts w:asciiTheme="majorHAnsi" w:hAnsiTheme="majorHAnsi"/>
          <w:sz w:val="20"/>
          <w:szCs w:val="20"/>
        </w:rPr>
        <w:t xml:space="preserve"> que cerca de 90 personas de la comunidad</w:t>
      </w:r>
      <w:r w:rsidR="00611430" w:rsidRPr="007A64BE">
        <w:rPr>
          <w:rFonts w:asciiTheme="majorHAnsi" w:hAnsiTheme="majorHAnsi"/>
          <w:sz w:val="20"/>
          <w:szCs w:val="20"/>
        </w:rPr>
        <w:t xml:space="preserve"> campesina</w:t>
      </w:r>
      <w:r w:rsidRPr="007A64BE">
        <w:rPr>
          <w:rFonts w:asciiTheme="majorHAnsi" w:hAnsiTheme="majorHAnsi"/>
          <w:sz w:val="20"/>
          <w:szCs w:val="20"/>
        </w:rPr>
        <w:t xml:space="preserve"> </w:t>
      </w:r>
      <w:r w:rsidR="008B3741" w:rsidRPr="007A64BE">
        <w:rPr>
          <w:rFonts w:asciiTheme="majorHAnsi" w:hAnsiTheme="majorHAnsi"/>
          <w:sz w:val="20"/>
          <w:szCs w:val="20"/>
        </w:rPr>
        <w:t>escaparon</w:t>
      </w:r>
      <w:r w:rsidR="000D19AE" w:rsidRPr="007A64BE">
        <w:rPr>
          <w:rFonts w:asciiTheme="majorHAnsi" w:hAnsiTheme="majorHAnsi"/>
          <w:sz w:val="20"/>
          <w:szCs w:val="20"/>
        </w:rPr>
        <w:t xml:space="preserve"> hacia distintas zonas</w:t>
      </w:r>
      <w:r w:rsidR="00A905E0" w:rsidRPr="007A64BE">
        <w:rPr>
          <w:rFonts w:asciiTheme="majorHAnsi" w:hAnsiTheme="majorHAnsi"/>
          <w:sz w:val="20"/>
          <w:szCs w:val="20"/>
        </w:rPr>
        <w:t xml:space="preserve"> de refugio</w:t>
      </w:r>
      <w:r w:rsidR="000E4DD4" w:rsidRPr="007A64BE">
        <w:rPr>
          <w:rStyle w:val="FootnoteReference"/>
          <w:rFonts w:asciiTheme="majorHAnsi" w:hAnsiTheme="majorHAnsi"/>
          <w:sz w:val="20"/>
          <w:szCs w:val="20"/>
        </w:rPr>
        <w:footnoteReference w:id="9"/>
      </w:r>
      <w:r w:rsidR="000D19AE" w:rsidRPr="007A64BE">
        <w:rPr>
          <w:rFonts w:asciiTheme="majorHAnsi" w:hAnsiTheme="majorHAnsi"/>
          <w:sz w:val="20"/>
          <w:szCs w:val="20"/>
        </w:rPr>
        <w:t xml:space="preserve">. </w:t>
      </w:r>
      <w:r w:rsidR="007C3F67">
        <w:rPr>
          <w:rFonts w:asciiTheme="majorHAnsi" w:hAnsiTheme="majorHAnsi"/>
          <w:sz w:val="20"/>
          <w:szCs w:val="20"/>
        </w:rPr>
        <w:t>D</w:t>
      </w:r>
      <w:r w:rsidR="008232E7" w:rsidRPr="007A64BE">
        <w:rPr>
          <w:rFonts w:asciiTheme="majorHAnsi" w:hAnsiTheme="majorHAnsi"/>
          <w:sz w:val="20"/>
          <w:szCs w:val="20"/>
        </w:rPr>
        <w:t xml:space="preserve">urante su desplazamiento </w:t>
      </w:r>
      <w:r w:rsidR="00BE3641" w:rsidRPr="007A64BE">
        <w:rPr>
          <w:rFonts w:asciiTheme="majorHAnsi" w:hAnsiTheme="majorHAnsi"/>
          <w:sz w:val="20"/>
          <w:szCs w:val="20"/>
        </w:rPr>
        <w:t xml:space="preserve">las presuntas víctimas </w:t>
      </w:r>
      <w:r w:rsidR="008232E7" w:rsidRPr="007A64BE">
        <w:rPr>
          <w:rFonts w:asciiTheme="majorHAnsi" w:hAnsiTheme="majorHAnsi"/>
          <w:sz w:val="20"/>
          <w:szCs w:val="20"/>
        </w:rPr>
        <w:t xml:space="preserve">enfrentaron </w:t>
      </w:r>
      <w:r w:rsidR="00E60CA1" w:rsidRPr="007A64BE">
        <w:rPr>
          <w:rFonts w:asciiTheme="majorHAnsi" w:hAnsiTheme="majorHAnsi"/>
          <w:sz w:val="20"/>
          <w:szCs w:val="20"/>
        </w:rPr>
        <w:t>persecución</w:t>
      </w:r>
      <w:r w:rsidR="008E57E0" w:rsidRPr="007A64BE">
        <w:rPr>
          <w:rFonts w:asciiTheme="majorHAnsi" w:hAnsiTheme="majorHAnsi"/>
          <w:sz w:val="20"/>
          <w:szCs w:val="20"/>
        </w:rPr>
        <w:t>, tortura física y psicológica,</w:t>
      </w:r>
      <w:r w:rsidR="00E60CA1" w:rsidRPr="007A64BE">
        <w:rPr>
          <w:rFonts w:asciiTheme="majorHAnsi" w:hAnsiTheme="majorHAnsi"/>
          <w:sz w:val="20"/>
          <w:szCs w:val="20"/>
        </w:rPr>
        <w:t xml:space="preserve"> y </w:t>
      </w:r>
      <w:r w:rsidR="008232E7" w:rsidRPr="007A64BE">
        <w:rPr>
          <w:rFonts w:asciiTheme="majorHAnsi" w:hAnsiTheme="majorHAnsi"/>
          <w:sz w:val="20"/>
          <w:szCs w:val="20"/>
        </w:rPr>
        <w:t>condiciones de extrema precariedad, sin acceso a alimentos</w:t>
      </w:r>
      <w:r w:rsidR="00874795" w:rsidRPr="007A64BE">
        <w:rPr>
          <w:rFonts w:asciiTheme="majorHAnsi" w:hAnsiTheme="majorHAnsi"/>
          <w:sz w:val="20"/>
          <w:szCs w:val="20"/>
        </w:rPr>
        <w:t>, medicamentos</w:t>
      </w:r>
      <w:r w:rsidR="008232E7" w:rsidRPr="007A64BE">
        <w:rPr>
          <w:rFonts w:asciiTheme="majorHAnsi" w:hAnsiTheme="majorHAnsi"/>
          <w:sz w:val="20"/>
          <w:szCs w:val="20"/>
        </w:rPr>
        <w:t xml:space="preserve">, ropa ni calzado, lo que derivó en enfermedades y causó la muerte de </w:t>
      </w:r>
      <w:r w:rsidR="008E57E0" w:rsidRPr="007A64BE">
        <w:rPr>
          <w:rFonts w:asciiTheme="majorHAnsi" w:hAnsiTheme="majorHAnsi"/>
          <w:sz w:val="20"/>
          <w:szCs w:val="20"/>
        </w:rPr>
        <w:t>algunas de ellas</w:t>
      </w:r>
      <w:r w:rsidR="008232E7" w:rsidRPr="007A64BE">
        <w:rPr>
          <w:rFonts w:asciiTheme="majorHAnsi" w:hAnsiTheme="majorHAnsi"/>
          <w:sz w:val="20"/>
          <w:szCs w:val="20"/>
        </w:rPr>
        <w:t xml:space="preserve">. </w:t>
      </w:r>
      <w:r w:rsidR="00287613">
        <w:rPr>
          <w:rFonts w:asciiTheme="majorHAnsi" w:hAnsiTheme="majorHAnsi"/>
          <w:sz w:val="20"/>
          <w:szCs w:val="20"/>
        </w:rPr>
        <w:t>Luego,</w:t>
      </w:r>
      <w:r w:rsidR="00BE3641" w:rsidRPr="007A64BE">
        <w:rPr>
          <w:rFonts w:asciiTheme="majorHAnsi" w:hAnsiTheme="majorHAnsi"/>
          <w:sz w:val="20"/>
          <w:szCs w:val="20"/>
        </w:rPr>
        <w:t xml:space="preserve"> el ejército reclutó forzosamente a</w:t>
      </w:r>
      <w:r w:rsidR="003E3A91" w:rsidRPr="007A64BE">
        <w:rPr>
          <w:rFonts w:asciiTheme="majorHAnsi" w:hAnsiTheme="majorHAnsi"/>
          <w:sz w:val="20"/>
          <w:szCs w:val="20"/>
        </w:rPr>
        <w:t xml:space="preserve"> varios </w:t>
      </w:r>
      <w:r w:rsidR="00BE3641" w:rsidRPr="007A64BE">
        <w:rPr>
          <w:rFonts w:asciiTheme="majorHAnsi" w:hAnsiTheme="majorHAnsi"/>
          <w:sz w:val="20"/>
          <w:szCs w:val="20"/>
        </w:rPr>
        <w:t>miembros de la comunidad</w:t>
      </w:r>
      <w:r w:rsidR="003E3A91" w:rsidRPr="007A64BE">
        <w:rPr>
          <w:rFonts w:asciiTheme="majorHAnsi" w:hAnsiTheme="majorHAnsi"/>
          <w:sz w:val="20"/>
          <w:szCs w:val="20"/>
        </w:rPr>
        <w:t>, mientras que otros, ante las condiciones inhumanas, se entregaron y fueron obligados a patrullar, muchos de los cuales desaparecieron</w:t>
      </w:r>
      <w:r w:rsidR="002A2299">
        <w:rPr>
          <w:rFonts w:asciiTheme="majorHAnsi" w:hAnsiTheme="majorHAnsi"/>
          <w:sz w:val="20"/>
          <w:szCs w:val="20"/>
        </w:rPr>
        <w:t>,</w:t>
      </w:r>
      <w:r w:rsidR="003E3A91" w:rsidRPr="007A64BE">
        <w:rPr>
          <w:rFonts w:asciiTheme="majorHAnsi" w:hAnsiTheme="majorHAnsi"/>
          <w:sz w:val="20"/>
          <w:szCs w:val="20"/>
        </w:rPr>
        <w:t xml:space="preserve"> entre ellos </w:t>
      </w:r>
      <w:r w:rsidR="00BE3641" w:rsidRPr="007A64BE">
        <w:rPr>
          <w:rFonts w:asciiTheme="majorHAnsi" w:hAnsiTheme="majorHAnsi"/>
          <w:sz w:val="20"/>
          <w:szCs w:val="20"/>
        </w:rPr>
        <w:t>menores de edad</w:t>
      </w:r>
      <w:r w:rsidR="003E3A91" w:rsidRPr="007A64BE">
        <w:rPr>
          <w:rFonts w:asciiTheme="majorHAnsi" w:hAnsiTheme="majorHAnsi"/>
          <w:sz w:val="20"/>
          <w:szCs w:val="20"/>
        </w:rPr>
        <w:t xml:space="preserve">. </w:t>
      </w:r>
    </w:p>
    <w:p w14:paraId="649461F1" w14:textId="62BA3EEF" w:rsidR="00EA4C4A" w:rsidRDefault="002A229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E</w:t>
      </w:r>
      <w:r w:rsidR="003E3A91" w:rsidRPr="007A64BE">
        <w:rPr>
          <w:rFonts w:asciiTheme="majorHAnsi" w:hAnsiTheme="majorHAnsi"/>
          <w:sz w:val="20"/>
          <w:szCs w:val="20"/>
        </w:rPr>
        <w:t xml:space="preserve">n 1985 </w:t>
      </w:r>
      <w:r w:rsidR="00E80234" w:rsidRPr="007A64BE">
        <w:rPr>
          <w:rFonts w:asciiTheme="majorHAnsi" w:hAnsiTheme="majorHAnsi"/>
          <w:sz w:val="20"/>
          <w:szCs w:val="20"/>
        </w:rPr>
        <w:t xml:space="preserve">uno de los </w:t>
      </w:r>
      <w:r w:rsidR="008232E7" w:rsidRPr="007A64BE">
        <w:rPr>
          <w:rFonts w:asciiTheme="majorHAnsi" w:hAnsiTheme="majorHAnsi"/>
          <w:sz w:val="20"/>
          <w:szCs w:val="20"/>
        </w:rPr>
        <w:t>grupo</w:t>
      </w:r>
      <w:r w:rsidR="00E80234" w:rsidRPr="007A64BE">
        <w:rPr>
          <w:rFonts w:asciiTheme="majorHAnsi" w:hAnsiTheme="majorHAnsi"/>
          <w:sz w:val="20"/>
          <w:szCs w:val="20"/>
        </w:rPr>
        <w:t>s</w:t>
      </w:r>
      <w:r w:rsidR="008232E7" w:rsidRPr="007A64BE">
        <w:rPr>
          <w:rFonts w:asciiTheme="majorHAnsi" w:hAnsiTheme="majorHAnsi"/>
          <w:sz w:val="20"/>
          <w:szCs w:val="20"/>
        </w:rPr>
        <w:t xml:space="preserve"> que migró hacia la aldea de Chiul,</w:t>
      </w:r>
      <w:r w:rsidR="00E80234" w:rsidRPr="007A64BE">
        <w:rPr>
          <w:rFonts w:asciiTheme="majorHAnsi" w:hAnsiTheme="majorHAnsi"/>
          <w:sz w:val="20"/>
          <w:szCs w:val="20"/>
        </w:rPr>
        <w:t xml:space="preserve"> </w:t>
      </w:r>
      <w:r w:rsidR="00BE3641" w:rsidRPr="007A64BE">
        <w:rPr>
          <w:rFonts w:asciiTheme="majorHAnsi" w:hAnsiTheme="majorHAnsi"/>
          <w:sz w:val="20"/>
          <w:szCs w:val="20"/>
        </w:rPr>
        <w:t>la</w:t>
      </w:r>
      <w:r w:rsidR="000E4DD4" w:rsidRPr="007A64BE">
        <w:rPr>
          <w:rFonts w:asciiTheme="majorHAnsi" w:hAnsiTheme="majorHAnsi"/>
          <w:sz w:val="20"/>
          <w:szCs w:val="20"/>
        </w:rPr>
        <w:t xml:space="preserve"> cual se</w:t>
      </w:r>
      <w:r w:rsidR="008232E7" w:rsidRPr="007A64BE">
        <w:rPr>
          <w:rFonts w:asciiTheme="majorHAnsi" w:hAnsiTheme="majorHAnsi"/>
          <w:sz w:val="20"/>
          <w:szCs w:val="20"/>
        </w:rPr>
        <w:t xml:space="preserve"> encontraban bajo control militar</w:t>
      </w:r>
      <w:r w:rsidR="000E4DD4" w:rsidRPr="007A64BE">
        <w:rPr>
          <w:rFonts w:asciiTheme="majorHAnsi" w:hAnsiTheme="majorHAnsi"/>
          <w:sz w:val="20"/>
          <w:szCs w:val="20"/>
        </w:rPr>
        <w:t xml:space="preserve">, solicitó </w:t>
      </w:r>
      <w:r w:rsidR="008232E7" w:rsidRPr="007A64BE">
        <w:rPr>
          <w:rFonts w:asciiTheme="majorHAnsi" w:hAnsiTheme="majorHAnsi"/>
          <w:sz w:val="20"/>
          <w:szCs w:val="20"/>
        </w:rPr>
        <w:t>autorización para regresar a</w:t>
      </w:r>
      <w:r w:rsidR="00E80234" w:rsidRPr="007A64BE">
        <w:rPr>
          <w:rFonts w:asciiTheme="majorHAnsi" w:hAnsiTheme="majorHAnsi"/>
          <w:sz w:val="20"/>
          <w:szCs w:val="20"/>
        </w:rPr>
        <w:t>l municipio de</w:t>
      </w:r>
      <w:r w:rsidR="008232E7" w:rsidRPr="007A64BE">
        <w:rPr>
          <w:rFonts w:asciiTheme="majorHAnsi" w:hAnsiTheme="majorHAnsi"/>
          <w:sz w:val="20"/>
          <w:szCs w:val="20"/>
        </w:rPr>
        <w:t xml:space="preserve"> San Juan Cotzal</w:t>
      </w:r>
      <w:r w:rsidR="000E4DD4" w:rsidRPr="007A64BE">
        <w:rPr>
          <w:rFonts w:asciiTheme="majorHAnsi" w:hAnsiTheme="majorHAnsi"/>
          <w:sz w:val="20"/>
          <w:szCs w:val="20"/>
        </w:rPr>
        <w:t xml:space="preserve">. </w:t>
      </w:r>
      <w:r w:rsidR="00DE56F8">
        <w:rPr>
          <w:rFonts w:asciiTheme="majorHAnsi" w:hAnsiTheme="majorHAnsi"/>
          <w:sz w:val="20"/>
          <w:szCs w:val="20"/>
        </w:rPr>
        <w:t>Esta</w:t>
      </w:r>
      <w:r w:rsidR="00BE3641" w:rsidRPr="007A64BE">
        <w:rPr>
          <w:rFonts w:asciiTheme="majorHAnsi" w:hAnsiTheme="majorHAnsi"/>
          <w:sz w:val="20"/>
          <w:szCs w:val="20"/>
        </w:rPr>
        <w:t xml:space="preserve"> </w:t>
      </w:r>
      <w:r w:rsidR="000E4DD4" w:rsidRPr="007A64BE">
        <w:rPr>
          <w:rFonts w:asciiTheme="majorHAnsi" w:hAnsiTheme="majorHAnsi"/>
          <w:sz w:val="20"/>
          <w:szCs w:val="20"/>
        </w:rPr>
        <w:t xml:space="preserve">les fue </w:t>
      </w:r>
      <w:r w:rsidR="008232E7" w:rsidRPr="007A64BE">
        <w:rPr>
          <w:rFonts w:asciiTheme="majorHAnsi" w:hAnsiTheme="majorHAnsi"/>
          <w:sz w:val="20"/>
          <w:szCs w:val="20"/>
        </w:rPr>
        <w:t>concedid</w:t>
      </w:r>
      <w:r w:rsidR="00DE56F8">
        <w:rPr>
          <w:rFonts w:asciiTheme="majorHAnsi" w:hAnsiTheme="majorHAnsi"/>
          <w:sz w:val="20"/>
          <w:szCs w:val="20"/>
        </w:rPr>
        <w:t>a</w:t>
      </w:r>
      <w:r w:rsidR="008232E7" w:rsidRPr="007A64BE">
        <w:rPr>
          <w:rFonts w:asciiTheme="majorHAnsi" w:hAnsiTheme="majorHAnsi"/>
          <w:sz w:val="20"/>
          <w:szCs w:val="20"/>
        </w:rPr>
        <w:t xml:space="preserve"> únicamente bajo la condición de incorporarse a las PAC. </w:t>
      </w:r>
      <w:r w:rsidR="001E05E8">
        <w:rPr>
          <w:rFonts w:asciiTheme="majorHAnsi" w:hAnsiTheme="majorHAnsi"/>
          <w:sz w:val="20"/>
          <w:szCs w:val="20"/>
        </w:rPr>
        <w:t>Este</w:t>
      </w:r>
      <w:r w:rsidR="008232E7" w:rsidRPr="007A64BE">
        <w:rPr>
          <w:rFonts w:asciiTheme="majorHAnsi" w:hAnsiTheme="majorHAnsi"/>
          <w:sz w:val="20"/>
          <w:szCs w:val="20"/>
        </w:rPr>
        <w:t xml:space="preserve"> reclutamiento forzado se </w:t>
      </w:r>
      <w:r w:rsidR="000E4DD4" w:rsidRPr="007A64BE">
        <w:rPr>
          <w:rFonts w:asciiTheme="majorHAnsi" w:hAnsiTheme="majorHAnsi"/>
          <w:sz w:val="20"/>
          <w:szCs w:val="20"/>
        </w:rPr>
        <w:t>impuso</w:t>
      </w:r>
      <w:r w:rsidR="008232E7" w:rsidRPr="007A64BE">
        <w:rPr>
          <w:rFonts w:asciiTheme="majorHAnsi" w:hAnsiTheme="majorHAnsi"/>
          <w:sz w:val="20"/>
          <w:szCs w:val="20"/>
        </w:rPr>
        <w:t xml:space="preserve"> a todos los hombres a partir de los 12 años hasta los más ancianos. </w:t>
      </w:r>
      <w:r w:rsidR="000E4DD4" w:rsidRPr="007A64BE">
        <w:rPr>
          <w:rFonts w:asciiTheme="majorHAnsi" w:hAnsiTheme="majorHAnsi"/>
          <w:sz w:val="20"/>
          <w:szCs w:val="20"/>
        </w:rPr>
        <w:t>Los patrullajes se extendían por</w:t>
      </w:r>
      <w:r w:rsidR="008232E7" w:rsidRPr="007A64BE">
        <w:rPr>
          <w:rFonts w:asciiTheme="majorHAnsi" w:hAnsiTheme="majorHAnsi"/>
          <w:sz w:val="20"/>
          <w:szCs w:val="20"/>
        </w:rPr>
        <w:t xml:space="preserve"> 24 horas sin descanso</w:t>
      </w:r>
      <w:r w:rsidR="00E80234" w:rsidRPr="007A64BE">
        <w:rPr>
          <w:rFonts w:asciiTheme="majorHAnsi" w:hAnsiTheme="majorHAnsi"/>
          <w:sz w:val="20"/>
          <w:szCs w:val="20"/>
        </w:rPr>
        <w:t>, ni alimentación</w:t>
      </w:r>
      <w:r w:rsidR="008232E7" w:rsidRPr="007A64BE">
        <w:rPr>
          <w:rFonts w:asciiTheme="majorHAnsi" w:hAnsiTheme="majorHAnsi"/>
          <w:sz w:val="20"/>
          <w:szCs w:val="20"/>
        </w:rPr>
        <w:t xml:space="preserve"> y consistían en la localización de personas desplazadas o refugiadas, a quienes se identificaba como integrantes de la guerrilla.</w:t>
      </w:r>
      <w:r w:rsidR="00E80234" w:rsidRPr="007A64BE">
        <w:rPr>
          <w:rFonts w:asciiTheme="majorHAnsi" w:hAnsiTheme="majorHAnsi"/>
          <w:sz w:val="20"/>
          <w:szCs w:val="20"/>
        </w:rPr>
        <w:t xml:space="preserve"> </w:t>
      </w:r>
      <w:r w:rsidR="000E4DD4" w:rsidRPr="007A64BE">
        <w:rPr>
          <w:rFonts w:asciiTheme="majorHAnsi" w:hAnsiTheme="majorHAnsi"/>
          <w:sz w:val="20"/>
          <w:szCs w:val="20"/>
        </w:rPr>
        <w:t>Esta situación persistió hasta la firma de los Acuerdos de Paz en 1996.</w:t>
      </w:r>
    </w:p>
    <w:p w14:paraId="3EB443F6" w14:textId="77777777" w:rsidR="00CD112E" w:rsidRDefault="00CD112E" w:rsidP="00CD112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p>
    <w:p w14:paraId="29E3A939" w14:textId="77777777" w:rsidR="00CD112E" w:rsidRPr="007A64BE" w:rsidRDefault="00CD112E" w:rsidP="00CD112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p>
    <w:p w14:paraId="5C13B6CF" w14:textId="0633806E" w:rsidR="00666244" w:rsidRPr="007A64BE" w:rsidRDefault="003635A6" w:rsidP="005D00A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lastRenderedPageBreak/>
        <w:t xml:space="preserve">De esta manera, </w:t>
      </w:r>
      <w:r w:rsidR="00EA4C4A" w:rsidRPr="007A64BE">
        <w:rPr>
          <w:rFonts w:asciiTheme="majorHAnsi" w:hAnsiTheme="majorHAnsi"/>
          <w:sz w:val="20"/>
          <w:szCs w:val="20"/>
        </w:rPr>
        <w:t xml:space="preserve">la comunidad campesina retornó al municipio de San Juan Cotzal, junto con otras familias de comunidades vecinas y establecieron un nuevo asentamiento al que denominaron “Villa Hortensia II”. </w:t>
      </w:r>
      <w:r w:rsidR="00BE3641" w:rsidRPr="007A64BE">
        <w:rPr>
          <w:rFonts w:asciiTheme="majorHAnsi" w:hAnsiTheme="majorHAnsi"/>
          <w:sz w:val="20"/>
          <w:szCs w:val="20"/>
        </w:rPr>
        <w:t xml:space="preserve"> </w:t>
      </w:r>
      <w:r w:rsidR="00AC3283">
        <w:rPr>
          <w:rFonts w:asciiTheme="majorHAnsi" w:hAnsiTheme="majorHAnsi"/>
          <w:sz w:val="20"/>
          <w:szCs w:val="20"/>
        </w:rPr>
        <w:t>Luego de</w:t>
      </w:r>
      <w:r w:rsidR="000054EE" w:rsidRPr="007A64BE">
        <w:rPr>
          <w:rFonts w:asciiTheme="majorHAnsi" w:hAnsiTheme="majorHAnsi"/>
          <w:sz w:val="20"/>
          <w:szCs w:val="20"/>
        </w:rPr>
        <w:t xml:space="preserve"> </w:t>
      </w:r>
      <w:r w:rsidR="00AC3283">
        <w:rPr>
          <w:rFonts w:asciiTheme="majorHAnsi" w:hAnsiTheme="majorHAnsi"/>
          <w:sz w:val="20"/>
          <w:szCs w:val="20"/>
        </w:rPr>
        <w:t>su</w:t>
      </w:r>
      <w:r w:rsidR="000054EE" w:rsidRPr="007A64BE">
        <w:rPr>
          <w:rFonts w:asciiTheme="majorHAnsi" w:hAnsiTheme="majorHAnsi"/>
          <w:sz w:val="20"/>
          <w:szCs w:val="20"/>
        </w:rPr>
        <w:t xml:space="preserve"> retorno la alimentación de las presuntas víctimas se redujo a hierbas comestibles hasta lograr sembrar maíz, lo que les permitió luego adquirir animales. Las viviendas eran precarias y solo en 1990 gracias a un crédito mejoraron sus materiales. </w:t>
      </w:r>
      <w:r w:rsidR="00A5600C">
        <w:rPr>
          <w:rFonts w:asciiTheme="majorHAnsi" w:hAnsiTheme="majorHAnsi"/>
          <w:sz w:val="20"/>
          <w:szCs w:val="20"/>
        </w:rPr>
        <w:t>D</w:t>
      </w:r>
      <w:r w:rsidR="000054EE" w:rsidRPr="007A64BE">
        <w:rPr>
          <w:rFonts w:asciiTheme="majorHAnsi" w:hAnsiTheme="majorHAnsi"/>
          <w:sz w:val="20"/>
          <w:szCs w:val="20"/>
        </w:rPr>
        <w:t xml:space="preserve">urante años </w:t>
      </w:r>
      <w:r w:rsidR="00666244" w:rsidRPr="007A64BE">
        <w:rPr>
          <w:rFonts w:asciiTheme="majorHAnsi" w:hAnsiTheme="majorHAnsi"/>
          <w:sz w:val="20"/>
          <w:szCs w:val="20"/>
        </w:rPr>
        <w:t>la comunidad campesina carec</w:t>
      </w:r>
      <w:r w:rsidR="00CF5F05">
        <w:rPr>
          <w:rFonts w:asciiTheme="majorHAnsi" w:hAnsiTheme="majorHAnsi"/>
          <w:sz w:val="20"/>
          <w:szCs w:val="20"/>
        </w:rPr>
        <w:t>ió</w:t>
      </w:r>
      <w:r w:rsidR="00666244" w:rsidRPr="007A64BE">
        <w:rPr>
          <w:rFonts w:asciiTheme="majorHAnsi" w:hAnsiTheme="majorHAnsi"/>
          <w:sz w:val="20"/>
          <w:szCs w:val="20"/>
        </w:rPr>
        <w:t xml:space="preserve"> de acceso a agua potable </w:t>
      </w:r>
      <w:r w:rsidR="000054EE" w:rsidRPr="007A64BE">
        <w:rPr>
          <w:rFonts w:asciiTheme="majorHAnsi" w:hAnsiTheme="majorHAnsi"/>
          <w:sz w:val="20"/>
          <w:szCs w:val="20"/>
        </w:rPr>
        <w:t xml:space="preserve">hasta que en 1992 accedieron a un sistema de agua entubada mediante gestión municipal y </w:t>
      </w:r>
      <w:r w:rsidR="00666244" w:rsidRPr="007A64BE">
        <w:rPr>
          <w:rFonts w:asciiTheme="majorHAnsi" w:hAnsiTheme="majorHAnsi"/>
          <w:sz w:val="20"/>
          <w:szCs w:val="20"/>
        </w:rPr>
        <w:t xml:space="preserve">su </w:t>
      </w:r>
      <w:r w:rsidR="001D13C5" w:rsidRPr="007A64BE">
        <w:rPr>
          <w:rFonts w:asciiTheme="majorHAnsi" w:hAnsiTheme="majorHAnsi"/>
          <w:sz w:val="20"/>
          <w:szCs w:val="20"/>
        </w:rPr>
        <w:t xml:space="preserve">propio </w:t>
      </w:r>
      <w:r w:rsidR="000054EE" w:rsidRPr="007A64BE">
        <w:rPr>
          <w:rFonts w:asciiTheme="majorHAnsi" w:hAnsiTheme="majorHAnsi"/>
          <w:sz w:val="20"/>
          <w:szCs w:val="20"/>
        </w:rPr>
        <w:t xml:space="preserve">trabajo comunitario. </w:t>
      </w:r>
      <w:r w:rsidR="00915920">
        <w:rPr>
          <w:rFonts w:asciiTheme="majorHAnsi" w:hAnsiTheme="majorHAnsi"/>
          <w:sz w:val="20"/>
          <w:szCs w:val="20"/>
        </w:rPr>
        <w:t>I</w:t>
      </w:r>
      <w:r w:rsidR="000054EE" w:rsidRPr="007A64BE">
        <w:rPr>
          <w:rFonts w:asciiTheme="majorHAnsi" w:hAnsiTheme="majorHAnsi"/>
          <w:sz w:val="20"/>
          <w:szCs w:val="20"/>
        </w:rPr>
        <w:t xml:space="preserve">ncluyendo el período del conflicto armado pasaron al menos ocho años sin educación formal, lo que dejó a muchas personas sin saber leer ni escribir y limitó su desarrollo. </w:t>
      </w:r>
      <w:r w:rsidR="00915920">
        <w:rPr>
          <w:rFonts w:asciiTheme="majorHAnsi" w:hAnsiTheme="majorHAnsi"/>
          <w:sz w:val="20"/>
          <w:szCs w:val="20"/>
        </w:rPr>
        <w:t>D</w:t>
      </w:r>
      <w:r w:rsidR="000054EE" w:rsidRPr="007A64BE">
        <w:rPr>
          <w:rFonts w:asciiTheme="majorHAnsi" w:hAnsiTheme="majorHAnsi"/>
          <w:sz w:val="20"/>
          <w:szCs w:val="20"/>
        </w:rPr>
        <w:t xml:space="preserve">esde 1993 cuentan con un puesto de salud y un promotor comunitario, pero con recursos muy limitados. </w:t>
      </w:r>
      <w:r w:rsidR="00915920">
        <w:rPr>
          <w:rFonts w:asciiTheme="majorHAnsi" w:hAnsiTheme="majorHAnsi"/>
          <w:sz w:val="20"/>
          <w:szCs w:val="20"/>
        </w:rPr>
        <w:t>E</w:t>
      </w:r>
      <w:r w:rsidR="00666244" w:rsidRPr="007A64BE">
        <w:rPr>
          <w:rFonts w:asciiTheme="majorHAnsi" w:hAnsiTheme="majorHAnsi"/>
          <w:sz w:val="20"/>
          <w:szCs w:val="20"/>
        </w:rPr>
        <w:t xml:space="preserve">n 2003 el Comité de Protierra parceló el terreno comunal y </w:t>
      </w:r>
      <w:r w:rsidR="0020001D">
        <w:rPr>
          <w:rFonts w:asciiTheme="majorHAnsi" w:hAnsiTheme="majorHAnsi"/>
          <w:sz w:val="20"/>
          <w:szCs w:val="20"/>
        </w:rPr>
        <w:t xml:space="preserve">las presuntas víctimas </w:t>
      </w:r>
      <w:r w:rsidR="001D13C5" w:rsidRPr="007A64BE">
        <w:rPr>
          <w:rFonts w:asciiTheme="majorHAnsi" w:hAnsiTheme="majorHAnsi"/>
          <w:sz w:val="20"/>
          <w:szCs w:val="20"/>
        </w:rPr>
        <w:t>constituyeron u</w:t>
      </w:r>
      <w:r w:rsidR="00666244" w:rsidRPr="007A64BE">
        <w:rPr>
          <w:rFonts w:asciiTheme="majorHAnsi" w:hAnsiTheme="majorHAnsi"/>
          <w:sz w:val="20"/>
          <w:szCs w:val="20"/>
        </w:rPr>
        <w:t>na Empresa Campesina Asociativa como requisito para acreditar la propiedad colectiva.</w:t>
      </w:r>
      <w:r w:rsidR="00BE53C5" w:rsidRPr="007A64BE">
        <w:rPr>
          <w:rFonts w:asciiTheme="majorHAnsi" w:hAnsiTheme="majorHAnsi"/>
          <w:sz w:val="20"/>
          <w:szCs w:val="20"/>
        </w:rPr>
        <w:t xml:space="preserve"> Sin embargo, mantener esta figura jurídica genera costos que no pueden asumir</w:t>
      </w:r>
      <w:r w:rsidR="00756E9C">
        <w:rPr>
          <w:rFonts w:asciiTheme="majorHAnsi" w:hAnsiTheme="majorHAnsi"/>
          <w:sz w:val="20"/>
          <w:szCs w:val="20"/>
        </w:rPr>
        <w:t>, al tiempo que n</w:t>
      </w:r>
      <w:r w:rsidR="00BE53C5" w:rsidRPr="007A64BE">
        <w:rPr>
          <w:rFonts w:asciiTheme="majorHAnsi" w:hAnsiTheme="majorHAnsi"/>
          <w:sz w:val="20"/>
          <w:szCs w:val="20"/>
        </w:rPr>
        <w:t>o pueden disolverla</w:t>
      </w:r>
      <w:r w:rsidR="00756E9C">
        <w:rPr>
          <w:rFonts w:asciiTheme="majorHAnsi" w:hAnsiTheme="majorHAnsi"/>
          <w:sz w:val="20"/>
          <w:szCs w:val="20"/>
        </w:rPr>
        <w:t xml:space="preserve"> porque</w:t>
      </w:r>
      <w:r w:rsidR="00BE53C5" w:rsidRPr="007A64BE">
        <w:rPr>
          <w:rFonts w:asciiTheme="majorHAnsi" w:hAnsiTheme="majorHAnsi"/>
          <w:sz w:val="20"/>
          <w:szCs w:val="20"/>
        </w:rPr>
        <w:t xml:space="preserve"> el territorio está registrado a su nombre.</w:t>
      </w:r>
      <w:r w:rsidR="00666244" w:rsidRPr="007A64BE">
        <w:rPr>
          <w:rFonts w:asciiTheme="majorHAnsi" w:hAnsiTheme="majorHAnsi"/>
          <w:sz w:val="20"/>
          <w:szCs w:val="20"/>
        </w:rPr>
        <w:t xml:space="preserve"> </w:t>
      </w:r>
    </w:p>
    <w:p w14:paraId="026F13FE" w14:textId="1B575417" w:rsidR="007B2E61" w:rsidRPr="007A64BE" w:rsidRDefault="00420166" w:rsidP="000054E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S</w:t>
      </w:r>
      <w:r w:rsidR="00273AF8">
        <w:rPr>
          <w:rFonts w:asciiTheme="majorHAnsi" w:hAnsiTheme="majorHAnsi"/>
          <w:sz w:val="20"/>
          <w:szCs w:val="20"/>
        </w:rPr>
        <w:t>ostiene</w:t>
      </w:r>
      <w:r w:rsidR="005564DB" w:rsidRPr="007A64BE">
        <w:rPr>
          <w:rFonts w:asciiTheme="majorHAnsi" w:hAnsiTheme="majorHAnsi"/>
          <w:sz w:val="20"/>
          <w:szCs w:val="20"/>
        </w:rPr>
        <w:t xml:space="preserve"> que estos hechos no fueron registrados por la Comisión para el Esclarecimiento Histórico, debido al temor generalizado de las víctimas y sobrevivientes a testificar ante el riesgo de represalias </w:t>
      </w:r>
      <w:r>
        <w:rPr>
          <w:rFonts w:asciiTheme="majorHAnsi" w:hAnsiTheme="majorHAnsi"/>
          <w:sz w:val="20"/>
          <w:szCs w:val="20"/>
        </w:rPr>
        <w:t xml:space="preserve">a manos </w:t>
      </w:r>
      <w:r w:rsidR="005564DB" w:rsidRPr="007A64BE">
        <w:rPr>
          <w:rFonts w:asciiTheme="majorHAnsi" w:hAnsiTheme="majorHAnsi"/>
          <w:sz w:val="20"/>
          <w:szCs w:val="20"/>
        </w:rPr>
        <w:t>de agentes militares.</w:t>
      </w:r>
    </w:p>
    <w:p w14:paraId="2F40AD0F" w14:textId="58ADEB8E" w:rsidR="004743C3" w:rsidRPr="007A64BE" w:rsidRDefault="007E0FB8" w:rsidP="00241F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i/>
          <w:iCs/>
          <w:sz w:val="20"/>
          <w:szCs w:val="20"/>
        </w:rPr>
      </w:pPr>
      <w:r w:rsidRPr="007A64BE">
        <w:rPr>
          <w:rFonts w:asciiTheme="majorHAnsi" w:hAnsiTheme="majorHAnsi"/>
          <w:i/>
          <w:iCs/>
          <w:sz w:val="20"/>
          <w:szCs w:val="20"/>
        </w:rPr>
        <w:t xml:space="preserve">Gestiones </w:t>
      </w:r>
      <w:r w:rsidR="004743C3" w:rsidRPr="007A64BE">
        <w:rPr>
          <w:rFonts w:asciiTheme="majorHAnsi" w:hAnsiTheme="majorHAnsi"/>
          <w:i/>
          <w:iCs/>
          <w:sz w:val="20"/>
          <w:szCs w:val="20"/>
        </w:rPr>
        <w:t>ante el Programa Nacional de Resarcimiento</w:t>
      </w:r>
      <w:r w:rsidR="004F7847">
        <w:rPr>
          <w:rFonts w:asciiTheme="majorHAnsi" w:hAnsiTheme="majorHAnsi"/>
          <w:i/>
          <w:iCs/>
          <w:sz w:val="20"/>
          <w:szCs w:val="20"/>
        </w:rPr>
        <w:t xml:space="preserve"> (PNR)</w:t>
      </w:r>
    </w:p>
    <w:p w14:paraId="5650991F" w14:textId="0CD4A571" w:rsidR="00B06393" w:rsidRPr="007A64BE" w:rsidRDefault="00B06393" w:rsidP="00B0639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 xml:space="preserve">En cuanto a la falta de reparación </w:t>
      </w:r>
      <w:r w:rsidR="0017280E" w:rsidRPr="007A64BE">
        <w:rPr>
          <w:rFonts w:asciiTheme="majorHAnsi" w:hAnsiTheme="majorHAnsi"/>
          <w:sz w:val="20"/>
          <w:szCs w:val="20"/>
        </w:rPr>
        <w:t>integral</w:t>
      </w:r>
      <w:r w:rsidRPr="007A64BE">
        <w:rPr>
          <w:rFonts w:asciiTheme="majorHAnsi" w:hAnsiTheme="majorHAnsi"/>
          <w:sz w:val="20"/>
          <w:szCs w:val="20"/>
        </w:rPr>
        <w:t xml:space="preserve"> y colectiva, en 2003 </w:t>
      </w:r>
      <w:r w:rsidR="0058379F" w:rsidRPr="007A64BE">
        <w:rPr>
          <w:rFonts w:asciiTheme="majorHAnsi" w:hAnsiTheme="majorHAnsi"/>
          <w:sz w:val="20"/>
          <w:szCs w:val="20"/>
        </w:rPr>
        <w:t xml:space="preserve">el Estado </w:t>
      </w:r>
      <w:r w:rsidRPr="007A64BE">
        <w:rPr>
          <w:rFonts w:asciiTheme="majorHAnsi" w:hAnsiTheme="majorHAnsi"/>
          <w:sz w:val="20"/>
          <w:szCs w:val="20"/>
        </w:rPr>
        <w:t xml:space="preserve">creó el PNR como parte de los acuerdos de paz. </w:t>
      </w:r>
      <w:r w:rsidR="00C505DD">
        <w:rPr>
          <w:rFonts w:asciiTheme="majorHAnsi" w:hAnsiTheme="majorHAnsi"/>
          <w:sz w:val="20"/>
          <w:szCs w:val="20"/>
        </w:rPr>
        <w:t>E</w:t>
      </w:r>
      <w:r w:rsidRPr="007A64BE">
        <w:rPr>
          <w:rFonts w:asciiTheme="majorHAnsi" w:hAnsiTheme="majorHAnsi"/>
          <w:sz w:val="20"/>
          <w:szCs w:val="20"/>
        </w:rPr>
        <w:t>se mismo año, tras la apertura de una sede regional en Nebaj, las presuntas víctimas solicitaron atención y</w:t>
      </w:r>
      <w:r w:rsidR="00515DF3" w:rsidRPr="007A64BE">
        <w:rPr>
          <w:rFonts w:asciiTheme="majorHAnsi" w:hAnsiTheme="majorHAnsi"/>
          <w:sz w:val="20"/>
          <w:szCs w:val="20"/>
        </w:rPr>
        <w:t>,</w:t>
      </w:r>
      <w:r w:rsidRPr="007A64BE">
        <w:rPr>
          <w:rFonts w:asciiTheme="majorHAnsi" w:hAnsiTheme="majorHAnsi"/>
          <w:sz w:val="20"/>
          <w:szCs w:val="20"/>
        </w:rPr>
        <w:t xml:space="preserve"> el personal prometió acudir a la comunidad, lo que nunca ocurrió. </w:t>
      </w:r>
      <w:r w:rsidR="00B46FA3">
        <w:rPr>
          <w:rFonts w:asciiTheme="majorHAnsi" w:hAnsiTheme="majorHAnsi"/>
          <w:sz w:val="20"/>
          <w:szCs w:val="20"/>
        </w:rPr>
        <w:t>E</w:t>
      </w:r>
      <w:r w:rsidR="00515DF3" w:rsidRPr="007A64BE">
        <w:rPr>
          <w:rFonts w:asciiTheme="majorHAnsi" w:hAnsiTheme="majorHAnsi"/>
          <w:sz w:val="20"/>
          <w:szCs w:val="20"/>
        </w:rPr>
        <w:t xml:space="preserve">l PNR tomó </w:t>
      </w:r>
      <w:r w:rsidRPr="007A64BE">
        <w:rPr>
          <w:rFonts w:asciiTheme="majorHAnsi" w:hAnsiTheme="majorHAnsi"/>
          <w:sz w:val="20"/>
          <w:szCs w:val="20"/>
        </w:rPr>
        <w:t>algunas declaraciones en la aldea Cajixay</w:t>
      </w:r>
      <w:r w:rsidR="006B15E9">
        <w:rPr>
          <w:rFonts w:asciiTheme="majorHAnsi" w:hAnsiTheme="majorHAnsi"/>
          <w:sz w:val="20"/>
          <w:szCs w:val="20"/>
        </w:rPr>
        <w:t xml:space="preserve"> de difícil acceso</w:t>
      </w:r>
      <w:r w:rsidRPr="007A64BE">
        <w:rPr>
          <w:rFonts w:asciiTheme="majorHAnsi" w:hAnsiTheme="majorHAnsi"/>
          <w:sz w:val="20"/>
          <w:szCs w:val="20"/>
        </w:rPr>
        <w:t>, a hora y media a pie, y solo unas pocas personas lograron reunir la documentación requerida</w:t>
      </w:r>
      <w:r w:rsidR="00BC181C">
        <w:rPr>
          <w:rFonts w:asciiTheme="majorHAnsi" w:hAnsiTheme="majorHAnsi"/>
          <w:sz w:val="20"/>
          <w:szCs w:val="20"/>
        </w:rPr>
        <w:t xml:space="preserve">. </w:t>
      </w:r>
      <w:r w:rsidR="00420166">
        <w:rPr>
          <w:rFonts w:asciiTheme="majorHAnsi" w:hAnsiTheme="majorHAnsi"/>
          <w:sz w:val="20"/>
          <w:szCs w:val="20"/>
        </w:rPr>
        <w:t>Únicamente</w:t>
      </w:r>
      <w:r w:rsidR="00515DF3" w:rsidRPr="007A64BE">
        <w:rPr>
          <w:rFonts w:asciiTheme="majorHAnsi" w:hAnsiTheme="majorHAnsi"/>
          <w:sz w:val="20"/>
          <w:szCs w:val="20"/>
        </w:rPr>
        <w:t xml:space="preserve"> estas últimas personas </w:t>
      </w:r>
      <w:r w:rsidRPr="007A64BE">
        <w:rPr>
          <w:rFonts w:asciiTheme="majorHAnsi" w:hAnsiTheme="majorHAnsi"/>
          <w:sz w:val="20"/>
          <w:szCs w:val="20"/>
        </w:rPr>
        <w:t>recibieron una reparación económica, mientras que la mayoría no ha accedido a ninguna medida de reparación.</w:t>
      </w:r>
    </w:p>
    <w:p w14:paraId="2DC9D163" w14:textId="2C9B5508" w:rsidR="00110BE2" w:rsidRPr="007A64BE" w:rsidRDefault="002165A4" w:rsidP="00110BE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E</w:t>
      </w:r>
      <w:r w:rsidR="00D05F13" w:rsidRPr="007A64BE">
        <w:rPr>
          <w:rFonts w:asciiTheme="majorHAnsi" w:hAnsiTheme="majorHAnsi"/>
          <w:sz w:val="20"/>
          <w:szCs w:val="20"/>
        </w:rPr>
        <w:t xml:space="preserve">l 10 de junio de 2008 </w:t>
      </w:r>
      <w:r w:rsidR="005A0F26" w:rsidRPr="007A64BE">
        <w:rPr>
          <w:rFonts w:asciiTheme="majorHAnsi" w:hAnsiTheme="majorHAnsi"/>
          <w:sz w:val="20"/>
          <w:szCs w:val="20"/>
        </w:rPr>
        <w:t>las presuntas víctimas</w:t>
      </w:r>
      <w:r w:rsidR="00055A23" w:rsidRPr="007A64BE">
        <w:rPr>
          <w:rFonts w:asciiTheme="majorHAnsi" w:hAnsiTheme="majorHAnsi"/>
          <w:sz w:val="20"/>
          <w:szCs w:val="20"/>
        </w:rPr>
        <w:t xml:space="preserve"> constituyeron un comité, que fue legalizado ante el municipio de San Juan Cotzal el 3 de julio </w:t>
      </w:r>
      <w:r>
        <w:rPr>
          <w:rFonts w:asciiTheme="majorHAnsi" w:hAnsiTheme="majorHAnsi"/>
          <w:sz w:val="20"/>
          <w:szCs w:val="20"/>
        </w:rPr>
        <w:t>de ese</w:t>
      </w:r>
      <w:r w:rsidR="00055A23" w:rsidRPr="007A64BE">
        <w:rPr>
          <w:rFonts w:asciiTheme="majorHAnsi" w:hAnsiTheme="majorHAnsi"/>
          <w:sz w:val="20"/>
          <w:szCs w:val="20"/>
        </w:rPr>
        <w:t xml:space="preserve"> año. Posteriormente, el 9 de diciembre de 2008 presentaron </w:t>
      </w:r>
      <w:r w:rsidR="004A5B43" w:rsidRPr="007A64BE">
        <w:rPr>
          <w:rFonts w:asciiTheme="majorHAnsi" w:hAnsiTheme="majorHAnsi"/>
          <w:sz w:val="20"/>
          <w:szCs w:val="20"/>
        </w:rPr>
        <w:t>un</w:t>
      </w:r>
      <w:r w:rsidR="00055A23" w:rsidRPr="007A64BE">
        <w:rPr>
          <w:rFonts w:asciiTheme="majorHAnsi" w:hAnsiTheme="majorHAnsi"/>
          <w:sz w:val="20"/>
          <w:szCs w:val="20"/>
        </w:rPr>
        <w:t xml:space="preserve"> memorial de agravios ante el Secretario de la Paz, el Presidente de la Comisión Nacional de Resarcimiento y el </w:t>
      </w:r>
      <w:r w:rsidR="000D19C6">
        <w:rPr>
          <w:rFonts w:asciiTheme="majorHAnsi" w:hAnsiTheme="majorHAnsi"/>
          <w:sz w:val="20"/>
          <w:szCs w:val="20"/>
        </w:rPr>
        <w:t>PNR</w:t>
      </w:r>
      <w:r w:rsidR="00DC2E38">
        <w:rPr>
          <w:rFonts w:asciiTheme="majorHAnsi" w:hAnsiTheme="majorHAnsi"/>
          <w:sz w:val="20"/>
          <w:szCs w:val="20"/>
        </w:rPr>
        <w:t xml:space="preserve">; pero </w:t>
      </w:r>
      <w:r w:rsidR="00F56DD9">
        <w:rPr>
          <w:rFonts w:asciiTheme="majorHAnsi" w:hAnsiTheme="majorHAnsi"/>
          <w:sz w:val="20"/>
          <w:szCs w:val="20"/>
        </w:rPr>
        <w:t xml:space="preserve">el </w:t>
      </w:r>
      <w:r w:rsidR="000D19C6">
        <w:rPr>
          <w:rFonts w:asciiTheme="majorHAnsi" w:hAnsiTheme="majorHAnsi"/>
          <w:sz w:val="20"/>
          <w:szCs w:val="20"/>
        </w:rPr>
        <w:t>PNR</w:t>
      </w:r>
      <w:r w:rsidR="00BF1066" w:rsidRPr="007A64BE">
        <w:rPr>
          <w:rFonts w:asciiTheme="majorHAnsi" w:hAnsiTheme="majorHAnsi"/>
          <w:sz w:val="20"/>
          <w:szCs w:val="20"/>
        </w:rPr>
        <w:t xml:space="preserve"> no </w:t>
      </w:r>
      <w:r w:rsidR="00F56DD9">
        <w:rPr>
          <w:rFonts w:asciiTheme="majorHAnsi" w:hAnsiTheme="majorHAnsi"/>
          <w:sz w:val="20"/>
          <w:szCs w:val="20"/>
        </w:rPr>
        <w:t>dio</w:t>
      </w:r>
      <w:r w:rsidR="00C34B4E" w:rsidRPr="007A64BE">
        <w:rPr>
          <w:rFonts w:asciiTheme="majorHAnsi" w:hAnsiTheme="majorHAnsi"/>
          <w:sz w:val="20"/>
          <w:szCs w:val="20"/>
        </w:rPr>
        <w:t xml:space="preserve"> ninguna respuesta a </w:t>
      </w:r>
      <w:r w:rsidR="00363CE2">
        <w:rPr>
          <w:rFonts w:asciiTheme="majorHAnsi" w:hAnsiTheme="majorHAnsi"/>
          <w:sz w:val="20"/>
          <w:szCs w:val="20"/>
        </w:rPr>
        <w:t>la</w:t>
      </w:r>
      <w:r w:rsidR="00C34B4E" w:rsidRPr="007A64BE">
        <w:rPr>
          <w:rFonts w:asciiTheme="majorHAnsi" w:hAnsiTheme="majorHAnsi"/>
          <w:sz w:val="20"/>
          <w:szCs w:val="20"/>
        </w:rPr>
        <w:t xml:space="preserve"> solicitud</w:t>
      </w:r>
      <w:r w:rsidR="00BF1066" w:rsidRPr="007A64BE">
        <w:rPr>
          <w:rFonts w:asciiTheme="majorHAnsi" w:hAnsiTheme="majorHAnsi"/>
          <w:sz w:val="20"/>
          <w:szCs w:val="20"/>
        </w:rPr>
        <w:t xml:space="preserve">. Por el contrario, </w:t>
      </w:r>
      <w:r w:rsidR="00363CE2">
        <w:rPr>
          <w:rFonts w:asciiTheme="majorHAnsi" w:hAnsiTheme="majorHAnsi"/>
          <w:sz w:val="20"/>
          <w:szCs w:val="20"/>
        </w:rPr>
        <w:t xml:space="preserve">los peticionarios </w:t>
      </w:r>
      <w:r w:rsidR="00BF1066" w:rsidRPr="007A64BE">
        <w:rPr>
          <w:rFonts w:asciiTheme="majorHAnsi" w:hAnsiTheme="majorHAnsi"/>
          <w:sz w:val="20"/>
          <w:szCs w:val="20"/>
        </w:rPr>
        <w:t>indica</w:t>
      </w:r>
      <w:r w:rsidR="00363CE2">
        <w:rPr>
          <w:rFonts w:asciiTheme="majorHAnsi" w:hAnsiTheme="majorHAnsi"/>
          <w:sz w:val="20"/>
          <w:szCs w:val="20"/>
        </w:rPr>
        <w:t>n</w:t>
      </w:r>
      <w:r w:rsidR="00515DF3" w:rsidRPr="007A64BE">
        <w:rPr>
          <w:rFonts w:asciiTheme="majorHAnsi" w:hAnsiTheme="majorHAnsi"/>
          <w:sz w:val="20"/>
          <w:szCs w:val="20"/>
        </w:rPr>
        <w:t xml:space="preserve"> </w:t>
      </w:r>
      <w:r w:rsidR="00BF1066" w:rsidRPr="007A64BE">
        <w:rPr>
          <w:rFonts w:asciiTheme="majorHAnsi" w:hAnsiTheme="majorHAnsi"/>
          <w:sz w:val="20"/>
          <w:szCs w:val="20"/>
        </w:rPr>
        <w:t>que</w:t>
      </w:r>
      <w:r w:rsidR="00055A23" w:rsidRPr="007A64BE">
        <w:rPr>
          <w:rFonts w:asciiTheme="majorHAnsi" w:hAnsiTheme="majorHAnsi"/>
          <w:sz w:val="20"/>
          <w:szCs w:val="20"/>
        </w:rPr>
        <w:t xml:space="preserve"> las </w:t>
      </w:r>
      <w:r w:rsidR="0017280E" w:rsidRPr="007A64BE">
        <w:rPr>
          <w:rFonts w:asciiTheme="majorHAnsi" w:hAnsiTheme="majorHAnsi"/>
          <w:sz w:val="20"/>
          <w:szCs w:val="20"/>
        </w:rPr>
        <w:t>presuntas víctimas</w:t>
      </w:r>
      <w:r w:rsidR="00BF1066" w:rsidRPr="007A64BE">
        <w:rPr>
          <w:rFonts w:asciiTheme="majorHAnsi" w:hAnsiTheme="majorHAnsi"/>
          <w:sz w:val="20"/>
          <w:szCs w:val="20"/>
        </w:rPr>
        <w:t xml:space="preserve"> </w:t>
      </w:r>
      <w:r w:rsidR="00C34B4E" w:rsidRPr="007A64BE">
        <w:rPr>
          <w:rFonts w:asciiTheme="majorHAnsi" w:hAnsiTheme="majorHAnsi"/>
          <w:sz w:val="20"/>
          <w:szCs w:val="20"/>
        </w:rPr>
        <w:t>han sido</w:t>
      </w:r>
      <w:r w:rsidR="00BF1066" w:rsidRPr="007A64BE">
        <w:rPr>
          <w:rFonts w:asciiTheme="majorHAnsi" w:hAnsiTheme="majorHAnsi"/>
          <w:sz w:val="20"/>
          <w:szCs w:val="20"/>
        </w:rPr>
        <w:t xml:space="preserve"> </w:t>
      </w:r>
      <w:r w:rsidR="00055A23" w:rsidRPr="007A64BE">
        <w:rPr>
          <w:rFonts w:asciiTheme="majorHAnsi" w:hAnsiTheme="majorHAnsi"/>
          <w:sz w:val="20"/>
          <w:szCs w:val="20"/>
        </w:rPr>
        <w:t>señaladas</w:t>
      </w:r>
      <w:r w:rsidR="00BF1066" w:rsidRPr="007A64BE">
        <w:rPr>
          <w:rFonts w:asciiTheme="majorHAnsi" w:hAnsiTheme="majorHAnsi"/>
          <w:sz w:val="20"/>
          <w:szCs w:val="20"/>
        </w:rPr>
        <w:t xml:space="preserve"> como victimarios, a pesar de haber sido reclutados forzosamente para integrar las PAC. </w:t>
      </w:r>
      <w:r w:rsidR="00F56DD9">
        <w:rPr>
          <w:rFonts w:asciiTheme="majorHAnsi" w:hAnsiTheme="majorHAnsi"/>
          <w:sz w:val="20"/>
          <w:szCs w:val="20"/>
        </w:rPr>
        <w:t>E</w:t>
      </w:r>
      <w:r w:rsidR="00C34B4E" w:rsidRPr="007A64BE">
        <w:rPr>
          <w:rFonts w:asciiTheme="majorHAnsi" w:hAnsiTheme="majorHAnsi"/>
          <w:sz w:val="20"/>
          <w:szCs w:val="20"/>
        </w:rPr>
        <w:t>sta situación obedece a que el PNR, integrado por miembros del Movimiento Nacional de Víctimas, solo reconoce y prioriza a las comunidades vinculadas a dicha organización.</w:t>
      </w:r>
    </w:p>
    <w:p w14:paraId="02860F0F" w14:textId="56F870D9" w:rsidR="00110BE2" w:rsidRPr="007A64BE" w:rsidRDefault="00110BE2" w:rsidP="00110BE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 xml:space="preserve">Sin </w:t>
      </w:r>
      <w:r w:rsidR="004220DB">
        <w:rPr>
          <w:rFonts w:asciiTheme="majorHAnsi" w:hAnsiTheme="majorHAnsi"/>
          <w:sz w:val="20"/>
          <w:szCs w:val="20"/>
        </w:rPr>
        <w:t>indicar</w:t>
      </w:r>
      <w:r w:rsidRPr="007A64BE">
        <w:rPr>
          <w:rFonts w:asciiTheme="majorHAnsi" w:hAnsiTheme="majorHAnsi"/>
          <w:sz w:val="20"/>
          <w:szCs w:val="20"/>
        </w:rPr>
        <w:t xml:space="preserve"> la fecha, </w:t>
      </w:r>
      <w:r w:rsidR="00420166">
        <w:rPr>
          <w:rFonts w:asciiTheme="majorHAnsi" w:hAnsiTheme="majorHAnsi"/>
          <w:sz w:val="20"/>
          <w:szCs w:val="20"/>
        </w:rPr>
        <w:t>el peticionario</w:t>
      </w:r>
      <w:r w:rsidR="009821CF">
        <w:rPr>
          <w:rFonts w:asciiTheme="majorHAnsi" w:hAnsiTheme="majorHAnsi"/>
          <w:sz w:val="20"/>
          <w:szCs w:val="20"/>
        </w:rPr>
        <w:t xml:space="preserve"> </w:t>
      </w:r>
      <w:r w:rsidRPr="007A64BE">
        <w:rPr>
          <w:rFonts w:asciiTheme="majorHAnsi" w:hAnsiTheme="majorHAnsi"/>
          <w:sz w:val="20"/>
          <w:szCs w:val="20"/>
        </w:rPr>
        <w:t xml:space="preserve">señala que las presuntas víctimas acudieron a la Procuraduría de los Derechos Humanos y a la Comisión de Paz y Desminado del Congreso de la República, que intercedieron para facilitar la comunicación con el PNR. Como resultado, el 15 de junio de 2009 una comisión integrada por representantes de estas tres entidades visitó la comunidad vecina de Chisis. Durante la visita, a solicitud del delegado de la Procuraduría, se habilitó un aula escolar para establecer contacto con las autoridades del PNR en la ciudad de Guatemala. Sin embargo, </w:t>
      </w:r>
      <w:r w:rsidR="00515DF3" w:rsidRPr="007A64BE">
        <w:rPr>
          <w:rFonts w:asciiTheme="majorHAnsi" w:hAnsiTheme="majorHAnsi"/>
          <w:sz w:val="20"/>
          <w:szCs w:val="20"/>
        </w:rPr>
        <w:t xml:space="preserve">menciona que </w:t>
      </w:r>
      <w:r w:rsidRPr="007A64BE">
        <w:rPr>
          <w:rFonts w:asciiTheme="majorHAnsi" w:hAnsiTheme="majorHAnsi"/>
          <w:sz w:val="20"/>
          <w:szCs w:val="20"/>
        </w:rPr>
        <w:t xml:space="preserve">el 16 de junio de 2009, el PNR denunció ante el Ministerio Público de Nebaj </w:t>
      </w:r>
      <w:r w:rsidR="00515DF3" w:rsidRPr="007A64BE">
        <w:rPr>
          <w:rFonts w:asciiTheme="majorHAnsi" w:hAnsiTheme="majorHAnsi"/>
          <w:sz w:val="20"/>
          <w:szCs w:val="20"/>
        </w:rPr>
        <w:t xml:space="preserve">a </w:t>
      </w:r>
      <w:r w:rsidRPr="007A64BE">
        <w:rPr>
          <w:rFonts w:asciiTheme="majorHAnsi" w:hAnsiTheme="majorHAnsi"/>
          <w:sz w:val="20"/>
          <w:szCs w:val="20"/>
        </w:rPr>
        <w:t xml:space="preserve">los representantes de las comunidades campesinas que participaron en la reunión, por presunta retención ilegal. Añade que, </w:t>
      </w:r>
      <w:r w:rsidR="000D19C6">
        <w:rPr>
          <w:rFonts w:asciiTheme="majorHAnsi" w:hAnsiTheme="majorHAnsi"/>
          <w:sz w:val="20"/>
          <w:szCs w:val="20"/>
        </w:rPr>
        <w:t xml:space="preserve">las presuntas víctimas se comunicaron con los denunciantes y confirmaron </w:t>
      </w:r>
      <w:r w:rsidRPr="007A64BE">
        <w:rPr>
          <w:rFonts w:asciiTheme="majorHAnsi" w:hAnsiTheme="majorHAnsi"/>
          <w:sz w:val="20"/>
          <w:szCs w:val="20"/>
        </w:rPr>
        <w:t>que se trató de un acto de criminalización por su legítima exigencia de justicia.</w:t>
      </w:r>
    </w:p>
    <w:p w14:paraId="67A2F715" w14:textId="5BDE844B" w:rsidR="008232E7" w:rsidRPr="007A64BE" w:rsidRDefault="008232E7" w:rsidP="008E61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sz w:val="20"/>
          <w:szCs w:val="20"/>
        </w:rPr>
      </w:pPr>
      <w:r w:rsidRPr="007A64BE">
        <w:rPr>
          <w:rFonts w:asciiTheme="majorHAnsi" w:hAnsiTheme="majorHAnsi"/>
          <w:i/>
          <w:iCs/>
          <w:sz w:val="20"/>
          <w:szCs w:val="20"/>
        </w:rPr>
        <w:t>Consideraciones finales</w:t>
      </w:r>
    </w:p>
    <w:p w14:paraId="7B830B14" w14:textId="3AEDCA27" w:rsidR="008E61FA" w:rsidRPr="00420166" w:rsidRDefault="005D2C80" w:rsidP="0042016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 xml:space="preserve">Con base en los hechos expuestos, </w:t>
      </w:r>
      <w:r w:rsidR="008E61FA" w:rsidRPr="00420166">
        <w:rPr>
          <w:rFonts w:asciiTheme="majorHAnsi" w:hAnsiTheme="majorHAnsi"/>
          <w:sz w:val="20"/>
          <w:szCs w:val="20"/>
        </w:rPr>
        <w:t xml:space="preserve">denuncia que el </w:t>
      </w:r>
      <w:r w:rsidR="00D6772B" w:rsidRPr="00420166">
        <w:rPr>
          <w:rFonts w:asciiTheme="majorHAnsi" w:hAnsiTheme="majorHAnsi"/>
          <w:sz w:val="20"/>
          <w:szCs w:val="20"/>
        </w:rPr>
        <w:t>E</w:t>
      </w:r>
      <w:r w:rsidRPr="00420166">
        <w:rPr>
          <w:rFonts w:asciiTheme="majorHAnsi" w:hAnsiTheme="majorHAnsi"/>
          <w:sz w:val="20"/>
          <w:szCs w:val="20"/>
        </w:rPr>
        <w:t>stado de Guatemala</w:t>
      </w:r>
      <w:r w:rsidR="008E61FA" w:rsidRPr="00420166">
        <w:rPr>
          <w:rFonts w:asciiTheme="majorHAnsi" w:hAnsiTheme="majorHAnsi"/>
          <w:sz w:val="20"/>
          <w:szCs w:val="20"/>
        </w:rPr>
        <w:t xml:space="preserve"> ha excluido</w:t>
      </w:r>
      <w:r w:rsidRPr="00420166">
        <w:rPr>
          <w:rFonts w:asciiTheme="majorHAnsi" w:hAnsiTheme="majorHAnsi"/>
          <w:sz w:val="20"/>
          <w:szCs w:val="20"/>
        </w:rPr>
        <w:t xml:space="preserve"> injustificadamente a la comunidad campesina</w:t>
      </w:r>
      <w:r w:rsidR="008E61FA" w:rsidRPr="00420166">
        <w:rPr>
          <w:rFonts w:asciiTheme="majorHAnsi" w:hAnsiTheme="majorHAnsi"/>
          <w:sz w:val="20"/>
          <w:szCs w:val="20"/>
        </w:rPr>
        <w:t xml:space="preserve"> de una reparación digna, a pesar de que</w:t>
      </w:r>
      <w:r w:rsidRPr="00420166">
        <w:rPr>
          <w:rFonts w:asciiTheme="majorHAnsi" w:hAnsiTheme="majorHAnsi"/>
          <w:sz w:val="20"/>
          <w:szCs w:val="20"/>
        </w:rPr>
        <w:t xml:space="preserve"> por sus propios medios</w:t>
      </w:r>
      <w:r w:rsidR="008E61FA" w:rsidRPr="00420166">
        <w:rPr>
          <w:rFonts w:asciiTheme="majorHAnsi" w:hAnsiTheme="majorHAnsi"/>
          <w:sz w:val="20"/>
          <w:szCs w:val="20"/>
        </w:rPr>
        <w:t xml:space="preserve"> </w:t>
      </w:r>
      <w:r w:rsidRPr="00420166">
        <w:rPr>
          <w:rFonts w:asciiTheme="majorHAnsi" w:hAnsiTheme="majorHAnsi"/>
          <w:sz w:val="20"/>
          <w:szCs w:val="20"/>
        </w:rPr>
        <w:t xml:space="preserve">elaboraron </w:t>
      </w:r>
      <w:r w:rsidR="008E61FA" w:rsidRPr="00420166">
        <w:rPr>
          <w:rFonts w:asciiTheme="majorHAnsi" w:hAnsiTheme="majorHAnsi"/>
          <w:sz w:val="20"/>
          <w:szCs w:val="20"/>
        </w:rPr>
        <w:t xml:space="preserve">los registros y diagnósticos exigidos por </w:t>
      </w:r>
      <w:r w:rsidR="00421430" w:rsidRPr="00420166">
        <w:rPr>
          <w:rFonts w:asciiTheme="majorHAnsi" w:hAnsiTheme="majorHAnsi"/>
          <w:sz w:val="20"/>
          <w:szCs w:val="20"/>
        </w:rPr>
        <w:t>el PNR</w:t>
      </w:r>
      <w:r w:rsidR="00874795" w:rsidRPr="00420166">
        <w:rPr>
          <w:rFonts w:asciiTheme="majorHAnsi" w:hAnsiTheme="majorHAnsi"/>
          <w:sz w:val="20"/>
          <w:szCs w:val="20"/>
        </w:rPr>
        <w:t>, revictimizando a la comunidad campesina.</w:t>
      </w:r>
      <w:r w:rsidR="008E61FA" w:rsidRPr="00420166">
        <w:rPr>
          <w:rFonts w:asciiTheme="majorHAnsi" w:hAnsiTheme="majorHAnsi"/>
          <w:sz w:val="20"/>
          <w:szCs w:val="20"/>
        </w:rPr>
        <w:t xml:space="preserve"> </w:t>
      </w:r>
      <w:r w:rsidRPr="00420166">
        <w:rPr>
          <w:rFonts w:asciiTheme="majorHAnsi" w:hAnsiTheme="majorHAnsi"/>
          <w:sz w:val="20"/>
          <w:szCs w:val="20"/>
        </w:rPr>
        <w:t>Subraya</w:t>
      </w:r>
      <w:r w:rsidR="008E61FA" w:rsidRPr="00420166">
        <w:rPr>
          <w:rFonts w:asciiTheme="majorHAnsi" w:hAnsiTheme="majorHAnsi"/>
          <w:sz w:val="20"/>
          <w:szCs w:val="20"/>
        </w:rPr>
        <w:t xml:space="preserve"> </w:t>
      </w:r>
      <w:r w:rsidRPr="00420166">
        <w:rPr>
          <w:rFonts w:asciiTheme="majorHAnsi" w:hAnsiTheme="majorHAnsi"/>
          <w:sz w:val="20"/>
          <w:szCs w:val="20"/>
        </w:rPr>
        <w:t>que esta exclusión afecta no solo a quienes sobrevivieron, sino también a sus hijos y nietos, quienes merecen mejores condiciones de vida que aquellas que enfrentaron quienes vivieron la violencia.</w:t>
      </w:r>
    </w:p>
    <w:p w14:paraId="7892AF75" w14:textId="795C2484" w:rsidR="005852F5" w:rsidRPr="007A64BE" w:rsidRDefault="005852F5" w:rsidP="005852F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lastRenderedPageBreak/>
        <w:t>Señala que han transcurrido más de 29 años desde los hechos y que muchas de las víctimas actuales son personas ancianas, enfermas o que han fallecido sin recibir atención alguna del Estado. Considera que esta situación constituye una forma de discriminación expresa</w:t>
      </w:r>
      <w:r w:rsidR="00515DF3" w:rsidRPr="007A64BE">
        <w:rPr>
          <w:rFonts w:asciiTheme="majorHAnsi" w:hAnsiTheme="majorHAnsi"/>
          <w:sz w:val="20"/>
          <w:szCs w:val="20"/>
        </w:rPr>
        <w:t xml:space="preserve"> a las comunidades</w:t>
      </w:r>
      <w:r w:rsidRPr="007A64BE">
        <w:rPr>
          <w:rFonts w:asciiTheme="majorHAnsi" w:hAnsiTheme="majorHAnsi"/>
          <w:sz w:val="20"/>
          <w:szCs w:val="20"/>
        </w:rPr>
        <w:t>, al ser desfavorecidos en el acceso a las medidas que el Estado de Guatemala está obligado a garantizar a todas las víctimas sobrevivientes del conflicto armado.</w:t>
      </w:r>
    </w:p>
    <w:p w14:paraId="0EA44488" w14:textId="6DEE7993" w:rsidR="004D3E0B" w:rsidRDefault="004D3E0B" w:rsidP="00C13F6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4D3E0B">
        <w:rPr>
          <w:rFonts w:asciiTheme="majorHAnsi" w:hAnsiTheme="majorHAnsi"/>
          <w:sz w:val="20"/>
          <w:szCs w:val="20"/>
        </w:rPr>
        <w:t>La parte peticionaria resalta que pese a haber presentado una solicitud formal ante el PNR sin obtener respuesta, no existen otros mecanismos legales a los que puedan recurrir, dado que el proceso de reparación carece de regulación legal. A su juicio, ello evidencia una falta de voluntad política para garantizar una reparación efectiva</w:t>
      </w:r>
      <w:r>
        <w:rPr>
          <w:rFonts w:asciiTheme="majorHAnsi" w:hAnsiTheme="majorHAnsi"/>
          <w:sz w:val="20"/>
          <w:szCs w:val="20"/>
        </w:rPr>
        <w:t xml:space="preserve">. </w:t>
      </w:r>
      <w:r w:rsidRPr="004D3E0B">
        <w:rPr>
          <w:rFonts w:asciiTheme="majorHAnsi" w:hAnsiTheme="majorHAnsi"/>
          <w:sz w:val="20"/>
          <w:szCs w:val="20"/>
        </w:rPr>
        <w:t>Añade</w:t>
      </w:r>
      <w:r>
        <w:rPr>
          <w:rFonts w:asciiTheme="majorHAnsi" w:hAnsiTheme="majorHAnsi"/>
          <w:sz w:val="20"/>
          <w:szCs w:val="20"/>
        </w:rPr>
        <w:t xml:space="preserve"> que, sin detallar cuáles,</w:t>
      </w:r>
      <w:r w:rsidRPr="004D3E0B">
        <w:rPr>
          <w:rFonts w:asciiTheme="majorHAnsi" w:hAnsiTheme="majorHAnsi"/>
          <w:sz w:val="20"/>
          <w:szCs w:val="20"/>
        </w:rPr>
        <w:t xml:space="preserve"> las medidas adoptadas han sido parciales, poco transparentes y han politizado el derecho a la reparación.</w:t>
      </w:r>
    </w:p>
    <w:p w14:paraId="0F56A679" w14:textId="7E80C7C1" w:rsidR="00937720" w:rsidRPr="007A64BE" w:rsidRDefault="00937720" w:rsidP="00C13F6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 xml:space="preserve">Finalmente, manifiesta que las presuntas víctimas </w:t>
      </w:r>
      <w:r w:rsidR="002B3912" w:rsidRPr="007A64BE">
        <w:rPr>
          <w:rFonts w:asciiTheme="majorHAnsi" w:hAnsiTheme="majorHAnsi"/>
          <w:sz w:val="20"/>
          <w:szCs w:val="20"/>
        </w:rPr>
        <w:t xml:space="preserve">actualmente </w:t>
      </w:r>
      <w:r w:rsidR="005F555F" w:rsidRPr="007A64BE">
        <w:rPr>
          <w:rFonts w:asciiTheme="majorHAnsi" w:hAnsiTheme="majorHAnsi"/>
          <w:sz w:val="20"/>
          <w:szCs w:val="20"/>
        </w:rPr>
        <w:t xml:space="preserve">sienten </w:t>
      </w:r>
      <w:r w:rsidRPr="007A64BE">
        <w:rPr>
          <w:rFonts w:asciiTheme="majorHAnsi" w:hAnsiTheme="majorHAnsi"/>
          <w:sz w:val="20"/>
          <w:szCs w:val="20"/>
        </w:rPr>
        <w:t xml:space="preserve">temor por la remilitarización de la región tras la autorización del proyecto hidroeléctrico Palo Viejo, pese a su oposición. Denuncia que el Estado ha desplegado tropas para proteger el proyecto generando un clima de intimidación. </w:t>
      </w:r>
      <w:r w:rsidR="002B3912" w:rsidRPr="007A64BE">
        <w:rPr>
          <w:rFonts w:asciiTheme="majorHAnsi" w:hAnsiTheme="majorHAnsi"/>
          <w:sz w:val="20"/>
          <w:szCs w:val="20"/>
        </w:rPr>
        <w:t>Además</w:t>
      </w:r>
      <w:r w:rsidRPr="007A64BE">
        <w:rPr>
          <w:rFonts w:asciiTheme="majorHAnsi" w:hAnsiTheme="majorHAnsi"/>
          <w:sz w:val="20"/>
          <w:szCs w:val="20"/>
        </w:rPr>
        <w:t>, alerta sobre la explotación de recursos naturales y el riesgo de contaminación de los ríos, mientras sus demandas no han sido atendidas.</w:t>
      </w:r>
    </w:p>
    <w:p w14:paraId="129AF6A6" w14:textId="3AD097D6" w:rsidR="00EF76F5" w:rsidRPr="007A64BE" w:rsidRDefault="00B80BD8"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b/>
          <w:bCs/>
          <w:sz w:val="20"/>
          <w:szCs w:val="20"/>
        </w:rPr>
      </w:pPr>
      <w:r>
        <w:rPr>
          <w:rFonts w:asciiTheme="majorHAnsi" w:hAnsiTheme="majorHAnsi"/>
          <w:b/>
          <w:bCs/>
          <w:sz w:val="20"/>
          <w:szCs w:val="20"/>
        </w:rPr>
        <w:t>El Estado guatemalteco</w:t>
      </w:r>
    </w:p>
    <w:p w14:paraId="5741D5D0" w14:textId="3610B70A" w:rsidR="006D1213" w:rsidRPr="00420166" w:rsidRDefault="00420166" w:rsidP="0042016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El</w:t>
      </w:r>
      <w:r w:rsidR="00D44C80" w:rsidRPr="007A64BE">
        <w:rPr>
          <w:rFonts w:asciiTheme="majorHAnsi" w:hAnsiTheme="majorHAnsi"/>
          <w:sz w:val="20"/>
          <w:szCs w:val="20"/>
        </w:rPr>
        <w:t xml:space="preserve"> Estado sostiene </w:t>
      </w:r>
      <w:r w:rsidR="007C3600" w:rsidRPr="007A64BE">
        <w:rPr>
          <w:rFonts w:asciiTheme="majorHAnsi" w:hAnsiTheme="majorHAnsi"/>
          <w:sz w:val="20"/>
          <w:szCs w:val="20"/>
        </w:rPr>
        <w:t>que no se han agotado los recursos internos en relación con la reparación integral y colectiva reclamada. Señala que la acción constitucional de amparo constituía un recurso idóneo y efectivo para compelir al PNR a pronunciarse dentro de un plazo determinado, especialmente ante el silencio administrativo producido al no responder en los 30 días establecidos. Añade que, de no estar conforme con la eventual decisión</w:t>
      </w:r>
      <w:r w:rsidR="001B0138" w:rsidRPr="007A64BE">
        <w:rPr>
          <w:rFonts w:asciiTheme="majorHAnsi" w:hAnsiTheme="majorHAnsi"/>
          <w:sz w:val="20"/>
          <w:szCs w:val="20"/>
        </w:rPr>
        <w:t xml:space="preserve"> del PNR</w:t>
      </w:r>
      <w:r w:rsidR="007C3600" w:rsidRPr="007A64BE">
        <w:rPr>
          <w:rFonts w:asciiTheme="majorHAnsi" w:hAnsiTheme="majorHAnsi"/>
          <w:sz w:val="20"/>
          <w:szCs w:val="20"/>
        </w:rPr>
        <w:t xml:space="preserve">, </w:t>
      </w:r>
      <w:r>
        <w:rPr>
          <w:rFonts w:asciiTheme="majorHAnsi" w:hAnsiTheme="majorHAnsi"/>
          <w:sz w:val="20"/>
          <w:szCs w:val="20"/>
        </w:rPr>
        <w:t>el peticionario</w:t>
      </w:r>
      <w:r w:rsidR="007C3600" w:rsidRPr="007A64BE">
        <w:rPr>
          <w:rFonts w:asciiTheme="majorHAnsi" w:hAnsiTheme="majorHAnsi"/>
          <w:sz w:val="20"/>
          <w:szCs w:val="20"/>
        </w:rPr>
        <w:t xml:space="preserve"> contaba con los recursos de revocatoria y reposición. Por tanto, considera que la falta de interposición de dichos recursos impidió al Estado resolver la situación en sede interna.</w:t>
      </w:r>
      <w:r w:rsidR="006D1213" w:rsidRPr="007A64BE">
        <w:rPr>
          <w:rFonts w:asciiTheme="majorHAnsi" w:hAnsiTheme="majorHAnsi"/>
          <w:sz w:val="20"/>
          <w:szCs w:val="20"/>
        </w:rPr>
        <w:t xml:space="preserve"> </w:t>
      </w:r>
      <w:r w:rsidR="004A029C">
        <w:rPr>
          <w:rFonts w:asciiTheme="majorHAnsi" w:hAnsiTheme="majorHAnsi"/>
          <w:sz w:val="20"/>
          <w:szCs w:val="20"/>
        </w:rPr>
        <w:t>Precisa</w:t>
      </w:r>
      <w:r w:rsidR="006D1213" w:rsidRPr="007A64BE">
        <w:rPr>
          <w:rFonts w:asciiTheme="majorHAnsi" w:hAnsiTheme="majorHAnsi"/>
          <w:sz w:val="20"/>
          <w:szCs w:val="20"/>
        </w:rPr>
        <w:t xml:space="preserve"> que, desde la presentación de la solicitud </w:t>
      </w:r>
      <w:r w:rsidR="006D1213" w:rsidRPr="00420166">
        <w:rPr>
          <w:rFonts w:asciiTheme="majorHAnsi" w:hAnsiTheme="majorHAnsi"/>
          <w:sz w:val="20"/>
          <w:szCs w:val="20"/>
        </w:rPr>
        <w:t>de las presuntas víctimas el 9 de diciembre de 2008, transcurrieron más de tres años sin que se haya interpuesto la acción constitucional de amparo.</w:t>
      </w:r>
    </w:p>
    <w:p w14:paraId="44E0E4EF" w14:textId="715CEBF1" w:rsidR="001B0138" w:rsidRPr="007A64BE" w:rsidRDefault="00B83FCE" w:rsidP="001B013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Asimismo, e</w:t>
      </w:r>
      <w:r w:rsidR="001B0138" w:rsidRPr="007A64BE">
        <w:rPr>
          <w:rFonts w:asciiTheme="majorHAnsi" w:hAnsiTheme="majorHAnsi"/>
          <w:sz w:val="20"/>
          <w:szCs w:val="20"/>
        </w:rPr>
        <w:t>l Estado afirma que la parte peticionaria no ha justificado la aplicación de la excepción prevista en el artículo 31.2.b</w:t>
      </w:r>
      <w:r w:rsidR="00082E91">
        <w:rPr>
          <w:rFonts w:asciiTheme="majorHAnsi" w:hAnsiTheme="majorHAnsi"/>
          <w:sz w:val="20"/>
          <w:szCs w:val="20"/>
        </w:rPr>
        <w:t>)</w:t>
      </w:r>
      <w:r w:rsidR="001B0138" w:rsidRPr="007A64BE">
        <w:rPr>
          <w:rFonts w:asciiTheme="majorHAnsi" w:hAnsiTheme="majorHAnsi"/>
          <w:sz w:val="20"/>
          <w:szCs w:val="20"/>
        </w:rPr>
        <w:t xml:space="preserve"> del Reglamento de la Comisión, </w:t>
      </w:r>
      <w:r w:rsidR="00E30355">
        <w:rPr>
          <w:rFonts w:asciiTheme="majorHAnsi" w:hAnsiTheme="majorHAnsi"/>
          <w:sz w:val="20"/>
          <w:szCs w:val="20"/>
        </w:rPr>
        <w:t xml:space="preserve">relativa al impedimento a las presuntas víctimas de acceder a los recursos judiciales, </w:t>
      </w:r>
      <w:r w:rsidR="001B0138" w:rsidRPr="007A64BE">
        <w:rPr>
          <w:rFonts w:asciiTheme="majorHAnsi" w:hAnsiTheme="majorHAnsi"/>
          <w:sz w:val="20"/>
          <w:szCs w:val="20"/>
        </w:rPr>
        <w:t xml:space="preserve">ni ha alegado </w:t>
      </w:r>
      <w:r w:rsidR="00E30355">
        <w:rPr>
          <w:rFonts w:asciiTheme="majorHAnsi" w:hAnsiTheme="majorHAnsi"/>
          <w:sz w:val="20"/>
          <w:szCs w:val="20"/>
        </w:rPr>
        <w:t>obstáculo</w:t>
      </w:r>
      <w:r w:rsidR="001B0138" w:rsidRPr="007A64BE">
        <w:rPr>
          <w:rFonts w:asciiTheme="majorHAnsi" w:hAnsiTheme="majorHAnsi"/>
          <w:sz w:val="20"/>
          <w:szCs w:val="20"/>
        </w:rPr>
        <w:t xml:space="preserve"> alguno para acceder o agotar la acción constitucional de amparo. </w:t>
      </w:r>
      <w:r w:rsidR="004E47F3" w:rsidRPr="007A64BE">
        <w:rPr>
          <w:rFonts w:asciiTheme="majorHAnsi" w:hAnsiTheme="majorHAnsi"/>
          <w:sz w:val="20"/>
          <w:szCs w:val="20"/>
        </w:rPr>
        <w:t>Argumenta</w:t>
      </w:r>
      <w:r w:rsidR="001B0138" w:rsidRPr="007A64BE">
        <w:rPr>
          <w:rFonts w:asciiTheme="majorHAnsi" w:hAnsiTheme="majorHAnsi"/>
          <w:sz w:val="20"/>
          <w:szCs w:val="20"/>
        </w:rPr>
        <w:t xml:space="preserve"> que el ordenamiento jurídico interno contempla recursos adecuados y eficaces para atender las alegaciones formuladas, por lo que la falta de agotamiento no puede ser atribuida al Estado.</w:t>
      </w:r>
    </w:p>
    <w:p w14:paraId="2C3FE48F" w14:textId="6CA6F56F" w:rsidR="001B0138" w:rsidRPr="007A64BE" w:rsidRDefault="005A0E0B" w:rsidP="001B013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Además</w:t>
      </w:r>
      <w:r w:rsidR="001B0138" w:rsidRPr="007A64BE">
        <w:rPr>
          <w:rFonts w:asciiTheme="majorHAnsi" w:hAnsiTheme="majorHAnsi"/>
          <w:sz w:val="20"/>
          <w:szCs w:val="20"/>
        </w:rPr>
        <w:t xml:space="preserve">, </w:t>
      </w:r>
      <w:r w:rsidR="0026464B" w:rsidRPr="007A64BE">
        <w:rPr>
          <w:rFonts w:asciiTheme="majorHAnsi" w:hAnsiTheme="majorHAnsi"/>
          <w:sz w:val="20"/>
          <w:szCs w:val="20"/>
        </w:rPr>
        <w:t>refiere</w:t>
      </w:r>
      <w:r w:rsidR="001B0138" w:rsidRPr="007A64BE">
        <w:rPr>
          <w:rFonts w:asciiTheme="majorHAnsi" w:hAnsiTheme="majorHAnsi"/>
          <w:sz w:val="20"/>
          <w:szCs w:val="20"/>
        </w:rPr>
        <w:t xml:space="preserve"> que </w:t>
      </w:r>
      <w:r w:rsidR="00420166">
        <w:rPr>
          <w:rFonts w:asciiTheme="majorHAnsi" w:hAnsiTheme="majorHAnsi"/>
          <w:sz w:val="20"/>
          <w:szCs w:val="20"/>
        </w:rPr>
        <w:t>el peticionario</w:t>
      </w:r>
      <w:r w:rsidR="001B0138" w:rsidRPr="007A64BE">
        <w:rPr>
          <w:rFonts w:asciiTheme="majorHAnsi" w:hAnsiTheme="majorHAnsi"/>
          <w:sz w:val="20"/>
          <w:szCs w:val="20"/>
        </w:rPr>
        <w:t xml:space="preserve"> incumplió con el requisito de temporalidad al presentar la petición de forma extemporánea ante la Comisión. A su juicio, no resulta razonable aplicar una excepción al plazo previsto en el artículo 32 del Reglamento de la CIDH, dado que existían recursos internos adecuados y eficaces que no fueron debidamente interpuestos por las presuntas víctimas.</w:t>
      </w:r>
    </w:p>
    <w:p w14:paraId="07BE7453" w14:textId="348258A8" w:rsidR="00BF32EE" w:rsidRPr="00BF32EE" w:rsidRDefault="00420166" w:rsidP="00D7157C">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sz w:val="20"/>
          <w:szCs w:val="20"/>
          <w:lang w:val="es-ES"/>
        </w:rPr>
      </w:pPr>
      <w:r>
        <w:rPr>
          <w:rFonts w:asciiTheme="majorHAnsi" w:eastAsia="Arial Unicode MS" w:hAnsiTheme="majorHAnsi" w:cs="Times New Roman"/>
          <w:color w:val="auto"/>
          <w:sz w:val="20"/>
          <w:szCs w:val="20"/>
          <w:lang w:val="es-ES" w:eastAsia="en-US"/>
        </w:rPr>
        <w:t>Adicionalmente</w:t>
      </w:r>
      <w:r w:rsidR="005A0E0B">
        <w:rPr>
          <w:rFonts w:asciiTheme="majorHAnsi" w:eastAsia="Arial Unicode MS" w:hAnsiTheme="majorHAnsi" w:cs="Times New Roman"/>
          <w:color w:val="auto"/>
          <w:sz w:val="20"/>
          <w:szCs w:val="20"/>
          <w:lang w:val="es-ES" w:eastAsia="en-US"/>
        </w:rPr>
        <w:t>, e</w:t>
      </w:r>
      <w:r w:rsidR="00BF32EE" w:rsidRPr="00BF32EE">
        <w:rPr>
          <w:rFonts w:asciiTheme="majorHAnsi" w:eastAsia="Arial Unicode MS" w:hAnsiTheme="majorHAnsi" w:cs="Times New Roman"/>
          <w:color w:val="auto"/>
          <w:sz w:val="20"/>
          <w:szCs w:val="20"/>
          <w:lang w:val="es-ES" w:eastAsia="en-US"/>
        </w:rPr>
        <w:t xml:space="preserve">l Estado de Guatemala sostiene que aunque </w:t>
      </w:r>
      <w:r>
        <w:rPr>
          <w:rFonts w:asciiTheme="majorHAnsi" w:eastAsia="Arial Unicode MS" w:hAnsiTheme="majorHAnsi" w:cs="Times New Roman"/>
          <w:color w:val="auto"/>
          <w:sz w:val="20"/>
          <w:szCs w:val="20"/>
          <w:lang w:val="es-ES" w:eastAsia="en-US"/>
        </w:rPr>
        <w:t>en la petición se</w:t>
      </w:r>
      <w:r w:rsidR="00BF32EE" w:rsidRPr="00BF32EE">
        <w:rPr>
          <w:rFonts w:asciiTheme="majorHAnsi" w:eastAsia="Arial Unicode MS" w:hAnsiTheme="majorHAnsi" w:cs="Times New Roman"/>
          <w:color w:val="auto"/>
          <w:sz w:val="20"/>
          <w:szCs w:val="20"/>
          <w:lang w:val="es-ES" w:eastAsia="en-US"/>
        </w:rPr>
        <w:t xml:space="preserve"> afirma </w:t>
      </w:r>
      <w:r>
        <w:rPr>
          <w:rFonts w:asciiTheme="majorHAnsi" w:eastAsia="Arial Unicode MS" w:hAnsiTheme="majorHAnsi" w:cs="Times New Roman"/>
          <w:color w:val="auto"/>
          <w:sz w:val="20"/>
          <w:szCs w:val="20"/>
          <w:lang w:val="es-ES" w:eastAsia="en-US"/>
        </w:rPr>
        <w:t xml:space="preserve">que sev </w:t>
      </w:r>
      <w:r w:rsidR="00BF32EE" w:rsidRPr="00BF32EE">
        <w:rPr>
          <w:rFonts w:asciiTheme="majorHAnsi" w:eastAsia="Arial Unicode MS" w:hAnsiTheme="majorHAnsi" w:cs="Times New Roman"/>
          <w:color w:val="auto"/>
          <w:sz w:val="20"/>
          <w:szCs w:val="20"/>
          <w:lang w:val="es-ES" w:eastAsia="en-US"/>
        </w:rPr>
        <w:t xml:space="preserve">representa a 104 familias </w:t>
      </w:r>
      <w:r w:rsidR="001042D1" w:rsidRPr="001042D1">
        <w:rPr>
          <w:rFonts w:asciiTheme="majorHAnsi" w:eastAsia="Arial Unicode MS" w:hAnsiTheme="majorHAnsi" w:cs="Times New Roman"/>
          <w:color w:val="auto"/>
          <w:sz w:val="20"/>
          <w:szCs w:val="20"/>
          <w:lang w:val="es-ES" w:eastAsia="en-US"/>
        </w:rPr>
        <w:t>–</w:t>
      </w:r>
      <w:r w:rsidR="00BF32EE" w:rsidRPr="00BF32EE">
        <w:rPr>
          <w:rFonts w:asciiTheme="majorHAnsi" w:eastAsia="Arial Unicode MS" w:hAnsiTheme="majorHAnsi" w:cs="Times New Roman"/>
          <w:color w:val="auto"/>
          <w:sz w:val="20"/>
          <w:szCs w:val="20"/>
          <w:lang w:val="es-ES" w:eastAsia="en-US"/>
        </w:rPr>
        <w:t>494 personas en total</w:t>
      </w:r>
      <w:r w:rsidR="001042D1" w:rsidRPr="001042D1">
        <w:rPr>
          <w:rFonts w:asciiTheme="majorHAnsi" w:eastAsia="Arial Unicode MS" w:hAnsiTheme="majorHAnsi" w:cs="Times New Roman"/>
          <w:color w:val="auto"/>
          <w:sz w:val="20"/>
          <w:szCs w:val="20"/>
          <w:lang w:val="es-ES" w:eastAsia="en-US"/>
        </w:rPr>
        <w:t>–,</w:t>
      </w:r>
      <w:r w:rsidR="00BF32EE" w:rsidRPr="00BF32EE">
        <w:rPr>
          <w:rFonts w:asciiTheme="majorHAnsi" w:eastAsia="Arial Unicode MS" w:hAnsiTheme="majorHAnsi" w:cs="Times New Roman"/>
          <w:color w:val="auto"/>
          <w:sz w:val="20"/>
          <w:szCs w:val="20"/>
          <w:lang w:val="es-ES" w:eastAsia="en-US"/>
        </w:rPr>
        <w:t xml:space="preserve"> no </w:t>
      </w:r>
      <w:r>
        <w:rPr>
          <w:rFonts w:asciiTheme="majorHAnsi" w:eastAsia="Arial Unicode MS" w:hAnsiTheme="majorHAnsi" w:cs="Times New Roman"/>
          <w:color w:val="auto"/>
          <w:sz w:val="20"/>
          <w:szCs w:val="20"/>
          <w:lang w:val="es-ES" w:eastAsia="en-US"/>
        </w:rPr>
        <w:t xml:space="preserve">se </w:t>
      </w:r>
      <w:r w:rsidR="00BF32EE" w:rsidRPr="00BF32EE">
        <w:rPr>
          <w:rFonts w:asciiTheme="majorHAnsi" w:eastAsia="Arial Unicode MS" w:hAnsiTheme="majorHAnsi" w:cs="Times New Roman"/>
          <w:color w:val="auto"/>
          <w:sz w:val="20"/>
          <w:szCs w:val="20"/>
          <w:lang w:val="es-ES" w:eastAsia="en-US"/>
        </w:rPr>
        <w:t xml:space="preserve">ha aportado nombres ni referencias que permitan individualizarlas, de modo que los hechos alegados resultan abstractos. Añade que los documentos de identidad presentados están vencidos conforme a la normativa interna, lo que impide verificar la identidad de los supuestos afectados. Por ello, solicita que se remita un listado que precise e identifique a cada presunta víctima, dado que la parte peticionaria no lo presentó. El Estado considera que la CIDH debe aplicar criterios estrictos </w:t>
      </w:r>
      <w:r w:rsidR="00BF32EE">
        <w:rPr>
          <w:rFonts w:asciiTheme="majorHAnsi" w:eastAsia="Arial Unicode MS" w:hAnsiTheme="majorHAnsi" w:cs="Times New Roman"/>
          <w:color w:val="auto"/>
          <w:sz w:val="20"/>
          <w:szCs w:val="20"/>
          <w:lang w:val="es-ES" w:eastAsia="en-US"/>
        </w:rPr>
        <w:t xml:space="preserve">y </w:t>
      </w:r>
      <w:r w:rsidR="00BF32EE" w:rsidRPr="00BF32EE">
        <w:rPr>
          <w:rFonts w:asciiTheme="majorHAnsi" w:eastAsia="Arial Unicode MS" w:hAnsiTheme="majorHAnsi" w:cs="Times New Roman"/>
          <w:color w:val="auto"/>
          <w:sz w:val="20"/>
          <w:szCs w:val="20"/>
          <w:lang w:val="es-ES" w:eastAsia="en-US"/>
        </w:rPr>
        <w:t>no flexibles</w:t>
      </w:r>
      <w:r w:rsidR="00BF32EE">
        <w:rPr>
          <w:rFonts w:asciiTheme="majorHAnsi" w:eastAsia="Arial Unicode MS" w:hAnsiTheme="majorHAnsi" w:cs="Times New Roman"/>
          <w:color w:val="auto"/>
          <w:sz w:val="20"/>
          <w:szCs w:val="20"/>
          <w:lang w:val="es-ES" w:eastAsia="en-US"/>
        </w:rPr>
        <w:t xml:space="preserve"> </w:t>
      </w:r>
      <w:r w:rsidR="00BF32EE" w:rsidRPr="00BF32EE">
        <w:rPr>
          <w:rFonts w:asciiTheme="majorHAnsi" w:eastAsia="Arial Unicode MS" w:hAnsiTheme="majorHAnsi" w:cs="Times New Roman"/>
          <w:color w:val="auto"/>
          <w:sz w:val="20"/>
          <w:szCs w:val="20"/>
          <w:lang w:val="es-ES" w:eastAsia="en-US"/>
        </w:rPr>
        <w:t>para dicha identificación, pues el Comité de Víctimas tiene plena capacidad para individualizar a sus miembros y estos no han alegado impedimentos derivados del carácter masivo de la presunta violación ni de omisiones estatales.</w:t>
      </w:r>
    </w:p>
    <w:p w14:paraId="1CBDC4DF" w14:textId="263276ED" w:rsidR="00D7157C" w:rsidRPr="007A64BE" w:rsidRDefault="00931FC1" w:rsidP="00D7157C">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i/>
          <w:iCs/>
          <w:sz w:val="20"/>
          <w:szCs w:val="20"/>
          <w:lang w:val="es-ES"/>
        </w:rPr>
      </w:pPr>
      <w:r>
        <w:rPr>
          <w:rFonts w:asciiTheme="majorHAnsi" w:hAnsiTheme="majorHAnsi"/>
          <w:sz w:val="20"/>
          <w:szCs w:val="20"/>
          <w:lang w:val="es-ES"/>
        </w:rPr>
        <w:t>Finalmente, i</w:t>
      </w:r>
      <w:r w:rsidR="006206D1" w:rsidRPr="007A64BE">
        <w:rPr>
          <w:rFonts w:asciiTheme="majorHAnsi" w:hAnsiTheme="majorHAnsi"/>
          <w:sz w:val="20"/>
          <w:szCs w:val="20"/>
          <w:lang w:val="es-ES"/>
        </w:rPr>
        <w:t>ndica</w:t>
      </w:r>
      <w:r w:rsidR="004F3EE3" w:rsidRPr="007A64BE">
        <w:rPr>
          <w:rFonts w:asciiTheme="majorHAnsi" w:hAnsiTheme="majorHAnsi"/>
          <w:sz w:val="20"/>
          <w:szCs w:val="20"/>
          <w:lang w:val="es-ES"/>
        </w:rPr>
        <w:t xml:space="preserve"> que el Comité de Víctimas no ha ratificado su vigencia en los registros del municipio de San Juan Cotzal, </w:t>
      </w:r>
      <w:r w:rsidR="000C3A93">
        <w:rPr>
          <w:rFonts w:asciiTheme="majorHAnsi" w:hAnsiTheme="majorHAnsi"/>
          <w:sz w:val="20"/>
          <w:szCs w:val="20"/>
          <w:lang w:val="es-ES"/>
        </w:rPr>
        <w:t xml:space="preserve">por lo que </w:t>
      </w:r>
      <w:r w:rsidR="004F3EE3" w:rsidRPr="007A64BE">
        <w:rPr>
          <w:rFonts w:asciiTheme="majorHAnsi" w:hAnsiTheme="majorHAnsi"/>
          <w:sz w:val="20"/>
          <w:szCs w:val="20"/>
          <w:lang w:val="es-ES"/>
        </w:rPr>
        <w:t>no se puede confirmar si la persona inscrita originalmente como representante conserva actualmente la legitimidad conferida por las comunidades para presentar la presente petición.</w:t>
      </w:r>
    </w:p>
    <w:p w14:paraId="6F4D4171" w14:textId="719A5620" w:rsidR="003239B8" w:rsidRPr="007A64BE" w:rsidRDefault="003239B8" w:rsidP="003239B8">
      <w:pPr>
        <w:spacing w:before="240" w:after="240"/>
        <w:ind w:firstLine="720"/>
        <w:jc w:val="both"/>
        <w:rPr>
          <w:rFonts w:asciiTheme="majorHAnsi" w:hAnsiTheme="majorHAnsi"/>
          <w:sz w:val="20"/>
          <w:szCs w:val="20"/>
        </w:rPr>
      </w:pPr>
      <w:r w:rsidRPr="007A64BE">
        <w:rPr>
          <w:rFonts w:asciiTheme="majorHAnsi" w:eastAsia="Cambria" w:hAnsiTheme="majorHAnsi" w:cs="Cambria"/>
          <w:b/>
          <w:bCs/>
          <w:color w:val="000000"/>
          <w:sz w:val="20"/>
          <w:szCs w:val="20"/>
          <w:u w:color="000000"/>
          <w:lang w:eastAsia="es-ES"/>
        </w:rPr>
        <w:lastRenderedPageBreak/>
        <w:t>VI.</w:t>
      </w:r>
      <w:r w:rsidRPr="007A64BE">
        <w:rPr>
          <w:rFonts w:asciiTheme="majorHAnsi" w:eastAsia="Cambria" w:hAnsiTheme="majorHAnsi" w:cs="Cambria"/>
          <w:b/>
          <w:bCs/>
          <w:color w:val="000000"/>
          <w:sz w:val="20"/>
          <w:szCs w:val="20"/>
          <w:u w:color="000000"/>
          <w:lang w:eastAsia="es-ES"/>
        </w:rPr>
        <w:tab/>
      </w:r>
      <w:r w:rsidR="004A6A54" w:rsidRPr="007A64BE">
        <w:rPr>
          <w:rFonts w:asciiTheme="majorHAnsi" w:hAnsiTheme="majorHAnsi"/>
          <w:b/>
          <w:bCs/>
          <w:sz w:val="20"/>
          <w:szCs w:val="20"/>
        </w:rPr>
        <w:t xml:space="preserve">ANÁLISIS DE </w:t>
      </w:r>
      <w:r w:rsidR="00C21FEF" w:rsidRPr="007A64BE">
        <w:rPr>
          <w:rFonts w:asciiTheme="majorHAnsi" w:hAnsiTheme="majorHAnsi"/>
          <w:b/>
          <w:sz w:val="20"/>
          <w:szCs w:val="20"/>
        </w:rPr>
        <w:t>AGOTAMIENTO DE LOS RECURSOS INTERNOS Y PLAZO DE PRESENTACIÓN</w:t>
      </w:r>
      <w:r w:rsidR="00C21FEF" w:rsidRPr="007A64BE">
        <w:rPr>
          <w:rFonts w:asciiTheme="majorHAnsi" w:eastAsia="Cambria" w:hAnsiTheme="majorHAnsi" w:cs="Cambria"/>
          <w:b/>
          <w:bCs/>
          <w:color w:val="000000"/>
          <w:sz w:val="20"/>
          <w:szCs w:val="20"/>
          <w:u w:color="000000"/>
          <w:lang w:eastAsia="es-ES"/>
        </w:rPr>
        <w:t xml:space="preserve"> </w:t>
      </w:r>
    </w:p>
    <w:p w14:paraId="39B8C81E" w14:textId="1B5A9E8A" w:rsidR="00420166" w:rsidRPr="007F2614" w:rsidRDefault="00420166" w:rsidP="0042016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7F2614">
        <w:rPr>
          <w:rFonts w:asciiTheme="majorHAnsi" w:hAnsiTheme="majorHAnsi"/>
          <w:sz w:val="20"/>
          <w:szCs w:val="20"/>
          <w:lang w:val="es-PE"/>
        </w:rPr>
        <w:t xml:space="preserve">La CIDH recuerda que, conforme a su práctica consolidada, el análisis sobre el agotamiento de recursos internos </w:t>
      </w:r>
      <w:r>
        <w:rPr>
          <w:rFonts w:asciiTheme="majorHAnsi" w:hAnsiTheme="majorHAnsi"/>
          <w:sz w:val="20"/>
          <w:szCs w:val="20"/>
          <w:lang w:val="es-PE"/>
        </w:rPr>
        <w:t>requiere</w:t>
      </w:r>
      <w:r w:rsidRPr="007F2614">
        <w:rPr>
          <w:rFonts w:asciiTheme="majorHAnsi" w:hAnsiTheme="majorHAnsi"/>
          <w:sz w:val="20"/>
          <w:szCs w:val="20"/>
          <w:lang w:val="es-PE"/>
        </w:rPr>
        <w:t xml:space="preserve"> de determinar el objeto específico de la petición. En el presente caso, </w:t>
      </w:r>
      <w:r>
        <w:rPr>
          <w:rFonts w:asciiTheme="majorHAnsi" w:hAnsiTheme="majorHAnsi"/>
          <w:sz w:val="20"/>
          <w:szCs w:val="20"/>
          <w:lang w:val="es-PE"/>
        </w:rPr>
        <w:t>el peticionario</w:t>
      </w:r>
      <w:r w:rsidRPr="007F2614">
        <w:rPr>
          <w:rFonts w:asciiTheme="majorHAnsi" w:hAnsiTheme="majorHAnsi"/>
          <w:sz w:val="20"/>
          <w:szCs w:val="20"/>
          <w:lang w:val="es-PE"/>
        </w:rPr>
        <w:t xml:space="preserve"> cuestiona principalmente la falta de reparación integral por parte del PNR en desmedro de las presuntas víctimas. Con base en ello, considera agotada la jurisdicción interna mediante la presentación del memorial de agravios ante el PNR el 9 de diciembre de 2008, el cual no recibió respuesta.</w:t>
      </w:r>
    </w:p>
    <w:p w14:paraId="45F811A6" w14:textId="77702ED2" w:rsidR="003E089E" w:rsidRPr="003E089E" w:rsidRDefault="00420166" w:rsidP="003E089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eastAsia="Times New Roman" w:hAnsiTheme="majorHAnsi"/>
          <w:sz w:val="20"/>
          <w:szCs w:val="20"/>
          <w:bdr w:val="none" w:sz="0" w:space="0" w:color="auto"/>
          <w:lang w:val="es-PE" w:eastAsia="es-PE"/>
        </w:rPr>
        <w:t>E</w:t>
      </w:r>
      <w:r w:rsidR="00CE5EEF" w:rsidRPr="00CE5EEF">
        <w:rPr>
          <w:rFonts w:asciiTheme="majorHAnsi" w:eastAsia="Times New Roman" w:hAnsiTheme="majorHAnsi"/>
          <w:sz w:val="20"/>
          <w:szCs w:val="20"/>
          <w:bdr w:val="none" w:sz="0" w:space="0" w:color="auto"/>
          <w:lang w:val="es-PE" w:eastAsia="es-PE"/>
        </w:rPr>
        <w:t>l Estado sostiene que las presuntas víctimas debieron interponer la acción constitucional de amparo frente al silencio administrativo del PNR, a fin de obtener una decisión en un plazo razonable. Añade que, una vez emitida una eventual resolución administrativa, también habrían tenido a su disposición los recursos de revocatoria y reposición.</w:t>
      </w:r>
    </w:p>
    <w:p w14:paraId="137A6763" w14:textId="3E9F8706" w:rsidR="003E089E" w:rsidRDefault="003E089E" w:rsidP="003E089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Pr>
          <w:rFonts w:asciiTheme="majorHAnsi" w:hAnsiTheme="majorHAnsi"/>
          <w:sz w:val="20"/>
          <w:szCs w:val="20"/>
        </w:rPr>
        <w:t xml:space="preserve">La </w:t>
      </w:r>
      <w:r w:rsidRPr="003E089E">
        <w:rPr>
          <w:rFonts w:asciiTheme="majorHAnsi" w:hAnsiTheme="majorHAnsi"/>
          <w:sz w:val="20"/>
          <w:szCs w:val="20"/>
        </w:rPr>
        <w:t>Comisión observa que la solicitud de reparación planteada por las presuntas víctimas se fundamenta en las graves violaciones de derechos humanos ocurridas durante el conflicto armado en Guatemala. Dada la naturaleza de dichas vulneraciones, el Estado tenía un deber reforzado de brindar una respuesta efectiva a las personas afectadas una vez tuvo conocimiento de su situación. En ese marco, correspondía a las autoridades actuar oficiosamente a partir de la recepción de la solicitud, sin necesidad de mayores gestiones por parte de las víctimas.</w:t>
      </w:r>
    </w:p>
    <w:p w14:paraId="306ED432" w14:textId="140E0C5A" w:rsidR="001C7EA9" w:rsidRDefault="001C7EA9" w:rsidP="001C7EA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1C7EA9">
        <w:rPr>
          <w:rFonts w:asciiTheme="majorHAnsi" w:hAnsiTheme="majorHAnsi"/>
          <w:sz w:val="20"/>
          <w:szCs w:val="20"/>
        </w:rPr>
        <w:t xml:space="preserve">En este sentido, aun ante la falta de respuesta del PNR, las presuntas víctimas realizaron gestiones ante la Procuraduría de los Derechos Humanos y la Comisión de Paz y Desminado del Congreso de la República, </w:t>
      </w:r>
      <w:r w:rsidR="00EA05C0">
        <w:rPr>
          <w:rFonts w:asciiTheme="majorHAnsi" w:hAnsiTheme="majorHAnsi"/>
          <w:sz w:val="20"/>
          <w:szCs w:val="20"/>
        </w:rPr>
        <w:t xml:space="preserve">las </w:t>
      </w:r>
      <w:r w:rsidRPr="001C7EA9">
        <w:rPr>
          <w:rFonts w:asciiTheme="majorHAnsi" w:hAnsiTheme="majorHAnsi"/>
          <w:sz w:val="20"/>
          <w:szCs w:val="20"/>
        </w:rPr>
        <w:t>que facilitaron la instalación de una mesa de negociación. Como resultado, representantes del PNR visitaron la comunidad el 15 de junio de 2009. Estos hechos permiten a la Comisión concluir que las autoridades estatales estaban debidamente informadas de la situación de las presuntas víctimas.</w:t>
      </w:r>
    </w:p>
    <w:p w14:paraId="78433664" w14:textId="7F791D7B" w:rsidR="001C7EA9" w:rsidRPr="00E42320" w:rsidRDefault="001C7EA9" w:rsidP="001C7EA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1C7EA9">
        <w:rPr>
          <w:rFonts w:asciiTheme="majorHAnsi" w:hAnsiTheme="majorHAnsi"/>
          <w:sz w:val="20"/>
          <w:szCs w:val="20"/>
          <w:lang w:val="es-PE"/>
        </w:rPr>
        <w:t>Adicionalmente, la Comisión ha dado seguimiento al funcionamiento del PNR desde su creación en 2003 y ha advertido de manera reiterada las restricciones presupuestarias, operativas y administrativas que han limitado su alcance. En particular, la CIDH ha expresado su preocupación por la falta de cobertura, la rotación del personal, los requisitos exigidos sin certeza jurídica y la ausencia de criterios claros de selección</w:t>
      </w:r>
      <w:r w:rsidR="00E42320" w:rsidRPr="007A64BE">
        <w:rPr>
          <w:rStyle w:val="FootnoteReference"/>
          <w:rFonts w:asciiTheme="majorHAnsi" w:hAnsiTheme="majorHAnsi"/>
          <w:sz w:val="20"/>
          <w:szCs w:val="20"/>
        </w:rPr>
        <w:footnoteReference w:id="10"/>
      </w:r>
      <w:r w:rsidRPr="001C7EA9">
        <w:rPr>
          <w:rFonts w:asciiTheme="majorHAnsi" w:hAnsiTheme="majorHAnsi"/>
          <w:sz w:val="20"/>
          <w:szCs w:val="20"/>
          <w:lang w:val="es-PE"/>
        </w:rPr>
        <w:t>. Asimismo, en informes anteriores la Comisión documentó que la Procuraduría de Derechos Humanos interpuso una acción de amparo ante el Juez Cuarto de Primera Instancia Civil del departamento de Guatemala, la cual fue concedida el 23 de noviembre de 2016. En dicha sentencia se ordenó al Estado realizar las gestiones necesarias para garantizar la operatividad del programa. La Corte de Constitucionalidad confirmó esta decisión el 17 de enero de 2019. Aunque estos hechos ocurrieron con posterioridad a la presentación de la petición, la Comisión los considera ilustrativos de un patrón estructural de ineficacia institucional que se mantenía desde años antes</w:t>
      </w:r>
      <w:r w:rsidR="005B4310">
        <w:rPr>
          <w:rStyle w:val="FootnoteReference"/>
          <w:rFonts w:asciiTheme="majorHAnsi" w:hAnsiTheme="majorHAnsi"/>
          <w:sz w:val="20"/>
          <w:szCs w:val="20"/>
          <w:lang w:val="es-PE"/>
        </w:rPr>
        <w:footnoteReference w:id="11"/>
      </w:r>
      <w:r w:rsidRPr="001C7EA9">
        <w:rPr>
          <w:rFonts w:asciiTheme="majorHAnsi" w:hAnsiTheme="majorHAnsi"/>
          <w:sz w:val="20"/>
          <w:szCs w:val="20"/>
          <w:lang w:val="es-PE"/>
        </w:rPr>
        <w:t>.</w:t>
      </w:r>
    </w:p>
    <w:p w14:paraId="1FE44F29" w14:textId="1E0BD395" w:rsidR="001C7EA9" w:rsidRDefault="00E42320" w:rsidP="00681DF6">
      <w:pPr>
        <w:pStyle w:val="ListParagraph"/>
        <w:numPr>
          <w:ilvl w:val="0"/>
          <w:numId w:val="103"/>
        </w:numPr>
        <w:jc w:val="both"/>
        <w:rPr>
          <w:rFonts w:asciiTheme="majorHAnsi" w:eastAsia="Arial Unicode MS" w:hAnsiTheme="majorHAnsi" w:cs="Times New Roman"/>
          <w:color w:val="auto"/>
          <w:sz w:val="20"/>
          <w:szCs w:val="20"/>
          <w:lang w:val="es-ES" w:eastAsia="en-US"/>
        </w:rPr>
      </w:pPr>
      <w:r w:rsidRPr="00E42320">
        <w:rPr>
          <w:rFonts w:asciiTheme="majorHAnsi" w:eastAsia="Arial Unicode MS" w:hAnsiTheme="majorHAnsi" w:cs="Times New Roman"/>
          <w:color w:val="auto"/>
          <w:sz w:val="20"/>
          <w:szCs w:val="20"/>
          <w:lang w:val="es-ES" w:eastAsia="en-US"/>
        </w:rPr>
        <w:t>En el presente caso, la Comisión toma nota de que la parte peticionaria intentó acceder al mecanismo de reparación del PNR, pero enfrentó exigencias desproporcionadas y obstáculos documentales difíciles de superar, en un contexto de precariedad, pobreza y alta vulnerabilidad. En tales condiciones, la Comisión considera razonable que las presuntas víctimas no hayan podido completar el proceso ni recurrir formalmente a instancias judiciales adicionales, como las acciones de amparo, revocatoria o reposición</w:t>
      </w:r>
      <w:r w:rsidRPr="007A64BE">
        <w:rPr>
          <w:rStyle w:val="FootnoteReference"/>
          <w:rFonts w:asciiTheme="majorHAnsi" w:hAnsiTheme="majorHAnsi"/>
          <w:sz w:val="20"/>
          <w:szCs w:val="20"/>
        </w:rPr>
        <w:footnoteReference w:id="12"/>
      </w:r>
      <w:r w:rsidRPr="00E42320">
        <w:rPr>
          <w:rFonts w:asciiTheme="majorHAnsi" w:eastAsia="Arial Unicode MS" w:hAnsiTheme="majorHAnsi" w:cs="Times New Roman"/>
          <w:color w:val="auto"/>
          <w:sz w:val="20"/>
          <w:szCs w:val="20"/>
          <w:lang w:val="es-ES" w:eastAsia="en-US"/>
        </w:rPr>
        <w:t>.</w:t>
      </w:r>
    </w:p>
    <w:p w14:paraId="2E7A1F9E" w14:textId="77777777" w:rsidR="00681DF6" w:rsidRDefault="00681DF6" w:rsidP="00681DF6">
      <w:pPr>
        <w:pStyle w:val="ListParagraph"/>
        <w:jc w:val="both"/>
        <w:rPr>
          <w:rFonts w:asciiTheme="majorHAnsi" w:eastAsia="Arial Unicode MS" w:hAnsiTheme="majorHAnsi" w:cs="Times New Roman"/>
          <w:color w:val="auto"/>
          <w:sz w:val="20"/>
          <w:szCs w:val="20"/>
          <w:lang w:val="es-ES" w:eastAsia="en-US"/>
        </w:rPr>
      </w:pPr>
    </w:p>
    <w:p w14:paraId="1F9B27B5" w14:textId="2A11740D" w:rsidR="005B4310" w:rsidRDefault="00681DF6" w:rsidP="005B4310">
      <w:pPr>
        <w:pStyle w:val="ListParagraph"/>
        <w:numPr>
          <w:ilvl w:val="0"/>
          <w:numId w:val="103"/>
        </w:numPr>
        <w:jc w:val="both"/>
        <w:rPr>
          <w:rFonts w:asciiTheme="majorHAnsi" w:eastAsia="Arial Unicode MS" w:hAnsiTheme="majorHAnsi" w:cs="Times New Roman"/>
          <w:color w:val="auto"/>
          <w:sz w:val="20"/>
          <w:szCs w:val="20"/>
          <w:lang w:val="es-ES" w:eastAsia="en-US"/>
        </w:rPr>
      </w:pPr>
      <w:r w:rsidRPr="00681DF6">
        <w:rPr>
          <w:rFonts w:asciiTheme="majorHAnsi" w:eastAsia="Arial Unicode MS" w:hAnsiTheme="majorHAnsi" w:cs="Times New Roman"/>
          <w:color w:val="auto"/>
          <w:sz w:val="20"/>
          <w:szCs w:val="20"/>
          <w:lang w:val="es-ES" w:eastAsia="en-US"/>
        </w:rPr>
        <w:t xml:space="preserve">Por lo tanto, y sin prejuzgar sobre el fondo, la Comisión considera que el proceso ante el PNR no constituyó un recurso adecuado ni efectivo para atender los reclamos de las presuntas víctimas. En consecuencia, los recursos mencionados por el Estado tampoco ofrecían garantías efectivas, en tanto su éxito dependía directamente de la funcionalidad del programa de reparaciones. Esta conclusión se ve reforzada por </w:t>
      </w:r>
      <w:r w:rsidRPr="00681DF6">
        <w:rPr>
          <w:rFonts w:asciiTheme="majorHAnsi" w:eastAsia="Arial Unicode MS" w:hAnsiTheme="majorHAnsi" w:cs="Times New Roman"/>
          <w:color w:val="auto"/>
          <w:sz w:val="20"/>
          <w:szCs w:val="20"/>
          <w:lang w:val="es-ES" w:eastAsia="en-US"/>
        </w:rPr>
        <w:lastRenderedPageBreak/>
        <w:t>el hecho de que, incluso en los casos en que tribunales guatemaltecos emitieron sentencias favorables, no se logró garantizar la implementación de medidas efectivas de reparación</w:t>
      </w:r>
      <w:r w:rsidRPr="007A64BE">
        <w:rPr>
          <w:rStyle w:val="FootnoteReference"/>
          <w:rFonts w:asciiTheme="majorHAnsi" w:hAnsiTheme="majorHAnsi"/>
          <w:sz w:val="20"/>
          <w:szCs w:val="20"/>
        </w:rPr>
        <w:footnoteReference w:id="13"/>
      </w:r>
      <w:r w:rsidRPr="00681DF6">
        <w:rPr>
          <w:rFonts w:asciiTheme="majorHAnsi" w:eastAsia="Arial Unicode MS" w:hAnsiTheme="majorHAnsi" w:cs="Times New Roman"/>
          <w:color w:val="auto"/>
          <w:sz w:val="20"/>
          <w:szCs w:val="20"/>
          <w:lang w:val="es-ES" w:eastAsia="en-US"/>
        </w:rPr>
        <w:t>. En ese sentido, la Comisión concluye que a efectos del análisis de admisibilidad no existía una vía o mecanismo legal efectivo dentro del ordenamiento jurídico interno para atender la situación planteada, razón por la cual resulta aplicable la excepción prevista en el artículo 46.2.a) de la Convención Americana.</w:t>
      </w:r>
    </w:p>
    <w:p w14:paraId="1E4F1130" w14:textId="77777777" w:rsidR="005B4310" w:rsidRPr="005B4310" w:rsidRDefault="005B4310" w:rsidP="005B4310">
      <w:pPr>
        <w:pStyle w:val="ListParagraph"/>
        <w:rPr>
          <w:lang w:val="es-PE"/>
        </w:rPr>
      </w:pPr>
    </w:p>
    <w:p w14:paraId="3CA8EB75" w14:textId="17AE698C" w:rsidR="005B4310" w:rsidRPr="005B4310" w:rsidRDefault="005B4310" w:rsidP="005B4310">
      <w:pPr>
        <w:pStyle w:val="ListParagraph"/>
        <w:numPr>
          <w:ilvl w:val="0"/>
          <w:numId w:val="103"/>
        </w:numPr>
        <w:jc w:val="both"/>
        <w:rPr>
          <w:rFonts w:asciiTheme="majorHAnsi" w:eastAsia="Arial Unicode MS" w:hAnsiTheme="majorHAnsi" w:cs="Times New Roman"/>
          <w:color w:val="auto"/>
          <w:sz w:val="20"/>
          <w:szCs w:val="20"/>
          <w:lang w:val="es-PE" w:eastAsia="en-US"/>
        </w:rPr>
      </w:pPr>
      <w:r w:rsidRPr="005B4310">
        <w:rPr>
          <w:sz w:val="20"/>
          <w:szCs w:val="20"/>
          <w:lang w:val="es-PE"/>
        </w:rPr>
        <w:t>En cuanto al plazo de presentación, la Comisión toma en cuenta que las presuntas víctimas presentaron una solicitud formal ante el PNR en 2008</w:t>
      </w:r>
      <w:r w:rsidR="00007095">
        <w:rPr>
          <w:sz w:val="20"/>
          <w:szCs w:val="20"/>
          <w:lang w:val="es-PE"/>
        </w:rPr>
        <w:t>,</w:t>
      </w:r>
      <w:r w:rsidRPr="005B4310">
        <w:rPr>
          <w:sz w:val="20"/>
          <w:szCs w:val="20"/>
          <w:lang w:val="es-PE"/>
        </w:rPr>
        <w:t xml:space="preserve"> y que hasta la fecha no han recibido una respuesta sustantiva. Considerando el carácter continuado de la omisión estatal, así como el contexto de especial vulnerabilidad, la Comisión estima que el plazo de tres años transcurrido hasta la presentación de la petición ante la CIDH el 24 de octubre de 2011 resulta razonable, conforme al artículo 32.2 de su Reglamento.</w:t>
      </w:r>
    </w:p>
    <w:p w14:paraId="40B0C82A" w14:textId="1DB95B11" w:rsidR="001E5ADA" w:rsidRPr="001E5ADA" w:rsidRDefault="003239B8" w:rsidP="001E5ADA">
      <w:pPr>
        <w:pStyle w:val="ListParagraph"/>
        <w:spacing w:before="240" w:after="240"/>
        <w:jc w:val="both"/>
        <w:rPr>
          <w:rFonts w:asciiTheme="majorHAnsi" w:hAnsiTheme="majorHAnsi"/>
          <w:b/>
          <w:bCs/>
          <w:sz w:val="20"/>
          <w:szCs w:val="20"/>
          <w:lang w:val="es-ES"/>
        </w:rPr>
      </w:pPr>
      <w:r w:rsidRPr="007A64BE">
        <w:rPr>
          <w:rFonts w:asciiTheme="majorHAnsi" w:hAnsiTheme="majorHAnsi"/>
          <w:b/>
          <w:bCs/>
          <w:sz w:val="20"/>
          <w:szCs w:val="20"/>
          <w:lang w:val="es-ES"/>
        </w:rPr>
        <w:t>VII.</w:t>
      </w:r>
      <w:r w:rsidRPr="007A64BE">
        <w:rPr>
          <w:rFonts w:asciiTheme="majorHAnsi" w:hAnsiTheme="majorHAnsi"/>
          <w:b/>
          <w:bCs/>
          <w:sz w:val="20"/>
          <w:szCs w:val="20"/>
          <w:lang w:val="es-ES"/>
        </w:rPr>
        <w:tab/>
      </w:r>
      <w:r w:rsidR="004A6A54" w:rsidRPr="007A64BE">
        <w:rPr>
          <w:rFonts w:asciiTheme="majorHAnsi" w:hAnsiTheme="majorHAnsi"/>
          <w:b/>
          <w:bCs/>
          <w:sz w:val="20"/>
          <w:szCs w:val="20"/>
          <w:lang w:val="es-ES"/>
        </w:rPr>
        <w:t xml:space="preserve">ANÁLISIS DE </w:t>
      </w:r>
      <w:r w:rsidR="00C21FEF" w:rsidRPr="007A64BE">
        <w:rPr>
          <w:rFonts w:asciiTheme="majorHAnsi" w:hAnsiTheme="majorHAnsi"/>
          <w:b/>
          <w:bCs/>
          <w:sz w:val="20"/>
          <w:szCs w:val="20"/>
          <w:lang w:val="es-ES"/>
        </w:rPr>
        <w:t>CARACTERIZACIÓN DE LOS HECHOS ALEGADOS</w:t>
      </w:r>
    </w:p>
    <w:p w14:paraId="78D2D1FC" w14:textId="374BDC72" w:rsidR="00420166" w:rsidRDefault="00420166" w:rsidP="0042016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972603">
        <w:rPr>
          <w:rFonts w:asciiTheme="majorHAnsi" w:hAnsiTheme="majorHAnsi"/>
          <w:sz w:val="20"/>
          <w:szCs w:val="20"/>
        </w:rPr>
        <w:t>Con relación al argumento del Estado sobre la identificación y legitimidad de</w:t>
      </w:r>
      <w:r>
        <w:rPr>
          <w:rFonts w:asciiTheme="majorHAnsi" w:hAnsiTheme="majorHAnsi"/>
          <w:sz w:val="20"/>
          <w:szCs w:val="20"/>
        </w:rPr>
        <w:t>l peticionario</w:t>
      </w:r>
      <w:r w:rsidRPr="00972603">
        <w:rPr>
          <w:rFonts w:asciiTheme="majorHAnsi" w:hAnsiTheme="majorHAnsi"/>
          <w:sz w:val="20"/>
          <w:szCs w:val="20"/>
        </w:rPr>
        <w:t>, la Comisión recuerda que el artículo 44 de la Convención Americana permite a cualquier persona, grupo de personas o entidad no gubernamental legalmente reconocida en uno o más Estados miembros de la Organización presentar denuncias por alegadas violaciones de la Convención, sin que sea necesario contar con autorización de las presuntas víctimas ni con poderes de representación legal</w:t>
      </w:r>
      <w:r w:rsidRPr="00972603">
        <w:rPr>
          <w:rStyle w:val="FootnoteReference"/>
          <w:rFonts w:asciiTheme="majorHAnsi" w:hAnsiTheme="majorHAnsi"/>
          <w:sz w:val="20"/>
          <w:szCs w:val="20"/>
        </w:rPr>
        <w:footnoteReference w:id="14"/>
      </w:r>
      <w:r w:rsidRPr="00972603">
        <w:rPr>
          <w:rFonts w:asciiTheme="majorHAnsi" w:hAnsiTheme="majorHAnsi"/>
          <w:sz w:val="20"/>
          <w:szCs w:val="20"/>
        </w:rPr>
        <w:t xml:space="preserve">. En este sentido, del análisis detallado del expediente, se desprende que el Comité de Víctimas de la comunidad Chisis presentó las peticiones reconocidas por el Estado. Además, solicitó expresamente mantener en reserva la </w:t>
      </w:r>
      <w:r w:rsidRPr="00A35468">
        <w:rPr>
          <w:rFonts w:asciiTheme="majorHAnsi" w:hAnsiTheme="majorHAnsi"/>
          <w:sz w:val="20"/>
          <w:szCs w:val="20"/>
        </w:rPr>
        <w:t>identidad de la persona que presentó la petición. Atendiendo a las características específicas del caso, la Comisión considera que se encuentra acreditada tanto la identificación como la legitimidad de la parte peticionaria.</w:t>
      </w:r>
    </w:p>
    <w:p w14:paraId="33760BA9" w14:textId="5797E256" w:rsidR="00562F44" w:rsidRPr="00CD112E" w:rsidRDefault="003B3DD0" w:rsidP="0042016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420166">
        <w:rPr>
          <w:rFonts w:asciiTheme="majorHAnsi" w:hAnsiTheme="majorHAnsi"/>
          <w:sz w:val="20"/>
          <w:szCs w:val="20"/>
          <w:lang w:val="es-PE"/>
        </w:rPr>
        <w:t>Asimismo, f</w:t>
      </w:r>
      <w:r w:rsidR="0074112D" w:rsidRPr="00420166">
        <w:rPr>
          <w:rFonts w:asciiTheme="majorHAnsi" w:hAnsiTheme="majorHAnsi"/>
          <w:sz w:val="20"/>
          <w:szCs w:val="20"/>
          <w:lang w:val="es-PE"/>
        </w:rPr>
        <w:t>rente al argumento del Estado sobre la falta de individualización de las presuntas víctimas, la Comisión reitera su criterio conforme al artículo 44 de la Convención Americana, según el cual una petición resulta admisible si identifica víctimas concretas, individualizadas y determinadas, o si se refiere a un grupo específico y definido compuesto por personas determinables</w:t>
      </w:r>
      <w:r w:rsidR="00D41C4E" w:rsidRPr="007A64BE">
        <w:rPr>
          <w:rStyle w:val="FootnoteReference"/>
          <w:rFonts w:asciiTheme="majorHAnsi" w:hAnsiTheme="majorHAnsi"/>
          <w:sz w:val="20"/>
          <w:szCs w:val="20"/>
        </w:rPr>
        <w:footnoteReference w:id="15"/>
      </w:r>
      <w:r w:rsidR="0074112D" w:rsidRPr="00420166">
        <w:rPr>
          <w:rFonts w:asciiTheme="majorHAnsi" w:hAnsiTheme="majorHAnsi"/>
          <w:sz w:val="20"/>
          <w:szCs w:val="20"/>
          <w:lang w:val="es-PE"/>
        </w:rPr>
        <w:t xml:space="preserve"> En este marco, la Comisión ha sostenido que dicho artículo no exige una identificación “plena y total” de los afectados, sino que admite el análisis de violaciones que, por su naturaleza, afectan a personas o grupos identificables, aun sin estar completamente identificados</w:t>
      </w:r>
      <w:r w:rsidR="0074112D" w:rsidRPr="007A64BE">
        <w:rPr>
          <w:rStyle w:val="FootnoteReference"/>
          <w:rFonts w:asciiTheme="majorHAnsi" w:hAnsiTheme="majorHAnsi"/>
          <w:sz w:val="20"/>
          <w:szCs w:val="20"/>
        </w:rPr>
        <w:footnoteReference w:id="16"/>
      </w:r>
      <w:r w:rsidR="0074112D" w:rsidRPr="00420166">
        <w:rPr>
          <w:rFonts w:asciiTheme="majorHAnsi" w:hAnsiTheme="majorHAnsi"/>
          <w:sz w:val="20"/>
          <w:szCs w:val="20"/>
          <w:lang w:val="es-PE"/>
        </w:rPr>
        <w:t xml:space="preserve">. </w:t>
      </w:r>
      <w:r w:rsidR="0062244B" w:rsidRPr="00420166">
        <w:rPr>
          <w:rFonts w:asciiTheme="majorHAnsi" w:hAnsiTheme="majorHAnsi"/>
          <w:sz w:val="20"/>
          <w:szCs w:val="20"/>
          <w:lang w:val="es-PE"/>
        </w:rPr>
        <w:t>En la presente situación se ha identificado a las presuntas víctimas como los habitantes de la comunidad Villa Hortensia II, la cual estaría conformada por 95 familias o 491 personas, de acuerdo con el censo presentado como anexo</w:t>
      </w:r>
      <w:r w:rsidR="005B727E" w:rsidRPr="00420166">
        <w:rPr>
          <w:rFonts w:asciiTheme="majorHAnsi" w:hAnsiTheme="majorHAnsi"/>
          <w:sz w:val="20"/>
          <w:szCs w:val="20"/>
          <w:lang w:val="es-PE"/>
        </w:rPr>
        <w:t xml:space="preserve"> </w:t>
      </w:r>
      <w:r w:rsidR="005B727E" w:rsidRPr="00420166">
        <w:rPr>
          <w:rFonts w:asciiTheme="majorHAnsi" w:hAnsiTheme="majorHAnsi"/>
          <w:sz w:val="20"/>
          <w:szCs w:val="20"/>
        </w:rPr>
        <w:t>y que se encuentra al final del presente informe</w:t>
      </w:r>
      <w:r w:rsidR="0062244B" w:rsidRPr="00420166">
        <w:rPr>
          <w:rFonts w:asciiTheme="majorHAnsi" w:hAnsiTheme="majorHAnsi"/>
          <w:sz w:val="20"/>
          <w:szCs w:val="20"/>
          <w:lang w:val="es-PE"/>
        </w:rPr>
        <w:t xml:space="preserve">. </w:t>
      </w:r>
      <w:r w:rsidR="00740C00" w:rsidRPr="00420166">
        <w:rPr>
          <w:rFonts w:asciiTheme="majorHAnsi" w:hAnsiTheme="majorHAnsi"/>
          <w:sz w:val="20"/>
          <w:szCs w:val="20"/>
          <w:lang w:val="es-PE"/>
        </w:rPr>
        <w:t>De este modo</w:t>
      </w:r>
      <w:r w:rsidR="0062244B" w:rsidRPr="00420166">
        <w:rPr>
          <w:rFonts w:asciiTheme="majorHAnsi" w:hAnsiTheme="majorHAnsi"/>
          <w:sz w:val="20"/>
          <w:szCs w:val="20"/>
          <w:lang w:val="es-PE"/>
        </w:rPr>
        <w:t>, conforme a la jurisprudencia de la Corte IDH, la identificación final debe realizarse en la etapa de fondo, en el informe previsto en el artículo 50 de la Convención</w:t>
      </w:r>
      <w:r w:rsidR="0062244B" w:rsidRPr="007A64BE">
        <w:rPr>
          <w:rStyle w:val="FootnoteReference"/>
          <w:rFonts w:asciiTheme="majorHAnsi" w:hAnsiTheme="majorHAnsi"/>
          <w:sz w:val="20"/>
          <w:szCs w:val="20"/>
        </w:rPr>
        <w:footnoteReference w:id="17"/>
      </w:r>
      <w:r w:rsidR="0062244B" w:rsidRPr="00420166">
        <w:rPr>
          <w:rFonts w:asciiTheme="majorHAnsi" w:hAnsiTheme="majorHAnsi"/>
          <w:sz w:val="20"/>
          <w:szCs w:val="20"/>
          <w:lang w:val="es-PE"/>
        </w:rPr>
        <w:t>.</w:t>
      </w:r>
    </w:p>
    <w:p w14:paraId="55BFDF9A" w14:textId="00A31BB8" w:rsidR="002F008C" w:rsidRPr="002F008C" w:rsidRDefault="003B3DD0" w:rsidP="002F008C">
      <w:pPr>
        <w:pStyle w:val="ListParagraph"/>
        <w:numPr>
          <w:ilvl w:val="0"/>
          <w:numId w:val="103"/>
        </w:numPr>
        <w:jc w:val="both"/>
        <w:rPr>
          <w:rFonts w:asciiTheme="majorHAnsi" w:hAnsiTheme="majorHAnsi"/>
          <w:sz w:val="20"/>
          <w:szCs w:val="20"/>
          <w:lang w:val="es-PE"/>
        </w:rPr>
      </w:pPr>
      <w:r>
        <w:rPr>
          <w:rFonts w:asciiTheme="majorHAnsi" w:hAnsiTheme="majorHAnsi"/>
          <w:sz w:val="20"/>
          <w:szCs w:val="20"/>
          <w:lang w:val="es-PE"/>
        </w:rPr>
        <w:t>En cuanto a los hechos alegados, la Comisión aprecia que l</w:t>
      </w:r>
      <w:r w:rsidR="002826FE" w:rsidRPr="00562F44">
        <w:rPr>
          <w:rFonts w:asciiTheme="majorHAnsi" w:hAnsiTheme="majorHAnsi"/>
          <w:sz w:val="20"/>
          <w:szCs w:val="20"/>
          <w:lang w:val="es-PE"/>
        </w:rPr>
        <w:t xml:space="preserve">a petición tiene como objeto principal analizar la falta de reparación integral a las presuntas víctimas por las graves violaciones a los derechos humanos que sufrieron durante el conflicto armado. </w:t>
      </w:r>
      <w:r w:rsidR="00C16E02" w:rsidRPr="005B727E">
        <w:rPr>
          <w:rFonts w:asciiTheme="majorHAnsi" w:hAnsiTheme="majorHAnsi"/>
          <w:sz w:val="20"/>
          <w:szCs w:val="20"/>
          <w:lang w:val="es-PE"/>
        </w:rPr>
        <w:t>Al respecto, la Comisión ha dado seguimiento a su implementación desde 2003 mediante informes y labores de monitoreo</w:t>
      </w:r>
      <w:r w:rsidR="002826FE" w:rsidRPr="007A64BE">
        <w:rPr>
          <w:rStyle w:val="FootnoteReference"/>
          <w:rFonts w:asciiTheme="majorHAnsi" w:hAnsiTheme="majorHAnsi"/>
          <w:sz w:val="20"/>
          <w:szCs w:val="20"/>
        </w:rPr>
        <w:footnoteReference w:id="18"/>
      </w:r>
      <w:r w:rsidR="00C16E02" w:rsidRPr="005B727E">
        <w:rPr>
          <w:rFonts w:asciiTheme="majorHAnsi" w:hAnsiTheme="majorHAnsi"/>
          <w:sz w:val="20"/>
          <w:szCs w:val="20"/>
          <w:lang w:val="es-PE"/>
        </w:rPr>
        <w:t xml:space="preserve">. En ese contexto, ha recibido </w:t>
      </w:r>
      <w:r w:rsidR="00C16E02" w:rsidRPr="005B727E">
        <w:rPr>
          <w:rFonts w:asciiTheme="majorHAnsi" w:hAnsiTheme="majorHAnsi"/>
          <w:sz w:val="20"/>
          <w:szCs w:val="20"/>
          <w:lang w:val="es-PE"/>
        </w:rPr>
        <w:lastRenderedPageBreak/>
        <w:t xml:space="preserve">información sobre el limitado cumplimiento del PNR por parte del Estado guatemalteco, incluyendo su escasa cobertura, demoras de hasta siete años, </w:t>
      </w:r>
      <w:r w:rsidR="002826FE" w:rsidRPr="005B727E">
        <w:rPr>
          <w:rFonts w:asciiTheme="majorHAnsi" w:hAnsiTheme="majorHAnsi"/>
          <w:sz w:val="20"/>
          <w:szCs w:val="20"/>
          <w:lang w:val="es-PE"/>
        </w:rPr>
        <w:t>rotación</w:t>
      </w:r>
      <w:r w:rsidR="00C16E02" w:rsidRPr="005B727E">
        <w:rPr>
          <w:rFonts w:asciiTheme="majorHAnsi" w:hAnsiTheme="majorHAnsi"/>
          <w:sz w:val="20"/>
          <w:szCs w:val="20"/>
          <w:lang w:val="es-PE"/>
        </w:rPr>
        <w:t xml:space="preserve"> frecuente de personal y ausencia de criterios claros de selección. Asimismo, ha advertido la falta de medidas efectivas que garanticen una reparación integral. La CIDH ha manifestado especial preocupación por la reducción presupuestaria del PNR en 2016, lo cual afectó su capacidad operativa, e instó al Estado a asignar los recursos necesarios conforme al acuerdo de creación del programa</w:t>
      </w:r>
      <w:r w:rsidR="002826FE" w:rsidRPr="007A64BE">
        <w:rPr>
          <w:rStyle w:val="FootnoteReference"/>
          <w:rFonts w:asciiTheme="majorHAnsi" w:hAnsiTheme="majorHAnsi"/>
          <w:sz w:val="20"/>
          <w:szCs w:val="20"/>
        </w:rPr>
        <w:footnoteReference w:id="19"/>
      </w:r>
      <w:r w:rsidR="00C16E02" w:rsidRPr="005B727E">
        <w:rPr>
          <w:rFonts w:asciiTheme="majorHAnsi" w:hAnsiTheme="majorHAnsi"/>
          <w:sz w:val="20"/>
          <w:szCs w:val="20"/>
          <w:lang w:val="es-PE"/>
        </w:rPr>
        <w:t xml:space="preserve">. </w:t>
      </w:r>
      <w:r w:rsidR="002826FE" w:rsidRPr="002F008C">
        <w:rPr>
          <w:rFonts w:asciiTheme="majorHAnsi" w:hAnsiTheme="majorHAnsi"/>
          <w:sz w:val="20"/>
          <w:szCs w:val="20"/>
          <w:lang w:val="es-PE"/>
        </w:rPr>
        <w:t>Asimismo</w:t>
      </w:r>
      <w:r w:rsidR="00C16E02" w:rsidRPr="002F008C">
        <w:rPr>
          <w:rFonts w:asciiTheme="majorHAnsi" w:hAnsiTheme="majorHAnsi"/>
          <w:sz w:val="20"/>
          <w:szCs w:val="20"/>
          <w:lang w:val="es-PE"/>
        </w:rPr>
        <w:t>, esta decisión guarda coherencia con precedentes en los que la Comisión ha abordado alegatos similares sobre reparaciones y gestiones ante el PNR.</w:t>
      </w:r>
    </w:p>
    <w:p w14:paraId="3CF1F9B4" w14:textId="77777777" w:rsidR="002F008C" w:rsidRPr="002F008C" w:rsidRDefault="002F008C" w:rsidP="002F008C">
      <w:pPr>
        <w:pStyle w:val="ListParagraph"/>
        <w:rPr>
          <w:rFonts w:asciiTheme="majorHAnsi" w:hAnsiTheme="majorHAnsi"/>
          <w:sz w:val="20"/>
          <w:szCs w:val="20"/>
          <w:lang w:val="es-PE"/>
        </w:rPr>
      </w:pPr>
    </w:p>
    <w:p w14:paraId="6BB96E3E" w14:textId="30753293" w:rsidR="002F008C" w:rsidRPr="002F008C" w:rsidRDefault="008C5E2D" w:rsidP="002F008C">
      <w:pPr>
        <w:pStyle w:val="ListParagraph"/>
        <w:numPr>
          <w:ilvl w:val="0"/>
          <w:numId w:val="103"/>
        </w:numPr>
        <w:jc w:val="both"/>
        <w:rPr>
          <w:rFonts w:asciiTheme="majorHAnsi" w:hAnsiTheme="majorHAnsi"/>
          <w:sz w:val="20"/>
          <w:szCs w:val="20"/>
          <w:lang w:val="es-PE"/>
        </w:rPr>
      </w:pPr>
      <w:r w:rsidRPr="002F008C">
        <w:rPr>
          <w:rFonts w:asciiTheme="majorHAnsi" w:hAnsiTheme="majorHAnsi"/>
          <w:sz w:val="20"/>
          <w:szCs w:val="20"/>
          <w:lang w:val="es-PE"/>
        </w:rPr>
        <w:t>En aten</w:t>
      </w:r>
      <w:r w:rsidR="00C25ADB" w:rsidRPr="002F008C">
        <w:rPr>
          <w:rFonts w:asciiTheme="majorHAnsi" w:hAnsiTheme="majorHAnsi"/>
          <w:sz w:val="20"/>
          <w:szCs w:val="20"/>
          <w:lang w:val="es-PE"/>
        </w:rPr>
        <w:t xml:space="preserve">ción a estas consideraciones y </w:t>
      </w:r>
      <w:r w:rsidRPr="002F008C">
        <w:rPr>
          <w:rFonts w:asciiTheme="majorHAnsi" w:hAnsiTheme="majorHAnsi"/>
          <w:sz w:val="20"/>
          <w:szCs w:val="20"/>
          <w:lang w:val="es-PE"/>
        </w:rPr>
        <w:t>tras examinar los elementos de hecho y de derecho expuestos</w:t>
      </w:r>
      <w:r w:rsidR="00A55726">
        <w:rPr>
          <w:rFonts w:asciiTheme="majorHAnsi" w:hAnsiTheme="majorHAnsi"/>
          <w:sz w:val="20"/>
          <w:szCs w:val="20"/>
          <w:lang w:val="es-PE"/>
        </w:rPr>
        <w:t>,</w:t>
      </w:r>
      <w:r w:rsidRPr="002F008C">
        <w:rPr>
          <w:rFonts w:asciiTheme="majorHAnsi" w:hAnsiTheme="majorHAnsi"/>
          <w:sz w:val="20"/>
          <w:szCs w:val="20"/>
          <w:lang w:val="es-PE"/>
        </w:rPr>
        <w:t xml:space="preserve"> la Comisión estima que las alegaciones de</w:t>
      </w:r>
      <w:r w:rsidR="00420166">
        <w:rPr>
          <w:rFonts w:asciiTheme="majorHAnsi" w:hAnsiTheme="majorHAnsi"/>
          <w:sz w:val="20"/>
          <w:szCs w:val="20"/>
          <w:lang w:val="es-PE"/>
        </w:rPr>
        <w:t xml:space="preserve">l peticionario </w:t>
      </w:r>
      <w:r w:rsidRPr="002F008C">
        <w:rPr>
          <w:rFonts w:asciiTheme="majorHAnsi" w:hAnsiTheme="majorHAnsi"/>
          <w:sz w:val="20"/>
          <w:szCs w:val="20"/>
          <w:lang w:val="es-PE"/>
        </w:rPr>
        <w:t>no resultan manifiestamente infundadas y requieren un estudio de fondo</w:t>
      </w:r>
      <w:r w:rsidR="00A55726">
        <w:rPr>
          <w:rFonts w:asciiTheme="majorHAnsi" w:hAnsiTheme="majorHAnsi"/>
          <w:sz w:val="20"/>
          <w:szCs w:val="20"/>
          <w:lang w:val="es-PE"/>
        </w:rPr>
        <w:t>,</w:t>
      </w:r>
      <w:r w:rsidRPr="002F008C">
        <w:rPr>
          <w:rFonts w:asciiTheme="majorHAnsi" w:hAnsiTheme="majorHAnsi"/>
          <w:sz w:val="20"/>
          <w:szCs w:val="20"/>
          <w:lang w:val="es-PE"/>
        </w:rPr>
        <w:t xml:space="preserve"> pues los hechos alegados de corroborarse como ciertos podrían caracterizar violaciones a los </w:t>
      </w:r>
      <w:r w:rsidR="00B27ED0">
        <w:rPr>
          <w:rFonts w:asciiTheme="majorHAnsi" w:hAnsiTheme="majorHAnsi"/>
          <w:sz w:val="20"/>
          <w:szCs w:val="20"/>
          <w:lang w:val="es-PE"/>
        </w:rPr>
        <w:t>derechos establecidos</w:t>
      </w:r>
      <w:r w:rsidRPr="002F008C">
        <w:rPr>
          <w:rFonts w:asciiTheme="majorHAnsi" w:hAnsiTheme="majorHAnsi"/>
          <w:sz w:val="20"/>
          <w:szCs w:val="20"/>
          <w:lang w:val="es-PE"/>
        </w:rPr>
        <w:t xml:space="preserve"> </w:t>
      </w:r>
      <w:r w:rsidR="00A12B0C" w:rsidRPr="002F008C">
        <w:rPr>
          <w:rFonts w:asciiTheme="majorHAnsi" w:hAnsiTheme="majorHAnsi"/>
          <w:sz w:val="20"/>
          <w:szCs w:val="20"/>
          <w:lang w:val="es-PE"/>
        </w:rPr>
        <w:t>en los artículos 5 (integridad personal), 8 (garantías judiciales)</w:t>
      </w:r>
      <w:r w:rsidR="002F008C">
        <w:rPr>
          <w:rFonts w:asciiTheme="majorHAnsi" w:hAnsiTheme="majorHAnsi"/>
          <w:sz w:val="20"/>
          <w:szCs w:val="20"/>
          <w:lang w:val="es-PE"/>
        </w:rPr>
        <w:t xml:space="preserve">, </w:t>
      </w:r>
      <w:r w:rsidR="00A12B0C" w:rsidRPr="002F008C">
        <w:rPr>
          <w:rFonts w:asciiTheme="majorHAnsi" w:hAnsiTheme="majorHAnsi"/>
          <w:sz w:val="20"/>
          <w:szCs w:val="20"/>
          <w:lang w:val="es-PE"/>
        </w:rPr>
        <w:t>24 (igualdad ante la ley)</w:t>
      </w:r>
      <w:r w:rsidR="002F008C">
        <w:rPr>
          <w:rFonts w:asciiTheme="majorHAnsi" w:hAnsiTheme="majorHAnsi"/>
          <w:sz w:val="20"/>
          <w:szCs w:val="20"/>
          <w:lang w:val="es-PE"/>
        </w:rPr>
        <w:t xml:space="preserve"> y 25 (protección judicial)</w:t>
      </w:r>
      <w:r w:rsidR="00A12B0C" w:rsidRPr="002F008C">
        <w:rPr>
          <w:rFonts w:asciiTheme="majorHAnsi" w:hAnsiTheme="majorHAnsi"/>
          <w:sz w:val="20"/>
          <w:szCs w:val="20"/>
          <w:lang w:val="es-PE"/>
        </w:rPr>
        <w:t xml:space="preserve"> de la Convención Americana en relación con su artículo 1.1 (obligación de respetar los derechos) y 2 (deber de adoptar disposiciones de derecho interno), en perjuicio de los vecinos de la comunidad Villa Hortensia II. </w:t>
      </w:r>
      <w:r w:rsidR="008D2D67" w:rsidRPr="002F008C">
        <w:rPr>
          <w:rFonts w:asciiTheme="majorHAnsi" w:hAnsiTheme="majorHAnsi"/>
          <w:sz w:val="20"/>
          <w:szCs w:val="20"/>
          <w:lang w:val="es-PE"/>
        </w:rPr>
        <w:t>La decisión de admitir los alegatos relativos a los artículos 5 y 24 de la Convención es coherente con precedentes establecidos por la CIDH en casos que presentan un objeto sustancialmente similar al de la presente petición</w:t>
      </w:r>
      <w:r w:rsidR="00F94364" w:rsidRPr="00740C00">
        <w:rPr>
          <w:rStyle w:val="FootnoteReference"/>
          <w:rFonts w:asciiTheme="majorHAnsi" w:hAnsiTheme="majorHAnsi"/>
          <w:sz w:val="20"/>
          <w:szCs w:val="20"/>
        </w:rPr>
        <w:footnoteReference w:id="20"/>
      </w:r>
      <w:r w:rsidR="00A12B0C" w:rsidRPr="002F008C">
        <w:rPr>
          <w:rFonts w:asciiTheme="majorHAnsi" w:hAnsiTheme="majorHAnsi"/>
          <w:sz w:val="20"/>
          <w:szCs w:val="20"/>
          <w:lang w:val="es-PE"/>
        </w:rPr>
        <w:t>.</w:t>
      </w:r>
    </w:p>
    <w:p w14:paraId="43C73D6E" w14:textId="77777777" w:rsidR="002F008C" w:rsidRPr="002F008C" w:rsidRDefault="002F008C" w:rsidP="002F008C">
      <w:pPr>
        <w:pStyle w:val="ListParagraph"/>
        <w:rPr>
          <w:rFonts w:asciiTheme="majorHAnsi" w:hAnsiTheme="majorHAnsi"/>
          <w:sz w:val="20"/>
          <w:szCs w:val="20"/>
          <w:lang w:val="es-PE"/>
        </w:rPr>
      </w:pPr>
    </w:p>
    <w:p w14:paraId="2F487960" w14:textId="1ABF0D83" w:rsidR="00294F42" w:rsidRPr="00F92A47" w:rsidRDefault="00294F42" w:rsidP="00F92A4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sidRPr="00F92A47">
        <w:rPr>
          <w:rFonts w:asciiTheme="majorHAnsi" w:hAnsiTheme="majorHAnsi"/>
          <w:sz w:val="20"/>
          <w:szCs w:val="20"/>
          <w:lang w:val="es-PE"/>
        </w:rPr>
        <w:t>Respecto al reclamo sobre la presunta violación de los artículos 4 (derecho a la vida), 11 (protección de la honra y de la dignidad), 17 (protección a la familia), 19 (derechos del niño) y 21 (derecho a la propiedad privada) de la Convención Americana, la Comisión  razona que, conforme a lo expresado previamente en este informe, el objeto de la petición se refiere a la falta de una reparación integral y colectiva por las graves violaciones a los derechos humanos de las presuntas víctimas ocurridas a raíz del conflicto armado interno. Esta convicción queda reforzada al verificarse que la parte peticionaria no formula argumentos jurídicos respecto de la competencia de la CIDH para analizar los hechos iniciales, ni acerca de posibles recursos judiciales que se hayan intentado específicamente a ese respecto. Por lo tanto, las alegadas violaciones que habrían originado el derecho a la reparación de las presuntas víctimas</w:t>
      </w:r>
      <w:r w:rsidR="003178C0" w:rsidRPr="00F92A47">
        <w:rPr>
          <w:rFonts w:asciiTheme="majorHAnsi" w:hAnsiTheme="majorHAnsi"/>
          <w:sz w:val="20"/>
          <w:szCs w:val="20"/>
          <w:lang w:val="es-PE"/>
        </w:rPr>
        <w:t xml:space="preserve"> </w:t>
      </w:r>
      <w:r w:rsidRPr="00F92A47">
        <w:rPr>
          <w:rFonts w:asciiTheme="majorHAnsi" w:hAnsiTheme="majorHAnsi"/>
          <w:sz w:val="20"/>
          <w:szCs w:val="20"/>
          <w:lang w:val="es-PE"/>
        </w:rPr>
        <w:t>quedan fuera del marco fáctico de la presente decisión. </w:t>
      </w:r>
      <w:r w:rsidR="00F92A47" w:rsidRPr="00F92A47">
        <w:rPr>
          <w:rFonts w:asciiTheme="majorHAnsi" w:hAnsiTheme="majorHAnsi"/>
          <w:sz w:val="20"/>
          <w:szCs w:val="20"/>
          <w:lang w:val="es-PE"/>
        </w:rPr>
        <w:t>Esto consistente con la posición adoptada por la propia CIDH, entre otros, en sus precedentes de los informes de admisibilidad 67/23</w:t>
      </w:r>
      <w:r w:rsidR="00F92A47" w:rsidRPr="00F92A47">
        <w:rPr>
          <w:rStyle w:val="FootnoteReference"/>
          <w:rFonts w:asciiTheme="majorHAnsi" w:hAnsiTheme="majorHAnsi"/>
          <w:sz w:val="20"/>
          <w:szCs w:val="20"/>
          <w:lang w:val="es-PE"/>
        </w:rPr>
        <w:footnoteReference w:id="21"/>
      </w:r>
      <w:r w:rsidR="00F92A47" w:rsidRPr="00F92A47">
        <w:rPr>
          <w:rFonts w:asciiTheme="majorHAnsi" w:hAnsiTheme="majorHAnsi"/>
          <w:sz w:val="20"/>
          <w:szCs w:val="20"/>
          <w:lang w:val="es-PE"/>
        </w:rPr>
        <w:t xml:space="preserve"> y 355/22</w:t>
      </w:r>
      <w:r w:rsidR="00F92A47" w:rsidRPr="00F92A47">
        <w:rPr>
          <w:rStyle w:val="FootnoteReference"/>
          <w:rFonts w:asciiTheme="majorHAnsi" w:hAnsiTheme="majorHAnsi"/>
          <w:sz w:val="20"/>
          <w:szCs w:val="20"/>
          <w:lang w:val="es-PE"/>
        </w:rPr>
        <w:footnoteReference w:id="22"/>
      </w:r>
      <w:r w:rsidR="00F92A47" w:rsidRPr="00F92A47">
        <w:rPr>
          <w:rFonts w:asciiTheme="majorHAnsi" w:hAnsiTheme="majorHAnsi"/>
          <w:sz w:val="20"/>
          <w:szCs w:val="20"/>
          <w:lang w:val="es-PE"/>
        </w:rPr>
        <w:t>. Los cuales fueron presentados por los mismos peticionarios, y en los cuales se planteaban reclamos sustancialmente similares a los elaborados en la presente petición, los cuales objetivamente apuntaban a cuestionar la efectividad del PNR en Guatemala.</w:t>
      </w:r>
    </w:p>
    <w:p w14:paraId="5694D314" w14:textId="3D868B44" w:rsidR="002C1F61" w:rsidRPr="00F92A47" w:rsidRDefault="00294F42" w:rsidP="00294F4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F92A47">
        <w:rPr>
          <w:rFonts w:asciiTheme="majorHAnsi" w:hAnsiTheme="majorHAnsi"/>
          <w:sz w:val="20"/>
          <w:szCs w:val="20"/>
        </w:rPr>
        <w:t>En cuanto a los alegatos sobre violaciones a los artículos 3, 6, 7, 10, 11, 12, 13, 14, 15, 16, 17 y 19 del Protocolo de San Salvador, la Comisión recuerda que su competencia para determinar violaciones en casos individuales, conforme al artículo 19.6 de dicho instrumento, se limita a los artículos 8.1.a</w:t>
      </w:r>
      <w:r w:rsidR="003178C0" w:rsidRPr="00F92A47">
        <w:rPr>
          <w:rFonts w:asciiTheme="majorHAnsi" w:hAnsiTheme="majorHAnsi"/>
          <w:sz w:val="20"/>
          <w:szCs w:val="20"/>
        </w:rPr>
        <w:t>)</w:t>
      </w:r>
      <w:r w:rsidRPr="00F92A47">
        <w:rPr>
          <w:rFonts w:asciiTheme="majorHAnsi" w:hAnsiTheme="majorHAnsi"/>
          <w:sz w:val="20"/>
          <w:szCs w:val="20"/>
        </w:rPr>
        <w:t xml:space="preserve"> y 13. Sobre las alegadas violaciones a la Declaración de Derechos del Hombre de las Naciones Unidas, la Comisión carece de competencia para establecer violaciones a las normas de este instrumento; sin perjuicio de lo cual, podrá tomarlo en cuenta como parte de su ejercicio interpretativo de las normas de la Convención Americana en la etapa de fondo del presente caso, en los términos del artículo 29 de la Convención Americana</w:t>
      </w:r>
      <w:r w:rsidRPr="00F92A47">
        <w:rPr>
          <w:rStyle w:val="FootnoteReference"/>
          <w:rFonts w:asciiTheme="majorHAnsi" w:hAnsiTheme="majorHAnsi"/>
          <w:sz w:val="20"/>
          <w:szCs w:val="20"/>
        </w:rPr>
        <w:footnoteReference w:id="23"/>
      </w:r>
      <w:r w:rsidRPr="00F92A47">
        <w:rPr>
          <w:rFonts w:asciiTheme="majorHAnsi" w:hAnsiTheme="majorHAnsi"/>
          <w:sz w:val="20"/>
          <w:szCs w:val="20"/>
        </w:rPr>
        <w:t>.</w:t>
      </w:r>
    </w:p>
    <w:p w14:paraId="29BB41F5" w14:textId="1414D997" w:rsidR="003239B8" w:rsidRPr="007A64BE" w:rsidRDefault="003239B8" w:rsidP="003239B8">
      <w:pPr>
        <w:pStyle w:val="ListParagraph"/>
        <w:spacing w:before="240" w:after="240"/>
        <w:jc w:val="both"/>
        <w:rPr>
          <w:rFonts w:asciiTheme="majorHAnsi" w:hAnsiTheme="majorHAnsi"/>
          <w:b/>
          <w:bCs/>
          <w:sz w:val="20"/>
          <w:szCs w:val="20"/>
          <w:lang w:val="es-ES"/>
        </w:rPr>
      </w:pPr>
      <w:r w:rsidRPr="007A64BE">
        <w:rPr>
          <w:rFonts w:asciiTheme="majorHAnsi" w:hAnsiTheme="majorHAnsi"/>
          <w:b/>
          <w:bCs/>
          <w:sz w:val="20"/>
          <w:szCs w:val="20"/>
          <w:lang w:val="es-ES"/>
        </w:rPr>
        <w:lastRenderedPageBreak/>
        <w:t xml:space="preserve">VIII. </w:t>
      </w:r>
      <w:r w:rsidRPr="007A64BE">
        <w:rPr>
          <w:rFonts w:asciiTheme="majorHAnsi" w:hAnsiTheme="majorHAnsi"/>
          <w:b/>
          <w:bCs/>
          <w:sz w:val="20"/>
          <w:szCs w:val="20"/>
          <w:lang w:val="es-ES"/>
        </w:rPr>
        <w:tab/>
        <w:t>DECISIÓN</w:t>
      </w:r>
    </w:p>
    <w:p w14:paraId="15C3F408" w14:textId="748E3FF4" w:rsidR="00F94364" w:rsidRPr="007A64BE" w:rsidRDefault="00F94364" w:rsidP="00F9436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Declarar admisible la presente petición en relación con los artículos 5, 8</w:t>
      </w:r>
      <w:r w:rsidR="001B1654">
        <w:rPr>
          <w:rFonts w:asciiTheme="majorHAnsi" w:hAnsiTheme="majorHAnsi"/>
          <w:sz w:val="20"/>
          <w:szCs w:val="20"/>
        </w:rPr>
        <w:t xml:space="preserve">, </w:t>
      </w:r>
      <w:r w:rsidRPr="007A64BE">
        <w:rPr>
          <w:rFonts w:asciiTheme="majorHAnsi" w:hAnsiTheme="majorHAnsi"/>
          <w:sz w:val="20"/>
          <w:szCs w:val="20"/>
        </w:rPr>
        <w:t xml:space="preserve">24 </w:t>
      </w:r>
      <w:r w:rsidR="001B1654">
        <w:rPr>
          <w:rFonts w:asciiTheme="majorHAnsi" w:hAnsiTheme="majorHAnsi"/>
          <w:sz w:val="20"/>
          <w:szCs w:val="20"/>
        </w:rPr>
        <w:t xml:space="preserve">y 25 </w:t>
      </w:r>
      <w:r w:rsidRPr="007A64BE">
        <w:rPr>
          <w:rFonts w:asciiTheme="majorHAnsi" w:hAnsiTheme="majorHAnsi"/>
          <w:sz w:val="20"/>
          <w:szCs w:val="20"/>
        </w:rPr>
        <w:t>de la Convención Americana, en relación con los artículos 1.1 y 2 del mismo instrumento;</w:t>
      </w:r>
      <w:r w:rsidR="00FD0FA3">
        <w:rPr>
          <w:rFonts w:asciiTheme="majorHAnsi" w:hAnsiTheme="majorHAnsi"/>
          <w:sz w:val="20"/>
          <w:szCs w:val="20"/>
        </w:rPr>
        <w:t xml:space="preserve"> y</w:t>
      </w:r>
    </w:p>
    <w:p w14:paraId="34EDE326" w14:textId="4B53DB7C" w:rsidR="00EC55B2" w:rsidRDefault="004A6A54" w:rsidP="00294F42">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rPr>
      </w:pPr>
      <w:r w:rsidRPr="007A64BE">
        <w:rPr>
          <w:rFonts w:asciiTheme="majorHAnsi" w:hAnsiTheme="majorHAnsi"/>
          <w:sz w:val="20"/>
          <w:szCs w:val="20"/>
        </w:rPr>
        <w:t>Notificar a las partes la presente decisión; continuar con el análisis del fondo de la cuestión; y publicar esta decisión e incluirla en su Informe Anual a la Asamblea General de la Organización de los Estados Americanos.</w:t>
      </w:r>
    </w:p>
    <w:p w14:paraId="61ACAC9C" w14:textId="7182B37C" w:rsidR="00FD0FA3" w:rsidRPr="00077CB4" w:rsidRDefault="00FD0FA3" w:rsidP="00077CB4">
      <w:pPr>
        <w:suppressAutoHyphens/>
        <w:ind w:firstLine="720"/>
        <w:jc w:val="both"/>
        <w:rPr>
          <w:rFonts w:ascii="Segoe UI" w:hAnsi="Segoe UI" w:cs="Segoe UI"/>
          <w:sz w:val="18"/>
          <w:szCs w:val="18"/>
        </w:rPr>
      </w:pPr>
      <w:r>
        <w:rPr>
          <w:rStyle w:val="normaltextrun"/>
          <w:rFonts w:ascii="Cambria" w:hAnsi="Cambria" w:cs="Segoe UI"/>
          <w:sz w:val="20"/>
          <w:szCs w:val="20"/>
          <w:lang w:val="es-CL"/>
        </w:rPr>
        <w:t>Aprobado por la Comisión Interamericana de Derechos Humano</w:t>
      </w:r>
      <w:r w:rsidRPr="00FD0FA3">
        <w:rPr>
          <w:rStyle w:val="normaltextrun"/>
          <w:rFonts w:ascii="Cambria" w:hAnsi="Cambria" w:cs="Segoe UI"/>
          <w:sz w:val="20"/>
          <w:szCs w:val="20"/>
          <w:lang w:val="es-CL"/>
        </w:rPr>
        <w:t xml:space="preserve">s a los 25 días del mes de agosto de 2025.  (Firmado): José Luis Caballero Ochoa, Presidente; Andrea Pochak, Primera Vicepresidenta; Arif Bulkan, Segundo Vicepresidente; Roberta Clarke y Gloria Monique de Mees, </w:t>
      </w:r>
      <w:r w:rsidR="00077CB4">
        <w:rPr>
          <w:rStyle w:val="normaltextrun"/>
          <w:rFonts w:ascii="Cambria" w:hAnsi="Cambria" w:cs="Segoe UI"/>
          <w:sz w:val="20"/>
          <w:szCs w:val="20"/>
          <w:lang w:val="es-CL"/>
        </w:rPr>
        <w:t>m</w:t>
      </w:r>
      <w:r w:rsidRPr="00FD0FA3">
        <w:rPr>
          <w:rStyle w:val="normaltextrun"/>
          <w:rFonts w:ascii="Cambria" w:hAnsi="Cambria" w:cs="Segoe UI"/>
          <w:sz w:val="20"/>
          <w:szCs w:val="20"/>
          <w:lang w:val="es-CL"/>
        </w:rPr>
        <w:t>iembros de la Comisión.</w:t>
      </w:r>
    </w:p>
    <w:p w14:paraId="6AC80CA6" w14:textId="4E28F763" w:rsidR="00722C9F" w:rsidRPr="009A3BE8" w:rsidRDefault="00EC55B2" w:rsidP="003064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center"/>
        <w:rPr>
          <w:rFonts w:asciiTheme="majorHAnsi" w:hAnsiTheme="majorHAnsi"/>
          <w:sz w:val="20"/>
          <w:szCs w:val="20"/>
        </w:rPr>
      </w:pPr>
      <w:r>
        <w:rPr>
          <w:rFonts w:asciiTheme="majorHAnsi" w:hAnsiTheme="majorHAnsi"/>
          <w:noProof/>
          <w:sz w:val="20"/>
          <w:szCs w:val="20"/>
        </w:rPr>
        <w:lastRenderedPageBreak/>
        <w:drawing>
          <wp:inline distT="0" distB="0" distL="0" distR="0" wp14:anchorId="4CF17179" wp14:editId="1BDEEC49">
            <wp:extent cx="5324384" cy="7860921"/>
            <wp:effectExtent l="0" t="0" r="0" b="6985"/>
            <wp:docPr id="2315723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72320" name="Imagen 231572320"/>
                    <pic:cNvPicPr/>
                  </pic:nvPicPr>
                  <pic:blipFill>
                    <a:blip r:embed="rId17"/>
                    <a:stretch>
                      <a:fillRect/>
                    </a:stretch>
                  </pic:blipFill>
                  <pic:spPr>
                    <a:xfrm>
                      <a:off x="0" y="0"/>
                      <a:ext cx="5334407" cy="7875719"/>
                    </a:xfrm>
                    <a:prstGeom prst="rect">
                      <a:avLst/>
                    </a:prstGeom>
                  </pic:spPr>
                </pic:pic>
              </a:graphicData>
            </a:graphic>
          </wp:inline>
        </w:drawing>
      </w:r>
    </w:p>
    <w:sectPr w:rsidR="00722C9F" w:rsidRPr="009A3BE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0043" w14:textId="77777777" w:rsidR="00CE5918" w:rsidRDefault="00CE5918">
      <w:r>
        <w:separator/>
      </w:r>
    </w:p>
  </w:endnote>
  <w:endnote w:type="continuationSeparator" w:id="0">
    <w:p w14:paraId="4E837093" w14:textId="77777777" w:rsidR="00CE5918" w:rsidRDefault="00CE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7307" w14:textId="77777777" w:rsidR="00CE5918" w:rsidRPr="000F35ED" w:rsidRDefault="00CE591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4E6AD28" w14:textId="77777777" w:rsidR="00CE5918" w:rsidRPr="000F35ED" w:rsidRDefault="00CE5918" w:rsidP="000F35ED">
      <w:pPr>
        <w:rPr>
          <w:rFonts w:asciiTheme="majorHAnsi" w:hAnsiTheme="majorHAnsi"/>
          <w:sz w:val="16"/>
          <w:szCs w:val="16"/>
        </w:rPr>
      </w:pPr>
      <w:r w:rsidRPr="000F35ED">
        <w:rPr>
          <w:rFonts w:asciiTheme="majorHAnsi" w:hAnsiTheme="majorHAnsi"/>
          <w:sz w:val="16"/>
          <w:szCs w:val="16"/>
        </w:rPr>
        <w:separator/>
      </w:r>
    </w:p>
    <w:p w14:paraId="608DA4C8" w14:textId="77777777" w:rsidR="00CE5918" w:rsidRPr="000F35ED" w:rsidRDefault="00CE591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3B375D6" w14:textId="77777777" w:rsidR="00CE5918" w:rsidRPr="000F35ED" w:rsidRDefault="00CE5918"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30C6BFFA" w14:textId="77777777" w:rsidR="00A32482" w:rsidRPr="007D534C" w:rsidRDefault="00A32482" w:rsidP="00FD0FA3">
      <w:pPr>
        <w:pStyle w:val="FootnoteText"/>
        <w:ind w:firstLine="720"/>
        <w:jc w:val="both"/>
        <w:rPr>
          <w:rFonts w:asciiTheme="majorHAnsi" w:hAnsiTheme="majorHAnsi"/>
          <w:sz w:val="16"/>
          <w:szCs w:val="16"/>
          <w:lang w:val="es-PE"/>
        </w:rPr>
      </w:pPr>
      <w:r w:rsidRPr="007D534C">
        <w:rPr>
          <w:rStyle w:val="FootnoteReference"/>
          <w:rFonts w:asciiTheme="majorHAnsi" w:hAnsiTheme="majorHAnsi"/>
          <w:sz w:val="16"/>
          <w:szCs w:val="16"/>
        </w:rPr>
        <w:footnoteRef/>
      </w:r>
      <w:r w:rsidRPr="007D534C">
        <w:rPr>
          <w:rFonts w:asciiTheme="majorHAnsi" w:hAnsiTheme="majorHAnsi"/>
          <w:sz w:val="16"/>
          <w:szCs w:val="16"/>
          <w:lang w:val="es-PE"/>
        </w:rPr>
        <w:t xml:space="preserve"> </w:t>
      </w:r>
      <w:r>
        <w:rPr>
          <w:rFonts w:asciiTheme="majorHAnsi" w:hAnsiTheme="majorHAnsi"/>
          <w:sz w:val="16"/>
          <w:szCs w:val="16"/>
          <w:lang w:val="es-PE"/>
        </w:rPr>
        <w:t xml:space="preserve">A solicitud de la parte peticionaria, y en aplicación del artículo 28.2. de su Reglamento, la Comisión mantiene bajo reserva su identidad. </w:t>
      </w:r>
    </w:p>
  </w:footnote>
  <w:footnote w:id="3">
    <w:p w14:paraId="37A19F4C" w14:textId="23C56D62" w:rsidR="00C84621" w:rsidRPr="00C16E02" w:rsidRDefault="00C84621" w:rsidP="00FD0FA3">
      <w:pPr>
        <w:pStyle w:val="FootnoteText"/>
        <w:ind w:firstLine="720"/>
        <w:jc w:val="both"/>
        <w:rPr>
          <w:rFonts w:asciiTheme="majorHAnsi" w:hAnsiTheme="majorHAnsi"/>
          <w:sz w:val="16"/>
          <w:szCs w:val="16"/>
          <w:lang w:val="es-ES"/>
        </w:rPr>
      </w:pPr>
      <w:r w:rsidRPr="00C16E02">
        <w:rPr>
          <w:rStyle w:val="FootnoteReference"/>
          <w:rFonts w:asciiTheme="majorHAnsi" w:hAnsiTheme="majorHAnsi"/>
          <w:sz w:val="16"/>
          <w:szCs w:val="16"/>
          <w:lang w:val="es-ES"/>
        </w:rPr>
        <w:footnoteRef/>
      </w:r>
      <w:r w:rsidRPr="00C16E02">
        <w:rPr>
          <w:rFonts w:asciiTheme="majorHAnsi" w:hAnsiTheme="majorHAnsi"/>
          <w:sz w:val="16"/>
          <w:szCs w:val="16"/>
          <w:lang w:val="es-ES"/>
        </w:rPr>
        <w:t xml:space="preserve"> Conforme a lo dispuesto en el artículo 17.2.a del Reglamento de la Comisión, el Comisionado </w:t>
      </w:r>
      <w:r w:rsidR="00903D95" w:rsidRPr="00C16E02">
        <w:rPr>
          <w:rFonts w:asciiTheme="majorHAnsi" w:hAnsiTheme="majorHAnsi"/>
          <w:sz w:val="16"/>
          <w:szCs w:val="16"/>
          <w:lang w:val="es-ES"/>
        </w:rPr>
        <w:t>Edgar St</w:t>
      </w:r>
      <w:r w:rsidR="00030EA9">
        <w:rPr>
          <w:rFonts w:asciiTheme="majorHAnsi" w:hAnsiTheme="majorHAnsi"/>
          <w:sz w:val="16"/>
          <w:szCs w:val="16"/>
          <w:lang w:val="es-ES"/>
        </w:rPr>
        <w:t>u</w:t>
      </w:r>
      <w:r w:rsidR="00903D95" w:rsidRPr="00C16E02">
        <w:rPr>
          <w:rFonts w:asciiTheme="majorHAnsi" w:hAnsiTheme="majorHAnsi"/>
          <w:sz w:val="16"/>
          <w:szCs w:val="16"/>
          <w:lang w:val="es-ES"/>
        </w:rPr>
        <w:t>ardo Ralón Orellana</w:t>
      </w:r>
      <w:r w:rsidRPr="00C16E02">
        <w:rPr>
          <w:rFonts w:asciiTheme="majorHAnsi" w:hAnsiTheme="majorHAnsi"/>
          <w:sz w:val="16"/>
          <w:szCs w:val="16"/>
          <w:lang w:val="es-ES"/>
        </w:rPr>
        <w:t xml:space="preserve">, de nacionalidad </w:t>
      </w:r>
      <w:r w:rsidR="00903D95" w:rsidRPr="00C16E02">
        <w:rPr>
          <w:rFonts w:asciiTheme="majorHAnsi" w:hAnsiTheme="majorHAnsi"/>
          <w:sz w:val="16"/>
          <w:szCs w:val="16"/>
          <w:lang w:val="es-ES"/>
        </w:rPr>
        <w:t>guatemalteca</w:t>
      </w:r>
      <w:r w:rsidRPr="00C16E02">
        <w:rPr>
          <w:rFonts w:asciiTheme="majorHAnsi" w:hAnsiTheme="majorHAnsi"/>
          <w:sz w:val="16"/>
          <w:szCs w:val="16"/>
          <w:lang w:val="es-ES"/>
        </w:rPr>
        <w:t>, no participó en el debate ni en la decisión del presente asunto.</w:t>
      </w:r>
    </w:p>
  </w:footnote>
  <w:footnote w:id="4">
    <w:p w14:paraId="3D3421D9" w14:textId="77777777" w:rsidR="00BD4524" w:rsidRPr="00C16E02" w:rsidRDefault="00BD4524" w:rsidP="00FD0FA3">
      <w:pPr>
        <w:pStyle w:val="FootnoteText"/>
        <w:ind w:firstLine="720"/>
        <w:jc w:val="both"/>
        <w:rPr>
          <w:rFonts w:asciiTheme="majorHAnsi" w:hAnsiTheme="majorHAnsi"/>
          <w:sz w:val="16"/>
          <w:szCs w:val="16"/>
          <w:lang w:val="es-ES"/>
        </w:rPr>
      </w:pPr>
      <w:r w:rsidRPr="00C16E02">
        <w:rPr>
          <w:rStyle w:val="FootnoteReference"/>
          <w:rFonts w:asciiTheme="majorHAnsi" w:hAnsiTheme="majorHAnsi"/>
          <w:sz w:val="16"/>
          <w:szCs w:val="16"/>
          <w:lang w:val="es-ES"/>
        </w:rPr>
        <w:footnoteRef/>
      </w:r>
      <w:r w:rsidRPr="00C16E02">
        <w:rPr>
          <w:rStyle w:val="FootnoteReference"/>
          <w:rFonts w:asciiTheme="majorHAnsi" w:hAnsiTheme="majorHAnsi"/>
          <w:sz w:val="16"/>
          <w:szCs w:val="16"/>
          <w:lang w:val="es-ES"/>
        </w:rPr>
        <w:t xml:space="preserve"> </w:t>
      </w:r>
      <w:r w:rsidRPr="00C16E02">
        <w:rPr>
          <w:rFonts w:asciiTheme="majorHAnsi" w:hAnsiTheme="majorHAnsi"/>
          <w:sz w:val="16"/>
          <w:szCs w:val="16"/>
          <w:lang w:val="es-ES"/>
        </w:rPr>
        <w:t xml:space="preserve">En adelante, “la Convención Americana” o “la Convención”. </w:t>
      </w:r>
      <w:r w:rsidRPr="00C16E02">
        <w:rPr>
          <w:rFonts w:asciiTheme="majorHAnsi" w:hAnsiTheme="majorHAnsi"/>
          <w:sz w:val="16"/>
          <w:szCs w:val="16"/>
          <w:lang w:val="es-ES"/>
        </w:rPr>
        <w:tab/>
      </w:r>
    </w:p>
  </w:footnote>
  <w:footnote w:id="5">
    <w:p w14:paraId="2CA76893" w14:textId="1470E806" w:rsidR="00BD4524" w:rsidRPr="00C16E02" w:rsidRDefault="00BD4524" w:rsidP="00FD0FA3">
      <w:pPr>
        <w:pStyle w:val="FootnoteText"/>
        <w:ind w:firstLine="720"/>
        <w:jc w:val="both"/>
        <w:rPr>
          <w:rFonts w:asciiTheme="majorHAnsi" w:hAnsiTheme="majorHAnsi"/>
          <w:sz w:val="16"/>
          <w:szCs w:val="16"/>
          <w:lang w:val="es-ES"/>
        </w:rPr>
      </w:pPr>
      <w:r w:rsidRPr="00C16E02">
        <w:rPr>
          <w:rStyle w:val="FootnoteReference"/>
          <w:rFonts w:asciiTheme="majorHAnsi" w:hAnsiTheme="majorHAnsi"/>
          <w:sz w:val="16"/>
          <w:szCs w:val="16"/>
          <w:lang w:val="es-ES"/>
        </w:rPr>
        <w:footnoteRef/>
      </w:r>
      <w:r w:rsidRPr="00C16E02">
        <w:rPr>
          <w:rFonts w:asciiTheme="majorHAnsi" w:hAnsiTheme="majorHAnsi"/>
          <w:sz w:val="16"/>
          <w:szCs w:val="16"/>
          <w:lang w:val="es-ES"/>
        </w:rPr>
        <w:t xml:space="preserve"> En adelante, “</w:t>
      </w:r>
      <w:r w:rsidR="00030EA9">
        <w:rPr>
          <w:rFonts w:asciiTheme="majorHAnsi" w:hAnsiTheme="majorHAnsi"/>
          <w:sz w:val="16"/>
          <w:szCs w:val="16"/>
          <w:lang w:val="es-ES"/>
        </w:rPr>
        <w:t xml:space="preserve">el </w:t>
      </w:r>
      <w:r w:rsidRPr="00C16E02">
        <w:rPr>
          <w:rFonts w:asciiTheme="majorHAnsi" w:hAnsiTheme="majorHAnsi"/>
          <w:sz w:val="16"/>
          <w:szCs w:val="16"/>
          <w:lang w:val="es-ES"/>
        </w:rPr>
        <w:t>Protocolo de San Salvador”.</w:t>
      </w:r>
    </w:p>
  </w:footnote>
  <w:footnote w:id="6">
    <w:p w14:paraId="22E13C17" w14:textId="77777777" w:rsidR="00420166" w:rsidRPr="003A566C" w:rsidRDefault="00420166" w:rsidP="00FD0FA3">
      <w:pPr>
        <w:pStyle w:val="FootnoteText"/>
        <w:ind w:firstLine="720"/>
        <w:jc w:val="both"/>
        <w:rPr>
          <w:rFonts w:asciiTheme="majorHAnsi" w:hAnsiTheme="majorHAnsi"/>
          <w:sz w:val="16"/>
          <w:szCs w:val="16"/>
          <w:lang w:val="es-PE"/>
        </w:rPr>
      </w:pPr>
      <w:r w:rsidRPr="003A566C">
        <w:rPr>
          <w:rStyle w:val="FootnoteReference"/>
          <w:rFonts w:asciiTheme="majorHAnsi" w:hAnsiTheme="majorHAnsi"/>
          <w:sz w:val="16"/>
          <w:szCs w:val="16"/>
        </w:rPr>
        <w:footnoteRef/>
      </w:r>
      <w:r w:rsidRPr="003A566C">
        <w:rPr>
          <w:rFonts w:asciiTheme="majorHAnsi" w:hAnsiTheme="majorHAnsi"/>
          <w:sz w:val="16"/>
          <w:szCs w:val="16"/>
          <w:lang w:val="es-PE"/>
        </w:rPr>
        <w:t xml:space="preserve"> </w:t>
      </w:r>
      <w:r>
        <w:rPr>
          <w:rFonts w:asciiTheme="majorHAnsi" w:hAnsiTheme="majorHAnsi"/>
          <w:bCs/>
          <w:sz w:val="16"/>
          <w:szCs w:val="16"/>
          <w:lang w:val="es-ES"/>
        </w:rPr>
        <w:t>L</w:t>
      </w:r>
      <w:r w:rsidRPr="003A566C">
        <w:rPr>
          <w:rFonts w:asciiTheme="majorHAnsi" w:hAnsiTheme="majorHAnsi"/>
          <w:bCs/>
          <w:sz w:val="16"/>
          <w:szCs w:val="16"/>
          <w:lang w:val="es-ES"/>
        </w:rPr>
        <w:t>a Declaración de Derechos del Hombre de las Naciones Unidas</w:t>
      </w:r>
    </w:p>
  </w:footnote>
  <w:footnote w:id="7">
    <w:p w14:paraId="79F07139" w14:textId="77777777" w:rsidR="008E3BFE" w:rsidRPr="00C16E02" w:rsidRDefault="008E3BFE" w:rsidP="00FD0FA3">
      <w:pPr>
        <w:pStyle w:val="FootnoteText"/>
        <w:spacing w:after="120"/>
        <w:ind w:firstLine="720"/>
        <w:jc w:val="both"/>
        <w:rPr>
          <w:rFonts w:asciiTheme="majorHAnsi" w:hAnsiTheme="majorHAnsi"/>
          <w:sz w:val="16"/>
          <w:szCs w:val="16"/>
          <w:lang w:val="es-ES"/>
        </w:rPr>
      </w:pPr>
      <w:r w:rsidRPr="00C16E02">
        <w:rPr>
          <w:rStyle w:val="FootnoteReference"/>
          <w:rFonts w:asciiTheme="majorHAnsi" w:hAnsiTheme="majorHAnsi"/>
          <w:sz w:val="16"/>
          <w:szCs w:val="16"/>
          <w:lang w:val="es-ES"/>
        </w:rPr>
        <w:footnoteRef/>
      </w:r>
      <w:r w:rsidRPr="00C16E02">
        <w:rPr>
          <w:rFonts w:asciiTheme="majorHAnsi" w:hAnsiTheme="majorHAnsi"/>
          <w:sz w:val="16"/>
          <w:szCs w:val="16"/>
          <w:lang w:val="es-ES"/>
        </w:rPr>
        <w:t xml:space="preserve"> Las observaciones de cada parte fueron debidamente trasladadas a la parte contraria.</w:t>
      </w:r>
    </w:p>
  </w:footnote>
  <w:footnote w:id="8">
    <w:p w14:paraId="6E65E0E4" w14:textId="77777777" w:rsidR="000E4DD4" w:rsidRPr="00C16E02" w:rsidRDefault="000E4DD4" w:rsidP="00FD0FA3">
      <w:pPr>
        <w:pStyle w:val="FootnoteText"/>
        <w:ind w:firstLine="720"/>
        <w:jc w:val="both"/>
        <w:rPr>
          <w:rFonts w:asciiTheme="majorHAnsi" w:hAnsiTheme="majorHAnsi"/>
          <w:sz w:val="16"/>
          <w:szCs w:val="16"/>
          <w:lang w:val="es-ES"/>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La parte peticionaria indica que los soldados que participaron en los hechos provenían de los destacamentos militares de Chiul</w:t>
      </w:r>
      <w:r w:rsidRPr="00C16E02">
        <w:rPr>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y Uspantán, mientras que los patrulleros de Autodefensa Civil pertenecían a las comunidades de Xemanzana y Chuatuj, del municipio de Cunén. Señala que las presuntas víctimas los conocían personalmente.</w:t>
      </w:r>
    </w:p>
  </w:footnote>
  <w:footnote w:id="9">
    <w:p w14:paraId="32562372" w14:textId="3F026D5A" w:rsidR="000E4DD4" w:rsidRPr="00C16E02" w:rsidRDefault="000E4DD4" w:rsidP="00FD0FA3">
      <w:pPr>
        <w:pStyle w:val="FootnoteText"/>
        <w:ind w:firstLine="720"/>
        <w:jc w:val="both"/>
        <w:rPr>
          <w:rFonts w:asciiTheme="majorHAnsi" w:eastAsia="Times New Roman" w:hAnsiTheme="majorHAnsi"/>
          <w:color w:val="1A1A1A"/>
          <w:sz w:val="16"/>
          <w:szCs w:val="16"/>
          <w:bdr w:val="none" w:sz="0" w:space="0" w:color="auto"/>
          <w:lang w:val="es-ES" w:eastAsia="es-MX"/>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Explica que las presuntas víctimas huyeron a distintos lugares: Caba en Chajul, a una montafia cerca de Villa Hortensia I y a la montafia La Guacamaya, cerca de la comunidad de Vi' cocol.</w:t>
      </w:r>
    </w:p>
  </w:footnote>
  <w:footnote w:id="10">
    <w:p w14:paraId="273D4B56" w14:textId="134F84E6" w:rsidR="00E42320" w:rsidRPr="00C16E02" w:rsidRDefault="00E42320" w:rsidP="00FD0FA3">
      <w:pPr>
        <w:pStyle w:val="FootnoteText"/>
        <w:ind w:firstLine="720"/>
        <w:jc w:val="both"/>
        <w:rPr>
          <w:rStyle w:val="FootnoteReference"/>
          <w:rFonts w:asciiTheme="majorHAnsi" w:hAnsiTheme="majorHAnsi"/>
          <w:color w:val="auto"/>
          <w:sz w:val="16"/>
          <w:szCs w:val="16"/>
          <w:lang w:val="es-ES"/>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CIDH, Informe No. 6</w:t>
      </w:r>
      <w:r w:rsidRPr="00C16E02">
        <w:rPr>
          <w:rStyle w:val="FootnoteReference"/>
          <w:rFonts w:asciiTheme="majorHAnsi" w:hAnsiTheme="majorHAnsi"/>
          <w:sz w:val="16"/>
          <w:szCs w:val="16"/>
          <w:vertAlign w:val="baseline"/>
          <w:lang w:val="es-ES"/>
        </w:rPr>
        <w:t>7</w:t>
      </w:r>
      <w:r w:rsidRPr="00C16E02">
        <w:rPr>
          <w:rStyle w:val="FootnoteReference"/>
          <w:rFonts w:asciiTheme="majorHAnsi" w:hAnsiTheme="majorHAnsi"/>
          <w:color w:val="auto"/>
          <w:sz w:val="16"/>
          <w:szCs w:val="16"/>
          <w:vertAlign w:val="baseline"/>
          <w:lang w:val="es-ES"/>
        </w:rPr>
        <w:t>/2</w:t>
      </w:r>
      <w:r w:rsidRPr="00C16E02">
        <w:rPr>
          <w:rStyle w:val="FootnoteReference"/>
          <w:rFonts w:asciiTheme="majorHAnsi" w:hAnsiTheme="majorHAnsi"/>
          <w:sz w:val="16"/>
          <w:szCs w:val="16"/>
          <w:vertAlign w:val="baseline"/>
          <w:lang w:val="es-ES"/>
        </w:rPr>
        <w:t>3</w:t>
      </w:r>
      <w:r w:rsidRPr="00C16E02">
        <w:rPr>
          <w:rStyle w:val="FootnoteReference"/>
          <w:rFonts w:asciiTheme="majorHAnsi" w:hAnsiTheme="majorHAnsi"/>
          <w:color w:val="auto"/>
          <w:sz w:val="16"/>
          <w:szCs w:val="16"/>
          <w:vertAlign w:val="baseline"/>
          <w:lang w:val="es-ES"/>
        </w:rPr>
        <w:t>, Petición 1</w:t>
      </w:r>
      <w:r w:rsidRPr="00C16E02">
        <w:rPr>
          <w:rStyle w:val="FootnoteReference"/>
          <w:rFonts w:asciiTheme="majorHAnsi" w:hAnsiTheme="majorHAnsi"/>
          <w:sz w:val="16"/>
          <w:szCs w:val="16"/>
          <w:vertAlign w:val="baseline"/>
          <w:lang w:val="es-ES"/>
        </w:rPr>
        <w:t>503-11</w:t>
      </w:r>
      <w:r w:rsidR="00020329">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Admisibilidad</w:t>
      </w:r>
      <w:r w:rsidR="00020329">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Vecinos de la C</w:t>
      </w:r>
      <w:r w:rsidRPr="00C16E02">
        <w:rPr>
          <w:rStyle w:val="FootnoteReference"/>
          <w:rFonts w:asciiTheme="majorHAnsi" w:hAnsiTheme="majorHAnsi"/>
          <w:sz w:val="16"/>
          <w:szCs w:val="16"/>
          <w:vertAlign w:val="baseline"/>
          <w:lang w:val="es-ES"/>
        </w:rPr>
        <w:t>omunidad El Triunfo</w:t>
      </w:r>
      <w:r w:rsidR="00020329">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Guatemala</w:t>
      </w:r>
      <w:r w:rsidR="00020329">
        <w:rPr>
          <w:rFonts w:asciiTheme="majorHAnsi" w:hAnsiTheme="majorHAnsi"/>
          <w:color w:val="auto"/>
          <w:sz w:val="16"/>
          <w:szCs w:val="16"/>
          <w:lang w:val="es-ES"/>
        </w:rPr>
        <w:t>,</w:t>
      </w:r>
      <w:r w:rsidRPr="00C16E02">
        <w:rPr>
          <w:rStyle w:val="FootnoteReference"/>
          <w:rFonts w:asciiTheme="majorHAnsi" w:hAnsiTheme="majorHAnsi"/>
          <w:color w:val="auto"/>
          <w:sz w:val="16"/>
          <w:szCs w:val="16"/>
          <w:vertAlign w:val="baseline"/>
          <w:lang w:val="es-ES"/>
        </w:rPr>
        <w:t xml:space="preserve"> 3</w:t>
      </w:r>
      <w:r w:rsidRPr="00C16E02">
        <w:rPr>
          <w:rStyle w:val="FootnoteReference"/>
          <w:rFonts w:asciiTheme="majorHAnsi" w:hAnsiTheme="majorHAnsi"/>
          <w:sz w:val="16"/>
          <w:szCs w:val="16"/>
          <w:vertAlign w:val="baseline"/>
          <w:lang w:val="es-ES"/>
        </w:rPr>
        <w:t>0</w:t>
      </w:r>
      <w:r w:rsidRPr="00C16E02">
        <w:rPr>
          <w:rStyle w:val="FootnoteReference"/>
          <w:rFonts w:asciiTheme="majorHAnsi" w:hAnsiTheme="majorHAnsi"/>
          <w:color w:val="auto"/>
          <w:sz w:val="16"/>
          <w:szCs w:val="16"/>
          <w:vertAlign w:val="baseline"/>
          <w:lang w:val="es-ES"/>
        </w:rPr>
        <w:t xml:space="preserve"> de m</w:t>
      </w:r>
      <w:r w:rsidRPr="00C16E02">
        <w:rPr>
          <w:rStyle w:val="FootnoteReference"/>
          <w:rFonts w:asciiTheme="majorHAnsi" w:hAnsiTheme="majorHAnsi"/>
          <w:sz w:val="16"/>
          <w:szCs w:val="16"/>
          <w:vertAlign w:val="baseline"/>
          <w:lang w:val="es-ES"/>
        </w:rPr>
        <w:t>ayo</w:t>
      </w:r>
      <w:r w:rsidRPr="00C16E02">
        <w:rPr>
          <w:rStyle w:val="FootnoteReference"/>
          <w:rFonts w:asciiTheme="majorHAnsi" w:hAnsiTheme="majorHAnsi"/>
          <w:color w:val="auto"/>
          <w:sz w:val="16"/>
          <w:szCs w:val="16"/>
          <w:vertAlign w:val="baseline"/>
          <w:lang w:val="es-ES"/>
        </w:rPr>
        <w:t xml:space="preserve"> de 2</w:t>
      </w:r>
      <w:r w:rsidRPr="00C16E02">
        <w:rPr>
          <w:rStyle w:val="FootnoteReference"/>
          <w:rFonts w:asciiTheme="majorHAnsi" w:hAnsiTheme="majorHAnsi"/>
          <w:sz w:val="16"/>
          <w:szCs w:val="16"/>
          <w:vertAlign w:val="baseline"/>
          <w:lang w:val="es-ES"/>
        </w:rPr>
        <w:t>023</w:t>
      </w:r>
      <w:r w:rsidRPr="00C16E02">
        <w:rPr>
          <w:rStyle w:val="FootnoteReference"/>
          <w:rFonts w:asciiTheme="majorHAnsi" w:hAnsiTheme="majorHAnsi"/>
          <w:color w:val="auto"/>
          <w:sz w:val="16"/>
          <w:szCs w:val="16"/>
          <w:vertAlign w:val="baseline"/>
          <w:lang w:val="es-ES"/>
        </w:rPr>
        <w:t>,</w:t>
      </w:r>
      <w:r w:rsidRPr="00C16E02">
        <w:rPr>
          <w:rStyle w:val="FootnoteReference"/>
          <w:rFonts w:asciiTheme="majorHAnsi" w:hAnsiTheme="majorHAnsi"/>
          <w:sz w:val="16"/>
          <w:szCs w:val="16"/>
          <w:vertAlign w:val="baseline"/>
          <w:lang w:val="es-ES"/>
        </w:rPr>
        <w:t xml:space="preserve"> </w:t>
      </w:r>
      <w:r w:rsidRPr="00C16E02">
        <w:rPr>
          <w:rStyle w:val="FootnoteReference"/>
          <w:rFonts w:asciiTheme="majorHAnsi" w:hAnsiTheme="majorHAnsi"/>
          <w:color w:val="auto"/>
          <w:sz w:val="16"/>
          <w:szCs w:val="16"/>
          <w:vertAlign w:val="baseline"/>
          <w:lang w:val="es-ES"/>
        </w:rPr>
        <w:t>párr. 2</w:t>
      </w:r>
      <w:r w:rsidRPr="00C16E02">
        <w:rPr>
          <w:rStyle w:val="FootnoteReference"/>
          <w:rFonts w:asciiTheme="majorHAnsi" w:hAnsiTheme="majorHAnsi"/>
          <w:sz w:val="16"/>
          <w:szCs w:val="16"/>
          <w:vertAlign w:val="baseline"/>
          <w:lang w:val="es-ES"/>
        </w:rPr>
        <w:t>9.</w:t>
      </w:r>
    </w:p>
  </w:footnote>
  <w:footnote w:id="11">
    <w:p w14:paraId="3F8C8A61" w14:textId="3B51B3D9" w:rsidR="005B4310" w:rsidRPr="001272A1" w:rsidRDefault="005B4310" w:rsidP="00FD0FA3">
      <w:pPr>
        <w:pStyle w:val="FootnoteText"/>
        <w:ind w:firstLine="720"/>
        <w:jc w:val="both"/>
        <w:rPr>
          <w:rFonts w:asciiTheme="majorHAnsi" w:hAnsiTheme="majorHAnsi"/>
          <w:color w:val="auto"/>
          <w:sz w:val="16"/>
          <w:szCs w:val="16"/>
          <w:vertAlign w:val="superscript"/>
          <w:lang w:val="pt-BR"/>
        </w:rPr>
      </w:pPr>
      <w:r>
        <w:rPr>
          <w:rStyle w:val="FootnoteReference"/>
        </w:rPr>
        <w:footnoteRef/>
      </w:r>
      <w:r w:rsidRPr="003B67CB">
        <w:rPr>
          <w:lang w:val="pt-BR"/>
        </w:rPr>
        <w:t xml:space="preserve"> </w:t>
      </w:r>
      <w:r w:rsidR="007D3F0F" w:rsidRPr="003B67CB">
        <w:rPr>
          <w:rStyle w:val="FootnoteReference"/>
          <w:rFonts w:asciiTheme="majorHAnsi" w:hAnsiTheme="majorHAnsi"/>
          <w:color w:val="auto"/>
          <w:sz w:val="16"/>
          <w:szCs w:val="16"/>
          <w:vertAlign w:val="baseline"/>
          <w:lang w:val="pt-BR"/>
        </w:rPr>
        <w:t>CIDH, Informe No. 6</w:t>
      </w:r>
      <w:r w:rsidR="007D3F0F" w:rsidRPr="003B67CB">
        <w:rPr>
          <w:rStyle w:val="FootnoteReference"/>
          <w:rFonts w:asciiTheme="majorHAnsi" w:hAnsiTheme="majorHAnsi"/>
          <w:sz w:val="16"/>
          <w:szCs w:val="16"/>
          <w:vertAlign w:val="baseline"/>
          <w:lang w:val="pt-BR"/>
        </w:rPr>
        <w:t>7</w:t>
      </w:r>
      <w:r w:rsidR="007D3F0F" w:rsidRPr="003B67CB">
        <w:rPr>
          <w:rStyle w:val="FootnoteReference"/>
          <w:rFonts w:asciiTheme="majorHAnsi" w:hAnsiTheme="majorHAnsi"/>
          <w:color w:val="auto"/>
          <w:sz w:val="16"/>
          <w:szCs w:val="16"/>
          <w:vertAlign w:val="baseline"/>
          <w:lang w:val="pt-BR"/>
        </w:rPr>
        <w:t>/2</w:t>
      </w:r>
      <w:r w:rsidR="007D3F0F" w:rsidRPr="003B67CB">
        <w:rPr>
          <w:rStyle w:val="FootnoteReference"/>
          <w:rFonts w:asciiTheme="majorHAnsi" w:hAnsiTheme="majorHAnsi"/>
          <w:sz w:val="16"/>
          <w:szCs w:val="16"/>
          <w:vertAlign w:val="baseline"/>
          <w:lang w:val="pt-BR"/>
        </w:rPr>
        <w:t>3</w:t>
      </w:r>
      <w:r w:rsidR="007D3F0F" w:rsidRPr="003B67CB">
        <w:rPr>
          <w:rStyle w:val="FootnoteReference"/>
          <w:rFonts w:asciiTheme="majorHAnsi" w:hAnsiTheme="majorHAnsi"/>
          <w:color w:val="auto"/>
          <w:sz w:val="16"/>
          <w:szCs w:val="16"/>
          <w:vertAlign w:val="baseline"/>
          <w:lang w:val="pt-BR"/>
        </w:rPr>
        <w:t>, Petición 1</w:t>
      </w:r>
      <w:r w:rsidR="007D3F0F" w:rsidRPr="003B67CB">
        <w:rPr>
          <w:rStyle w:val="FootnoteReference"/>
          <w:rFonts w:asciiTheme="majorHAnsi" w:hAnsiTheme="majorHAnsi"/>
          <w:sz w:val="16"/>
          <w:szCs w:val="16"/>
          <w:vertAlign w:val="baseline"/>
          <w:lang w:val="pt-BR"/>
        </w:rPr>
        <w:t>503-11</w:t>
      </w:r>
      <w:r w:rsidR="00020329">
        <w:rPr>
          <w:rFonts w:asciiTheme="majorHAnsi" w:hAnsiTheme="majorHAnsi"/>
          <w:color w:val="auto"/>
          <w:sz w:val="16"/>
          <w:szCs w:val="16"/>
          <w:lang w:val="pt-BR"/>
        </w:rPr>
        <w:t>,</w:t>
      </w:r>
      <w:r w:rsidR="007D3F0F" w:rsidRPr="003B67CB">
        <w:rPr>
          <w:rStyle w:val="FootnoteReference"/>
          <w:rFonts w:asciiTheme="majorHAnsi" w:hAnsiTheme="majorHAnsi"/>
          <w:color w:val="auto"/>
          <w:sz w:val="16"/>
          <w:szCs w:val="16"/>
          <w:vertAlign w:val="baseline"/>
          <w:lang w:val="pt-BR"/>
        </w:rPr>
        <w:t xml:space="preserve"> Admisibilidad</w:t>
      </w:r>
      <w:r w:rsidR="00020329">
        <w:rPr>
          <w:rFonts w:asciiTheme="majorHAnsi" w:hAnsiTheme="majorHAnsi"/>
          <w:color w:val="auto"/>
          <w:sz w:val="16"/>
          <w:szCs w:val="16"/>
          <w:lang w:val="pt-BR"/>
        </w:rPr>
        <w:t>,</w:t>
      </w:r>
      <w:r w:rsidR="007D3F0F" w:rsidRPr="003B67CB">
        <w:rPr>
          <w:rStyle w:val="FootnoteReference"/>
          <w:rFonts w:asciiTheme="majorHAnsi" w:hAnsiTheme="majorHAnsi"/>
          <w:color w:val="auto"/>
          <w:sz w:val="16"/>
          <w:szCs w:val="16"/>
          <w:vertAlign w:val="baseline"/>
          <w:lang w:val="pt-BR"/>
        </w:rPr>
        <w:t xml:space="preserve"> Vecinos de la C</w:t>
      </w:r>
      <w:r w:rsidR="007D3F0F" w:rsidRPr="003B67CB">
        <w:rPr>
          <w:rStyle w:val="FootnoteReference"/>
          <w:rFonts w:asciiTheme="majorHAnsi" w:hAnsiTheme="majorHAnsi"/>
          <w:sz w:val="16"/>
          <w:szCs w:val="16"/>
          <w:vertAlign w:val="baseline"/>
          <w:lang w:val="pt-BR"/>
        </w:rPr>
        <w:t>omunidad El Triunfo</w:t>
      </w:r>
      <w:r w:rsidR="00020329">
        <w:rPr>
          <w:rFonts w:asciiTheme="majorHAnsi" w:hAnsiTheme="majorHAnsi"/>
          <w:color w:val="auto"/>
          <w:sz w:val="16"/>
          <w:szCs w:val="16"/>
          <w:lang w:val="pt-BR"/>
        </w:rPr>
        <w:t>,</w:t>
      </w:r>
      <w:r w:rsidR="007D3F0F" w:rsidRPr="003B67CB">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007D3F0F" w:rsidRPr="003B67CB">
        <w:rPr>
          <w:rStyle w:val="FootnoteReference"/>
          <w:rFonts w:asciiTheme="majorHAnsi" w:hAnsiTheme="majorHAnsi"/>
          <w:color w:val="auto"/>
          <w:sz w:val="16"/>
          <w:szCs w:val="16"/>
          <w:vertAlign w:val="baseline"/>
          <w:lang w:val="pt-BR"/>
        </w:rPr>
        <w:t xml:space="preserve"> 3</w:t>
      </w:r>
      <w:r w:rsidR="007D3F0F" w:rsidRPr="003B67CB">
        <w:rPr>
          <w:rStyle w:val="FootnoteReference"/>
          <w:rFonts w:asciiTheme="majorHAnsi" w:hAnsiTheme="majorHAnsi"/>
          <w:sz w:val="16"/>
          <w:szCs w:val="16"/>
          <w:vertAlign w:val="baseline"/>
          <w:lang w:val="pt-BR"/>
        </w:rPr>
        <w:t>0</w:t>
      </w:r>
      <w:r w:rsidR="007D3F0F" w:rsidRPr="003B67CB">
        <w:rPr>
          <w:rStyle w:val="FootnoteReference"/>
          <w:rFonts w:asciiTheme="majorHAnsi" w:hAnsiTheme="majorHAnsi"/>
          <w:color w:val="auto"/>
          <w:sz w:val="16"/>
          <w:szCs w:val="16"/>
          <w:vertAlign w:val="baseline"/>
          <w:lang w:val="pt-BR"/>
        </w:rPr>
        <w:t xml:space="preserve"> de m</w:t>
      </w:r>
      <w:r w:rsidR="007D3F0F" w:rsidRPr="003B67CB">
        <w:rPr>
          <w:rStyle w:val="FootnoteReference"/>
          <w:rFonts w:asciiTheme="majorHAnsi" w:hAnsiTheme="majorHAnsi"/>
          <w:sz w:val="16"/>
          <w:szCs w:val="16"/>
          <w:vertAlign w:val="baseline"/>
          <w:lang w:val="pt-BR"/>
        </w:rPr>
        <w:t>ayo</w:t>
      </w:r>
      <w:r w:rsidR="007D3F0F" w:rsidRPr="003B67CB">
        <w:rPr>
          <w:rStyle w:val="FootnoteReference"/>
          <w:rFonts w:asciiTheme="majorHAnsi" w:hAnsiTheme="majorHAnsi"/>
          <w:color w:val="auto"/>
          <w:sz w:val="16"/>
          <w:szCs w:val="16"/>
          <w:vertAlign w:val="baseline"/>
          <w:lang w:val="pt-BR"/>
        </w:rPr>
        <w:t xml:space="preserve"> de 2</w:t>
      </w:r>
      <w:r w:rsidR="007D3F0F" w:rsidRPr="003B67CB">
        <w:rPr>
          <w:rStyle w:val="FootnoteReference"/>
          <w:rFonts w:asciiTheme="majorHAnsi" w:hAnsiTheme="majorHAnsi"/>
          <w:sz w:val="16"/>
          <w:szCs w:val="16"/>
          <w:vertAlign w:val="baseline"/>
          <w:lang w:val="pt-BR"/>
        </w:rPr>
        <w:t>023</w:t>
      </w:r>
      <w:r w:rsidR="007D3F0F" w:rsidRPr="003B67CB">
        <w:rPr>
          <w:rStyle w:val="FootnoteReference"/>
          <w:rFonts w:asciiTheme="majorHAnsi" w:hAnsiTheme="majorHAnsi"/>
          <w:color w:val="auto"/>
          <w:sz w:val="16"/>
          <w:szCs w:val="16"/>
          <w:vertAlign w:val="baseline"/>
          <w:lang w:val="pt-BR"/>
        </w:rPr>
        <w:t>,</w:t>
      </w:r>
      <w:r w:rsidR="007D3F0F" w:rsidRPr="003B67CB">
        <w:rPr>
          <w:rStyle w:val="FootnoteReference"/>
          <w:rFonts w:asciiTheme="majorHAnsi" w:hAnsiTheme="majorHAnsi"/>
          <w:sz w:val="16"/>
          <w:szCs w:val="16"/>
          <w:vertAlign w:val="baseline"/>
          <w:lang w:val="pt-BR"/>
        </w:rPr>
        <w:t xml:space="preserve"> </w:t>
      </w:r>
      <w:r w:rsidR="007D3F0F" w:rsidRPr="003B67CB">
        <w:rPr>
          <w:rStyle w:val="FootnoteReference"/>
          <w:rFonts w:asciiTheme="majorHAnsi" w:hAnsiTheme="majorHAnsi"/>
          <w:color w:val="auto"/>
          <w:sz w:val="16"/>
          <w:szCs w:val="16"/>
          <w:vertAlign w:val="baseline"/>
          <w:lang w:val="pt-BR"/>
        </w:rPr>
        <w:t>párr. 2</w:t>
      </w:r>
      <w:r w:rsidR="003B67CB" w:rsidRPr="003B67CB">
        <w:rPr>
          <w:rFonts w:asciiTheme="majorHAnsi" w:hAnsiTheme="majorHAnsi"/>
          <w:sz w:val="16"/>
          <w:szCs w:val="16"/>
          <w:lang w:val="pt-BR"/>
        </w:rPr>
        <w:t>7; e</w:t>
      </w:r>
      <w:r w:rsidR="003B67CB">
        <w:rPr>
          <w:rFonts w:asciiTheme="majorHAnsi" w:hAnsiTheme="majorHAnsi"/>
          <w:sz w:val="16"/>
          <w:szCs w:val="16"/>
          <w:lang w:val="pt-BR"/>
        </w:rPr>
        <w:t xml:space="preserve"> </w:t>
      </w:r>
      <w:r w:rsidR="001272A1" w:rsidRPr="001272A1">
        <w:rPr>
          <w:rStyle w:val="FootnoteReference"/>
          <w:rFonts w:asciiTheme="majorHAnsi" w:hAnsiTheme="majorHAnsi"/>
          <w:color w:val="auto"/>
          <w:sz w:val="16"/>
          <w:szCs w:val="16"/>
          <w:vertAlign w:val="baseline"/>
          <w:lang w:val="pt-BR"/>
        </w:rPr>
        <w:t>Informe No. 355/22, Petición 1918-11</w:t>
      </w:r>
      <w:r w:rsidR="00020329">
        <w:rPr>
          <w:rFonts w:asciiTheme="majorHAnsi" w:hAnsiTheme="majorHAnsi"/>
          <w:color w:val="auto"/>
          <w:sz w:val="16"/>
          <w:szCs w:val="16"/>
          <w:lang w:val="pt-BR"/>
        </w:rPr>
        <w:t>,</w:t>
      </w:r>
      <w:r w:rsidR="001272A1" w:rsidRPr="001272A1">
        <w:rPr>
          <w:rStyle w:val="FootnoteReference"/>
          <w:rFonts w:asciiTheme="majorHAnsi" w:hAnsiTheme="majorHAnsi"/>
          <w:color w:val="auto"/>
          <w:sz w:val="16"/>
          <w:szCs w:val="16"/>
          <w:vertAlign w:val="baseline"/>
          <w:lang w:val="pt-BR"/>
        </w:rPr>
        <w:t xml:space="preserve"> Admisibilidad</w:t>
      </w:r>
      <w:r w:rsidR="00020329">
        <w:rPr>
          <w:rFonts w:asciiTheme="majorHAnsi" w:hAnsiTheme="majorHAnsi"/>
          <w:color w:val="auto"/>
          <w:sz w:val="16"/>
          <w:szCs w:val="16"/>
          <w:lang w:val="pt-BR"/>
        </w:rPr>
        <w:t>,</w:t>
      </w:r>
      <w:r w:rsidR="001272A1" w:rsidRPr="001272A1">
        <w:rPr>
          <w:rStyle w:val="FootnoteReference"/>
          <w:rFonts w:asciiTheme="majorHAnsi" w:hAnsiTheme="majorHAnsi"/>
          <w:color w:val="auto"/>
          <w:sz w:val="16"/>
          <w:szCs w:val="16"/>
          <w:vertAlign w:val="baseline"/>
          <w:lang w:val="pt-BR"/>
        </w:rPr>
        <w:t xml:space="preserve"> Vecinos de la Aldea Sesajal</w:t>
      </w:r>
      <w:r w:rsidR="00020329">
        <w:rPr>
          <w:rFonts w:asciiTheme="majorHAnsi" w:hAnsiTheme="majorHAnsi"/>
          <w:color w:val="auto"/>
          <w:sz w:val="16"/>
          <w:szCs w:val="16"/>
          <w:lang w:val="pt-BR"/>
        </w:rPr>
        <w:t>,</w:t>
      </w:r>
      <w:r w:rsidR="001272A1" w:rsidRPr="001272A1">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001272A1" w:rsidRPr="001272A1">
        <w:rPr>
          <w:rStyle w:val="FootnoteReference"/>
          <w:rFonts w:asciiTheme="majorHAnsi" w:hAnsiTheme="majorHAnsi"/>
          <w:color w:val="auto"/>
          <w:sz w:val="16"/>
          <w:szCs w:val="16"/>
          <w:vertAlign w:val="baseline"/>
          <w:lang w:val="pt-BR"/>
        </w:rPr>
        <w:t xml:space="preserve"> 12 de agosto de 2022, párr. 1</w:t>
      </w:r>
      <w:r w:rsidR="001272A1">
        <w:rPr>
          <w:rFonts w:asciiTheme="majorHAnsi" w:hAnsiTheme="majorHAnsi"/>
          <w:color w:val="auto"/>
          <w:sz w:val="16"/>
          <w:szCs w:val="16"/>
          <w:lang w:val="pt-BR"/>
        </w:rPr>
        <w:t>7</w:t>
      </w:r>
      <w:r w:rsidR="001272A1" w:rsidRPr="001272A1">
        <w:rPr>
          <w:rStyle w:val="FootnoteReference"/>
          <w:rFonts w:asciiTheme="majorHAnsi" w:hAnsiTheme="majorHAnsi"/>
          <w:color w:val="auto"/>
          <w:sz w:val="16"/>
          <w:szCs w:val="16"/>
          <w:vertAlign w:val="baseline"/>
          <w:lang w:val="pt-BR"/>
        </w:rPr>
        <w:t>.</w:t>
      </w:r>
    </w:p>
  </w:footnote>
  <w:footnote w:id="12">
    <w:p w14:paraId="6C89FEF3" w14:textId="742ED881" w:rsidR="00E42320" w:rsidRPr="00020329" w:rsidRDefault="00E42320" w:rsidP="00FD0FA3">
      <w:pPr>
        <w:pStyle w:val="FootnoteText"/>
        <w:ind w:firstLine="720"/>
        <w:jc w:val="both"/>
        <w:rPr>
          <w:rStyle w:val="FootnoteReference"/>
          <w:rFonts w:asciiTheme="majorHAnsi" w:hAnsiTheme="majorHAnsi"/>
          <w:color w:val="auto"/>
          <w:sz w:val="16"/>
          <w:szCs w:val="16"/>
          <w:lang w:val="pt-BR"/>
        </w:rPr>
      </w:pPr>
      <w:r w:rsidRPr="00C16E02">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Informe No. 355/22, Petición 1918-11</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Vecinos de la Aldea Sesajal</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12 de agosto de 2022, párr. 19.</w:t>
      </w:r>
    </w:p>
  </w:footnote>
  <w:footnote w:id="13">
    <w:p w14:paraId="53ACBF65" w14:textId="45605709" w:rsidR="00681DF6" w:rsidRPr="00020329" w:rsidRDefault="00681DF6" w:rsidP="00FD0FA3">
      <w:pPr>
        <w:pStyle w:val="FootnoteText"/>
        <w:ind w:firstLine="720"/>
        <w:jc w:val="both"/>
        <w:rPr>
          <w:rFonts w:asciiTheme="majorHAnsi" w:hAnsiTheme="majorHAnsi"/>
          <w:sz w:val="16"/>
          <w:szCs w:val="16"/>
          <w:lang w:val="pt-BR"/>
        </w:rPr>
      </w:pPr>
      <w:r w:rsidRPr="00C16E02">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Informe No. 6</w:t>
      </w:r>
      <w:r w:rsidRPr="00020329">
        <w:rPr>
          <w:rStyle w:val="FootnoteReference"/>
          <w:rFonts w:asciiTheme="majorHAnsi" w:hAnsiTheme="majorHAnsi"/>
          <w:sz w:val="16"/>
          <w:szCs w:val="16"/>
          <w:vertAlign w:val="baseline"/>
          <w:lang w:val="pt-BR"/>
        </w:rPr>
        <w:t>7</w:t>
      </w:r>
      <w:r w:rsidRPr="00020329">
        <w:rPr>
          <w:rStyle w:val="FootnoteReference"/>
          <w:rFonts w:asciiTheme="majorHAnsi" w:hAnsiTheme="majorHAnsi"/>
          <w:color w:val="auto"/>
          <w:sz w:val="16"/>
          <w:szCs w:val="16"/>
          <w:vertAlign w:val="baseline"/>
          <w:lang w:val="pt-BR"/>
        </w:rPr>
        <w:t>/2</w:t>
      </w:r>
      <w:r w:rsidRPr="00020329">
        <w:rPr>
          <w:rStyle w:val="FootnoteReference"/>
          <w:rFonts w:asciiTheme="majorHAnsi" w:hAnsiTheme="majorHAnsi"/>
          <w:sz w:val="16"/>
          <w:szCs w:val="16"/>
          <w:vertAlign w:val="baseline"/>
          <w:lang w:val="pt-BR"/>
        </w:rPr>
        <w:t>3</w:t>
      </w:r>
      <w:r w:rsidRPr="00020329">
        <w:rPr>
          <w:rStyle w:val="FootnoteReference"/>
          <w:rFonts w:asciiTheme="majorHAnsi" w:hAnsiTheme="majorHAnsi"/>
          <w:color w:val="auto"/>
          <w:sz w:val="16"/>
          <w:szCs w:val="16"/>
          <w:vertAlign w:val="baseline"/>
          <w:lang w:val="pt-BR"/>
        </w:rPr>
        <w:t>, Petición 1</w:t>
      </w:r>
      <w:r w:rsidRPr="00020329">
        <w:rPr>
          <w:rStyle w:val="FootnoteReference"/>
          <w:rFonts w:asciiTheme="majorHAnsi" w:hAnsiTheme="majorHAnsi"/>
          <w:sz w:val="16"/>
          <w:szCs w:val="16"/>
          <w:vertAlign w:val="baseline"/>
          <w:lang w:val="pt-BR"/>
        </w:rPr>
        <w:t>503-11</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Vecinos de la C</w:t>
      </w:r>
      <w:r w:rsidRPr="00020329">
        <w:rPr>
          <w:rStyle w:val="FootnoteReference"/>
          <w:rFonts w:asciiTheme="majorHAnsi" w:hAnsiTheme="majorHAnsi"/>
          <w:sz w:val="16"/>
          <w:szCs w:val="16"/>
          <w:vertAlign w:val="baseline"/>
          <w:lang w:val="pt-BR"/>
        </w:rPr>
        <w:t>omunidad El Triunfo</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w:t>
      </w:r>
      <w:r w:rsidRPr="00020329">
        <w:rPr>
          <w:rStyle w:val="FootnoteReference"/>
          <w:rFonts w:asciiTheme="majorHAnsi" w:hAnsiTheme="majorHAnsi"/>
          <w:sz w:val="16"/>
          <w:szCs w:val="16"/>
          <w:vertAlign w:val="baseline"/>
          <w:lang w:val="pt-BR"/>
        </w:rPr>
        <w:t>0</w:t>
      </w:r>
      <w:r w:rsidRPr="00020329">
        <w:rPr>
          <w:rStyle w:val="FootnoteReference"/>
          <w:rFonts w:asciiTheme="majorHAnsi" w:hAnsiTheme="majorHAnsi"/>
          <w:color w:val="auto"/>
          <w:sz w:val="16"/>
          <w:szCs w:val="16"/>
          <w:vertAlign w:val="baseline"/>
          <w:lang w:val="pt-BR"/>
        </w:rPr>
        <w:t xml:space="preserve"> de m</w:t>
      </w:r>
      <w:r w:rsidRPr="00020329">
        <w:rPr>
          <w:rStyle w:val="FootnoteReference"/>
          <w:rFonts w:asciiTheme="majorHAnsi" w:hAnsiTheme="majorHAnsi"/>
          <w:sz w:val="16"/>
          <w:szCs w:val="16"/>
          <w:vertAlign w:val="baseline"/>
          <w:lang w:val="pt-BR"/>
        </w:rPr>
        <w:t>ayo</w:t>
      </w:r>
      <w:r w:rsidRPr="00020329">
        <w:rPr>
          <w:rStyle w:val="FootnoteReference"/>
          <w:rFonts w:asciiTheme="majorHAnsi" w:hAnsiTheme="majorHAnsi"/>
          <w:color w:val="auto"/>
          <w:sz w:val="16"/>
          <w:szCs w:val="16"/>
          <w:vertAlign w:val="baseline"/>
          <w:lang w:val="pt-BR"/>
        </w:rPr>
        <w:t xml:space="preserve"> de 2</w:t>
      </w:r>
      <w:r w:rsidRPr="00020329">
        <w:rPr>
          <w:rStyle w:val="FootnoteReference"/>
          <w:rFonts w:asciiTheme="majorHAnsi" w:hAnsiTheme="majorHAnsi"/>
          <w:sz w:val="16"/>
          <w:szCs w:val="16"/>
          <w:vertAlign w:val="baseline"/>
          <w:lang w:val="pt-BR"/>
        </w:rPr>
        <w:t>023</w:t>
      </w:r>
      <w:r w:rsidRPr="00020329">
        <w:rPr>
          <w:rStyle w:val="FootnoteReference"/>
          <w:rFonts w:asciiTheme="majorHAnsi" w:hAnsiTheme="majorHAnsi"/>
          <w:color w:val="auto"/>
          <w:sz w:val="16"/>
          <w:szCs w:val="16"/>
          <w:vertAlign w:val="baseline"/>
          <w:lang w:val="pt-BR"/>
        </w:rPr>
        <w:t>,</w:t>
      </w:r>
      <w:r w:rsidRPr="00020329">
        <w:rPr>
          <w:rStyle w:val="FootnoteReference"/>
          <w:rFonts w:asciiTheme="majorHAnsi" w:hAnsiTheme="majorHAnsi"/>
          <w:sz w:val="16"/>
          <w:szCs w:val="16"/>
          <w:vertAlign w:val="baseline"/>
          <w:lang w:val="pt-BR"/>
        </w:rPr>
        <w:t xml:space="preserve"> </w:t>
      </w:r>
      <w:r w:rsidRPr="00020329">
        <w:rPr>
          <w:rStyle w:val="FootnoteReference"/>
          <w:rFonts w:asciiTheme="majorHAnsi" w:hAnsiTheme="majorHAnsi"/>
          <w:color w:val="auto"/>
          <w:sz w:val="16"/>
          <w:szCs w:val="16"/>
          <w:vertAlign w:val="baseline"/>
          <w:lang w:val="pt-BR"/>
        </w:rPr>
        <w:t>párr.</w:t>
      </w:r>
      <w:r w:rsidRPr="00020329">
        <w:rPr>
          <w:rStyle w:val="FootnoteReference"/>
          <w:rFonts w:asciiTheme="majorHAnsi" w:hAnsiTheme="majorHAnsi"/>
          <w:sz w:val="16"/>
          <w:szCs w:val="16"/>
          <w:vertAlign w:val="baseline"/>
          <w:lang w:val="pt-BR"/>
        </w:rPr>
        <w:t xml:space="preserve"> 30</w:t>
      </w:r>
      <w:r w:rsidRPr="00020329">
        <w:rPr>
          <w:rStyle w:val="FootnoteReference"/>
          <w:rFonts w:asciiTheme="majorHAnsi" w:hAnsiTheme="majorHAnsi"/>
          <w:color w:val="auto"/>
          <w:sz w:val="16"/>
          <w:szCs w:val="16"/>
          <w:vertAlign w:val="baseline"/>
          <w:lang w:val="pt-BR"/>
        </w:rPr>
        <w:t>.</w:t>
      </w:r>
    </w:p>
  </w:footnote>
  <w:footnote w:id="14">
    <w:p w14:paraId="5486215A" w14:textId="77777777" w:rsidR="00420166" w:rsidRPr="003224E1" w:rsidRDefault="00420166" w:rsidP="00FD0FA3">
      <w:pPr>
        <w:pStyle w:val="FootnoteText"/>
        <w:ind w:firstLine="720"/>
        <w:jc w:val="both"/>
        <w:rPr>
          <w:rFonts w:asciiTheme="majorHAnsi" w:hAnsiTheme="majorHAnsi"/>
          <w:color w:val="auto"/>
          <w:sz w:val="16"/>
          <w:szCs w:val="16"/>
          <w:vertAlign w:val="superscript"/>
          <w:lang w:val="pt-BR"/>
        </w:rPr>
      </w:pPr>
      <w:r w:rsidRPr="00367D41">
        <w:rPr>
          <w:rStyle w:val="FootnoteReference"/>
          <w:rFonts w:asciiTheme="majorHAnsi" w:hAnsiTheme="majorHAnsi"/>
          <w:color w:val="auto"/>
          <w:sz w:val="16"/>
          <w:szCs w:val="16"/>
          <w:lang w:val="es-ES"/>
        </w:rPr>
        <w:footnoteRef/>
      </w:r>
      <w:r w:rsidRPr="003224E1">
        <w:rPr>
          <w:rStyle w:val="FootnoteReference"/>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CIDH, Informe No. 71/16, Petición 765-09</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Comunidad Q’oq’ob del Municipio de Santa María Nebaj</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6 de</w:t>
      </w:r>
      <w:r w:rsidRPr="003224E1">
        <w:rPr>
          <w:rFonts w:asciiTheme="majorHAnsi" w:hAnsiTheme="majorHAnsi"/>
          <w:color w:val="auto"/>
          <w:sz w:val="16"/>
          <w:szCs w:val="16"/>
          <w:lang w:val="pt-BR"/>
        </w:rPr>
        <w:t xml:space="preserve"> </w:t>
      </w:r>
      <w:r w:rsidRPr="003224E1">
        <w:rPr>
          <w:rStyle w:val="FootnoteReference"/>
          <w:rFonts w:asciiTheme="majorHAnsi" w:hAnsiTheme="majorHAnsi"/>
          <w:color w:val="auto"/>
          <w:sz w:val="16"/>
          <w:szCs w:val="16"/>
          <w:vertAlign w:val="baseline"/>
          <w:lang w:val="pt-BR"/>
        </w:rPr>
        <w:t>diciembre de 2016, párr. 23.</w:t>
      </w:r>
    </w:p>
  </w:footnote>
  <w:footnote w:id="15">
    <w:p w14:paraId="1675E1FB" w14:textId="1C3CC288" w:rsidR="00D41C4E" w:rsidRPr="00020329" w:rsidRDefault="00D41C4E" w:rsidP="00FD0FA3">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Informe No. 57/08, Petición 283-06</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Inadmisibilidad</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Mario Roberto Chang Bravo</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24 de julio de 2008, párr. 38.</w:t>
      </w:r>
    </w:p>
  </w:footnote>
  <w:footnote w:id="16">
    <w:p w14:paraId="6A0405EB" w14:textId="1E76FEA7" w:rsidR="0074112D" w:rsidRPr="00020329" w:rsidRDefault="0074112D" w:rsidP="00FD0FA3">
      <w:pPr>
        <w:pStyle w:val="FootnoteText"/>
        <w:ind w:firstLine="720"/>
        <w:jc w:val="both"/>
        <w:rPr>
          <w:rStyle w:val="FootnoteReference"/>
          <w:rFonts w:asciiTheme="majorHAnsi" w:hAnsiTheme="majorHAnsi"/>
          <w:color w:val="auto"/>
          <w:sz w:val="16"/>
          <w:szCs w:val="16"/>
          <w:lang w:val="pt-BR"/>
        </w:rPr>
      </w:pPr>
      <w:r w:rsidRPr="008A5269">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Informe No. 61/16, Petición 12.325</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Comunidad de Paz San José de Apartadó</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Colombia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6 de diciembre de 2016, párr. 62.</w:t>
      </w:r>
      <w:r w:rsidR="00D41C4E" w:rsidRPr="00020329">
        <w:rPr>
          <w:rFonts w:asciiTheme="majorHAnsi" w:hAnsiTheme="majorHAnsi"/>
          <w:color w:val="auto"/>
          <w:sz w:val="16"/>
          <w:szCs w:val="16"/>
          <w:lang w:val="pt-BR"/>
        </w:rPr>
        <w:t xml:space="preserve"> </w:t>
      </w:r>
    </w:p>
  </w:footnote>
  <w:footnote w:id="17">
    <w:p w14:paraId="359D885B" w14:textId="2C23C93C" w:rsidR="0062244B" w:rsidRPr="00020329" w:rsidRDefault="0062244B" w:rsidP="00FD0FA3">
      <w:pPr>
        <w:pStyle w:val="FootnoteText"/>
        <w:ind w:firstLine="720"/>
        <w:jc w:val="both"/>
        <w:rPr>
          <w:rFonts w:ascii="Helvetica" w:eastAsia="Times New Roman" w:hAnsi="Helvetica"/>
          <w:sz w:val="12"/>
          <w:szCs w:val="12"/>
          <w:bdr w:val="none" w:sz="0" w:space="0" w:color="auto"/>
          <w:lang w:val="pt-BR" w:eastAsia="es-MX"/>
        </w:rPr>
      </w:pPr>
      <w:r w:rsidRPr="008A5269">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Corte IDH, Caso Habbal y otros vs. Argentina</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Excepciones Preliminares y Fondo</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Sentencia de 31 de agosto de 2022</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Serie C No. 463, párr. 23; </w:t>
      </w:r>
      <w:r w:rsidR="00020329">
        <w:rPr>
          <w:rStyle w:val="FootnoteReference"/>
          <w:rFonts w:asciiTheme="majorHAnsi" w:hAnsiTheme="majorHAnsi"/>
          <w:color w:val="auto"/>
          <w:sz w:val="16"/>
          <w:szCs w:val="16"/>
          <w:vertAlign w:val="baseline"/>
          <w:lang w:val="pt-BR"/>
        </w:rPr>
        <w:t>y</w:t>
      </w:r>
      <w:r w:rsidR="00020329">
        <w:rPr>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Caso Vereda La Esperanza Vs. Colombia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Interpretación de la Sentencia de Excepción Preliminar, Fondo, Reparaciones y Costas</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Sentencia de 21 de noviembre de 2018</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Serie C No. 367, párr 32.</w:t>
      </w:r>
    </w:p>
  </w:footnote>
  <w:footnote w:id="18">
    <w:p w14:paraId="0E23F21E" w14:textId="477585E4" w:rsidR="002826FE" w:rsidRPr="00020329" w:rsidRDefault="002826FE" w:rsidP="00FD0FA3">
      <w:pPr>
        <w:pStyle w:val="FootnoteText"/>
        <w:ind w:firstLine="720"/>
        <w:jc w:val="both"/>
        <w:rPr>
          <w:rFonts w:asciiTheme="majorHAnsi" w:eastAsia="Times New Roman" w:hAnsiTheme="majorHAnsi"/>
          <w:color w:val="414141"/>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w:t>
      </w:r>
      <w:r w:rsidRPr="00020329">
        <w:rPr>
          <w:rStyle w:val="FootnoteReference"/>
          <w:rFonts w:asciiTheme="majorHAnsi" w:hAnsiTheme="majorHAnsi"/>
          <w:sz w:val="16"/>
          <w:szCs w:val="16"/>
          <w:vertAlign w:val="baseline"/>
          <w:lang w:val="pt-BR"/>
        </w:rPr>
        <w:t>,</w:t>
      </w:r>
      <w:r w:rsidRPr="00020329">
        <w:rPr>
          <w:rStyle w:val="FootnoteReference"/>
          <w:rFonts w:asciiTheme="majorHAnsi" w:hAnsiTheme="majorHAnsi"/>
          <w:color w:val="auto"/>
          <w:sz w:val="16"/>
          <w:szCs w:val="16"/>
          <w:vertAlign w:val="baseline"/>
          <w:lang w:val="pt-BR"/>
        </w:rPr>
        <w:t xml:space="preserve"> Justicia e Inclusión Social: Los desafíos de la democracia en Guatemala</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OEA/Ser.L/V/II.118 Doc. 5 rev. 1. 29 diciembre 2003</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Capítulo IV, párrs. 248-253; Observaciones Preliminares: Visita in loco a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OEA/Ser.L/V/II.doc.124/24</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15 de agosto de 2024, párrs. 4-8;</w:t>
      </w:r>
      <w:r w:rsidR="00020329">
        <w:rPr>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Situación de los derechos humanos en Guatemala: Diversidad, desigualdad y exclusión</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OEA/Ser.L/V/II.Doc. 43/15</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31 de diciembre de 2015, párrs. 450-451; y Situación de los derechos humanos en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OEA/Ser.L/V/II. Doc. 208/17</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31 diciembre</w:t>
      </w:r>
      <w:r w:rsidRPr="00020329">
        <w:rPr>
          <w:rStyle w:val="FootnoteReference"/>
          <w:rFonts w:asciiTheme="majorHAnsi" w:hAnsiTheme="majorHAnsi"/>
          <w:sz w:val="16"/>
          <w:szCs w:val="16"/>
          <w:vertAlign w:val="baseline"/>
          <w:lang w:val="pt-BR"/>
        </w:rPr>
        <w:t xml:space="preserve"> de</w:t>
      </w:r>
      <w:r w:rsidRPr="00020329">
        <w:rPr>
          <w:rStyle w:val="FootnoteReference"/>
          <w:rFonts w:asciiTheme="majorHAnsi" w:hAnsiTheme="majorHAnsi"/>
          <w:color w:val="auto"/>
          <w:sz w:val="16"/>
          <w:szCs w:val="16"/>
          <w:vertAlign w:val="baseline"/>
          <w:lang w:val="pt-BR"/>
        </w:rPr>
        <w:t xml:space="preserve"> 2017, párrs. 138-143. Asimismo, la CIDH ha realizado varias audiencias públicas sobre el Programa Nacional de Resarcimiento (PNR), como, por ejemplo, CIDH, 159 período de sesiones, Audiencia Pública “Derecho a la reparación integral para las víctimas del conflicto armado en Guatemala”, Panamá, 6 de diciembre de 2016. CIDH, 156º Período de Sesiones, Audiencia Pública “Derechos humanos y justicia transicional en Guatemala”, 22 de octubre de 2015. CIDH, 153º Período de Sesiones, Audiencia Pública “Acceso a la justicia y el legado del conflicto armado interno en Guatemala”, 28 de octubre de 2014. CIDH, 150º Período de Sesiones, Audiencia Pública “Programa Nacional de Resarcimiento en Guatemala”, 25 de marzo de 2014. CIDH, 144º Período de Sesiones, Audiencia Pública, “Situación de las mujeres víctimas de violaciones de derechos humanos durante el conflicto armado interno en Guatemala”, 27 de</w:t>
      </w:r>
      <w:r w:rsidRPr="00020329">
        <w:rPr>
          <w:rStyle w:val="FootnoteReference"/>
          <w:rFonts w:asciiTheme="majorHAnsi" w:hAnsiTheme="majorHAnsi"/>
          <w:sz w:val="16"/>
          <w:szCs w:val="16"/>
          <w:vertAlign w:val="baseline"/>
          <w:lang w:val="pt-BR"/>
        </w:rPr>
        <w:t xml:space="preserve"> </w:t>
      </w:r>
      <w:r w:rsidRPr="00020329">
        <w:rPr>
          <w:rStyle w:val="FootnoteReference"/>
          <w:rFonts w:asciiTheme="majorHAnsi" w:hAnsiTheme="majorHAnsi"/>
          <w:color w:val="auto"/>
          <w:sz w:val="16"/>
          <w:szCs w:val="16"/>
          <w:vertAlign w:val="baseline"/>
          <w:lang w:val="pt-BR"/>
        </w:rPr>
        <w:t>marzo de 2012. CIDH, 138º Período de Sesiones, Audiencia Pública “Política pública sobre reparaciones en Guatemala”, 19 de marzo de 2010.</w:t>
      </w:r>
    </w:p>
  </w:footnote>
  <w:footnote w:id="19">
    <w:p w14:paraId="2F55B68E" w14:textId="20EE0D40" w:rsidR="002826FE" w:rsidRPr="00020329" w:rsidRDefault="002826FE" w:rsidP="00FD0FA3">
      <w:pPr>
        <w:pStyle w:val="FootnoteText"/>
        <w:ind w:firstLine="720"/>
        <w:jc w:val="both"/>
        <w:rPr>
          <w:sz w:val="12"/>
          <w:szCs w:val="12"/>
          <w:lang w:val="pt-BR"/>
        </w:rPr>
      </w:pPr>
      <w:r w:rsidRPr="002826FE">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Situación de los derechos humanos en Guatemala</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OEA/Ser.L/V/II. Doc. 208/17</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31 diciembre 2017, párr, 139.</w:t>
      </w:r>
    </w:p>
  </w:footnote>
  <w:footnote w:id="20">
    <w:p w14:paraId="7B6134B3" w14:textId="1AEC0EA6" w:rsidR="00F94364" w:rsidRPr="00020329" w:rsidRDefault="00F94364" w:rsidP="00FD0FA3">
      <w:pPr>
        <w:pStyle w:val="FootnoteText"/>
        <w:ind w:firstLine="720"/>
        <w:jc w:val="both"/>
        <w:rPr>
          <w:rFonts w:asciiTheme="majorHAnsi" w:eastAsia="Times New Roman" w:hAnsiTheme="majorHAnsi"/>
          <w:sz w:val="16"/>
          <w:szCs w:val="16"/>
          <w:bdr w:val="none" w:sz="0" w:space="0" w:color="auto"/>
          <w:lang w:val="pt-BR" w:eastAsia="es-MX"/>
        </w:rPr>
      </w:pPr>
      <w:r w:rsidRPr="00C16E02">
        <w:rPr>
          <w:rStyle w:val="FootnoteReference"/>
          <w:rFonts w:asciiTheme="majorHAnsi" w:hAnsiTheme="majorHAnsi"/>
          <w:color w:val="auto"/>
          <w:sz w:val="16"/>
          <w:szCs w:val="16"/>
          <w:lang w:val="es-ES"/>
        </w:rPr>
        <w:footnoteRef/>
      </w:r>
      <w:r w:rsidRPr="00020329">
        <w:rPr>
          <w:rStyle w:val="FootnoteReference"/>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CIDH, Informe No. 435/21, Petición 1-09</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sidRP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Vecinos de las comunidades del pueblo maya Achi en el municipio El</w:t>
      </w:r>
      <w:r w:rsidRPr="00020329">
        <w:rPr>
          <w:rFonts w:asciiTheme="majorHAnsi" w:hAnsiTheme="majorHAnsi"/>
          <w:color w:val="auto"/>
          <w:sz w:val="16"/>
          <w:szCs w:val="16"/>
          <w:lang w:val="pt-BR"/>
        </w:rPr>
        <w:t xml:space="preserve"> </w:t>
      </w:r>
      <w:r w:rsidRPr="00020329">
        <w:rPr>
          <w:rStyle w:val="FootnoteReference"/>
          <w:rFonts w:asciiTheme="majorHAnsi" w:hAnsiTheme="majorHAnsi"/>
          <w:color w:val="auto"/>
          <w:sz w:val="16"/>
          <w:szCs w:val="16"/>
          <w:vertAlign w:val="baseline"/>
          <w:lang w:val="pt-BR"/>
        </w:rPr>
        <w:t>Rabinal</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31 de diciembre de 2021, párr. 16; Informe No. 355/22, Petición 1918-11</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Vecinos de la Aldea Sesajal</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12 de agosto de 2022; </w:t>
      </w:r>
      <w:r w:rsidR="00020329">
        <w:rPr>
          <w:rFonts w:asciiTheme="majorHAnsi" w:hAnsiTheme="majorHAnsi"/>
          <w:color w:val="auto"/>
          <w:sz w:val="16"/>
          <w:szCs w:val="16"/>
          <w:lang w:val="pt-BR"/>
        </w:rPr>
        <w:t xml:space="preserve">e </w:t>
      </w:r>
      <w:r w:rsidRPr="00020329">
        <w:rPr>
          <w:rStyle w:val="FootnoteReference"/>
          <w:rFonts w:asciiTheme="majorHAnsi" w:hAnsiTheme="majorHAnsi"/>
          <w:color w:val="auto"/>
          <w:sz w:val="16"/>
          <w:szCs w:val="16"/>
          <w:vertAlign w:val="baseline"/>
          <w:lang w:val="pt-BR"/>
        </w:rPr>
        <w:t>Informe No. 67/23, Petición 1503-11</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Admisibilidad</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Vecinos de la Comunidad El Triunfo. Guatemala</w:t>
      </w:r>
      <w:r w:rsidR="00020329">
        <w:rPr>
          <w:rFonts w:asciiTheme="majorHAnsi" w:hAnsiTheme="majorHAnsi"/>
          <w:color w:val="auto"/>
          <w:sz w:val="16"/>
          <w:szCs w:val="16"/>
          <w:lang w:val="pt-BR"/>
        </w:rPr>
        <w:t>,</w:t>
      </w:r>
      <w:r w:rsidRPr="00020329">
        <w:rPr>
          <w:rStyle w:val="FootnoteReference"/>
          <w:rFonts w:asciiTheme="majorHAnsi" w:hAnsiTheme="majorHAnsi"/>
          <w:color w:val="auto"/>
          <w:sz w:val="16"/>
          <w:szCs w:val="16"/>
          <w:vertAlign w:val="baseline"/>
          <w:lang w:val="pt-BR"/>
        </w:rPr>
        <w:t xml:space="preserve"> 30 de mayo de 2023</w:t>
      </w:r>
      <w:r w:rsidRPr="00020329">
        <w:rPr>
          <w:rFonts w:asciiTheme="majorHAnsi" w:hAnsiTheme="majorHAnsi"/>
          <w:color w:val="auto"/>
          <w:sz w:val="16"/>
          <w:szCs w:val="16"/>
          <w:lang w:val="pt-BR"/>
        </w:rPr>
        <w:t>.</w:t>
      </w:r>
    </w:p>
  </w:footnote>
  <w:footnote w:id="21">
    <w:p w14:paraId="5C845D3F" w14:textId="77777777" w:rsidR="00F92A47" w:rsidRPr="00355562" w:rsidRDefault="00F92A47" w:rsidP="00FD0FA3">
      <w:pPr>
        <w:pStyle w:val="FootnoteText"/>
        <w:ind w:firstLine="720"/>
        <w:jc w:val="both"/>
        <w:rPr>
          <w:lang w:val="pt-BR"/>
        </w:rPr>
      </w:pPr>
      <w:r>
        <w:rPr>
          <w:rStyle w:val="FootnoteReference"/>
        </w:rPr>
        <w:footnoteRef/>
      </w:r>
      <w:r w:rsidRPr="00355562">
        <w:rPr>
          <w:lang w:val="pt-BR"/>
        </w:rPr>
        <w:t xml:space="preserve"> </w:t>
      </w:r>
      <w:r w:rsidRPr="003224E1">
        <w:rPr>
          <w:rStyle w:val="FootnoteReference"/>
          <w:rFonts w:asciiTheme="majorHAnsi" w:hAnsiTheme="majorHAnsi"/>
          <w:color w:val="auto"/>
          <w:sz w:val="16"/>
          <w:szCs w:val="16"/>
          <w:vertAlign w:val="baseline"/>
          <w:lang w:val="pt-BR"/>
        </w:rPr>
        <w:t>CIDH, Informe No. 6</w:t>
      </w:r>
      <w:r w:rsidRPr="003224E1">
        <w:rPr>
          <w:rStyle w:val="FootnoteReference"/>
          <w:rFonts w:asciiTheme="majorHAnsi" w:hAnsiTheme="majorHAnsi"/>
          <w:sz w:val="16"/>
          <w:szCs w:val="16"/>
          <w:vertAlign w:val="baseline"/>
          <w:lang w:val="pt-BR"/>
        </w:rPr>
        <w:t>7</w:t>
      </w:r>
      <w:r w:rsidRPr="003224E1">
        <w:rPr>
          <w:rStyle w:val="FootnoteReference"/>
          <w:rFonts w:asciiTheme="majorHAnsi" w:hAnsiTheme="majorHAnsi"/>
          <w:color w:val="auto"/>
          <w:sz w:val="16"/>
          <w:szCs w:val="16"/>
          <w:vertAlign w:val="baseline"/>
          <w:lang w:val="pt-BR"/>
        </w:rPr>
        <w:t>/2</w:t>
      </w:r>
      <w:r w:rsidRPr="003224E1">
        <w:rPr>
          <w:rStyle w:val="FootnoteReference"/>
          <w:rFonts w:asciiTheme="majorHAnsi" w:hAnsiTheme="majorHAnsi"/>
          <w:sz w:val="16"/>
          <w:szCs w:val="16"/>
          <w:vertAlign w:val="baseline"/>
          <w:lang w:val="pt-BR"/>
        </w:rPr>
        <w:t>3</w:t>
      </w:r>
      <w:r w:rsidRPr="003224E1">
        <w:rPr>
          <w:rStyle w:val="FootnoteReference"/>
          <w:rFonts w:asciiTheme="majorHAnsi" w:hAnsiTheme="majorHAnsi"/>
          <w:color w:val="auto"/>
          <w:sz w:val="16"/>
          <w:szCs w:val="16"/>
          <w:vertAlign w:val="baseline"/>
          <w:lang w:val="pt-BR"/>
        </w:rPr>
        <w:t>, Petición 1</w:t>
      </w:r>
      <w:r w:rsidRPr="003224E1">
        <w:rPr>
          <w:rStyle w:val="FootnoteReference"/>
          <w:rFonts w:asciiTheme="majorHAnsi" w:hAnsiTheme="majorHAnsi"/>
          <w:sz w:val="16"/>
          <w:szCs w:val="16"/>
          <w:vertAlign w:val="baseline"/>
          <w:lang w:val="pt-BR"/>
        </w:rPr>
        <w:t>503-11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C</w:t>
      </w:r>
      <w:r w:rsidRPr="003224E1">
        <w:rPr>
          <w:rStyle w:val="FootnoteReference"/>
          <w:rFonts w:asciiTheme="majorHAnsi" w:hAnsiTheme="majorHAnsi"/>
          <w:sz w:val="16"/>
          <w:szCs w:val="16"/>
          <w:vertAlign w:val="baseline"/>
          <w:lang w:val="pt-BR"/>
        </w:rPr>
        <w:t>omunidad El Triunfo</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3</w:t>
      </w:r>
      <w:r w:rsidRPr="003224E1">
        <w:rPr>
          <w:rStyle w:val="FootnoteReference"/>
          <w:rFonts w:asciiTheme="majorHAnsi" w:hAnsiTheme="majorHAnsi"/>
          <w:sz w:val="16"/>
          <w:szCs w:val="16"/>
          <w:vertAlign w:val="baseline"/>
          <w:lang w:val="pt-BR"/>
        </w:rPr>
        <w:t>0</w:t>
      </w:r>
      <w:r w:rsidRPr="003224E1">
        <w:rPr>
          <w:rStyle w:val="FootnoteReference"/>
          <w:rFonts w:asciiTheme="majorHAnsi" w:hAnsiTheme="majorHAnsi"/>
          <w:color w:val="auto"/>
          <w:sz w:val="16"/>
          <w:szCs w:val="16"/>
          <w:vertAlign w:val="baseline"/>
          <w:lang w:val="pt-BR"/>
        </w:rPr>
        <w:t xml:space="preserve"> de m</w:t>
      </w:r>
      <w:r w:rsidRPr="003224E1">
        <w:rPr>
          <w:rStyle w:val="FootnoteReference"/>
          <w:rFonts w:asciiTheme="majorHAnsi" w:hAnsiTheme="majorHAnsi"/>
          <w:sz w:val="16"/>
          <w:szCs w:val="16"/>
          <w:vertAlign w:val="baseline"/>
          <w:lang w:val="pt-BR"/>
        </w:rPr>
        <w:t>ayo</w:t>
      </w:r>
      <w:r w:rsidRPr="003224E1">
        <w:rPr>
          <w:rStyle w:val="FootnoteReference"/>
          <w:rFonts w:asciiTheme="majorHAnsi" w:hAnsiTheme="majorHAnsi"/>
          <w:color w:val="auto"/>
          <w:sz w:val="16"/>
          <w:szCs w:val="16"/>
          <w:vertAlign w:val="baseline"/>
          <w:lang w:val="pt-BR"/>
        </w:rPr>
        <w:t xml:space="preserve"> de 2</w:t>
      </w:r>
      <w:r w:rsidRPr="003224E1">
        <w:rPr>
          <w:rStyle w:val="FootnoteReference"/>
          <w:rFonts w:asciiTheme="majorHAnsi" w:hAnsiTheme="majorHAnsi"/>
          <w:sz w:val="16"/>
          <w:szCs w:val="16"/>
          <w:vertAlign w:val="baseline"/>
          <w:lang w:val="pt-BR"/>
        </w:rPr>
        <w:t>023</w:t>
      </w:r>
      <w:r w:rsidRPr="003224E1">
        <w:rPr>
          <w:rStyle w:val="FootnoteReference"/>
          <w:rFonts w:asciiTheme="majorHAnsi" w:hAnsiTheme="majorHAnsi"/>
          <w:color w:val="auto"/>
          <w:sz w:val="16"/>
          <w:szCs w:val="16"/>
          <w:vertAlign w:val="baseline"/>
          <w:lang w:val="pt-BR"/>
        </w:rPr>
        <w:t>.</w:t>
      </w:r>
    </w:p>
  </w:footnote>
  <w:footnote w:id="22">
    <w:p w14:paraId="5CFA16B9" w14:textId="77777777" w:rsidR="00F92A47" w:rsidRPr="00355562" w:rsidRDefault="00F92A47" w:rsidP="00FD0FA3">
      <w:pPr>
        <w:pStyle w:val="FootnoteText"/>
        <w:ind w:firstLine="720"/>
        <w:jc w:val="both"/>
        <w:rPr>
          <w:lang w:val="pt-BR"/>
        </w:rPr>
      </w:pPr>
      <w:r>
        <w:rPr>
          <w:rStyle w:val="FootnoteReference"/>
        </w:rPr>
        <w:footnoteRef/>
      </w:r>
      <w:r w:rsidRPr="00355562">
        <w:rPr>
          <w:lang w:val="pt-BR"/>
        </w:rPr>
        <w:t xml:space="preserve"> </w:t>
      </w:r>
      <w:r w:rsidRPr="003224E1">
        <w:rPr>
          <w:rStyle w:val="FootnoteReference"/>
          <w:rFonts w:asciiTheme="majorHAnsi" w:hAnsiTheme="majorHAnsi"/>
          <w:color w:val="auto"/>
          <w:sz w:val="16"/>
          <w:szCs w:val="16"/>
          <w:vertAlign w:val="baseline"/>
          <w:lang w:val="pt-BR"/>
        </w:rPr>
        <w:t>CIDH, Informe No. 355/22, Petición 1918-11</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Admisibilidad</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Vecinos de la Aldea Sesajal</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Guatemala</w:t>
      </w:r>
      <w:r w:rsidRPr="003224E1">
        <w:rPr>
          <w:rFonts w:asciiTheme="majorHAnsi" w:hAnsiTheme="majorHAnsi"/>
          <w:color w:val="auto"/>
          <w:sz w:val="16"/>
          <w:szCs w:val="16"/>
          <w:lang w:val="pt-BR"/>
        </w:rPr>
        <w:t>,</w:t>
      </w:r>
      <w:r w:rsidRPr="003224E1">
        <w:rPr>
          <w:rStyle w:val="FootnoteReference"/>
          <w:rFonts w:asciiTheme="majorHAnsi" w:hAnsiTheme="majorHAnsi"/>
          <w:color w:val="auto"/>
          <w:sz w:val="16"/>
          <w:szCs w:val="16"/>
          <w:vertAlign w:val="baseline"/>
          <w:lang w:val="pt-BR"/>
        </w:rPr>
        <w:t xml:space="preserve"> 12 de agosto de 2022</w:t>
      </w:r>
    </w:p>
  </w:footnote>
  <w:footnote w:id="23">
    <w:p w14:paraId="67D203E8" w14:textId="77777777" w:rsidR="00294F42" w:rsidRPr="00C16E02" w:rsidRDefault="00294F42" w:rsidP="00FD0FA3">
      <w:pPr>
        <w:pStyle w:val="FootnoteText"/>
        <w:ind w:firstLine="720"/>
        <w:jc w:val="both"/>
        <w:rPr>
          <w:rFonts w:asciiTheme="majorHAnsi" w:eastAsia="Times New Roman" w:hAnsiTheme="majorHAnsi"/>
          <w:sz w:val="16"/>
          <w:szCs w:val="16"/>
          <w:bdr w:val="none" w:sz="0" w:space="0" w:color="auto"/>
          <w:lang w:val="es-EC" w:eastAsia="es-MX"/>
        </w:rPr>
      </w:pPr>
      <w:r w:rsidRPr="00C16E02">
        <w:rPr>
          <w:rStyle w:val="FootnoteReference"/>
          <w:rFonts w:asciiTheme="majorHAnsi" w:hAnsiTheme="majorHAnsi"/>
          <w:color w:val="auto"/>
          <w:sz w:val="16"/>
          <w:szCs w:val="16"/>
          <w:lang w:val="es-ES"/>
        </w:rPr>
        <w:footnoteRef/>
      </w:r>
      <w:r w:rsidRPr="00C16E02">
        <w:rPr>
          <w:rStyle w:val="FootnoteReference"/>
          <w:rFonts w:asciiTheme="majorHAnsi" w:hAnsiTheme="majorHAnsi"/>
          <w:color w:val="auto"/>
          <w:sz w:val="16"/>
          <w:szCs w:val="16"/>
          <w:lang w:val="es-ES"/>
        </w:rPr>
        <w:t xml:space="preserve"> </w:t>
      </w:r>
      <w:r w:rsidRPr="00C16E02">
        <w:rPr>
          <w:rStyle w:val="FootnoteReference"/>
          <w:rFonts w:asciiTheme="majorHAnsi" w:hAnsiTheme="majorHAnsi"/>
          <w:color w:val="auto"/>
          <w:sz w:val="16"/>
          <w:szCs w:val="16"/>
          <w:vertAlign w:val="baseline"/>
          <w:lang w:val="es-ES"/>
        </w:rPr>
        <w:t>CIDH, Informe No. 26/17, Petición 1208-08. Admisibilidad. William Olaya Moreno y familia. Colombia. 18 de marzo de 2017, párr.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337D038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1B0138">
      <w:rPr>
        <w:rStyle w:val="PageNumber"/>
        <w:rFonts w:eastAsia="Trebuchet MS"/>
        <w:noProof/>
      </w:rPr>
      <w:t>2</w: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037479434"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17CB4F2" w:rsidR="00040C3A" w:rsidRPr="00EC7D62" w:rsidRDefault="009B4E09" w:rsidP="00A50FCF">
    <w:pPr>
      <w:pStyle w:val="Header"/>
      <w:tabs>
        <w:tab w:val="clear" w:pos="4320"/>
        <w:tab w:val="clear" w:pos="8640"/>
      </w:tabs>
      <w:jc w:val="center"/>
      <w:rPr>
        <w:sz w:val="22"/>
        <w:szCs w:val="22"/>
      </w:rPr>
    </w:pPr>
    <w:r>
      <w:rPr>
        <w:noProof/>
        <w:sz w:val="22"/>
        <w:szCs w:val="22"/>
        <w:bdr w:val="nil"/>
      </w:rPr>
      <w:pict w14:anchorId="7D2F8C35">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8E"/>
    <w:multiLevelType w:val="hybridMultilevel"/>
    <w:tmpl w:val="FCC0DB12"/>
    <w:lvl w:ilvl="0" w:tplc="FFFFFFFF">
      <w:start w:val="1"/>
      <w:numFmt w:val="decimal"/>
      <w:lvlText w:val="%1."/>
      <w:lvlJc w:val="left"/>
      <w:pPr>
        <w:tabs>
          <w:tab w:val="num" w:pos="720"/>
        </w:tabs>
        <w:ind w:left="0" w:firstLine="720"/>
      </w:pPr>
      <w:rPr>
        <w:rFonts w:hint="default"/>
        <w:i w:val="0"/>
        <w:i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0E1D2261"/>
    <w:multiLevelType w:val="hybridMultilevel"/>
    <w:tmpl w:val="FCC0DB12"/>
    <w:lvl w:ilvl="0" w:tplc="E8ACB90E">
      <w:start w:val="1"/>
      <w:numFmt w:val="decimal"/>
      <w:lvlText w:val="%1."/>
      <w:lvlJc w:val="left"/>
      <w:pPr>
        <w:tabs>
          <w:tab w:val="num" w:pos="720"/>
        </w:tabs>
        <w:ind w:left="0" w:firstLine="720"/>
      </w:pPr>
      <w:rPr>
        <w:rFonts w:hint="default"/>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310EA9"/>
    <w:multiLevelType w:val="multilevel"/>
    <w:tmpl w:val="27D2E5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2"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3"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6"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2"/>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6"/>
  </w:num>
  <w:num w:numId="3" w16cid:durableId="1377241164">
    <w:abstractNumId w:val="46"/>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8"/>
  </w:num>
  <w:num w:numId="6" w16cid:durableId="233206698">
    <w:abstractNumId w:val="50"/>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2"/>
  </w:num>
  <w:num w:numId="8" w16cid:durableId="2068602545">
    <w:abstractNumId w:val="24"/>
  </w:num>
  <w:num w:numId="9" w16cid:durableId="1616525600">
    <w:abstractNumId w:val="53"/>
  </w:num>
  <w:num w:numId="10" w16cid:durableId="1097168266">
    <w:abstractNumId w:val="17"/>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31"/>
  </w:num>
  <w:num w:numId="12" w16cid:durableId="998582662">
    <w:abstractNumId w:val="60"/>
  </w:num>
  <w:num w:numId="13" w16cid:durableId="1175270658">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10"/>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3"/>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7"/>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9"/>
  </w:num>
  <w:num w:numId="21" w16cid:durableId="954404290">
    <w:abstractNumId w:val="40"/>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2"/>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9"/>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3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20"/>
  </w:num>
  <w:num w:numId="36" w16cid:durableId="480005394">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3"/>
  </w:num>
  <w:num w:numId="43" w16cid:durableId="738096386">
    <w:abstractNumId w:val="1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9"/>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7"/>
  </w:num>
  <w:num w:numId="53" w16cid:durableId="251017014">
    <w:abstractNumId w:val="1"/>
  </w:num>
  <w:num w:numId="54" w16cid:durableId="2134210098">
    <w:abstractNumId w:val="42"/>
  </w:num>
  <w:num w:numId="55" w16cid:durableId="608663301">
    <w:abstractNumId w:val="43"/>
  </w:num>
  <w:num w:numId="56" w16cid:durableId="255601910">
    <w:abstractNumId w:val="49"/>
  </w:num>
  <w:num w:numId="57" w16cid:durableId="1761757703">
    <w:abstractNumId w:val="2"/>
  </w:num>
  <w:num w:numId="58" w16cid:durableId="1186796706">
    <w:abstractNumId w:val="3"/>
  </w:num>
  <w:num w:numId="59" w16cid:durableId="1606693034">
    <w:abstractNumId w:val="10"/>
  </w:num>
  <w:num w:numId="60" w16cid:durableId="1738476247">
    <w:abstractNumId w:val="11"/>
  </w:num>
  <w:num w:numId="61" w16cid:durableId="1484001738">
    <w:abstractNumId w:val="12"/>
  </w:num>
  <w:num w:numId="62" w16cid:durableId="866941465">
    <w:abstractNumId w:val="13"/>
  </w:num>
  <w:num w:numId="63" w16cid:durableId="891114917">
    <w:abstractNumId w:val="14"/>
  </w:num>
  <w:num w:numId="64" w16cid:durableId="1852600886">
    <w:abstractNumId w:val="16"/>
  </w:num>
  <w:num w:numId="65" w16cid:durableId="925655403">
    <w:abstractNumId w:val="17"/>
  </w:num>
  <w:num w:numId="66" w16cid:durableId="1122456303">
    <w:abstractNumId w:val="18"/>
  </w:num>
  <w:num w:numId="67" w16cid:durableId="2034264947">
    <w:abstractNumId w:val="19"/>
  </w:num>
  <w:num w:numId="68" w16cid:durableId="943655646">
    <w:abstractNumId w:val="21"/>
  </w:num>
  <w:num w:numId="69" w16cid:durableId="48573556">
    <w:abstractNumId w:val="22"/>
  </w:num>
  <w:num w:numId="70" w16cid:durableId="1714845553">
    <w:abstractNumId w:val="25"/>
  </w:num>
  <w:num w:numId="71" w16cid:durableId="43258639">
    <w:abstractNumId w:val="26"/>
  </w:num>
  <w:num w:numId="72" w16cid:durableId="1533766946">
    <w:abstractNumId w:val="27"/>
  </w:num>
  <w:num w:numId="73" w16cid:durableId="1375960398">
    <w:abstractNumId w:val="30"/>
  </w:num>
  <w:num w:numId="74" w16cid:durableId="142351334">
    <w:abstractNumId w:val="32"/>
  </w:num>
  <w:num w:numId="75" w16cid:durableId="179467967">
    <w:abstractNumId w:val="34"/>
  </w:num>
  <w:num w:numId="76" w16cid:durableId="1445685242">
    <w:abstractNumId w:val="35"/>
  </w:num>
  <w:num w:numId="77" w16cid:durableId="2049792361">
    <w:abstractNumId w:val="36"/>
  </w:num>
  <w:num w:numId="78" w16cid:durableId="1766075673">
    <w:abstractNumId w:val="37"/>
  </w:num>
  <w:num w:numId="79" w16cid:durableId="1193613694">
    <w:abstractNumId w:val="38"/>
  </w:num>
  <w:num w:numId="80" w16cid:durableId="1731923604">
    <w:abstractNumId w:val="39"/>
  </w:num>
  <w:num w:numId="81" w16cid:durableId="1266036850">
    <w:abstractNumId w:val="40"/>
  </w:num>
  <w:num w:numId="82" w16cid:durableId="1881671385">
    <w:abstractNumId w:val="44"/>
  </w:num>
  <w:num w:numId="83" w16cid:durableId="1301611395">
    <w:abstractNumId w:val="45"/>
  </w:num>
  <w:num w:numId="84" w16cid:durableId="1131166778">
    <w:abstractNumId w:val="51"/>
  </w:num>
  <w:num w:numId="85" w16cid:durableId="507405131">
    <w:abstractNumId w:val="54"/>
  </w:num>
  <w:num w:numId="86" w16cid:durableId="147091870">
    <w:abstractNumId w:val="57"/>
  </w:num>
  <w:num w:numId="87" w16cid:durableId="655454458">
    <w:abstractNumId w:val="59"/>
  </w:num>
  <w:num w:numId="88" w16cid:durableId="1812089391">
    <w:abstractNumId w:val="61"/>
  </w:num>
  <w:num w:numId="89" w16cid:durableId="515115365">
    <w:abstractNumId w:val="63"/>
  </w:num>
  <w:num w:numId="90" w16cid:durableId="1221944455">
    <w:abstractNumId w:val="64"/>
  </w:num>
  <w:num w:numId="91" w16cid:durableId="908535618">
    <w:abstractNumId w:val="65"/>
  </w:num>
  <w:num w:numId="92" w16cid:durableId="825898735">
    <w:abstractNumId w:val="66"/>
  </w:num>
  <w:num w:numId="93" w16cid:durableId="49690932">
    <w:abstractNumId w:val="68"/>
  </w:num>
  <w:num w:numId="94" w16cid:durableId="2095399920">
    <w:abstractNumId w:val="23"/>
  </w:num>
  <w:num w:numId="95" w16cid:durableId="1435326325">
    <w:abstractNumId w:val="46"/>
  </w:num>
  <w:num w:numId="96" w16cid:durableId="935866318">
    <w:abstractNumId w:val="58"/>
  </w:num>
  <w:num w:numId="97" w16cid:durableId="2089502159">
    <w:abstractNumId w:val="55"/>
  </w:num>
  <w:num w:numId="98" w16cid:durableId="749347125">
    <w:abstractNumId w:val="50"/>
  </w:num>
  <w:num w:numId="99" w16cid:durableId="456994649">
    <w:abstractNumId w:val="41"/>
  </w:num>
  <w:num w:numId="100" w16cid:durableId="378870339">
    <w:abstractNumId w:val="4"/>
  </w:num>
  <w:num w:numId="101" w16cid:durableId="1289773468">
    <w:abstractNumId w:val="28"/>
  </w:num>
  <w:num w:numId="102" w16cid:durableId="1186287539">
    <w:abstractNumId w:val="52"/>
  </w:num>
  <w:num w:numId="103" w16cid:durableId="1458334191">
    <w:abstractNumId w:val="7"/>
  </w:num>
  <w:num w:numId="104" w16cid:durableId="913318813">
    <w:abstractNumId w:val="67"/>
  </w:num>
  <w:num w:numId="105" w16cid:durableId="589050340">
    <w:abstractNumId w:val="56"/>
  </w:num>
  <w:num w:numId="106" w16cid:durableId="836576904">
    <w:abstractNumId w:val="5"/>
  </w:num>
  <w:num w:numId="107" w16cid:durableId="1173912010">
    <w:abstractNumId w:val="33"/>
  </w:num>
  <w:num w:numId="108" w16cid:durableId="2116440378">
    <w:abstractNumId w:val="15"/>
  </w:num>
  <w:num w:numId="109" w16cid:durableId="1694842942">
    <w:abstractNumId w:val="48"/>
  </w:num>
  <w:num w:numId="110" w16cid:durableId="1308512765">
    <w:abstractNumId w:val="0"/>
  </w:num>
  <w:num w:numId="111" w16cid:durableId="908804843">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PE" w:vendorID="64" w:dllVersion="0" w:nlCheck="1" w:checkStyle="0"/>
  <w:activeWritingStyle w:appName="MSWord" w:lang="es-EC" w:vendorID="64" w:dllVersion="0" w:nlCheck="1" w:checkStyle="0"/>
  <w:activeWritingStyle w:appName="MSWord" w:lang="es-BO" w:vendorID="64" w:dllVersion="0" w:nlCheck="1" w:checkStyle="0"/>
  <w:activeWritingStyle w:appName="MSWord" w:lang="es-PA" w:vendorID="64" w:dllVersion="0" w:nlCheck="1" w:checkStyle="0"/>
  <w:activeWritingStyle w:appName="MSWord" w:lang="es-CL"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D70"/>
    <w:rsid w:val="000054EE"/>
    <w:rsid w:val="00006E1F"/>
    <w:rsid w:val="00007095"/>
    <w:rsid w:val="000070D7"/>
    <w:rsid w:val="000112B8"/>
    <w:rsid w:val="000131AE"/>
    <w:rsid w:val="000151C5"/>
    <w:rsid w:val="0001788C"/>
    <w:rsid w:val="00020329"/>
    <w:rsid w:val="00030EA9"/>
    <w:rsid w:val="000334C4"/>
    <w:rsid w:val="000337EF"/>
    <w:rsid w:val="00035DC5"/>
    <w:rsid w:val="00040065"/>
    <w:rsid w:val="00040C3A"/>
    <w:rsid w:val="00041125"/>
    <w:rsid w:val="000419AD"/>
    <w:rsid w:val="000433C9"/>
    <w:rsid w:val="00043FA3"/>
    <w:rsid w:val="00051B22"/>
    <w:rsid w:val="0005314A"/>
    <w:rsid w:val="00055A23"/>
    <w:rsid w:val="00064A0D"/>
    <w:rsid w:val="00071696"/>
    <w:rsid w:val="000716C5"/>
    <w:rsid w:val="00075E23"/>
    <w:rsid w:val="00077CB4"/>
    <w:rsid w:val="00082E91"/>
    <w:rsid w:val="0009344A"/>
    <w:rsid w:val="000A1974"/>
    <w:rsid w:val="000A392E"/>
    <w:rsid w:val="000A575F"/>
    <w:rsid w:val="000B062C"/>
    <w:rsid w:val="000B6F24"/>
    <w:rsid w:val="000C3A93"/>
    <w:rsid w:val="000C6132"/>
    <w:rsid w:val="000D05CB"/>
    <w:rsid w:val="000D10DB"/>
    <w:rsid w:val="000D19AE"/>
    <w:rsid w:val="000D19C6"/>
    <w:rsid w:val="000D2FB5"/>
    <w:rsid w:val="000D71DF"/>
    <w:rsid w:val="000E3C6C"/>
    <w:rsid w:val="000E4DD4"/>
    <w:rsid w:val="000E5EB5"/>
    <w:rsid w:val="000F35ED"/>
    <w:rsid w:val="000F3AFE"/>
    <w:rsid w:val="00103133"/>
    <w:rsid w:val="001037AE"/>
    <w:rsid w:val="001042D1"/>
    <w:rsid w:val="0010664D"/>
    <w:rsid w:val="00107131"/>
    <w:rsid w:val="0010736F"/>
    <w:rsid w:val="00110BE2"/>
    <w:rsid w:val="00113F73"/>
    <w:rsid w:val="00121CC2"/>
    <w:rsid w:val="001272A1"/>
    <w:rsid w:val="00131425"/>
    <w:rsid w:val="00133EE5"/>
    <w:rsid w:val="00137C3C"/>
    <w:rsid w:val="0015374E"/>
    <w:rsid w:val="001544FE"/>
    <w:rsid w:val="0016355E"/>
    <w:rsid w:val="00163E02"/>
    <w:rsid w:val="00167A34"/>
    <w:rsid w:val="00170B8E"/>
    <w:rsid w:val="0017102A"/>
    <w:rsid w:val="0017280E"/>
    <w:rsid w:val="00173782"/>
    <w:rsid w:val="00181079"/>
    <w:rsid w:val="00185BAB"/>
    <w:rsid w:val="00187E3D"/>
    <w:rsid w:val="0019566B"/>
    <w:rsid w:val="001A7870"/>
    <w:rsid w:val="001B0138"/>
    <w:rsid w:val="001B1654"/>
    <w:rsid w:val="001B3A00"/>
    <w:rsid w:val="001B4E8C"/>
    <w:rsid w:val="001B6036"/>
    <w:rsid w:val="001B6D16"/>
    <w:rsid w:val="001C1B41"/>
    <w:rsid w:val="001C7EA9"/>
    <w:rsid w:val="001D13C5"/>
    <w:rsid w:val="001D65EF"/>
    <w:rsid w:val="001D7945"/>
    <w:rsid w:val="001E05E8"/>
    <w:rsid w:val="001E0B3C"/>
    <w:rsid w:val="001E0D72"/>
    <w:rsid w:val="001E49E7"/>
    <w:rsid w:val="001E5ADA"/>
    <w:rsid w:val="001F36EF"/>
    <w:rsid w:val="001F42EA"/>
    <w:rsid w:val="001F7139"/>
    <w:rsid w:val="001F7201"/>
    <w:rsid w:val="0020001D"/>
    <w:rsid w:val="002048EF"/>
    <w:rsid w:val="00206989"/>
    <w:rsid w:val="00215D67"/>
    <w:rsid w:val="002165A4"/>
    <w:rsid w:val="00223A29"/>
    <w:rsid w:val="00223B95"/>
    <w:rsid w:val="0022484C"/>
    <w:rsid w:val="002250A3"/>
    <w:rsid w:val="00225C7F"/>
    <w:rsid w:val="00235217"/>
    <w:rsid w:val="00241F83"/>
    <w:rsid w:val="00244FDE"/>
    <w:rsid w:val="002469D2"/>
    <w:rsid w:val="00246D1F"/>
    <w:rsid w:val="00247403"/>
    <w:rsid w:val="00247542"/>
    <w:rsid w:val="00247A9F"/>
    <w:rsid w:val="00253DA5"/>
    <w:rsid w:val="00257723"/>
    <w:rsid w:val="0026020D"/>
    <w:rsid w:val="0026198C"/>
    <w:rsid w:val="00263F58"/>
    <w:rsid w:val="0026464B"/>
    <w:rsid w:val="0026678F"/>
    <w:rsid w:val="00266B61"/>
    <w:rsid w:val="0026712A"/>
    <w:rsid w:val="002704DB"/>
    <w:rsid w:val="00272313"/>
    <w:rsid w:val="00273AF8"/>
    <w:rsid w:val="002826FE"/>
    <w:rsid w:val="00285A10"/>
    <w:rsid w:val="00286CA7"/>
    <w:rsid w:val="00287613"/>
    <w:rsid w:val="00294F42"/>
    <w:rsid w:val="002A0AAE"/>
    <w:rsid w:val="002A2299"/>
    <w:rsid w:val="002A5820"/>
    <w:rsid w:val="002B1DF6"/>
    <w:rsid w:val="002B3912"/>
    <w:rsid w:val="002B4B34"/>
    <w:rsid w:val="002C1F61"/>
    <w:rsid w:val="002D20AA"/>
    <w:rsid w:val="002D2B26"/>
    <w:rsid w:val="002D7EA2"/>
    <w:rsid w:val="002E187C"/>
    <w:rsid w:val="002E20DA"/>
    <w:rsid w:val="002F008C"/>
    <w:rsid w:val="002F4466"/>
    <w:rsid w:val="00302733"/>
    <w:rsid w:val="00302F3D"/>
    <w:rsid w:val="0030485B"/>
    <w:rsid w:val="00306440"/>
    <w:rsid w:val="00313851"/>
    <w:rsid w:val="00314078"/>
    <w:rsid w:val="0031535D"/>
    <w:rsid w:val="00315B9A"/>
    <w:rsid w:val="003178C0"/>
    <w:rsid w:val="003239B8"/>
    <w:rsid w:val="0033169F"/>
    <w:rsid w:val="00337FD4"/>
    <w:rsid w:val="00344977"/>
    <w:rsid w:val="00346C95"/>
    <w:rsid w:val="00347A3B"/>
    <w:rsid w:val="003530E5"/>
    <w:rsid w:val="00356185"/>
    <w:rsid w:val="00360380"/>
    <w:rsid w:val="003635A6"/>
    <w:rsid w:val="00363CE2"/>
    <w:rsid w:val="00367D41"/>
    <w:rsid w:val="00372F10"/>
    <w:rsid w:val="0037519E"/>
    <w:rsid w:val="00375C91"/>
    <w:rsid w:val="0038652A"/>
    <w:rsid w:val="00386CF0"/>
    <w:rsid w:val="003B1B44"/>
    <w:rsid w:val="003B3DD0"/>
    <w:rsid w:val="003B4399"/>
    <w:rsid w:val="003B67CB"/>
    <w:rsid w:val="003B69EF"/>
    <w:rsid w:val="003B70FB"/>
    <w:rsid w:val="003C0A1B"/>
    <w:rsid w:val="003C2239"/>
    <w:rsid w:val="003C4099"/>
    <w:rsid w:val="003C676B"/>
    <w:rsid w:val="003D3BC2"/>
    <w:rsid w:val="003E089E"/>
    <w:rsid w:val="003E397C"/>
    <w:rsid w:val="003E3A91"/>
    <w:rsid w:val="003E6CA1"/>
    <w:rsid w:val="00405F9C"/>
    <w:rsid w:val="004065A8"/>
    <w:rsid w:val="00412F24"/>
    <w:rsid w:val="004165C2"/>
    <w:rsid w:val="00416BBA"/>
    <w:rsid w:val="00420166"/>
    <w:rsid w:val="00420A12"/>
    <w:rsid w:val="00421430"/>
    <w:rsid w:val="004220DB"/>
    <w:rsid w:val="00422823"/>
    <w:rsid w:val="00436B39"/>
    <w:rsid w:val="00436B3D"/>
    <w:rsid w:val="00437361"/>
    <w:rsid w:val="00437AB1"/>
    <w:rsid w:val="00441524"/>
    <w:rsid w:val="00441E0D"/>
    <w:rsid w:val="00441ECB"/>
    <w:rsid w:val="00443CCD"/>
    <w:rsid w:val="00445193"/>
    <w:rsid w:val="00451127"/>
    <w:rsid w:val="00454A9F"/>
    <w:rsid w:val="00462C1B"/>
    <w:rsid w:val="00465FF7"/>
    <w:rsid w:val="00467B7E"/>
    <w:rsid w:val="00473BB4"/>
    <w:rsid w:val="004743C3"/>
    <w:rsid w:val="00477592"/>
    <w:rsid w:val="00482988"/>
    <w:rsid w:val="00486F1C"/>
    <w:rsid w:val="00487476"/>
    <w:rsid w:val="004903AD"/>
    <w:rsid w:val="0049419D"/>
    <w:rsid w:val="004A029C"/>
    <w:rsid w:val="004A5B43"/>
    <w:rsid w:val="004A6A54"/>
    <w:rsid w:val="004B7F09"/>
    <w:rsid w:val="004C20D2"/>
    <w:rsid w:val="004C2312"/>
    <w:rsid w:val="004C4B62"/>
    <w:rsid w:val="004C54C9"/>
    <w:rsid w:val="004D2E49"/>
    <w:rsid w:val="004D2F25"/>
    <w:rsid w:val="004D3E0B"/>
    <w:rsid w:val="004D4276"/>
    <w:rsid w:val="004D4ABA"/>
    <w:rsid w:val="004D6025"/>
    <w:rsid w:val="004E2649"/>
    <w:rsid w:val="004E47F3"/>
    <w:rsid w:val="004E7189"/>
    <w:rsid w:val="004F3EE3"/>
    <w:rsid w:val="004F626F"/>
    <w:rsid w:val="004F77F3"/>
    <w:rsid w:val="004F7847"/>
    <w:rsid w:val="00501399"/>
    <w:rsid w:val="0050633D"/>
    <w:rsid w:val="00507BC4"/>
    <w:rsid w:val="0051187B"/>
    <w:rsid w:val="005128E4"/>
    <w:rsid w:val="005133DB"/>
    <w:rsid w:val="00514504"/>
    <w:rsid w:val="00515843"/>
    <w:rsid w:val="00515DF3"/>
    <w:rsid w:val="005164D3"/>
    <w:rsid w:val="0052527A"/>
    <w:rsid w:val="00525560"/>
    <w:rsid w:val="00544C49"/>
    <w:rsid w:val="0054565A"/>
    <w:rsid w:val="005516A1"/>
    <w:rsid w:val="005559EF"/>
    <w:rsid w:val="005564B7"/>
    <w:rsid w:val="005564DB"/>
    <w:rsid w:val="00556B49"/>
    <w:rsid w:val="00557534"/>
    <w:rsid w:val="00562F44"/>
    <w:rsid w:val="00563508"/>
    <w:rsid w:val="00563557"/>
    <w:rsid w:val="0057402A"/>
    <w:rsid w:val="005771D0"/>
    <w:rsid w:val="00577ACE"/>
    <w:rsid w:val="00581E08"/>
    <w:rsid w:val="0058379F"/>
    <w:rsid w:val="005852F5"/>
    <w:rsid w:val="0059191A"/>
    <w:rsid w:val="00591EF5"/>
    <w:rsid w:val="005921FF"/>
    <w:rsid w:val="005A0E0B"/>
    <w:rsid w:val="005A0F26"/>
    <w:rsid w:val="005A24ED"/>
    <w:rsid w:val="005A254F"/>
    <w:rsid w:val="005A3184"/>
    <w:rsid w:val="005A6D0E"/>
    <w:rsid w:val="005B30BB"/>
    <w:rsid w:val="005B4310"/>
    <w:rsid w:val="005B52B0"/>
    <w:rsid w:val="005B6806"/>
    <w:rsid w:val="005B727E"/>
    <w:rsid w:val="005C4225"/>
    <w:rsid w:val="005D2C80"/>
    <w:rsid w:val="005D38F9"/>
    <w:rsid w:val="005D3F3A"/>
    <w:rsid w:val="005F0DAD"/>
    <w:rsid w:val="005F0F33"/>
    <w:rsid w:val="005F38BB"/>
    <w:rsid w:val="005F555F"/>
    <w:rsid w:val="005F6214"/>
    <w:rsid w:val="00600DEB"/>
    <w:rsid w:val="00606D58"/>
    <w:rsid w:val="00611430"/>
    <w:rsid w:val="006206D1"/>
    <w:rsid w:val="00621169"/>
    <w:rsid w:val="0062244B"/>
    <w:rsid w:val="00627C9F"/>
    <w:rsid w:val="006311E9"/>
    <w:rsid w:val="00632354"/>
    <w:rsid w:val="00635421"/>
    <w:rsid w:val="00641EE3"/>
    <w:rsid w:val="00642810"/>
    <w:rsid w:val="00652333"/>
    <w:rsid w:val="0065332D"/>
    <w:rsid w:val="00655D24"/>
    <w:rsid w:val="00660B3E"/>
    <w:rsid w:val="00665E92"/>
    <w:rsid w:val="00666244"/>
    <w:rsid w:val="00667E28"/>
    <w:rsid w:val="00677B53"/>
    <w:rsid w:val="0068009E"/>
    <w:rsid w:val="00681DF6"/>
    <w:rsid w:val="00683C79"/>
    <w:rsid w:val="006848CC"/>
    <w:rsid w:val="00692219"/>
    <w:rsid w:val="006A05B8"/>
    <w:rsid w:val="006A17D2"/>
    <w:rsid w:val="006A73E6"/>
    <w:rsid w:val="006B15E9"/>
    <w:rsid w:val="006B2D5C"/>
    <w:rsid w:val="006C4EB1"/>
    <w:rsid w:val="006C6465"/>
    <w:rsid w:val="006C7175"/>
    <w:rsid w:val="006C7CF6"/>
    <w:rsid w:val="006D0535"/>
    <w:rsid w:val="006D1213"/>
    <w:rsid w:val="006D5B19"/>
    <w:rsid w:val="006E0166"/>
    <w:rsid w:val="006E2FFB"/>
    <w:rsid w:val="006E7B34"/>
    <w:rsid w:val="006F39FA"/>
    <w:rsid w:val="00701F1C"/>
    <w:rsid w:val="00703D91"/>
    <w:rsid w:val="0070697F"/>
    <w:rsid w:val="0072199C"/>
    <w:rsid w:val="00722C9F"/>
    <w:rsid w:val="007253B8"/>
    <w:rsid w:val="00727CE0"/>
    <w:rsid w:val="0073741F"/>
    <w:rsid w:val="00740C00"/>
    <w:rsid w:val="0074112D"/>
    <w:rsid w:val="00742181"/>
    <w:rsid w:val="0074661F"/>
    <w:rsid w:val="007470A7"/>
    <w:rsid w:val="0075457B"/>
    <w:rsid w:val="00756E9C"/>
    <w:rsid w:val="00761A4E"/>
    <w:rsid w:val="0076485E"/>
    <w:rsid w:val="0076643F"/>
    <w:rsid w:val="00773EAA"/>
    <w:rsid w:val="007755B3"/>
    <w:rsid w:val="00777F63"/>
    <w:rsid w:val="0079580D"/>
    <w:rsid w:val="007A0CD4"/>
    <w:rsid w:val="007A5007"/>
    <w:rsid w:val="007A5817"/>
    <w:rsid w:val="007A5B1C"/>
    <w:rsid w:val="007A5D1D"/>
    <w:rsid w:val="007A64BE"/>
    <w:rsid w:val="007B05C4"/>
    <w:rsid w:val="007B2E61"/>
    <w:rsid w:val="007B2F29"/>
    <w:rsid w:val="007B5855"/>
    <w:rsid w:val="007B60E9"/>
    <w:rsid w:val="007B6CC3"/>
    <w:rsid w:val="007B76D3"/>
    <w:rsid w:val="007C3334"/>
    <w:rsid w:val="007C3600"/>
    <w:rsid w:val="007C3756"/>
    <w:rsid w:val="007C3F67"/>
    <w:rsid w:val="007C7E8C"/>
    <w:rsid w:val="007D0FCA"/>
    <w:rsid w:val="007D2B98"/>
    <w:rsid w:val="007D3F0F"/>
    <w:rsid w:val="007D57A4"/>
    <w:rsid w:val="007D787A"/>
    <w:rsid w:val="007E0FB8"/>
    <w:rsid w:val="007E21B8"/>
    <w:rsid w:val="007E21BC"/>
    <w:rsid w:val="007E7C82"/>
    <w:rsid w:val="007F2AA1"/>
    <w:rsid w:val="007F588D"/>
    <w:rsid w:val="007F76ED"/>
    <w:rsid w:val="00803F1C"/>
    <w:rsid w:val="0080600E"/>
    <w:rsid w:val="00807E83"/>
    <w:rsid w:val="00814081"/>
    <w:rsid w:val="00814688"/>
    <w:rsid w:val="00817612"/>
    <w:rsid w:val="00822F26"/>
    <w:rsid w:val="008232E7"/>
    <w:rsid w:val="0083100C"/>
    <w:rsid w:val="008338A4"/>
    <w:rsid w:val="00834D49"/>
    <w:rsid w:val="00837C45"/>
    <w:rsid w:val="00840C07"/>
    <w:rsid w:val="00844730"/>
    <w:rsid w:val="008457C2"/>
    <w:rsid w:val="008545F5"/>
    <w:rsid w:val="00857A82"/>
    <w:rsid w:val="00863FED"/>
    <w:rsid w:val="00866E55"/>
    <w:rsid w:val="00867314"/>
    <w:rsid w:val="00873836"/>
    <w:rsid w:val="00874795"/>
    <w:rsid w:val="00875952"/>
    <w:rsid w:val="00885737"/>
    <w:rsid w:val="00890650"/>
    <w:rsid w:val="00897E12"/>
    <w:rsid w:val="008A5269"/>
    <w:rsid w:val="008A7E0F"/>
    <w:rsid w:val="008B0851"/>
    <w:rsid w:val="008B12F5"/>
    <w:rsid w:val="008B22DB"/>
    <w:rsid w:val="008B32F8"/>
    <w:rsid w:val="008B3741"/>
    <w:rsid w:val="008C5E2D"/>
    <w:rsid w:val="008C65B6"/>
    <w:rsid w:val="008D2D67"/>
    <w:rsid w:val="008D4F36"/>
    <w:rsid w:val="008D54E4"/>
    <w:rsid w:val="008D69D1"/>
    <w:rsid w:val="008D768D"/>
    <w:rsid w:val="008E2467"/>
    <w:rsid w:val="008E3759"/>
    <w:rsid w:val="008E3BFE"/>
    <w:rsid w:val="008E57E0"/>
    <w:rsid w:val="008E594C"/>
    <w:rsid w:val="008E5C9A"/>
    <w:rsid w:val="008E61FA"/>
    <w:rsid w:val="008F053C"/>
    <w:rsid w:val="008F1912"/>
    <w:rsid w:val="008F306E"/>
    <w:rsid w:val="0090270B"/>
    <w:rsid w:val="00903D95"/>
    <w:rsid w:val="009041DC"/>
    <w:rsid w:val="00915920"/>
    <w:rsid w:val="0091769D"/>
    <w:rsid w:val="00917B5A"/>
    <w:rsid w:val="00920A58"/>
    <w:rsid w:val="00920A8C"/>
    <w:rsid w:val="009239C2"/>
    <w:rsid w:val="00931FC1"/>
    <w:rsid w:val="00934A2C"/>
    <w:rsid w:val="00935F9A"/>
    <w:rsid w:val="00937720"/>
    <w:rsid w:val="0094090E"/>
    <w:rsid w:val="00943F38"/>
    <w:rsid w:val="00952392"/>
    <w:rsid w:val="00955CCE"/>
    <w:rsid w:val="00966062"/>
    <w:rsid w:val="0096706E"/>
    <w:rsid w:val="00974491"/>
    <w:rsid w:val="00975C4E"/>
    <w:rsid w:val="009778DB"/>
    <w:rsid w:val="009814F1"/>
    <w:rsid w:val="00981FBA"/>
    <w:rsid w:val="009821CF"/>
    <w:rsid w:val="009966E2"/>
    <w:rsid w:val="00997BC5"/>
    <w:rsid w:val="009A31BB"/>
    <w:rsid w:val="009A3BE8"/>
    <w:rsid w:val="009A4F41"/>
    <w:rsid w:val="009B381B"/>
    <w:rsid w:val="009B4E09"/>
    <w:rsid w:val="009B70D3"/>
    <w:rsid w:val="009C33AC"/>
    <w:rsid w:val="009C59C6"/>
    <w:rsid w:val="009D0482"/>
    <w:rsid w:val="009D1753"/>
    <w:rsid w:val="009D3703"/>
    <w:rsid w:val="009D7611"/>
    <w:rsid w:val="009D7820"/>
    <w:rsid w:val="009D7A94"/>
    <w:rsid w:val="009E0B61"/>
    <w:rsid w:val="009E53DE"/>
    <w:rsid w:val="009E6B65"/>
    <w:rsid w:val="009F4864"/>
    <w:rsid w:val="00A042C7"/>
    <w:rsid w:val="00A11212"/>
    <w:rsid w:val="00A11E44"/>
    <w:rsid w:val="00A12B0C"/>
    <w:rsid w:val="00A131F4"/>
    <w:rsid w:val="00A13CC1"/>
    <w:rsid w:val="00A23907"/>
    <w:rsid w:val="00A30100"/>
    <w:rsid w:val="00A32482"/>
    <w:rsid w:val="00A328B3"/>
    <w:rsid w:val="00A50FCF"/>
    <w:rsid w:val="00A528D1"/>
    <w:rsid w:val="00A55726"/>
    <w:rsid w:val="00A5600C"/>
    <w:rsid w:val="00A610CD"/>
    <w:rsid w:val="00A61AF9"/>
    <w:rsid w:val="00A65076"/>
    <w:rsid w:val="00A723AB"/>
    <w:rsid w:val="00A758AA"/>
    <w:rsid w:val="00A80043"/>
    <w:rsid w:val="00A905E0"/>
    <w:rsid w:val="00AA08C4"/>
    <w:rsid w:val="00AA09A2"/>
    <w:rsid w:val="00AA0E7B"/>
    <w:rsid w:val="00AA18B1"/>
    <w:rsid w:val="00AA40DC"/>
    <w:rsid w:val="00AA52AC"/>
    <w:rsid w:val="00AA7996"/>
    <w:rsid w:val="00AB0769"/>
    <w:rsid w:val="00AB42FF"/>
    <w:rsid w:val="00AB4D86"/>
    <w:rsid w:val="00AB4FE4"/>
    <w:rsid w:val="00AC19CB"/>
    <w:rsid w:val="00AC3283"/>
    <w:rsid w:val="00AD6FBB"/>
    <w:rsid w:val="00AE5488"/>
    <w:rsid w:val="00AE6F91"/>
    <w:rsid w:val="00AF372A"/>
    <w:rsid w:val="00AF5571"/>
    <w:rsid w:val="00AF6084"/>
    <w:rsid w:val="00B013BA"/>
    <w:rsid w:val="00B06393"/>
    <w:rsid w:val="00B07341"/>
    <w:rsid w:val="00B11747"/>
    <w:rsid w:val="00B15D07"/>
    <w:rsid w:val="00B27ED0"/>
    <w:rsid w:val="00B30539"/>
    <w:rsid w:val="00B314DB"/>
    <w:rsid w:val="00B34EC7"/>
    <w:rsid w:val="00B361F2"/>
    <w:rsid w:val="00B3718B"/>
    <w:rsid w:val="00B3745F"/>
    <w:rsid w:val="00B4632A"/>
    <w:rsid w:val="00B46FA3"/>
    <w:rsid w:val="00B530F1"/>
    <w:rsid w:val="00B54A17"/>
    <w:rsid w:val="00B6148C"/>
    <w:rsid w:val="00B7440A"/>
    <w:rsid w:val="00B80BD8"/>
    <w:rsid w:val="00B83FCE"/>
    <w:rsid w:val="00B9391A"/>
    <w:rsid w:val="00B95335"/>
    <w:rsid w:val="00B96517"/>
    <w:rsid w:val="00BA276C"/>
    <w:rsid w:val="00BB306F"/>
    <w:rsid w:val="00BC181C"/>
    <w:rsid w:val="00BC26C4"/>
    <w:rsid w:val="00BD180F"/>
    <w:rsid w:val="00BD4524"/>
    <w:rsid w:val="00BD4B89"/>
    <w:rsid w:val="00BD5922"/>
    <w:rsid w:val="00BD6F16"/>
    <w:rsid w:val="00BE3641"/>
    <w:rsid w:val="00BE4E88"/>
    <w:rsid w:val="00BE53C5"/>
    <w:rsid w:val="00BE5534"/>
    <w:rsid w:val="00BF02CB"/>
    <w:rsid w:val="00BF1066"/>
    <w:rsid w:val="00BF26A6"/>
    <w:rsid w:val="00BF32EE"/>
    <w:rsid w:val="00BF6FD8"/>
    <w:rsid w:val="00C026F3"/>
    <w:rsid w:val="00C03680"/>
    <w:rsid w:val="00C054DF"/>
    <w:rsid w:val="00C12BA4"/>
    <w:rsid w:val="00C13F6C"/>
    <w:rsid w:val="00C1625D"/>
    <w:rsid w:val="00C16E02"/>
    <w:rsid w:val="00C21762"/>
    <w:rsid w:val="00C21FEF"/>
    <w:rsid w:val="00C23BA4"/>
    <w:rsid w:val="00C24543"/>
    <w:rsid w:val="00C256A2"/>
    <w:rsid w:val="00C25ADB"/>
    <w:rsid w:val="00C3408C"/>
    <w:rsid w:val="00C34B4E"/>
    <w:rsid w:val="00C361B3"/>
    <w:rsid w:val="00C505DD"/>
    <w:rsid w:val="00C50FC0"/>
    <w:rsid w:val="00C51515"/>
    <w:rsid w:val="00C528BD"/>
    <w:rsid w:val="00C5660B"/>
    <w:rsid w:val="00C66B72"/>
    <w:rsid w:val="00C741C1"/>
    <w:rsid w:val="00C7452F"/>
    <w:rsid w:val="00C84621"/>
    <w:rsid w:val="00C856C6"/>
    <w:rsid w:val="00C87AC4"/>
    <w:rsid w:val="00C9567A"/>
    <w:rsid w:val="00CA6406"/>
    <w:rsid w:val="00CB212D"/>
    <w:rsid w:val="00CB21D4"/>
    <w:rsid w:val="00CB2660"/>
    <w:rsid w:val="00CB2C07"/>
    <w:rsid w:val="00CB77C2"/>
    <w:rsid w:val="00CC276F"/>
    <w:rsid w:val="00CC442D"/>
    <w:rsid w:val="00CC5E90"/>
    <w:rsid w:val="00CD046C"/>
    <w:rsid w:val="00CD112E"/>
    <w:rsid w:val="00CD4E2F"/>
    <w:rsid w:val="00CE076C"/>
    <w:rsid w:val="00CE0881"/>
    <w:rsid w:val="00CE0A0B"/>
    <w:rsid w:val="00CE13B3"/>
    <w:rsid w:val="00CE5199"/>
    <w:rsid w:val="00CE5918"/>
    <w:rsid w:val="00CE5EEF"/>
    <w:rsid w:val="00CE66D5"/>
    <w:rsid w:val="00CF0D30"/>
    <w:rsid w:val="00CF2CC3"/>
    <w:rsid w:val="00CF3A5B"/>
    <w:rsid w:val="00CF5F05"/>
    <w:rsid w:val="00CF637A"/>
    <w:rsid w:val="00D059DE"/>
    <w:rsid w:val="00D05ABD"/>
    <w:rsid w:val="00D05F13"/>
    <w:rsid w:val="00D06115"/>
    <w:rsid w:val="00D064C5"/>
    <w:rsid w:val="00D13530"/>
    <w:rsid w:val="00D13B03"/>
    <w:rsid w:val="00D13FCE"/>
    <w:rsid w:val="00D16E77"/>
    <w:rsid w:val="00D306D1"/>
    <w:rsid w:val="00D30800"/>
    <w:rsid w:val="00D339AF"/>
    <w:rsid w:val="00D34786"/>
    <w:rsid w:val="00D3669C"/>
    <w:rsid w:val="00D3739C"/>
    <w:rsid w:val="00D37BFC"/>
    <w:rsid w:val="00D4009D"/>
    <w:rsid w:val="00D40F87"/>
    <w:rsid w:val="00D41C4E"/>
    <w:rsid w:val="00D44C80"/>
    <w:rsid w:val="00D45B66"/>
    <w:rsid w:val="00D47A8E"/>
    <w:rsid w:val="00D52D14"/>
    <w:rsid w:val="00D64673"/>
    <w:rsid w:val="00D6608D"/>
    <w:rsid w:val="00D6772B"/>
    <w:rsid w:val="00D712D3"/>
    <w:rsid w:val="00D71422"/>
    <w:rsid w:val="00D7157C"/>
    <w:rsid w:val="00D72DC6"/>
    <w:rsid w:val="00D74C0A"/>
    <w:rsid w:val="00D7558D"/>
    <w:rsid w:val="00D81D92"/>
    <w:rsid w:val="00D83588"/>
    <w:rsid w:val="00D839AA"/>
    <w:rsid w:val="00D876F9"/>
    <w:rsid w:val="00DA1DA7"/>
    <w:rsid w:val="00DA540D"/>
    <w:rsid w:val="00DA7B5F"/>
    <w:rsid w:val="00DB5017"/>
    <w:rsid w:val="00DB657A"/>
    <w:rsid w:val="00DC11E7"/>
    <w:rsid w:val="00DC24E3"/>
    <w:rsid w:val="00DC2E38"/>
    <w:rsid w:val="00DC7023"/>
    <w:rsid w:val="00DC769A"/>
    <w:rsid w:val="00DD3D86"/>
    <w:rsid w:val="00DD4AD2"/>
    <w:rsid w:val="00DE1F33"/>
    <w:rsid w:val="00DE56F8"/>
    <w:rsid w:val="00DE7341"/>
    <w:rsid w:val="00DF1EC4"/>
    <w:rsid w:val="00E0292A"/>
    <w:rsid w:val="00E0340B"/>
    <w:rsid w:val="00E0366C"/>
    <w:rsid w:val="00E036B3"/>
    <w:rsid w:val="00E04A90"/>
    <w:rsid w:val="00E0551F"/>
    <w:rsid w:val="00E071ED"/>
    <w:rsid w:val="00E07F60"/>
    <w:rsid w:val="00E12B79"/>
    <w:rsid w:val="00E219C7"/>
    <w:rsid w:val="00E225ED"/>
    <w:rsid w:val="00E23C2C"/>
    <w:rsid w:val="00E30355"/>
    <w:rsid w:val="00E314D4"/>
    <w:rsid w:val="00E4118C"/>
    <w:rsid w:val="00E42320"/>
    <w:rsid w:val="00E43157"/>
    <w:rsid w:val="00E461CE"/>
    <w:rsid w:val="00E54D28"/>
    <w:rsid w:val="00E573E4"/>
    <w:rsid w:val="00E60CA1"/>
    <w:rsid w:val="00E625E7"/>
    <w:rsid w:val="00E64C3D"/>
    <w:rsid w:val="00E67C67"/>
    <w:rsid w:val="00E710EE"/>
    <w:rsid w:val="00E720CA"/>
    <w:rsid w:val="00E765AE"/>
    <w:rsid w:val="00E80234"/>
    <w:rsid w:val="00E82DDC"/>
    <w:rsid w:val="00E84EB5"/>
    <w:rsid w:val="00E85493"/>
    <w:rsid w:val="00E85662"/>
    <w:rsid w:val="00E8789F"/>
    <w:rsid w:val="00E90736"/>
    <w:rsid w:val="00E95CDD"/>
    <w:rsid w:val="00E962C6"/>
    <w:rsid w:val="00E97B71"/>
    <w:rsid w:val="00EA05C0"/>
    <w:rsid w:val="00EA3D34"/>
    <w:rsid w:val="00EA442D"/>
    <w:rsid w:val="00EA4C4A"/>
    <w:rsid w:val="00EB197F"/>
    <w:rsid w:val="00EB454D"/>
    <w:rsid w:val="00EB6B7B"/>
    <w:rsid w:val="00EC1305"/>
    <w:rsid w:val="00EC55B2"/>
    <w:rsid w:val="00ED549D"/>
    <w:rsid w:val="00ED76BE"/>
    <w:rsid w:val="00EE00E9"/>
    <w:rsid w:val="00EE08DC"/>
    <w:rsid w:val="00EE76E6"/>
    <w:rsid w:val="00EF1AAA"/>
    <w:rsid w:val="00EF445F"/>
    <w:rsid w:val="00EF619B"/>
    <w:rsid w:val="00EF6475"/>
    <w:rsid w:val="00EF76F5"/>
    <w:rsid w:val="00F00B55"/>
    <w:rsid w:val="00F02AD1"/>
    <w:rsid w:val="00F03AD6"/>
    <w:rsid w:val="00F15C69"/>
    <w:rsid w:val="00F17B15"/>
    <w:rsid w:val="00F253CC"/>
    <w:rsid w:val="00F30017"/>
    <w:rsid w:val="00F321E1"/>
    <w:rsid w:val="00F37106"/>
    <w:rsid w:val="00F44E25"/>
    <w:rsid w:val="00F519CF"/>
    <w:rsid w:val="00F56BA5"/>
    <w:rsid w:val="00F56DD9"/>
    <w:rsid w:val="00F60E22"/>
    <w:rsid w:val="00F81395"/>
    <w:rsid w:val="00F81BB8"/>
    <w:rsid w:val="00F90C64"/>
    <w:rsid w:val="00F917D1"/>
    <w:rsid w:val="00F92A47"/>
    <w:rsid w:val="00F94364"/>
    <w:rsid w:val="00F9653B"/>
    <w:rsid w:val="00F96DD1"/>
    <w:rsid w:val="00FB62CF"/>
    <w:rsid w:val="00FC4950"/>
    <w:rsid w:val="00FD0FA3"/>
    <w:rsid w:val="00FD1638"/>
    <w:rsid w:val="00FD1A38"/>
    <w:rsid w:val="00FD3C3B"/>
    <w:rsid w:val="00FD7D04"/>
    <w:rsid w:val="00FE07DD"/>
    <w:rsid w:val="00FE0ED5"/>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1">
    <w:name w:val="List 21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1">
    <w:name w:val="List 31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1">
    <w:name w:val="List 41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1">
    <w:name w:val="List 51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BE553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eastAsia="es-ES"/>
    </w:rPr>
  </w:style>
  <w:style w:type="paragraph" w:customStyle="1" w:styleId="p1">
    <w:name w:val="p1"/>
    <w:basedOn w:val="Normal"/>
    <w:rsid w:val="00CF2CC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EC" w:eastAsia="es-MX"/>
    </w:rPr>
  </w:style>
  <w:style w:type="character" w:customStyle="1" w:styleId="s1">
    <w:name w:val="s1"/>
    <w:basedOn w:val="DefaultParagraphFont"/>
    <w:rsid w:val="00BD4524"/>
    <w:rPr>
      <w:rFonts w:ascii="Helvetica" w:hAnsi="Helvetica" w:hint="default"/>
      <w:sz w:val="10"/>
      <w:szCs w:val="10"/>
    </w:rPr>
  </w:style>
  <w:style w:type="paragraph" w:styleId="NormalWeb">
    <w:name w:val="Normal (Web)"/>
    <w:basedOn w:val="Normal"/>
    <w:uiPriority w:val="99"/>
    <w:semiHidden/>
    <w:unhideWhenUsed/>
    <w:rsid w:val="003B43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Strong">
    <w:name w:val="Strong"/>
    <w:basedOn w:val="DefaultParagraphFont"/>
    <w:uiPriority w:val="22"/>
    <w:qFormat/>
    <w:rsid w:val="003B4399"/>
    <w:rPr>
      <w:b/>
      <w:bCs/>
    </w:rPr>
  </w:style>
  <w:style w:type="character" w:customStyle="1" w:styleId="apple-converted-space">
    <w:name w:val="apple-converted-space"/>
    <w:basedOn w:val="DefaultParagraphFont"/>
    <w:rsid w:val="003B4399"/>
  </w:style>
  <w:style w:type="character" w:customStyle="1" w:styleId="s2">
    <w:name w:val="s2"/>
    <w:basedOn w:val="DefaultParagraphFont"/>
    <w:rsid w:val="000E4DD4"/>
    <w:rPr>
      <w:rFonts w:ascii="Times" w:hAnsi="Times" w:hint="default"/>
      <w:sz w:val="17"/>
      <w:szCs w:val="17"/>
    </w:rPr>
  </w:style>
  <w:style w:type="character" w:customStyle="1" w:styleId="s3">
    <w:name w:val="s3"/>
    <w:basedOn w:val="DefaultParagraphFont"/>
    <w:rsid w:val="000E4DD4"/>
    <w:rPr>
      <w:rFonts w:ascii="Times" w:hAnsi="Times" w:hint="default"/>
      <w:sz w:val="14"/>
      <w:szCs w:val="14"/>
    </w:rPr>
  </w:style>
  <w:style w:type="character" w:styleId="CommentReference">
    <w:name w:val="annotation reference"/>
    <w:basedOn w:val="DefaultParagraphFont"/>
    <w:uiPriority w:val="99"/>
    <w:semiHidden/>
    <w:unhideWhenUsed/>
    <w:rsid w:val="00C7452F"/>
    <w:rPr>
      <w:sz w:val="16"/>
      <w:szCs w:val="16"/>
    </w:rPr>
  </w:style>
  <w:style w:type="paragraph" w:styleId="CommentText">
    <w:name w:val="annotation text"/>
    <w:basedOn w:val="Normal"/>
    <w:link w:val="CommentTextChar"/>
    <w:uiPriority w:val="99"/>
    <w:unhideWhenUsed/>
    <w:rsid w:val="00C7452F"/>
    <w:rPr>
      <w:sz w:val="20"/>
      <w:szCs w:val="20"/>
    </w:rPr>
  </w:style>
  <w:style w:type="character" w:customStyle="1" w:styleId="CommentTextChar">
    <w:name w:val="Comment Text Char"/>
    <w:basedOn w:val="DefaultParagraphFont"/>
    <w:link w:val="CommentText"/>
    <w:uiPriority w:val="99"/>
    <w:rsid w:val="00C7452F"/>
    <w:rPr>
      <w:lang w:val="en-US" w:eastAsia="en-US"/>
    </w:rPr>
  </w:style>
  <w:style w:type="paragraph" w:styleId="CommentSubject">
    <w:name w:val="annotation subject"/>
    <w:basedOn w:val="CommentText"/>
    <w:next w:val="CommentText"/>
    <w:link w:val="CommentSubjectChar"/>
    <w:uiPriority w:val="99"/>
    <w:semiHidden/>
    <w:unhideWhenUsed/>
    <w:rsid w:val="00C7452F"/>
    <w:rPr>
      <w:b/>
      <w:bCs/>
    </w:rPr>
  </w:style>
  <w:style w:type="character" w:customStyle="1" w:styleId="CommentSubjectChar">
    <w:name w:val="Comment Subject Char"/>
    <w:basedOn w:val="CommentTextChar"/>
    <w:link w:val="CommentSubject"/>
    <w:uiPriority w:val="99"/>
    <w:semiHidden/>
    <w:rsid w:val="00C7452F"/>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BD6F16"/>
    <w:rPr>
      <w:rFonts w:ascii="Cambria" w:eastAsia="Cambria" w:hAnsi="Cambria" w:cs="Cambria"/>
      <w:color w:val="000000"/>
      <w:sz w:val="24"/>
      <w:szCs w:val="24"/>
      <w:u w:color="000000"/>
      <w:lang w:val="en-US"/>
    </w:rPr>
  </w:style>
  <w:style w:type="paragraph" w:customStyle="1" w:styleId="paragraph">
    <w:name w:val="paragraph"/>
    <w:basedOn w:val="Normal"/>
    <w:rsid w:val="00FD0F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normaltextrun">
    <w:name w:val="normaltextrun"/>
    <w:basedOn w:val="DefaultParagraphFont"/>
    <w:rsid w:val="00FD0FA3"/>
  </w:style>
  <w:style w:type="character" w:customStyle="1" w:styleId="eop">
    <w:name w:val="eop"/>
    <w:basedOn w:val="DefaultParagraphFont"/>
    <w:rsid w:val="00FD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177">
      <w:bodyDiv w:val="1"/>
      <w:marLeft w:val="0"/>
      <w:marRight w:val="0"/>
      <w:marTop w:val="0"/>
      <w:marBottom w:val="0"/>
      <w:divBdr>
        <w:top w:val="none" w:sz="0" w:space="0" w:color="auto"/>
        <w:left w:val="none" w:sz="0" w:space="0" w:color="auto"/>
        <w:bottom w:val="none" w:sz="0" w:space="0" w:color="auto"/>
        <w:right w:val="none" w:sz="0" w:space="0" w:color="auto"/>
      </w:divBdr>
    </w:div>
    <w:div w:id="31805715">
      <w:bodyDiv w:val="1"/>
      <w:marLeft w:val="0"/>
      <w:marRight w:val="0"/>
      <w:marTop w:val="0"/>
      <w:marBottom w:val="0"/>
      <w:divBdr>
        <w:top w:val="none" w:sz="0" w:space="0" w:color="auto"/>
        <w:left w:val="none" w:sz="0" w:space="0" w:color="auto"/>
        <w:bottom w:val="none" w:sz="0" w:space="0" w:color="auto"/>
        <w:right w:val="none" w:sz="0" w:space="0" w:color="auto"/>
      </w:divBdr>
    </w:div>
    <w:div w:id="33625037">
      <w:bodyDiv w:val="1"/>
      <w:marLeft w:val="0"/>
      <w:marRight w:val="0"/>
      <w:marTop w:val="0"/>
      <w:marBottom w:val="0"/>
      <w:divBdr>
        <w:top w:val="none" w:sz="0" w:space="0" w:color="auto"/>
        <w:left w:val="none" w:sz="0" w:space="0" w:color="auto"/>
        <w:bottom w:val="none" w:sz="0" w:space="0" w:color="auto"/>
        <w:right w:val="none" w:sz="0" w:space="0" w:color="auto"/>
      </w:divBdr>
    </w:div>
    <w:div w:id="38359730">
      <w:bodyDiv w:val="1"/>
      <w:marLeft w:val="0"/>
      <w:marRight w:val="0"/>
      <w:marTop w:val="0"/>
      <w:marBottom w:val="0"/>
      <w:divBdr>
        <w:top w:val="none" w:sz="0" w:space="0" w:color="auto"/>
        <w:left w:val="none" w:sz="0" w:space="0" w:color="auto"/>
        <w:bottom w:val="none" w:sz="0" w:space="0" w:color="auto"/>
        <w:right w:val="none" w:sz="0" w:space="0" w:color="auto"/>
      </w:divBdr>
    </w:div>
    <w:div w:id="52243759">
      <w:bodyDiv w:val="1"/>
      <w:marLeft w:val="0"/>
      <w:marRight w:val="0"/>
      <w:marTop w:val="0"/>
      <w:marBottom w:val="0"/>
      <w:divBdr>
        <w:top w:val="none" w:sz="0" w:space="0" w:color="auto"/>
        <w:left w:val="none" w:sz="0" w:space="0" w:color="auto"/>
        <w:bottom w:val="none" w:sz="0" w:space="0" w:color="auto"/>
        <w:right w:val="none" w:sz="0" w:space="0" w:color="auto"/>
      </w:divBdr>
    </w:div>
    <w:div w:id="73013225">
      <w:bodyDiv w:val="1"/>
      <w:marLeft w:val="0"/>
      <w:marRight w:val="0"/>
      <w:marTop w:val="0"/>
      <w:marBottom w:val="0"/>
      <w:divBdr>
        <w:top w:val="none" w:sz="0" w:space="0" w:color="auto"/>
        <w:left w:val="none" w:sz="0" w:space="0" w:color="auto"/>
        <w:bottom w:val="none" w:sz="0" w:space="0" w:color="auto"/>
        <w:right w:val="none" w:sz="0" w:space="0" w:color="auto"/>
      </w:divBdr>
    </w:div>
    <w:div w:id="79714615">
      <w:bodyDiv w:val="1"/>
      <w:marLeft w:val="0"/>
      <w:marRight w:val="0"/>
      <w:marTop w:val="0"/>
      <w:marBottom w:val="0"/>
      <w:divBdr>
        <w:top w:val="none" w:sz="0" w:space="0" w:color="auto"/>
        <w:left w:val="none" w:sz="0" w:space="0" w:color="auto"/>
        <w:bottom w:val="none" w:sz="0" w:space="0" w:color="auto"/>
        <w:right w:val="none" w:sz="0" w:space="0" w:color="auto"/>
      </w:divBdr>
    </w:div>
    <w:div w:id="135993308">
      <w:bodyDiv w:val="1"/>
      <w:marLeft w:val="0"/>
      <w:marRight w:val="0"/>
      <w:marTop w:val="0"/>
      <w:marBottom w:val="0"/>
      <w:divBdr>
        <w:top w:val="none" w:sz="0" w:space="0" w:color="auto"/>
        <w:left w:val="none" w:sz="0" w:space="0" w:color="auto"/>
        <w:bottom w:val="none" w:sz="0" w:space="0" w:color="auto"/>
        <w:right w:val="none" w:sz="0" w:space="0" w:color="auto"/>
      </w:divBdr>
    </w:div>
    <w:div w:id="162673510">
      <w:bodyDiv w:val="1"/>
      <w:marLeft w:val="0"/>
      <w:marRight w:val="0"/>
      <w:marTop w:val="0"/>
      <w:marBottom w:val="0"/>
      <w:divBdr>
        <w:top w:val="none" w:sz="0" w:space="0" w:color="auto"/>
        <w:left w:val="none" w:sz="0" w:space="0" w:color="auto"/>
        <w:bottom w:val="none" w:sz="0" w:space="0" w:color="auto"/>
        <w:right w:val="none" w:sz="0" w:space="0" w:color="auto"/>
      </w:divBdr>
    </w:div>
    <w:div w:id="175195558">
      <w:bodyDiv w:val="1"/>
      <w:marLeft w:val="0"/>
      <w:marRight w:val="0"/>
      <w:marTop w:val="0"/>
      <w:marBottom w:val="0"/>
      <w:divBdr>
        <w:top w:val="none" w:sz="0" w:space="0" w:color="auto"/>
        <w:left w:val="none" w:sz="0" w:space="0" w:color="auto"/>
        <w:bottom w:val="none" w:sz="0" w:space="0" w:color="auto"/>
        <w:right w:val="none" w:sz="0" w:space="0" w:color="auto"/>
      </w:divBdr>
    </w:div>
    <w:div w:id="180240226">
      <w:bodyDiv w:val="1"/>
      <w:marLeft w:val="0"/>
      <w:marRight w:val="0"/>
      <w:marTop w:val="0"/>
      <w:marBottom w:val="0"/>
      <w:divBdr>
        <w:top w:val="none" w:sz="0" w:space="0" w:color="auto"/>
        <w:left w:val="none" w:sz="0" w:space="0" w:color="auto"/>
        <w:bottom w:val="none" w:sz="0" w:space="0" w:color="auto"/>
        <w:right w:val="none" w:sz="0" w:space="0" w:color="auto"/>
      </w:divBdr>
    </w:div>
    <w:div w:id="184639059">
      <w:bodyDiv w:val="1"/>
      <w:marLeft w:val="0"/>
      <w:marRight w:val="0"/>
      <w:marTop w:val="0"/>
      <w:marBottom w:val="0"/>
      <w:divBdr>
        <w:top w:val="none" w:sz="0" w:space="0" w:color="auto"/>
        <w:left w:val="none" w:sz="0" w:space="0" w:color="auto"/>
        <w:bottom w:val="none" w:sz="0" w:space="0" w:color="auto"/>
        <w:right w:val="none" w:sz="0" w:space="0" w:color="auto"/>
      </w:divBdr>
    </w:div>
    <w:div w:id="219678402">
      <w:bodyDiv w:val="1"/>
      <w:marLeft w:val="0"/>
      <w:marRight w:val="0"/>
      <w:marTop w:val="0"/>
      <w:marBottom w:val="0"/>
      <w:divBdr>
        <w:top w:val="none" w:sz="0" w:space="0" w:color="auto"/>
        <w:left w:val="none" w:sz="0" w:space="0" w:color="auto"/>
        <w:bottom w:val="none" w:sz="0" w:space="0" w:color="auto"/>
        <w:right w:val="none" w:sz="0" w:space="0" w:color="auto"/>
      </w:divBdr>
    </w:div>
    <w:div w:id="259024180">
      <w:bodyDiv w:val="1"/>
      <w:marLeft w:val="0"/>
      <w:marRight w:val="0"/>
      <w:marTop w:val="0"/>
      <w:marBottom w:val="0"/>
      <w:divBdr>
        <w:top w:val="none" w:sz="0" w:space="0" w:color="auto"/>
        <w:left w:val="none" w:sz="0" w:space="0" w:color="auto"/>
        <w:bottom w:val="none" w:sz="0" w:space="0" w:color="auto"/>
        <w:right w:val="none" w:sz="0" w:space="0" w:color="auto"/>
      </w:divBdr>
    </w:div>
    <w:div w:id="318845055">
      <w:bodyDiv w:val="1"/>
      <w:marLeft w:val="0"/>
      <w:marRight w:val="0"/>
      <w:marTop w:val="0"/>
      <w:marBottom w:val="0"/>
      <w:divBdr>
        <w:top w:val="none" w:sz="0" w:space="0" w:color="auto"/>
        <w:left w:val="none" w:sz="0" w:space="0" w:color="auto"/>
        <w:bottom w:val="none" w:sz="0" w:space="0" w:color="auto"/>
        <w:right w:val="none" w:sz="0" w:space="0" w:color="auto"/>
      </w:divBdr>
    </w:div>
    <w:div w:id="369956969">
      <w:bodyDiv w:val="1"/>
      <w:marLeft w:val="0"/>
      <w:marRight w:val="0"/>
      <w:marTop w:val="0"/>
      <w:marBottom w:val="0"/>
      <w:divBdr>
        <w:top w:val="none" w:sz="0" w:space="0" w:color="auto"/>
        <w:left w:val="none" w:sz="0" w:space="0" w:color="auto"/>
        <w:bottom w:val="none" w:sz="0" w:space="0" w:color="auto"/>
        <w:right w:val="none" w:sz="0" w:space="0" w:color="auto"/>
      </w:divBdr>
    </w:div>
    <w:div w:id="417555952">
      <w:bodyDiv w:val="1"/>
      <w:marLeft w:val="0"/>
      <w:marRight w:val="0"/>
      <w:marTop w:val="0"/>
      <w:marBottom w:val="0"/>
      <w:divBdr>
        <w:top w:val="none" w:sz="0" w:space="0" w:color="auto"/>
        <w:left w:val="none" w:sz="0" w:space="0" w:color="auto"/>
        <w:bottom w:val="none" w:sz="0" w:space="0" w:color="auto"/>
        <w:right w:val="none" w:sz="0" w:space="0" w:color="auto"/>
      </w:divBdr>
    </w:div>
    <w:div w:id="422341317">
      <w:bodyDiv w:val="1"/>
      <w:marLeft w:val="0"/>
      <w:marRight w:val="0"/>
      <w:marTop w:val="0"/>
      <w:marBottom w:val="0"/>
      <w:divBdr>
        <w:top w:val="none" w:sz="0" w:space="0" w:color="auto"/>
        <w:left w:val="none" w:sz="0" w:space="0" w:color="auto"/>
        <w:bottom w:val="none" w:sz="0" w:space="0" w:color="auto"/>
        <w:right w:val="none" w:sz="0" w:space="0" w:color="auto"/>
      </w:divBdr>
    </w:div>
    <w:div w:id="460463412">
      <w:bodyDiv w:val="1"/>
      <w:marLeft w:val="0"/>
      <w:marRight w:val="0"/>
      <w:marTop w:val="0"/>
      <w:marBottom w:val="0"/>
      <w:divBdr>
        <w:top w:val="none" w:sz="0" w:space="0" w:color="auto"/>
        <w:left w:val="none" w:sz="0" w:space="0" w:color="auto"/>
        <w:bottom w:val="none" w:sz="0" w:space="0" w:color="auto"/>
        <w:right w:val="none" w:sz="0" w:space="0" w:color="auto"/>
      </w:divBdr>
    </w:div>
    <w:div w:id="468742364">
      <w:bodyDiv w:val="1"/>
      <w:marLeft w:val="0"/>
      <w:marRight w:val="0"/>
      <w:marTop w:val="0"/>
      <w:marBottom w:val="0"/>
      <w:divBdr>
        <w:top w:val="none" w:sz="0" w:space="0" w:color="auto"/>
        <w:left w:val="none" w:sz="0" w:space="0" w:color="auto"/>
        <w:bottom w:val="none" w:sz="0" w:space="0" w:color="auto"/>
        <w:right w:val="none" w:sz="0" w:space="0" w:color="auto"/>
      </w:divBdr>
    </w:div>
    <w:div w:id="610629043">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88721348">
      <w:bodyDiv w:val="1"/>
      <w:marLeft w:val="0"/>
      <w:marRight w:val="0"/>
      <w:marTop w:val="0"/>
      <w:marBottom w:val="0"/>
      <w:divBdr>
        <w:top w:val="none" w:sz="0" w:space="0" w:color="auto"/>
        <w:left w:val="none" w:sz="0" w:space="0" w:color="auto"/>
        <w:bottom w:val="none" w:sz="0" w:space="0" w:color="auto"/>
        <w:right w:val="none" w:sz="0" w:space="0" w:color="auto"/>
      </w:divBdr>
    </w:div>
    <w:div w:id="723255814">
      <w:bodyDiv w:val="1"/>
      <w:marLeft w:val="0"/>
      <w:marRight w:val="0"/>
      <w:marTop w:val="0"/>
      <w:marBottom w:val="0"/>
      <w:divBdr>
        <w:top w:val="none" w:sz="0" w:space="0" w:color="auto"/>
        <w:left w:val="none" w:sz="0" w:space="0" w:color="auto"/>
        <w:bottom w:val="none" w:sz="0" w:space="0" w:color="auto"/>
        <w:right w:val="none" w:sz="0" w:space="0" w:color="auto"/>
      </w:divBdr>
    </w:div>
    <w:div w:id="727845011">
      <w:bodyDiv w:val="1"/>
      <w:marLeft w:val="0"/>
      <w:marRight w:val="0"/>
      <w:marTop w:val="0"/>
      <w:marBottom w:val="0"/>
      <w:divBdr>
        <w:top w:val="none" w:sz="0" w:space="0" w:color="auto"/>
        <w:left w:val="none" w:sz="0" w:space="0" w:color="auto"/>
        <w:bottom w:val="none" w:sz="0" w:space="0" w:color="auto"/>
        <w:right w:val="none" w:sz="0" w:space="0" w:color="auto"/>
      </w:divBdr>
    </w:div>
    <w:div w:id="734619912">
      <w:bodyDiv w:val="1"/>
      <w:marLeft w:val="0"/>
      <w:marRight w:val="0"/>
      <w:marTop w:val="0"/>
      <w:marBottom w:val="0"/>
      <w:divBdr>
        <w:top w:val="none" w:sz="0" w:space="0" w:color="auto"/>
        <w:left w:val="none" w:sz="0" w:space="0" w:color="auto"/>
        <w:bottom w:val="none" w:sz="0" w:space="0" w:color="auto"/>
        <w:right w:val="none" w:sz="0" w:space="0" w:color="auto"/>
      </w:divBdr>
    </w:div>
    <w:div w:id="740442525">
      <w:bodyDiv w:val="1"/>
      <w:marLeft w:val="0"/>
      <w:marRight w:val="0"/>
      <w:marTop w:val="0"/>
      <w:marBottom w:val="0"/>
      <w:divBdr>
        <w:top w:val="none" w:sz="0" w:space="0" w:color="auto"/>
        <w:left w:val="none" w:sz="0" w:space="0" w:color="auto"/>
        <w:bottom w:val="none" w:sz="0" w:space="0" w:color="auto"/>
        <w:right w:val="none" w:sz="0" w:space="0" w:color="auto"/>
      </w:divBdr>
    </w:div>
    <w:div w:id="757865590">
      <w:bodyDiv w:val="1"/>
      <w:marLeft w:val="0"/>
      <w:marRight w:val="0"/>
      <w:marTop w:val="0"/>
      <w:marBottom w:val="0"/>
      <w:divBdr>
        <w:top w:val="none" w:sz="0" w:space="0" w:color="auto"/>
        <w:left w:val="none" w:sz="0" w:space="0" w:color="auto"/>
        <w:bottom w:val="none" w:sz="0" w:space="0" w:color="auto"/>
        <w:right w:val="none" w:sz="0" w:space="0" w:color="auto"/>
      </w:divBdr>
    </w:div>
    <w:div w:id="804585802">
      <w:bodyDiv w:val="1"/>
      <w:marLeft w:val="0"/>
      <w:marRight w:val="0"/>
      <w:marTop w:val="0"/>
      <w:marBottom w:val="0"/>
      <w:divBdr>
        <w:top w:val="none" w:sz="0" w:space="0" w:color="auto"/>
        <w:left w:val="none" w:sz="0" w:space="0" w:color="auto"/>
        <w:bottom w:val="none" w:sz="0" w:space="0" w:color="auto"/>
        <w:right w:val="none" w:sz="0" w:space="0" w:color="auto"/>
      </w:divBdr>
    </w:div>
    <w:div w:id="942881645">
      <w:bodyDiv w:val="1"/>
      <w:marLeft w:val="0"/>
      <w:marRight w:val="0"/>
      <w:marTop w:val="0"/>
      <w:marBottom w:val="0"/>
      <w:divBdr>
        <w:top w:val="none" w:sz="0" w:space="0" w:color="auto"/>
        <w:left w:val="none" w:sz="0" w:space="0" w:color="auto"/>
        <w:bottom w:val="none" w:sz="0" w:space="0" w:color="auto"/>
        <w:right w:val="none" w:sz="0" w:space="0" w:color="auto"/>
      </w:divBdr>
    </w:div>
    <w:div w:id="1015495709">
      <w:bodyDiv w:val="1"/>
      <w:marLeft w:val="0"/>
      <w:marRight w:val="0"/>
      <w:marTop w:val="0"/>
      <w:marBottom w:val="0"/>
      <w:divBdr>
        <w:top w:val="none" w:sz="0" w:space="0" w:color="auto"/>
        <w:left w:val="none" w:sz="0" w:space="0" w:color="auto"/>
        <w:bottom w:val="none" w:sz="0" w:space="0" w:color="auto"/>
        <w:right w:val="none" w:sz="0" w:space="0" w:color="auto"/>
      </w:divBdr>
    </w:div>
    <w:div w:id="1028674988">
      <w:bodyDiv w:val="1"/>
      <w:marLeft w:val="0"/>
      <w:marRight w:val="0"/>
      <w:marTop w:val="0"/>
      <w:marBottom w:val="0"/>
      <w:divBdr>
        <w:top w:val="none" w:sz="0" w:space="0" w:color="auto"/>
        <w:left w:val="none" w:sz="0" w:space="0" w:color="auto"/>
        <w:bottom w:val="none" w:sz="0" w:space="0" w:color="auto"/>
        <w:right w:val="none" w:sz="0" w:space="0" w:color="auto"/>
      </w:divBdr>
    </w:div>
    <w:div w:id="1035038815">
      <w:bodyDiv w:val="1"/>
      <w:marLeft w:val="0"/>
      <w:marRight w:val="0"/>
      <w:marTop w:val="0"/>
      <w:marBottom w:val="0"/>
      <w:divBdr>
        <w:top w:val="none" w:sz="0" w:space="0" w:color="auto"/>
        <w:left w:val="none" w:sz="0" w:space="0" w:color="auto"/>
        <w:bottom w:val="none" w:sz="0" w:space="0" w:color="auto"/>
        <w:right w:val="none" w:sz="0" w:space="0" w:color="auto"/>
      </w:divBdr>
    </w:div>
    <w:div w:id="1070540526">
      <w:bodyDiv w:val="1"/>
      <w:marLeft w:val="0"/>
      <w:marRight w:val="0"/>
      <w:marTop w:val="0"/>
      <w:marBottom w:val="0"/>
      <w:divBdr>
        <w:top w:val="none" w:sz="0" w:space="0" w:color="auto"/>
        <w:left w:val="none" w:sz="0" w:space="0" w:color="auto"/>
        <w:bottom w:val="none" w:sz="0" w:space="0" w:color="auto"/>
        <w:right w:val="none" w:sz="0" w:space="0" w:color="auto"/>
      </w:divBdr>
    </w:div>
    <w:div w:id="1120803365">
      <w:bodyDiv w:val="1"/>
      <w:marLeft w:val="0"/>
      <w:marRight w:val="0"/>
      <w:marTop w:val="0"/>
      <w:marBottom w:val="0"/>
      <w:divBdr>
        <w:top w:val="none" w:sz="0" w:space="0" w:color="auto"/>
        <w:left w:val="none" w:sz="0" w:space="0" w:color="auto"/>
        <w:bottom w:val="none" w:sz="0" w:space="0" w:color="auto"/>
        <w:right w:val="none" w:sz="0" w:space="0" w:color="auto"/>
      </w:divBdr>
    </w:div>
    <w:div w:id="1132216055">
      <w:bodyDiv w:val="1"/>
      <w:marLeft w:val="0"/>
      <w:marRight w:val="0"/>
      <w:marTop w:val="0"/>
      <w:marBottom w:val="0"/>
      <w:divBdr>
        <w:top w:val="none" w:sz="0" w:space="0" w:color="auto"/>
        <w:left w:val="none" w:sz="0" w:space="0" w:color="auto"/>
        <w:bottom w:val="none" w:sz="0" w:space="0" w:color="auto"/>
        <w:right w:val="none" w:sz="0" w:space="0" w:color="auto"/>
      </w:divBdr>
    </w:div>
    <w:div w:id="1200505945">
      <w:bodyDiv w:val="1"/>
      <w:marLeft w:val="0"/>
      <w:marRight w:val="0"/>
      <w:marTop w:val="0"/>
      <w:marBottom w:val="0"/>
      <w:divBdr>
        <w:top w:val="none" w:sz="0" w:space="0" w:color="auto"/>
        <w:left w:val="none" w:sz="0" w:space="0" w:color="auto"/>
        <w:bottom w:val="none" w:sz="0" w:space="0" w:color="auto"/>
        <w:right w:val="none" w:sz="0" w:space="0" w:color="auto"/>
      </w:divBdr>
    </w:div>
    <w:div w:id="120448867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81719200">
      <w:bodyDiv w:val="1"/>
      <w:marLeft w:val="0"/>
      <w:marRight w:val="0"/>
      <w:marTop w:val="0"/>
      <w:marBottom w:val="0"/>
      <w:divBdr>
        <w:top w:val="none" w:sz="0" w:space="0" w:color="auto"/>
        <w:left w:val="none" w:sz="0" w:space="0" w:color="auto"/>
        <w:bottom w:val="none" w:sz="0" w:space="0" w:color="auto"/>
        <w:right w:val="none" w:sz="0" w:space="0" w:color="auto"/>
      </w:divBdr>
    </w:div>
    <w:div w:id="1291546085">
      <w:bodyDiv w:val="1"/>
      <w:marLeft w:val="0"/>
      <w:marRight w:val="0"/>
      <w:marTop w:val="0"/>
      <w:marBottom w:val="0"/>
      <w:divBdr>
        <w:top w:val="none" w:sz="0" w:space="0" w:color="auto"/>
        <w:left w:val="none" w:sz="0" w:space="0" w:color="auto"/>
        <w:bottom w:val="none" w:sz="0" w:space="0" w:color="auto"/>
        <w:right w:val="none" w:sz="0" w:space="0" w:color="auto"/>
      </w:divBdr>
    </w:div>
    <w:div w:id="138093951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69588739">
      <w:bodyDiv w:val="1"/>
      <w:marLeft w:val="0"/>
      <w:marRight w:val="0"/>
      <w:marTop w:val="0"/>
      <w:marBottom w:val="0"/>
      <w:divBdr>
        <w:top w:val="none" w:sz="0" w:space="0" w:color="auto"/>
        <w:left w:val="none" w:sz="0" w:space="0" w:color="auto"/>
        <w:bottom w:val="none" w:sz="0" w:space="0" w:color="auto"/>
        <w:right w:val="none" w:sz="0" w:space="0" w:color="auto"/>
      </w:divBdr>
    </w:div>
    <w:div w:id="1476802875">
      <w:bodyDiv w:val="1"/>
      <w:marLeft w:val="0"/>
      <w:marRight w:val="0"/>
      <w:marTop w:val="0"/>
      <w:marBottom w:val="0"/>
      <w:divBdr>
        <w:top w:val="none" w:sz="0" w:space="0" w:color="auto"/>
        <w:left w:val="none" w:sz="0" w:space="0" w:color="auto"/>
        <w:bottom w:val="none" w:sz="0" w:space="0" w:color="auto"/>
        <w:right w:val="none" w:sz="0" w:space="0" w:color="auto"/>
      </w:divBdr>
    </w:div>
    <w:div w:id="1503009310">
      <w:bodyDiv w:val="1"/>
      <w:marLeft w:val="0"/>
      <w:marRight w:val="0"/>
      <w:marTop w:val="0"/>
      <w:marBottom w:val="0"/>
      <w:divBdr>
        <w:top w:val="none" w:sz="0" w:space="0" w:color="auto"/>
        <w:left w:val="none" w:sz="0" w:space="0" w:color="auto"/>
        <w:bottom w:val="none" w:sz="0" w:space="0" w:color="auto"/>
        <w:right w:val="none" w:sz="0" w:space="0" w:color="auto"/>
      </w:divBdr>
    </w:div>
    <w:div w:id="1504126448">
      <w:bodyDiv w:val="1"/>
      <w:marLeft w:val="0"/>
      <w:marRight w:val="0"/>
      <w:marTop w:val="0"/>
      <w:marBottom w:val="0"/>
      <w:divBdr>
        <w:top w:val="none" w:sz="0" w:space="0" w:color="auto"/>
        <w:left w:val="none" w:sz="0" w:space="0" w:color="auto"/>
        <w:bottom w:val="none" w:sz="0" w:space="0" w:color="auto"/>
        <w:right w:val="none" w:sz="0" w:space="0" w:color="auto"/>
      </w:divBdr>
    </w:div>
    <w:div w:id="1559710014">
      <w:bodyDiv w:val="1"/>
      <w:marLeft w:val="0"/>
      <w:marRight w:val="0"/>
      <w:marTop w:val="0"/>
      <w:marBottom w:val="0"/>
      <w:divBdr>
        <w:top w:val="none" w:sz="0" w:space="0" w:color="auto"/>
        <w:left w:val="none" w:sz="0" w:space="0" w:color="auto"/>
        <w:bottom w:val="none" w:sz="0" w:space="0" w:color="auto"/>
        <w:right w:val="none" w:sz="0" w:space="0" w:color="auto"/>
      </w:divBdr>
    </w:div>
    <w:div w:id="1560551090">
      <w:bodyDiv w:val="1"/>
      <w:marLeft w:val="0"/>
      <w:marRight w:val="0"/>
      <w:marTop w:val="0"/>
      <w:marBottom w:val="0"/>
      <w:divBdr>
        <w:top w:val="none" w:sz="0" w:space="0" w:color="auto"/>
        <w:left w:val="none" w:sz="0" w:space="0" w:color="auto"/>
        <w:bottom w:val="none" w:sz="0" w:space="0" w:color="auto"/>
        <w:right w:val="none" w:sz="0" w:space="0" w:color="auto"/>
      </w:divBdr>
    </w:div>
    <w:div w:id="1566910693">
      <w:bodyDiv w:val="1"/>
      <w:marLeft w:val="0"/>
      <w:marRight w:val="0"/>
      <w:marTop w:val="0"/>
      <w:marBottom w:val="0"/>
      <w:divBdr>
        <w:top w:val="none" w:sz="0" w:space="0" w:color="auto"/>
        <w:left w:val="none" w:sz="0" w:space="0" w:color="auto"/>
        <w:bottom w:val="none" w:sz="0" w:space="0" w:color="auto"/>
        <w:right w:val="none" w:sz="0" w:space="0" w:color="auto"/>
      </w:divBdr>
    </w:div>
    <w:div w:id="1652909156">
      <w:bodyDiv w:val="1"/>
      <w:marLeft w:val="0"/>
      <w:marRight w:val="0"/>
      <w:marTop w:val="0"/>
      <w:marBottom w:val="0"/>
      <w:divBdr>
        <w:top w:val="none" w:sz="0" w:space="0" w:color="auto"/>
        <w:left w:val="none" w:sz="0" w:space="0" w:color="auto"/>
        <w:bottom w:val="none" w:sz="0" w:space="0" w:color="auto"/>
        <w:right w:val="none" w:sz="0" w:space="0" w:color="auto"/>
      </w:divBdr>
    </w:div>
    <w:div w:id="1679035949">
      <w:bodyDiv w:val="1"/>
      <w:marLeft w:val="0"/>
      <w:marRight w:val="0"/>
      <w:marTop w:val="0"/>
      <w:marBottom w:val="0"/>
      <w:divBdr>
        <w:top w:val="none" w:sz="0" w:space="0" w:color="auto"/>
        <w:left w:val="none" w:sz="0" w:space="0" w:color="auto"/>
        <w:bottom w:val="none" w:sz="0" w:space="0" w:color="auto"/>
        <w:right w:val="none" w:sz="0" w:space="0" w:color="auto"/>
      </w:divBdr>
    </w:div>
    <w:div w:id="1717780910">
      <w:bodyDiv w:val="1"/>
      <w:marLeft w:val="0"/>
      <w:marRight w:val="0"/>
      <w:marTop w:val="0"/>
      <w:marBottom w:val="0"/>
      <w:divBdr>
        <w:top w:val="none" w:sz="0" w:space="0" w:color="auto"/>
        <w:left w:val="none" w:sz="0" w:space="0" w:color="auto"/>
        <w:bottom w:val="none" w:sz="0" w:space="0" w:color="auto"/>
        <w:right w:val="none" w:sz="0" w:space="0" w:color="auto"/>
      </w:divBdr>
    </w:div>
    <w:div w:id="176052346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10265095">
      <w:bodyDiv w:val="1"/>
      <w:marLeft w:val="0"/>
      <w:marRight w:val="0"/>
      <w:marTop w:val="0"/>
      <w:marBottom w:val="0"/>
      <w:divBdr>
        <w:top w:val="none" w:sz="0" w:space="0" w:color="auto"/>
        <w:left w:val="none" w:sz="0" w:space="0" w:color="auto"/>
        <w:bottom w:val="none" w:sz="0" w:space="0" w:color="auto"/>
        <w:right w:val="none" w:sz="0" w:space="0" w:color="auto"/>
      </w:divBdr>
    </w:div>
    <w:div w:id="1943339632">
      <w:bodyDiv w:val="1"/>
      <w:marLeft w:val="0"/>
      <w:marRight w:val="0"/>
      <w:marTop w:val="0"/>
      <w:marBottom w:val="0"/>
      <w:divBdr>
        <w:top w:val="none" w:sz="0" w:space="0" w:color="auto"/>
        <w:left w:val="none" w:sz="0" w:space="0" w:color="auto"/>
        <w:bottom w:val="none" w:sz="0" w:space="0" w:color="auto"/>
        <w:right w:val="none" w:sz="0" w:space="0" w:color="auto"/>
      </w:divBdr>
    </w:div>
    <w:div w:id="1960913756">
      <w:bodyDiv w:val="1"/>
      <w:marLeft w:val="0"/>
      <w:marRight w:val="0"/>
      <w:marTop w:val="0"/>
      <w:marBottom w:val="0"/>
      <w:divBdr>
        <w:top w:val="none" w:sz="0" w:space="0" w:color="auto"/>
        <w:left w:val="none" w:sz="0" w:space="0" w:color="auto"/>
        <w:bottom w:val="none" w:sz="0" w:space="0" w:color="auto"/>
        <w:right w:val="none" w:sz="0" w:space="0" w:color="auto"/>
      </w:divBdr>
    </w:div>
    <w:div w:id="2047948400">
      <w:bodyDiv w:val="1"/>
      <w:marLeft w:val="0"/>
      <w:marRight w:val="0"/>
      <w:marTop w:val="0"/>
      <w:marBottom w:val="0"/>
      <w:divBdr>
        <w:top w:val="none" w:sz="0" w:space="0" w:color="auto"/>
        <w:left w:val="none" w:sz="0" w:space="0" w:color="auto"/>
        <w:bottom w:val="none" w:sz="0" w:space="0" w:color="auto"/>
        <w:right w:val="none" w:sz="0" w:space="0" w:color="auto"/>
      </w:divBdr>
    </w:div>
    <w:div w:id="213852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35DC5"/>
    <w:rsid w:val="00057DAF"/>
    <w:rsid w:val="000B0178"/>
    <w:rsid w:val="000B2D8A"/>
    <w:rsid w:val="000D71DF"/>
    <w:rsid w:val="000F3AFE"/>
    <w:rsid w:val="001017FB"/>
    <w:rsid w:val="00136030"/>
    <w:rsid w:val="0016355E"/>
    <w:rsid w:val="00173782"/>
    <w:rsid w:val="001B68CE"/>
    <w:rsid w:val="001F5780"/>
    <w:rsid w:val="00200821"/>
    <w:rsid w:val="00201CE6"/>
    <w:rsid w:val="0022484C"/>
    <w:rsid w:val="00230110"/>
    <w:rsid w:val="0025245B"/>
    <w:rsid w:val="00265A28"/>
    <w:rsid w:val="002A3923"/>
    <w:rsid w:val="002B2950"/>
    <w:rsid w:val="0037248E"/>
    <w:rsid w:val="00394049"/>
    <w:rsid w:val="003E397C"/>
    <w:rsid w:val="003E4EFC"/>
    <w:rsid w:val="00443B28"/>
    <w:rsid w:val="00451127"/>
    <w:rsid w:val="0047275A"/>
    <w:rsid w:val="004B5BBB"/>
    <w:rsid w:val="004F2DF8"/>
    <w:rsid w:val="005749F7"/>
    <w:rsid w:val="00585D9D"/>
    <w:rsid w:val="005D3F3A"/>
    <w:rsid w:val="0065332D"/>
    <w:rsid w:val="006C6465"/>
    <w:rsid w:val="006E4E96"/>
    <w:rsid w:val="006F24A1"/>
    <w:rsid w:val="00725BAB"/>
    <w:rsid w:val="00741834"/>
    <w:rsid w:val="00787C63"/>
    <w:rsid w:val="007A0B47"/>
    <w:rsid w:val="007A50C0"/>
    <w:rsid w:val="00822F26"/>
    <w:rsid w:val="00951928"/>
    <w:rsid w:val="00966062"/>
    <w:rsid w:val="009966E2"/>
    <w:rsid w:val="009A261B"/>
    <w:rsid w:val="009B70D3"/>
    <w:rsid w:val="009C3CB6"/>
    <w:rsid w:val="009D3703"/>
    <w:rsid w:val="00A01C30"/>
    <w:rsid w:val="00A041CF"/>
    <w:rsid w:val="00A13CC1"/>
    <w:rsid w:val="00A1625A"/>
    <w:rsid w:val="00A24E11"/>
    <w:rsid w:val="00A4418E"/>
    <w:rsid w:val="00A771A1"/>
    <w:rsid w:val="00AA08C4"/>
    <w:rsid w:val="00AA2E17"/>
    <w:rsid w:val="00AC15A4"/>
    <w:rsid w:val="00B0336C"/>
    <w:rsid w:val="00B16E04"/>
    <w:rsid w:val="00B30277"/>
    <w:rsid w:val="00B803AB"/>
    <w:rsid w:val="00C12BA4"/>
    <w:rsid w:val="00C61FF3"/>
    <w:rsid w:val="00CB77C2"/>
    <w:rsid w:val="00CD4E2F"/>
    <w:rsid w:val="00CF3A5B"/>
    <w:rsid w:val="00D16E77"/>
    <w:rsid w:val="00D241E9"/>
    <w:rsid w:val="00D27E8A"/>
    <w:rsid w:val="00D45B66"/>
    <w:rsid w:val="00D74C0A"/>
    <w:rsid w:val="00D7750D"/>
    <w:rsid w:val="00DC1624"/>
    <w:rsid w:val="00E0422F"/>
    <w:rsid w:val="00E23C2C"/>
    <w:rsid w:val="00E829B0"/>
    <w:rsid w:val="00F00D2F"/>
    <w:rsid w:val="00F128DF"/>
    <w:rsid w:val="00F17B15"/>
    <w:rsid w:val="00FD7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F43D0-E651-4ED9-BE30-F2C2B36E27EC}">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2.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3.xml><?xml version="1.0" encoding="utf-8"?>
<ds:datastoreItem xmlns:ds="http://schemas.openxmlformats.org/officeDocument/2006/customXml" ds:itemID="{65A5BB90-28E4-4BF4-9822-7C8F0F0411AC}">
  <ds:schemaRefs>
    <ds:schemaRef ds:uri="http://schemas.microsoft.com/sharepoint/v3/contenttype/forms"/>
  </ds:schemaRefs>
</ds:datastoreItem>
</file>

<file path=customXml/itemProps4.xml><?xml version="1.0" encoding="utf-8"?>
<ds:datastoreItem xmlns:ds="http://schemas.openxmlformats.org/officeDocument/2006/customXml" ds:itemID="{7AA51976-C428-43A9-8B38-F501014E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3851</Words>
  <Characters>21956</Characters>
  <Application>Microsoft Office Word</Application>
  <DocSecurity>0</DocSecurity>
  <Lines>182</Lines>
  <Paragraphs>51</Paragraphs>
  <ScaleCrop>false</ScaleCrop>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2025-12-12T14:49:00Z</dcterms:created>
  <dcterms:modified xsi:type="dcterms:W3CDTF">2025-12-12T14:49:00Z</dcterms:modified>
</cp:coreProperties>
</file>