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8165A7" w:rsidRDefault="00D306D1" w:rsidP="00627C9F">
      <w:pPr>
        <w:jc w:val="both"/>
        <w:rPr>
          <w:rFonts w:asciiTheme="majorHAnsi" w:hAnsiTheme="majorHAnsi" w:cs="Univers"/>
          <w:b/>
          <w:bCs/>
          <w:sz w:val="22"/>
          <w:szCs w:val="22"/>
          <w:lang w:val="es-ES"/>
        </w:rPr>
      </w:pPr>
      <w:r w:rsidRPr="008165A7">
        <w:rPr>
          <w:rFonts w:asciiTheme="majorHAnsi" w:hAnsiTheme="majorHAnsi"/>
          <w:noProof/>
          <w:sz w:val="22"/>
          <w:szCs w:val="22"/>
          <w:lang w:val="es-ES"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37865">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50CB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8165A7">
        <w:rPr>
          <w:rFonts w:asciiTheme="majorHAnsi" w:hAnsiTheme="majorHAnsi"/>
          <w:noProof/>
          <w:sz w:val="22"/>
          <w:szCs w:val="22"/>
          <w:lang w:val="es-ES"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8165A7"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8165A7"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8165A7" w:rsidRDefault="005128E4" w:rsidP="00040C3A">
      <w:pPr>
        <w:tabs>
          <w:tab w:val="center" w:pos="5400"/>
        </w:tabs>
        <w:suppressAutoHyphens/>
        <w:rPr>
          <w:rFonts w:asciiTheme="majorHAnsi" w:hAnsiTheme="majorHAnsi"/>
          <w:sz w:val="22"/>
          <w:szCs w:val="22"/>
          <w:lang w:val="es-ES"/>
        </w:rPr>
      </w:pPr>
    </w:p>
    <w:p w14:paraId="12A36B24" w14:textId="77777777" w:rsidR="005128E4" w:rsidRPr="008165A7" w:rsidRDefault="005128E4" w:rsidP="00040C3A">
      <w:pPr>
        <w:tabs>
          <w:tab w:val="center" w:pos="5400"/>
        </w:tabs>
        <w:suppressAutoHyphens/>
        <w:rPr>
          <w:rFonts w:asciiTheme="majorHAnsi" w:hAnsiTheme="majorHAnsi"/>
          <w:sz w:val="22"/>
          <w:szCs w:val="22"/>
          <w:lang w:val="es-ES"/>
        </w:rPr>
      </w:pPr>
    </w:p>
    <w:p w14:paraId="2252093D" w14:textId="77777777" w:rsidR="005128E4" w:rsidRPr="008165A7" w:rsidRDefault="005128E4" w:rsidP="00040C3A">
      <w:pPr>
        <w:tabs>
          <w:tab w:val="center" w:pos="5400"/>
        </w:tabs>
        <w:suppressAutoHyphens/>
        <w:rPr>
          <w:rFonts w:asciiTheme="majorHAnsi" w:hAnsiTheme="majorHAnsi"/>
          <w:sz w:val="22"/>
          <w:szCs w:val="22"/>
          <w:lang w:val="es-ES"/>
        </w:rPr>
      </w:pPr>
    </w:p>
    <w:p w14:paraId="403935BD" w14:textId="77777777" w:rsidR="00040C3A" w:rsidRPr="008165A7"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8165A7"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8165A7"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8165A7"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8165A7"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8165A7" w:rsidRDefault="003D3BC2" w:rsidP="00040C3A">
      <w:pPr>
        <w:tabs>
          <w:tab w:val="center" w:pos="5400"/>
        </w:tabs>
        <w:suppressAutoHyphens/>
        <w:jc w:val="center"/>
        <w:rPr>
          <w:rFonts w:asciiTheme="majorHAnsi" w:hAnsiTheme="majorHAnsi"/>
          <w:sz w:val="22"/>
          <w:szCs w:val="22"/>
          <w:lang w:val="es-ES"/>
        </w:rPr>
      </w:pPr>
      <w:r w:rsidRPr="008165A7">
        <w:rPr>
          <w:rFonts w:asciiTheme="majorHAnsi" w:hAnsiTheme="majorHAnsi"/>
          <w:noProof/>
          <w:sz w:val="22"/>
          <w:szCs w:val="22"/>
          <w:lang w:val="es-ES"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26B737D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73E85">
                              <w:rPr>
                                <w:rFonts w:asciiTheme="majorHAnsi" w:hAnsiTheme="majorHAnsi" w:cs="Arial"/>
                                <w:b/>
                                <w:bCs/>
                                <w:color w:val="0D0D0D" w:themeColor="text1" w:themeTint="F2"/>
                                <w:sz w:val="36"/>
                                <w:szCs w:val="22"/>
                                <w:lang w:val="es-ES_tradnl"/>
                              </w:rPr>
                              <w:t>188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71C25C1"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DA38B4">
                              <w:rPr>
                                <w:rFonts w:asciiTheme="majorHAnsi" w:hAnsiTheme="majorHAnsi" w:cs="Arial"/>
                                <w:b/>
                                <w:color w:val="0D0D0D" w:themeColor="text1" w:themeTint="F2"/>
                                <w:sz w:val="36"/>
                                <w:szCs w:val="22"/>
                                <w:lang w:val="es-ES_tradnl"/>
                              </w:rPr>
                              <w:t>1801-11</w:t>
                            </w:r>
                          </w:p>
                          <w:p w14:paraId="70CF6833" w14:textId="1C2E7F01" w:rsidR="00CD046C" w:rsidRPr="008C3AF6" w:rsidRDefault="005B52B0" w:rsidP="00997BC5">
                            <w:pPr>
                              <w:spacing w:line="276" w:lineRule="auto"/>
                              <w:rPr>
                                <w:rFonts w:asciiTheme="majorHAnsi" w:hAnsiTheme="majorHAnsi" w:cs="Arial"/>
                                <w:color w:val="0D0D0D" w:themeColor="text1" w:themeTint="F2"/>
                                <w:szCs w:val="22"/>
                                <w:lang w:val="es-ES_tradnl"/>
                              </w:rPr>
                            </w:pPr>
                            <w:r w:rsidRPr="008C3AF6">
                              <w:rPr>
                                <w:rFonts w:asciiTheme="majorHAnsi" w:hAnsiTheme="majorHAnsi" w:cs="Arial"/>
                                <w:color w:val="0D0D0D" w:themeColor="text1" w:themeTint="F2"/>
                                <w:szCs w:val="22"/>
                                <w:lang w:val="es-ES_tradnl"/>
                              </w:rPr>
                              <w:t>INFORME DE ADMISIBILIDAD</w:t>
                            </w:r>
                          </w:p>
                          <w:p w14:paraId="5FDD6F0D" w14:textId="77777777" w:rsidR="008F1912" w:rsidRPr="008C3AF6"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3D6CF28C" w:rsidR="00EB197F" w:rsidRPr="008C3AF6" w:rsidRDefault="00DA38B4" w:rsidP="00997BC5">
                            <w:pPr>
                              <w:spacing w:line="276" w:lineRule="auto"/>
                              <w:rPr>
                                <w:rFonts w:asciiTheme="majorHAnsi" w:hAnsiTheme="majorHAnsi" w:cs="Arial"/>
                                <w:color w:val="0D0D0D" w:themeColor="text1" w:themeTint="F2"/>
                                <w:szCs w:val="22"/>
                                <w:lang w:val="es-ES_tradnl"/>
                              </w:rPr>
                            </w:pPr>
                            <w:r w:rsidRPr="008C3AF6">
                              <w:rPr>
                                <w:rFonts w:asciiTheme="majorHAnsi" w:hAnsiTheme="majorHAnsi" w:cs="Arial"/>
                                <w:color w:val="0D0D0D" w:themeColor="text1" w:themeTint="F2"/>
                                <w:szCs w:val="22"/>
                                <w:lang w:val="es-ES_tradnl"/>
                              </w:rPr>
                              <w:t>COMUNIDAD LAS MUÑECAS</w:t>
                            </w:r>
                          </w:p>
                          <w:p w14:paraId="575DFD52" w14:textId="1C8E6BB7" w:rsidR="005B52B0" w:rsidRPr="00EB197F" w:rsidRDefault="00DA38B4" w:rsidP="007A5817">
                            <w:pPr>
                              <w:rPr>
                                <w:color w:val="0D0D0D" w:themeColor="text1" w:themeTint="F2"/>
                                <w:lang w:val="es-PE"/>
                              </w:rPr>
                            </w:pPr>
                            <w:r w:rsidRPr="008C3AF6">
                              <w:rPr>
                                <w:rFonts w:asciiTheme="majorHAnsi" w:hAnsiTheme="majorHAnsi" w:cs="Arial"/>
                                <w:color w:val="0D0D0D" w:themeColor="text1" w:themeTint="F2"/>
                                <w:szCs w:val="22"/>
                                <w:lang w:val="es-P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26B737D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73E85">
                        <w:rPr>
                          <w:rFonts w:asciiTheme="majorHAnsi" w:hAnsiTheme="majorHAnsi" w:cs="Arial"/>
                          <w:b/>
                          <w:bCs/>
                          <w:color w:val="0D0D0D" w:themeColor="text1" w:themeTint="F2"/>
                          <w:sz w:val="36"/>
                          <w:szCs w:val="22"/>
                          <w:lang w:val="es-ES_tradnl"/>
                        </w:rPr>
                        <w:t>188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71C25C1"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DA38B4">
                        <w:rPr>
                          <w:rFonts w:asciiTheme="majorHAnsi" w:hAnsiTheme="majorHAnsi" w:cs="Arial"/>
                          <w:b/>
                          <w:color w:val="0D0D0D" w:themeColor="text1" w:themeTint="F2"/>
                          <w:sz w:val="36"/>
                          <w:szCs w:val="22"/>
                          <w:lang w:val="es-ES_tradnl"/>
                        </w:rPr>
                        <w:t>1801-11</w:t>
                      </w:r>
                    </w:p>
                    <w:p w14:paraId="70CF6833" w14:textId="1C2E7F01" w:rsidR="00CD046C" w:rsidRPr="008C3AF6" w:rsidRDefault="005B52B0" w:rsidP="00997BC5">
                      <w:pPr>
                        <w:spacing w:line="276" w:lineRule="auto"/>
                        <w:rPr>
                          <w:rFonts w:asciiTheme="majorHAnsi" w:hAnsiTheme="majorHAnsi" w:cs="Arial"/>
                          <w:color w:val="0D0D0D" w:themeColor="text1" w:themeTint="F2"/>
                          <w:szCs w:val="22"/>
                          <w:lang w:val="es-ES_tradnl"/>
                        </w:rPr>
                      </w:pPr>
                      <w:r w:rsidRPr="008C3AF6">
                        <w:rPr>
                          <w:rFonts w:asciiTheme="majorHAnsi" w:hAnsiTheme="majorHAnsi" w:cs="Arial"/>
                          <w:color w:val="0D0D0D" w:themeColor="text1" w:themeTint="F2"/>
                          <w:szCs w:val="22"/>
                          <w:lang w:val="es-ES_tradnl"/>
                        </w:rPr>
                        <w:t>INFORME DE ADMISIBILIDAD</w:t>
                      </w:r>
                    </w:p>
                    <w:p w14:paraId="5FDD6F0D" w14:textId="77777777" w:rsidR="008F1912" w:rsidRPr="008C3AF6"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3D6CF28C" w:rsidR="00EB197F" w:rsidRPr="008C3AF6" w:rsidRDefault="00DA38B4" w:rsidP="00997BC5">
                      <w:pPr>
                        <w:spacing w:line="276" w:lineRule="auto"/>
                        <w:rPr>
                          <w:rFonts w:asciiTheme="majorHAnsi" w:hAnsiTheme="majorHAnsi" w:cs="Arial"/>
                          <w:color w:val="0D0D0D" w:themeColor="text1" w:themeTint="F2"/>
                          <w:szCs w:val="22"/>
                          <w:lang w:val="es-ES_tradnl"/>
                        </w:rPr>
                      </w:pPr>
                      <w:r w:rsidRPr="008C3AF6">
                        <w:rPr>
                          <w:rFonts w:asciiTheme="majorHAnsi" w:hAnsiTheme="majorHAnsi" w:cs="Arial"/>
                          <w:color w:val="0D0D0D" w:themeColor="text1" w:themeTint="F2"/>
                          <w:szCs w:val="22"/>
                          <w:lang w:val="es-ES_tradnl"/>
                        </w:rPr>
                        <w:t>COMUNIDAD LAS MUÑECAS</w:t>
                      </w:r>
                    </w:p>
                    <w:p w14:paraId="575DFD52" w14:textId="1C8E6BB7" w:rsidR="005B52B0" w:rsidRPr="00EB197F" w:rsidRDefault="00DA38B4" w:rsidP="007A5817">
                      <w:pPr>
                        <w:rPr>
                          <w:color w:val="0D0D0D" w:themeColor="text1" w:themeTint="F2"/>
                          <w:lang w:val="es-PE"/>
                        </w:rPr>
                      </w:pPr>
                      <w:r w:rsidRPr="008C3AF6">
                        <w:rPr>
                          <w:rFonts w:asciiTheme="majorHAnsi" w:hAnsiTheme="majorHAnsi" w:cs="Arial"/>
                          <w:color w:val="0D0D0D" w:themeColor="text1" w:themeTint="F2"/>
                          <w:szCs w:val="22"/>
                          <w:lang w:val="es-PE"/>
                        </w:rPr>
                        <w:t>GUATEMALA</w:t>
                      </w:r>
                    </w:p>
                  </w:txbxContent>
                </v:textbox>
              </v:shape>
            </w:pict>
          </mc:Fallback>
        </mc:AlternateContent>
      </w:r>
      <w:r w:rsidR="004E2649" w:rsidRPr="008165A7">
        <w:rPr>
          <w:rFonts w:asciiTheme="majorHAnsi" w:hAnsiTheme="majorHAnsi"/>
          <w:noProof/>
          <w:sz w:val="22"/>
          <w:szCs w:val="22"/>
          <w:lang w:val="es-ES"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28073BE3" w:rsidR="00627C9F" w:rsidRPr="00D3319F"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54BA736E"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73E85">
                              <w:rPr>
                                <w:rFonts w:asciiTheme="minorHAnsi" w:hAnsiTheme="minorHAnsi"/>
                                <w:color w:val="FFFFFF" w:themeColor="background1"/>
                                <w:sz w:val="22"/>
                                <w:lang w:val="pt-BR"/>
                              </w:rPr>
                              <w:t>199</w:t>
                            </w:r>
                          </w:p>
                          <w:p w14:paraId="69373ED2" w14:textId="695DFF26" w:rsidR="00627C9F" w:rsidRPr="00D3319F" w:rsidRDefault="00673E85" w:rsidP="007A5817">
                            <w:pPr>
                              <w:spacing w:line="276" w:lineRule="auto"/>
                              <w:jc w:val="right"/>
                              <w:rPr>
                                <w:rFonts w:asciiTheme="minorHAnsi" w:hAnsiTheme="minorHAnsi"/>
                                <w:color w:val="FFFFFF" w:themeColor="background1"/>
                                <w:sz w:val="22"/>
                                <w:lang w:val="pt-BR"/>
                              </w:rPr>
                            </w:pPr>
                            <w:r w:rsidRPr="00D3319F">
                              <w:rPr>
                                <w:rFonts w:asciiTheme="minorHAnsi" w:hAnsiTheme="minorHAnsi"/>
                                <w:color w:val="FFFFFF" w:themeColor="background1"/>
                                <w:sz w:val="22"/>
                                <w:lang w:val="pt-BR"/>
                              </w:rPr>
                              <w:t>25 agosto</w:t>
                            </w:r>
                            <w:r w:rsidR="007B05C4" w:rsidRPr="00D3319F">
                              <w:rPr>
                                <w:rFonts w:asciiTheme="minorHAnsi" w:hAnsiTheme="minorHAnsi"/>
                                <w:color w:val="FFFFFF" w:themeColor="background1"/>
                                <w:sz w:val="22"/>
                                <w:lang w:val="pt-BR"/>
                              </w:rPr>
                              <w:t xml:space="preserve"> </w:t>
                            </w:r>
                            <w:r w:rsidR="00627C9F" w:rsidRPr="00D3319F">
                              <w:rPr>
                                <w:rFonts w:asciiTheme="minorHAnsi" w:hAnsiTheme="minorHAnsi"/>
                                <w:color w:val="FFFFFF" w:themeColor="background1"/>
                                <w:sz w:val="22"/>
                                <w:lang w:val="pt-BR"/>
                              </w:rPr>
                              <w:t>20</w:t>
                            </w:r>
                            <w:r w:rsidR="00C23BA4" w:rsidRPr="00D3319F">
                              <w:rPr>
                                <w:rFonts w:asciiTheme="minorHAnsi" w:hAnsiTheme="minorHAnsi"/>
                                <w:color w:val="FFFFFF" w:themeColor="background1"/>
                                <w:sz w:val="22"/>
                                <w:lang w:val="pt-BR"/>
                              </w:rPr>
                              <w:t>2</w:t>
                            </w:r>
                            <w:r w:rsidR="00B11747" w:rsidRPr="00D3319F">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28073BE3" w:rsidR="00627C9F" w:rsidRPr="00D3319F"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54BA736E"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73E85">
                        <w:rPr>
                          <w:rFonts w:asciiTheme="minorHAnsi" w:hAnsiTheme="minorHAnsi"/>
                          <w:color w:val="FFFFFF" w:themeColor="background1"/>
                          <w:sz w:val="22"/>
                          <w:lang w:val="pt-BR"/>
                        </w:rPr>
                        <w:t>199</w:t>
                      </w:r>
                    </w:p>
                    <w:p w14:paraId="69373ED2" w14:textId="695DFF26" w:rsidR="00627C9F" w:rsidRPr="00D3319F" w:rsidRDefault="00673E85" w:rsidP="007A5817">
                      <w:pPr>
                        <w:spacing w:line="276" w:lineRule="auto"/>
                        <w:jc w:val="right"/>
                        <w:rPr>
                          <w:rFonts w:asciiTheme="minorHAnsi" w:hAnsiTheme="minorHAnsi"/>
                          <w:color w:val="FFFFFF" w:themeColor="background1"/>
                          <w:sz w:val="22"/>
                          <w:lang w:val="pt-BR"/>
                        </w:rPr>
                      </w:pPr>
                      <w:r w:rsidRPr="00D3319F">
                        <w:rPr>
                          <w:rFonts w:asciiTheme="minorHAnsi" w:hAnsiTheme="minorHAnsi"/>
                          <w:color w:val="FFFFFF" w:themeColor="background1"/>
                          <w:sz w:val="22"/>
                          <w:lang w:val="pt-BR"/>
                        </w:rPr>
                        <w:t>25 agosto</w:t>
                      </w:r>
                      <w:r w:rsidR="007B05C4" w:rsidRPr="00D3319F">
                        <w:rPr>
                          <w:rFonts w:asciiTheme="minorHAnsi" w:hAnsiTheme="minorHAnsi"/>
                          <w:color w:val="FFFFFF" w:themeColor="background1"/>
                          <w:sz w:val="22"/>
                          <w:lang w:val="pt-BR"/>
                        </w:rPr>
                        <w:t xml:space="preserve"> </w:t>
                      </w:r>
                      <w:r w:rsidR="00627C9F" w:rsidRPr="00D3319F">
                        <w:rPr>
                          <w:rFonts w:asciiTheme="minorHAnsi" w:hAnsiTheme="minorHAnsi"/>
                          <w:color w:val="FFFFFF" w:themeColor="background1"/>
                          <w:sz w:val="22"/>
                          <w:lang w:val="pt-BR"/>
                        </w:rPr>
                        <w:t>20</w:t>
                      </w:r>
                      <w:r w:rsidR="00C23BA4" w:rsidRPr="00D3319F">
                        <w:rPr>
                          <w:rFonts w:asciiTheme="minorHAnsi" w:hAnsiTheme="minorHAnsi"/>
                          <w:color w:val="FFFFFF" w:themeColor="background1"/>
                          <w:sz w:val="22"/>
                          <w:lang w:val="pt-BR"/>
                        </w:rPr>
                        <w:t>2</w:t>
                      </w:r>
                      <w:r w:rsidR="00B11747" w:rsidRPr="00D3319F">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8165A7"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8165A7"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8165A7"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8165A7"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8165A7"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8165A7"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8165A7" w:rsidRDefault="0090270B" w:rsidP="00040C3A">
      <w:pPr>
        <w:tabs>
          <w:tab w:val="center" w:pos="5400"/>
        </w:tabs>
        <w:suppressAutoHyphens/>
        <w:jc w:val="center"/>
        <w:rPr>
          <w:rFonts w:asciiTheme="majorHAnsi" w:hAnsiTheme="majorHAnsi"/>
          <w:sz w:val="18"/>
          <w:szCs w:val="22"/>
          <w:lang w:val="es-ES"/>
        </w:rPr>
      </w:pPr>
      <w:r w:rsidRPr="008165A7">
        <w:rPr>
          <w:rFonts w:asciiTheme="majorHAnsi" w:hAnsiTheme="majorHAnsi"/>
          <w:noProof/>
          <w:sz w:val="22"/>
          <w:szCs w:val="22"/>
          <w:lang w:val="es-ES"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0A0FE0B2"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673E85">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673E8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673E85">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0A0FE0B2"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673E85">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673E8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673E85">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8165A7" w:rsidRDefault="0090270B" w:rsidP="00040C3A">
      <w:pPr>
        <w:tabs>
          <w:tab w:val="center" w:pos="5400"/>
        </w:tabs>
        <w:suppressAutoHyphens/>
        <w:jc w:val="center"/>
        <w:rPr>
          <w:rFonts w:asciiTheme="majorHAnsi" w:hAnsiTheme="majorHAnsi"/>
          <w:sz w:val="18"/>
          <w:szCs w:val="22"/>
          <w:lang w:val="es-ES"/>
        </w:rPr>
      </w:pPr>
      <w:r w:rsidRPr="008165A7">
        <w:rPr>
          <w:rFonts w:asciiTheme="majorHAnsi" w:hAnsiTheme="majorHAnsi"/>
          <w:noProof/>
          <w:sz w:val="18"/>
          <w:szCs w:val="22"/>
          <w:lang w:val="es-ES"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D63F9" w14:textId="77777777" w:rsidR="00673E8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73E85" w:rsidRPr="00673E85">
                              <w:rPr>
                                <w:rFonts w:asciiTheme="majorHAnsi" w:hAnsiTheme="majorHAnsi"/>
                                <w:color w:val="595959" w:themeColor="text1" w:themeTint="A6"/>
                                <w:sz w:val="18"/>
                                <w:szCs w:val="18"/>
                                <w:lang w:val="pt-BR"/>
                              </w:rPr>
                              <w:t>188</w:t>
                            </w:r>
                            <w:r w:rsidR="007B05C4" w:rsidRPr="00673E85">
                              <w:rPr>
                                <w:rFonts w:asciiTheme="majorHAnsi" w:hAnsiTheme="majorHAnsi"/>
                                <w:color w:val="595959" w:themeColor="text1" w:themeTint="A6"/>
                                <w:sz w:val="18"/>
                                <w:szCs w:val="18"/>
                                <w:lang w:val="pt-BR"/>
                              </w:rPr>
                              <w:t>/</w:t>
                            </w:r>
                            <w:r w:rsidR="00673E85" w:rsidRPr="00673E85">
                              <w:rPr>
                                <w:rFonts w:asciiTheme="majorHAnsi" w:hAnsiTheme="majorHAnsi"/>
                                <w:color w:val="595959" w:themeColor="text1" w:themeTint="A6"/>
                                <w:sz w:val="18"/>
                                <w:szCs w:val="18"/>
                                <w:lang w:val="pt-BR"/>
                              </w:rPr>
                              <w:t>25</w:t>
                            </w:r>
                            <w:r w:rsidRPr="00673E8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211791">
                              <w:rPr>
                                <w:rFonts w:asciiTheme="majorHAnsi" w:hAnsiTheme="majorHAnsi"/>
                                <w:color w:val="595959" w:themeColor="text1" w:themeTint="A6"/>
                                <w:sz w:val="18"/>
                                <w:szCs w:val="18"/>
                                <w:lang w:val="es-ES"/>
                              </w:rPr>
                              <w:t>1801-11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ABC1185" w:rsidR="00113F73" w:rsidRPr="007B05C4" w:rsidRDefault="00211791"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Comunidad Las Muñecas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Guatemala</w:t>
                            </w:r>
                            <w:r w:rsidR="00113F73" w:rsidRPr="00890650">
                              <w:rPr>
                                <w:rFonts w:asciiTheme="majorHAnsi" w:hAnsiTheme="majorHAnsi"/>
                                <w:color w:val="595959" w:themeColor="text1" w:themeTint="A6"/>
                                <w:sz w:val="18"/>
                                <w:szCs w:val="18"/>
                                <w:lang w:val="es-ES_tradnl"/>
                              </w:rPr>
                              <w:t xml:space="preserve">. </w:t>
                            </w:r>
                            <w:r w:rsidR="00673E85">
                              <w:rPr>
                                <w:rFonts w:asciiTheme="majorHAnsi" w:hAnsiTheme="majorHAnsi"/>
                                <w:color w:val="595959" w:themeColor="text1" w:themeTint="A6"/>
                                <w:sz w:val="18"/>
                                <w:szCs w:val="18"/>
                                <w:lang w:val="es-ES"/>
                              </w:rPr>
                              <w:t>25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C4D63F9" w14:textId="77777777" w:rsidR="00673E8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73E85" w:rsidRPr="00673E85">
                        <w:rPr>
                          <w:rFonts w:asciiTheme="majorHAnsi" w:hAnsiTheme="majorHAnsi"/>
                          <w:color w:val="595959" w:themeColor="text1" w:themeTint="A6"/>
                          <w:sz w:val="18"/>
                          <w:szCs w:val="18"/>
                          <w:lang w:val="pt-BR"/>
                        </w:rPr>
                        <w:t>188</w:t>
                      </w:r>
                      <w:r w:rsidR="007B05C4" w:rsidRPr="00673E85">
                        <w:rPr>
                          <w:rFonts w:asciiTheme="majorHAnsi" w:hAnsiTheme="majorHAnsi"/>
                          <w:color w:val="595959" w:themeColor="text1" w:themeTint="A6"/>
                          <w:sz w:val="18"/>
                          <w:szCs w:val="18"/>
                          <w:lang w:val="pt-BR"/>
                        </w:rPr>
                        <w:t>/</w:t>
                      </w:r>
                      <w:r w:rsidR="00673E85" w:rsidRPr="00673E85">
                        <w:rPr>
                          <w:rFonts w:asciiTheme="majorHAnsi" w:hAnsiTheme="majorHAnsi"/>
                          <w:color w:val="595959" w:themeColor="text1" w:themeTint="A6"/>
                          <w:sz w:val="18"/>
                          <w:szCs w:val="18"/>
                          <w:lang w:val="pt-BR"/>
                        </w:rPr>
                        <w:t>25</w:t>
                      </w:r>
                      <w:r w:rsidRPr="00673E8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211791">
                        <w:rPr>
                          <w:rFonts w:asciiTheme="majorHAnsi" w:hAnsiTheme="majorHAnsi"/>
                          <w:color w:val="595959" w:themeColor="text1" w:themeTint="A6"/>
                          <w:sz w:val="18"/>
                          <w:szCs w:val="18"/>
                          <w:lang w:val="es-ES"/>
                        </w:rPr>
                        <w:t>1801-11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ABC1185" w:rsidR="00113F73" w:rsidRPr="007B05C4" w:rsidRDefault="00211791"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Comunidad Las Muñecas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Guatemala</w:t>
                      </w:r>
                      <w:r w:rsidR="00113F73" w:rsidRPr="00890650">
                        <w:rPr>
                          <w:rFonts w:asciiTheme="majorHAnsi" w:hAnsiTheme="majorHAnsi"/>
                          <w:color w:val="595959" w:themeColor="text1" w:themeTint="A6"/>
                          <w:sz w:val="18"/>
                          <w:szCs w:val="18"/>
                          <w:lang w:val="es-ES_tradnl"/>
                        </w:rPr>
                        <w:t xml:space="preserve">. </w:t>
                      </w:r>
                      <w:r w:rsidR="00673E85">
                        <w:rPr>
                          <w:rFonts w:asciiTheme="majorHAnsi" w:hAnsiTheme="majorHAnsi"/>
                          <w:color w:val="595959" w:themeColor="text1" w:themeTint="A6"/>
                          <w:sz w:val="18"/>
                          <w:szCs w:val="18"/>
                          <w:lang w:val="es-ES"/>
                        </w:rPr>
                        <w:t>25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8165A7" w:rsidRDefault="00A50FCF" w:rsidP="00040C3A">
      <w:pPr>
        <w:tabs>
          <w:tab w:val="center" w:pos="5400"/>
        </w:tabs>
        <w:suppressAutoHyphens/>
        <w:jc w:val="center"/>
        <w:rPr>
          <w:rFonts w:asciiTheme="majorHAnsi" w:hAnsiTheme="majorHAnsi"/>
          <w:sz w:val="18"/>
          <w:szCs w:val="22"/>
          <w:lang w:val="es-ES"/>
        </w:rPr>
      </w:pPr>
    </w:p>
    <w:p w14:paraId="1DA07629" w14:textId="77777777" w:rsidR="0090270B" w:rsidRPr="008165A7" w:rsidRDefault="00D306D1" w:rsidP="005516A1">
      <w:pPr>
        <w:tabs>
          <w:tab w:val="center" w:pos="5400"/>
        </w:tabs>
        <w:suppressAutoHyphens/>
        <w:jc w:val="center"/>
        <w:rPr>
          <w:rFonts w:asciiTheme="majorHAnsi" w:hAnsiTheme="majorHAnsi"/>
          <w:b/>
          <w:sz w:val="20"/>
          <w:lang w:val="es-ES"/>
        </w:rPr>
      </w:pPr>
      <w:r w:rsidRPr="008165A7">
        <w:rPr>
          <w:rFonts w:asciiTheme="majorHAnsi" w:hAnsiTheme="majorHAnsi"/>
          <w:noProof/>
          <w:sz w:val="18"/>
          <w:szCs w:val="22"/>
          <w:lang w:val="es-ES"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09692BD" w:rsidR="00D72DC6" w:rsidRPr="00D72DC6" w:rsidRDefault="00673E85" w:rsidP="00F02AD1">
                            <w:pPr>
                              <w:rPr>
                                <w:color w:val="FFFFFF" w:themeColor="background1"/>
                                <w14:textFill>
                                  <w14:noFill/>
                                </w14:textFill>
                              </w:rPr>
                            </w:pPr>
                            <w:r>
                              <w:rPr>
                                <w:noProof/>
                                <w:color w:val="FFFFFF" w:themeColor="background1"/>
                              </w:rPr>
                              <w:drawing>
                                <wp:inline distT="0" distB="0" distL="0" distR="0" wp14:anchorId="4B882C4F" wp14:editId="4218AFC3">
                                  <wp:extent cx="1824355" cy="469265"/>
                                  <wp:effectExtent l="0" t="0" r="4445" b="6985"/>
                                  <wp:docPr id="812443982" name="Picture 8124439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09692BD" w:rsidR="00D72DC6" w:rsidRPr="00D72DC6" w:rsidRDefault="00673E85" w:rsidP="00F02AD1">
                      <w:pPr>
                        <w:rPr>
                          <w:color w:val="FFFFFF" w:themeColor="background1"/>
                          <w14:textFill>
                            <w14:noFill/>
                          </w14:textFill>
                        </w:rPr>
                      </w:pPr>
                      <w:r>
                        <w:rPr>
                          <w:noProof/>
                          <w:color w:val="FFFFFF" w:themeColor="background1"/>
                        </w:rPr>
                        <w:drawing>
                          <wp:inline distT="0" distB="0" distL="0" distR="0" wp14:anchorId="4B882C4F" wp14:editId="4218AFC3">
                            <wp:extent cx="1824355" cy="469265"/>
                            <wp:effectExtent l="0" t="0" r="4445" b="6985"/>
                            <wp:docPr id="812443982" name="Picture 8124439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Pr="008165A7">
        <w:rPr>
          <w:rFonts w:asciiTheme="majorHAnsi" w:hAnsiTheme="majorHAnsi"/>
          <w:noProof/>
          <w:sz w:val="22"/>
          <w:szCs w:val="22"/>
          <w:lang w:val="es-ES"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Pr="008165A7" w:rsidRDefault="004A6A54" w:rsidP="005516A1">
      <w:pPr>
        <w:tabs>
          <w:tab w:val="center" w:pos="5400"/>
        </w:tabs>
        <w:suppressAutoHyphens/>
        <w:jc w:val="center"/>
        <w:rPr>
          <w:rFonts w:asciiTheme="majorHAnsi" w:hAnsiTheme="majorHAnsi"/>
          <w:b/>
          <w:sz w:val="20"/>
          <w:lang w:val="es-ES"/>
        </w:rPr>
        <w:sectPr w:rsidR="0070697F" w:rsidRPr="008165A7"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8165A7">
        <w:rPr>
          <w:rFonts w:asciiTheme="majorHAnsi" w:hAnsiTheme="majorHAnsi"/>
          <w:b/>
          <w:sz w:val="20"/>
          <w:lang w:val="es-ES"/>
        </w:rPr>
        <w:tab/>
      </w:r>
    </w:p>
    <w:p w14:paraId="376DDC8B" w14:textId="77777777" w:rsidR="003239B8" w:rsidRPr="008165A7" w:rsidRDefault="003239B8" w:rsidP="004A6A54">
      <w:pPr>
        <w:spacing w:after="240"/>
        <w:ind w:firstLine="720"/>
        <w:jc w:val="both"/>
        <w:rPr>
          <w:rFonts w:asciiTheme="majorHAnsi" w:hAnsiTheme="majorHAnsi"/>
          <w:b/>
          <w:bCs/>
          <w:sz w:val="20"/>
          <w:szCs w:val="20"/>
          <w:lang w:val="es-ES"/>
        </w:rPr>
      </w:pPr>
      <w:r w:rsidRPr="008165A7">
        <w:rPr>
          <w:rFonts w:asciiTheme="majorHAnsi" w:hAnsiTheme="majorHAnsi"/>
          <w:b/>
          <w:bCs/>
          <w:sz w:val="20"/>
          <w:szCs w:val="20"/>
          <w:lang w:val="es-ES"/>
        </w:rPr>
        <w:lastRenderedPageBreak/>
        <w:t>I.</w:t>
      </w:r>
      <w:r w:rsidRPr="008165A7">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280C66"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8165A7" w:rsidRDefault="003239B8" w:rsidP="008D2290">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Parte peticionaria:</w:t>
            </w:r>
          </w:p>
        </w:tc>
        <w:tc>
          <w:tcPr>
            <w:tcW w:w="5760" w:type="dxa"/>
            <w:vAlign w:val="center"/>
          </w:tcPr>
          <w:p w14:paraId="3C5315D8" w14:textId="0BBAE23F" w:rsidR="003239B8" w:rsidRPr="00280C66" w:rsidRDefault="007D534C" w:rsidP="00D13530">
            <w:pPr>
              <w:jc w:val="both"/>
              <w:rPr>
                <w:rFonts w:ascii="Cambria" w:hAnsi="Cambria"/>
                <w:bCs/>
                <w:sz w:val="20"/>
                <w:szCs w:val="20"/>
                <w:highlight w:val="yellow"/>
                <w:lang w:val="es-ES"/>
              </w:rPr>
            </w:pPr>
            <w:r w:rsidRPr="007D534C">
              <w:rPr>
                <w:rFonts w:ascii="Cambria" w:hAnsi="Cambria"/>
                <w:bCs/>
                <w:sz w:val="20"/>
                <w:szCs w:val="20"/>
                <w:lang w:val="es-ES"/>
              </w:rPr>
              <w:t>Bajo reserva de identidad</w:t>
            </w:r>
            <w:r w:rsidRPr="007D534C">
              <w:rPr>
                <w:rStyle w:val="FootnoteReference"/>
                <w:rFonts w:ascii="Cambria" w:hAnsi="Cambria"/>
                <w:bCs/>
                <w:sz w:val="20"/>
                <w:szCs w:val="20"/>
                <w:lang w:val="es-ES"/>
              </w:rPr>
              <w:footnoteReference w:id="2"/>
            </w:r>
          </w:p>
        </w:tc>
      </w:tr>
      <w:tr w:rsidR="003239B8" w:rsidRPr="00923987"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8165A7" w:rsidRDefault="00331DF2"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8165A7">
                  <w:rPr>
                    <w:rFonts w:ascii="Cambria" w:hAnsi="Cambria"/>
                    <w:b/>
                    <w:bCs/>
                    <w:color w:val="FFFFFF" w:themeColor="background1"/>
                    <w:sz w:val="20"/>
                    <w:szCs w:val="20"/>
                    <w:lang w:val="es-ES"/>
                  </w:rPr>
                  <w:t>Presunta víctima</w:t>
                </w:r>
              </w:sdtContent>
            </w:sdt>
            <w:r w:rsidR="003239B8" w:rsidRPr="008165A7">
              <w:rPr>
                <w:rFonts w:ascii="Cambria" w:hAnsi="Cambria"/>
                <w:b/>
                <w:bCs/>
                <w:color w:val="FFFFFF" w:themeColor="background1"/>
                <w:sz w:val="20"/>
                <w:szCs w:val="20"/>
                <w:lang w:val="es-ES"/>
              </w:rPr>
              <w:t>:</w:t>
            </w:r>
          </w:p>
        </w:tc>
        <w:tc>
          <w:tcPr>
            <w:tcW w:w="5760" w:type="dxa"/>
            <w:vAlign w:val="center"/>
          </w:tcPr>
          <w:p w14:paraId="4AEBF59E" w14:textId="60DC0D61" w:rsidR="003239B8" w:rsidRPr="008165A7" w:rsidRDefault="00DA38B4" w:rsidP="008D2290">
            <w:pPr>
              <w:jc w:val="both"/>
              <w:rPr>
                <w:rFonts w:ascii="Cambria" w:hAnsi="Cambria"/>
                <w:bCs/>
                <w:sz w:val="20"/>
                <w:szCs w:val="20"/>
                <w:lang w:val="es-ES"/>
              </w:rPr>
            </w:pPr>
            <w:r w:rsidRPr="008165A7">
              <w:rPr>
                <w:rFonts w:ascii="Cambria" w:hAnsi="Cambria"/>
                <w:bCs/>
                <w:sz w:val="20"/>
                <w:szCs w:val="20"/>
                <w:lang w:val="es-ES"/>
              </w:rPr>
              <w:t>Comunidad Las Muñecas</w:t>
            </w:r>
            <w:r w:rsidR="008669B6">
              <w:rPr>
                <w:rFonts w:ascii="Cambria" w:hAnsi="Cambria"/>
                <w:bCs/>
                <w:sz w:val="20"/>
                <w:szCs w:val="20"/>
                <w:lang w:val="es-ES"/>
              </w:rPr>
              <w:t xml:space="preserve"> (ver anexo)</w:t>
            </w:r>
          </w:p>
        </w:tc>
      </w:tr>
      <w:tr w:rsidR="003239B8" w:rsidRPr="008165A7"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8165A7" w:rsidRDefault="003239B8" w:rsidP="008D2290">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Estado denunciado:</w:t>
            </w:r>
          </w:p>
        </w:tc>
        <w:tc>
          <w:tcPr>
            <w:tcW w:w="5760" w:type="dxa"/>
            <w:vAlign w:val="center"/>
          </w:tcPr>
          <w:p w14:paraId="274C8A50" w14:textId="32D315AC" w:rsidR="003239B8" w:rsidRPr="008165A7" w:rsidRDefault="00BE76AA" w:rsidP="008D2290">
            <w:pPr>
              <w:jc w:val="both"/>
              <w:rPr>
                <w:rFonts w:ascii="Cambria" w:hAnsi="Cambria"/>
                <w:bCs/>
                <w:sz w:val="20"/>
                <w:szCs w:val="20"/>
                <w:lang w:val="es-ES"/>
              </w:rPr>
            </w:pPr>
            <w:r w:rsidRPr="008165A7">
              <w:rPr>
                <w:rFonts w:ascii="Cambria" w:hAnsi="Cambria"/>
                <w:bCs/>
                <w:sz w:val="20"/>
                <w:szCs w:val="20"/>
                <w:lang w:val="es-ES"/>
              </w:rPr>
              <w:t>Guatemala</w:t>
            </w:r>
            <w:r w:rsidRPr="008165A7">
              <w:rPr>
                <w:rStyle w:val="FootnoteReference"/>
                <w:rFonts w:ascii="Cambria" w:hAnsi="Cambria"/>
                <w:bCs/>
                <w:sz w:val="20"/>
                <w:szCs w:val="20"/>
                <w:lang w:val="es-ES"/>
              </w:rPr>
              <w:footnoteReference w:id="3"/>
            </w:r>
          </w:p>
        </w:tc>
      </w:tr>
      <w:tr w:rsidR="009648A3" w:rsidRPr="00923987"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9648A3" w:rsidRPr="008165A7" w:rsidRDefault="009648A3" w:rsidP="009648A3">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Derechos invocados:</w:t>
            </w:r>
          </w:p>
        </w:tc>
        <w:tc>
          <w:tcPr>
            <w:tcW w:w="5760" w:type="dxa"/>
            <w:vAlign w:val="center"/>
          </w:tcPr>
          <w:p w14:paraId="6DEE1EEB" w14:textId="7D0E53B7" w:rsidR="009648A3" w:rsidRPr="008165A7" w:rsidRDefault="002960BC" w:rsidP="009648A3">
            <w:pPr>
              <w:jc w:val="both"/>
              <w:rPr>
                <w:rFonts w:ascii="Cambria" w:hAnsi="Cambria"/>
                <w:bCs/>
                <w:sz w:val="20"/>
                <w:szCs w:val="20"/>
                <w:lang w:val="es-ES"/>
              </w:rPr>
            </w:pPr>
            <w:r w:rsidRPr="008165A7">
              <w:rPr>
                <w:rFonts w:asciiTheme="majorHAnsi" w:hAnsiTheme="majorHAnsi"/>
                <w:bCs/>
                <w:sz w:val="20"/>
                <w:szCs w:val="20"/>
                <w:lang w:val="es-ES"/>
              </w:rPr>
              <w:t xml:space="preserve">Artículos 4 (vida), 5 (integridad personal), 8 (garantías judiciales), 11 (protección de la honra y de la dignidad), 17 (protección a la familia), 19 (derechos del niño), 21 (propiedad privada) y 24 (igualdad ante la ley) </w:t>
            </w:r>
            <w:r w:rsidR="00360E48" w:rsidRPr="008165A7">
              <w:rPr>
                <w:rFonts w:asciiTheme="majorHAnsi" w:hAnsiTheme="majorHAnsi"/>
                <w:bCs/>
                <w:sz w:val="20"/>
                <w:szCs w:val="20"/>
                <w:lang w:val="es-ES"/>
              </w:rPr>
              <w:t>de la Convención Americana sobre Derechos Humanos</w:t>
            </w:r>
            <w:r w:rsidR="00360E48" w:rsidRPr="008165A7">
              <w:rPr>
                <w:rStyle w:val="FootnoteReference"/>
                <w:rFonts w:asciiTheme="majorHAnsi" w:hAnsiTheme="majorHAnsi"/>
                <w:bCs/>
                <w:sz w:val="20"/>
                <w:szCs w:val="20"/>
                <w:lang w:val="es-ES"/>
              </w:rPr>
              <w:footnoteReference w:id="4"/>
            </w:r>
            <w:r w:rsidR="00360E48" w:rsidRPr="008165A7">
              <w:rPr>
                <w:rFonts w:asciiTheme="majorHAnsi" w:hAnsiTheme="majorHAnsi"/>
                <w:bCs/>
                <w:sz w:val="20"/>
                <w:szCs w:val="20"/>
                <w:lang w:val="es-ES"/>
              </w:rPr>
              <w:t xml:space="preserve">; </w:t>
            </w:r>
            <w:r w:rsidR="0008289A">
              <w:rPr>
                <w:rFonts w:asciiTheme="majorHAnsi" w:hAnsiTheme="majorHAnsi"/>
                <w:bCs/>
                <w:sz w:val="20"/>
                <w:szCs w:val="20"/>
                <w:lang w:val="es-ES"/>
              </w:rPr>
              <w:t xml:space="preserve">y </w:t>
            </w:r>
            <w:r w:rsidRPr="008165A7">
              <w:rPr>
                <w:rFonts w:asciiTheme="majorHAnsi" w:hAnsiTheme="majorHAnsi"/>
                <w:bCs/>
                <w:sz w:val="20"/>
                <w:szCs w:val="20"/>
                <w:lang w:val="es-ES"/>
              </w:rPr>
              <w:t>artículos 3 (no discriminación), 6 (trabajo), 7 (condiciones justas, equitativas y satisfactorias de trabajo), 10 (salud), 11 (medio ambiente sano), 12 (alimentación), 13 (educación), 14 (beneficios de la cultura), 15 (constitución y protección de la familia), 16 (niñez), 17 (protección a los ancianos) y 19 (medios de protección) del Protocolo Adicional a la Convención Americana Sobre Derechos Humanos en Materia de Derechos Económicos, Sociales y Culturales</w:t>
            </w:r>
            <w:r w:rsidRPr="008165A7">
              <w:rPr>
                <w:rStyle w:val="FootnoteReference"/>
                <w:rFonts w:asciiTheme="majorHAnsi" w:hAnsiTheme="majorHAnsi"/>
                <w:bCs/>
                <w:sz w:val="20"/>
                <w:szCs w:val="20"/>
                <w:lang w:val="es-ES"/>
              </w:rPr>
              <w:footnoteReference w:id="5"/>
            </w:r>
            <w:r w:rsidRPr="008165A7">
              <w:rPr>
                <w:rFonts w:asciiTheme="majorHAnsi" w:hAnsiTheme="majorHAnsi"/>
                <w:bCs/>
                <w:sz w:val="20"/>
                <w:szCs w:val="20"/>
                <w:lang w:val="es-ES"/>
              </w:rPr>
              <w:t xml:space="preserve">; y </w:t>
            </w:r>
            <w:r w:rsidR="0008289A">
              <w:rPr>
                <w:rFonts w:asciiTheme="majorHAnsi" w:hAnsiTheme="majorHAnsi"/>
                <w:bCs/>
                <w:sz w:val="20"/>
                <w:szCs w:val="20"/>
                <w:lang w:val="es-ES"/>
              </w:rPr>
              <w:t>otro instrumento internacional</w:t>
            </w:r>
            <w:r w:rsidR="0008289A">
              <w:rPr>
                <w:rStyle w:val="FootnoteReference"/>
                <w:rFonts w:asciiTheme="majorHAnsi" w:hAnsiTheme="majorHAnsi"/>
                <w:bCs/>
                <w:sz w:val="20"/>
                <w:szCs w:val="20"/>
                <w:lang w:val="es-ES"/>
              </w:rPr>
              <w:footnoteReference w:id="6"/>
            </w:r>
          </w:p>
        </w:tc>
      </w:tr>
    </w:tbl>
    <w:p w14:paraId="20263696" w14:textId="77777777" w:rsidR="003239B8" w:rsidRPr="008165A7" w:rsidRDefault="003239B8" w:rsidP="003239B8">
      <w:pPr>
        <w:spacing w:before="240" w:after="240"/>
        <w:ind w:firstLine="720"/>
        <w:jc w:val="both"/>
        <w:rPr>
          <w:rFonts w:asciiTheme="majorHAnsi" w:hAnsiTheme="majorHAnsi"/>
          <w:b/>
          <w:bCs/>
          <w:sz w:val="20"/>
          <w:szCs w:val="20"/>
          <w:lang w:val="es-ES"/>
        </w:rPr>
      </w:pPr>
      <w:r w:rsidRPr="008165A7">
        <w:rPr>
          <w:rFonts w:asciiTheme="majorHAnsi" w:hAnsiTheme="majorHAnsi"/>
          <w:b/>
          <w:bCs/>
          <w:sz w:val="20"/>
          <w:szCs w:val="20"/>
          <w:lang w:val="es-ES"/>
        </w:rPr>
        <w:t>II.</w:t>
      </w:r>
      <w:r w:rsidRPr="008165A7">
        <w:rPr>
          <w:rFonts w:asciiTheme="majorHAnsi" w:hAnsiTheme="majorHAnsi"/>
          <w:b/>
          <w:bCs/>
          <w:sz w:val="20"/>
          <w:szCs w:val="20"/>
          <w:lang w:val="es-ES"/>
        </w:rPr>
        <w:tab/>
        <w:t>TRÁMITE ANTE LA CIDH</w:t>
      </w:r>
      <w:r w:rsidR="008E3BFE" w:rsidRPr="008165A7">
        <w:rPr>
          <w:rStyle w:val="FootnoteReference"/>
          <w:rFonts w:ascii="Cambria" w:hAnsi="Cambria"/>
          <w:b/>
          <w:sz w:val="20"/>
          <w:szCs w:val="20"/>
          <w:lang w:val="es-ES"/>
        </w:rPr>
        <w:footnoteReference w:id="7"/>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8165A7"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8165A7" w:rsidRDefault="004A6A54" w:rsidP="004A6A54">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P</w:t>
            </w:r>
            <w:r w:rsidR="004C2312" w:rsidRPr="008165A7">
              <w:rPr>
                <w:rFonts w:ascii="Cambria" w:hAnsi="Cambria"/>
                <w:b/>
                <w:bCs/>
                <w:color w:val="FFFFFF" w:themeColor="background1"/>
                <w:sz w:val="20"/>
                <w:szCs w:val="20"/>
                <w:lang w:val="es-ES"/>
              </w:rPr>
              <w:t>resentación de la petición:</w:t>
            </w:r>
          </w:p>
        </w:tc>
        <w:tc>
          <w:tcPr>
            <w:tcW w:w="5760" w:type="dxa"/>
            <w:vAlign w:val="center"/>
          </w:tcPr>
          <w:p w14:paraId="6E579153" w14:textId="7640A4C9" w:rsidR="004C2312" w:rsidRPr="008165A7" w:rsidRDefault="0086265B" w:rsidP="002625EA">
            <w:pPr>
              <w:jc w:val="both"/>
              <w:rPr>
                <w:rFonts w:ascii="Cambria" w:hAnsi="Cambria"/>
                <w:bCs/>
                <w:sz w:val="20"/>
                <w:szCs w:val="20"/>
                <w:lang w:val="es-ES"/>
              </w:rPr>
            </w:pPr>
            <w:r w:rsidRPr="008165A7">
              <w:rPr>
                <w:rFonts w:ascii="Cambria" w:hAnsi="Cambria"/>
                <w:bCs/>
                <w:sz w:val="20"/>
                <w:szCs w:val="20"/>
                <w:lang w:val="es-ES"/>
              </w:rPr>
              <w:t>19 de diciembre de 2011</w:t>
            </w:r>
          </w:p>
        </w:tc>
      </w:tr>
      <w:tr w:rsidR="004C2312" w:rsidRPr="008165A7"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8165A7" w:rsidRDefault="004A6A54" w:rsidP="004A6A54">
            <w:pPr>
              <w:jc w:val="center"/>
              <w:rPr>
                <w:rFonts w:ascii="Cambria" w:hAnsi="Cambria"/>
                <w:b/>
                <w:bCs/>
                <w:color w:val="FFFFFF" w:themeColor="background1"/>
                <w:sz w:val="20"/>
                <w:szCs w:val="20"/>
                <w:lang w:val="es-ES"/>
              </w:rPr>
            </w:pPr>
            <w:r w:rsidRPr="008165A7">
              <w:rPr>
                <w:rFonts w:ascii="Cambria" w:hAnsi="Cambria"/>
                <w:b/>
                <w:color w:val="FFFFFF" w:themeColor="background1"/>
                <w:sz w:val="20"/>
                <w:szCs w:val="20"/>
                <w:lang w:val="es-ES"/>
              </w:rPr>
              <w:t>N</w:t>
            </w:r>
            <w:r w:rsidR="004C2312" w:rsidRPr="008165A7">
              <w:rPr>
                <w:rFonts w:ascii="Cambria" w:hAnsi="Cambria"/>
                <w:b/>
                <w:color w:val="FFFFFF" w:themeColor="background1"/>
                <w:sz w:val="20"/>
                <w:szCs w:val="20"/>
                <w:lang w:val="es-ES"/>
              </w:rPr>
              <w:t>otificación de la petición al Estado:</w:t>
            </w:r>
          </w:p>
        </w:tc>
        <w:tc>
          <w:tcPr>
            <w:tcW w:w="5760" w:type="dxa"/>
            <w:vAlign w:val="center"/>
          </w:tcPr>
          <w:p w14:paraId="1519DA6A" w14:textId="1FDD8A92" w:rsidR="004C2312" w:rsidRPr="008165A7" w:rsidRDefault="00AE71A8" w:rsidP="008D2290">
            <w:pPr>
              <w:jc w:val="both"/>
              <w:rPr>
                <w:rFonts w:ascii="Cambria" w:hAnsi="Cambria"/>
                <w:bCs/>
                <w:sz w:val="20"/>
                <w:szCs w:val="20"/>
                <w:lang w:val="es-ES"/>
              </w:rPr>
            </w:pPr>
            <w:r w:rsidRPr="008165A7">
              <w:rPr>
                <w:rFonts w:ascii="Cambria" w:hAnsi="Cambria"/>
                <w:bCs/>
                <w:sz w:val="20"/>
                <w:szCs w:val="20"/>
                <w:lang w:val="es-ES"/>
              </w:rPr>
              <w:t xml:space="preserve">18 de </w:t>
            </w:r>
            <w:r w:rsidR="00641AA5" w:rsidRPr="008165A7">
              <w:rPr>
                <w:rFonts w:ascii="Cambria" w:hAnsi="Cambria"/>
                <w:bCs/>
                <w:sz w:val="20"/>
                <w:szCs w:val="20"/>
                <w:lang w:val="es-ES"/>
              </w:rPr>
              <w:t>septiembre de 2024</w:t>
            </w:r>
          </w:p>
        </w:tc>
      </w:tr>
      <w:tr w:rsidR="004C2312" w:rsidRPr="008165A7"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8165A7" w:rsidRDefault="004A6A54" w:rsidP="004A6A54">
            <w:pPr>
              <w:jc w:val="center"/>
              <w:rPr>
                <w:rFonts w:ascii="Cambria" w:hAnsi="Cambria"/>
                <w:b/>
                <w:bCs/>
                <w:color w:val="FFFFFF" w:themeColor="background1"/>
                <w:sz w:val="20"/>
                <w:szCs w:val="20"/>
                <w:lang w:val="es-ES"/>
              </w:rPr>
            </w:pPr>
            <w:r w:rsidRPr="008165A7">
              <w:rPr>
                <w:rFonts w:ascii="Cambria" w:hAnsi="Cambria"/>
                <w:b/>
                <w:color w:val="FFFFFF" w:themeColor="background1"/>
                <w:sz w:val="20"/>
                <w:szCs w:val="20"/>
                <w:lang w:val="es-ES"/>
              </w:rPr>
              <w:t>P</w:t>
            </w:r>
            <w:r w:rsidR="004C2312" w:rsidRPr="008165A7">
              <w:rPr>
                <w:rFonts w:ascii="Cambria" w:hAnsi="Cambria"/>
                <w:b/>
                <w:color w:val="FFFFFF" w:themeColor="background1"/>
                <w:sz w:val="20"/>
                <w:szCs w:val="20"/>
                <w:lang w:val="es-ES"/>
              </w:rPr>
              <w:t>rimera respuesta del Estado:</w:t>
            </w:r>
          </w:p>
        </w:tc>
        <w:tc>
          <w:tcPr>
            <w:tcW w:w="5760" w:type="dxa"/>
            <w:vAlign w:val="center"/>
          </w:tcPr>
          <w:p w14:paraId="1972B99E" w14:textId="54F42B12" w:rsidR="004C2312" w:rsidRPr="008165A7" w:rsidRDefault="00211791" w:rsidP="008D2290">
            <w:pPr>
              <w:jc w:val="both"/>
              <w:rPr>
                <w:rFonts w:ascii="Cambria" w:hAnsi="Cambria"/>
                <w:bCs/>
                <w:sz w:val="20"/>
                <w:szCs w:val="20"/>
                <w:lang w:val="es-ES"/>
              </w:rPr>
            </w:pPr>
            <w:r w:rsidRPr="008165A7">
              <w:rPr>
                <w:rFonts w:ascii="Cambria" w:hAnsi="Cambria"/>
                <w:bCs/>
                <w:sz w:val="20"/>
                <w:szCs w:val="20"/>
                <w:lang w:val="es-ES"/>
              </w:rPr>
              <w:t>17 de enero de 2025</w:t>
            </w:r>
          </w:p>
        </w:tc>
      </w:tr>
      <w:tr w:rsidR="001E49E7" w:rsidRPr="008165A7"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8165A7" w:rsidRDefault="004A6A54" w:rsidP="00DD4AD2">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A</w:t>
            </w:r>
            <w:r w:rsidR="001E49E7" w:rsidRPr="008165A7">
              <w:rPr>
                <w:rFonts w:ascii="Cambria" w:hAnsi="Cambria"/>
                <w:b/>
                <w:bCs/>
                <w:color w:val="FFFFFF" w:themeColor="background1"/>
                <w:sz w:val="20"/>
                <w:szCs w:val="20"/>
                <w:lang w:val="es-ES"/>
              </w:rPr>
              <w:t>dvertencia sobre posible archivo:</w:t>
            </w:r>
          </w:p>
        </w:tc>
        <w:tc>
          <w:tcPr>
            <w:tcW w:w="5760" w:type="dxa"/>
            <w:vAlign w:val="center"/>
          </w:tcPr>
          <w:p w14:paraId="5500808B" w14:textId="460BB627" w:rsidR="001E49E7" w:rsidRPr="008165A7" w:rsidRDefault="00AE71A8" w:rsidP="002625EA">
            <w:pPr>
              <w:jc w:val="both"/>
              <w:rPr>
                <w:rFonts w:ascii="Cambria" w:hAnsi="Cambria"/>
                <w:bCs/>
                <w:sz w:val="20"/>
                <w:szCs w:val="20"/>
                <w:lang w:val="es-ES"/>
              </w:rPr>
            </w:pPr>
            <w:r w:rsidRPr="008165A7">
              <w:rPr>
                <w:rFonts w:ascii="Cambria" w:hAnsi="Cambria"/>
                <w:bCs/>
                <w:sz w:val="20"/>
                <w:szCs w:val="20"/>
                <w:lang w:val="es-ES"/>
              </w:rPr>
              <w:t>30 de mayo de 2024</w:t>
            </w:r>
          </w:p>
        </w:tc>
      </w:tr>
      <w:tr w:rsidR="001E49E7" w:rsidRPr="008165A7"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8165A7" w:rsidRDefault="004A6A54" w:rsidP="004A6A54">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R</w:t>
            </w:r>
            <w:r w:rsidR="001E49E7" w:rsidRPr="008165A7">
              <w:rPr>
                <w:rFonts w:ascii="Cambria" w:hAnsi="Cambria"/>
                <w:b/>
                <w:bCs/>
                <w:color w:val="FFFFFF" w:themeColor="background1"/>
                <w:sz w:val="20"/>
                <w:szCs w:val="20"/>
                <w:lang w:val="es-ES"/>
              </w:rPr>
              <w:t xml:space="preserve">espuesta de la parte peticionaria ante advertencia </w:t>
            </w:r>
            <w:r w:rsidR="00DD4AD2" w:rsidRPr="008165A7">
              <w:rPr>
                <w:rFonts w:ascii="Cambria" w:hAnsi="Cambria"/>
                <w:b/>
                <w:bCs/>
                <w:color w:val="FFFFFF" w:themeColor="background1"/>
                <w:sz w:val="20"/>
                <w:szCs w:val="20"/>
                <w:lang w:val="es-ES"/>
              </w:rPr>
              <w:t xml:space="preserve">de </w:t>
            </w:r>
            <w:r w:rsidR="001E49E7" w:rsidRPr="008165A7">
              <w:rPr>
                <w:rFonts w:ascii="Cambria" w:hAnsi="Cambria"/>
                <w:b/>
                <w:bCs/>
                <w:color w:val="FFFFFF" w:themeColor="background1"/>
                <w:sz w:val="20"/>
                <w:szCs w:val="20"/>
                <w:lang w:val="es-ES"/>
              </w:rPr>
              <w:t>posible archivo:</w:t>
            </w:r>
          </w:p>
        </w:tc>
        <w:tc>
          <w:tcPr>
            <w:tcW w:w="5760" w:type="dxa"/>
            <w:vAlign w:val="center"/>
          </w:tcPr>
          <w:p w14:paraId="24E176E2" w14:textId="5E382CDA" w:rsidR="001E49E7" w:rsidRPr="008165A7" w:rsidRDefault="00AE71A8" w:rsidP="002625EA">
            <w:pPr>
              <w:jc w:val="both"/>
              <w:rPr>
                <w:rFonts w:ascii="Cambria" w:hAnsi="Cambria"/>
                <w:bCs/>
                <w:sz w:val="20"/>
                <w:szCs w:val="20"/>
                <w:lang w:val="es-ES"/>
              </w:rPr>
            </w:pPr>
            <w:r w:rsidRPr="008165A7">
              <w:rPr>
                <w:rFonts w:ascii="Cambria" w:hAnsi="Cambria"/>
                <w:bCs/>
                <w:sz w:val="20"/>
                <w:szCs w:val="20"/>
                <w:lang w:val="es-ES"/>
              </w:rPr>
              <w:t>5 de junio de 2024</w:t>
            </w:r>
          </w:p>
        </w:tc>
      </w:tr>
    </w:tbl>
    <w:p w14:paraId="21DAA666" w14:textId="77777777" w:rsidR="003239B8" w:rsidRPr="008165A7" w:rsidRDefault="003239B8" w:rsidP="003239B8">
      <w:pPr>
        <w:spacing w:before="240" w:after="240"/>
        <w:ind w:firstLine="720"/>
        <w:jc w:val="both"/>
        <w:rPr>
          <w:rFonts w:asciiTheme="majorHAnsi" w:hAnsiTheme="majorHAnsi"/>
          <w:b/>
          <w:bCs/>
          <w:sz w:val="20"/>
          <w:szCs w:val="20"/>
          <w:lang w:val="es-ES"/>
        </w:rPr>
      </w:pPr>
      <w:r w:rsidRPr="008165A7">
        <w:rPr>
          <w:rFonts w:asciiTheme="majorHAnsi" w:hAnsiTheme="majorHAnsi"/>
          <w:b/>
          <w:bCs/>
          <w:sz w:val="20"/>
          <w:szCs w:val="20"/>
          <w:lang w:val="es-ES"/>
        </w:rPr>
        <w:t xml:space="preserve">III. </w:t>
      </w:r>
      <w:r w:rsidRPr="008165A7">
        <w:rPr>
          <w:rFonts w:asciiTheme="majorHAnsi" w:hAnsiTheme="majorHAnsi"/>
          <w:b/>
          <w:bCs/>
          <w:sz w:val="20"/>
          <w:szCs w:val="20"/>
          <w:lang w:val="es-ES"/>
        </w:rPr>
        <w:tab/>
        <w:t>COMPETENCIA</w:t>
      </w:r>
      <w:r w:rsidR="00EE00E9" w:rsidRPr="008165A7">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961591" w:rsidRPr="008165A7" w14:paraId="072532AD" w14:textId="77777777" w:rsidTr="006C1DD1">
        <w:trPr>
          <w:cantSplit/>
        </w:trPr>
        <w:tc>
          <w:tcPr>
            <w:tcW w:w="3567" w:type="dxa"/>
            <w:tcBorders>
              <w:top w:val="single" w:sz="4" w:space="0" w:color="auto"/>
              <w:bottom w:val="single" w:sz="6" w:space="0" w:color="auto"/>
            </w:tcBorders>
            <w:shd w:val="clear" w:color="auto" w:fill="386294"/>
            <w:vAlign w:val="center"/>
          </w:tcPr>
          <w:p w14:paraId="5C2E4B34" w14:textId="77777777" w:rsidR="00961591" w:rsidRPr="008165A7" w:rsidRDefault="00961591" w:rsidP="002960BC">
            <w:pPr>
              <w:jc w:val="center"/>
              <w:rPr>
                <w:rFonts w:ascii="Cambria" w:hAnsi="Cambria"/>
                <w:b/>
                <w:bCs/>
                <w:i/>
                <w:color w:val="FFFFFF" w:themeColor="background1"/>
                <w:sz w:val="20"/>
                <w:szCs w:val="20"/>
                <w:lang w:val="es-ES"/>
              </w:rPr>
            </w:pPr>
            <w:r w:rsidRPr="008165A7">
              <w:rPr>
                <w:rFonts w:ascii="Cambria" w:hAnsi="Cambria"/>
                <w:b/>
                <w:bCs/>
                <w:color w:val="FFFFFF" w:themeColor="background1"/>
                <w:sz w:val="20"/>
                <w:szCs w:val="20"/>
                <w:lang w:val="es-ES"/>
              </w:rPr>
              <w:t>Competencia</w:t>
            </w:r>
            <w:r w:rsidRPr="008165A7">
              <w:rPr>
                <w:rFonts w:ascii="Cambria" w:hAnsi="Cambria"/>
                <w:b/>
                <w:bCs/>
                <w:i/>
                <w:color w:val="FFFFFF" w:themeColor="background1"/>
                <w:sz w:val="20"/>
                <w:szCs w:val="20"/>
                <w:lang w:val="es-ES"/>
              </w:rPr>
              <w:t xml:space="preserve"> Ratione personae:</w:t>
            </w:r>
          </w:p>
        </w:tc>
        <w:tc>
          <w:tcPr>
            <w:tcW w:w="5770" w:type="dxa"/>
            <w:vAlign w:val="center"/>
          </w:tcPr>
          <w:p w14:paraId="7DC5EC94" w14:textId="427E559F" w:rsidR="00961591" w:rsidRPr="008165A7" w:rsidRDefault="00961591" w:rsidP="002960BC">
            <w:pPr>
              <w:rPr>
                <w:rFonts w:ascii="Cambria" w:hAnsi="Cambria"/>
                <w:bCs/>
                <w:sz w:val="20"/>
                <w:szCs w:val="20"/>
                <w:lang w:val="es-ES"/>
              </w:rPr>
            </w:pPr>
            <w:r w:rsidRPr="008165A7">
              <w:rPr>
                <w:rFonts w:ascii="Cambria" w:hAnsi="Cambria"/>
                <w:bCs/>
                <w:sz w:val="20"/>
                <w:szCs w:val="20"/>
                <w:lang w:val="es-ES"/>
              </w:rPr>
              <w:t>Sí</w:t>
            </w:r>
          </w:p>
        </w:tc>
      </w:tr>
      <w:tr w:rsidR="00961591" w:rsidRPr="008165A7" w14:paraId="4B8802DA" w14:textId="77777777" w:rsidTr="006C1DD1">
        <w:trPr>
          <w:cantSplit/>
        </w:trPr>
        <w:tc>
          <w:tcPr>
            <w:tcW w:w="3567" w:type="dxa"/>
            <w:tcBorders>
              <w:top w:val="single" w:sz="6" w:space="0" w:color="auto"/>
              <w:bottom w:val="single" w:sz="6" w:space="0" w:color="auto"/>
            </w:tcBorders>
            <w:shd w:val="clear" w:color="auto" w:fill="386294"/>
            <w:vAlign w:val="center"/>
          </w:tcPr>
          <w:p w14:paraId="3915C23B" w14:textId="77777777" w:rsidR="00961591" w:rsidRPr="008165A7" w:rsidRDefault="00961591" w:rsidP="002960BC">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Competencia</w:t>
            </w:r>
            <w:r w:rsidRPr="008165A7">
              <w:rPr>
                <w:rFonts w:ascii="Cambria" w:hAnsi="Cambria"/>
                <w:b/>
                <w:bCs/>
                <w:i/>
                <w:color w:val="FFFFFF" w:themeColor="background1"/>
                <w:sz w:val="20"/>
                <w:szCs w:val="20"/>
                <w:lang w:val="es-ES"/>
              </w:rPr>
              <w:t xml:space="preserve"> Ratione loci</w:t>
            </w:r>
            <w:r w:rsidRPr="008165A7">
              <w:rPr>
                <w:rFonts w:ascii="Cambria" w:hAnsi="Cambria"/>
                <w:b/>
                <w:bCs/>
                <w:color w:val="FFFFFF" w:themeColor="background1"/>
                <w:sz w:val="20"/>
                <w:szCs w:val="20"/>
                <w:lang w:val="es-ES"/>
              </w:rPr>
              <w:t>:</w:t>
            </w:r>
          </w:p>
        </w:tc>
        <w:tc>
          <w:tcPr>
            <w:tcW w:w="5770" w:type="dxa"/>
            <w:vAlign w:val="center"/>
          </w:tcPr>
          <w:p w14:paraId="2568E853" w14:textId="03A7805E" w:rsidR="00961591" w:rsidRPr="008165A7" w:rsidRDefault="00961591" w:rsidP="002960BC">
            <w:pPr>
              <w:rPr>
                <w:rFonts w:ascii="Cambria" w:hAnsi="Cambria"/>
                <w:bCs/>
                <w:sz w:val="20"/>
                <w:szCs w:val="20"/>
                <w:lang w:val="es-ES"/>
              </w:rPr>
            </w:pPr>
            <w:r w:rsidRPr="008165A7">
              <w:rPr>
                <w:rFonts w:ascii="Cambria" w:hAnsi="Cambria"/>
                <w:bCs/>
                <w:sz w:val="20"/>
                <w:szCs w:val="20"/>
                <w:lang w:val="es-ES"/>
              </w:rPr>
              <w:t>Sí</w:t>
            </w:r>
          </w:p>
        </w:tc>
      </w:tr>
      <w:tr w:rsidR="00961591" w:rsidRPr="008165A7" w14:paraId="4362FDF3" w14:textId="77777777" w:rsidTr="006C1DD1">
        <w:trPr>
          <w:cantSplit/>
        </w:trPr>
        <w:tc>
          <w:tcPr>
            <w:tcW w:w="3567" w:type="dxa"/>
            <w:tcBorders>
              <w:top w:val="single" w:sz="6" w:space="0" w:color="auto"/>
              <w:bottom w:val="single" w:sz="6" w:space="0" w:color="auto"/>
            </w:tcBorders>
            <w:shd w:val="clear" w:color="auto" w:fill="386294"/>
            <w:vAlign w:val="center"/>
          </w:tcPr>
          <w:p w14:paraId="3BE23153" w14:textId="77777777" w:rsidR="00961591" w:rsidRPr="008165A7" w:rsidRDefault="00961591" w:rsidP="002960BC">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Competencia</w:t>
            </w:r>
            <w:r w:rsidRPr="008165A7">
              <w:rPr>
                <w:rFonts w:ascii="Cambria" w:hAnsi="Cambria"/>
                <w:b/>
                <w:bCs/>
                <w:i/>
                <w:color w:val="FFFFFF" w:themeColor="background1"/>
                <w:sz w:val="20"/>
                <w:szCs w:val="20"/>
                <w:lang w:val="es-ES"/>
              </w:rPr>
              <w:t xml:space="preserve"> Ratione temporis</w:t>
            </w:r>
            <w:r w:rsidRPr="008165A7">
              <w:rPr>
                <w:rFonts w:ascii="Cambria" w:hAnsi="Cambria"/>
                <w:b/>
                <w:bCs/>
                <w:color w:val="FFFFFF" w:themeColor="background1"/>
                <w:sz w:val="20"/>
                <w:szCs w:val="20"/>
                <w:lang w:val="es-ES"/>
              </w:rPr>
              <w:t>:</w:t>
            </w:r>
          </w:p>
        </w:tc>
        <w:tc>
          <w:tcPr>
            <w:tcW w:w="5770" w:type="dxa"/>
            <w:vAlign w:val="center"/>
          </w:tcPr>
          <w:p w14:paraId="1D0FC3C5" w14:textId="4BF45430" w:rsidR="00961591" w:rsidRPr="008165A7" w:rsidRDefault="00961591" w:rsidP="002960BC">
            <w:pPr>
              <w:rPr>
                <w:rFonts w:ascii="Cambria" w:hAnsi="Cambria"/>
                <w:bCs/>
                <w:sz w:val="20"/>
                <w:szCs w:val="20"/>
                <w:lang w:val="es-ES"/>
              </w:rPr>
            </w:pPr>
            <w:r w:rsidRPr="008165A7">
              <w:rPr>
                <w:rFonts w:ascii="Cambria" w:hAnsi="Cambria"/>
                <w:bCs/>
                <w:sz w:val="20"/>
                <w:szCs w:val="20"/>
                <w:lang w:val="es-ES"/>
              </w:rPr>
              <w:t>Sí</w:t>
            </w:r>
          </w:p>
        </w:tc>
      </w:tr>
      <w:tr w:rsidR="00961591" w:rsidRPr="00923987" w14:paraId="30ABEC3E" w14:textId="77777777" w:rsidTr="006C1DD1">
        <w:trPr>
          <w:cantSplit/>
        </w:trPr>
        <w:tc>
          <w:tcPr>
            <w:tcW w:w="3567" w:type="dxa"/>
            <w:tcBorders>
              <w:top w:val="single" w:sz="6" w:space="0" w:color="auto"/>
              <w:bottom w:val="single" w:sz="6" w:space="0" w:color="auto"/>
            </w:tcBorders>
            <w:shd w:val="clear" w:color="auto" w:fill="386294"/>
            <w:vAlign w:val="center"/>
          </w:tcPr>
          <w:p w14:paraId="47B529D2" w14:textId="77777777" w:rsidR="00961591" w:rsidRPr="008165A7" w:rsidRDefault="00961591" w:rsidP="002960BC">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Competencia</w:t>
            </w:r>
            <w:r w:rsidRPr="008165A7">
              <w:rPr>
                <w:rFonts w:ascii="Cambria" w:hAnsi="Cambria"/>
                <w:b/>
                <w:bCs/>
                <w:i/>
                <w:color w:val="FFFFFF" w:themeColor="background1"/>
                <w:sz w:val="20"/>
                <w:szCs w:val="20"/>
                <w:lang w:val="es-ES"/>
              </w:rPr>
              <w:t xml:space="preserve"> Ratione materiae</w:t>
            </w:r>
            <w:r w:rsidRPr="008165A7">
              <w:rPr>
                <w:rFonts w:ascii="Cambria" w:hAnsi="Cambria"/>
                <w:b/>
                <w:bCs/>
                <w:color w:val="FFFFFF" w:themeColor="background1"/>
                <w:sz w:val="20"/>
                <w:szCs w:val="20"/>
                <w:lang w:val="es-ES"/>
              </w:rPr>
              <w:t>:</w:t>
            </w:r>
          </w:p>
        </w:tc>
        <w:tc>
          <w:tcPr>
            <w:tcW w:w="5770" w:type="dxa"/>
            <w:vAlign w:val="center"/>
          </w:tcPr>
          <w:p w14:paraId="30D314EB" w14:textId="774E9E8F" w:rsidR="00961591" w:rsidRPr="008165A7" w:rsidRDefault="00961591" w:rsidP="002960BC">
            <w:pPr>
              <w:jc w:val="both"/>
              <w:rPr>
                <w:rFonts w:ascii="Cambria" w:hAnsi="Cambria"/>
                <w:bCs/>
                <w:sz w:val="20"/>
                <w:szCs w:val="20"/>
                <w:lang w:val="es-ES"/>
              </w:rPr>
            </w:pPr>
            <w:r w:rsidRPr="008165A7">
              <w:rPr>
                <w:rFonts w:ascii="Cambria" w:hAnsi="Cambria"/>
                <w:bCs/>
                <w:sz w:val="20"/>
                <w:szCs w:val="20"/>
                <w:lang w:val="es-ES"/>
              </w:rPr>
              <w:t>Sí, Convención Americana (depósito del instrumento de ratificación realizado el 25 de mayo de 1978); y Protocolo de San Salvador (5 de octubre de 2000)</w:t>
            </w:r>
          </w:p>
        </w:tc>
      </w:tr>
    </w:tbl>
    <w:p w14:paraId="4E92C444" w14:textId="140CB1E7" w:rsidR="003239B8" w:rsidRPr="008165A7" w:rsidRDefault="003239B8" w:rsidP="003239B8">
      <w:pPr>
        <w:spacing w:before="240" w:after="240"/>
        <w:ind w:firstLine="720"/>
        <w:jc w:val="both"/>
        <w:rPr>
          <w:rFonts w:asciiTheme="majorHAnsi" w:hAnsiTheme="majorHAnsi"/>
          <w:b/>
          <w:bCs/>
          <w:sz w:val="20"/>
          <w:szCs w:val="20"/>
          <w:lang w:val="es-ES"/>
        </w:rPr>
      </w:pPr>
      <w:r w:rsidRPr="008165A7">
        <w:rPr>
          <w:rFonts w:asciiTheme="majorHAnsi" w:hAnsiTheme="majorHAnsi"/>
          <w:b/>
          <w:bCs/>
          <w:sz w:val="20"/>
          <w:szCs w:val="20"/>
          <w:lang w:val="es-ES"/>
        </w:rPr>
        <w:t xml:space="preserve">IV. </w:t>
      </w:r>
      <w:r w:rsidRPr="008165A7">
        <w:rPr>
          <w:rFonts w:asciiTheme="majorHAnsi" w:hAnsiTheme="majorHAnsi"/>
          <w:b/>
          <w:bCs/>
          <w:sz w:val="20"/>
          <w:szCs w:val="20"/>
          <w:lang w:val="es-ES"/>
        </w:rPr>
        <w:tab/>
      </w:r>
      <w:r w:rsidR="00EE00E9" w:rsidRPr="008165A7">
        <w:rPr>
          <w:rFonts w:asciiTheme="majorHAnsi" w:hAnsiTheme="majorHAnsi"/>
          <w:b/>
          <w:bCs/>
          <w:sz w:val="20"/>
          <w:szCs w:val="20"/>
          <w:lang w:val="es-ES"/>
        </w:rPr>
        <w:t>DUPLICACIÓN</w:t>
      </w:r>
      <w:r w:rsidR="00EE00E9" w:rsidRPr="008165A7">
        <w:rPr>
          <w:rFonts w:asciiTheme="majorHAnsi" w:hAnsiTheme="majorHAnsi"/>
          <w:b/>
          <w:bCs/>
          <w:color w:val="FFFFFF" w:themeColor="background1"/>
          <w:sz w:val="20"/>
          <w:szCs w:val="20"/>
          <w:lang w:val="es-ES"/>
        </w:rPr>
        <w:t xml:space="preserve"> </w:t>
      </w:r>
      <w:r w:rsidR="00EE00E9" w:rsidRPr="008165A7">
        <w:rPr>
          <w:rFonts w:asciiTheme="majorHAnsi" w:hAnsiTheme="majorHAnsi"/>
          <w:b/>
          <w:bCs/>
          <w:sz w:val="20"/>
          <w:szCs w:val="20"/>
          <w:lang w:val="es-ES"/>
        </w:rPr>
        <w:t>DE PROCEDIMIENTOS Y COSA JUZGADA</w:t>
      </w:r>
      <w:r w:rsidR="00EE00E9" w:rsidRPr="008165A7">
        <w:rPr>
          <w:rFonts w:asciiTheme="majorHAnsi" w:hAnsiTheme="majorHAnsi"/>
          <w:b/>
          <w:bCs/>
          <w:i/>
          <w:sz w:val="20"/>
          <w:szCs w:val="20"/>
          <w:lang w:val="es-ES"/>
        </w:rPr>
        <w:t xml:space="preserve"> </w:t>
      </w:r>
      <w:r w:rsidR="00EE00E9" w:rsidRPr="008165A7">
        <w:rPr>
          <w:rFonts w:asciiTheme="majorHAnsi" w:hAnsiTheme="majorHAnsi"/>
          <w:b/>
          <w:bCs/>
          <w:sz w:val="20"/>
          <w:szCs w:val="20"/>
          <w:lang w:val="es-ES"/>
        </w:rPr>
        <w:t>INTERNACIONAL</w:t>
      </w:r>
      <w:r w:rsidR="005D38F9" w:rsidRPr="008165A7">
        <w:rPr>
          <w:rFonts w:asciiTheme="majorHAnsi" w:hAnsiTheme="majorHAnsi"/>
          <w:b/>
          <w:bCs/>
          <w:sz w:val="20"/>
          <w:szCs w:val="20"/>
          <w:lang w:val="es-ES"/>
        </w:rPr>
        <w:t>,</w:t>
      </w:r>
      <w:r w:rsidRPr="008165A7">
        <w:rPr>
          <w:rFonts w:asciiTheme="majorHAnsi" w:hAnsiTheme="majorHAnsi"/>
          <w:b/>
          <w:bCs/>
          <w:sz w:val="20"/>
          <w:szCs w:val="20"/>
          <w:lang w:val="es-ES"/>
        </w:rPr>
        <w:t xml:space="preserve"> CARACTERIZACIÓN, </w:t>
      </w:r>
      <w:r w:rsidRPr="008165A7">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70"/>
        <w:gridCol w:w="5767"/>
      </w:tblGrid>
      <w:tr w:rsidR="00961591" w:rsidRPr="008165A7" w14:paraId="1231C988" w14:textId="77777777" w:rsidTr="006C1DD1">
        <w:trPr>
          <w:cantSplit/>
        </w:trPr>
        <w:tc>
          <w:tcPr>
            <w:tcW w:w="3570" w:type="dxa"/>
            <w:tcBorders>
              <w:top w:val="single" w:sz="4" w:space="0" w:color="auto"/>
              <w:bottom w:val="single" w:sz="6" w:space="0" w:color="auto"/>
            </w:tcBorders>
            <w:shd w:val="clear" w:color="auto" w:fill="386294"/>
            <w:vAlign w:val="center"/>
          </w:tcPr>
          <w:p w14:paraId="6F8031F4" w14:textId="77777777" w:rsidR="00961591" w:rsidRPr="008165A7" w:rsidRDefault="00961591" w:rsidP="00926D11">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Duplicación de procedimientos y cosa juzgada internacional:</w:t>
            </w:r>
          </w:p>
        </w:tc>
        <w:tc>
          <w:tcPr>
            <w:tcW w:w="5767" w:type="dxa"/>
            <w:vAlign w:val="center"/>
          </w:tcPr>
          <w:p w14:paraId="03840B43" w14:textId="4981A550" w:rsidR="00961591" w:rsidRPr="008165A7" w:rsidRDefault="00961591" w:rsidP="00926D11">
            <w:pPr>
              <w:jc w:val="both"/>
              <w:rPr>
                <w:rFonts w:ascii="Cambria" w:hAnsi="Cambria"/>
                <w:bCs/>
                <w:sz w:val="20"/>
                <w:szCs w:val="20"/>
                <w:lang w:val="es-ES"/>
              </w:rPr>
            </w:pPr>
            <w:r w:rsidRPr="008165A7">
              <w:rPr>
                <w:rFonts w:ascii="Cambria" w:hAnsi="Cambria"/>
                <w:bCs/>
                <w:sz w:val="20"/>
                <w:szCs w:val="20"/>
                <w:lang w:val="es-ES"/>
              </w:rPr>
              <w:t>No</w:t>
            </w:r>
          </w:p>
        </w:tc>
      </w:tr>
      <w:tr w:rsidR="00961591" w:rsidRPr="00923987" w14:paraId="15FAA7D1" w14:textId="77777777" w:rsidTr="006C1DD1">
        <w:trPr>
          <w:cantSplit/>
        </w:trPr>
        <w:tc>
          <w:tcPr>
            <w:tcW w:w="3570" w:type="dxa"/>
            <w:tcBorders>
              <w:top w:val="single" w:sz="4" w:space="0" w:color="auto"/>
              <w:bottom w:val="single" w:sz="6" w:space="0" w:color="auto"/>
            </w:tcBorders>
            <w:shd w:val="clear" w:color="auto" w:fill="386294"/>
            <w:vAlign w:val="center"/>
          </w:tcPr>
          <w:p w14:paraId="1B0D29FF" w14:textId="77777777" w:rsidR="00961591" w:rsidRPr="008165A7" w:rsidRDefault="00961591" w:rsidP="00926D11">
            <w:pPr>
              <w:jc w:val="center"/>
              <w:rPr>
                <w:rFonts w:ascii="Cambria" w:hAnsi="Cambria"/>
                <w:b/>
                <w:bCs/>
                <w:i/>
                <w:color w:val="FFFFFF" w:themeColor="background1"/>
                <w:sz w:val="20"/>
                <w:szCs w:val="20"/>
                <w:lang w:val="es-ES"/>
              </w:rPr>
            </w:pPr>
            <w:r w:rsidRPr="008165A7">
              <w:rPr>
                <w:rFonts w:ascii="Cambria" w:hAnsi="Cambria"/>
                <w:b/>
                <w:bCs/>
                <w:color w:val="FFFFFF" w:themeColor="background1"/>
                <w:sz w:val="20"/>
                <w:szCs w:val="20"/>
                <w:lang w:val="es-ES"/>
              </w:rPr>
              <w:lastRenderedPageBreak/>
              <w:t>Derechos declarados admisibles</w:t>
            </w:r>
            <w:r w:rsidRPr="008165A7">
              <w:rPr>
                <w:rFonts w:ascii="Cambria" w:hAnsi="Cambria"/>
                <w:b/>
                <w:bCs/>
                <w:i/>
                <w:color w:val="FFFFFF" w:themeColor="background1"/>
                <w:sz w:val="20"/>
                <w:szCs w:val="20"/>
                <w:lang w:val="es-ES"/>
              </w:rPr>
              <w:t>:</w:t>
            </w:r>
          </w:p>
        </w:tc>
        <w:tc>
          <w:tcPr>
            <w:tcW w:w="5767" w:type="dxa"/>
            <w:vAlign w:val="center"/>
          </w:tcPr>
          <w:p w14:paraId="488475DD" w14:textId="5040DD30" w:rsidR="00961591" w:rsidRPr="008165A7" w:rsidRDefault="00961591" w:rsidP="00926D11">
            <w:pPr>
              <w:jc w:val="both"/>
              <w:rPr>
                <w:rFonts w:ascii="Cambria" w:hAnsi="Cambria"/>
                <w:bCs/>
                <w:sz w:val="20"/>
                <w:szCs w:val="20"/>
                <w:lang w:val="es-ES"/>
              </w:rPr>
            </w:pPr>
            <w:r w:rsidRPr="008165A7">
              <w:rPr>
                <w:rFonts w:asciiTheme="majorHAnsi" w:hAnsiTheme="majorHAnsi"/>
                <w:bCs/>
                <w:sz w:val="20"/>
                <w:szCs w:val="20"/>
                <w:lang w:val="es-ES"/>
              </w:rPr>
              <w:t>Artículos 5 (integridad personal), 8 (garantías judiciales</w:t>
            </w:r>
            <w:r w:rsidR="00705FD6">
              <w:rPr>
                <w:rFonts w:asciiTheme="majorHAnsi" w:hAnsiTheme="majorHAnsi"/>
                <w:bCs/>
                <w:sz w:val="20"/>
                <w:szCs w:val="20"/>
                <w:lang w:val="es-ES"/>
              </w:rPr>
              <w:t xml:space="preserve">), </w:t>
            </w:r>
            <w:r w:rsidRPr="008165A7">
              <w:rPr>
                <w:rFonts w:asciiTheme="majorHAnsi" w:hAnsiTheme="majorHAnsi"/>
                <w:bCs/>
                <w:sz w:val="20"/>
                <w:szCs w:val="20"/>
                <w:lang w:val="es-ES"/>
              </w:rPr>
              <w:t>24 (igualdad ante la ley)</w:t>
            </w:r>
            <w:r w:rsidR="00705FD6">
              <w:rPr>
                <w:rFonts w:asciiTheme="majorHAnsi" w:hAnsiTheme="majorHAnsi"/>
                <w:bCs/>
                <w:sz w:val="20"/>
                <w:szCs w:val="20"/>
                <w:lang w:val="es-ES"/>
              </w:rPr>
              <w:t xml:space="preserve"> y 25 (protección judicial)</w:t>
            </w:r>
            <w:r w:rsidRPr="008165A7">
              <w:rPr>
                <w:rFonts w:asciiTheme="majorHAnsi" w:hAnsiTheme="majorHAnsi"/>
                <w:bCs/>
                <w:sz w:val="20"/>
                <w:szCs w:val="20"/>
                <w:lang w:val="es-ES"/>
              </w:rPr>
              <w:t xml:space="preserve"> de la Convención Americana</w:t>
            </w:r>
            <w:r w:rsidR="006C1DD1">
              <w:rPr>
                <w:rFonts w:asciiTheme="majorHAnsi" w:hAnsiTheme="majorHAnsi"/>
                <w:bCs/>
                <w:sz w:val="20"/>
                <w:szCs w:val="20"/>
                <w:lang w:val="es-ES"/>
              </w:rPr>
              <w:t>, en relación con sus artículos 1.1 (obligación de respetar los derechos) y 2 (deber de adoptar disposiciones de derecho interno)</w:t>
            </w:r>
          </w:p>
        </w:tc>
      </w:tr>
      <w:tr w:rsidR="00961591" w:rsidRPr="00923987" w14:paraId="4EFD141E" w14:textId="77777777" w:rsidTr="006C1DD1">
        <w:trPr>
          <w:cantSplit/>
        </w:trPr>
        <w:tc>
          <w:tcPr>
            <w:tcW w:w="3570" w:type="dxa"/>
            <w:tcBorders>
              <w:top w:val="single" w:sz="6" w:space="0" w:color="auto"/>
              <w:bottom w:val="single" w:sz="6" w:space="0" w:color="auto"/>
            </w:tcBorders>
            <w:shd w:val="clear" w:color="auto" w:fill="386294"/>
            <w:vAlign w:val="center"/>
          </w:tcPr>
          <w:p w14:paraId="4C04A89C" w14:textId="77777777" w:rsidR="00961591" w:rsidRPr="008165A7" w:rsidRDefault="00961591" w:rsidP="00926D11">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Agotamiento de recursos internos o procedencia de una excepción:</w:t>
            </w:r>
          </w:p>
        </w:tc>
        <w:tc>
          <w:tcPr>
            <w:tcW w:w="5767" w:type="dxa"/>
            <w:vAlign w:val="center"/>
          </w:tcPr>
          <w:p w14:paraId="50BC6BE7" w14:textId="7C5F861D" w:rsidR="00961591" w:rsidRPr="008165A7" w:rsidRDefault="00961591" w:rsidP="00926D11">
            <w:pPr>
              <w:rPr>
                <w:rFonts w:ascii="Cambria" w:hAnsi="Cambria"/>
                <w:bCs/>
                <w:sz w:val="20"/>
                <w:szCs w:val="20"/>
                <w:lang w:val="es-ES"/>
              </w:rPr>
            </w:pPr>
            <w:r w:rsidRPr="008165A7">
              <w:rPr>
                <w:rFonts w:asciiTheme="majorHAnsi" w:hAnsiTheme="majorHAnsi"/>
                <w:bCs/>
                <w:sz w:val="20"/>
                <w:szCs w:val="20"/>
                <w:lang w:val="es-ES"/>
              </w:rPr>
              <w:t>Sí, en los términos de la Sección VI</w:t>
            </w:r>
          </w:p>
        </w:tc>
      </w:tr>
      <w:tr w:rsidR="00961591" w:rsidRPr="00923987" w14:paraId="52B5BA17" w14:textId="77777777" w:rsidTr="006C1DD1">
        <w:trPr>
          <w:cantSplit/>
        </w:trPr>
        <w:tc>
          <w:tcPr>
            <w:tcW w:w="3570" w:type="dxa"/>
            <w:tcBorders>
              <w:top w:val="single" w:sz="6" w:space="0" w:color="auto"/>
              <w:bottom w:val="single" w:sz="6" w:space="0" w:color="auto"/>
            </w:tcBorders>
            <w:shd w:val="clear" w:color="auto" w:fill="386294"/>
            <w:vAlign w:val="center"/>
          </w:tcPr>
          <w:p w14:paraId="5DF99086" w14:textId="77777777" w:rsidR="00961591" w:rsidRPr="008165A7" w:rsidRDefault="00961591" w:rsidP="00926D11">
            <w:pPr>
              <w:jc w:val="center"/>
              <w:rPr>
                <w:rFonts w:ascii="Cambria" w:hAnsi="Cambria"/>
                <w:b/>
                <w:bCs/>
                <w:color w:val="FFFFFF" w:themeColor="background1"/>
                <w:sz w:val="20"/>
                <w:szCs w:val="20"/>
                <w:lang w:val="es-ES"/>
              </w:rPr>
            </w:pPr>
            <w:r w:rsidRPr="008165A7">
              <w:rPr>
                <w:rFonts w:ascii="Cambria" w:hAnsi="Cambria"/>
                <w:b/>
                <w:bCs/>
                <w:color w:val="FFFFFF" w:themeColor="background1"/>
                <w:sz w:val="20"/>
                <w:szCs w:val="20"/>
                <w:lang w:val="es-ES"/>
              </w:rPr>
              <w:t>Presentación dentro de plazo:</w:t>
            </w:r>
          </w:p>
        </w:tc>
        <w:tc>
          <w:tcPr>
            <w:tcW w:w="5767" w:type="dxa"/>
            <w:vAlign w:val="center"/>
          </w:tcPr>
          <w:p w14:paraId="5C7C9113" w14:textId="6E7DE838" w:rsidR="00961591" w:rsidRPr="008165A7" w:rsidRDefault="00961591" w:rsidP="00926D11">
            <w:pPr>
              <w:rPr>
                <w:rFonts w:ascii="Cambria" w:hAnsi="Cambria"/>
                <w:bCs/>
                <w:sz w:val="20"/>
                <w:szCs w:val="20"/>
                <w:lang w:val="es-ES"/>
              </w:rPr>
            </w:pPr>
            <w:r w:rsidRPr="008165A7">
              <w:rPr>
                <w:rFonts w:asciiTheme="majorHAnsi" w:hAnsiTheme="majorHAnsi"/>
                <w:bCs/>
                <w:sz w:val="20"/>
                <w:szCs w:val="20"/>
                <w:lang w:val="es-ES"/>
              </w:rPr>
              <w:t>Sí, en los términos de la Sección VI</w:t>
            </w:r>
          </w:p>
        </w:tc>
      </w:tr>
    </w:tbl>
    <w:p w14:paraId="18E6423B" w14:textId="0107F3A7" w:rsidR="003239B8" w:rsidRPr="008165A7" w:rsidRDefault="00223A29" w:rsidP="0077688C">
      <w:pPr>
        <w:spacing w:before="240" w:after="240"/>
        <w:ind w:firstLine="720"/>
        <w:jc w:val="both"/>
        <w:rPr>
          <w:rFonts w:asciiTheme="majorHAnsi" w:hAnsiTheme="majorHAnsi"/>
          <w:b/>
          <w:sz w:val="20"/>
          <w:szCs w:val="20"/>
          <w:lang w:val="es-ES"/>
        </w:rPr>
      </w:pPr>
      <w:r w:rsidRPr="008165A7">
        <w:rPr>
          <w:rFonts w:asciiTheme="majorHAnsi" w:hAnsiTheme="majorHAnsi"/>
          <w:b/>
          <w:sz w:val="20"/>
          <w:szCs w:val="20"/>
          <w:lang w:val="es-ES"/>
        </w:rPr>
        <w:t xml:space="preserve">V. </w:t>
      </w:r>
      <w:r w:rsidRPr="008165A7">
        <w:rPr>
          <w:rFonts w:asciiTheme="majorHAnsi" w:hAnsiTheme="majorHAnsi"/>
          <w:b/>
          <w:sz w:val="20"/>
          <w:szCs w:val="20"/>
          <w:lang w:val="es-ES"/>
        </w:rPr>
        <w:tab/>
      </w:r>
      <w:r w:rsidR="00867314" w:rsidRPr="008165A7">
        <w:rPr>
          <w:rFonts w:asciiTheme="majorHAnsi" w:hAnsiTheme="majorHAnsi"/>
          <w:b/>
          <w:sz w:val="20"/>
          <w:szCs w:val="20"/>
          <w:lang w:val="es-ES"/>
        </w:rPr>
        <w:t>POSICIÓN DE LAS PARTES</w:t>
      </w:r>
    </w:p>
    <w:p w14:paraId="16FB6418" w14:textId="349673C7" w:rsidR="0083100C" w:rsidRPr="00A57726" w:rsidRDefault="006C1DD1" w:rsidP="0077688C">
      <w:pPr>
        <w:spacing w:before="240" w:after="240"/>
        <w:ind w:firstLine="720"/>
        <w:jc w:val="both"/>
        <w:rPr>
          <w:rFonts w:asciiTheme="majorHAnsi" w:hAnsiTheme="majorHAnsi"/>
          <w:b/>
          <w:sz w:val="20"/>
          <w:szCs w:val="20"/>
          <w:lang w:val="es-ES"/>
        </w:rPr>
      </w:pPr>
      <w:r>
        <w:rPr>
          <w:rFonts w:asciiTheme="majorHAnsi" w:hAnsiTheme="majorHAnsi"/>
          <w:b/>
          <w:sz w:val="20"/>
          <w:szCs w:val="20"/>
          <w:lang w:val="es-ES"/>
        </w:rPr>
        <w:t>L</w:t>
      </w:r>
      <w:r w:rsidR="0083100C" w:rsidRPr="00A57726">
        <w:rPr>
          <w:rFonts w:asciiTheme="majorHAnsi" w:hAnsiTheme="majorHAnsi"/>
          <w:b/>
          <w:sz w:val="20"/>
          <w:szCs w:val="20"/>
          <w:lang w:val="es-ES"/>
        </w:rPr>
        <w:t>a parte peticionaria</w:t>
      </w:r>
    </w:p>
    <w:p w14:paraId="6D1612FD" w14:textId="671D3F68" w:rsidR="00C51FFD" w:rsidRPr="008165A7" w:rsidRDefault="00C51FFD"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165A7">
        <w:rPr>
          <w:rFonts w:asciiTheme="majorHAnsi" w:hAnsiTheme="majorHAnsi"/>
          <w:sz w:val="20"/>
          <w:szCs w:val="20"/>
          <w:lang w:val="es-ES"/>
        </w:rPr>
        <w:t xml:space="preserve">La parte peticionaria denuncia la responsabilidad internacional del Estado por la falta de acceso a una reparación integral y colectiva mediante el Programa Nacional de Resarcimiento (en adelante, “PNR”), frente a las graves violaciones de derechos humanos sufridas por la </w:t>
      </w:r>
      <w:r w:rsidR="008E3EAA" w:rsidRPr="008165A7">
        <w:rPr>
          <w:rFonts w:asciiTheme="majorHAnsi" w:hAnsiTheme="majorHAnsi"/>
          <w:sz w:val="20"/>
          <w:szCs w:val="20"/>
          <w:lang w:val="es-ES"/>
        </w:rPr>
        <w:t>c</w:t>
      </w:r>
      <w:r w:rsidRPr="008165A7">
        <w:rPr>
          <w:rFonts w:asciiTheme="majorHAnsi" w:hAnsiTheme="majorHAnsi"/>
          <w:sz w:val="20"/>
          <w:szCs w:val="20"/>
          <w:lang w:val="es-ES"/>
        </w:rPr>
        <w:t xml:space="preserve">omunidad </w:t>
      </w:r>
      <w:r w:rsidR="008E3EAA" w:rsidRPr="008165A7">
        <w:rPr>
          <w:rFonts w:asciiTheme="majorHAnsi" w:hAnsiTheme="majorHAnsi"/>
          <w:sz w:val="20"/>
          <w:szCs w:val="20"/>
          <w:lang w:val="es-ES"/>
        </w:rPr>
        <w:t>“</w:t>
      </w:r>
      <w:r w:rsidRPr="008165A7">
        <w:rPr>
          <w:rFonts w:asciiTheme="majorHAnsi" w:hAnsiTheme="majorHAnsi"/>
          <w:sz w:val="20"/>
          <w:szCs w:val="20"/>
          <w:lang w:val="es-ES"/>
        </w:rPr>
        <w:t>Las Muñecas” (en adelante, “</w:t>
      </w:r>
      <w:r w:rsidR="00087995">
        <w:rPr>
          <w:rFonts w:asciiTheme="majorHAnsi" w:hAnsiTheme="majorHAnsi"/>
          <w:sz w:val="20"/>
          <w:szCs w:val="20"/>
          <w:lang w:val="es-ES"/>
        </w:rPr>
        <w:t xml:space="preserve">las </w:t>
      </w:r>
      <w:r w:rsidRPr="008165A7">
        <w:rPr>
          <w:rFonts w:asciiTheme="majorHAnsi" w:hAnsiTheme="majorHAnsi"/>
          <w:sz w:val="20"/>
          <w:szCs w:val="20"/>
          <w:lang w:val="es-ES"/>
        </w:rPr>
        <w:t>presuntas víctimas” o “</w:t>
      </w:r>
      <w:r w:rsidR="00087995">
        <w:rPr>
          <w:rFonts w:asciiTheme="majorHAnsi" w:hAnsiTheme="majorHAnsi"/>
          <w:sz w:val="20"/>
          <w:szCs w:val="20"/>
          <w:lang w:val="es-ES"/>
        </w:rPr>
        <w:t xml:space="preserve">la </w:t>
      </w:r>
      <w:r w:rsidRPr="008165A7">
        <w:rPr>
          <w:rFonts w:asciiTheme="majorHAnsi" w:hAnsiTheme="majorHAnsi"/>
          <w:sz w:val="20"/>
          <w:szCs w:val="20"/>
          <w:lang w:val="es-ES"/>
        </w:rPr>
        <w:t>comunidad”) durante el conflicto armado. Dichas violaciones habrían incluido masacres, persecución, amenazas, tortura, reclutamiento forzado y desplazamiento interno.</w:t>
      </w:r>
    </w:p>
    <w:p w14:paraId="1C0FBF2A" w14:textId="7CD8698A" w:rsidR="0066114A" w:rsidRPr="008165A7" w:rsidRDefault="00DD5A79" w:rsidP="00776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color w:val="auto"/>
          <w:sz w:val="20"/>
          <w:szCs w:val="20"/>
          <w:lang w:val="es-ES"/>
        </w:rPr>
      </w:pPr>
      <w:r>
        <w:rPr>
          <w:rFonts w:asciiTheme="majorHAnsi" w:hAnsiTheme="majorHAnsi"/>
          <w:bCs/>
          <w:i/>
          <w:iCs/>
          <w:color w:val="auto"/>
          <w:sz w:val="20"/>
          <w:szCs w:val="20"/>
          <w:lang w:val="es-ES"/>
        </w:rPr>
        <w:t>Sobre</w:t>
      </w:r>
      <w:r w:rsidR="008E113F" w:rsidRPr="008165A7">
        <w:rPr>
          <w:rFonts w:asciiTheme="majorHAnsi" w:hAnsiTheme="majorHAnsi"/>
          <w:bCs/>
          <w:i/>
          <w:iCs/>
          <w:color w:val="auto"/>
          <w:sz w:val="20"/>
          <w:szCs w:val="20"/>
          <w:lang w:val="es-ES"/>
        </w:rPr>
        <w:t xml:space="preserve"> conflicto armado </w:t>
      </w:r>
      <w:r w:rsidR="00C81CFB">
        <w:rPr>
          <w:rFonts w:asciiTheme="majorHAnsi" w:hAnsiTheme="majorHAnsi"/>
          <w:bCs/>
          <w:i/>
          <w:iCs/>
          <w:color w:val="auto"/>
          <w:sz w:val="20"/>
          <w:szCs w:val="20"/>
          <w:lang w:val="es-ES"/>
        </w:rPr>
        <w:t>en Guatemala</w:t>
      </w:r>
    </w:p>
    <w:p w14:paraId="3ADE5061" w14:textId="0C83F250" w:rsidR="00470F60" w:rsidRPr="00470F60" w:rsidRDefault="00470F60"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165A7">
        <w:rPr>
          <w:rFonts w:asciiTheme="majorHAnsi" w:hAnsiTheme="majorHAnsi"/>
          <w:sz w:val="20"/>
          <w:szCs w:val="20"/>
          <w:lang w:val="es-ES"/>
        </w:rPr>
        <w:t>A modo de contexto</w:t>
      </w:r>
      <w:r w:rsidR="00F0665D">
        <w:rPr>
          <w:rFonts w:asciiTheme="majorHAnsi" w:hAnsiTheme="majorHAnsi"/>
          <w:sz w:val="20"/>
          <w:szCs w:val="20"/>
          <w:lang w:val="es-ES"/>
        </w:rPr>
        <w:t>,</w:t>
      </w:r>
      <w:r w:rsidR="008D3E23">
        <w:rPr>
          <w:rFonts w:asciiTheme="majorHAnsi" w:hAnsiTheme="majorHAnsi"/>
          <w:sz w:val="20"/>
          <w:szCs w:val="20"/>
          <w:lang w:val="es-ES"/>
        </w:rPr>
        <w:t xml:space="preserve"> la parte peticionaria</w:t>
      </w:r>
      <w:r w:rsidRPr="008165A7">
        <w:rPr>
          <w:rFonts w:asciiTheme="majorHAnsi" w:hAnsiTheme="majorHAnsi"/>
          <w:sz w:val="20"/>
          <w:szCs w:val="20"/>
          <w:lang w:val="es-ES"/>
        </w:rPr>
        <w:t xml:space="preserve"> </w:t>
      </w:r>
      <w:r w:rsidR="008D3E23">
        <w:rPr>
          <w:rFonts w:asciiTheme="majorHAnsi" w:hAnsiTheme="majorHAnsi"/>
          <w:sz w:val="20"/>
          <w:szCs w:val="20"/>
          <w:lang w:val="es-ES"/>
        </w:rPr>
        <w:t>narra</w:t>
      </w:r>
      <w:r w:rsidRPr="008165A7">
        <w:rPr>
          <w:rFonts w:asciiTheme="majorHAnsi" w:hAnsiTheme="majorHAnsi"/>
          <w:sz w:val="20"/>
          <w:szCs w:val="20"/>
          <w:lang w:val="es-ES"/>
        </w:rPr>
        <w:t xml:space="preserve"> que en 1980 </w:t>
      </w:r>
      <w:r w:rsidRPr="00470F60">
        <w:rPr>
          <w:rFonts w:asciiTheme="majorHAnsi" w:hAnsiTheme="majorHAnsi"/>
          <w:sz w:val="20"/>
          <w:szCs w:val="20"/>
          <w:lang w:val="es-ES"/>
        </w:rPr>
        <w:t>las presuntas víctimas trabajaban en condiciones precarias en las fincas Trece Aguas y Rubel Tzul. Tras exigir mejoras laborales, los militares las acusaron de incitar al paro y detuvieron</w:t>
      </w:r>
      <w:r>
        <w:rPr>
          <w:rFonts w:asciiTheme="majorHAnsi" w:hAnsiTheme="majorHAnsi"/>
          <w:sz w:val="20"/>
          <w:szCs w:val="20"/>
          <w:lang w:val="es-ES"/>
        </w:rPr>
        <w:t xml:space="preserve"> a sus líderes,</w:t>
      </w:r>
      <w:r w:rsidRPr="00470F60">
        <w:rPr>
          <w:rFonts w:asciiTheme="majorHAnsi" w:hAnsiTheme="majorHAnsi"/>
          <w:sz w:val="20"/>
          <w:szCs w:val="20"/>
          <w:lang w:val="es-ES"/>
        </w:rPr>
        <w:t xml:space="preserve"> aunque </w:t>
      </w:r>
      <w:r>
        <w:rPr>
          <w:rFonts w:asciiTheme="majorHAnsi" w:hAnsiTheme="majorHAnsi"/>
          <w:sz w:val="20"/>
          <w:szCs w:val="20"/>
          <w:lang w:val="es-ES"/>
        </w:rPr>
        <w:t xml:space="preserve">posteriormente </w:t>
      </w:r>
      <w:r w:rsidRPr="00470F60">
        <w:rPr>
          <w:rFonts w:asciiTheme="majorHAnsi" w:hAnsiTheme="majorHAnsi"/>
          <w:sz w:val="20"/>
          <w:szCs w:val="20"/>
          <w:lang w:val="es-ES"/>
        </w:rPr>
        <w:t>un juez ordenó su liberación. A raíz de ello,</w:t>
      </w:r>
      <w:r>
        <w:rPr>
          <w:rFonts w:asciiTheme="majorHAnsi" w:hAnsiTheme="majorHAnsi"/>
          <w:sz w:val="20"/>
          <w:szCs w:val="20"/>
          <w:lang w:val="es-ES"/>
        </w:rPr>
        <w:t xml:space="preserve"> indica que</w:t>
      </w:r>
      <w:r w:rsidRPr="00470F60">
        <w:rPr>
          <w:rFonts w:asciiTheme="majorHAnsi" w:hAnsiTheme="majorHAnsi"/>
          <w:sz w:val="20"/>
          <w:szCs w:val="20"/>
          <w:lang w:val="es-ES"/>
        </w:rPr>
        <w:t xml:space="preserve"> </w:t>
      </w:r>
      <w:r>
        <w:rPr>
          <w:rFonts w:asciiTheme="majorHAnsi" w:hAnsiTheme="majorHAnsi"/>
          <w:sz w:val="20"/>
          <w:szCs w:val="20"/>
          <w:lang w:val="es-ES"/>
        </w:rPr>
        <w:t>la comunidad huyó</w:t>
      </w:r>
      <w:r w:rsidRPr="00470F60">
        <w:rPr>
          <w:rFonts w:asciiTheme="majorHAnsi" w:hAnsiTheme="majorHAnsi"/>
          <w:sz w:val="20"/>
          <w:szCs w:val="20"/>
          <w:lang w:val="es-ES"/>
        </w:rPr>
        <w:t xml:space="preserve"> a las montañas, donde en noviembre de 1981 fueron atacadas por militares y </w:t>
      </w:r>
      <w:r>
        <w:rPr>
          <w:rFonts w:asciiTheme="majorHAnsi" w:hAnsiTheme="majorHAnsi"/>
          <w:sz w:val="20"/>
          <w:szCs w:val="20"/>
          <w:lang w:val="es-ES"/>
        </w:rPr>
        <w:t xml:space="preserve">otros </w:t>
      </w:r>
      <w:r w:rsidRPr="00470F60">
        <w:rPr>
          <w:rFonts w:asciiTheme="majorHAnsi" w:hAnsiTheme="majorHAnsi"/>
          <w:sz w:val="20"/>
          <w:szCs w:val="20"/>
          <w:lang w:val="es-ES"/>
        </w:rPr>
        <w:t>trabajadores de fincas, quienes las bombardearon, dispararon y</w:t>
      </w:r>
      <w:r w:rsidR="00A91AFF">
        <w:rPr>
          <w:rFonts w:asciiTheme="majorHAnsi" w:hAnsiTheme="majorHAnsi"/>
          <w:sz w:val="20"/>
          <w:szCs w:val="20"/>
          <w:lang w:val="es-ES"/>
        </w:rPr>
        <w:t xml:space="preserve"> les</w:t>
      </w:r>
      <w:r w:rsidRPr="00470F60">
        <w:rPr>
          <w:rFonts w:asciiTheme="majorHAnsi" w:hAnsiTheme="majorHAnsi"/>
          <w:sz w:val="20"/>
          <w:szCs w:val="20"/>
          <w:lang w:val="es-ES"/>
        </w:rPr>
        <w:t xml:space="preserve"> quemaron más de 100 viviendas. Denuncia torturas a personas capturadas, incluid</w:t>
      </w:r>
      <w:r w:rsidR="00E54BDF">
        <w:rPr>
          <w:rFonts w:asciiTheme="majorHAnsi" w:hAnsiTheme="majorHAnsi"/>
          <w:sz w:val="20"/>
          <w:szCs w:val="20"/>
          <w:lang w:val="es-ES"/>
        </w:rPr>
        <w:t>a</w:t>
      </w:r>
      <w:r w:rsidRPr="00470F60">
        <w:rPr>
          <w:rFonts w:asciiTheme="majorHAnsi" w:hAnsiTheme="majorHAnsi"/>
          <w:sz w:val="20"/>
          <w:szCs w:val="20"/>
          <w:lang w:val="es-ES"/>
        </w:rPr>
        <w:t>s mujeres, niños y adultos mayores</w:t>
      </w:r>
      <w:r w:rsidR="00F54A63">
        <w:rPr>
          <w:rFonts w:asciiTheme="majorHAnsi" w:hAnsiTheme="majorHAnsi"/>
          <w:sz w:val="20"/>
          <w:szCs w:val="20"/>
          <w:lang w:val="es-ES"/>
        </w:rPr>
        <w:t xml:space="preserve">; </w:t>
      </w:r>
      <w:r w:rsidR="00E54BDF">
        <w:rPr>
          <w:rFonts w:asciiTheme="majorHAnsi" w:hAnsiTheme="majorHAnsi"/>
          <w:sz w:val="20"/>
          <w:szCs w:val="20"/>
          <w:lang w:val="es-ES"/>
        </w:rPr>
        <w:t xml:space="preserve">y aclara que </w:t>
      </w:r>
      <w:r>
        <w:rPr>
          <w:rFonts w:asciiTheme="majorHAnsi" w:hAnsiTheme="majorHAnsi"/>
          <w:sz w:val="20"/>
          <w:szCs w:val="20"/>
          <w:lang w:val="es-ES"/>
        </w:rPr>
        <w:t>l</w:t>
      </w:r>
      <w:r w:rsidRPr="00470F60">
        <w:rPr>
          <w:rFonts w:asciiTheme="majorHAnsi" w:hAnsiTheme="majorHAnsi"/>
          <w:sz w:val="20"/>
          <w:szCs w:val="20"/>
          <w:lang w:val="es-ES"/>
        </w:rPr>
        <w:t xml:space="preserve">a persecución </w:t>
      </w:r>
      <w:r w:rsidR="00F54A63">
        <w:rPr>
          <w:rFonts w:asciiTheme="majorHAnsi" w:hAnsiTheme="majorHAnsi"/>
          <w:sz w:val="20"/>
          <w:szCs w:val="20"/>
          <w:lang w:val="es-ES"/>
        </w:rPr>
        <w:t>habría continuado</w:t>
      </w:r>
      <w:r w:rsidRPr="00470F60">
        <w:rPr>
          <w:rFonts w:asciiTheme="majorHAnsi" w:hAnsiTheme="majorHAnsi"/>
          <w:sz w:val="20"/>
          <w:szCs w:val="20"/>
          <w:lang w:val="es-ES"/>
        </w:rPr>
        <w:t xml:space="preserve"> hasta marzo de 1982, cuando el </w:t>
      </w:r>
      <w:r w:rsidR="00E54BDF">
        <w:rPr>
          <w:rFonts w:asciiTheme="majorHAnsi" w:hAnsiTheme="majorHAnsi"/>
          <w:sz w:val="20"/>
          <w:szCs w:val="20"/>
          <w:lang w:val="es-ES"/>
        </w:rPr>
        <w:t>E</w:t>
      </w:r>
      <w:r w:rsidRPr="00470F60">
        <w:rPr>
          <w:rFonts w:asciiTheme="majorHAnsi" w:hAnsiTheme="majorHAnsi"/>
          <w:sz w:val="20"/>
          <w:szCs w:val="20"/>
          <w:lang w:val="es-ES"/>
        </w:rPr>
        <w:t>jército acordó cesar los ataques.</w:t>
      </w:r>
    </w:p>
    <w:p w14:paraId="5E89E48E" w14:textId="3CF38DBA" w:rsidR="00D8181D" w:rsidRPr="00470F60" w:rsidRDefault="00470F60"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470F60">
        <w:rPr>
          <w:rFonts w:asciiTheme="majorHAnsi" w:hAnsiTheme="majorHAnsi"/>
          <w:sz w:val="20"/>
          <w:szCs w:val="20"/>
          <w:lang w:val="es-ES"/>
        </w:rPr>
        <w:t>Posteriormente</w:t>
      </w:r>
      <w:r>
        <w:rPr>
          <w:rFonts w:asciiTheme="majorHAnsi" w:hAnsiTheme="majorHAnsi"/>
          <w:sz w:val="20"/>
          <w:szCs w:val="20"/>
          <w:lang w:val="es-ES"/>
        </w:rPr>
        <w:t xml:space="preserve">, </w:t>
      </w:r>
      <w:r w:rsidR="00AE57D2" w:rsidRPr="00470F60">
        <w:rPr>
          <w:rFonts w:asciiTheme="majorHAnsi" w:hAnsiTheme="majorHAnsi"/>
          <w:sz w:val="20"/>
          <w:szCs w:val="20"/>
          <w:lang w:val="es-ES"/>
        </w:rPr>
        <w:t>en abril de 1982</w:t>
      </w:r>
      <w:r w:rsidR="00372B2A">
        <w:rPr>
          <w:rFonts w:asciiTheme="majorHAnsi" w:hAnsiTheme="majorHAnsi"/>
          <w:sz w:val="20"/>
          <w:szCs w:val="20"/>
          <w:lang w:val="es-ES"/>
        </w:rPr>
        <w:t>,</w:t>
      </w:r>
      <w:r w:rsidRPr="00470F60">
        <w:rPr>
          <w:rFonts w:asciiTheme="majorHAnsi" w:hAnsiTheme="majorHAnsi"/>
          <w:sz w:val="20"/>
          <w:szCs w:val="20"/>
          <w:lang w:val="es-ES"/>
        </w:rPr>
        <w:t xml:space="preserve"> </w:t>
      </w:r>
      <w:r>
        <w:rPr>
          <w:rFonts w:asciiTheme="majorHAnsi" w:hAnsiTheme="majorHAnsi"/>
          <w:sz w:val="20"/>
          <w:szCs w:val="20"/>
          <w:lang w:val="es-ES"/>
        </w:rPr>
        <w:t xml:space="preserve">los soldados </w:t>
      </w:r>
      <w:r w:rsidRPr="00470F60">
        <w:rPr>
          <w:rFonts w:asciiTheme="majorHAnsi" w:hAnsiTheme="majorHAnsi"/>
          <w:sz w:val="20"/>
          <w:szCs w:val="20"/>
          <w:lang w:val="es-ES"/>
        </w:rPr>
        <w:t>trasladaron a</w:t>
      </w:r>
      <w:r>
        <w:rPr>
          <w:rFonts w:asciiTheme="majorHAnsi" w:hAnsiTheme="majorHAnsi"/>
          <w:sz w:val="20"/>
          <w:szCs w:val="20"/>
          <w:lang w:val="es-ES"/>
        </w:rPr>
        <w:t xml:space="preserve"> las presuntas víctimas </w:t>
      </w:r>
      <w:r w:rsidRPr="00470F60">
        <w:rPr>
          <w:rFonts w:asciiTheme="majorHAnsi" w:hAnsiTheme="majorHAnsi"/>
          <w:sz w:val="20"/>
          <w:szCs w:val="20"/>
          <w:lang w:val="es-ES"/>
        </w:rPr>
        <w:t xml:space="preserve">a la comunidad Las Muñecas, donde aún residen. </w:t>
      </w:r>
      <w:r w:rsidR="00D858F1">
        <w:rPr>
          <w:rFonts w:asciiTheme="majorHAnsi" w:hAnsiTheme="majorHAnsi"/>
          <w:sz w:val="20"/>
          <w:szCs w:val="20"/>
          <w:lang w:val="es-ES"/>
        </w:rPr>
        <w:t>E</w:t>
      </w:r>
      <w:r w:rsidRPr="00470F60">
        <w:rPr>
          <w:rFonts w:asciiTheme="majorHAnsi" w:hAnsiTheme="majorHAnsi"/>
          <w:sz w:val="20"/>
          <w:szCs w:val="20"/>
          <w:lang w:val="es-ES"/>
        </w:rPr>
        <w:t xml:space="preserve">n 1983 los soldados obligaron a todos los hombres mayores de </w:t>
      </w:r>
      <w:r>
        <w:rPr>
          <w:rFonts w:asciiTheme="majorHAnsi" w:hAnsiTheme="majorHAnsi"/>
          <w:sz w:val="20"/>
          <w:szCs w:val="20"/>
          <w:lang w:val="es-ES"/>
        </w:rPr>
        <w:t>13</w:t>
      </w:r>
      <w:r w:rsidRPr="00470F60">
        <w:rPr>
          <w:rFonts w:asciiTheme="majorHAnsi" w:hAnsiTheme="majorHAnsi"/>
          <w:sz w:val="20"/>
          <w:szCs w:val="20"/>
          <w:lang w:val="es-ES"/>
        </w:rPr>
        <w:t xml:space="preserve"> años a patrullar bajo amenazas. Esta situación se mantuvo hasta la firma de los Acuerdos de Paz en 1996.</w:t>
      </w:r>
      <w:r>
        <w:rPr>
          <w:rFonts w:asciiTheme="majorHAnsi" w:hAnsiTheme="majorHAnsi"/>
          <w:sz w:val="20"/>
          <w:szCs w:val="20"/>
          <w:lang w:val="es-ES"/>
        </w:rPr>
        <w:t xml:space="preserve"> </w:t>
      </w:r>
      <w:r w:rsidR="008C4A25">
        <w:rPr>
          <w:rFonts w:asciiTheme="majorHAnsi" w:hAnsiTheme="majorHAnsi"/>
          <w:sz w:val="20"/>
          <w:szCs w:val="20"/>
          <w:lang w:val="es-ES"/>
        </w:rPr>
        <w:t>Los peticionarios r</w:t>
      </w:r>
      <w:r>
        <w:rPr>
          <w:rFonts w:asciiTheme="majorHAnsi" w:hAnsiTheme="majorHAnsi"/>
          <w:sz w:val="20"/>
          <w:szCs w:val="20"/>
          <w:lang w:val="es-ES"/>
        </w:rPr>
        <w:t>efiere</w:t>
      </w:r>
      <w:r w:rsidR="008C4A25">
        <w:rPr>
          <w:rFonts w:asciiTheme="majorHAnsi" w:hAnsiTheme="majorHAnsi"/>
          <w:sz w:val="20"/>
          <w:szCs w:val="20"/>
          <w:lang w:val="es-ES"/>
        </w:rPr>
        <w:t>n</w:t>
      </w:r>
      <w:r>
        <w:rPr>
          <w:rFonts w:asciiTheme="majorHAnsi" w:hAnsiTheme="majorHAnsi"/>
          <w:sz w:val="20"/>
          <w:szCs w:val="20"/>
          <w:lang w:val="es-ES"/>
        </w:rPr>
        <w:t xml:space="preserve"> que</w:t>
      </w:r>
      <w:r w:rsidR="00372B2A">
        <w:rPr>
          <w:rFonts w:asciiTheme="majorHAnsi" w:hAnsiTheme="majorHAnsi"/>
          <w:sz w:val="20"/>
          <w:szCs w:val="20"/>
          <w:lang w:val="es-ES"/>
        </w:rPr>
        <w:t>,</w:t>
      </w:r>
      <w:r>
        <w:rPr>
          <w:rFonts w:asciiTheme="majorHAnsi" w:hAnsiTheme="majorHAnsi"/>
          <w:sz w:val="20"/>
          <w:szCs w:val="20"/>
          <w:lang w:val="es-ES"/>
        </w:rPr>
        <w:t xml:space="preserve"> c</w:t>
      </w:r>
      <w:r w:rsidRPr="00470F60">
        <w:rPr>
          <w:rFonts w:asciiTheme="majorHAnsi" w:hAnsiTheme="majorHAnsi"/>
          <w:sz w:val="20"/>
          <w:szCs w:val="20"/>
          <w:lang w:val="es-ES"/>
        </w:rPr>
        <w:t>omo resultado del desplazamiento y la violencia</w:t>
      </w:r>
      <w:r w:rsidR="00372B2A">
        <w:rPr>
          <w:rFonts w:asciiTheme="majorHAnsi" w:hAnsiTheme="majorHAnsi"/>
          <w:sz w:val="20"/>
          <w:szCs w:val="20"/>
          <w:lang w:val="es-ES"/>
        </w:rPr>
        <w:t>,</w:t>
      </w:r>
      <w:r w:rsidRPr="00470F60">
        <w:rPr>
          <w:rFonts w:asciiTheme="majorHAnsi" w:hAnsiTheme="majorHAnsi"/>
          <w:sz w:val="20"/>
          <w:szCs w:val="20"/>
          <w:lang w:val="es-ES"/>
        </w:rPr>
        <w:t xml:space="preserve"> </w:t>
      </w:r>
      <w:r w:rsidR="00A348E0" w:rsidRPr="008165A7">
        <w:rPr>
          <w:rFonts w:asciiTheme="majorHAnsi" w:hAnsiTheme="majorHAnsi"/>
          <w:sz w:val="20"/>
          <w:szCs w:val="20"/>
          <w:lang w:val="es-ES"/>
        </w:rPr>
        <w:t>las presuntas víctimas padecieron diarrea, paludismo, sarampión y gripe, enfermedades que se propagaron por la presencia de zancudos y las condiciones de insalubridad</w:t>
      </w:r>
      <w:r w:rsidR="00372B2A">
        <w:rPr>
          <w:rFonts w:asciiTheme="majorHAnsi" w:hAnsiTheme="majorHAnsi"/>
          <w:sz w:val="20"/>
          <w:szCs w:val="20"/>
          <w:lang w:val="es-ES"/>
        </w:rPr>
        <w:t>;</w:t>
      </w:r>
      <w:r w:rsidR="00A348E0">
        <w:rPr>
          <w:rFonts w:asciiTheme="majorHAnsi" w:hAnsiTheme="majorHAnsi"/>
          <w:sz w:val="20"/>
          <w:szCs w:val="20"/>
          <w:lang w:val="es-ES"/>
        </w:rPr>
        <w:t xml:space="preserve"> y resultaron en la muerte de</w:t>
      </w:r>
      <w:r w:rsidR="00A348E0" w:rsidRPr="008165A7">
        <w:rPr>
          <w:rFonts w:asciiTheme="majorHAnsi" w:hAnsiTheme="majorHAnsi"/>
          <w:sz w:val="20"/>
          <w:szCs w:val="20"/>
          <w:lang w:val="es-ES"/>
        </w:rPr>
        <w:t xml:space="preserve"> </w:t>
      </w:r>
      <w:r w:rsidR="00A348E0">
        <w:rPr>
          <w:rFonts w:asciiTheme="majorHAnsi" w:hAnsiTheme="majorHAnsi"/>
          <w:sz w:val="20"/>
          <w:szCs w:val="20"/>
          <w:lang w:val="es-ES"/>
        </w:rPr>
        <w:t>alrededor</w:t>
      </w:r>
      <w:r w:rsidRPr="00470F60">
        <w:rPr>
          <w:rFonts w:asciiTheme="majorHAnsi" w:hAnsiTheme="majorHAnsi"/>
          <w:sz w:val="20"/>
          <w:szCs w:val="20"/>
          <w:lang w:val="es-ES"/>
        </w:rPr>
        <w:t xml:space="preserve"> 36 personas y </w:t>
      </w:r>
      <w:r w:rsidR="002A2371">
        <w:rPr>
          <w:rFonts w:asciiTheme="majorHAnsi" w:hAnsiTheme="majorHAnsi"/>
          <w:sz w:val="20"/>
          <w:szCs w:val="20"/>
          <w:lang w:val="es-ES"/>
        </w:rPr>
        <w:t xml:space="preserve">en la violencia sexual contra </w:t>
      </w:r>
      <w:r w:rsidRPr="00470F60">
        <w:rPr>
          <w:rFonts w:asciiTheme="majorHAnsi" w:hAnsiTheme="majorHAnsi"/>
          <w:sz w:val="20"/>
          <w:szCs w:val="20"/>
          <w:lang w:val="es-ES"/>
        </w:rPr>
        <w:t>varias mujeres.</w:t>
      </w:r>
      <w:r>
        <w:rPr>
          <w:rFonts w:asciiTheme="majorHAnsi" w:hAnsiTheme="majorHAnsi"/>
          <w:sz w:val="20"/>
          <w:szCs w:val="20"/>
          <w:lang w:val="es-ES"/>
        </w:rPr>
        <w:t xml:space="preserve"> </w:t>
      </w:r>
    </w:p>
    <w:p w14:paraId="32F9C025" w14:textId="6690E7EB" w:rsidR="006B612F" w:rsidRPr="00923987" w:rsidRDefault="00A348E0" w:rsidP="247987B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auto"/>
          <w:sz w:val="20"/>
          <w:szCs w:val="20"/>
        </w:rPr>
      </w:pPr>
      <w:r w:rsidRPr="247987B8">
        <w:rPr>
          <w:rFonts w:asciiTheme="majorHAnsi" w:hAnsiTheme="majorHAnsi"/>
          <w:color w:val="auto"/>
          <w:sz w:val="20"/>
          <w:szCs w:val="20"/>
        </w:rPr>
        <w:t xml:space="preserve">La parte peticionaria </w:t>
      </w:r>
      <w:r w:rsidR="00DD31A0" w:rsidRPr="247987B8">
        <w:rPr>
          <w:rFonts w:asciiTheme="majorHAnsi" w:hAnsiTheme="majorHAnsi"/>
          <w:color w:val="auto"/>
          <w:sz w:val="20"/>
          <w:szCs w:val="20"/>
        </w:rPr>
        <w:t>asegura</w:t>
      </w:r>
      <w:r w:rsidR="00962524" w:rsidRPr="247987B8">
        <w:rPr>
          <w:rFonts w:asciiTheme="majorHAnsi" w:hAnsiTheme="majorHAnsi"/>
          <w:color w:val="auto"/>
          <w:sz w:val="20"/>
          <w:szCs w:val="20"/>
        </w:rPr>
        <w:t xml:space="preserve"> que </w:t>
      </w:r>
      <w:r w:rsidR="008E113F" w:rsidRPr="247987B8">
        <w:rPr>
          <w:rFonts w:asciiTheme="majorHAnsi" w:hAnsiTheme="majorHAnsi"/>
          <w:color w:val="auto"/>
          <w:sz w:val="20"/>
          <w:szCs w:val="20"/>
        </w:rPr>
        <w:t>las presuntas víctimas viven en condiciones de pobreza persistente</w:t>
      </w:r>
      <w:r w:rsidR="00DD31A0" w:rsidRPr="247987B8">
        <w:rPr>
          <w:rFonts w:asciiTheme="majorHAnsi" w:hAnsiTheme="majorHAnsi"/>
          <w:color w:val="auto"/>
          <w:sz w:val="20"/>
          <w:szCs w:val="20"/>
        </w:rPr>
        <w:t>,</w:t>
      </w:r>
      <w:r w:rsidR="008E113F" w:rsidRPr="247987B8">
        <w:rPr>
          <w:rFonts w:asciiTheme="majorHAnsi" w:hAnsiTheme="majorHAnsi"/>
          <w:color w:val="auto"/>
          <w:sz w:val="20"/>
          <w:szCs w:val="20"/>
        </w:rPr>
        <w:t xml:space="preserve"> y </w:t>
      </w:r>
      <w:r w:rsidR="00DE4E5C" w:rsidRPr="247987B8">
        <w:rPr>
          <w:rFonts w:asciiTheme="majorHAnsi" w:hAnsiTheme="majorHAnsi"/>
          <w:color w:val="auto"/>
          <w:sz w:val="20"/>
          <w:szCs w:val="20"/>
        </w:rPr>
        <w:t xml:space="preserve">que </w:t>
      </w:r>
      <w:r w:rsidR="008E113F" w:rsidRPr="247987B8">
        <w:rPr>
          <w:rFonts w:asciiTheme="majorHAnsi" w:hAnsiTheme="majorHAnsi"/>
          <w:color w:val="auto"/>
          <w:sz w:val="20"/>
          <w:szCs w:val="20"/>
        </w:rPr>
        <w:t>en</w:t>
      </w:r>
      <w:r w:rsidR="00962524" w:rsidRPr="247987B8">
        <w:rPr>
          <w:rFonts w:asciiTheme="majorHAnsi" w:hAnsiTheme="majorHAnsi"/>
          <w:color w:val="auto"/>
          <w:sz w:val="20"/>
          <w:szCs w:val="20"/>
        </w:rPr>
        <w:t xml:space="preserve"> 2005 la organización FOGUAVI</w:t>
      </w:r>
      <w:r w:rsidRPr="247987B8">
        <w:rPr>
          <w:rFonts w:asciiTheme="majorHAnsi" w:hAnsiTheme="majorHAnsi"/>
          <w:color w:val="auto"/>
          <w:sz w:val="20"/>
          <w:szCs w:val="20"/>
        </w:rPr>
        <w:t xml:space="preserve"> y DECOPAZ</w:t>
      </w:r>
      <w:r w:rsidR="00962524" w:rsidRPr="247987B8">
        <w:rPr>
          <w:rFonts w:asciiTheme="majorHAnsi" w:hAnsiTheme="majorHAnsi"/>
          <w:color w:val="auto"/>
          <w:sz w:val="20"/>
          <w:szCs w:val="20"/>
        </w:rPr>
        <w:t xml:space="preserve"> </w:t>
      </w:r>
      <w:r w:rsidRPr="247987B8">
        <w:rPr>
          <w:rFonts w:asciiTheme="majorHAnsi" w:hAnsiTheme="majorHAnsi"/>
          <w:color w:val="auto"/>
          <w:sz w:val="20"/>
          <w:szCs w:val="20"/>
        </w:rPr>
        <w:t>les ayudó a mejorar sus condiciones habitacionales</w:t>
      </w:r>
      <w:r w:rsidR="00D8181D" w:rsidRPr="247987B8">
        <w:rPr>
          <w:rFonts w:asciiTheme="majorHAnsi" w:hAnsiTheme="majorHAnsi"/>
          <w:color w:val="auto"/>
          <w:sz w:val="20"/>
          <w:szCs w:val="20"/>
        </w:rPr>
        <w:t xml:space="preserve">. </w:t>
      </w:r>
      <w:r w:rsidR="006B612F" w:rsidRPr="247987B8">
        <w:rPr>
          <w:rFonts w:asciiTheme="majorHAnsi" w:hAnsiTheme="majorHAnsi"/>
          <w:color w:val="auto"/>
          <w:sz w:val="20"/>
          <w:szCs w:val="20"/>
        </w:rPr>
        <w:t xml:space="preserve"> </w:t>
      </w:r>
      <w:r w:rsidR="00CF7214" w:rsidRPr="247987B8">
        <w:rPr>
          <w:rFonts w:asciiTheme="majorHAnsi" w:hAnsiTheme="majorHAnsi"/>
          <w:color w:val="auto"/>
          <w:sz w:val="20"/>
          <w:szCs w:val="20"/>
        </w:rPr>
        <w:t>Señala que varias personas fallecieron, y que la malaria y la desnutrición agravaron su estado de salud. Aun así</w:t>
      </w:r>
      <w:r w:rsidR="009169EC" w:rsidRPr="247987B8">
        <w:rPr>
          <w:rFonts w:asciiTheme="majorHAnsi" w:hAnsiTheme="majorHAnsi"/>
          <w:color w:val="auto"/>
          <w:sz w:val="20"/>
          <w:szCs w:val="20"/>
        </w:rPr>
        <w:t>,</w:t>
      </w:r>
      <w:r w:rsidR="00CF7214" w:rsidRPr="247987B8">
        <w:rPr>
          <w:rFonts w:asciiTheme="majorHAnsi" w:hAnsiTheme="majorHAnsi"/>
          <w:color w:val="auto"/>
          <w:sz w:val="20"/>
          <w:szCs w:val="20"/>
        </w:rPr>
        <w:t xml:space="preserve"> </w:t>
      </w:r>
      <w:r w:rsidR="00D8181D" w:rsidRPr="247987B8">
        <w:rPr>
          <w:rFonts w:asciiTheme="majorHAnsi" w:hAnsiTheme="majorHAnsi"/>
          <w:color w:val="auto"/>
          <w:sz w:val="20"/>
          <w:szCs w:val="20"/>
        </w:rPr>
        <w:t>las presuntas víctimas no cuentan con servicios de salud</w:t>
      </w:r>
      <w:r w:rsidR="009169EC" w:rsidRPr="247987B8">
        <w:rPr>
          <w:rFonts w:asciiTheme="majorHAnsi" w:hAnsiTheme="majorHAnsi"/>
          <w:color w:val="auto"/>
          <w:sz w:val="20"/>
          <w:szCs w:val="20"/>
        </w:rPr>
        <w:t>. Y agrega</w:t>
      </w:r>
      <w:r w:rsidR="00D8181D" w:rsidRPr="247987B8">
        <w:rPr>
          <w:rFonts w:asciiTheme="majorHAnsi" w:hAnsiTheme="majorHAnsi"/>
          <w:color w:val="auto"/>
          <w:sz w:val="20"/>
          <w:szCs w:val="20"/>
        </w:rPr>
        <w:t xml:space="preserve"> que inicialmente no disponían de comadronas, lo que provocó la muerte de </w:t>
      </w:r>
      <w:r w:rsidR="009169EC" w:rsidRPr="247987B8">
        <w:rPr>
          <w:rFonts w:asciiTheme="majorHAnsi" w:hAnsiTheme="majorHAnsi"/>
          <w:color w:val="auto"/>
          <w:sz w:val="20"/>
          <w:szCs w:val="20"/>
        </w:rPr>
        <w:t xml:space="preserve">varios </w:t>
      </w:r>
      <w:r w:rsidR="00D8181D" w:rsidRPr="247987B8">
        <w:rPr>
          <w:rFonts w:asciiTheme="majorHAnsi" w:hAnsiTheme="majorHAnsi"/>
          <w:color w:val="auto"/>
          <w:sz w:val="20"/>
          <w:szCs w:val="20"/>
        </w:rPr>
        <w:t xml:space="preserve">niños. </w:t>
      </w:r>
      <w:r w:rsidR="001275DD" w:rsidRPr="247987B8">
        <w:rPr>
          <w:rFonts w:asciiTheme="majorHAnsi" w:hAnsiTheme="majorHAnsi"/>
          <w:color w:val="auto"/>
          <w:sz w:val="20"/>
          <w:szCs w:val="20"/>
        </w:rPr>
        <w:t>A</w:t>
      </w:r>
      <w:r w:rsidR="00D8181D" w:rsidRPr="247987B8">
        <w:rPr>
          <w:rFonts w:asciiTheme="majorHAnsi" w:hAnsiTheme="majorHAnsi"/>
          <w:color w:val="auto"/>
          <w:sz w:val="20"/>
          <w:szCs w:val="20"/>
        </w:rPr>
        <w:t xml:space="preserve">ctualmente deben trasladarse a otras comunidades para recibir atención médica, lo cual implica altos costos para las familias. </w:t>
      </w:r>
      <w:r w:rsidR="002B0CF9" w:rsidRPr="247987B8">
        <w:rPr>
          <w:rFonts w:asciiTheme="majorHAnsi" w:hAnsiTheme="majorHAnsi"/>
          <w:color w:val="auto"/>
          <w:sz w:val="20"/>
          <w:szCs w:val="20"/>
        </w:rPr>
        <w:t>E</w:t>
      </w:r>
      <w:r w:rsidR="00D8181D" w:rsidRPr="247987B8">
        <w:rPr>
          <w:rFonts w:asciiTheme="majorHAnsi" w:hAnsiTheme="majorHAnsi"/>
          <w:color w:val="auto"/>
          <w:sz w:val="20"/>
          <w:szCs w:val="20"/>
        </w:rPr>
        <w:t>l Ministerio de Educación construyó la escuela en 2004, pero esta solo llega hasta sexto grado</w:t>
      </w:r>
      <w:r w:rsidR="002B0CF9" w:rsidRPr="247987B8">
        <w:rPr>
          <w:rFonts w:asciiTheme="majorHAnsi" w:hAnsiTheme="majorHAnsi"/>
          <w:color w:val="auto"/>
          <w:sz w:val="20"/>
          <w:szCs w:val="20"/>
        </w:rPr>
        <w:t>;</w:t>
      </w:r>
      <w:r w:rsidR="00D8181D" w:rsidRPr="247987B8">
        <w:rPr>
          <w:rFonts w:asciiTheme="majorHAnsi" w:hAnsiTheme="majorHAnsi"/>
          <w:color w:val="auto"/>
          <w:sz w:val="20"/>
          <w:szCs w:val="20"/>
        </w:rPr>
        <w:t xml:space="preserve"> cuenta con </w:t>
      </w:r>
      <w:r w:rsidR="00612B1B" w:rsidRPr="247987B8">
        <w:rPr>
          <w:rFonts w:asciiTheme="majorHAnsi" w:hAnsiTheme="majorHAnsi"/>
          <w:color w:val="auto"/>
          <w:sz w:val="20"/>
          <w:szCs w:val="20"/>
        </w:rPr>
        <w:t>4</w:t>
      </w:r>
      <w:r w:rsidR="00D8181D" w:rsidRPr="247987B8">
        <w:rPr>
          <w:rFonts w:asciiTheme="majorHAnsi" w:hAnsiTheme="majorHAnsi"/>
          <w:color w:val="auto"/>
          <w:sz w:val="20"/>
          <w:szCs w:val="20"/>
        </w:rPr>
        <w:t xml:space="preserve"> docentes para 219 </w:t>
      </w:r>
      <w:r w:rsidR="00E555E6" w:rsidRPr="247987B8">
        <w:rPr>
          <w:rFonts w:asciiTheme="majorHAnsi" w:hAnsiTheme="majorHAnsi"/>
          <w:color w:val="auto"/>
          <w:sz w:val="20"/>
          <w:szCs w:val="20"/>
        </w:rPr>
        <w:t>alumnos</w:t>
      </w:r>
      <w:r w:rsidR="00D8181D" w:rsidRPr="247987B8">
        <w:rPr>
          <w:rFonts w:asciiTheme="majorHAnsi" w:hAnsiTheme="majorHAnsi"/>
          <w:color w:val="auto"/>
          <w:sz w:val="20"/>
          <w:szCs w:val="20"/>
        </w:rPr>
        <w:t xml:space="preserve"> y carece de espacio suficiente. </w:t>
      </w:r>
      <w:r w:rsidR="00E555E6" w:rsidRPr="247987B8">
        <w:rPr>
          <w:rFonts w:asciiTheme="majorHAnsi" w:hAnsiTheme="majorHAnsi"/>
          <w:color w:val="auto"/>
          <w:sz w:val="20"/>
          <w:szCs w:val="20"/>
        </w:rPr>
        <w:t>P</w:t>
      </w:r>
      <w:r w:rsidR="00D8181D" w:rsidRPr="247987B8">
        <w:rPr>
          <w:rFonts w:asciiTheme="majorHAnsi" w:hAnsiTheme="majorHAnsi"/>
          <w:color w:val="auto"/>
          <w:sz w:val="20"/>
          <w:szCs w:val="20"/>
        </w:rPr>
        <w:t xml:space="preserve">ara acceder a la educación secundaria los estudiantes deben salir de la comunidad, generando gastos adicionales para las familias. Asimismo, </w:t>
      </w:r>
      <w:r w:rsidR="005B3AB2" w:rsidRPr="247987B8">
        <w:rPr>
          <w:rFonts w:asciiTheme="majorHAnsi" w:hAnsiTheme="majorHAnsi"/>
          <w:color w:val="auto"/>
          <w:sz w:val="20"/>
          <w:szCs w:val="20"/>
        </w:rPr>
        <w:t xml:space="preserve">la comunidad </w:t>
      </w:r>
      <w:r w:rsidR="001710A1" w:rsidRPr="247987B8">
        <w:rPr>
          <w:rFonts w:asciiTheme="majorHAnsi" w:hAnsiTheme="majorHAnsi"/>
          <w:color w:val="auto"/>
          <w:sz w:val="20"/>
          <w:szCs w:val="20"/>
        </w:rPr>
        <w:t xml:space="preserve">padece </w:t>
      </w:r>
      <w:r w:rsidR="00D8181D" w:rsidRPr="247987B8">
        <w:rPr>
          <w:rFonts w:asciiTheme="majorHAnsi" w:hAnsiTheme="majorHAnsi"/>
          <w:color w:val="auto"/>
          <w:sz w:val="20"/>
          <w:szCs w:val="20"/>
        </w:rPr>
        <w:t xml:space="preserve">la ausencia de servicios básicos </w:t>
      </w:r>
      <w:r w:rsidR="00730C53" w:rsidRPr="247987B8">
        <w:rPr>
          <w:rFonts w:asciiTheme="majorHAnsi" w:hAnsiTheme="majorHAnsi"/>
          <w:color w:val="auto"/>
          <w:sz w:val="20"/>
          <w:szCs w:val="20"/>
        </w:rPr>
        <w:t xml:space="preserve">e integrales </w:t>
      </w:r>
      <w:r w:rsidR="00D8181D" w:rsidRPr="247987B8">
        <w:rPr>
          <w:rFonts w:asciiTheme="majorHAnsi" w:hAnsiTheme="majorHAnsi"/>
          <w:color w:val="auto"/>
          <w:sz w:val="20"/>
          <w:szCs w:val="20"/>
        </w:rPr>
        <w:t>como electricidad y drenaje.</w:t>
      </w:r>
    </w:p>
    <w:p w14:paraId="30CA0C75" w14:textId="3FB3022D" w:rsidR="009213DA" w:rsidRPr="008165A7" w:rsidRDefault="001710A1" w:rsidP="0077688C">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auto"/>
          <w:sz w:val="20"/>
          <w:szCs w:val="20"/>
          <w:lang w:val="es-ES"/>
        </w:rPr>
      </w:pPr>
      <w:r>
        <w:rPr>
          <w:rFonts w:asciiTheme="majorHAnsi" w:hAnsiTheme="majorHAnsi"/>
          <w:color w:val="auto"/>
          <w:sz w:val="20"/>
          <w:szCs w:val="20"/>
          <w:lang w:val="es-ES"/>
        </w:rPr>
        <w:t>La parte peticionaria a</w:t>
      </w:r>
      <w:r w:rsidR="00730C53" w:rsidRPr="008165A7">
        <w:rPr>
          <w:rFonts w:asciiTheme="majorHAnsi" w:hAnsiTheme="majorHAnsi"/>
          <w:color w:val="auto"/>
          <w:sz w:val="20"/>
          <w:szCs w:val="20"/>
          <w:lang w:val="es-ES"/>
        </w:rPr>
        <w:t>lega</w:t>
      </w:r>
      <w:r w:rsidR="006B612F" w:rsidRPr="008165A7">
        <w:rPr>
          <w:rFonts w:asciiTheme="majorHAnsi" w:hAnsiTheme="majorHAnsi"/>
          <w:color w:val="auto"/>
          <w:sz w:val="20"/>
          <w:szCs w:val="20"/>
          <w:lang w:val="es-ES"/>
        </w:rPr>
        <w:t xml:space="preserve"> que</w:t>
      </w:r>
      <w:r w:rsidR="005B3AB2">
        <w:rPr>
          <w:rFonts w:asciiTheme="majorHAnsi" w:hAnsiTheme="majorHAnsi"/>
          <w:color w:val="auto"/>
          <w:sz w:val="20"/>
          <w:szCs w:val="20"/>
          <w:lang w:val="es-ES"/>
        </w:rPr>
        <w:t>,</w:t>
      </w:r>
      <w:r w:rsidR="006B612F" w:rsidRPr="008165A7">
        <w:rPr>
          <w:rFonts w:asciiTheme="majorHAnsi" w:hAnsiTheme="majorHAnsi"/>
          <w:color w:val="auto"/>
          <w:sz w:val="20"/>
          <w:szCs w:val="20"/>
          <w:lang w:val="es-ES"/>
        </w:rPr>
        <w:t xml:space="preserve"> pese a sus condiciones</w:t>
      </w:r>
      <w:r w:rsidR="005B3AB2">
        <w:rPr>
          <w:rFonts w:asciiTheme="majorHAnsi" w:hAnsiTheme="majorHAnsi"/>
          <w:color w:val="auto"/>
          <w:sz w:val="20"/>
          <w:szCs w:val="20"/>
          <w:lang w:val="es-ES"/>
        </w:rPr>
        <w:t>,</w:t>
      </w:r>
      <w:r w:rsidR="006B612F" w:rsidRPr="008165A7">
        <w:rPr>
          <w:rFonts w:asciiTheme="majorHAnsi" w:hAnsiTheme="majorHAnsi"/>
          <w:color w:val="auto"/>
          <w:sz w:val="20"/>
          <w:szCs w:val="20"/>
          <w:lang w:val="es-ES"/>
        </w:rPr>
        <w:t xml:space="preserve"> el Estado no les ha brindado asistencia económica ni técnica</w:t>
      </w:r>
      <w:r w:rsidR="00730C53" w:rsidRPr="008165A7">
        <w:rPr>
          <w:rFonts w:asciiTheme="majorHAnsi" w:hAnsiTheme="majorHAnsi"/>
          <w:color w:val="auto"/>
          <w:sz w:val="20"/>
          <w:szCs w:val="20"/>
          <w:lang w:val="es-ES"/>
        </w:rPr>
        <w:t>. Explica que</w:t>
      </w:r>
      <w:r w:rsidR="00D91366">
        <w:rPr>
          <w:rFonts w:asciiTheme="majorHAnsi" w:hAnsiTheme="majorHAnsi"/>
          <w:color w:val="auto"/>
          <w:sz w:val="20"/>
          <w:szCs w:val="20"/>
          <w:lang w:val="es-ES"/>
        </w:rPr>
        <w:t>,</w:t>
      </w:r>
      <w:r w:rsidR="00730C53" w:rsidRPr="008165A7">
        <w:rPr>
          <w:rFonts w:asciiTheme="majorHAnsi" w:hAnsiTheme="majorHAnsi"/>
          <w:color w:val="auto"/>
          <w:sz w:val="20"/>
          <w:szCs w:val="20"/>
          <w:lang w:val="es-ES"/>
        </w:rPr>
        <w:t xml:space="preserve"> </w:t>
      </w:r>
      <w:r w:rsidR="006B612F" w:rsidRPr="008165A7">
        <w:rPr>
          <w:rFonts w:asciiTheme="majorHAnsi" w:hAnsiTheme="majorHAnsi"/>
          <w:color w:val="auto"/>
          <w:sz w:val="20"/>
          <w:szCs w:val="20"/>
          <w:lang w:val="es-ES"/>
        </w:rPr>
        <w:t xml:space="preserve">para </w:t>
      </w:r>
      <w:r w:rsidR="00730C53" w:rsidRPr="008165A7">
        <w:rPr>
          <w:rFonts w:asciiTheme="majorHAnsi" w:hAnsiTheme="majorHAnsi"/>
          <w:color w:val="auto"/>
          <w:sz w:val="20"/>
          <w:szCs w:val="20"/>
          <w:lang w:val="es-ES"/>
        </w:rPr>
        <w:t>generar</w:t>
      </w:r>
      <w:r w:rsidR="006B612F" w:rsidRPr="008165A7">
        <w:rPr>
          <w:rFonts w:asciiTheme="majorHAnsi" w:hAnsiTheme="majorHAnsi"/>
          <w:color w:val="auto"/>
          <w:sz w:val="20"/>
          <w:szCs w:val="20"/>
          <w:lang w:val="es-ES"/>
        </w:rPr>
        <w:t xml:space="preserve"> ingresos</w:t>
      </w:r>
      <w:r w:rsidR="00D91366">
        <w:rPr>
          <w:rFonts w:asciiTheme="majorHAnsi" w:hAnsiTheme="majorHAnsi"/>
          <w:color w:val="auto"/>
          <w:sz w:val="20"/>
          <w:szCs w:val="20"/>
          <w:lang w:val="es-ES"/>
        </w:rPr>
        <w:t>,</w:t>
      </w:r>
      <w:r w:rsidR="006B612F" w:rsidRPr="008165A7">
        <w:rPr>
          <w:rFonts w:asciiTheme="majorHAnsi" w:hAnsiTheme="majorHAnsi"/>
          <w:color w:val="auto"/>
          <w:sz w:val="20"/>
          <w:szCs w:val="20"/>
          <w:lang w:val="es-ES"/>
        </w:rPr>
        <w:t xml:space="preserve"> desde 1990</w:t>
      </w:r>
      <w:r w:rsidR="00D91366">
        <w:rPr>
          <w:rFonts w:asciiTheme="majorHAnsi" w:hAnsiTheme="majorHAnsi"/>
          <w:color w:val="auto"/>
          <w:sz w:val="20"/>
          <w:szCs w:val="20"/>
          <w:lang w:val="es-ES"/>
        </w:rPr>
        <w:t>,</w:t>
      </w:r>
      <w:r w:rsidR="006B612F" w:rsidRPr="008165A7">
        <w:rPr>
          <w:rFonts w:asciiTheme="majorHAnsi" w:hAnsiTheme="majorHAnsi"/>
          <w:color w:val="auto"/>
          <w:sz w:val="20"/>
          <w:szCs w:val="20"/>
          <w:lang w:val="es-ES"/>
        </w:rPr>
        <w:t xml:space="preserve"> las presuntas víctimas </w:t>
      </w:r>
      <w:r w:rsidR="00730C53" w:rsidRPr="008165A7">
        <w:rPr>
          <w:rFonts w:asciiTheme="majorHAnsi" w:hAnsiTheme="majorHAnsi"/>
          <w:color w:val="auto"/>
          <w:sz w:val="20"/>
          <w:szCs w:val="20"/>
          <w:lang w:val="es-ES"/>
        </w:rPr>
        <w:t>deben trasladarse</w:t>
      </w:r>
      <w:r w:rsidR="006B612F" w:rsidRPr="008165A7">
        <w:rPr>
          <w:rFonts w:asciiTheme="majorHAnsi" w:hAnsiTheme="majorHAnsi"/>
          <w:color w:val="auto"/>
          <w:sz w:val="20"/>
          <w:szCs w:val="20"/>
          <w:lang w:val="es-ES"/>
        </w:rPr>
        <w:t xml:space="preserve"> a una comunidad cercana </w:t>
      </w:r>
      <w:r w:rsidR="00730C53" w:rsidRPr="008165A7">
        <w:rPr>
          <w:rFonts w:asciiTheme="majorHAnsi" w:hAnsiTheme="majorHAnsi"/>
          <w:color w:val="auto"/>
          <w:sz w:val="20"/>
          <w:szCs w:val="20"/>
          <w:lang w:val="es-ES"/>
        </w:rPr>
        <w:t>y</w:t>
      </w:r>
      <w:r w:rsidR="006B612F" w:rsidRPr="008165A7">
        <w:rPr>
          <w:rFonts w:asciiTheme="majorHAnsi" w:hAnsiTheme="majorHAnsi"/>
          <w:color w:val="auto"/>
          <w:sz w:val="20"/>
          <w:szCs w:val="20"/>
          <w:lang w:val="es-ES"/>
        </w:rPr>
        <w:t xml:space="preserve"> vender sus cosechas</w:t>
      </w:r>
      <w:r w:rsidR="00612B1B" w:rsidRPr="008165A7">
        <w:rPr>
          <w:rFonts w:asciiTheme="majorHAnsi" w:hAnsiTheme="majorHAnsi"/>
          <w:color w:val="auto"/>
          <w:sz w:val="20"/>
          <w:szCs w:val="20"/>
          <w:lang w:val="es-ES"/>
        </w:rPr>
        <w:t xml:space="preserve"> </w:t>
      </w:r>
      <w:r w:rsidR="00081165" w:rsidRPr="00081165">
        <w:rPr>
          <w:rFonts w:asciiTheme="majorHAnsi" w:hAnsiTheme="majorHAnsi"/>
          <w:color w:val="auto"/>
          <w:sz w:val="20"/>
          <w:szCs w:val="20"/>
          <w:lang w:val="es-ES"/>
        </w:rPr>
        <w:t>–</w:t>
      </w:r>
      <w:r w:rsidR="00730C53" w:rsidRPr="008165A7">
        <w:rPr>
          <w:rFonts w:asciiTheme="majorHAnsi" w:hAnsiTheme="majorHAnsi"/>
          <w:color w:val="auto"/>
          <w:sz w:val="20"/>
          <w:szCs w:val="20"/>
          <w:lang w:val="es-ES"/>
        </w:rPr>
        <w:t xml:space="preserve">producidas en </w:t>
      </w:r>
      <w:r w:rsidR="00612B1B" w:rsidRPr="008165A7">
        <w:rPr>
          <w:rFonts w:asciiTheme="majorHAnsi" w:hAnsiTheme="majorHAnsi"/>
          <w:color w:val="auto"/>
          <w:sz w:val="20"/>
          <w:szCs w:val="20"/>
          <w:lang w:val="es-ES"/>
        </w:rPr>
        <w:t xml:space="preserve">las </w:t>
      </w:r>
      <w:r w:rsidR="006B612F" w:rsidRPr="008165A7">
        <w:rPr>
          <w:rFonts w:asciiTheme="majorHAnsi" w:hAnsiTheme="majorHAnsi"/>
          <w:color w:val="auto"/>
          <w:sz w:val="20"/>
          <w:szCs w:val="20"/>
          <w:lang w:val="es-ES"/>
        </w:rPr>
        <w:t xml:space="preserve">parcelas donadas por el Estado o </w:t>
      </w:r>
      <w:r w:rsidR="00730C53" w:rsidRPr="008165A7">
        <w:rPr>
          <w:rFonts w:asciiTheme="majorHAnsi" w:hAnsiTheme="majorHAnsi"/>
          <w:color w:val="auto"/>
          <w:sz w:val="20"/>
          <w:szCs w:val="20"/>
          <w:lang w:val="es-ES"/>
        </w:rPr>
        <w:t>compartidas entre familias</w:t>
      </w:r>
      <w:r w:rsidR="00081165" w:rsidRPr="00081165">
        <w:rPr>
          <w:rFonts w:asciiTheme="majorHAnsi" w:hAnsiTheme="majorHAnsi"/>
          <w:color w:val="auto"/>
          <w:sz w:val="20"/>
          <w:szCs w:val="20"/>
          <w:lang w:val="es-ES"/>
        </w:rPr>
        <w:t>–</w:t>
      </w:r>
      <w:r w:rsidR="006B612F" w:rsidRPr="008165A7">
        <w:rPr>
          <w:rFonts w:asciiTheme="majorHAnsi" w:hAnsiTheme="majorHAnsi"/>
          <w:color w:val="auto"/>
          <w:sz w:val="20"/>
          <w:szCs w:val="20"/>
          <w:lang w:val="es-ES"/>
        </w:rPr>
        <w:t xml:space="preserve"> </w:t>
      </w:r>
      <w:r w:rsidR="00730C53" w:rsidRPr="008165A7">
        <w:rPr>
          <w:rFonts w:asciiTheme="majorHAnsi" w:hAnsiTheme="majorHAnsi"/>
          <w:color w:val="auto"/>
          <w:sz w:val="20"/>
          <w:szCs w:val="20"/>
          <w:lang w:val="es-ES"/>
        </w:rPr>
        <w:t>lo cual implica incurrir en gastos</w:t>
      </w:r>
      <w:r w:rsidR="00612B1B" w:rsidRPr="008165A7">
        <w:rPr>
          <w:rFonts w:asciiTheme="majorHAnsi" w:hAnsiTheme="majorHAnsi"/>
          <w:color w:val="auto"/>
          <w:sz w:val="20"/>
          <w:szCs w:val="20"/>
          <w:lang w:val="es-ES"/>
        </w:rPr>
        <w:t xml:space="preserve"> que no pueden cubrir.</w:t>
      </w:r>
    </w:p>
    <w:p w14:paraId="5A632BF6" w14:textId="77777777" w:rsidR="00D43D1D" w:rsidRDefault="00D43D1D" w:rsidP="00776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color w:val="auto"/>
          <w:sz w:val="20"/>
          <w:szCs w:val="20"/>
          <w:lang w:val="es-ES"/>
        </w:rPr>
      </w:pPr>
    </w:p>
    <w:p w14:paraId="7F706325" w14:textId="29F295A2" w:rsidR="00D8181D" w:rsidRPr="008165A7" w:rsidRDefault="00D8181D" w:rsidP="00776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color w:val="auto"/>
          <w:sz w:val="20"/>
          <w:szCs w:val="20"/>
          <w:lang w:val="es-ES"/>
        </w:rPr>
      </w:pPr>
      <w:r w:rsidRPr="008165A7">
        <w:rPr>
          <w:rFonts w:asciiTheme="majorHAnsi" w:hAnsiTheme="majorHAnsi"/>
          <w:i/>
          <w:iCs/>
          <w:color w:val="auto"/>
          <w:sz w:val="20"/>
          <w:szCs w:val="20"/>
          <w:lang w:val="es-ES"/>
        </w:rPr>
        <w:lastRenderedPageBreak/>
        <w:t>Gestiones ante el Programa Nacional de Resarcimiento</w:t>
      </w:r>
    </w:p>
    <w:p w14:paraId="20C9FF36" w14:textId="4FA57CC2" w:rsidR="00F70C25" w:rsidRPr="008165A7" w:rsidRDefault="00F70C25" w:rsidP="0077688C">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auto"/>
          <w:sz w:val="20"/>
          <w:szCs w:val="20"/>
          <w:lang w:val="es-ES"/>
        </w:rPr>
      </w:pPr>
      <w:r w:rsidRPr="008165A7">
        <w:rPr>
          <w:rFonts w:asciiTheme="majorHAnsi" w:hAnsiTheme="majorHAnsi"/>
          <w:color w:val="auto"/>
          <w:sz w:val="20"/>
          <w:szCs w:val="20"/>
          <w:lang w:val="es-ES"/>
        </w:rPr>
        <w:t xml:space="preserve">En relación con la falta de reparación integral y colectiva, la parte peticionaria señala que el Estado creó el PNR en 2003 como parte de los Acuerdos de Paz. No obstante, el PNR nunca se trasladó a </w:t>
      </w:r>
      <w:r w:rsidR="00543E19">
        <w:rPr>
          <w:rFonts w:asciiTheme="majorHAnsi" w:hAnsiTheme="majorHAnsi"/>
          <w:color w:val="auto"/>
          <w:sz w:val="20"/>
          <w:szCs w:val="20"/>
          <w:lang w:val="es-ES"/>
        </w:rPr>
        <w:t>la</w:t>
      </w:r>
      <w:r w:rsidRPr="008165A7">
        <w:rPr>
          <w:rFonts w:asciiTheme="majorHAnsi" w:hAnsiTheme="majorHAnsi"/>
          <w:color w:val="auto"/>
          <w:sz w:val="20"/>
          <w:szCs w:val="20"/>
          <w:lang w:val="es-ES"/>
        </w:rPr>
        <w:t xml:space="preserve"> comunidad</w:t>
      </w:r>
      <w:r w:rsidR="00543E19">
        <w:rPr>
          <w:rFonts w:asciiTheme="majorHAnsi" w:hAnsiTheme="majorHAnsi"/>
          <w:color w:val="auto"/>
          <w:sz w:val="20"/>
          <w:szCs w:val="20"/>
          <w:lang w:val="es-ES"/>
        </w:rPr>
        <w:t xml:space="preserve"> Las Muñecas</w:t>
      </w:r>
      <w:r w:rsidRPr="008165A7">
        <w:rPr>
          <w:rFonts w:asciiTheme="majorHAnsi" w:hAnsiTheme="majorHAnsi"/>
          <w:color w:val="auto"/>
          <w:sz w:val="20"/>
          <w:szCs w:val="20"/>
          <w:lang w:val="es-ES"/>
        </w:rPr>
        <w:t xml:space="preserve">. Por ello, con apoyo de la organización COVIP, el </w:t>
      </w:r>
      <w:r w:rsidR="0008289A">
        <w:rPr>
          <w:rFonts w:asciiTheme="majorHAnsi" w:hAnsiTheme="majorHAnsi"/>
          <w:color w:val="auto"/>
          <w:sz w:val="20"/>
          <w:szCs w:val="20"/>
          <w:lang w:val="es-ES"/>
        </w:rPr>
        <w:t>2008</w:t>
      </w:r>
      <w:r w:rsidRPr="008165A7">
        <w:rPr>
          <w:rFonts w:asciiTheme="majorHAnsi" w:hAnsiTheme="majorHAnsi"/>
          <w:color w:val="auto"/>
          <w:sz w:val="20"/>
          <w:szCs w:val="20"/>
          <w:lang w:val="es-ES"/>
        </w:rPr>
        <w:t xml:space="preserve"> </w:t>
      </w:r>
      <w:r w:rsidR="00566886">
        <w:rPr>
          <w:rFonts w:asciiTheme="majorHAnsi" w:hAnsiTheme="majorHAnsi"/>
          <w:color w:val="auto"/>
          <w:sz w:val="20"/>
          <w:szCs w:val="20"/>
          <w:lang w:val="es-ES"/>
        </w:rPr>
        <w:t xml:space="preserve">las presuntas víctimas </w:t>
      </w:r>
      <w:r w:rsidRPr="008165A7">
        <w:rPr>
          <w:rFonts w:asciiTheme="majorHAnsi" w:hAnsiTheme="majorHAnsi"/>
          <w:color w:val="auto"/>
          <w:sz w:val="20"/>
          <w:szCs w:val="20"/>
          <w:lang w:val="es-ES"/>
        </w:rPr>
        <w:t xml:space="preserve">entregaron en la sede central del PNR un memorial de agravios junto con los certificados de nacimiento y defunción solicitados. Ese mismo día presentaron una copia a la Procuraduría de Derechos Humanos. </w:t>
      </w:r>
      <w:r w:rsidR="00287899">
        <w:rPr>
          <w:rFonts w:asciiTheme="majorHAnsi" w:hAnsiTheme="majorHAnsi"/>
          <w:color w:val="auto"/>
          <w:sz w:val="20"/>
          <w:szCs w:val="20"/>
          <w:lang w:val="es-ES"/>
        </w:rPr>
        <w:t>Sin embargo, a</w:t>
      </w:r>
      <w:r w:rsidRPr="008165A7">
        <w:rPr>
          <w:rFonts w:asciiTheme="majorHAnsi" w:hAnsiTheme="majorHAnsi"/>
          <w:color w:val="auto"/>
          <w:sz w:val="20"/>
          <w:szCs w:val="20"/>
          <w:lang w:val="es-ES"/>
        </w:rPr>
        <w:t xml:space="preserve"> la fecha, </w:t>
      </w:r>
      <w:r w:rsidR="00196793">
        <w:rPr>
          <w:rFonts w:asciiTheme="majorHAnsi" w:hAnsiTheme="majorHAnsi"/>
          <w:color w:val="auto"/>
          <w:sz w:val="20"/>
          <w:szCs w:val="20"/>
          <w:lang w:val="es-ES"/>
        </w:rPr>
        <w:t xml:space="preserve">las presuntas víctimas </w:t>
      </w:r>
      <w:r w:rsidRPr="008165A7">
        <w:rPr>
          <w:rFonts w:asciiTheme="majorHAnsi" w:hAnsiTheme="majorHAnsi"/>
          <w:color w:val="auto"/>
          <w:sz w:val="20"/>
          <w:szCs w:val="20"/>
          <w:lang w:val="es-ES"/>
        </w:rPr>
        <w:t>no han recibido respuesta de ninguna de las dos instituciones.</w:t>
      </w:r>
      <w:r w:rsidR="00612B1B" w:rsidRPr="008165A7">
        <w:rPr>
          <w:rFonts w:asciiTheme="majorHAnsi" w:hAnsiTheme="majorHAnsi"/>
          <w:color w:val="auto"/>
          <w:sz w:val="20"/>
          <w:szCs w:val="20"/>
          <w:lang w:val="es-ES"/>
        </w:rPr>
        <w:t xml:space="preserve"> </w:t>
      </w:r>
      <w:r w:rsidR="00F2388C">
        <w:rPr>
          <w:rFonts w:asciiTheme="majorHAnsi" w:hAnsiTheme="majorHAnsi"/>
          <w:color w:val="auto"/>
          <w:sz w:val="20"/>
          <w:szCs w:val="20"/>
          <w:lang w:val="es-ES"/>
        </w:rPr>
        <w:t>Incluso</w:t>
      </w:r>
      <w:r w:rsidRPr="008165A7">
        <w:rPr>
          <w:rFonts w:asciiTheme="majorHAnsi" w:hAnsiTheme="majorHAnsi"/>
          <w:color w:val="auto"/>
          <w:sz w:val="20"/>
          <w:szCs w:val="20"/>
          <w:lang w:val="es-ES"/>
        </w:rPr>
        <w:t xml:space="preserve">, todas las </w:t>
      </w:r>
      <w:r w:rsidR="00DA271E">
        <w:rPr>
          <w:rFonts w:asciiTheme="majorHAnsi" w:hAnsiTheme="majorHAnsi"/>
          <w:color w:val="auto"/>
          <w:sz w:val="20"/>
          <w:szCs w:val="20"/>
          <w:lang w:val="es-ES"/>
        </w:rPr>
        <w:t xml:space="preserve">presuntas </w:t>
      </w:r>
      <w:r w:rsidRPr="008165A7">
        <w:rPr>
          <w:rFonts w:asciiTheme="majorHAnsi" w:hAnsiTheme="majorHAnsi"/>
          <w:color w:val="auto"/>
          <w:sz w:val="20"/>
          <w:szCs w:val="20"/>
          <w:lang w:val="es-ES"/>
        </w:rPr>
        <w:t>víctimas</w:t>
      </w:r>
      <w:r w:rsidR="00CB27C8">
        <w:rPr>
          <w:rFonts w:asciiTheme="majorHAnsi" w:hAnsiTheme="majorHAnsi"/>
          <w:color w:val="auto"/>
          <w:sz w:val="20"/>
          <w:szCs w:val="20"/>
          <w:lang w:val="es-ES"/>
        </w:rPr>
        <w:t xml:space="preserve"> ya</w:t>
      </w:r>
      <w:r w:rsidRPr="008165A7">
        <w:rPr>
          <w:rFonts w:asciiTheme="majorHAnsi" w:hAnsiTheme="majorHAnsi"/>
          <w:color w:val="auto"/>
          <w:sz w:val="20"/>
          <w:szCs w:val="20"/>
          <w:lang w:val="es-ES"/>
        </w:rPr>
        <w:t xml:space="preserve"> </w:t>
      </w:r>
      <w:r w:rsidR="00CB27C8">
        <w:rPr>
          <w:rFonts w:asciiTheme="majorHAnsi" w:hAnsiTheme="majorHAnsi"/>
          <w:color w:val="auto"/>
          <w:sz w:val="20"/>
          <w:szCs w:val="20"/>
          <w:lang w:val="es-ES"/>
        </w:rPr>
        <w:t>han dado</w:t>
      </w:r>
      <w:r w:rsidRPr="008165A7">
        <w:rPr>
          <w:rFonts w:asciiTheme="majorHAnsi" w:hAnsiTheme="majorHAnsi"/>
          <w:color w:val="auto"/>
          <w:sz w:val="20"/>
          <w:szCs w:val="20"/>
          <w:lang w:val="es-ES"/>
        </w:rPr>
        <w:t xml:space="preserve"> su testimonio individual de forma verbal.</w:t>
      </w:r>
    </w:p>
    <w:p w14:paraId="249BAD0C" w14:textId="77777777" w:rsidR="00CE3033" w:rsidRPr="008165A7" w:rsidRDefault="00CE3033" w:rsidP="00776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color w:val="auto"/>
          <w:sz w:val="20"/>
          <w:szCs w:val="20"/>
          <w:lang w:val="es-ES"/>
        </w:rPr>
      </w:pPr>
      <w:r w:rsidRPr="008165A7">
        <w:rPr>
          <w:rFonts w:asciiTheme="majorHAnsi" w:hAnsiTheme="majorHAnsi"/>
          <w:i/>
          <w:iCs/>
          <w:color w:val="auto"/>
          <w:sz w:val="20"/>
          <w:szCs w:val="20"/>
          <w:lang w:val="es-ES"/>
        </w:rPr>
        <w:t>Consideraciones finales</w:t>
      </w:r>
    </w:p>
    <w:p w14:paraId="034A6A26" w14:textId="1898B565" w:rsidR="00CE3033" w:rsidRPr="008165A7" w:rsidRDefault="00CE3033"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165A7">
        <w:rPr>
          <w:rFonts w:asciiTheme="majorHAnsi" w:hAnsiTheme="majorHAnsi"/>
          <w:sz w:val="20"/>
          <w:szCs w:val="20"/>
          <w:lang w:val="es-ES"/>
        </w:rPr>
        <w:t xml:space="preserve">Con base en los hechos expuestos, la parte peticionaria denuncia que el </w:t>
      </w:r>
      <w:r w:rsidR="00A348E0">
        <w:rPr>
          <w:rFonts w:asciiTheme="majorHAnsi" w:hAnsiTheme="majorHAnsi"/>
          <w:sz w:val="20"/>
          <w:szCs w:val="20"/>
          <w:lang w:val="es-ES"/>
        </w:rPr>
        <w:t>E</w:t>
      </w:r>
      <w:r w:rsidRPr="008165A7">
        <w:rPr>
          <w:rFonts w:asciiTheme="majorHAnsi" w:hAnsiTheme="majorHAnsi"/>
          <w:sz w:val="20"/>
          <w:szCs w:val="20"/>
          <w:lang w:val="es-ES"/>
        </w:rPr>
        <w:t>stado de Guatemala ha excluido injustificadamente a las presuntas víctimas de una reparación digna, a pesar de que por sus propios medios elaboraron los registros y diagnósticos exigidos por</w:t>
      </w:r>
      <w:r w:rsidR="00DA271E">
        <w:rPr>
          <w:rFonts w:asciiTheme="majorHAnsi" w:hAnsiTheme="majorHAnsi"/>
          <w:sz w:val="20"/>
          <w:szCs w:val="20"/>
          <w:lang w:val="es-ES"/>
        </w:rPr>
        <w:t xml:space="preserve"> el PNR</w:t>
      </w:r>
      <w:r w:rsidRPr="008165A7">
        <w:rPr>
          <w:rFonts w:asciiTheme="majorHAnsi" w:hAnsiTheme="majorHAnsi"/>
          <w:sz w:val="20"/>
          <w:szCs w:val="20"/>
          <w:lang w:val="es-ES"/>
        </w:rPr>
        <w:t>, revictimizando a la comunidad. Subraya que esta exclusión afecta no solo a quienes sobrevivieron, sino también a sus hijos y nietos quienes merecen mejores condiciones de vida que aquellas que enfrentaron quienes vivieron la violencia.</w:t>
      </w:r>
    </w:p>
    <w:p w14:paraId="45FDD7A5" w14:textId="7B6F7D9E" w:rsidR="00CE3033" w:rsidRPr="008165A7" w:rsidRDefault="00FB5989"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H</w:t>
      </w:r>
      <w:r w:rsidR="00CE3033" w:rsidRPr="008165A7">
        <w:rPr>
          <w:rFonts w:asciiTheme="majorHAnsi" w:hAnsiTheme="majorHAnsi"/>
          <w:sz w:val="20"/>
          <w:szCs w:val="20"/>
          <w:lang w:val="es-ES"/>
        </w:rPr>
        <w:t xml:space="preserve">an transcurrido más de 29 años desde los hechos y muchas de las víctimas </w:t>
      </w:r>
      <w:r w:rsidR="00F07C93">
        <w:rPr>
          <w:rFonts w:asciiTheme="majorHAnsi" w:hAnsiTheme="majorHAnsi"/>
          <w:sz w:val="20"/>
          <w:szCs w:val="20"/>
          <w:lang w:val="es-ES"/>
        </w:rPr>
        <w:t>ya</w:t>
      </w:r>
      <w:r w:rsidR="00F07C93" w:rsidRPr="008165A7">
        <w:rPr>
          <w:rFonts w:asciiTheme="majorHAnsi" w:hAnsiTheme="majorHAnsi"/>
          <w:sz w:val="20"/>
          <w:szCs w:val="20"/>
          <w:lang w:val="es-ES"/>
        </w:rPr>
        <w:t xml:space="preserve"> </w:t>
      </w:r>
      <w:r w:rsidR="00CE3033" w:rsidRPr="008165A7">
        <w:rPr>
          <w:rFonts w:asciiTheme="majorHAnsi" w:hAnsiTheme="majorHAnsi"/>
          <w:sz w:val="20"/>
          <w:szCs w:val="20"/>
          <w:lang w:val="es-ES"/>
        </w:rPr>
        <w:t xml:space="preserve">son personas ancianas, enfermas o han fallecido sin recibir atención alguna del Estado. </w:t>
      </w:r>
      <w:r w:rsidR="00837724">
        <w:rPr>
          <w:rFonts w:asciiTheme="majorHAnsi" w:hAnsiTheme="majorHAnsi"/>
          <w:sz w:val="20"/>
          <w:szCs w:val="20"/>
          <w:lang w:val="es-ES"/>
        </w:rPr>
        <w:t>Los peticionarios c</w:t>
      </w:r>
      <w:r w:rsidR="00837724" w:rsidRPr="008165A7">
        <w:rPr>
          <w:rFonts w:asciiTheme="majorHAnsi" w:hAnsiTheme="majorHAnsi"/>
          <w:sz w:val="20"/>
          <w:szCs w:val="20"/>
          <w:lang w:val="es-ES"/>
        </w:rPr>
        <w:t>onsideran</w:t>
      </w:r>
      <w:r w:rsidR="00CE3033" w:rsidRPr="008165A7">
        <w:rPr>
          <w:rFonts w:asciiTheme="majorHAnsi" w:hAnsiTheme="majorHAnsi"/>
          <w:sz w:val="20"/>
          <w:szCs w:val="20"/>
          <w:lang w:val="es-ES"/>
        </w:rPr>
        <w:t xml:space="preserve"> que esta situación constituye una forma de discriminación expresa, al ser desfavorecidos en el acceso a las medidas que el Estado está obligado a garantizar a las víctimas sobrevivientes del conflicto armado.</w:t>
      </w:r>
    </w:p>
    <w:p w14:paraId="20E1108F" w14:textId="67DCADC2" w:rsidR="00A348E0" w:rsidRPr="00DA271E" w:rsidRDefault="00A348E0"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A271E">
        <w:rPr>
          <w:rFonts w:asciiTheme="majorHAnsi" w:hAnsiTheme="majorHAnsi"/>
          <w:sz w:val="20"/>
          <w:szCs w:val="20"/>
          <w:lang w:val="es-ES"/>
        </w:rPr>
        <w:t>La parte peticionaria destaca que</w:t>
      </w:r>
      <w:r w:rsidR="00FE7D40">
        <w:rPr>
          <w:rFonts w:asciiTheme="majorHAnsi" w:hAnsiTheme="majorHAnsi"/>
          <w:sz w:val="20"/>
          <w:szCs w:val="20"/>
          <w:lang w:val="es-ES"/>
        </w:rPr>
        <w:t>,</w:t>
      </w:r>
      <w:r w:rsidRPr="00DA271E">
        <w:rPr>
          <w:rFonts w:asciiTheme="majorHAnsi" w:hAnsiTheme="majorHAnsi"/>
          <w:sz w:val="20"/>
          <w:szCs w:val="20"/>
          <w:lang w:val="es-ES"/>
        </w:rPr>
        <w:t xml:space="preserve"> pese a haber presentado una solicitud formal ante el PNR sin obtener respuesta, no existen otros mecanismos legales a los que puedan recurrir, dado que el proceso de reparación carece de regulación legal. A su juicio, ello evidencia una falta de voluntad política para garantizar una reparación efectiva. Añade que las medidas adoptadas</w:t>
      </w:r>
      <w:r w:rsidR="00BB50CD">
        <w:rPr>
          <w:rFonts w:asciiTheme="majorHAnsi" w:hAnsiTheme="majorHAnsi"/>
          <w:sz w:val="20"/>
          <w:szCs w:val="20"/>
          <w:lang w:val="es-ES"/>
        </w:rPr>
        <w:t xml:space="preserve"> —las cuales no detalla—</w:t>
      </w:r>
      <w:r w:rsidRPr="00DA271E">
        <w:rPr>
          <w:rFonts w:asciiTheme="majorHAnsi" w:hAnsiTheme="majorHAnsi"/>
          <w:sz w:val="20"/>
          <w:szCs w:val="20"/>
          <w:lang w:val="es-ES"/>
        </w:rPr>
        <w:t>han sido parciales, poco transparentes y han politizado el derecho a la reparación.</w:t>
      </w:r>
    </w:p>
    <w:p w14:paraId="7DC6276E" w14:textId="6D17FCAB" w:rsidR="00A17345" w:rsidRPr="008165A7" w:rsidRDefault="00472ECB" w:rsidP="0077688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Pr>
          <w:rFonts w:asciiTheme="majorHAnsi" w:hAnsiTheme="majorHAnsi"/>
          <w:b/>
          <w:bCs/>
          <w:sz w:val="20"/>
          <w:szCs w:val="20"/>
          <w:lang w:val="es-ES"/>
        </w:rPr>
        <w:t>El Estado guatemalteco</w:t>
      </w:r>
    </w:p>
    <w:p w14:paraId="35E3A152" w14:textId="77777777" w:rsidR="00A17345" w:rsidRPr="008165A7" w:rsidRDefault="00A17345"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165A7">
        <w:rPr>
          <w:rFonts w:asciiTheme="majorHAnsi" w:hAnsiTheme="majorHAnsi"/>
          <w:sz w:val="20"/>
          <w:szCs w:val="20"/>
          <w:lang w:val="es-ES"/>
        </w:rPr>
        <w:t>Por su parte, el Estado sostiene que no se han agotado los recursos internos en relación con la reparación integral y colectiva reclamada. Señala que la acción constitucional de amparo constituía un recurso idóneo y efectivo para compelir al PNR a pronunciarse dentro de un plazo determinado, especialmente ante el silencio administrativo producido al no responder en los 30 días establecidos. Añade que, de no estar conforme con la eventual decisión del PNR, la parte peticionaria contaba con los recursos de revocatoria y reposición. Por tanto, considera que la falta de interposición de dichos recursos impidió al Estado resolver la situación en sede interna. Precisa que, desde la presentación de la solicitud por parte de las presuntas víctimas el 9 de diciembre de 2008, transcurrieron más de tres años sin que se haya interpuesto la acción constitucional de amparo.</w:t>
      </w:r>
    </w:p>
    <w:p w14:paraId="78B09217" w14:textId="0CA04FE9" w:rsidR="00A17345" w:rsidRPr="008165A7" w:rsidRDefault="00A17345"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165A7">
        <w:rPr>
          <w:rFonts w:asciiTheme="majorHAnsi" w:hAnsiTheme="majorHAnsi"/>
          <w:sz w:val="20"/>
          <w:szCs w:val="20"/>
          <w:lang w:val="es-ES"/>
        </w:rPr>
        <w:t xml:space="preserve">El Estado afirma que la parte peticionaria no ha justificado la aplicación de la excepción prevista en el artículo 31.2.b del Reglamento de la </w:t>
      </w:r>
      <w:r w:rsidR="005065E1">
        <w:rPr>
          <w:rFonts w:asciiTheme="majorHAnsi" w:hAnsiTheme="majorHAnsi"/>
          <w:sz w:val="20"/>
          <w:szCs w:val="20"/>
          <w:lang w:val="es-ES"/>
        </w:rPr>
        <w:t>CIDH</w:t>
      </w:r>
      <w:r w:rsidRPr="008165A7">
        <w:rPr>
          <w:rFonts w:asciiTheme="majorHAnsi" w:hAnsiTheme="majorHAnsi"/>
          <w:sz w:val="20"/>
          <w:szCs w:val="20"/>
          <w:lang w:val="es-ES"/>
        </w:rPr>
        <w:t>,</w:t>
      </w:r>
      <w:r w:rsidR="005065E1">
        <w:rPr>
          <w:rFonts w:asciiTheme="majorHAnsi" w:hAnsiTheme="majorHAnsi"/>
          <w:sz w:val="20"/>
          <w:szCs w:val="20"/>
          <w:lang w:val="es-ES"/>
        </w:rPr>
        <w:t xml:space="preserve"> re</w:t>
      </w:r>
      <w:r w:rsidR="00D57614">
        <w:rPr>
          <w:rFonts w:asciiTheme="majorHAnsi" w:hAnsiTheme="majorHAnsi"/>
          <w:sz w:val="20"/>
          <w:szCs w:val="20"/>
          <w:lang w:val="es-ES"/>
        </w:rPr>
        <w:t>lativa al impedimento a las víctimas de acceder a los recursos judiciales,</w:t>
      </w:r>
      <w:r w:rsidRPr="008165A7">
        <w:rPr>
          <w:rFonts w:asciiTheme="majorHAnsi" w:hAnsiTheme="majorHAnsi"/>
          <w:sz w:val="20"/>
          <w:szCs w:val="20"/>
          <w:lang w:val="es-ES"/>
        </w:rPr>
        <w:t xml:space="preserve"> ni ha alegado </w:t>
      </w:r>
      <w:r w:rsidR="00DC2020">
        <w:rPr>
          <w:rFonts w:asciiTheme="majorHAnsi" w:hAnsiTheme="majorHAnsi"/>
          <w:sz w:val="20"/>
          <w:szCs w:val="20"/>
          <w:lang w:val="es-ES"/>
        </w:rPr>
        <w:t>obstáculo</w:t>
      </w:r>
      <w:r w:rsidRPr="008165A7">
        <w:rPr>
          <w:rFonts w:asciiTheme="majorHAnsi" w:hAnsiTheme="majorHAnsi"/>
          <w:sz w:val="20"/>
          <w:szCs w:val="20"/>
          <w:lang w:val="es-ES"/>
        </w:rPr>
        <w:t xml:space="preserve"> alguno para acceder o agotar la acción constitucional de amparo. Argumenta que el ordenamiento jurídico interno contempla recursos adecuados y eficaces para atender las alegaciones formuladas, por lo que la falta de agotamiento no puede ser atribuida al Estado.</w:t>
      </w:r>
    </w:p>
    <w:p w14:paraId="28E16B40" w14:textId="77777777" w:rsidR="00A17345" w:rsidRPr="008165A7" w:rsidRDefault="00A17345"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165A7">
        <w:rPr>
          <w:rFonts w:asciiTheme="majorHAnsi" w:hAnsiTheme="majorHAnsi"/>
          <w:sz w:val="20"/>
          <w:szCs w:val="20"/>
          <w:lang w:val="es-ES"/>
        </w:rPr>
        <w:t>Asimismo, refiere que la parte peticionaria incumplió con el requisito de temporalidad al presentar la petición de forma extemporánea ante la Comisión. A su juicio, no resulta razonable aplicar una excepción al plazo previsto en el artículo 32 del Reglamento de la CIDH, dado que existían recursos internos adecuados y eficaces que no fueron debidamente interpuestos por las presuntas víctimas.</w:t>
      </w:r>
    </w:p>
    <w:p w14:paraId="22469EE4" w14:textId="2CB69532" w:rsidR="007125D0" w:rsidRPr="007125D0" w:rsidRDefault="00A17345" w:rsidP="0077688C">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8165A7">
        <w:rPr>
          <w:rFonts w:asciiTheme="majorHAnsi" w:eastAsia="Arial Unicode MS" w:hAnsiTheme="majorHAnsi" w:cs="Times New Roman"/>
          <w:color w:val="auto"/>
          <w:sz w:val="20"/>
          <w:szCs w:val="20"/>
          <w:lang w:val="es-ES" w:eastAsia="en-US"/>
        </w:rPr>
        <w:t>El Estado sostiene que</w:t>
      </w:r>
      <w:r w:rsidR="00A16D16">
        <w:rPr>
          <w:rFonts w:asciiTheme="majorHAnsi" w:eastAsia="Arial Unicode MS" w:hAnsiTheme="majorHAnsi" w:cs="Times New Roman"/>
          <w:color w:val="auto"/>
          <w:sz w:val="20"/>
          <w:szCs w:val="20"/>
          <w:lang w:val="es-ES" w:eastAsia="en-US"/>
        </w:rPr>
        <w:t>,</w:t>
      </w:r>
      <w:r w:rsidRPr="008165A7">
        <w:rPr>
          <w:rFonts w:asciiTheme="majorHAnsi" w:eastAsia="Arial Unicode MS" w:hAnsiTheme="majorHAnsi" w:cs="Times New Roman"/>
          <w:color w:val="auto"/>
          <w:sz w:val="20"/>
          <w:szCs w:val="20"/>
          <w:lang w:val="es-ES" w:eastAsia="en-US"/>
        </w:rPr>
        <w:t xml:space="preserve"> aunque la parte peticionaria </w:t>
      </w:r>
      <w:r w:rsidR="008165A7" w:rsidRPr="008165A7">
        <w:rPr>
          <w:rFonts w:asciiTheme="majorHAnsi" w:hAnsiTheme="majorHAnsi"/>
          <w:sz w:val="20"/>
          <w:szCs w:val="20"/>
          <w:lang w:val="es-ES"/>
        </w:rPr>
        <w:t>indica el número total de familias que actualmente integran la comunidad, no especifica el número de integrantes que componen cada una de ellas.</w:t>
      </w:r>
      <w:r w:rsidR="008165A7">
        <w:rPr>
          <w:rFonts w:asciiTheme="majorHAnsi" w:hAnsiTheme="majorHAnsi"/>
          <w:sz w:val="20"/>
          <w:szCs w:val="20"/>
          <w:lang w:val="es-ES"/>
        </w:rPr>
        <w:t xml:space="preserve"> </w:t>
      </w:r>
      <w:r w:rsidRPr="008165A7">
        <w:rPr>
          <w:rFonts w:asciiTheme="majorHAnsi" w:eastAsia="Arial Unicode MS" w:hAnsiTheme="majorHAnsi" w:cs="Times New Roman"/>
          <w:color w:val="auto"/>
          <w:sz w:val="20"/>
          <w:szCs w:val="20"/>
          <w:lang w:val="es-ES" w:eastAsia="en-US"/>
        </w:rPr>
        <w:t xml:space="preserve">Añade que los documentos de identidad presentados están vencidos conforme a la normativa interna, lo que impide verificar la identidad de los supuestos afectados. Por ello, solicita que se remita un listado que precise </w:t>
      </w:r>
      <w:r w:rsidRPr="008165A7">
        <w:rPr>
          <w:rFonts w:asciiTheme="majorHAnsi" w:eastAsia="Arial Unicode MS" w:hAnsiTheme="majorHAnsi" w:cs="Times New Roman"/>
          <w:color w:val="auto"/>
          <w:sz w:val="20"/>
          <w:szCs w:val="20"/>
          <w:lang w:val="es-ES" w:eastAsia="en-US"/>
        </w:rPr>
        <w:lastRenderedPageBreak/>
        <w:t xml:space="preserve">e identifique a cada presunta víctima, dado que la parte peticionaria no lo presentó. El Estado considera que la CIDH debe aplicar criterios estrictos y no flexibles para dicha identificación, pues </w:t>
      </w:r>
      <w:r w:rsidR="0008289A">
        <w:rPr>
          <w:rFonts w:asciiTheme="majorHAnsi" w:eastAsia="Arial Unicode MS" w:hAnsiTheme="majorHAnsi" w:cs="Times New Roman"/>
          <w:color w:val="auto"/>
          <w:sz w:val="20"/>
          <w:szCs w:val="20"/>
          <w:lang w:val="es-ES" w:eastAsia="en-US"/>
        </w:rPr>
        <w:t>el peticionario</w:t>
      </w:r>
      <w:r w:rsidRPr="008165A7">
        <w:rPr>
          <w:rFonts w:asciiTheme="majorHAnsi" w:eastAsia="Arial Unicode MS" w:hAnsiTheme="majorHAnsi" w:cs="Times New Roman"/>
          <w:color w:val="auto"/>
          <w:sz w:val="20"/>
          <w:szCs w:val="20"/>
          <w:lang w:val="es-ES" w:eastAsia="en-US"/>
        </w:rPr>
        <w:t xml:space="preserve"> tiene plena capacidad para individualizar a sus miembros y estos no han alegado impedimentos derivados del carácter masivo de la presunta violación ni de omisiones estatales.</w:t>
      </w:r>
    </w:p>
    <w:p w14:paraId="7FC63234" w14:textId="6AC4FDB9" w:rsidR="00A17345" w:rsidRPr="007125D0" w:rsidRDefault="00A17345" w:rsidP="0077688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sz w:val="20"/>
          <w:szCs w:val="20"/>
          <w:lang w:val="es-ES"/>
        </w:rPr>
      </w:pPr>
      <w:r w:rsidRPr="007125D0">
        <w:rPr>
          <w:rFonts w:asciiTheme="majorHAnsi" w:hAnsiTheme="majorHAnsi"/>
          <w:b/>
          <w:bCs/>
          <w:sz w:val="20"/>
          <w:szCs w:val="20"/>
          <w:lang w:val="es-ES"/>
        </w:rPr>
        <w:t>VI.</w:t>
      </w:r>
      <w:r w:rsidRPr="007125D0">
        <w:rPr>
          <w:rFonts w:asciiTheme="majorHAnsi" w:hAnsiTheme="majorHAnsi"/>
          <w:b/>
          <w:bCs/>
          <w:sz w:val="20"/>
          <w:szCs w:val="20"/>
          <w:lang w:val="es-ES"/>
        </w:rPr>
        <w:tab/>
        <w:t xml:space="preserve">ANÁLISIS DE </w:t>
      </w:r>
      <w:r w:rsidRPr="007125D0">
        <w:rPr>
          <w:rFonts w:asciiTheme="majorHAnsi" w:hAnsiTheme="majorHAnsi"/>
          <w:b/>
          <w:sz w:val="20"/>
          <w:szCs w:val="20"/>
          <w:lang w:val="es-ES"/>
        </w:rPr>
        <w:t>AGOTAMIENTO DE LOS RECURSOS INTERNOS Y PLAZO DE PRESENTACIÓN</w:t>
      </w:r>
      <w:r w:rsidRPr="007125D0">
        <w:rPr>
          <w:rFonts w:asciiTheme="majorHAnsi" w:hAnsiTheme="majorHAnsi"/>
          <w:b/>
          <w:bCs/>
          <w:sz w:val="20"/>
          <w:szCs w:val="20"/>
          <w:lang w:val="es-ES"/>
        </w:rPr>
        <w:t xml:space="preserve"> </w:t>
      </w:r>
    </w:p>
    <w:p w14:paraId="0AB63387" w14:textId="6A50013C" w:rsidR="00D2412E" w:rsidRPr="00D2412E" w:rsidRDefault="00D2412E"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2412E">
        <w:rPr>
          <w:rFonts w:asciiTheme="majorHAnsi" w:hAnsiTheme="majorHAnsi"/>
          <w:sz w:val="20"/>
          <w:szCs w:val="20"/>
          <w:lang w:val="es-PE"/>
        </w:rPr>
        <w:t xml:space="preserve">La CIDH recuerda que, conforme a su práctica consolidada, el análisis sobre el </w:t>
      </w:r>
      <w:r w:rsidRPr="0008289A">
        <w:rPr>
          <w:rFonts w:asciiTheme="majorHAnsi" w:hAnsiTheme="majorHAnsi"/>
          <w:sz w:val="20"/>
          <w:szCs w:val="20"/>
          <w:lang w:val="es-PE"/>
        </w:rPr>
        <w:t xml:space="preserve">agotamiento de recursos internos </w:t>
      </w:r>
      <w:r w:rsidR="0002326C" w:rsidRPr="0008289A">
        <w:rPr>
          <w:rFonts w:asciiTheme="majorHAnsi" w:hAnsiTheme="majorHAnsi"/>
          <w:sz w:val="20"/>
          <w:szCs w:val="20"/>
          <w:lang w:val="es-PE"/>
        </w:rPr>
        <w:t>comienza por</w:t>
      </w:r>
      <w:r w:rsidRPr="0008289A">
        <w:rPr>
          <w:rFonts w:asciiTheme="majorHAnsi" w:hAnsiTheme="majorHAnsi"/>
          <w:sz w:val="20"/>
          <w:szCs w:val="20"/>
          <w:lang w:val="es-PE"/>
        </w:rPr>
        <w:t xml:space="preserve"> determinar el objeto específico de la petición. En el presente caso, la parte peticionaria cuestiona principalmente </w:t>
      </w:r>
      <w:r w:rsidR="0008289A" w:rsidRPr="0008289A">
        <w:rPr>
          <w:rFonts w:asciiTheme="majorHAnsi" w:hAnsiTheme="majorHAnsi"/>
          <w:sz w:val="20"/>
          <w:szCs w:val="20"/>
          <w:lang w:val="es-PE"/>
        </w:rPr>
        <w:t>el PNR no brindó una reparación integral a</w:t>
      </w:r>
      <w:r w:rsidRPr="0008289A">
        <w:rPr>
          <w:rFonts w:asciiTheme="majorHAnsi" w:hAnsiTheme="majorHAnsi"/>
          <w:sz w:val="20"/>
          <w:szCs w:val="20"/>
          <w:lang w:val="es-PE"/>
        </w:rPr>
        <w:t xml:space="preserve"> las presuntas víctimas. </w:t>
      </w:r>
      <w:r w:rsidR="00964996" w:rsidRPr="0008289A">
        <w:rPr>
          <w:rFonts w:asciiTheme="majorHAnsi" w:hAnsiTheme="majorHAnsi"/>
          <w:sz w:val="20"/>
          <w:szCs w:val="20"/>
          <w:lang w:val="es-PE"/>
        </w:rPr>
        <w:t>Con</w:t>
      </w:r>
      <w:r w:rsidR="00964996">
        <w:rPr>
          <w:rFonts w:asciiTheme="majorHAnsi" w:hAnsiTheme="majorHAnsi"/>
          <w:sz w:val="20"/>
          <w:szCs w:val="20"/>
          <w:lang w:val="es-PE"/>
        </w:rPr>
        <w:t xml:space="preserve"> </w:t>
      </w:r>
      <w:r w:rsidRPr="008165A7">
        <w:rPr>
          <w:rFonts w:asciiTheme="majorHAnsi" w:hAnsiTheme="majorHAnsi"/>
          <w:sz w:val="20"/>
          <w:szCs w:val="20"/>
          <w:lang w:val="es-ES"/>
        </w:rPr>
        <w:t>base en ello, considera agotada la jurisdicción interna mediante la presentación del memorial de agravios ante el PNR y la Procuraduría de Derechos Humanos y la Comisión de Paz el 11 de abril de 2011, el cual nunca tuvo respuesta.</w:t>
      </w:r>
    </w:p>
    <w:p w14:paraId="31648A5E" w14:textId="77777777" w:rsidR="00C05CE1" w:rsidRPr="00C05CE1" w:rsidRDefault="00C05CE1"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CE5EEF">
        <w:rPr>
          <w:rFonts w:asciiTheme="majorHAnsi" w:eastAsia="Times New Roman" w:hAnsiTheme="majorHAnsi"/>
          <w:sz w:val="20"/>
          <w:szCs w:val="20"/>
          <w:bdr w:val="none" w:sz="0" w:space="0" w:color="auto"/>
          <w:lang w:val="es-PE" w:eastAsia="es-PE"/>
        </w:rPr>
        <w:t>Por su parte, el Estado sostiene que las presuntas víctimas debieron interponer la acción constitucional de amparo frente al silencio administrativo del PNR, a fin de obtener una decisión en un plazo razonable. Añade que, una vez emitida una eventual resolución administrativa, también habrían tenido a su disposición los recursos de revocatoria y reposición.</w:t>
      </w:r>
    </w:p>
    <w:p w14:paraId="092379B7" w14:textId="558D1840" w:rsidR="00243EAF" w:rsidRPr="00243EAF" w:rsidRDefault="00243EAF"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243EAF">
        <w:rPr>
          <w:rFonts w:asciiTheme="majorHAnsi" w:hAnsiTheme="majorHAnsi"/>
          <w:sz w:val="20"/>
          <w:szCs w:val="20"/>
          <w:lang w:val="es-PE"/>
        </w:rPr>
        <w:t xml:space="preserve">La Comisión observa que la solicitud de reparación planteada por las presuntas víctimas se fundamenta en las graves violaciones de derechos humanos ocurridas durante el conflicto armado en Guatemala. Dada la naturaleza de dichas vulneraciones, el Estado tenía un deber reforzado de brindar una respuesta efectiva a las personas afectadas, una vez </w:t>
      </w:r>
      <w:r w:rsidR="00A06316">
        <w:rPr>
          <w:rFonts w:asciiTheme="majorHAnsi" w:hAnsiTheme="majorHAnsi"/>
          <w:sz w:val="20"/>
          <w:szCs w:val="20"/>
          <w:lang w:val="es-PE"/>
        </w:rPr>
        <w:t xml:space="preserve">que </w:t>
      </w:r>
      <w:r w:rsidRPr="00243EAF">
        <w:rPr>
          <w:rFonts w:asciiTheme="majorHAnsi" w:hAnsiTheme="majorHAnsi"/>
          <w:sz w:val="20"/>
          <w:szCs w:val="20"/>
          <w:lang w:val="es-PE"/>
        </w:rPr>
        <w:t>tuvo conocimiento de su situación. En ese marco, correspondía a las autoridades actuar oficiosamente a partir de la recepción de la solicitud, sin necesidad de mayores gestiones por parte de las víctimas.</w:t>
      </w:r>
    </w:p>
    <w:p w14:paraId="1BEFD605" w14:textId="06FAD0AE" w:rsidR="00C571F9" w:rsidRPr="00C571F9" w:rsidRDefault="00C571F9"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Pr>
          <w:rFonts w:asciiTheme="majorHAnsi" w:hAnsiTheme="majorHAnsi"/>
          <w:sz w:val="20"/>
          <w:szCs w:val="20"/>
          <w:lang w:val="es-PE"/>
        </w:rPr>
        <w:t>Con base en ello,</w:t>
      </w:r>
      <w:r w:rsidRPr="00C571F9">
        <w:rPr>
          <w:rFonts w:asciiTheme="majorHAnsi" w:hAnsiTheme="majorHAnsi"/>
          <w:sz w:val="20"/>
          <w:szCs w:val="20"/>
          <w:lang w:val="es-PE"/>
        </w:rPr>
        <w:t xml:space="preserve"> las presuntas víctimas realizaron gestiones ante </w:t>
      </w:r>
      <w:r>
        <w:rPr>
          <w:rFonts w:asciiTheme="majorHAnsi" w:hAnsiTheme="majorHAnsi"/>
          <w:sz w:val="20"/>
          <w:szCs w:val="20"/>
          <w:lang w:val="es-PE"/>
        </w:rPr>
        <w:t>el PNR, la</w:t>
      </w:r>
      <w:r w:rsidRPr="00C571F9">
        <w:rPr>
          <w:rFonts w:asciiTheme="majorHAnsi" w:hAnsiTheme="majorHAnsi"/>
          <w:sz w:val="20"/>
          <w:szCs w:val="20"/>
          <w:lang w:val="es-PE"/>
        </w:rPr>
        <w:t xml:space="preserve"> Procuraduría de los Derechos Humanos y la Comisión de Paz y Desminado del Congreso de la República, </w:t>
      </w:r>
      <w:r>
        <w:rPr>
          <w:rFonts w:asciiTheme="majorHAnsi" w:hAnsiTheme="majorHAnsi"/>
          <w:sz w:val="20"/>
          <w:szCs w:val="20"/>
          <w:lang w:val="es-PE"/>
        </w:rPr>
        <w:t>a fin de obtener una reparación. A criterio de la CIDH, estos hechos permiten</w:t>
      </w:r>
      <w:r w:rsidRPr="00C571F9">
        <w:rPr>
          <w:rFonts w:asciiTheme="majorHAnsi" w:hAnsiTheme="majorHAnsi"/>
          <w:sz w:val="20"/>
          <w:szCs w:val="20"/>
          <w:lang w:val="es-PE"/>
        </w:rPr>
        <w:t xml:space="preserve"> concluir que las autoridades estatales estaban debidamente informadas de la situación de las presuntas víctimas.</w:t>
      </w:r>
    </w:p>
    <w:p w14:paraId="5227B68D" w14:textId="77777777" w:rsidR="007E4624" w:rsidRPr="0008289A" w:rsidRDefault="007E4624"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1C7EA9">
        <w:rPr>
          <w:rFonts w:asciiTheme="majorHAnsi" w:hAnsiTheme="majorHAnsi"/>
          <w:sz w:val="20"/>
          <w:szCs w:val="20"/>
          <w:lang w:val="es-PE"/>
        </w:rPr>
        <w:t>Adicionalmente, la Comisión ha dado seguimiento al funcionamiento del PNR desde su creación en 2003 y ha advertido, de manera reiterada, las restricciones presupuestarias, operativas y administrativas que han limitado su alcance. En particular, la CIDH ha expresado su preocupación por la falta de cobertura, la rotación del personal, los requisitos exigidos sin certeza jurídica y la ausencia de criterios claros de selección</w:t>
      </w:r>
      <w:r w:rsidRPr="007A64BE">
        <w:rPr>
          <w:rStyle w:val="FootnoteReference"/>
          <w:rFonts w:asciiTheme="majorHAnsi" w:hAnsiTheme="majorHAnsi"/>
          <w:sz w:val="20"/>
          <w:szCs w:val="20"/>
        </w:rPr>
        <w:footnoteReference w:id="8"/>
      </w:r>
      <w:r w:rsidRPr="001C7EA9">
        <w:rPr>
          <w:rFonts w:asciiTheme="majorHAnsi" w:hAnsiTheme="majorHAnsi"/>
          <w:sz w:val="20"/>
          <w:szCs w:val="20"/>
          <w:lang w:val="es-PE"/>
        </w:rPr>
        <w:t xml:space="preserve">. Asimismo, en informes anteriores, la Comisión documentó que la Procuraduría de Derechos </w:t>
      </w:r>
      <w:r w:rsidRPr="0008289A">
        <w:rPr>
          <w:rFonts w:asciiTheme="majorHAnsi" w:hAnsiTheme="majorHAnsi"/>
          <w:sz w:val="20"/>
          <w:szCs w:val="20"/>
          <w:lang w:val="es-PE"/>
        </w:rPr>
        <w:t>Humanos interpuso una acción de amparo ante el Juez Cuarto de Primera Instancia Civil del departamento de Guatemala, la cual fue concedida el 23 de noviembre de 2016. En dicha sentencia se ordenó al Estado realizar las gestiones necesarias para garantizar la operatividad del programa. La Corte de Constitucionalidad confirmó esta decisión el 17 de enero de 2019. Aunque estos hechos ocurrieron con posterioridad a la presentación de la petición, la Comisión los considera ilustrativos de un patrón estructural de ineficacia institucional que se mantenía desde años antes</w:t>
      </w:r>
      <w:r w:rsidRPr="0008289A">
        <w:rPr>
          <w:rStyle w:val="FootnoteReference"/>
          <w:rFonts w:asciiTheme="majorHAnsi" w:hAnsiTheme="majorHAnsi"/>
          <w:sz w:val="20"/>
          <w:szCs w:val="20"/>
          <w:lang w:val="es-PE"/>
        </w:rPr>
        <w:footnoteReference w:id="9"/>
      </w:r>
      <w:r w:rsidRPr="0008289A">
        <w:rPr>
          <w:rFonts w:asciiTheme="majorHAnsi" w:hAnsiTheme="majorHAnsi"/>
          <w:sz w:val="20"/>
          <w:szCs w:val="20"/>
          <w:lang w:val="es-PE"/>
        </w:rPr>
        <w:t>.</w:t>
      </w:r>
    </w:p>
    <w:p w14:paraId="06A6BF9B" w14:textId="54FA466C" w:rsidR="009A37DE" w:rsidRPr="0008289A" w:rsidRDefault="009A37DE" w:rsidP="009609FF">
      <w:pPr>
        <w:pStyle w:val="ListParagraph"/>
        <w:numPr>
          <w:ilvl w:val="0"/>
          <w:numId w:val="103"/>
        </w:numPr>
        <w:spacing w:before="240" w:after="240"/>
        <w:jc w:val="both"/>
        <w:rPr>
          <w:rFonts w:asciiTheme="majorHAnsi" w:eastAsia="Arial Unicode MS" w:hAnsiTheme="majorHAnsi" w:cs="Times New Roman"/>
          <w:color w:val="auto"/>
          <w:sz w:val="20"/>
          <w:szCs w:val="20"/>
          <w:lang w:val="es-ES" w:eastAsia="en-US"/>
        </w:rPr>
      </w:pPr>
      <w:r w:rsidRPr="0008289A">
        <w:rPr>
          <w:rFonts w:asciiTheme="majorHAnsi" w:eastAsia="Arial Unicode MS" w:hAnsiTheme="majorHAnsi" w:cs="Times New Roman"/>
          <w:color w:val="auto"/>
          <w:sz w:val="20"/>
          <w:szCs w:val="20"/>
          <w:lang w:val="es-ES" w:eastAsia="en-US"/>
        </w:rPr>
        <w:t xml:space="preserve">En el presente caso, la Comisión toma nota de que la parte peticionaria intentó acceder al mecanismo de reparación del PNR, </w:t>
      </w:r>
      <w:r w:rsidR="00727B16" w:rsidRPr="0008289A">
        <w:rPr>
          <w:rFonts w:asciiTheme="majorHAnsi" w:eastAsia="Arial Unicode MS" w:hAnsiTheme="majorHAnsi" w:cs="Times New Roman"/>
          <w:color w:val="auto"/>
          <w:sz w:val="20"/>
          <w:szCs w:val="20"/>
          <w:lang w:val="es-ES" w:eastAsia="en-US"/>
        </w:rPr>
        <w:t>a pesar del</w:t>
      </w:r>
      <w:r w:rsidRPr="0008289A">
        <w:rPr>
          <w:rFonts w:asciiTheme="majorHAnsi" w:eastAsia="Arial Unicode MS" w:hAnsiTheme="majorHAnsi" w:cs="Times New Roman"/>
          <w:color w:val="auto"/>
          <w:sz w:val="20"/>
          <w:szCs w:val="20"/>
          <w:lang w:val="es-ES" w:eastAsia="en-US"/>
        </w:rPr>
        <w:t xml:space="preserve"> contexto de precariedad, pobreza y alta vulnerabilidad</w:t>
      </w:r>
      <w:r w:rsidR="00727B16" w:rsidRPr="0008289A">
        <w:rPr>
          <w:rFonts w:asciiTheme="majorHAnsi" w:eastAsia="Arial Unicode MS" w:hAnsiTheme="majorHAnsi" w:cs="Times New Roman"/>
          <w:color w:val="auto"/>
          <w:sz w:val="20"/>
          <w:szCs w:val="20"/>
          <w:lang w:val="es-ES" w:eastAsia="en-US"/>
        </w:rPr>
        <w:t xml:space="preserve"> en el que se encontraban, y aun así no encontró ningún tipo de apoyo por parte del Estado</w:t>
      </w:r>
      <w:r w:rsidRPr="0008289A">
        <w:rPr>
          <w:rFonts w:asciiTheme="majorHAnsi" w:eastAsia="Arial Unicode MS" w:hAnsiTheme="majorHAnsi" w:cs="Times New Roman"/>
          <w:color w:val="auto"/>
          <w:sz w:val="20"/>
          <w:szCs w:val="20"/>
          <w:lang w:val="es-ES" w:eastAsia="en-US"/>
        </w:rPr>
        <w:t xml:space="preserve">. En tales condiciones, la </w:t>
      </w:r>
      <w:r w:rsidRPr="0008289A">
        <w:rPr>
          <w:rFonts w:asciiTheme="majorHAnsi" w:eastAsia="Arial Unicode MS" w:hAnsiTheme="majorHAnsi" w:cs="Times New Roman"/>
          <w:color w:val="auto"/>
          <w:sz w:val="20"/>
          <w:szCs w:val="20"/>
          <w:lang w:val="es-ES" w:eastAsia="en-US"/>
        </w:rPr>
        <w:lastRenderedPageBreak/>
        <w:t>Comisión considera razonable que las presuntas víctimas no hayan podido completar el proceso ni recurrir formalmente a instancias judiciales adicionales, como las acciones de amparo, revocatoria o reposición</w:t>
      </w:r>
      <w:r w:rsidRPr="0008289A">
        <w:rPr>
          <w:rStyle w:val="FootnoteReference"/>
          <w:rFonts w:asciiTheme="majorHAnsi" w:hAnsiTheme="majorHAnsi"/>
          <w:sz w:val="20"/>
          <w:szCs w:val="20"/>
        </w:rPr>
        <w:footnoteReference w:id="10"/>
      </w:r>
      <w:r w:rsidRPr="0008289A">
        <w:rPr>
          <w:rFonts w:asciiTheme="majorHAnsi" w:eastAsia="Arial Unicode MS" w:hAnsiTheme="majorHAnsi" w:cs="Times New Roman"/>
          <w:color w:val="auto"/>
          <w:sz w:val="20"/>
          <w:szCs w:val="20"/>
          <w:lang w:val="es-ES" w:eastAsia="en-US"/>
        </w:rPr>
        <w:t>.</w:t>
      </w:r>
    </w:p>
    <w:p w14:paraId="23CA845F" w14:textId="151783BA" w:rsidR="009A37DE" w:rsidRPr="0008289A" w:rsidRDefault="009A37DE" w:rsidP="009609FF">
      <w:pPr>
        <w:pStyle w:val="ListParagraph"/>
        <w:numPr>
          <w:ilvl w:val="0"/>
          <w:numId w:val="103"/>
        </w:numPr>
        <w:spacing w:before="240" w:after="240"/>
        <w:jc w:val="both"/>
        <w:rPr>
          <w:rFonts w:asciiTheme="majorHAnsi" w:eastAsia="Arial Unicode MS" w:hAnsiTheme="majorHAnsi" w:cs="Times New Roman"/>
          <w:color w:val="auto"/>
          <w:sz w:val="20"/>
          <w:szCs w:val="20"/>
          <w:lang w:val="es-ES" w:eastAsia="en-US"/>
        </w:rPr>
      </w:pPr>
      <w:r w:rsidRPr="0008289A">
        <w:rPr>
          <w:rFonts w:asciiTheme="majorHAnsi" w:eastAsia="Arial Unicode MS" w:hAnsiTheme="majorHAnsi" w:cs="Times New Roman"/>
          <w:color w:val="auto"/>
          <w:sz w:val="20"/>
          <w:szCs w:val="20"/>
          <w:lang w:val="es-ES" w:eastAsia="en-US"/>
        </w:rPr>
        <w:t xml:space="preserve">Por lo tanto, y sin prejuzgar sobre el fondo, la Comisión </w:t>
      </w:r>
      <w:r w:rsidR="00840482" w:rsidRPr="0008289A">
        <w:rPr>
          <w:rFonts w:asciiTheme="majorHAnsi" w:eastAsia="Arial Unicode MS" w:hAnsiTheme="majorHAnsi" w:cs="Times New Roman"/>
          <w:color w:val="auto"/>
          <w:sz w:val="20"/>
          <w:szCs w:val="20"/>
          <w:lang w:val="es-ES" w:eastAsia="en-US"/>
        </w:rPr>
        <w:t xml:space="preserve">observa </w:t>
      </w:r>
      <w:r w:rsidRPr="0008289A">
        <w:rPr>
          <w:rFonts w:asciiTheme="majorHAnsi" w:eastAsia="Arial Unicode MS" w:hAnsiTheme="majorHAnsi" w:cs="Times New Roman"/>
          <w:color w:val="auto"/>
          <w:sz w:val="20"/>
          <w:szCs w:val="20"/>
          <w:lang w:val="es-ES" w:eastAsia="en-US"/>
        </w:rPr>
        <w:t>que el proceso ante el PNR no constituyó un recurso adecuado ni efectivo para atender los reclamos de las presuntas víctimas. En consecuencia, los recursos mencionados por el Estado tampoco ofrecían garantías efectivas, en tanto su éxito dependía directamente de la funcionalidad del programa de reparaciones. Esta conclusión se ve reforzada por el hecho de que, incluso en los casos en que tribunales guatemaltecos emitieron sentencias favorables, no se logró garantizar la implementación de medidas efectivas de reparación</w:t>
      </w:r>
      <w:r w:rsidRPr="0008289A">
        <w:rPr>
          <w:rStyle w:val="FootnoteReference"/>
          <w:rFonts w:asciiTheme="majorHAnsi" w:hAnsiTheme="majorHAnsi"/>
          <w:sz w:val="20"/>
          <w:szCs w:val="20"/>
        </w:rPr>
        <w:footnoteReference w:id="11"/>
      </w:r>
      <w:r w:rsidRPr="0008289A">
        <w:rPr>
          <w:rFonts w:asciiTheme="majorHAnsi" w:eastAsia="Arial Unicode MS" w:hAnsiTheme="majorHAnsi" w:cs="Times New Roman"/>
          <w:color w:val="auto"/>
          <w:sz w:val="20"/>
          <w:szCs w:val="20"/>
          <w:lang w:val="es-ES" w:eastAsia="en-US"/>
        </w:rPr>
        <w:t>. En ese sentido, la Comisión concluye que, a efectos del análisis de admisibilidad, no existía una vía o mecanismo legal efectivo dentro del ordenamiento jurídico interno para atender la situación planteada, razón por la cual resulta aplicable la excepción prevista en el artículo 46.2.a) de la Convención Americana.</w:t>
      </w:r>
    </w:p>
    <w:p w14:paraId="285ACB36" w14:textId="089E63D6" w:rsidR="00A17345" w:rsidRPr="0008289A" w:rsidRDefault="009A37DE" w:rsidP="0077688C">
      <w:pPr>
        <w:pStyle w:val="ListParagraph"/>
        <w:numPr>
          <w:ilvl w:val="0"/>
          <w:numId w:val="103"/>
        </w:numPr>
        <w:spacing w:before="240" w:after="240"/>
        <w:jc w:val="both"/>
        <w:rPr>
          <w:rFonts w:asciiTheme="majorHAnsi" w:eastAsia="Arial Unicode MS" w:hAnsiTheme="majorHAnsi" w:cs="Times New Roman"/>
          <w:color w:val="auto"/>
          <w:sz w:val="20"/>
          <w:szCs w:val="20"/>
          <w:lang w:val="es-PE" w:eastAsia="en-US"/>
        </w:rPr>
      </w:pPr>
      <w:r w:rsidRPr="0008289A">
        <w:rPr>
          <w:sz w:val="20"/>
          <w:szCs w:val="20"/>
          <w:lang w:val="es-PE"/>
        </w:rPr>
        <w:t xml:space="preserve">En cuanto al plazo de presentación, la Comisión toma en cuenta que las presuntas víctimas presentaron una solicitud formal ante el PNR en 2008 y que, hasta la fecha, no han recibido una respuesta sustantiva. Considerando el carácter continuado de la omisión estatal, así como el contexto de especial vulnerabilidad, la Comisión estima que el plazo de tres años transcurrido hasta la presentación de la petición ante la CIDH el </w:t>
      </w:r>
      <w:r w:rsidR="0008289A" w:rsidRPr="008165A7">
        <w:rPr>
          <w:bCs/>
          <w:sz w:val="20"/>
          <w:szCs w:val="20"/>
          <w:lang w:val="es-ES"/>
        </w:rPr>
        <w:t>19 de diciembre de 2011</w:t>
      </w:r>
      <w:r w:rsidRPr="0008289A">
        <w:rPr>
          <w:sz w:val="20"/>
          <w:szCs w:val="20"/>
          <w:lang w:val="es-PE"/>
        </w:rPr>
        <w:t>resulta razonable, conforme al artículo 32.2 de su Reglamento.</w:t>
      </w:r>
    </w:p>
    <w:p w14:paraId="3E329230" w14:textId="77777777" w:rsidR="00A17345" w:rsidRPr="0008289A" w:rsidRDefault="00A17345" w:rsidP="0077688C">
      <w:pPr>
        <w:pStyle w:val="ListParagraph"/>
        <w:spacing w:before="240" w:after="240"/>
        <w:ind w:left="0" w:firstLine="720"/>
        <w:jc w:val="both"/>
        <w:rPr>
          <w:rFonts w:asciiTheme="majorHAnsi" w:hAnsiTheme="majorHAnsi"/>
          <w:b/>
          <w:sz w:val="20"/>
          <w:szCs w:val="20"/>
          <w:lang w:val="es-ES"/>
        </w:rPr>
      </w:pPr>
      <w:r w:rsidRPr="0008289A">
        <w:rPr>
          <w:rFonts w:asciiTheme="majorHAnsi" w:hAnsiTheme="majorHAnsi"/>
          <w:b/>
          <w:bCs/>
          <w:sz w:val="20"/>
          <w:szCs w:val="20"/>
          <w:lang w:val="es-ES"/>
        </w:rPr>
        <w:t>VII.</w:t>
      </w:r>
      <w:r w:rsidRPr="0008289A">
        <w:rPr>
          <w:rFonts w:asciiTheme="majorHAnsi" w:hAnsiTheme="majorHAnsi"/>
          <w:b/>
          <w:bCs/>
          <w:sz w:val="20"/>
          <w:szCs w:val="20"/>
          <w:lang w:val="es-ES"/>
        </w:rPr>
        <w:tab/>
        <w:t>ANÁLISIS DE CARACTERIZACIÓN DE LOS HECHOS ALEGADOS</w:t>
      </w:r>
    </w:p>
    <w:p w14:paraId="01135DEA" w14:textId="505F811A" w:rsidR="00A17345" w:rsidRPr="0008289A" w:rsidRDefault="00A17345"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8289A">
        <w:rPr>
          <w:rFonts w:asciiTheme="majorHAnsi" w:hAnsiTheme="majorHAnsi"/>
          <w:sz w:val="20"/>
          <w:szCs w:val="20"/>
          <w:lang w:val="es-ES"/>
        </w:rPr>
        <w:t>Con relación al argumento del Estado sobre la falta de individualización de las presuntas víctimas, la Comisión reitera su criterio conforme al artículo 44 de la Convención Americana, según el cual una petición resulta admisible si identifica víctimas concretas, individualizadas y determinadas, o si se refiere a un grupo específico y definido compuesto por personas determinables</w:t>
      </w:r>
      <w:r w:rsidRPr="0008289A">
        <w:rPr>
          <w:rStyle w:val="FootnoteReference"/>
          <w:rFonts w:asciiTheme="majorHAnsi" w:hAnsiTheme="majorHAnsi"/>
          <w:sz w:val="20"/>
          <w:szCs w:val="20"/>
          <w:lang w:val="es-ES"/>
        </w:rPr>
        <w:footnoteReference w:id="12"/>
      </w:r>
      <w:r w:rsidRPr="0008289A">
        <w:rPr>
          <w:rFonts w:asciiTheme="majorHAnsi" w:hAnsiTheme="majorHAnsi"/>
          <w:sz w:val="20"/>
          <w:szCs w:val="20"/>
          <w:lang w:val="es-ES"/>
        </w:rPr>
        <w:t xml:space="preserve"> En este marco, la Comisión ha sostenido que dicho artículo no exige una identificación “plena y total” de los afectados, sino que admite el análisis de violaciones que, por su naturaleza, afectan a personas o grupos identificables, aun sin estar completamente identificados</w:t>
      </w:r>
      <w:r w:rsidRPr="0008289A">
        <w:rPr>
          <w:rStyle w:val="FootnoteReference"/>
          <w:rFonts w:asciiTheme="majorHAnsi" w:hAnsiTheme="majorHAnsi"/>
          <w:sz w:val="20"/>
          <w:szCs w:val="20"/>
          <w:lang w:val="es-ES"/>
        </w:rPr>
        <w:footnoteReference w:id="13"/>
      </w:r>
      <w:r w:rsidRPr="0008289A">
        <w:rPr>
          <w:rFonts w:asciiTheme="majorHAnsi" w:hAnsiTheme="majorHAnsi"/>
          <w:sz w:val="20"/>
          <w:szCs w:val="20"/>
          <w:lang w:val="es-ES"/>
        </w:rPr>
        <w:t xml:space="preserve">. En </w:t>
      </w:r>
      <w:r w:rsidR="0008289A" w:rsidRPr="0008289A">
        <w:rPr>
          <w:rFonts w:asciiTheme="majorHAnsi" w:hAnsiTheme="majorHAnsi"/>
          <w:sz w:val="20"/>
          <w:szCs w:val="20"/>
          <w:lang w:val="es-ES"/>
        </w:rPr>
        <w:t>esta</w:t>
      </w:r>
      <w:r w:rsidRPr="0008289A">
        <w:rPr>
          <w:rFonts w:asciiTheme="majorHAnsi" w:hAnsiTheme="majorHAnsi"/>
          <w:sz w:val="20"/>
          <w:szCs w:val="20"/>
          <w:lang w:val="es-ES"/>
        </w:rPr>
        <w:t xml:space="preserve"> situación se ha identificado a las presuntas víctimas como los habitantes de la comunidad Las Muñecas, la cual estaría conformada por 28 familias o 120 personas, de acuerdo con el censo </w:t>
      </w:r>
      <w:r w:rsidR="000E1630" w:rsidRPr="0008289A">
        <w:rPr>
          <w:rFonts w:asciiTheme="majorHAnsi" w:hAnsiTheme="majorHAnsi"/>
          <w:sz w:val="20"/>
          <w:szCs w:val="20"/>
          <w:lang w:val="es-ES"/>
        </w:rPr>
        <w:t xml:space="preserve">acompañado </w:t>
      </w:r>
      <w:r w:rsidRPr="0008289A">
        <w:rPr>
          <w:rFonts w:asciiTheme="majorHAnsi" w:hAnsiTheme="majorHAnsi"/>
          <w:sz w:val="20"/>
          <w:szCs w:val="20"/>
          <w:lang w:val="es-ES"/>
        </w:rPr>
        <w:t>como anexo</w:t>
      </w:r>
      <w:r w:rsidR="006811CF" w:rsidRPr="0008289A">
        <w:rPr>
          <w:rFonts w:asciiTheme="majorHAnsi" w:hAnsiTheme="majorHAnsi"/>
          <w:sz w:val="20"/>
          <w:szCs w:val="20"/>
          <w:lang w:val="es-ES"/>
        </w:rPr>
        <w:t xml:space="preserve"> y que se encuentra al final de</w:t>
      </w:r>
      <w:r w:rsidR="00051993" w:rsidRPr="0008289A">
        <w:rPr>
          <w:rFonts w:asciiTheme="majorHAnsi" w:hAnsiTheme="majorHAnsi"/>
          <w:sz w:val="20"/>
          <w:szCs w:val="20"/>
          <w:lang w:val="es-ES"/>
        </w:rPr>
        <w:t xml:space="preserve"> </w:t>
      </w:r>
      <w:r w:rsidR="00673E85" w:rsidRPr="0008289A">
        <w:rPr>
          <w:rFonts w:asciiTheme="majorHAnsi" w:hAnsiTheme="majorHAnsi"/>
          <w:sz w:val="20"/>
          <w:szCs w:val="20"/>
          <w:lang w:val="es-ES"/>
        </w:rPr>
        <w:t>este informe</w:t>
      </w:r>
      <w:r w:rsidRPr="0008289A">
        <w:rPr>
          <w:rFonts w:asciiTheme="majorHAnsi" w:hAnsiTheme="majorHAnsi"/>
          <w:sz w:val="20"/>
          <w:szCs w:val="20"/>
          <w:lang w:val="es-ES"/>
        </w:rPr>
        <w:t>. De este modo, conforme a la jurisprudencia de la Corte IDH, la identificación final debe realizarse en la etapa de fondo, en el informe previsto en el artículo 50 de la Convención</w:t>
      </w:r>
      <w:r w:rsidRPr="0008289A">
        <w:rPr>
          <w:rStyle w:val="FootnoteReference"/>
          <w:rFonts w:asciiTheme="majorHAnsi" w:hAnsiTheme="majorHAnsi"/>
          <w:sz w:val="20"/>
          <w:szCs w:val="20"/>
          <w:lang w:val="es-ES"/>
        </w:rPr>
        <w:footnoteReference w:id="14"/>
      </w:r>
      <w:r w:rsidRPr="0008289A">
        <w:rPr>
          <w:rFonts w:asciiTheme="majorHAnsi" w:hAnsiTheme="majorHAnsi"/>
          <w:sz w:val="20"/>
          <w:szCs w:val="20"/>
          <w:lang w:val="es-ES"/>
        </w:rPr>
        <w:t>.</w:t>
      </w:r>
    </w:p>
    <w:p w14:paraId="5F0683F7" w14:textId="046A3569" w:rsidR="00A17345" w:rsidRPr="0008289A" w:rsidRDefault="00A17345"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8289A">
        <w:rPr>
          <w:rFonts w:asciiTheme="majorHAnsi" w:hAnsiTheme="majorHAnsi"/>
          <w:sz w:val="20"/>
          <w:szCs w:val="20"/>
          <w:lang w:val="es-ES"/>
        </w:rPr>
        <w:t>La petición tiene como objeto principal analizar la falta de reparación integral a las presuntas víctimas por las graves violaciones a los derechos humanos que sufrieron durante el conflicto armado. Al respecto, la Comisión ha dado seguimiento a su implementación desde 2003 mediante informes y labores de monitoreo</w:t>
      </w:r>
      <w:r w:rsidRPr="0008289A">
        <w:rPr>
          <w:rStyle w:val="FootnoteReference"/>
          <w:rFonts w:asciiTheme="majorHAnsi" w:hAnsiTheme="majorHAnsi"/>
          <w:sz w:val="20"/>
          <w:szCs w:val="20"/>
          <w:lang w:val="es-ES"/>
        </w:rPr>
        <w:footnoteReference w:id="15"/>
      </w:r>
      <w:r w:rsidRPr="0008289A">
        <w:rPr>
          <w:rFonts w:asciiTheme="majorHAnsi" w:hAnsiTheme="majorHAnsi"/>
          <w:sz w:val="20"/>
          <w:szCs w:val="20"/>
          <w:lang w:val="es-ES"/>
        </w:rPr>
        <w:t xml:space="preserve">. En ese contexto, ha recibido información sobre el limitado cumplimiento del PNR por parte del </w:t>
      </w:r>
      <w:r w:rsidRPr="0008289A">
        <w:rPr>
          <w:rFonts w:asciiTheme="majorHAnsi" w:hAnsiTheme="majorHAnsi"/>
          <w:sz w:val="20"/>
          <w:szCs w:val="20"/>
          <w:lang w:val="es-ES"/>
        </w:rPr>
        <w:lastRenderedPageBreak/>
        <w:t>Estado guatemalteco, incluyendo su escasa cobertura, demoras de hasta siete años, rotación frecuente de personal y ausencia de criterios claros de selección. Asimismo, ha advertido la falta de medidas efectivas que garanticen una reparación integral. La CIDH ha manifestado especial preocupación por la reducción presupuestaria del PNR en 2016, lo cual afectó su capacidad operativa, e instó al Estado a asignar los recursos necesarios conforme al acuerdo de creación del programa</w:t>
      </w:r>
      <w:r w:rsidRPr="0008289A">
        <w:rPr>
          <w:rStyle w:val="FootnoteReference"/>
          <w:rFonts w:asciiTheme="majorHAnsi" w:hAnsiTheme="majorHAnsi"/>
          <w:sz w:val="20"/>
          <w:szCs w:val="20"/>
          <w:lang w:val="es-ES"/>
        </w:rPr>
        <w:footnoteReference w:id="16"/>
      </w:r>
      <w:r w:rsidRPr="0008289A">
        <w:rPr>
          <w:rFonts w:asciiTheme="majorHAnsi" w:hAnsiTheme="majorHAnsi"/>
          <w:sz w:val="20"/>
          <w:szCs w:val="20"/>
          <w:lang w:val="es-ES"/>
        </w:rPr>
        <w:t>. Asimismo, esta decisión guarda coherencia con precedentes en los que la Comisión ha abordado alegatos similares sobre reparaciones y gestiones ante el PNR.</w:t>
      </w:r>
    </w:p>
    <w:p w14:paraId="18019026" w14:textId="5B89BD40" w:rsidR="00A17345" w:rsidRPr="00952CEE" w:rsidRDefault="00A17345" w:rsidP="007768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8289A">
        <w:rPr>
          <w:rFonts w:asciiTheme="majorHAnsi" w:hAnsiTheme="majorHAnsi"/>
          <w:sz w:val="20"/>
          <w:szCs w:val="20"/>
          <w:lang w:val="es-ES"/>
        </w:rPr>
        <w:t>En atención a estas consideraciones</w:t>
      </w:r>
      <w:r w:rsidR="00782419" w:rsidRPr="0008289A">
        <w:rPr>
          <w:rFonts w:asciiTheme="majorHAnsi" w:hAnsiTheme="majorHAnsi"/>
          <w:sz w:val="20"/>
          <w:szCs w:val="20"/>
          <w:lang w:val="es-ES"/>
        </w:rPr>
        <w:t>,</w:t>
      </w:r>
      <w:r w:rsidRPr="0008289A">
        <w:rPr>
          <w:rFonts w:asciiTheme="majorHAnsi" w:hAnsiTheme="majorHAnsi"/>
          <w:sz w:val="20"/>
          <w:szCs w:val="20"/>
          <w:lang w:val="es-ES"/>
        </w:rPr>
        <w:t xml:space="preserve"> y tras examinar los elementos de hecho y de derecho expuestos por las partes</w:t>
      </w:r>
      <w:r w:rsidR="00782419" w:rsidRPr="0008289A">
        <w:rPr>
          <w:rFonts w:asciiTheme="majorHAnsi" w:hAnsiTheme="majorHAnsi"/>
          <w:sz w:val="20"/>
          <w:szCs w:val="20"/>
          <w:lang w:val="es-ES"/>
        </w:rPr>
        <w:t>,</w:t>
      </w:r>
      <w:r w:rsidRPr="0008289A">
        <w:rPr>
          <w:rFonts w:asciiTheme="majorHAnsi" w:hAnsiTheme="majorHAnsi"/>
          <w:sz w:val="20"/>
          <w:szCs w:val="20"/>
          <w:lang w:val="es-ES"/>
        </w:rPr>
        <w:t xml:space="preserve"> la Comisión estima que las alegaciones de la parte peticionaria no resultan manifiestamente infundadas y requieren un estudio de fondo</w:t>
      </w:r>
      <w:r w:rsidR="00D8637A" w:rsidRPr="0008289A">
        <w:rPr>
          <w:rFonts w:asciiTheme="majorHAnsi" w:hAnsiTheme="majorHAnsi"/>
          <w:sz w:val="20"/>
          <w:szCs w:val="20"/>
          <w:lang w:val="es-ES"/>
        </w:rPr>
        <w:t>,</w:t>
      </w:r>
      <w:r w:rsidRPr="0008289A">
        <w:rPr>
          <w:rFonts w:asciiTheme="majorHAnsi" w:hAnsiTheme="majorHAnsi"/>
          <w:sz w:val="20"/>
          <w:szCs w:val="20"/>
          <w:lang w:val="es-ES"/>
        </w:rPr>
        <w:t xml:space="preserve"> pues los hechos alegados de corroborarse como ciertos podrían caracterizar violaciones a los </w:t>
      </w:r>
      <w:r w:rsidR="005A23D1" w:rsidRPr="0008289A">
        <w:rPr>
          <w:rFonts w:asciiTheme="majorHAnsi" w:hAnsiTheme="majorHAnsi"/>
          <w:sz w:val="20"/>
          <w:szCs w:val="20"/>
          <w:lang w:val="es-ES"/>
        </w:rPr>
        <w:t>derechos establecidos</w:t>
      </w:r>
      <w:r w:rsidRPr="0008289A">
        <w:rPr>
          <w:rFonts w:asciiTheme="majorHAnsi" w:hAnsiTheme="majorHAnsi"/>
          <w:sz w:val="20"/>
          <w:szCs w:val="20"/>
          <w:lang w:val="es-ES"/>
        </w:rPr>
        <w:t xml:space="preserve"> en los artículos 5 (integridad personal), 8 (garantías judiciales) y 24 (igualdad ante la ley) de la Convención Americana en relación con su artículo 1.1 (obligación de respetar los derechos) y 2 (deber de adoptar disposiciones de derecho interno), en perjuicio de los vecinos de la comunidad Las Muñecas. La decisión de </w:t>
      </w:r>
      <w:r w:rsidRPr="00952CEE">
        <w:rPr>
          <w:rFonts w:asciiTheme="majorHAnsi" w:hAnsiTheme="majorHAnsi"/>
          <w:sz w:val="20"/>
          <w:szCs w:val="20"/>
          <w:lang w:val="es-ES"/>
        </w:rPr>
        <w:t xml:space="preserve">admitir los alegatos relativos a los artículos 5 y 24 de la Convención es coherente con precedentes </w:t>
      </w:r>
      <w:r w:rsidR="00782419" w:rsidRPr="00952CEE">
        <w:rPr>
          <w:rFonts w:asciiTheme="majorHAnsi" w:hAnsiTheme="majorHAnsi"/>
          <w:sz w:val="20"/>
          <w:szCs w:val="20"/>
          <w:lang w:val="es-ES"/>
        </w:rPr>
        <w:t xml:space="preserve">desarrollados </w:t>
      </w:r>
      <w:r w:rsidRPr="00952CEE">
        <w:rPr>
          <w:rFonts w:asciiTheme="majorHAnsi" w:hAnsiTheme="majorHAnsi"/>
          <w:sz w:val="20"/>
          <w:szCs w:val="20"/>
          <w:lang w:val="es-ES"/>
        </w:rPr>
        <w:t xml:space="preserve">por la CIDH en casos que </w:t>
      </w:r>
      <w:r w:rsidR="00833102" w:rsidRPr="00952CEE">
        <w:rPr>
          <w:rFonts w:asciiTheme="majorHAnsi" w:hAnsiTheme="majorHAnsi"/>
          <w:sz w:val="20"/>
          <w:szCs w:val="20"/>
          <w:lang w:val="es-ES"/>
        </w:rPr>
        <w:t xml:space="preserve">contienen </w:t>
      </w:r>
      <w:r w:rsidRPr="00952CEE">
        <w:rPr>
          <w:rFonts w:asciiTheme="majorHAnsi" w:hAnsiTheme="majorHAnsi"/>
          <w:sz w:val="20"/>
          <w:szCs w:val="20"/>
          <w:lang w:val="es-ES"/>
        </w:rPr>
        <w:t>un objeto sustancialmente similar al de la presente petición</w:t>
      </w:r>
      <w:r w:rsidRPr="00952CEE">
        <w:rPr>
          <w:rStyle w:val="FootnoteReference"/>
          <w:rFonts w:asciiTheme="majorHAnsi" w:hAnsiTheme="majorHAnsi"/>
          <w:sz w:val="20"/>
          <w:szCs w:val="20"/>
          <w:lang w:val="es-ES"/>
        </w:rPr>
        <w:footnoteReference w:id="17"/>
      </w:r>
      <w:r w:rsidRPr="00952CEE">
        <w:rPr>
          <w:rFonts w:asciiTheme="majorHAnsi" w:hAnsiTheme="majorHAnsi"/>
          <w:sz w:val="20"/>
          <w:szCs w:val="20"/>
          <w:lang w:val="es-ES"/>
        </w:rPr>
        <w:t>.</w:t>
      </w:r>
    </w:p>
    <w:p w14:paraId="66BC9E02" w14:textId="29E0F323" w:rsidR="0008289A" w:rsidRPr="00952CEE" w:rsidRDefault="0008289A" w:rsidP="00952CE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952CEE">
        <w:rPr>
          <w:rFonts w:asciiTheme="majorHAnsi" w:hAnsiTheme="majorHAnsi"/>
          <w:sz w:val="20"/>
          <w:szCs w:val="20"/>
          <w:lang w:val="es-PE"/>
        </w:rPr>
        <w:t>Respecto al reclamo sobre la presunta violación de los artículos 4 (derecho a la vida), 11 (protección de la honra y de la dignidad), 17 (protección a la familia), 19 (derechos del niño) y 21 (derecho a la propiedad privada) de la Convención Americana, la Comisión  razona que, conforme a lo expresado previamente en este informe, el objeto de la petición se refiere a la falta de una reparación integral y colectiva por las graves violaciones a los derechos humanos de las presuntas víctimas ocurridas a raíz del conflicto armado interno. Esta convicción queda reforzada al verificarse que la parte peticionaria no formula argumentos jurídicos respecto de la competencia de la CIDH para analizar los hechos iniciales, ni acerca de posibles recursos judiciales que se hayan intentado específicamente a ese respecto. Por lo tanto, las alegadas violaciones que habrían originado el derecho a la reparación de las presuntas víctimas quedan fuera del marco fáctico de la presente decisión. </w:t>
      </w:r>
      <w:r w:rsidR="00952CEE" w:rsidRPr="00952CEE">
        <w:rPr>
          <w:rFonts w:asciiTheme="majorHAnsi" w:hAnsiTheme="majorHAnsi"/>
          <w:sz w:val="20"/>
          <w:szCs w:val="20"/>
          <w:lang w:val="es-PE"/>
        </w:rPr>
        <w:t>Esto consistente con la posición adoptada por la propia CIDH, entre otros, en sus precedentes de los informes de admisibilidad 67/23</w:t>
      </w:r>
      <w:r w:rsidR="00952CEE" w:rsidRPr="00952CEE">
        <w:rPr>
          <w:rStyle w:val="FootnoteReference"/>
          <w:rFonts w:asciiTheme="majorHAnsi" w:hAnsiTheme="majorHAnsi"/>
          <w:sz w:val="20"/>
          <w:szCs w:val="20"/>
          <w:lang w:val="es-PE"/>
        </w:rPr>
        <w:footnoteReference w:id="18"/>
      </w:r>
      <w:r w:rsidR="00952CEE" w:rsidRPr="00952CEE">
        <w:rPr>
          <w:rFonts w:asciiTheme="majorHAnsi" w:hAnsiTheme="majorHAnsi"/>
          <w:sz w:val="20"/>
          <w:szCs w:val="20"/>
          <w:lang w:val="es-PE"/>
        </w:rPr>
        <w:t xml:space="preserve"> y 355/22</w:t>
      </w:r>
      <w:r w:rsidR="00952CEE" w:rsidRPr="00952CEE">
        <w:rPr>
          <w:rStyle w:val="FootnoteReference"/>
          <w:rFonts w:asciiTheme="majorHAnsi" w:hAnsiTheme="majorHAnsi"/>
          <w:sz w:val="20"/>
          <w:szCs w:val="20"/>
          <w:lang w:val="es-PE"/>
        </w:rPr>
        <w:footnoteReference w:id="19"/>
      </w:r>
      <w:r w:rsidR="00952CEE" w:rsidRPr="00952CEE">
        <w:rPr>
          <w:rFonts w:asciiTheme="majorHAnsi" w:hAnsiTheme="majorHAnsi"/>
          <w:sz w:val="20"/>
          <w:szCs w:val="20"/>
          <w:lang w:val="es-PE"/>
        </w:rPr>
        <w:t>. Los cuales fueron presentados por los mismos peticionarios, y en los cuales se planteaban reclamos sustancialmente similares a los elaborados en la presente petición, los cuales objetivamente apuntaban a cuestionar la efectividad del PNR en Guatemala.</w:t>
      </w:r>
    </w:p>
    <w:p w14:paraId="6D06B34E" w14:textId="4B9F1066" w:rsidR="0008289A" w:rsidRPr="00952CEE" w:rsidRDefault="0008289A" w:rsidP="0008289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52CEE">
        <w:rPr>
          <w:rFonts w:asciiTheme="majorHAnsi" w:hAnsiTheme="majorHAnsi"/>
          <w:sz w:val="20"/>
          <w:szCs w:val="20"/>
          <w:lang w:val="es-ES"/>
        </w:rPr>
        <w:t>En cuanto a los alegatos sobre violaciones a los artículos 3, 6, 7, 10, 11, 12, 13, 14, 15, 16, 17 y 19 del Protocolo de San Salvador, la Comisión recuerda que su competencia para determinar violaciones en casos individuales, conforme al artículo 19.6 de dicho instrumento, se limita a los artículos 8.1.a</w:t>
      </w:r>
      <w:r w:rsidR="005426AA" w:rsidRPr="00952CEE">
        <w:rPr>
          <w:rFonts w:asciiTheme="majorHAnsi" w:hAnsiTheme="majorHAnsi"/>
          <w:sz w:val="20"/>
          <w:szCs w:val="20"/>
          <w:lang w:val="es-ES"/>
        </w:rPr>
        <w:t>)</w:t>
      </w:r>
      <w:r w:rsidRPr="00952CEE">
        <w:rPr>
          <w:rFonts w:asciiTheme="majorHAnsi" w:hAnsiTheme="majorHAnsi"/>
          <w:sz w:val="20"/>
          <w:szCs w:val="20"/>
          <w:lang w:val="es-ES"/>
        </w:rPr>
        <w:t xml:space="preserve"> y 13. Sobre las alegadas violaciones a la Declaración de Derechos del Hombre de las Naciones Unidas, la Comisión carece de competencia para establecer violaciones a las normas de este instrumento; sin perjuicio de lo cual, podrá tomarlo en cuenta como parte de su ejercicio interpretativo de las normas de la Convención Americana en la etapa de fondo del presente caso, en los términos del artículo 29 de la Convención Americana</w:t>
      </w:r>
      <w:r w:rsidRPr="00952CEE">
        <w:rPr>
          <w:rStyle w:val="FootnoteReference"/>
          <w:rFonts w:asciiTheme="majorHAnsi" w:hAnsiTheme="majorHAnsi"/>
          <w:sz w:val="20"/>
          <w:szCs w:val="20"/>
          <w:lang w:val="es-ES"/>
        </w:rPr>
        <w:footnoteReference w:id="20"/>
      </w:r>
      <w:r w:rsidRPr="00952CEE">
        <w:rPr>
          <w:rFonts w:asciiTheme="majorHAnsi" w:hAnsiTheme="majorHAnsi"/>
          <w:sz w:val="20"/>
          <w:szCs w:val="20"/>
          <w:lang w:val="es-ES"/>
        </w:rPr>
        <w:t>.</w:t>
      </w:r>
    </w:p>
    <w:p w14:paraId="20736C2E" w14:textId="77777777" w:rsidR="002D1D34" w:rsidRDefault="002D1D34" w:rsidP="0077688C">
      <w:pPr>
        <w:pStyle w:val="ListParagraph"/>
        <w:spacing w:before="240" w:after="240"/>
        <w:ind w:left="0" w:firstLine="720"/>
        <w:jc w:val="both"/>
        <w:rPr>
          <w:rFonts w:asciiTheme="majorHAnsi" w:hAnsiTheme="majorHAnsi"/>
          <w:b/>
          <w:bCs/>
          <w:sz w:val="20"/>
          <w:szCs w:val="20"/>
          <w:lang w:val="es-ES"/>
        </w:rPr>
      </w:pPr>
    </w:p>
    <w:p w14:paraId="2079D777" w14:textId="77777777" w:rsidR="002D1D34" w:rsidRDefault="002D1D34" w:rsidP="0077688C">
      <w:pPr>
        <w:pStyle w:val="ListParagraph"/>
        <w:spacing w:before="240" w:after="240"/>
        <w:ind w:left="0" w:firstLine="720"/>
        <w:jc w:val="both"/>
        <w:rPr>
          <w:rFonts w:asciiTheme="majorHAnsi" w:hAnsiTheme="majorHAnsi"/>
          <w:b/>
          <w:bCs/>
          <w:sz w:val="20"/>
          <w:szCs w:val="20"/>
          <w:lang w:val="es-ES"/>
        </w:rPr>
      </w:pPr>
    </w:p>
    <w:p w14:paraId="5A7CBEB5" w14:textId="0709DD42" w:rsidR="00A17345" w:rsidRPr="0008289A" w:rsidRDefault="00A17345" w:rsidP="0077688C">
      <w:pPr>
        <w:pStyle w:val="ListParagraph"/>
        <w:spacing w:before="240" w:after="240"/>
        <w:ind w:left="0" w:firstLine="720"/>
        <w:jc w:val="both"/>
        <w:rPr>
          <w:rFonts w:asciiTheme="majorHAnsi" w:hAnsiTheme="majorHAnsi"/>
          <w:b/>
          <w:bCs/>
          <w:sz w:val="20"/>
          <w:szCs w:val="20"/>
          <w:lang w:val="es-ES"/>
        </w:rPr>
      </w:pPr>
      <w:r w:rsidRPr="0008289A">
        <w:rPr>
          <w:rFonts w:asciiTheme="majorHAnsi" w:hAnsiTheme="majorHAnsi"/>
          <w:b/>
          <w:bCs/>
          <w:sz w:val="20"/>
          <w:szCs w:val="20"/>
          <w:lang w:val="es-ES"/>
        </w:rPr>
        <w:lastRenderedPageBreak/>
        <w:t xml:space="preserve">VIII. </w:t>
      </w:r>
      <w:r w:rsidRPr="0008289A">
        <w:rPr>
          <w:rFonts w:asciiTheme="majorHAnsi" w:hAnsiTheme="majorHAnsi"/>
          <w:b/>
          <w:bCs/>
          <w:sz w:val="20"/>
          <w:szCs w:val="20"/>
          <w:lang w:val="es-ES"/>
        </w:rPr>
        <w:tab/>
        <w:t>DECISIÓN</w:t>
      </w:r>
    </w:p>
    <w:p w14:paraId="7EACFD31" w14:textId="6F85C5B2" w:rsidR="00A17345" w:rsidRPr="0008289A" w:rsidRDefault="00A17345" w:rsidP="0077688C">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8289A">
        <w:rPr>
          <w:rFonts w:asciiTheme="majorHAnsi" w:hAnsiTheme="majorHAnsi"/>
          <w:sz w:val="20"/>
          <w:szCs w:val="20"/>
          <w:lang w:val="es-ES"/>
        </w:rPr>
        <w:t>Declarar admisible la presente petición en relación con los artículos 5, 8 y 24 de la Convención Americana, en relación con los artículos 1.1 y 2 del mismo instrumento;</w:t>
      </w:r>
      <w:r w:rsidR="00673E85">
        <w:rPr>
          <w:rFonts w:asciiTheme="majorHAnsi" w:hAnsiTheme="majorHAnsi"/>
          <w:sz w:val="20"/>
          <w:szCs w:val="20"/>
          <w:lang w:val="es-ES"/>
        </w:rPr>
        <w:t xml:space="preserve"> </w:t>
      </w:r>
      <w:r w:rsidR="00D3319F">
        <w:rPr>
          <w:rFonts w:asciiTheme="majorHAnsi" w:hAnsiTheme="majorHAnsi"/>
          <w:sz w:val="20"/>
          <w:szCs w:val="20"/>
          <w:lang w:val="es-ES"/>
        </w:rPr>
        <w:t>y</w:t>
      </w:r>
    </w:p>
    <w:p w14:paraId="61F7044E" w14:textId="77777777" w:rsidR="00673E85" w:rsidRDefault="00A17345" w:rsidP="00D944F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8289A">
        <w:rPr>
          <w:rFonts w:asciiTheme="majorHAnsi" w:hAnsiTheme="majorHAnsi"/>
          <w:sz w:val="20"/>
          <w:szCs w:val="20"/>
          <w:lang w:val="es-ES"/>
        </w:rPr>
        <w:t>Notificar a las partes la presente decisión</w:t>
      </w:r>
      <w:r w:rsidRPr="008165A7">
        <w:rPr>
          <w:rFonts w:asciiTheme="majorHAnsi" w:hAnsiTheme="majorHAnsi"/>
          <w:sz w:val="20"/>
          <w:szCs w:val="20"/>
          <w:lang w:val="es-ES"/>
        </w:rPr>
        <w:t>; continuar con el análisis del fondo de la cuestión; y publicar esta decisión e incluirla en su Informe Anual a la Asamblea General de la Organización de los Estados Americanos.</w:t>
      </w:r>
    </w:p>
    <w:p w14:paraId="2C3263AE" w14:textId="393A6BA6" w:rsidR="00673E85" w:rsidRDefault="00673E85" w:rsidP="00673E85">
      <w:pPr>
        <w:suppressAutoHyphens/>
        <w:ind w:firstLine="720"/>
        <w:jc w:val="both"/>
        <w:rPr>
          <w:rStyle w:val="eop"/>
          <w:rFonts w:ascii="Cambria" w:hAnsi="Cambria" w:cs="Segoe UI"/>
          <w:sz w:val="20"/>
          <w:szCs w:val="20"/>
          <w:lang w:val="es-ES"/>
        </w:rPr>
      </w:pPr>
      <w:r>
        <w:rPr>
          <w:rStyle w:val="normaltextrun"/>
          <w:rFonts w:ascii="Cambria" w:hAnsi="Cambria" w:cs="Segoe UI"/>
          <w:sz w:val="20"/>
          <w:szCs w:val="20"/>
          <w:lang w:val="es-CL"/>
        </w:rPr>
        <w:t>Aprobado por la Com</w:t>
      </w:r>
      <w:r w:rsidRPr="00F87D02">
        <w:rPr>
          <w:rStyle w:val="normaltextrun"/>
          <w:rFonts w:ascii="Cambria" w:hAnsi="Cambria" w:cs="Segoe UI"/>
          <w:sz w:val="20"/>
          <w:szCs w:val="20"/>
          <w:lang w:val="es-CL"/>
        </w:rPr>
        <w:t xml:space="preserve">isión Interamericana de Derechos Humanos a los 25 días del mes de agosto de 2025.  (Firmado): </w:t>
      </w:r>
      <w:r w:rsidR="005F15BF" w:rsidRPr="00BB5BA9">
        <w:rPr>
          <w:rStyle w:val="normaltextrun"/>
          <w:rFonts w:ascii="Cambria" w:hAnsi="Cambria" w:cs="Segoe UI"/>
          <w:sz w:val="20"/>
          <w:szCs w:val="20"/>
          <w:lang w:val="es-CL"/>
        </w:rPr>
        <w:t xml:space="preserve">José Luis Caballero Ochoa, Presidente; Andrea Pochak, Primera Vicepresidenta; Arif Bulkan, Segundo Vicepresidente; Roberta Clarke y Gloria Monique de Mees, </w:t>
      </w:r>
      <w:r w:rsidR="00533725">
        <w:rPr>
          <w:rStyle w:val="normaltextrun"/>
          <w:rFonts w:ascii="Cambria" w:hAnsi="Cambria" w:cs="Segoe UI"/>
          <w:sz w:val="20"/>
          <w:szCs w:val="20"/>
          <w:lang w:val="es-CL"/>
        </w:rPr>
        <w:t>m</w:t>
      </w:r>
      <w:r w:rsidR="005F15BF" w:rsidRPr="00BB5BA9">
        <w:rPr>
          <w:rStyle w:val="normaltextrun"/>
          <w:rFonts w:ascii="Cambria" w:hAnsi="Cambria" w:cs="Segoe UI"/>
          <w:sz w:val="20"/>
          <w:szCs w:val="20"/>
          <w:lang w:val="es-CL"/>
        </w:rPr>
        <w:t xml:space="preserve">iembros de la Comisión. </w:t>
      </w:r>
      <w:r w:rsidR="005F15BF" w:rsidRPr="00BB5BA9">
        <w:rPr>
          <w:rStyle w:val="eop"/>
          <w:rFonts w:ascii="Cambria" w:hAnsi="Cambria" w:cs="Segoe UI"/>
          <w:sz w:val="20"/>
          <w:szCs w:val="20"/>
          <w:lang w:val="es-ES"/>
        </w:rPr>
        <w:t> </w:t>
      </w:r>
    </w:p>
    <w:p w14:paraId="0342EBE2" w14:textId="77777777" w:rsidR="00673E85" w:rsidRPr="00F87D02" w:rsidRDefault="00673E85" w:rsidP="00673E85">
      <w:pPr>
        <w:suppressAutoHyphens/>
        <w:ind w:firstLine="720"/>
        <w:jc w:val="both"/>
        <w:rPr>
          <w:rFonts w:ascii="Segoe UI" w:hAnsi="Segoe UI" w:cs="Segoe UI"/>
          <w:sz w:val="18"/>
          <w:szCs w:val="18"/>
          <w:lang w:val="es-ES"/>
        </w:rPr>
      </w:pPr>
    </w:p>
    <w:p w14:paraId="0681B526" w14:textId="49014A6A" w:rsidR="00F611C0" w:rsidRDefault="00F611C0" w:rsidP="00673E8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944FB">
        <w:rPr>
          <w:rFonts w:asciiTheme="majorHAnsi" w:hAnsiTheme="majorHAnsi"/>
          <w:sz w:val="20"/>
          <w:szCs w:val="20"/>
          <w:lang w:val="es-ES"/>
        </w:rPr>
        <w:br w:type="page"/>
      </w:r>
    </w:p>
    <w:p w14:paraId="3EDD5498" w14:textId="7445A525" w:rsidR="007E46BD" w:rsidRPr="00495CFD" w:rsidRDefault="001B0FB6" w:rsidP="00673E8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495CFD">
        <w:rPr>
          <w:rFonts w:asciiTheme="majorHAnsi" w:hAnsiTheme="majorHAnsi"/>
          <w:sz w:val="20"/>
          <w:szCs w:val="20"/>
          <w:lang w:val="es-ES"/>
        </w:rPr>
        <w:lastRenderedPageBreak/>
        <w:t>CENSO COMUNITARIO POR CASA DE HABITACIÓN: COMUNIDAD LAS MUÑECAS, IXCAN, EL QUICHÉ, AÑO 2011</w:t>
      </w:r>
    </w:p>
    <w:tbl>
      <w:tblPr>
        <w:tblW w:w="4921" w:type="pct"/>
        <w:tblLook w:val="04A0" w:firstRow="1" w:lastRow="0" w:firstColumn="1" w:lastColumn="0" w:noHBand="0" w:noVBand="1"/>
      </w:tblPr>
      <w:tblGrid>
        <w:gridCol w:w="4618"/>
        <w:gridCol w:w="1507"/>
        <w:gridCol w:w="3077"/>
      </w:tblGrid>
      <w:tr w:rsidR="0006197B" w:rsidRPr="00495CFD" w14:paraId="5570C128" w14:textId="77777777" w:rsidTr="00495CFD">
        <w:trPr>
          <w:trHeight w:val="628"/>
        </w:trPr>
        <w:tc>
          <w:tcPr>
            <w:tcW w:w="250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E40570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b/>
                <w:bCs/>
                <w:color w:val="212529"/>
                <w:sz w:val="20"/>
                <w:szCs w:val="20"/>
                <w:bdr w:val="none" w:sz="0" w:space="0" w:color="auto"/>
              </w:rPr>
            </w:pPr>
            <w:r w:rsidRPr="00495CFD">
              <w:rPr>
                <w:rFonts w:asciiTheme="majorHAnsi" w:eastAsia="Times New Roman" w:hAnsiTheme="majorHAnsi" w:cs="Segoe UI"/>
                <w:b/>
                <w:bCs/>
                <w:color w:val="212529"/>
                <w:sz w:val="20"/>
                <w:szCs w:val="20"/>
                <w:bdr w:val="none" w:sz="0" w:space="0" w:color="auto"/>
              </w:rPr>
              <w:t>Nombre:</w:t>
            </w:r>
          </w:p>
        </w:tc>
        <w:tc>
          <w:tcPr>
            <w:tcW w:w="819" w:type="pct"/>
            <w:tcBorders>
              <w:top w:val="single" w:sz="4" w:space="0" w:color="auto"/>
              <w:left w:val="nil"/>
              <w:bottom w:val="single" w:sz="4" w:space="0" w:color="auto"/>
              <w:right w:val="single" w:sz="4" w:space="0" w:color="auto"/>
            </w:tcBorders>
            <w:shd w:val="clear" w:color="000000" w:fill="FFFFFF"/>
            <w:vAlign w:val="bottom"/>
            <w:hideMark/>
          </w:tcPr>
          <w:p w14:paraId="75567F7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b/>
                <w:bCs/>
                <w:color w:val="212529"/>
                <w:sz w:val="20"/>
                <w:szCs w:val="20"/>
                <w:bdr w:val="none" w:sz="0" w:space="0" w:color="auto"/>
              </w:rPr>
            </w:pPr>
            <w:r w:rsidRPr="00495CFD">
              <w:rPr>
                <w:rFonts w:asciiTheme="majorHAnsi" w:eastAsia="Times New Roman" w:hAnsiTheme="majorHAnsi" w:cs="Segoe UI"/>
                <w:b/>
                <w:bCs/>
                <w:color w:val="212529"/>
                <w:sz w:val="20"/>
                <w:szCs w:val="20"/>
                <w:bdr w:val="none" w:sz="0" w:space="0" w:color="auto"/>
              </w:rPr>
              <w:t>Edad:</w:t>
            </w:r>
          </w:p>
        </w:tc>
        <w:tc>
          <w:tcPr>
            <w:tcW w:w="1672" w:type="pct"/>
            <w:tcBorders>
              <w:top w:val="single" w:sz="4" w:space="0" w:color="auto"/>
              <w:left w:val="nil"/>
              <w:bottom w:val="single" w:sz="4" w:space="0" w:color="auto"/>
              <w:right w:val="single" w:sz="4" w:space="0" w:color="auto"/>
            </w:tcBorders>
            <w:shd w:val="clear" w:color="000000" w:fill="FFFFFF"/>
            <w:vAlign w:val="bottom"/>
            <w:hideMark/>
          </w:tcPr>
          <w:p w14:paraId="12655B6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b/>
                <w:bCs/>
                <w:color w:val="212529"/>
                <w:sz w:val="20"/>
                <w:szCs w:val="20"/>
                <w:bdr w:val="none" w:sz="0" w:space="0" w:color="auto"/>
              </w:rPr>
            </w:pPr>
            <w:r w:rsidRPr="00495CFD">
              <w:rPr>
                <w:rFonts w:asciiTheme="majorHAnsi" w:eastAsia="Times New Roman" w:hAnsiTheme="majorHAnsi" w:cs="Segoe UI"/>
                <w:b/>
                <w:bCs/>
                <w:color w:val="212529"/>
                <w:sz w:val="20"/>
                <w:szCs w:val="20"/>
                <w:bdr w:val="none" w:sz="0" w:space="0" w:color="auto"/>
              </w:rPr>
              <w:t>No. Identificación</w:t>
            </w:r>
          </w:p>
        </w:tc>
      </w:tr>
      <w:tr w:rsidR="0006197B" w:rsidRPr="00495CFD" w14:paraId="2D68B72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1AEF89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w:t>
            </w:r>
          </w:p>
        </w:tc>
        <w:tc>
          <w:tcPr>
            <w:tcW w:w="819" w:type="pct"/>
            <w:tcBorders>
              <w:top w:val="nil"/>
              <w:left w:val="nil"/>
              <w:bottom w:val="single" w:sz="4" w:space="0" w:color="auto"/>
              <w:right w:val="single" w:sz="4" w:space="0" w:color="auto"/>
            </w:tcBorders>
            <w:shd w:val="clear" w:color="000000" w:fill="FFFFFF"/>
            <w:hideMark/>
          </w:tcPr>
          <w:p w14:paraId="1083A9A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260F20C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D24AAE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548072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Alejandro Bá</w:t>
            </w:r>
          </w:p>
        </w:tc>
        <w:tc>
          <w:tcPr>
            <w:tcW w:w="819" w:type="pct"/>
            <w:tcBorders>
              <w:top w:val="nil"/>
              <w:left w:val="nil"/>
              <w:bottom w:val="single" w:sz="4" w:space="0" w:color="auto"/>
              <w:right w:val="single" w:sz="4" w:space="0" w:color="auto"/>
            </w:tcBorders>
            <w:shd w:val="clear" w:color="000000" w:fill="FFFFFF"/>
            <w:hideMark/>
          </w:tcPr>
          <w:p w14:paraId="57461EE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52 años</w:t>
            </w:r>
          </w:p>
        </w:tc>
        <w:tc>
          <w:tcPr>
            <w:tcW w:w="1672" w:type="pct"/>
            <w:tcBorders>
              <w:top w:val="nil"/>
              <w:left w:val="nil"/>
              <w:bottom w:val="single" w:sz="4" w:space="0" w:color="auto"/>
              <w:right w:val="single" w:sz="4" w:space="0" w:color="auto"/>
            </w:tcBorders>
            <w:shd w:val="clear" w:color="000000" w:fill="FFFFFF"/>
            <w:hideMark/>
          </w:tcPr>
          <w:p w14:paraId="381D752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9E9CFB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2BCD67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Maria Quim</w:t>
            </w:r>
          </w:p>
        </w:tc>
        <w:tc>
          <w:tcPr>
            <w:tcW w:w="819" w:type="pct"/>
            <w:tcBorders>
              <w:top w:val="nil"/>
              <w:left w:val="nil"/>
              <w:bottom w:val="single" w:sz="4" w:space="0" w:color="auto"/>
              <w:right w:val="single" w:sz="4" w:space="0" w:color="auto"/>
            </w:tcBorders>
            <w:shd w:val="clear" w:color="000000" w:fill="FFFFFF"/>
            <w:hideMark/>
          </w:tcPr>
          <w:p w14:paraId="017CE48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51 años</w:t>
            </w:r>
          </w:p>
        </w:tc>
        <w:tc>
          <w:tcPr>
            <w:tcW w:w="1672" w:type="pct"/>
            <w:tcBorders>
              <w:top w:val="nil"/>
              <w:left w:val="nil"/>
              <w:bottom w:val="single" w:sz="4" w:space="0" w:color="auto"/>
              <w:right w:val="single" w:sz="4" w:space="0" w:color="auto"/>
            </w:tcBorders>
            <w:shd w:val="clear" w:color="000000" w:fill="FFFFFF"/>
            <w:hideMark/>
          </w:tcPr>
          <w:p w14:paraId="2F570F1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E45A76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9D2DBA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Saúl Ba Quim</w:t>
            </w:r>
          </w:p>
        </w:tc>
        <w:tc>
          <w:tcPr>
            <w:tcW w:w="819" w:type="pct"/>
            <w:tcBorders>
              <w:top w:val="nil"/>
              <w:left w:val="nil"/>
              <w:bottom w:val="single" w:sz="4" w:space="0" w:color="auto"/>
              <w:right w:val="single" w:sz="4" w:space="0" w:color="auto"/>
            </w:tcBorders>
            <w:shd w:val="clear" w:color="000000" w:fill="FFFFFF"/>
            <w:hideMark/>
          </w:tcPr>
          <w:p w14:paraId="0941D6B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12 años</w:t>
            </w:r>
          </w:p>
        </w:tc>
        <w:tc>
          <w:tcPr>
            <w:tcW w:w="1672" w:type="pct"/>
            <w:tcBorders>
              <w:top w:val="nil"/>
              <w:left w:val="nil"/>
              <w:bottom w:val="single" w:sz="4" w:space="0" w:color="auto"/>
              <w:right w:val="single" w:sz="4" w:space="0" w:color="auto"/>
            </w:tcBorders>
            <w:shd w:val="clear" w:color="000000" w:fill="FFFFFF"/>
            <w:hideMark/>
          </w:tcPr>
          <w:p w14:paraId="3DD5CDD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EF820A1"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6133605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w:t>
            </w:r>
          </w:p>
        </w:tc>
        <w:tc>
          <w:tcPr>
            <w:tcW w:w="819" w:type="pct"/>
            <w:tcBorders>
              <w:top w:val="nil"/>
              <w:left w:val="nil"/>
              <w:bottom w:val="single" w:sz="4" w:space="0" w:color="auto"/>
              <w:right w:val="single" w:sz="4" w:space="0" w:color="auto"/>
            </w:tcBorders>
            <w:shd w:val="clear" w:color="000000" w:fill="FFFFFF"/>
            <w:hideMark/>
          </w:tcPr>
          <w:p w14:paraId="0B0418F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373D8A8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3B42E9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008942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Mario Seb Choc</w:t>
            </w:r>
          </w:p>
        </w:tc>
        <w:tc>
          <w:tcPr>
            <w:tcW w:w="819" w:type="pct"/>
            <w:tcBorders>
              <w:top w:val="nil"/>
              <w:left w:val="nil"/>
              <w:bottom w:val="single" w:sz="4" w:space="0" w:color="auto"/>
              <w:right w:val="single" w:sz="4" w:space="0" w:color="auto"/>
            </w:tcBorders>
            <w:shd w:val="clear" w:color="000000" w:fill="FFFFFF"/>
            <w:hideMark/>
          </w:tcPr>
          <w:p w14:paraId="0429A4C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36 años</w:t>
            </w:r>
          </w:p>
        </w:tc>
        <w:tc>
          <w:tcPr>
            <w:tcW w:w="1672" w:type="pct"/>
            <w:tcBorders>
              <w:top w:val="nil"/>
              <w:left w:val="nil"/>
              <w:bottom w:val="single" w:sz="4" w:space="0" w:color="auto"/>
              <w:right w:val="single" w:sz="4" w:space="0" w:color="auto"/>
            </w:tcBorders>
            <w:shd w:val="clear" w:color="000000" w:fill="FFFFFF"/>
            <w:hideMark/>
          </w:tcPr>
          <w:p w14:paraId="4CA3D1C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19436</w:t>
            </w:r>
          </w:p>
        </w:tc>
      </w:tr>
      <w:tr w:rsidR="0006197B" w:rsidRPr="00495CFD" w14:paraId="353F5E9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26D1D0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Santa Eulalia Quib</w:t>
            </w:r>
          </w:p>
        </w:tc>
        <w:tc>
          <w:tcPr>
            <w:tcW w:w="819" w:type="pct"/>
            <w:tcBorders>
              <w:top w:val="nil"/>
              <w:left w:val="nil"/>
              <w:bottom w:val="single" w:sz="4" w:space="0" w:color="auto"/>
              <w:right w:val="single" w:sz="4" w:space="0" w:color="auto"/>
            </w:tcBorders>
            <w:shd w:val="clear" w:color="000000" w:fill="FFFFFF"/>
            <w:hideMark/>
          </w:tcPr>
          <w:p w14:paraId="5EFF167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32 años</w:t>
            </w:r>
          </w:p>
        </w:tc>
        <w:tc>
          <w:tcPr>
            <w:tcW w:w="1672" w:type="pct"/>
            <w:tcBorders>
              <w:top w:val="nil"/>
              <w:left w:val="nil"/>
              <w:bottom w:val="single" w:sz="4" w:space="0" w:color="auto"/>
              <w:right w:val="single" w:sz="4" w:space="0" w:color="auto"/>
            </w:tcBorders>
            <w:shd w:val="clear" w:color="000000" w:fill="FFFFFF"/>
            <w:hideMark/>
          </w:tcPr>
          <w:p w14:paraId="7B0CCDC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89031E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B1D17F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Edim Anibal Seb Quib</w:t>
            </w:r>
          </w:p>
        </w:tc>
        <w:tc>
          <w:tcPr>
            <w:tcW w:w="819" w:type="pct"/>
            <w:tcBorders>
              <w:top w:val="nil"/>
              <w:left w:val="nil"/>
              <w:bottom w:val="single" w:sz="4" w:space="0" w:color="auto"/>
              <w:right w:val="single" w:sz="4" w:space="0" w:color="auto"/>
            </w:tcBorders>
            <w:shd w:val="clear" w:color="000000" w:fill="FFFFFF"/>
            <w:hideMark/>
          </w:tcPr>
          <w:p w14:paraId="062DD07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13 años</w:t>
            </w:r>
          </w:p>
        </w:tc>
        <w:tc>
          <w:tcPr>
            <w:tcW w:w="1672" w:type="pct"/>
            <w:tcBorders>
              <w:top w:val="nil"/>
              <w:left w:val="nil"/>
              <w:bottom w:val="single" w:sz="4" w:space="0" w:color="auto"/>
              <w:right w:val="single" w:sz="4" w:space="0" w:color="auto"/>
            </w:tcBorders>
            <w:shd w:val="clear" w:color="000000" w:fill="FFFFFF"/>
            <w:hideMark/>
          </w:tcPr>
          <w:p w14:paraId="26A2A49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D5BA796"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5ED6717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3.</w:t>
            </w:r>
          </w:p>
        </w:tc>
        <w:tc>
          <w:tcPr>
            <w:tcW w:w="819" w:type="pct"/>
            <w:tcBorders>
              <w:top w:val="nil"/>
              <w:left w:val="nil"/>
              <w:bottom w:val="single" w:sz="4" w:space="0" w:color="auto"/>
              <w:right w:val="single" w:sz="4" w:space="0" w:color="auto"/>
            </w:tcBorders>
            <w:shd w:val="clear" w:color="000000" w:fill="FFFFFF"/>
            <w:hideMark/>
          </w:tcPr>
          <w:p w14:paraId="63CB84D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11B44F8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A23D42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039128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Domingo Pop</w:t>
            </w:r>
          </w:p>
        </w:tc>
        <w:tc>
          <w:tcPr>
            <w:tcW w:w="819" w:type="pct"/>
            <w:tcBorders>
              <w:top w:val="nil"/>
              <w:left w:val="nil"/>
              <w:bottom w:val="single" w:sz="4" w:space="0" w:color="auto"/>
              <w:right w:val="single" w:sz="4" w:space="0" w:color="auto"/>
            </w:tcBorders>
            <w:shd w:val="clear" w:color="000000" w:fill="FFFFFF"/>
            <w:hideMark/>
          </w:tcPr>
          <w:p w14:paraId="3888107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66 años</w:t>
            </w:r>
          </w:p>
        </w:tc>
        <w:tc>
          <w:tcPr>
            <w:tcW w:w="1672" w:type="pct"/>
            <w:tcBorders>
              <w:top w:val="nil"/>
              <w:left w:val="nil"/>
              <w:bottom w:val="single" w:sz="4" w:space="0" w:color="auto"/>
              <w:right w:val="single" w:sz="4" w:space="0" w:color="auto"/>
            </w:tcBorders>
            <w:shd w:val="clear" w:color="000000" w:fill="FFFFFF"/>
            <w:hideMark/>
          </w:tcPr>
          <w:p w14:paraId="56EBAB9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xml:space="preserve"> N-14 3069</w:t>
            </w:r>
          </w:p>
        </w:tc>
      </w:tr>
      <w:tr w:rsidR="0006197B" w:rsidRPr="00495CFD" w14:paraId="5C9546B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B8F548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Albertina Cu</w:t>
            </w:r>
          </w:p>
        </w:tc>
        <w:tc>
          <w:tcPr>
            <w:tcW w:w="819" w:type="pct"/>
            <w:tcBorders>
              <w:top w:val="nil"/>
              <w:left w:val="nil"/>
              <w:bottom w:val="single" w:sz="4" w:space="0" w:color="auto"/>
              <w:right w:val="single" w:sz="4" w:space="0" w:color="auto"/>
            </w:tcBorders>
            <w:shd w:val="clear" w:color="000000" w:fill="FFFFFF"/>
            <w:hideMark/>
          </w:tcPr>
          <w:p w14:paraId="04ABAAC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63 años</w:t>
            </w:r>
          </w:p>
        </w:tc>
        <w:tc>
          <w:tcPr>
            <w:tcW w:w="1672" w:type="pct"/>
            <w:tcBorders>
              <w:top w:val="nil"/>
              <w:left w:val="nil"/>
              <w:bottom w:val="single" w:sz="4" w:space="0" w:color="auto"/>
              <w:right w:val="single" w:sz="4" w:space="0" w:color="auto"/>
            </w:tcBorders>
            <w:shd w:val="clear" w:color="000000" w:fill="FFFFFF"/>
            <w:hideMark/>
          </w:tcPr>
          <w:p w14:paraId="48C22F1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7610AEF"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65C5DD2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4.</w:t>
            </w:r>
          </w:p>
        </w:tc>
        <w:tc>
          <w:tcPr>
            <w:tcW w:w="819" w:type="pct"/>
            <w:tcBorders>
              <w:top w:val="nil"/>
              <w:left w:val="nil"/>
              <w:bottom w:val="single" w:sz="4" w:space="0" w:color="auto"/>
              <w:right w:val="single" w:sz="4" w:space="0" w:color="auto"/>
            </w:tcBorders>
            <w:shd w:val="clear" w:color="000000" w:fill="FFFFFF"/>
            <w:hideMark/>
          </w:tcPr>
          <w:p w14:paraId="72C0F2E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6F32B54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1F3728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0ED37D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Herman Yaxcal Tun</w:t>
            </w:r>
          </w:p>
        </w:tc>
        <w:tc>
          <w:tcPr>
            <w:tcW w:w="819" w:type="pct"/>
            <w:tcBorders>
              <w:top w:val="nil"/>
              <w:left w:val="nil"/>
              <w:bottom w:val="single" w:sz="4" w:space="0" w:color="auto"/>
              <w:right w:val="single" w:sz="4" w:space="0" w:color="auto"/>
            </w:tcBorders>
            <w:shd w:val="clear" w:color="000000" w:fill="FFFFFF"/>
            <w:hideMark/>
          </w:tcPr>
          <w:p w14:paraId="1783CB6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47 años</w:t>
            </w:r>
          </w:p>
        </w:tc>
        <w:tc>
          <w:tcPr>
            <w:tcW w:w="1672" w:type="pct"/>
            <w:tcBorders>
              <w:top w:val="nil"/>
              <w:left w:val="nil"/>
              <w:bottom w:val="single" w:sz="4" w:space="0" w:color="auto"/>
              <w:right w:val="single" w:sz="4" w:space="0" w:color="auto"/>
            </w:tcBorders>
            <w:shd w:val="clear" w:color="000000" w:fill="FFFFFF"/>
            <w:hideMark/>
          </w:tcPr>
          <w:p w14:paraId="361E42B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xml:space="preserve"> N-14 1770</w:t>
            </w:r>
          </w:p>
        </w:tc>
      </w:tr>
      <w:tr w:rsidR="0006197B" w:rsidRPr="00495CFD" w14:paraId="240A24B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37E6AE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Margarita Pop</w:t>
            </w:r>
          </w:p>
        </w:tc>
        <w:tc>
          <w:tcPr>
            <w:tcW w:w="819" w:type="pct"/>
            <w:tcBorders>
              <w:top w:val="nil"/>
              <w:left w:val="nil"/>
              <w:bottom w:val="single" w:sz="4" w:space="0" w:color="auto"/>
              <w:right w:val="single" w:sz="4" w:space="0" w:color="auto"/>
            </w:tcBorders>
            <w:shd w:val="clear" w:color="000000" w:fill="FFFFFF"/>
            <w:hideMark/>
          </w:tcPr>
          <w:p w14:paraId="13D81E6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44 años</w:t>
            </w:r>
          </w:p>
        </w:tc>
        <w:tc>
          <w:tcPr>
            <w:tcW w:w="1672" w:type="pct"/>
            <w:tcBorders>
              <w:top w:val="nil"/>
              <w:left w:val="nil"/>
              <w:bottom w:val="single" w:sz="4" w:space="0" w:color="auto"/>
              <w:right w:val="single" w:sz="4" w:space="0" w:color="auto"/>
            </w:tcBorders>
            <w:shd w:val="clear" w:color="000000" w:fill="FFFFFF"/>
            <w:hideMark/>
          </w:tcPr>
          <w:p w14:paraId="6512F9E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B4517B9"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342FDF8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5.</w:t>
            </w:r>
          </w:p>
        </w:tc>
        <w:tc>
          <w:tcPr>
            <w:tcW w:w="819" w:type="pct"/>
            <w:tcBorders>
              <w:top w:val="nil"/>
              <w:left w:val="nil"/>
              <w:bottom w:val="single" w:sz="4" w:space="0" w:color="auto"/>
              <w:right w:val="single" w:sz="4" w:space="0" w:color="auto"/>
            </w:tcBorders>
            <w:shd w:val="clear" w:color="000000" w:fill="FFFFFF"/>
            <w:hideMark/>
          </w:tcPr>
          <w:p w14:paraId="2B9FA78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26EA72D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C90E57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4ABD7B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Daniel Choj Rax</w:t>
            </w:r>
          </w:p>
        </w:tc>
        <w:tc>
          <w:tcPr>
            <w:tcW w:w="819" w:type="pct"/>
            <w:tcBorders>
              <w:top w:val="nil"/>
              <w:left w:val="nil"/>
              <w:bottom w:val="single" w:sz="4" w:space="0" w:color="auto"/>
              <w:right w:val="single" w:sz="4" w:space="0" w:color="auto"/>
            </w:tcBorders>
            <w:shd w:val="clear" w:color="000000" w:fill="FFFFFF"/>
            <w:hideMark/>
          </w:tcPr>
          <w:p w14:paraId="7F7F7A9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62 años</w:t>
            </w:r>
          </w:p>
        </w:tc>
        <w:tc>
          <w:tcPr>
            <w:tcW w:w="1672" w:type="pct"/>
            <w:tcBorders>
              <w:top w:val="nil"/>
              <w:left w:val="nil"/>
              <w:bottom w:val="single" w:sz="4" w:space="0" w:color="auto"/>
              <w:right w:val="single" w:sz="4" w:space="0" w:color="auto"/>
            </w:tcBorders>
            <w:shd w:val="clear" w:color="000000" w:fill="FFFFFF"/>
            <w:hideMark/>
          </w:tcPr>
          <w:p w14:paraId="588E0CE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4185</w:t>
            </w:r>
          </w:p>
        </w:tc>
      </w:tr>
      <w:tr w:rsidR="0006197B" w:rsidRPr="00495CFD" w14:paraId="12E1F4A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DC0A66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Felisa Caal</w:t>
            </w:r>
          </w:p>
        </w:tc>
        <w:tc>
          <w:tcPr>
            <w:tcW w:w="819" w:type="pct"/>
            <w:tcBorders>
              <w:top w:val="nil"/>
              <w:left w:val="nil"/>
              <w:bottom w:val="single" w:sz="4" w:space="0" w:color="auto"/>
              <w:right w:val="single" w:sz="4" w:space="0" w:color="auto"/>
            </w:tcBorders>
            <w:shd w:val="clear" w:color="000000" w:fill="FFFFFF"/>
            <w:hideMark/>
          </w:tcPr>
          <w:p w14:paraId="22BCADE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60 años</w:t>
            </w:r>
          </w:p>
        </w:tc>
        <w:tc>
          <w:tcPr>
            <w:tcW w:w="1672" w:type="pct"/>
            <w:tcBorders>
              <w:top w:val="nil"/>
              <w:left w:val="nil"/>
              <w:bottom w:val="single" w:sz="4" w:space="0" w:color="auto"/>
              <w:right w:val="single" w:sz="4" w:space="0" w:color="auto"/>
            </w:tcBorders>
            <w:shd w:val="clear" w:color="000000" w:fill="FFFFFF"/>
            <w:hideMark/>
          </w:tcPr>
          <w:p w14:paraId="3B67A99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30743</w:t>
            </w:r>
          </w:p>
        </w:tc>
      </w:tr>
      <w:tr w:rsidR="0006197B" w:rsidRPr="00495CFD" w14:paraId="2AE827CD"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01745D2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6.</w:t>
            </w:r>
          </w:p>
        </w:tc>
        <w:tc>
          <w:tcPr>
            <w:tcW w:w="819" w:type="pct"/>
            <w:tcBorders>
              <w:top w:val="nil"/>
              <w:left w:val="nil"/>
              <w:bottom w:val="single" w:sz="4" w:space="0" w:color="auto"/>
              <w:right w:val="single" w:sz="4" w:space="0" w:color="auto"/>
            </w:tcBorders>
            <w:shd w:val="clear" w:color="000000" w:fill="FFFFFF"/>
            <w:hideMark/>
          </w:tcPr>
          <w:p w14:paraId="68256B0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7E8762D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174B23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74BBED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Mariano Chocoj</w:t>
            </w:r>
          </w:p>
        </w:tc>
        <w:tc>
          <w:tcPr>
            <w:tcW w:w="819" w:type="pct"/>
            <w:tcBorders>
              <w:top w:val="nil"/>
              <w:left w:val="nil"/>
              <w:bottom w:val="single" w:sz="4" w:space="0" w:color="auto"/>
              <w:right w:val="single" w:sz="4" w:space="0" w:color="auto"/>
            </w:tcBorders>
            <w:shd w:val="clear" w:color="000000" w:fill="FFFFFF"/>
            <w:hideMark/>
          </w:tcPr>
          <w:p w14:paraId="1FE3F52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48 años</w:t>
            </w:r>
          </w:p>
        </w:tc>
        <w:tc>
          <w:tcPr>
            <w:tcW w:w="1672" w:type="pct"/>
            <w:tcBorders>
              <w:top w:val="nil"/>
              <w:left w:val="nil"/>
              <w:bottom w:val="single" w:sz="4" w:space="0" w:color="auto"/>
              <w:right w:val="single" w:sz="4" w:space="0" w:color="auto"/>
            </w:tcBorders>
            <w:shd w:val="clear" w:color="000000" w:fill="FFFFFF"/>
            <w:hideMark/>
          </w:tcPr>
          <w:p w14:paraId="0740868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22168</w:t>
            </w:r>
          </w:p>
        </w:tc>
      </w:tr>
      <w:tr w:rsidR="0006197B" w:rsidRPr="00495CFD" w14:paraId="47CBE76F"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4E5E06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Maria Mucu Xoy</w:t>
            </w:r>
          </w:p>
        </w:tc>
        <w:tc>
          <w:tcPr>
            <w:tcW w:w="819" w:type="pct"/>
            <w:tcBorders>
              <w:top w:val="nil"/>
              <w:left w:val="nil"/>
              <w:bottom w:val="single" w:sz="4" w:space="0" w:color="auto"/>
              <w:right w:val="single" w:sz="4" w:space="0" w:color="auto"/>
            </w:tcBorders>
            <w:shd w:val="clear" w:color="000000" w:fill="FFFFFF"/>
            <w:hideMark/>
          </w:tcPr>
          <w:p w14:paraId="01DE323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43 años</w:t>
            </w:r>
          </w:p>
        </w:tc>
        <w:tc>
          <w:tcPr>
            <w:tcW w:w="1672" w:type="pct"/>
            <w:tcBorders>
              <w:top w:val="nil"/>
              <w:left w:val="nil"/>
              <w:bottom w:val="single" w:sz="4" w:space="0" w:color="auto"/>
              <w:right w:val="single" w:sz="4" w:space="0" w:color="auto"/>
            </w:tcBorders>
            <w:shd w:val="clear" w:color="000000" w:fill="FFFFFF"/>
            <w:hideMark/>
          </w:tcPr>
          <w:p w14:paraId="4438882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81B886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47A5EB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Gilberto Chocoj</w:t>
            </w:r>
          </w:p>
        </w:tc>
        <w:tc>
          <w:tcPr>
            <w:tcW w:w="819" w:type="pct"/>
            <w:tcBorders>
              <w:top w:val="nil"/>
              <w:left w:val="nil"/>
              <w:bottom w:val="single" w:sz="4" w:space="0" w:color="auto"/>
              <w:right w:val="single" w:sz="4" w:space="0" w:color="auto"/>
            </w:tcBorders>
            <w:shd w:val="clear" w:color="000000" w:fill="FFFFFF"/>
            <w:hideMark/>
          </w:tcPr>
          <w:p w14:paraId="158FB68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17 años</w:t>
            </w:r>
          </w:p>
        </w:tc>
        <w:tc>
          <w:tcPr>
            <w:tcW w:w="1672" w:type="pct"/>
            <w:tcBorders>
              <w:top w:val="nil"/>
              <w:left w:val="nil"/>
              <w:bottom w:val="single" w:sz="4" w:space="0" w:color="auto"/>
              <w:right w:val="single" w:sz="4" w:space="0" w:color="auto"/>
            </w:tcBorders>
            <w:shd w:val="clear" w:color="000000" w:fill="FFFFFF"/>
            <w:hideMark/>
          </w:tcPr>
          <w:p w14:paraId="455AD14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34B8886"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634BC72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7.</w:t>
            </w:r>
          </w:p>
        </w:tc>
        <w:tc>
          <w:tcPr>
            <w:tcW w:w="819" w:type="pct"/>
            <w:tcBorders>
              <w:top w:val="nil"/>
              <w:left w:val="nil"/>
              <w:bottom w:val="single" w:sz="4" w:space="0" w:color="auto"/>
              <w:right w:val="single" w:sz="4" w:space="0" w:color="auto"/>
            </w:tcBorders>
            <w:shd w:val="clear" w:color="000000" w:fill="FFFFFF"/>
            <w:hideMark/>
          </w:tcPr>
          <w:p w14:paraId="6D2516A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42E3414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844B96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3C146B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Andrez Mucu</w:t>
            </w:r>
          </w:p>
        </w:tc>
        <w:tc>
          <w:tcPr>
            <w:tcW w:w="819" w:type="pct"/>
            <w:tcBorders>
              <w:top w:val="nil"/>
              <w:left w:val="nil"/>
              <w:bottom w:val="single" w:sz="4" w:space="0" w:color="auto"/>
              <w:right w:val="single" w:sz="4" w:space="0" w:color="auto"/>
            </w:tcBorders>
            <w:shd w:val="clear" w:color="000000" w:fill="FFFFFF"/>
            <w:hideMark/>
          </w:tcPr>
          <w:p w14:paraId="48C2794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67 años</w:t>
            </w:r>
          </w:p>
        </w:tc>
        <w:tc>
          <w:tcPr>
            <w:tcW w:w="1672" w:type="pct"/>
            <w:tcBorders>
              <w:top w:val="nil"/>
              <w:left w:val="nil"/>
              <w:bottom w:val="single" w:sz="4" w:space="0" w:color="auto"/>
              <w:right w:val="single" w:sz="4" w:space="0" w:color="auto"/>
            </w:tcBorders>
            <w:shd w:val="clear" w:color="000000" w:fill="FFFFFF"/>
            <w:hideMark/>
          </w:tcPr>
          <w:p w14:paraId="67B3655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43403</w:t>
            </w:r>
          </w:p>
        </w:tc>
      </w:tr>
      <w:tr w:rsidR="0006197B" w:rsidRPr="00495CFD" w14:paraId="2413CA8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F89F16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Luisa Xoy</w:t>
            </w:r>
          </w:p>
        </w:tc>
        <w:tc>
          <w:tcPr>
            <w:tcW w:w="819" w:type="pct"/>
            <w:tcBorders>
              <w:top w:val="nil"/>
              <w:left w:val="nil"/>
              <w:bottom w:val="single" w:sz="4" w:space="0" w:color="auto"/>
              <w:right w:val="single" w:sz="4" w:space="0" w:color="auto"/>
            </w:tcBorders>
            <w:shd w:val="clear" w:color="000000" w:fill="FFFFFF"/>
            <w:hideMark/>
          </w:tcPr>
          <w:p w14:paraId="59FF94E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65 años</w:t>
            </w:r>
          </w:p>
        </w:tc>
        <w:tc>
          <w:tcPr>
            <w:tcW w:w="1672" w:type="pct"/>
            <w:tcBorders>
              <w:top w:val="nil"/>
              <w:left w:val="nil"/>
              <w:bottom w:val="single" w:sz="4" w:space="0" w:color="auto"/>
              <w:right w:val="single" w:sz="4" w:space="0" w:color="auto"/>
            </w:tcBorders>
            <w:shd w:val="clear" w:color="000000" w:fill="FFFFFF"/>
            <w:hideMark/>
          </w:tcPr>
          <w:p w14:paraId="3CFF2AA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A4B1DA2"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264DFEB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8.</w:t>
            </w:r>
          </w:p>
        </w:tc>
        <w:tc>
          <w:tcPr>
            <w:tcW w:w="819" w:type="pct"/>
            <w:tcBorders>
              <w:top w:val="nil"/>
              <w:left w:val="nil"/>
              <w:bottom w:val="single" w:sz="4" w:space="0" w:color="auto"/>
              <w:right w:val="single" w:sz="4" w:space="0" w:color="auto"/>
            </w:tcBorders>
            <w:shd w:val="clear" w:color="000000" w:fill="FFFFFF"/>
            <w:hideMark/>
          </w:tcPr>
          <w:p w14:paraId="1932034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2EB5AA1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F01316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EBC8B3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José Coc</w:t>
            </w:r>
          </w:p>
        </w:tc>
        <w:tc>
          <w:tcPr>
            <w:tcW w:w="819" w:type="pct"/>
            <w:tcBorders>
              <w:top w:val="nil"/>
              <w:left w:val="nil"/>
              <w:bottom w:val="single" w:sz="4" w:space="0" w:color="auto"/>
              <w:right w:val="single" w:sz="4" w:space="0" w:color="auto"/>
            </w:tcBorders>
            <w:shd w:val="clear" w:color="000000" w:fill="FFFFFF"/>
            <w:hideMark/>
          </w:tcPr>
          <w:p w14:paraId="2234D19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58 años</w:t>
            </w:r>
          </w:p>
        </w:tc>
        <w:tc>
          <w:tcPr>
            <w:tcW w:w="1672" w:type="pct"/>
            <w:tcBorders>
              <w:top w:val="nil"/>
              <w:left w:val="nil"/>
              <w:bottom w:val="single" w:sz="4" w:space="0" w:color="auto"/>
              <w:right w:val="single" w:sz="4" w:space="0" w:color="auto"/>
            </w:tcBorders>
            <w:shd w:val="clear" w:color="000000" w:fill="FFFFFF"/>
            <w:hideMark/>
          </w:tcPr>
          <w:p w14:paraId="5F5A1C6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1789</w:t>
            </w:r>
          </w:p>
        </w:tc>
      </w:tr>
      <w:tr w:rsidR="0006197B" w:rsidRPr="00495CFD" w14:paraId="1BC20F3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BD111E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Luisa Butz</w:t>
            </w:r>
          </w:p>
        </w:tc>
        <w:tc>
          <w:tcPr>
            <w:tcW w:w="819" w:type="pct"/>
            <w:tcBorders>
              <w:top w:val="nil"/>
              <w:left w:val="nil"/>
              <w:bottom w:val="single" w:sz="4" w:space="0" w:color="auto"/>
              <w:right w:val="single" w:sz="4" w:space="0" w:color="auto"/>
            </w:tcBorders>
            <w:shd w:val="clear" w:color="000000" w:fill="FFFFFF"/>
            <w:hideMark/>
          </w:tcPr>
          <w:p w14:paraId="6EA8FB2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55 años</w:t>
            </w:r>
          </w:p>
        </w:tc>
        <w:tc>
          <w:tcPr>
            <w:tcW w:w="1672" w:type="pct"/>
            <w:tcBorders>
              <w:top w:val="nil"/>
              <w:left w:val="nil"/>
              <w:bottom w:val="single" w:sz="4" w:space="0" w:color="auto"/>
              <w:right w:val="single" w:sz="4" w:space="0" w:color="auto"/>
            </w:tcBorders>
            <w:shd w:val="clear" w:color="000000" w:fill="FFFFFF"/>
            <w:hideMark/>
          </w:tcPr>
          <w:p w14:paraId="63B7C30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00BE886"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7ECE1D0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9.</w:t>
            </w:r>
          </w:p>
        </w:tc>
        <w:tc>
          <w:tcPr>
            <w:tcW w:w="819" w:type="pct"/>
            <w:tcBorders>
              <w:top w:val="nil"/>
              <w:left w:val="nil"/>
              <w:bottom w:val="single" w:sz="4" w:space="0" w:color="auto"/>
              <w:right w:val="single" w:sz="4" w:space="0" w:color="auto"/>
            </w:tcBorders>
            <w:shd w:val="clear" w:color="000000" w:fill="FFFFFF"/>
            <w:hideMark/>
          </w:tcPr>
          <w:p w14:paraId="443D496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7E369C0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46A0D3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3E4107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Carlota Seb Choc</w:t>
            </w:r>
          </w:p>
        </w:tc>
        <w:tc>
          <w:tcPr>
            <w:tcW w:w="819" w:type="pct"/>
            <w:tcBorders>
              <w:top w:val="nil"/>
              <w:left w:val="nil"/>
              <w:bottom w:val="single" w:sz="4" w:space="0" w:color="auto"/>
              <w:right w:val="single" w:sz="4" w:space="0" w:color="auto"/>
            </w:tcBorders>
            <w:shd w:val="clear" w:color="000000" w:fill="FFFFFF"/>
            <w:hideMark/>
          </w:tcPr>
          <w:p w14:paraId="4F581FA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31 años</w:t>
            </w:r>
          </w:p>
        </w:tc>
        <w:tc>
          <w:tcPr>
            <w:tcW w:w="1672" w:type="pct"/>
            <w:tcBorders>
              <w:top w:val="nil"/>
              <w:left w:val="nil"/>
              <w:bottom w:val="single" w:sz="4" w:space="0" w:color="auto"/>
              <w:right w:val="single" w:sz="4" w:space="0" w:color="auto"/>
            </w:tcBorders>
            <w:shd w:val="clear" w:color="000000" w:fill="FFFFFF"/>
            <w:hideMark/>
          </w:tcPr>
          <w:p w14:paraId="02C46BD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25291</w:t>
            </w:r>
          </w:p>
        </w:tc>
      </w:tr>
      <w:tr w:rsidR="0006197B" w:rsidRPr="00495CFD" w14:paraId="635188D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388F4D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Alejandro Yaxcal Gualná</w:t>
            </w:r>
          </w:p>
        </w:tc>
        <w:tc>
          <w:tcPr>
            <w:tcW w:w="819" w:type="pct"/>
            <w:tcBorders>
              <w:top w:val="nil"/>
              <w:left w:val="nil"/>
              <w:bottom w:val="single" w:sz="4" w:space="0" w:color="auto"/>
              <w:right w:val="single" w:sz="4" w:space="0" w:color="auto"/>
            </w:tcBorders>
            <w:shd w:val="clear" w:color="000000" w:fill="FFFFFF"/>
            <w:hideMark/>
          </w:tcPr>
          <w:p w14:paraId="28256CA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34 años</w:t>
            </w:r>
          </w:p>
        </w:tc>
        <w:tc>
          <w:tcPr>
            <w:tcW w:w="1672" w:type="pct"/>
            <w:tcBorders>
              <w:top w:val="nil"/>
              <w:left w:val="nil"/>
              <w:bottom w:val="single" w:sz="4" w:space="0" w:color="auto"/>
              <w:right w:val="single" w:sz="4" w:space="0" w:color="auto"/>
            </w:tcBorders>
            <w:shd w:val="clear" w:color="000000" w:fill="FFFFFF"/>
            <w:hideMark/>
          </w:tcPr>
          <w:p w14:paraId="3EC6951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4CA55D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9FA730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Esvin Alejandro Gualná</w:t>
            </w:r>
          </w:p>
        </w:tc>
        <w:tc>
          <w:tcPr>
            <w:tcW w:w="819" w:type="pct"/>
            <w:tcBorders>
              <w:top w:val="nil"/>
              <w:left w:val="nil"/>
              <w:bottom w:val="single" w:sz="4" w:space="0" w:color="auto"/>
              <w:right w:val="single" w:sz="4" w:space="0" w:color="auto"/>
            </w:tcBorders>
            <w:shd w:val="clear" w:color="000000" w:fill="FFFFFF"/>
            <w:hideMark/>
          </w:tcPr>
          <w:p w14:paraId="281B706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15 años</w:t>
            </w:r>
          </w:p>
        </w:tc>
        <w:tc>
          <w:tcPr>
            <w:tcW w:w="1672" w:type="pct"/>
            <w:tcBorders>
              <w:top w:val="nil"/>
              <w:left w:val="nil"/>
              <w:bottom w:val="single" w:sz="4" w:space="0" w:color="auto"/>
              <w:right w:val="single" w:sz="4" w:space="0" w:color="auto"/>
            </w:tcBorders>
            <w:shd w:val="clear" w:color="000000" w:fill="FFFFFF"/>
            <w:hideMark/>
          </w:tcPr>
          <w:p w14:paraId="3FB3838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3559916"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14B297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Hugo Rolando Gualná</w:t>
            </w:r>
          </w:p>
        </w:tc>
        <w:tc>
          <w:tcPr>
            <w:tcW w:w="819" w:type="pct"/>
            <w:tcBorders>
              <w:top w:val="nil"/>
              <w:left w:val="nil"/>
              <w:bottom w:val="single" w:sz="4" w:space="0" w:color="auto"/>
              <w:right w:val="single" w:sz="4" w:space="0" w:color="auto"/>
            </w:tcBorders>
            <w:shd w:val="clear" w:color="000000" w:fill="FFFFFF"/>
            <w:hideMark/>
          </w:tcPr>
          <w:p w14:paraId="7B827B5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57C2B2E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07C6B08"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65DECD0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10.</w:t>
            </w:r>
          </w:p>
        </w:tc>
        <w:tc>
          <w:tcPr>
            <w:tcW w:w="819" w:type="pct"/>
            <w:tcBorders>
              <w:top w:val="nil"/>
              <w:left w:val="nil"/>
              <w:bottom w:val="single" w:sz="4" w:space="0" w:color="auto"/>
              <w:right w:val="single" w:sz="4" w:space="0" w:color="auto"/>
            </w:tcBorders>
            <w:shd w:val="clear" w:color="000000" w:fill="FFFFFF"/>
            <w:hideMark/>
          </w:tcPr>
          <w:p w14:paraId="2F6CCFA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7C66028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9D3FA2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022F85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Francisco Pop</w:t>
            </w:r>
          </w:p>
        </w:tc>
        <w:tc>
          <w:tcPr>
            <w:tcW w:w="819" w:type="pct"/>
            <w:tcBorders>
              <w:top w:val="nil"/>
              <w:left w:val="nil"/>
              <w:bottom w:val="single" w:sz="4" w:space="0" w:color="auto"/>
              <w:right w:val="single" w:sz="4" w:space="0" w:color="auto"/>
            </w:tcBorders>
            <w:shd w:val="clear" w:color="000000" w:fill="FFFFFF"/>
            <w:hideMark/>
          </w:tcPr>
          <w:p w14:paraId="089DBA6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50 años</w:t>
            </w:r>
          </w:p>
        </w:tc>
        <w:tc>
          <w:tcPr>
            <w:tcW w:w="1672" w:type="pct"/>
            <w:tcBorders>
              <w:top w:val="nil"/>
              <w:left w:val="nil"/>
              <w:bottom w:val="single" w:sz="4" w:space="0" w:color="auto"/>
              <w:right w:val="single" w:sz="4" w:space="0" w:color="auto"/>
            </w:tcBorders>
            <w:shd w:val="clear" w:color="000000" w:fill="FFFFFF"/>
            <w:hideMark/>
          </w:tcPr>
          <w:p w14:paraId="2605066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FD1F33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430AEB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Jertrudis Caal</w:t>
            </w:r>
          </w:p>
        </w:tc>
        <w:tc>
          <w:tcPr>
            <w:tcW w:w="819" w:type="pct"/>
            <w:tcBorders>
              <w:top w:val="nil"/>
              <w:left w:val="nil"/>
              <w:bottom w:val="single" w:sz="4" w:space="0" w:color="auto"/>
              <w:right w:val="single" w:sz="4" w:space="0" w:color="auto"/>
            </w:tcBorders>
            <w:shd w:val="clear" w:color="000000" w:fill="FFFFFF"/>
            <w:hideMark/>
          </w:tcPr>
          <w:p w14:paraId="1AAB88A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47 años</w:t>
            </w:r>
          </w:p>
        </w:tc>
        <w:tc>
          <w:tcPr>
            <w:tcW w:w="1672" w:type="pct"/>
            <w:tcBorders>
              <w:top w:val="nil"/>
              <w:left w:val="nil"/>
              <w:bottom w:val="single" w:sz="4" w:space="0" w:color="auto"/>
              <w:right w:val="single" w:sz="4" w:space="0" w:color="auto"/>
            </w:tcBorders>
            <w:shd w:val="clear" w:color="000000" w:fill="FFFFFF"/>
            <w:hideMark/>
          </w:tcPr>
          <w:p w14:paraId="41A7721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E8EA5B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46C6AA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Eliceo Pop Caal</w:t>
            </w:r>
          </w:p>
        </w:tc>
        <w:tc>
          <w:tcPr>
            <w:tcW w:w="819" w:type="pct"/>
            <w:tcBorders>
              <w:top w:val="nil"/>
              <w:left w:val="nil"/>
              <w:bottom w:val="single" w:sz="4" w:space="0" w:color="auto"/>
              <w:right w:val="single" w:sz="4" w:space="0" w:color="auto"/>
            </w:tcBorders>
            <w:shd w:val="clear" w:color="000000" w:fill="FFFFFF"/>
            <w:hideMark/>
          </w:tcPr>
          <w:p w14:paraId="0E449B8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16 años</w:t>
            </w:r>
          </w:p>
        </w:tc>
        <w:tc>
          <w:tcPr>
            <w:tcW w:w="1672" w:type="pct"/>
            <w:tcBorders>
              <w:top w:val="nil"/>
              <w:left w:val="nil"/>
              <w:bottom w:val="single" w:sz="4" w:space="0" w:color="auto"/>
              <w:right w:val="single" w:sz="4" w:space="0" w:color="auto"/>
            </w:tcBorders>
            <w:shd w:val="clear" w:color="000000" w:fill="FFFFFF"/>
            <w:hideMark/>
          </w:tcPr>
          <w:p w14:paraId="790F647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D5C1CE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179229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lastRenderedPageBreak/>
              <w:t>Elias Pop Caal</w:t>
            </w:r>
          </w:p>
        </w:tc>
        <w:tc>
          <w:tcPr>
            <w:tcW w:w="819" w:type="pct"/>
            <w:tcBorders>
              <w:top w:val="nil"/>
              <w:left w:val="nil"/>
              <w:bottom w:val="single" w:sz="4" w:space="0" w:color="auto"/>
              <w:right w:val="single" w:sz="4" w:space="0" w:color="auto"/>
            </w:tcBorders>
            <w:shd w:val="clear" w:color="000000" w:fill="FFFFFF"/>
            <w:hideMark/>
          </w:tcPr>
          <w:p w14:paraId="3F31006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14 años</w:t>
            </w:r>
          </w:p>
        </w:tc>
        <w:tc>
          <w:tcPr>
            <w:tcW w:w="1672" w:type="pct"/>
            <w:tcBorders>
              <w:top w:val="nil"/>
              <w:left w:val="nil"/>
              <w:bottom w:val="single" w:sz="4" w:space="0" w:color="auto"/>
              <w:right w:val="single" w:sz="4" w:space="0" w:color="auto"/>
            </w:tcBorders>
            <w:shd w:val="clear" w:color="000000" w:fill="FFFFFF"/>
            <w:hideMark/>
          </w:tcPr>
          <w:p w14:paraId="55E856F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92407AE"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1CD194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Victor Pop Caal</w:t>
            </w:r>
          </w:p>
        </w:tc>
        <w:tc>
          <w:tcPr>
            <w:tcW w:w="819" w:type="pct"/>
            <w:tcBorders>
              <w:top w:val="nil"/>
              <w:left w:val="nil"/>
              <w:bottom w:val="single" w:sz="4" w:space="0" w:color="auto"/>
              <w:right w:val="single" w:sz="4" w:space="0" w:color="auto"/>
            </w:tcBorders>
            <w:shd w:val="clear" w:color="000000" w:fill="FFFFFF"/>
            <w:hideMark/>
          </w:tcPr>
          <w:p w14:paraId="14500A2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14 años</w:t>
            </w:r>
          </w:p>
        </w:tc>
        <w:tc>
          <w:tcPr>
            <w:tcW w:w="1672" w:type="pct"/>
            <w:tcBorders>
              <w:top w:val="nil"/>
              <w:left w:val="nil"/>
              <w:bottom w:val="single" w:sz="4" w:space="0" w:color="auto"/>
              <w:right w:val="single" w:sz="4" w:space="0" w:color="auto"/>
            </w:tcBorders>
            <w:shd w:val="clear" w:color="000000" w:fill="FFFFFF"/>
            <w:hideMark/>
          </w:tcPr>
          <w:p w14:paraId="5DA1F43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F2F306C"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66475C2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11.</w:t>
            </w:r>
          </w:p>
        </w:tc>
        <w:tc>
          <w:tcPr>
            <w:tcW w:w="819" w:type="pct"/>
            <w:tcBorders>
              <w:top w:val="nil"/>
              <w:left w:val="nil"/>
              <w:bottom w:val="single" w:sz="4" w:space="0" w:color="auto"/>
              <w:right w:val="single" w:sz="4" w:space="0" w:color="auto"/>
            </w:tcBorders>
            <w:shd w:val="clear" w:color="000000" w:fill="FFFFFF"/>
            <w:hideMark/>
          </w:tcPr>
          <w:p w14:paraId="5AA80C8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7BF488C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2D83A5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061970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Manuel Caal</w:t>
            </w:r>
          </w:p>
        </w:tc>
        <w:tc>
          <w:tcPr>
            <w:tcW w:w="819" w:type="pct"/>
            <w:tcBorders>
              <w:top w:val="nil"/>
              <w:left w:val="nil"/>
              <w:bottom w:val="single" w:sz="4" w:space="0" w:color="auto"/>
              <w:right w:val="single" w:sz="4" w:space="0" w:color="auto"/>
            </w:tcBorders>
            <w:shd w:val="clear" w:color="000000" w:fill="FFFFFF"/>
            <w:hideMark/>
          </w:tcPr>
          <w:p w14:paraId="3AEC6BE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65 años</w:t>
            </w:r>
          </w:p>
        </w:tc>
        <w:tc>
          <w:tcPr>
            <w:tcW w:w="1672" w:type="pct"/>
            <w:tcBorders>
              <w:top w:val="nil"/>
              <w:left w:val="nil"/>
              <w:bottom w:val="single" w:sz="4" w:space="0" w:color="auto"/>
              <w:right w:val="single" w:sz="4" w:space="0" w:color="auto"/>
            </w:tcBorders>
            <w:shd w:val="clear" w:color="000000" w:fill="FFFFFF"/>
            <w:hideMark/>
          </w:tcPr>
          <w:p w14:paraId="1AF4F7E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1944</w:t>
            </w:r>
          </w:p>
        </w:tc>
      </w:tr>
      <w:tr w:rsidR="0006197B" w:rsidRPr="00495CFD" w14:paraId="4703511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C43872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Elena Poou</w:t>
            </w:r>
          </w:p>
        </w:tc>
        <w:tc>
          <w:tcPr>
            <w:tcW w:w="819" w:type="pct"/>
            <w:tcBorders>
              <w:top w:val="nil"/>
              <w:left w:val="nil"/>
              <w:bottom w:val="single" w:sz="4" w:space="0" w:color="auto"/>
              <w:right w:val="single" w:sz="4" w:space="0" w:color="auto"/>
            </w:tcBorders>
            <w:shd w:val="clear" w:color="000000" w:fill="FFFFFF"/>
            <w:hideMark/>
          </w:tcPr>
          <w:p w14:paraId="45A5CC8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60 años</w:t>
            </w:r>
          </w:p>
        </w:tc>
        <w:tc>
          <w:tcPr>
            <w:tcW w:w="1672" w:type="pct"/>
            <w:tcBorders>
              <w:top w:val="nil"/>
              <w:left w:val="nil"/>
              <w:bottom w:val="single" w:sz="4" w:space="0" w:color="auto"/>
              <w:right w:val="single" w:sz="4" w:space="0" w:color="auto"/>
            </w:tcBorders>
            <w:shd w:val="clear" w:color="000000" w:fill="FFFFFF"/>
            <w:hideMark/>
          </w:tcPr>
          <w:p w14:paraId="04A4F2C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2AB902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54A455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Filomena Caal Poou</w:t>
            </w:r>
          </w:p>
        </w:tc>
        <w:tc>
          <w:tcPr>
            <w:tcW w:w="819" w:type="pct"/>
            <w:tcBorders>
              <w:top w:val="nil"/>
              <w:left w:val="nil"/>
              <w:bottom w:val="single" w:sz="4" w:space="0" w:color="auto"/>
              <w:right w:val="single" w:sz="4" w:space="0" w:color="auto"/>
            </w:tcBorders>
            <w:shd w:val="clear" w:color="000000" w:fill="FFFFFF"/>
            <w:hideMark/>
          </w:tcPr>
          <w:p w14:paraId="6D538CC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15 años</w:t>
            </w:r>
          </w:p>
        </w:tc>
        <w:tc>
          <w:tcPr>
            <w:tcW w:w="1672" w:type="pct"/>
            <w:tcBorders>
              <w:top w:val="nil"/>
              <w:left w:val="nil"/>
              <w:bottom w:val="single" w:sz="4" w:space="0" w:color="auto"/>
              <w:right w:val="single" w:sz="4" w:space="0" w:color="auto"/>
            </w:tcBorders>
            <w:shd w:val="clear" w:color="000000" w:fill="FFFFFF"/>
            <w:hideMark/>
          </w:tcPr>
          <w:p w14:paraId="394C642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D2E58C3"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4AC6DDE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12.</w:t>
            </w:r>
          </w:p>
        </w:tc>
        <w:tc>
          <w:tcPr>
            <w:tcW w:w="819" w:type="pct"/>
            <w:tcBorders>
              <w:top w:val="nil"/>
              <w:left w:val="nil"/>
              <w:bottom w:val="single" w:sz="4" w:space="0" w:color="auto"/>
              <w:right w:val="single" w:sz="4" w:space="0" w:color="auto"/>
            </w:tcBorders>
            <w:shd w:val="clear" w:color="000000" w:fill="FFFFFF"/>
            <w:hideMark/>
          </w:tcPr>
          <w:p w14:paraId="4A3C7CD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0D8D9F8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A847EE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60FEC5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Santiago Quim Poou</w:t>
            </w:r>
          </w:p>
        </w:tc>
        <w:tc>
          <w:tcPr>
            <w:tcW w:w="819" w:type="pct"/>
            <w:tcBorders>
              <w:top w:val="nil"/>
              <w:left w:val="nil"/>
              <w:bottom w:val="single" w:sz="4" w:space="0" w:color="auto"/>
              <w:right w:val="single" w:sz="4" w:space="0" w:color="auto"/>
            </w:tcBorders>
            <w:shd w:val="clear" w:color="000000" w:fill="FFFFFF"/>
            <w:hideMark/>
          </w:tcPr>
          <w:p w14:paraId="6BEA5B4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79 años</w:t>
            </w:r>
          </w:p>
        </w:tc>
        <w:tc>
          <w:tcPr>
            <w:tcW w:w="1672" w:type="pct"/>
            <w:tcBorders>
              <w:top w:val="nil"/>
              <w:left w:val="nil"/>
              <w:bottom w:val="single" w:sz="4" w:space="0" w:color="auto"/>
              <w:right w:val="single" w:sz="4" w:space="0" w:color="auto"/>
            </w:tcBorders>
            <w:shd w:val="clear" w:color="000000" w:fill="FFFFFF"/>
            <w:hideMark/>
          </w:tcPr>
          <w:p w14:paraId="18BBDFC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7730</w:t>
            </w:r>
          </w:p>
        </w:tc>
      </w:tr>
      <w:tr w:rsidR="0006197B" w:rsidRPr="00495CFD" w14:paraId="5E4D019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804504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Teresa Seb Yat</w:t>
            </w:r>
          </w:p>
        </w:tc>
        <w:tc>
          <w:tcPr>
            <w:tcW w:w="819" w:type="pct"/>
            <w:tcBorders>
              <w:top w:val="nil"/>
              <w:left w:val="nil"/>
              <w:bottom w:val="single" w:sz="4" w:space="0" w:color="auto"/>
              <w:right w:val="single" w:sz="4" w:space="0" w:color="auto"/>
            </w:tcBorders>
            <w:shd w:val="clear" w:color="000000" w:fill="FFFFFF"/>
            <w:hideMark/>
          </w:tcPr>
          <w:p w14:paraId="6889C72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80 años</w:t>
            </w:r>
          </w:p>
        </w:tc>
        <w:tc>
          <w:tcPr>
            <w:tcW w:w="1672" w:type="pct"/>
            <w:tcBorders>
              <w:top w:val="nil"/>
              <w:left w:val="nil"/>
              <w:bottom w:val="single" w:sz="4" w:space="0" w:color="auto"/>
              <w:right w:val="single" w:sz="4" w:space="0" w:color="auto"/>
            </w:tcBorders>
            <w:shd w:val="clear" w:color="000000" w:fill="FFFFFF"/>
            <w:hideMark/>
          </w:tcPr>
          <w:p w14:paraId="08A9346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C8B0377"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4B43602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13.</w:t>
            </w:r>
          </w:p>
        </w:tc>
        <w:tc>
          <w:tcPr>
            <w:tcW w:w="819" w:type="pct"/>
            <w:tcBorders>
              <w:top w:val="nil"/>
              <w:left w:val="nil"/>
              <w:bottom w:val="single" w:sz="4" w:space="0" w:color="auto"/>
              <w:right w:val="single" w:sz="4" w:space="0" w:color="auto"/>
            </w:tcBorders>
            <w:shd w:val="clear" w:color="000000" w:fill="FFFFFF"/>
            <w:hideMark/>
          </w:tcPr>
          <w:p w14:paraId="72CC0DD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193B8C8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DBE88B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C10BFB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Santiago Yaxcal Tun</w:t>
            </w:r>
          </w:p>
        </w:tc>
        <w:tc>
          <w:tcPr>
            <w:tcW w:w="819" w:type="pct"/>
            <w:tcBorders>
              <w:top w:val="nil"/>
              <w:left w:val="nil"/>
              <w:bottom w:val="single" w:sz="4" w:space="0" w:color="auto"/>
              <w:right w:val="single" w:sz="4" w:space="0" w:color="auto"/>
            </w:tcBorders>
            <w:shd w:val="clear" w:color="000000" w:fill="FFFFFF"/>
            <w:hideMark/>
          </w:tcPr>
          <w:p w14:paraId="49971D3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51 años</w:t>
            </w:r>
          </w:p>
        </w:tc>
        <w:tc>
          <w:tcPr>
            <w:tcW w:w="1672" w:type="pct"/>
            <w:tcBorders>
              <w:top w:val="nil"/>
              <w:left w:val="nil"/>
              <w:bottom w:val="single" w:sz="4" w:space="0" w:color="auto"/>
              <w:right w:val="single" w:sz="4" w:space="0" w:color="auto"/>
            </w:tcBorders>
            <w:shd w:val="clear" w:color="000000" w:fill="FFFFFF"/>
            <w:hideMark/>
          </w:tcPr>
          <w:p w14:paraId="4548324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O-16 12018</w:t>
            </w:r>
          </w:p>
        </w:tc>
      </w:tr>
      <w:tr w:rsidR="0006197B" w:rsidRPr="00495CFD" w14:paraId="2FC8643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18FBF0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Asunción Tiul</w:t>
            </w:r>
          </w:p>
        </w:tc>
        <w:tc>
          <w:tcPr>
            <w:tcW w:w="819" w:type="pct"/>
            <w:tcBorders>
              <w:top w:val="nil"/>
              <w:left w:val="nil"/>
              <w:bottom w:val="single" w:sz="4" w:space="0" w:color="auto"/>
              <w:right w:val="single" w:sz="4" w:space="0" w:color="auto"/>
            </w:tcBorders>
            <w:shd w:val="clear" w:color="000000" w:fill="FFFFFF"/>
            <w:hideMark/>
          </w:tcPr>
          <w:p w14:paraId="52A054C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50 años</w:t>
            </w:r>
          </w:p>
        </w:tc>
        <w:tc>
          <w:tcPr>
            <w:tcW w:w="1672" w:type="pct"/>
            <w:tcBorders>
              <w:top w:val="nil"/>
              <w:left w:val="nil"/>
              <w:bottom w:val="single" w:sz="4" w:space="0" w:color="auto"/>
              <w:right w:val="single" w:sz="4" w:space="0" w:color="auto"/>
            </w:tcBorders>
            <w:shd w:val="clear" w:color="000000" w:fill="FFFFFF"/>
            <w:hideMark/>
          </w:tcPr>
          <w:p w14:paraId="6BE0F29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28026</w:t>
            </w:r>
          </w:p>
        </w:tc>
      </w:tr>
      <w:tr w:rsidR="0006197B" w:rsidRPr="00495CFD" w14:paraId="48A23A7F"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5B8D96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María Elena Yaxcul Tiul</w:t>
            </w:r>
          </w:p>
        </w:tc>
        <w:tc>
          <w:tcPr>
            <w:tcW w:w="819" w:type="pct"/>
            <w:tcBorders>
              <w:top w:val="nil"/>
              <w:left w:val="nil"/>
              <w:bottom w:val="single" w:sz="4" w:space="0" w:color="auto"/>
              <w:right w:val="single" w:sz="4" w:space="0" w:color="auto"/>
            </w:tcBorders>
            <w:shd w:val="clear" w:color="000000" w:fill="FFFFFF"/>
            <w:hideMark/>
          </w:tcPr>
          <w:p w14:paraId="0F7965A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17 años</w:t>
            </w:r>
          </w:p>
        </w:tc>
        <w:tc>
          <w:tcPr>
            <w:tcW w:w="1672" w:type="pct"/>
            <w:tcBorders>
              <w:top w:val="nil"/>
              <w:left w:val="nil"/>
              <w:bottom w:val="single" w:sz="4" w:space="0" w:color="auto"/>
              <w:right w:val="single" w:sz="4" w:space="0" w:color="auto"/>
            </w:tcBorders>
            <w:shd w:val="clear" w:color="000000" w:fill="FFFFFF"/>
            <w:hideMark/>
          </w:tcPr>
          <w:p w14:paraId="3F3E006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7C5EFE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2AAF42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Ava Floridalma Yaxcal Tiul</w:t>
            </w:r>
          </w:p>
        </w:tc>
        <w:tc>
          <w:tcPr>
            <w:tcW w:w="819" w:type="pct"/>
            <w:tcBorders>
              <w:top w:val="nil"/>
              <w:left w:val="nil"/>
              <w:bottom w:val="single" w:sz="4" w:space="0" w:color="auto"/>
              <w:right w:val="single" w:sz="4" w:space="0" w:color="auto"/>
            </w:tcBorders>
            <w:shd w:val="clear" w:color="000000" w:fill="FFFFFF"/>
            <w:hideMark/>
          </w:tcPr>
          <w:p w14:paraId="43644F3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15 años</w:t>
            </w:r>
          </w:p>
        </w:tc>
        <w:tc>
          <w:tcPr>
            <w:tcW w:w="1672" w:type="pct"/>
            <w:tcBorders>
              <w:top w:val="nil"/>
              <w:left w:val="nil"/>
              <w:bottom w:val="single" w:sz="4" w:space="0" w:color="auto"/>
              <w:right w:val="single" w:sz="4" w:space="0" w:color="auto"/>
            </w:tcBorders>
            <w:shd w:val="clear" w:color="000000" w:fill="FFFFFF"/>
            <w:hideMark/>
          </w:tcPr>
          <w:p w14:paraId="7A4081F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6F8512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F90C2B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Rosa Leticia Yaxcal Tiul</w:t>
            </w:r>
          </w:p>
        </w:tc>
        <w:tc>
          <w:tcPr>
            <w:tcW w:w="819" w:type="pct"/>
            <w:tcBorders>
              <w:top w:val="nil"/>
              <w:left w:val="nil"/>
              <w:bottom w:val="single" w:sz="4" w:space="0" w:color="auto"/>
              <w:right w:val="single" w:sz="4" w:space="0" w:color="auto"/>
            </w:tcBorders>
            <w:shd w:val="clear" w:color="000000" w:fill="FFFFFF"/>
            <w:hideMark/>
          </w:tcPr>
          <w:p w14:paraId="0F89B10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13 años</w:t>
            </w:r>
          </w:p>
        </w:tc>
        <w:tc>
          <w:tcPr>
            <w:tcW w:w="1672" w:type="pct"/>
            <w:tcBorders>
              <w:top w:val="nil"/>
              <w:left w:val="nil"/>
              <w:bottom w:val="single" w:sz="4" w:space="0" w:color="auto"/>
              <w:right w:val="single" w:sz="4" w:space="0" w:color="auto"/>
            </w:tcBorders>
            <w:shd w:val="clear" w:color="000000" w:fill="FFFFFF"/>
            <w:hideMark/>
          </w:tcPr>
          <w:p w14:paraId="30584FC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2BA80F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F4E9EF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Odilia Yesenia Yaxcal Tiul</w:t>
            </w:r>
          </w:p>
        </w:tc>
        <w:tc>
          <w:tcPr>
            <w:tcW w:w="819" w:type="pct"/>
            <w:tcBorders>
              <w:top w:val="nil"/>
              <w:left w:val="nil"/>
              <w:bottom w:val="single" w:sz="4" w:space="0" w:color="auto"/>
              <w:right w:val="single" w:sz="4" w:space="0" w:color="auto"/>
            </w:tcBorders>
            <w:shd w:val="clear" w:color="000000" w:fill="FFFFFF"/>
            <w:hideMark/>
          </w:tcPr>
          <w:p w14:paraId="4636048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10 años</w:t>
            </w:r>
          </w:p>
        </w:tc>
        <w:tc>
          <w:tcPr>
            <w:tcW w:w="1672" w:type="pct"/>
            <w:tcBorders>
              <w:top w:val="nil"/>
              <w:left w:val="nil"/>
              <w:bottom w:val="single" w:sz="4" w:space="0" w:color="auto"/>
              <w:right w:val="single" w:sz="4" w:space="0" w:color="auto"/>
            </w:tcBorders>
            <w:shd w:val="clear" w:color="000000" w:fill="FFFFFF"/>
            <w:hideMark/>
          </w:tcPr>
          <w:p w14:paraId="2157DCB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6800F4E"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7F2579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Franclin Alex Yaxcal Tiul</w:t>
            </w:r>
          </w:p>
        </w:tc>
        <w:tc>
          <w:tcPr>
            <w:tcW w:w="819" w:type="pct"/>
            <w:tcBorders>
              <w:top w:val="nil"/>
              <w:left w:val="nil"/>
              <w:bottom w:val="single" w:sz="4" w:space="0" w:color="auto"/>
              <w:right w:val="single" w:sz="4" w:space="0" w:color="auto"/>
            </w:tcBorders>
            <w:shd w:val="clear" w:color="000000" w:fill="FFFFFF"/>
            <w:hideMark/>
          </w:tcPr>
          <w:p w14:paraId="7716860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3621B74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86CB5E8"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39D8033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14.</w:t>
            </w:r>
          </w:p>
        </w:tc>
        <w:tc>
          <w:tcPr>
            <w:tcW w:w="819" w:type="pct"/>
            <w:tcBorders>
              <w:top w:val="nil"/>
              <w:left w:val="nil"/>
              <w:bottom w:val="single" w:sz="4" w:space="0" w:color="auto"/>
              <w:right w:val="single" w:sz="4" w:space="0" w:color="auto"/>
            </w:tcBorders>
            <w:shd w:val="clear" w:color="000000" w:fill="FFFFFF"/>
            <w:hideMark/>
          </w:tcPr>
          <w:p w14:paraId="2F014E8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602F0F5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B3E8C0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D8B405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Alfonzo Pacay Rax</w:t>
            </w:r>
          </w:p>
        </w:tc>
        <w:tc>
          <w:tcPr>
            <w:tcW w:w="819" w:type="pct"/>
            <w:tcBorders>
              <w:top w:val="nil"/>
              <w:left w:val="nil"/>
              <w:bottom w:val="single" w:sz="4" w:space="0" w:color="auto"/>
              <w:right w:val="single" w:sz="4" w:space="0" w:color="auto"/>
            </w:tcBorders>
            <w:shd w:val="clear" w:color="000000" w:fill="FFFFFF"/>
            <w:hideMark/>
          </w:tcPr>
          <w:p w14:paraId="722F8F1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36 años</w:t>
            </w:r>
          </w:p>
        </w:tc>
        <w:tc>
          <w:tcPr>
            <w:tcW w:w="1672" w:type="pct"/>
            <w:tcBorders>
              <w:top w:val="nil"/>
              <w:left w:val="nil"/>
              <w:bottom w:val="single" w:sz="4" w:space="0" w:color="auto"/>
              <w:right w:val="single" w:sz="4" w:space="0" w:color="auto"/>
            </w:tcBorders>
            <w:shd w:val="clear" w:color="000000" w:fill="FFFFFF"/>
            <w:hideMark/>
          </w:tcPr>
          <w:p w14:paraId="25911E2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11306</w:t>
            </w:r>
          </w:p>
        </w:tc>
      </w:tr>
      <w:tr w:rsidR="0006197B" w:rsidRPr="00495CFD" w14:paraId="4A509B4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98E6B1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Rosa Choc Xol</w:t>
            </w:r>
          </w:p>
        </w:tc>
        <w:tc>
          <w:tcPr>
            <w:tcW w:w="819" w:type="pct"/>
            <w:tcBorders>
              <w:top w:val="nil"/>
              <w:left w:val="nil"/>
              <w:bottom w:val="single" w:sz="4" w:space="0" w:color="auto"/>
              <w:right w:val="single" w:sz="4" w:space="0" w:color="auto"/>
            </w:tcBorders>
            <w:shd w:val="clear" w:color="000000" w:fill="FFFFFF"/>
            <w:hideMark/>
          </w:tcPr>
          <w:p w14:paraId="27AF31F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34 años</w:t>
            </w:r>
          </w:p>
        </w:tc>
        <w:tc>
          <w:tcPr>
            <w:tcW w:w="1672" w:type="pct"/>
            <w:tcBorders>
              <w:top w:val="nil"/>
              <w:left w:val="nil"/>
              <w:bottom w:val="single" w:sz="4" w:space="0" w:color="auto"/>
              <w:right w:val="single" w:sz="4" w:space="0" w:color="auto"/>
            </w:tcBorders>
            <w:shd w:val="clear" w:color="000000" w:fill="FFFFFF"/>
            <w:hideMark/>
          </w:tcPr>
          <w:p w14:paraId="071BA33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13975</w:t>
            </w:r>
          </w:p>
        </w:tc>
      </w:tr>
      <w:tr w:rsidR="0006197B" w:rsidRPr="00495CFD" w14:paraId="6D4C6E0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16255D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Olga Floridelma Pacay Choc</w:t>
            </w:r>
          </w:p>
        </w:tc>
        <w:tc>
          <w:tcPr>
            <w:tcW w:w="819" w:type="pct"/>
            <w:tcBorders>
              <w:top w:val="nil"/>
              <w:left w:val="nil"/>
              <w:bottom w:val="single" w:sz="4" w:space="0" w:color="auto"/>
              <w:right w:val="single" w:sz="4" w:space="0" w:color="auto"/>
            </w:tcBorders>
            <w:shd w:val="clear" w:color="000000" w:fill="FFFFFF"/>
            <w:hideMark/>
          </w:tcPr>
          <w:p w14:paraId="048367B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14 años</w:t>
            </w:r>
          </w:p>
        </w:tc>
        <w:tc>
          <w:tcPr>
            <w:tcW w:w="1672" w:type="pct"/>
            <w:tcBorders>
              <w:top w:val="nil"/>
              <w:left w:val="nil"/>
              <w:bottom w:val="single" w:sz="4" w:space="0" w:color="auto"/>
              <w:right w:val="single" w:sz="4" w:space="0" w:color="auto"/>
            </w:tcBorders>
            <w:shd w:val="clear" w:color="000000" w:fill="FFFFFF"/>
            <w:hideMark/>
          </w:tcPr>
          <w:p w14:paraId="402F2FE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1C696A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825F19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Alvaro Oswaldo Pacay Choc</w:t>
            </w:r>
          </w:p>
        </w:tc>
        <w:tc>
          <w:tcPr>
            <w:tcW w:w="819" w:type="pct"/>
            <w:tcBorders>
              <w:top w:val="nil"/>
              <w:left w:val="nil"/>
              <w:bottom w:val="single" w:sz="4" w:space="0" w:color="auto"/>
              <w:right w:val="single" w:sz="4" w:space="0" w:color="auto"/>
            </w:tcBorders>
            <w:shd w:val="clear" w:color="000000" w:fill="FFFFFF"/>
            <w:hideMark/>
          </w:tcPr>
          <w:p w14:paraId="52B1E8D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12 años</w:t>
            </w:r>
          </w:p>
        </w:tc>
        <w:tc>
          <w:tcPr>
            <w:tcW w:w="1672" w:type="pct"/>
            <w:tcBorders>
              <w:top w:val="nil"/>
              <w:left w:val="nil"/>
              <w:bottom w:val="single" w:sz="4" w:space="0" w:color="auto"/>
              <w:right w:val="single" w:sz="4" w:space="0" w:color="auto"/>
            </w:tcBorders>
            <w:shd w:val="clear" w:color="000000" w:fill="FFFFFF"/>
            <w:hideMark/>
          </w:tcPr>
          <w:p w14:paraId="0E3DBE9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78B28FE"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A8F5E8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Olivia Filomena Pacay Choc</w:t>
            </w:r>
          </w:p>
        </w:tc>
        <w:tc>
          <w:tcPr>
            <w:tcW w:w="819" w:type="pct"/>
            <w:tcBorders>
              <w:top w:val="nil"/>
              <w:left w:val="nil"/>
              <w:bottom w:val="single" w:sz="4" w:space="0" w:color="auto"/>
              <w:right w:val="single" w:sz="4" w:space="0" w:color="auto"/>
            </w:tcBorders>
            <w:shd w:val="clear" w:color="000000" w:fill="FFFFFF"/>
            <w:hideMark/>
          </w:tcPr>
          <w:p w14:paraId="192A98F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9 años</w:t>
            </w:r>
          </w:p>
        </w:tc>
        <w:tc>
          <w:tcPr>
            <w:tcW w:w="1672" w:type="pct"/>
            <w:tcBorders>
              <w:top w:val="nil"/>
              <w:left w:val="nil"/>
              <w:bottom w:val="single" w:sz="4" w:space="0" w:color="auto"/>
              <w:right w:val="single" w:sz="4" w:space="0" w:color="auto"/>
            </w:tcBorders>
            <w:shd w:val="clear" w:color="000000" w:fill="FFFFFF"/>
            <w:hideMark/>
          </w:tcPr>
          <w:p w14:paraId="123C1F5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E032A4F"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0B070B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Wilson Oswaldo Pacay Choc</w:t>
            </w:r>
          </w:p>
        </w:tc>
        <w:tc>
          <w:tcPr>
            <w:tcW w:w="819" w:type="pct"/>
            <w:tcBorders>
              <w:top w:val="nil"/>
              <w:left w:val="nil"/>
              <w:bottom w:val="single" w:sz="4" w:space="0" w:color="auto"/>
              <w:right w:val="single" w:sz="4" w:space="0" w:color="auto"/>
            </w:tcBorders>
            <w:shd w:val="clear" w:color="000000" w:fill="FFFFFF"/>
            <w:hideMark/>
          </w:tcPr>
          <w:p w14:paraId="2BDFF6A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 años</w:t>
            </w:r>
          </w:p>
        </w:tc>
        <w:tc>
          <w:tcPr>
            <w:tcW w:w="1672" w:type="pct"/>
            <w:tcBorders>
              <w:top w:val="nil"/>
              <w:left w:val="nil"/>
              <w:bottom w:val="single" w:sz="4" w:space="0" w:color="auto"/>
              <w:right w:val="single" w:sz="4" w:space="0" w:color="auto"/>
            </w:tcBorders>
            <w:shd w:val="clear" w:color="000000" w:fill="FFFFFF"/>
            <w:hideMark/>
          </w:tcPr>
          <w:p w14:paraId="4A06B2B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CF6A74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A7B275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Nelson Gustavo Pacay Choc</w:t>
            </w:r>
          </w:p>
        </w:tc>
        <w:tc>
          <w:tcPr>
            <w:tcW w:w="819" w:type="pct"/>
            <w:tcBorders>
              <w:top w:val="nil"/>
              <w:left w:val="nil"/>
              <w:bottom w:val="single" w:sz="4" w:space="0" w:color="auto"/>
              <w:right w:val="single" w:sz="4" w:space="0" w:color="auto"/>
            </w:tcBorders>
            <w:shd w:val="clear" w:color="000000" w:fill="FFFFFF"/>
            <w:hideMark/>
          </w:tcPr>
          <w:p w14:paraId="41A1EEA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 años</w:t>
            </w:r>
          </w:p>
        </w:tc>
        <w:tc>
          <w:tcPr>
            <w:tcW w:w="1672" w:type="pct"/>
            <w:tcBorders>
              <w:top w:val="nil"/>
              <w:left w:val="nil"/>
              <w:bottom w:val="single" w:sz="4" w:space="0" w:color="auto"/>
              <w:right w:val="single" w:sz="4" w:space="0" w:color="auto"/>
            </w:tcBorders>
            <w:shd w:val="clear" w:color="000000" w:fill="FFFFFF"/>
            <w:hideMark/>
          </w:tcPr>
          <w:p w14:paraId="7C4C7A2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F562FB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D7AF29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Milton Alfonzo Pacay Choc</w:t>
            </w:r>
          </w:p>
        </w:tc>
        <w:tc>
          <w:tcPr>
            <w:tcW w:w="819" w:type="pct"/>
            <w:tcBorders>
              <w:top w:val="nil"/>
              <w:left w:val="nil"/>
              <w:bottom w:val="single" w:sz="4" w:space="0" w:color="auto"/>
              <w:right w:val="single" w:sz="4" w:space="0" w:color="auto"/>
            </w:tcBorders>
            <w:shd w:val="clear" w:color="000000" w:fill="FFFFFF"/>
            <w:hideMark/>
          </w:tcPr>
          <w:p w14:paraId="30B8F7A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 años</w:t>
            </w:r>
          </w:p>
        </w:tc>
        <w:tc>
          <w:tcPr>
            <w:tcW w:w="1672" w:type="pct"/>
            <w:tcBorders>
              <w:top w:val="nil"/>
              <w:left w:val="nil"/>
              <w:bottom w:val="single" w:sz="4" w:space="0" w:color="auto"/>
              <w:right w:val="single" w:sz="4" w:space="0" w:color="auto"/>
            </w:tcBorders>
            <w:shd w:val="clear" w:color="000000" w:fill="FFFFFF"/>
            <w:hideMark/>
          </w:tcPr>
          <w:p w14:paraId="43026E8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D485CF8"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38716C0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15.</w:t>
            </w:r>
          </w:p>
        </w:tc>
        <w:tc>
          <w:tcPr>
            <w:tcW w:w="819" w:type="pct"/>
            <w:tcBorders>
              <w:top w:val="nil"/>
              <w:left w:val="nil"/>
              <w:bottom w:val="single" w:sz="4" w:space="0" w:color="auto"/>
              <w:right w:val="single" w:sz="4" w:space="0" w:color="auto"/>
            </w:tcBorders>
            <w:shd w:val="clear" w:color="000000" w:fill="FFFFFF"/>
            <w:hideMark/>
          </w:tcPr>
          <w:p w14:paraId="724B102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44B6A0E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4BC854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C236AC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Juan Yaxcal Ical</w:t>
            </w:r>
          </w:p>
        </w:tc>
        <w:tc>
          <w:tcPr>
            <w:tcW w:w="819" w:type="pct"/>
            <w:tcBorders>
              <w:top w:val="nil"/>
              <w:left w:val="nil"/>
              <w:bottom w:val="single" w:sz="4" w:space="0" w:color="auto"/>
              <w:right w:val="single" w:sz="4" w:space="0" w:color="auto"/>
            </w:tcBorders>
            <w:shd w:val="clear" w:color="000000" w:fill="FFFFFF"/>
            <w:hideMark/>
          </w:tcPr>
          <w:p w14:paraId="05C39E6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60 años</w:t>
            </w:r>
          </w:p>
        </w:tc>
        <w:tc>
          <w:tcPr>
            <w:tcW w:w="1672" w:type="pct"/>
            <w:tcBorders>
              <w:top w:val="nil"/>
              <w:left w:val="nil"/>
              <w:bottom w:val="single" w:sz="4" w:space="0" w:color="auto"/>
              <w:right w:val="single" w:sz="4" w:space="0" w:color="auto"/>
            </w:tcBorders>
            <w:shd w:val="clear" w:color="000000" w:fill="FFFFFF"/>
            <w:hideMark/>
          </w:tcPr>
          <w:p w14:paraId="3CA1581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1270</w:t>
            </w:r>
          </w:p>
        </w:tc>
      </w:tr>
      <w:tr w:rsidR="0006197B" w:rsidRPr="00495CFD" w14:paraId="0BA98152"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F51CD5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Lucía Gualna Chó</w:t>
            </w:r>
          </w:p>
        </w:tc>
        <w:tc>
          <w:tcPr>
            <w:tcW w:w="819" w:type="pct"/>
            <w:tcBorders>
              <w:top w:val="nil"/>
              <w:left w:val="nil"/>
              <w:bottom w:val="single" w:sz="4" w:space="0" w:color="auto"/>
              <w:right w:val="single" w:sz="4" w:space="0" w:color="auto"/>
            </w:tcBorders>
            <w:shd w:val="clear" w:color="000000" w:fill="FFFFFF"/>
            <w:hideMark/>
          </w:tcPr>
          <w:p w14:paraId="204010B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53 años</w:t>
            </w:r>
          </w:p>
        </w:tc>
        <w:tc>
          <w:tcPr>
            <w:tcW w:w="1672" w:type="pct"/>
            <w:tcBorders>
              <w:top w:val="nil"/>
              <w:left w:val="nil"/>
              <w:bottom w:val="single" w:sz="4" w:space="0" w:color="auto"/>
              <w:right w:val="single" w:sz="4" w:space="0" w:color="auto"/>
            </w:tcBorders>
            <w:shd w:val="clear" w:color="000000" w:fill="FFFFFF"/>
            <w:hideMark/>
          </w:tcPr>
          <w:p w14:paraId="54CE5BE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1267</w:t>
            </w:r>
          </w:p>
        </w:tc>
      </w:tr>
      <w:tr w:rsidR="0006197B" w:rsidRPr="00495CFD" w14:paraId="715FAE8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0D2E1B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Aura Yaxcal Gualda</w:t>
            </w:r>
          </w:p>
        </w:tc>
        <w:tc>
          <w:tcPr>
            <w:tcW w:w="819" w:type="pct"/>
            <w:tcBorders>
              <w:top w:val="nil"/>
              <w:left w:val="nil"/>
              <w:bottom w:val="single" w:sz="4" w:space="0" w:color="auto"/>
              <w:right w:val="single" w:sz="4" w:space="0" w:color="auto"/>
            </w:tcBorders>
            <w:shd w:val="clear" w:color="000000" w:fill="FFFFFF"/>
            <w:hideMark/>
          </w:tcPr>
          <w:p w14:paraId="3528C79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16 años</w:t>
            </w:r>
          </w:p>
        </w:tc>
        <w:tc>
          <w:tcPr>
            <w:tcW w:w="1672" w:type="pct"/>
            <w:tcBorders>
              <w:top w:val="nil"/>
              <w:left w:val="nil"/>
              <w:bottom w:val="single" w:sz="4" w:space="0" w:color="auto"/>
              <w:right w:val="single" w:sz="4" w:space="0" w:color="auto"/>
            </w:tcBorders>
            <w:shd w:val="clear" w:color="000000" w:fill="FFFFFF"/>
            <w:hideMark/>
          </w:tcPr>
          <w:p w14:paraId="787D137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653D59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EB6620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Sara Verónica Yaxcal</w:t>
            </w:r>
          </w:p>
        </w:tc>
        <w:tc>
          <w:tcPr>
            <w:tcW w:w="819" w:type="pct"/>
            <w:tcBorders>
              <w:top w:val="nil"/>
              <w:left w:val="nil"/>
              <w:bottom w:val="single" w:sz="4" w:space="0" w:color="auto"/>
              <w:right w:val="single" w:sz="4" w:space="0" w:color="auto"/>
            </w:tcBorders>
            <w:shd w:val="clear" w:color="000000" w:fill="FFFFFF"/>
            <w:hideMark/>
          </w:tcPr>
          <w:p w14:paraId="35DAA3C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11 años</w:t>
            </w:r>
          </w:p>
        </w:tc>
        <w:tc>
          <w:tcPr>
            <w:tcW w:w="1672" w:type="pct"/>
            <w:tcBorders>
              <w:top w:val="nil"/>
              <w:left w:val="nil"/>
              <w:bottom w:val="single" w:sz="4" w:space="0" w:color="auto"/>
              <w:right w:val="single" w:sz="4" w:space="0" w:color="auto"/>
            </w:tcBorders>
            <w:shd w:val="clear" w:color="000000" w:fill="FFFFFF"/>
            <w:hideMark/>
          </w:tcPr>
          <w:p w14:paraId="1FCA7E1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B40AE00"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4935627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16.</w:t>
            </w:r>
          </w:p>
        </w:tc>
        <w:tc>
          <w:tcPr>
            <w:tcW w:w="819" w:type="pct"/>
            <w:tcBorders>
              <w:top w:val="nil"/>
              <w:left w:val="nil"/>
              <w:bottom w:val="single" w:sz="4" w:space="0" w:color="auto"/>
              <w:right w:val="single" w:sz="4" w:space="0" w:color="auto"/>
            </w:tcBorders>
            <w:shd w:val="clear" w:color="000000" w:fill="FFFFFF"/>
            <w:hideMark/>
          </w:tcPr>
          <w:p w14:paraId="200F1E9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7F15328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0F33DB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B60162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Santiago Seb</w:t>
            </w:r>
          </w:p>
        </w:tc>
        <w:tc>
          <w:tcPr>
            <w:tcW w:w="819" w:type="pct"/>
            <w:tcBorders>
              <w:top w:val="nil"/>
              <w:left w:val="nil"/>
              <w:bottom w:val="single" w:sz="4" w:space="0" w:color="auto"/>
              <w:right w:val="single" w:sz="4" w:space="0" w:color="auto"/>
            </w:tcBorders>
            <w:shd w:val="clear" w:color="000000" w:fill="FFFFFF"/>
            <w:hideMark/>
          </w:tcPr>
          <w:p w14:paraId="203DF1F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44 años</w:t>
            </w:r>
          </w:p>
        </w:tc>
        <w:tc>
          <w:tcPr>
            <w:tcW w:w="1672" w:type="pct"/>
            <w:tcBorders>
              <w:top w:val="nil"/>
              <w:left w:val="nil"/>
              <w:bottom w:val="single" w:sz="4" w:space="0" w:color="auto"/>
              <w:right w:val="single" w:sz="4" w:space="0" w:color="auto"/>
            </w:tcBorders>
            <w:shd w:val="clear" w:color="000000" w:fill="FFFFFF"/>
            <w:hideMark/>
          </w:tcPr>
          <w:p w14:paraId="0379565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1672</w:t>
            </w:r>
          </w:p>
        </w:tc>
      </w:tr>
      <w:tr w:rsidR="0006197B" w:rsidRPr="00495CFD" w14:paraId="0471309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E93B96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María Pop Cú</w:t>
            </w:r>
          </w:p>
        </w:tc>
        <w:tc>
          <w:tcPr>
            <w:tcW w:w="819" w:type="pct"/>
            <w:tcBorders>
              <w:top w:val="nil"/>
              <w:left w:val="nil"/>
              <w:bottom w:val="single" w:sz="4" w:space="0" w:color="auto"/>
              <w:right w:val="single" w:sz="4" w:space="0" w:color="auto"/>
            </w:tcBorders>
            <w:shd w:val="clear" w:color="000000" w:fill="FFFFFF"/>
            <w:hideMark/>
          </w:tcPr>
          <w:p w14:paraId="343D4E8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38 años</w:t>
            </w:r>
          </w:p>
        </w:tc>
        <w:tc>
          <w:tcPr>
            <w:tcW w:w="1672" w:type="pct"/>
            <w:tcBorders>
              <w:top w:val="nil"/>
              <w:left w:val="nil"/>
              <w:bottom w:val="single" w:sz="4" w:space="0" w:color="auto"/>
              <w:right w:val="single" w:sz="4" w:space="0" w:color="auto"/>
            </w:tcBorders>
            <w:shd w:val="clear" w:color="000000" w:fill="FFFFFF"/>
            <w:hideMark/>
          </w:tcPr>
          <w:p w14:paraId="2EFB943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11738</w:t>
            </w:r>
          </w:p>
        </w:tc>
      </w:tr>
      <w:tr w:rsidR="0006197B" w:rsidRPr="00495CFD" w14:paraId="7A57ECF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562A07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Rutilia Seb Pop</w:t>
            </w:r>
          </w:p>
        </w:tc>
        <w:tc>
          <w:tcPr>
            <w:tcW w:w="819" w:type="pct"/>
            <w:tcBorders>
              <w:top w:val="nil"/>
              <w:left w:val="nil"/>
              <w:bottom w:val="single" w:sz="4" w:space="0" w:color="auto"/>
              <w:right w:val="single" w:sz="4" w:space="0" w:color="auto"/>
            </w:tcBorders>
            <w:shd w:val="clear" w:color="000000" w:fill="FFFFFF"/>
            <w:hideMark/>
          </w:tcPr>
          <w:p w14:paraId="33B3069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17 años</w:t>
            </w:r>
          </w:p>
        </w:tc>
        <w:tc>
          <w:tcPr>
            <w:tcW w:w="1672" w:type="pct"/>
            <w:tcBorders>
              <w:top w:val="nil"/>
              <w:left w:val="nil"/>
              <w:bottom w:val="single" w:sz="4" w:space="0" w:color="auto"/>
              <w:right w:val="single" w:sz="4" w:space="0" w:color="auto"/>
            </w:tcBorders>
            <w:shd w:val="clear" w:color="000000" w:fill="FFFFFF"/>
            <w:hideMark/>
          </w:tcPr>
          <w:p w14:paraId="7610B76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4D11DC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A2B7D5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Cesar Augusto Seb Pop</w:t>
            </w:r>
          </w:p>
        </w:tc>
        <w:tc>
          <w:tcPr>
            <w:tcW w:w="819" w:type="pct"/>
            <w:tcBorders>
              <w:top w:val="nil"/>
              <w:left w:val="nil"/>
              <w:bottom w:val="single" w:sz="4" w:space="0" w:color="auto"/>
              <w:right w:val="single" w:sz="4" w:space="0" w:color="auto"/>
            </w:tcBorders>
            <w:shd w:val="clear" w:color="000000" w:fill="FFFFFF"/>
            <w:hideMark/>
          </w:tcPr>
          <w:p w14:paraId="1174BEA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15 años</w:t>
            </w:r>
          </w:p>
        </w:tc>
        <w:tc>
          <w:tcPr>
            <w:tcW w:w="1672" w:type="pct"/>
            <w:tcBorders>
              <w:top w:val="nil"/>
              <w:left w:val="nil"/>
              <w:bottom w:val="single" w:sz="4" w:space="0" w:color="auto"/>
              <w:right w:val="single" w:sz="4" w:space="0" w:color="auto"/>
            </w:tcBorders>
            <w:shd w:val="clear" w:color="000000" w:fill="FFFFFF"/>
            <w:hideMark/>
          </w:tcPr>
          <w:p w14:paraId="46C23DF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50D0AC6"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56F3ED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Floridalma Seb Pop</w:t>
            </w:r>
          </w:p>
        </w:tc>
        <w:tc>
          <w:tcPr>
            <w:tcW w:w="819" w:type="pct"/>
            <w:tcBorders>
              <w:top w:val="nil"/>
              <w:left w:val="nil"/>
              <w:bottom w:val="single" w:sz="4" w:space="0" w:color="auto"/>
              <w:right w:val="single" w:sz="4" w:space="0" w:color="auto"/>
            </w:tcBorders>
            <w:shd w:val="clear" w:color="000000" w:fill="FFFFFF"/>
            <w:hideMark/>
          </w:tcPr>
          <w:p w14:paraId="17CAB41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13 años</w:t>
            </w:r>
          </w:p>
        </w:tc>
        <w:tc>
          <w:tcPr>
            <w:tcW w:w="1672" w:type="pct"/>
            <w:tcBorders>
              <w:top w:val="nil"/>
              <w:left w:val="nil"/>
              <w:bottom w:val="single" w:sz="4" w:space="0" w:color="auto"/>
              <w:right w:val="single" w:sz="4" w:space="0" w:color="auto"/>
            </w:tcBorders>
            <w:shd w:val="clear" w:color="000000" w:fill="FFFFFF"/>
            <w:hideMark/>
          </w:tcPr>
          <w:p w14:paraId="566CBFF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944C75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0630F9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Eric Donaldo Seb Pop</w:t>
            </w:r>
          </w:p>
        </w:tc>
        <w:tc>
          <w:tcPr>
            <w:tcW w:w="819" w:type="pct"/>
            <w:tcBorders>
              <w:top w:val="nil"/>
              <w:left w:val="nil"/>
              <w:bottom w:val="single" w:sz="4" w:space="0" w:color="auto"/>
              <w:right w:val="single" w:sz="4" w:space="0" w:color="auto"/>
            </w:tcBorders>
            <w:shd w:val="clear" w:color="000000" w:fill="FFFFFF"/>
            <w:hideMark/>
          </w:tcPr>
          <w:p w14:paraId="73590C0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10 años</w:t>
            </w:r>
          </w:p>
        </w:tc>
        <w:tc>
          <w:tcPr>
            <w:tcW w:w="1672" w:type="pct"/>
            <w:tcBorders>
              <w:top w:val="nil"/>
              <w:left w:val="nil"/>
              <w:bottom w:val="single" w:sz="4" w:space="0" w:color="auto"/>
              <w:right w:val="single" w:sz="4" w:space="0" w:color="auto"/>
            </w:tcBorders>
            <w:shd w:val="clear" w:color="000000" w:fill="FFFFFF"/>
            <w:hideMark/>
          </w:tcPr>
          <w:p w14:paraId="3A2E9CD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EB2946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EA0348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Miriam Elizabeth Seb Pop</w:t>
            </w:r>
          </w:p>
        </w:tc>
        <w:tc>
          <w:tcPr>
            <w:tcW w:w="819" w:type="pct"/>
            <w:tcBorders>
              <w:top w:val="nil"/>
              <w:left w:val="nil"/>
              <w:bottom w:val="single" w:sz="4" w:space="0" w:color="auto"/>
              <w:right w:val="single" w:sz="4" w:space="0" w:color="auto"/>
            </w:tcBorders>
            <w:shd w:val="clear" w:color="000000" w:fill="FFFFFF"/>
            <w:hideMark/>
          </w:tcPr>
          <w:p w14:paraId="730B729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7 años</w:t>
            </w:r>
          </w:p>
        </w:tc>
        <w:tc>
          <w:tcPr>
            <w:tcW w:w="1672" w:type="pct"/>
            <w:tcBorders>
              <w:top w:val="nil"/>
              <w:left w:val="nil"/>
              <w:bottom w:val="single" w:sz="4" w:space="0" w:color="auto"/>
              <w:right w:val="single" w:sz="4" w:space="0" w:color="auto"/>
            </w:tcBorders>
            <w:shd w:val="clear" w:color="000000" w:fill="FFFFFF"/>
            <w:hideMark/>
          </w:tcPr>
          <w:p w14:paraId="1938AF8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3A0904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3F3FC6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Fredy Santiago Seb Pop</w:t>
            </w:r>
          </w:p>
        </w:tc>
        <w:tc>
          <w:tcPr>
            <w:tcW w:w="819" w:type="pct"/>
            <w:tcBorders>
              <w:top w:val="nil"/>
              <w:left w:val="nil"/>
              <w:bottom w:val="single" w:sz="4" w:space="0" w:color="auto"/>
              <w:right w:val="single" w:sz="4" w:space="0" w:color="auto"/>
            </w:tcBorders>
            <w:shd w:val="clear" w:color="000000" w:fill="FFFFFF"/>
            <w:hideMark/>
          </w:tcPr>
          <w:p w14:paraId="1226ABC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 años</w:t>
            </w:r>
          </w:p>
        </w:tc>
        <w:tc>
          <w:tcPr>
            <w:tcW w:w="1672" w:type="pct"/>
            <w:tcBorders>
              <w:top w:val="nil"/>
              <w:left w:val="nil"/>
              <w:bottom w:val="single" w:sz="4" w:space="0" w:color="auto"/>
              <w:right w:val="single" w:sz="4" w:space="0" w:color="auto"/>
            </w:tcBorders>
            <w:shd w:val="clear" w:color="000000" w:fill="FFFFFF"/>
            <w:hideMark/>
          </w:tcPr>
          <w:p w14:paraId="70979E4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A91F65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1CB65A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lastRenderedPageBreak/>
              <w:t>Anderson Anivar Seb Pop</w:t>
            </w:r>
          </w:p>
        </w:tc>
        <w:tc>
          <w:tcPr>
            <w:tcW w:w="819" w:type="pct"/>
            <w:tcBorders>
              <w:top w:val="nil"/>
              <w:left w:val="nil"/>
              <w:bottom w:val="single" w:sz="4" w:space="0" w:color="auto"/>
              <w:right w:val="single" w:sz="4" w:space="0" w:color="auto"/>
            </w:tcBorders>
            <w:shd w:val="clear" w:color="000000" w:fill="FFFFFF"/>
            <w:hideMark/>
          </w:tcPr>
          <w:p w14:paraId="3306C50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2 años</w:t>
            </w:r>
          </w:p>
        </w:tc>
        <w:tc>
          <w:tcPr>
            <w:tcW w:w="1672" w:type="pct"/>
            <w:tcBorders>
              <w:top w:val="nil"/>
              <w:left w:val="nil"/>
              <w:bottom w:val="single" w:sz="4" w:space="0" w:color="auto"/>
              <w:right w:val="single" w:sz="4" w:space="0" w:color="auto"/>
            </w:tcBorders>
            <w:shd w:val="clear" w:color="000000" w:fill="FFFFFF"/>
            <w:hideMark/>
          </w:tcPr>
          <w:p w14:paraId="25C17AD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E1F786D"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1CA3A9C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17.</w:t>
            </w:r>
          </w:p>
        </w:tc>
        <w:tc>
          <w:tcPr>
            <w:tcW w:w="819" w:type="pct"/>
            <w:tcBorders>
              <w:top w:val="nil"/>
              <w:left w:val="nil"/>
              <w:bottom w:val="single" w:sz="4" w:space="0" w:color="auto"/>
              <w:right w:val="single" w:sz="4" w:space="0" w:color="auto"/>
            </w:tcBorders>
            <w:shd w:val="clear" w:color="000000" w:fill="FFFFFF"/>
            <w:hideMark/>
          </w:tcPr>
          <w:p w14:paraId="4DB589D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4875E6A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8F2F74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85BD7E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Magdalena Cucul</w:t>
            </w:r>
          </w:p>
        </w:tc>
        <w:tc>
          <w:tcPr>
            <w:tcW w:w="819" w:type="pct"/>
            <w:tcBorders>
              <w:top w:val="nil"/>
              <w:left w:val="nil"/>
              <w:bottom w:val="single" w:sz="4" w:space="0" w:color="auto"/>
              <w:right w:val="single" w:sz="4" w:space="0" w:color="auto"/>
            </w:tcBorders>
            <w:shd w:val="clear" w:color="000000" w:fill="FFFFFF"/>
            <w:hideMark/>
          </w:tcPr>
          <w:p w14:paraId="067748F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57 años</w:t>
            </w:r>
          </w:p>
        </w:tc>
        <w:tc>
          <w:tcPr>
            <w:tcW w:w="1672" w:type="pct"/>
            <w:tcBorders>
              <w:top w:val="nil"/>
              <w:left w:val="nil"/>
              <w:bottom w:val="single" w:sz="4" w:space="0" w:color="auto"/>
              <w:right w:val="single" w:sz="4" w:space="0" w:color="auto"/>
            </w:tcBorders>
            <w:shd w:val="clear" w:color="000000" w:fill="FFFFFF"/>
            <w:hideMark/>
          </w:tcPr>
          <w:p w14:paraId="2937B3A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28073</w:t>
            </w:r>
          </w:p>
        </w:tc>
      </w:tr>
      <w:tr w:rsidR="0006197B" w:rsidRPr="00495CFD" w14:paraId="409354C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C05968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Zacarias Toz Cucul</w:t>
            </w:r>
          </w:p>
        </w:tc>
        <w:tc>
          <w:tcPr>
            <w:tcW w:w="819" w:type="pct"/>
            <w:tcBorders>
              <w:top w:val="nil"/>
              <w:left w:val="nil"/>
              <w:bottom w:val="single" w:sz="4" w:space="0" w:color="auto"/>
              <w:right w:val="single" w:sz="4" w:space="0" w:color="auto"/>
            </w:tcBorders>
            <w:shd w:val="clear" w:color="000000" w:fill="FFFFFF"/>
            <w:hideMark/>
          </w:tcPr>
          <w:p w14:paraId="7D6C2E7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3A3FE72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89B2B9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F28241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Javier Toz Cucul</w:t>
            </w:r>
          </w:p>
        </w:tc>
        <w:tc>
          <w:tcPr>
            <w:tcW w:w="819" w:type="pct"/>
            <w:tcBorders>
              <w:top w:val="nil"/>
              <w:left w:val="nil"/>
              <w:bottom w:val="single" w:sz="4" w:space="0" w:color="auto"/>
              <w:right w:val="single" w:sz="4" w:space="0" w:color="auto"/>
            </w:tcBorders>
            <w:shd w:val="clear" w:color="000000" w:fill="FFFFFF"/>
            <w:hideMark/>
          </w:tcPr>
          <w:p w14:paraId="71FC8ED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0100D94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B7A7612"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13E31FD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18.</w:t>
            </w:r>
          </w:p>
        </w:tc>
        <w:tc>
          <w:tcPr>
            <w:tcW w:w="819" w:type="pct"/>
            <w:tcBorders>
              <w:top w:val="nil"/>
              <w:left w:val="nil"/>
              <w:bottom w:val="single" w:sz="4" w:space="0" w:color="auto"/>
              <w:right w:val="single" w:sz="4" w:space="0" w:color="auto"/>
            </w:tcBorders>
            <w:shd w:val="clear" w:color="000000" w:fill="FFFFFF"/>
            <w:hideMark/>
          </w:tcPr>
          <w:p w14:paraId="0B482E2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6B1EE66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3422C7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4104EA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Alberto Coc Xol</w:t>
            </w:r>
          </w:p>
        </w:tc>
        <w:tc>
          <w:tcPr>
            <w:tcW w:w="819" w:type="pct"/>
            <w:tcBorders>
              <w:top w:val="nil"/>
              <w:left w:val="nil"/>
              <w:bottom w:val="single" w:sz="4" w:space="0" w:color="auto"/>
              <w:right w:val="single" w:sz="4" w:space="0" w:color="auto"/>
            </w:tcBorders>
            <w:shd w:val="clear" w:color="000000" w:fill="FFFFFF"/>
            <w:hideMark/>
          </w:tcPr>
          <w:p w14:paraId="40A64CC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40 años</w:t>
            </w:r>
          </w:p>
        </w:tc>
        <w:tc>
          <w:tcPr>
            <w:tcW w:w="1672" w:type="pct"/>
            <w:tcBorders>
              <w:top w:val="nil"/>
              <w:left w:val="nil"/>
              <w:bottom w:val="single" w:sz="4" w:space="0" w:color="auto"/>
              <w:right w:val="single" w:sz="4" w:space="0" w:color="auto"/>
            </w:tcBorders>
            <w:shd w:val="clear" w:color="000000" w:fill="FFFFFF"/>
            <w:hideMark/>
          </w:tcPr>
          <w:p w14:paraId="46DBA47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2616</w:t>
            </w:r>
          </w:p>
        </w:tc>
      </w:tr>
      <w:tr w:rsidR="0006197B" w:rsidRPr="00495CFD" w14:paraId="2B3B52B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CB0E85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Amalia Mucu Xol</w:t>
            </w:r>
          </w:p>
        </w:tc>
        <w:tc>
          <w:tcPr>
            <w:tcW w:w="819" w:type="pct"/>
            <w:tcBorders>
              <w:top w:val="nil"/>
              <w:left w:val="nil"/>
              <w:bottom w:val="single" w:sz="4" w:space="0" w:color="auto"/>
              <w:right w:val="single" w:sz="4" w:space="0" w:color="auto"/>
            </w:tcBorders>
            <w:shd w:val="clear" w:color="000000" w:fill="FFFFFF"/>
            <w:hideMark/>
          </w:tcPr>
          <w:p w14:paraId="39CEF97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30 años</w:t>
            </w:r>
          </w:p>
        </w:tc>
        <w:tc>
          <w:tcPr>
            <w:tcW w:w="1672" w:type="pct"/>
            <w:tcBorders>
              <w:top w:val="nil"/>
              <w:left w:val="nil"/>
              <w:bottom w:val="single" w:sz="4" w:space="0" w:color="auto"/>
              <w:right w:val="single" w:sz="4" w:space="0" w:color="auto"/>
            </w:tcBorders>
            <w:shd w:val="clear" w:color="000000" w:fill="FFFFFF"/>
            <w:hideMark/>
          </w:tcPr>
          <w:p w14:paraId="5446627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28420</w:t>
            </w:r>
          </w:p>
        </w:tc>
      </w:tr>
      <w:tr w:rsidR="0006197B" w:rsidRPr="00495CFD" w14:paraId="67640F22"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DE0B27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Héctor Coc Mucu</w:t>
            </w:r>
          </w:p>
        </w:tc>
        <w:tc>
          <w:tcPr>
            <w:tcW w:w="819" w:type="pct"/>
            <w:tcBorders>
              <w:top w:val="nil"/>
              <w:left w:val="nil"/>
              <w:bottom w:val="single" w:sz="4" w:space="0" w:color="auto"/>
              <w:right w:val="single" w:sz="4" w:space="0" w:color="auto"/>
            </w:tcBorders>
            <w:shd w:val="clear" w:color="000000" w:fill="FFFFFF"/>
            <w:hideMark/>
          </w:tcPr>
          <w:p w14:paraId="502A2D8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8 años</w:t>
            </w:r>
          </w:p>
        </w:tc>
        <w:tc>
          <w:tcPr>
            <w:tcW w:w="1672" w:type="pct"/>
            <w:tcBorders>
              <w:top w:val="nil"/>
              <w:left w:val="nil"/>
              <w:bottom w:val="single" w:sz="4" w:space="0" w:color="auto"/>
              <w:right w:val="single" w:sz="4" w:space="0" w:color="auto"/>
            </w:tcBorders>
            <w:shd w:val="clear" w:color="000000" w:fill="FFFFFF"/>
            <w:hideMark/>
          </w:tcPr>
          <w:p w14:paraId="7D209E4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C02C1B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4A57E5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Brenda Noemí Coc Mucu</w:t>
            </w:r>
          </w:p>
        </w:tc>
        <w:tc>
          <w:tcPr>
            <w:tcW w:w="819" w:type="pct"/>
            <w:tcBorders>
              <w:top w:val="nil"/>
              <w:left w:val="nil"/>
              <w:bottom w:val="single" w:sz="4" w:space="0" w:color="auto"/>
              <w:right w:val="single" w:sz="4" w:space="0" w:color="auto"/>
            </w:tcBorders>
            <w:shd w:val="clear" w:color="000000" w:fill="FFFFFF"/>
            <w:hideMark/>
          </w:tcPr>
          <w:p w14:paraId="5BEDAF0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7 años</w:t>
            </w:r>
          </w:p>
        </w:tc>
        <w:tc>
          <w:tcPr>
            <w:tcW w:w="1672" w:type="pct"/>
            <w:tcBorders>
              <w:top w:val="nil"/>
              <w:left w:val="nil"/>
              <w:bottom w:val="single" w:sz="4" w:space="0" w:color="auto"/>
              <w:right w:val="single" w:sz="4" w:space="0" w:color="auto"/>
            </w:tcBorders>
            <w:shd w:val="clear" w:color="000000" w:fill="FFFFFF"/>
            <w:hideMark/>
          </w:tcPr>
          <w:p w14:paraId="4860289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BCE9B0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0CD4EB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Edwin Alesandre Coc Mucu</w:t>
            </w:r>
          </w:p>
        </w:tc>
        <w:tc>
          <w:tcPr>
            <w:tcW w:w="819" w:type="pct"/>
            <w:tcBorders>
              <w:top w:val="nil"/>
              <w:left w:val="nil"/>
              <w:bottom w:val="single" w:sz="4" w:space="0" w:color="auto"/>
              <w:right w:val="single" w:sz="4" w:space="0" w:color="auto"/>
            </w:tcBorders>
            <w:shd w:val="clear" w:color="000000" w:fill="FFFFFF"/>
            <w:hideMark/>
          </w:tcPr>
          <w:p w14:paraId="5F506FE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 años</w:t>
            </w:r>
          </w:p>
        </w:tc>
        <w:tc>
          <w:tcPr>
            <w:tcW w:w="1672" w:type="pct"/>
            <w:tcBorders>
              <w:top w:val="nil"/>
              <w:left w:val="nil"/>
              <w:bottom w:val="single" w:sz="4" w:space="0" w:color="auto"/>
              <w:right w:val="single" w:sz="4" w:space="0" w:color="auto"/>
            </w:tcBorders>
            <w:shd w:val="clear" w:color="000000" w:fill="FFFFFF"/>
            <w:hideMark/>
          </w:tcPr>
          <w:p w14:paraId="2BE2EDE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69386E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01F288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Nelson Aníbal Coc Mucu</w:t>
            </w:r>
          </w:p>
        </w:tc>
        <w:tc>
          <w:tcPr>
            <w:tcW w:w="819" w:type="pct"/>
            <w:tcBorders>
              <w:top w:val="nil"/>
              <w:left w:val="nil"/>
              <w:bottom w:val="single" w:sz="4" w:space="0" w:color="auto"/>
              <w:right w:val="single" w:sz="4" w:space="0" w:color="auto"/>
            </w:tcBorders>
            <w:shd w:val="clear" w:color="000000" w:fill="FFFFFF"/>
            <w:hideMark/>
          </w:tcPr>
          <w:p w14:paraId="46627E9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 años</w:t>
            </w:r>
          </w:p>
        </w:tc>
        <w:tc>
          <w:tcPr>
            <w:tcW w:w="1672" w:type="pct"/>
            <w:tcBorders>
              <w:top w:val="nil"/>
              <w:left w:val="nil"/>
              <w:bottom w:val="single" w:sz="4" w:space="0" w:color="auto"/>
              <w:right w:val="single" w:sz="4" w:space="0" w:color="auto"/>
            </w:tcBorders>
            <w:shd w:val="clear" w:color="000000" w:fill="FFFFFF"/>
            <w:hideMark/>
          </w:tcPr>
          <w:p w14:paraId="4BA0100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03B22A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4AA314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Rosa Carolina Coc Xol</w:t>
            </w:r>
          </w:p>
        </w:tc>
        <w:tc>
          <w:tcPr>
            <w:tcW w:w="819" w:type="pct"/>
            <w:tcBorders>
              <w:top w:val="nil"/>
              <w:left w:val="nil"/>
              <w:bottom w:val="single" w:sz="4" w:space="0" w:color="auto"/>
              <w:right w:val="single" w:sz="4" w:space="0" w:color="auto"/>
            </w:tcBorders>
            <w:shd w:val="clear" w:color="000000" w:fill="FFFFFF"/>
            <w:hideMark/>
          </w:tcPr>
          <w:p w14:paraId="4030DB2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2 años</w:t>
            </w:r>
          </w:p>
        </w:tc>
        <w:tc>
          <w:tcPr>
            <w:tcW w:w="1672" w:type="pct"/>
            <w:tcBorders>
              <w:top w:val="nil"/>
              <w:left w:val="nil"/>
              <w:bottom w:val="single" w:sz="4" w:space="0" w:color="auto"/>
              <w:right w:val="single" w:sz="4" w:space="0" w:color="auto"/>
            </w:tcBorders>
            <w:shd w:val="clear" w:color="000000" w:fill="FFFFFF"/>
            <w:hideMark/>
          </w:tcPr>
          <w:p w14:paraId="2D53BB0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D62364F"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77AC7CE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19.</w:t>
            </w:r>
          </w:p>
        </w:tc>
        <w:tc>
          <w:tcPr>
            <w:tcW w:w="819" w:type="pct"/>
            <w:tcBorders>
              <w:top w:val="nil"/>
              <w:left w:val="nil"/>
              <w:bottom w:val="single" w:sz="4" w:space="0" w:color="auto"/>
              <w:right w:val="single" w:sz="4" w:space="0" w:color="auto"/>
            </w:tcBorders>
            <w:shd w:val="clear" w:color="000000" w:fill="FFFFFF"/>
            <w:hideMark/>
          </w:tcPr>
          <w:p w14:paraId="2F41E61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0E2505F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EFB4EA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BCA584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Maria Teresa Quim Seb</w:t>
            </w:r>
          </w:p>
        </w:tc>
        <w:tc>
          <w:tcPr>
            <w:tcW w:w="819" w:type="pct"/>
            <w:tcBorders>
              <w:top w:val="nil"/>
              <w:left w:val="nil"/>
              <w:bottom w:val="single" w:sz="4" w:space="0" w:color="auto"/>
              <w:right w:val="single" w:sz="4" w:space="0" w:color="auto"/>
            </w:tcBorders>
            <w:shd w:val="clear" w:color="000000" w:fill="FFFFFF"/>
            <w:hideMark/>
          </w:tcPr>
          <w:p w14:paraId="1CA984F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39 años</w:t>
            </w:r>
          </w:p>
        </w:tc>
        <w:tc>
          <w:tcPr>
            <w:tcW w:w="1672" w:type="pct"/>
            <w:tcBorders>
              <w:top w:val="nil"/>
              <w:left w:val="nil"/>
              <w:bottom w:val="single" w:sz="4" w:space="0" w:color="auto"/>
              <w:right w:val="single" w:sz="4" w:space="0" w:color="auto"/>
            </w:tcBorders>
            <w:shd w:val="clear" w:color="000000" w:fill="FFFFFF"/>
            <w:hideMark/>
          </w:tcPr>
          <w:p w14:paraId="2E5FDF0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42303</w:t>
            </w:r>
          </w:p>
        </w:tc>
      </w:tr>
      <w:tr w:rsidR="0006197B" w:rsidRPr="00495CFD" w14:paraId="6CBB04B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A05515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Pedro Caal</w:t>
            </w:r>
          </w:p>
        </w:tc>
        <w:tc>
          <w:tcPr>
            <w:tcW w:w="819" w:type="pct"/>
            <w:tcBorders>
              <w:top w:val="nil"/>
              <w:left w:val="nil"/>
              <w:bottom w:val="single" w:sz="4" w:space="0" w:color="auto"/>
              <w:right w:val="single" w:sz="4" w:space="0" w:color="auto"/>
            </w:tcBorders>
            <w:shd w:val="clear" w:color="000000" w:fill="FFFFFF"/>
            <w:hideMark/>
          </w:tcPr>
          <w:p w14:paraId="390DFC9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36 años</w:t>
            </w:r>
          </w:p>
        </w:tc>
        <w:tc>
          <w:tcPr>
            <w:tcW w:w="1672" w:type="pct"/>
            <w:tcBorders>
              <w:top w:val="nil"/>
              <w:left w:val="nil"/>
              <w:bottom w:val="single" w:sz="4" w:space="0" w:color="auto"/>
              <w:right w:val="single" w:sz="4" w:space="0" w:color="auto"/>
            </w:tcBorders>
            <w:shd w:val="clear" w:color="000000" w:fill="FFFFFF"/>
            <w:hideMark/>
          </w:tcPr>
          <w:p w14:paraId="68A067C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15502</w:t>
            </w:r>
          </w:p>
        </w:tc>
      </w:tr>
      <w:tr w:rsidR="0006197B" w:rsidRPr="00495CFD" w14:paraId="7162006E"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DB14AE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Maria Candelaria Quim Seb</w:t>
            </w:r>
          </w:p>
        </w:tc>
        <w:tc>
          <w:tcPr>
            <w:tcW w:w="819" w:type="pct"/>
            <w:tcBorders>
              <w:top w:val="nil"/>
              <w:left w:val="nil"/>
              <w:bottom w:val="single" w:sz="4" w:space="0" w:color="auto"/>
              <w:right w:val="single" w:sz="4" w:space="0" w:color="auto"/>
            </w:tcBorders>
            <w:shd w:val="clear" w:color="000000" w:fill="FFFFFF"/>
            <w:hideMark/>
          </w:tcPr>
          <w:p w14:paraId="759473E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12 años</w:t>
            </w:r>
          </w:p>
        </w:tc>
        <w:tc>
          <w:tcPr>
            <w:tcW w:w="1672" w:type="pct"/>
            <w:tcBorders>
              <w:top w:val="nil"/>
              <w:left w:val="nil"/>
              <w:bottom w:val="single" w:sz="4" w:space="0" w:color="auto"/>
              <w:right w:val="single" w:sz="4" w:space="0" w:color="auto"/>
            </w:tcBorders>
            <w:shd w:val="clear" w:color="000000" w:fill="FFFFFF"/>
            <w:hideMark/>
          </w:tcPr>
          <w:p w14:paraId="5B30921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9BE05A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7B7680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Hugo Daniel Caal Quim</w:t>
            </w:r>
          </w:p>
        </w:tc>
        <w:tc>
          <w:tcPr>
            <w:tcW w:w="819" w:type="pct"/>
            <w:tcBorders>
              <w:top w:val="nil"/>
              <w:left w:val="nil"/>
              <w:bottom w:val="single" w:sz="4" w:space="0" w:color="auto"/>
              <w:right w:val="single" w:sz="4" w:space="0" w:color="auto"/>
            </w:tcBorders>
            <w:shd w:val="clear" w:color="000000" w:fill="FFFFFF"/>
            <w:hideMark/>
          </w:tcPr>
          <w:p w14:paraId="321DEBD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10 años</w:t>
            </w:r>
          </w:p>
        </w:tc>
        <w:tc>
          <w:tcPr>
            <w:tcW w:w="1672" w:type="pct"/>
            <w:tcBorders>
              <w:top w:val="nil"/>
              <w:left w:val="nil"/>
              <w:bottom w:val="single" w:sz="4" w:space="0" w:color="auto"/>
              <w:right w:val="single" w:sz="4" w:space="0" w:color="auto"/>
            </w:tcBorders>
            <w:shd w:val="clear" w:color="000000" w:fill="FFFFFF"/>
            <w:hideMark/>
          </w:tcPr>
          <w:p w14:paraId="40EE870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0FF1ED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9EBE52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Selvin Yovani Caal Quim</w:t>
            </w:r>
          </w:p>
        </w:tc>
        <w:tc>
          <w:tcPr>
            <w:tcW w:w="819" w:type="pct"/>
            <w:tcBorders>
              <w:top w:val="nil"/>
              <w:left w:val="nil"/>
              <w:bottom w:val="single" w:sz="4" w:space="0" w:color="auto"/>
              <w:right w:val="single" w:sz="4" w:space="0" w:color="auto"/>
            </w:tcBorders>
            <w:shd w:val="clear" w:color="000000" w:fill="FFFFFF"/>
            <w:hideMark/>
          </w:tcPr>
          <w:p w14:paraId="59C220C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8 años</w:t>
            </w:r>
          </w:p>
        </w:tc>
        <w:tc>
          <w:tcPr>
            <w:tcW w:w="1672" w:type="pct"/>
            <w:tcBorders>
              <w:top w:val="nil"/>
              <w:left w:val="nil"/>
              <w:bottom w:val="single" w:sz="4" w:space="0" w:color="auto"/>
              <w:right w:val="single" w:sz="4" w:space="0" w:color="auto"/>
            </w:tcBorders>
            <w:shd w:val="clear" w:color="000000" w:fill="FFFFFF"/>
            <w:hideMark/>
          </w:tcPr>
          <w:p w14:paraId="0770E49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E3D431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64F2D1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Ana Abriela Caal Quim</w:t>
            </w:r>
          </w:p>
        </w:tc>
        <w:tc>
          <w:tcPr>
            <w:tcW w:w="819" w:type="pct"/>
            <w:tcBorders>
              <w:top w:val="nil"/>
              <w:left w:val="nil"/>
              <w:bottom w:val="single" w:sz="4" w:space="0" w:color="auto"/>
              <w:right w:val="single" w:sz="4" w:space="0" w:color="auto"/>
            </w:tcBorders>
            <w:shd w:val="clear" w:color="000000" w:fill="FFFFFF"/>
            <w:hideMark/>
          </w:tcPr>
          <w:p w14:paraId="4680D4E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6 años</w:t>
            </w:r>
          </w:p>
        </w:tc>
        <w:tc>
          <w:tcPr>
            <w:tcW w:w="1672" w:type="pct"/>
            <w:tcBorders>
              <w:top w:val="nil"/>
              <w:left w:val="nil"/>
              <w:bottom w:val="single" w:sz="4" w:space="0" w:color="auto"/>
              <w:right w:val="single" w:sz="4" w:space="0" w:color="auto"/>
            </w:tcBorders>
            <w:shd w:val="clear" w:color="000000" w:fill="FFFFFF"/>
            <w:hideMark/>
          </w:tcPr>
          <w:p w14:paraId="5774285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A581CB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F4391E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Hector Anibal Caal Quim</w:t>
            </w:r>
          </w:p>
        </w:tc>
        <w:tc>
          <w:tcPr>
            <w:tcW w:w="819" w:type="pct"/>
            <w:tcBorders>
              <w:top w:val="nil"/>
              <w:left w:val="nil"/>
              <w:bottom w:val="single" w:sz="4" w:space="0" w:color="auto"/>
              <w:right w:val="single" w:sz="4" w:space="0" w:color="auto"/>
            </w:tcBorders>
            <w:shd w:val="clear" w:color="000000" w:fill="FFFFFF"/>
            <w:hideMark/>
          </w:tcPr>
          <w:p w14:paraId="4E4084B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 años</w:t>
            </w:r>
          </w:p>
        </w:tc>
        <w:tc>
          <w:tcPr>
            <w:tcW w:w="1672" w:type="pct"/>
            <w:tcBorders>
              <w:top w:val="nil"/>
              <w:left w:val="nil"/>
              <w:bottom w:val="single" w:sz="4" w:space="0" w:color="auto"/>
              <w:right w:val="single" w:sz="4" w:space="0" w:color="auto"/>
            </w:tcBorders>
            <w:shd w:val="clear" w:color="000000" w:fill="FFFFFF"/>
            <w:hideMark/>
          </w:tcPr>
          <w:p w14:paraId="1C300C6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9B3F544"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2153524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20.</w:t>
            </w:r>
          </w:p>
        </w:tc>
        <w:tc>
          <w:tcPr>
            <w:tcW w:w="819" w:type="pct"/>
            <w:tcBorders>
              <w:top w:val="nil"/>
              <w:left w:val="nil"/>
              <w:bottom w:val="single" w:sz="4" w:space="0" w:color="auto"/>
              <w:right w:val="single" w:sz="4" w:space="0" w:color="auto"/>
            </w:tcBorders>
            <w:shd w:val="clear" w:color="000000" w:fill="FFFFFF"/>
            <w:hideMark/>
          </w:tcPr>
          <w:p w14:paraId="148862E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4F47347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800DF4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7D53B9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Juan Cu</w:t>
            </w:r>
          </w:p>
        </w:tc>
        <w:tc>
          <w:tcPr>
            <w:tcW w:w="819" w:type="pct"/>
            <w:tcBorders>
              <w:top w:val="nil"/>
              <w:left w:val="nil"/>
              <w:bottom w:val="single" w:sz="4" w:space="0" w:color="auto"/>
              <w:right w:val="single" w:sz="4" w:space="0" w:color="auto"/>
            </w:tcBorders>
            <w:shd w:val="clear" w:color="000000" w:fill="FFFFFF"/>
            <w:hideMark/>
          </w:tcPr>
          <w:p w14:paraId="1A5B324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58 años</w:t>
            </w:r>
          </w:p>
        </w:tc>
        <w:tc>
          <w:tcPr>
            <w:tcW w:w="1672" w:type="pct"/>
            <w:tcBorders>
              <w:top w:val="nil"/>
              <w:left w:val="nil"/>
              <w:bottom w:val="single" w:sz="4" w:space="0" w:color="auto"/>
              <w:right w:val="single" w:sz="4" w:space="0" w:color="auto"/>
            </w:tcBorders>
            <w:shd w:val="clear" w:color="000000" w:fill="FFFFFF"/>
            <w:hideMark/>
          </w:tcPr>
          <w:p w14:paraId="37A45FE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15500</w:t>
            </w:r>
          </w:p>
        </w:tc>
      </w:tr>
      <w:tr w:rsidR="0006197B" w:rsidRPr="00495CFD" w14:paraId="37BA00A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482EBB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Tomasa Mez</w:t>
            </w:r>
          </w:p>
        </w:tc>
        <w:tc>
          <w:tcPr>
            <w:tcW w:w="819" w:type="pct"/>
            <w:tcBorders>
              <w:top w:val="nil"/>
              <w:left w:val="nil"/>
              <w:bottom w:val="single" w:sz="4" w:space="0" w:color="auto"/>
              <w:right w:val="single" w:sz="4" w:space="0" w:color="auto"/>
            </w:tcBorders>
            <w:shd w:val="clear" w:color="000000" w:fill="FFFFFF"/>
            <w:hideMark/>
          </w:tcPr>
          <w:p w14:paraId="7D993FB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53 años</w:t>
            </w:r>
          </w:p>
        </w:tc>
        <w:tc>
          <w:tcPr>
            <w:tcW w:w="1672" w:type="pct"/>
            <w:tcBorders>
              <w:top w:val="nil"/>
              <w:left w:val="nil"/>
              <w:bottom w:val="single" w:sz="4" w:space="0" w:color="auto"/>
              <w:right w:val="single" w:sz="4" w:space="0" w:color="auto"/>
            </w:tcBorders>
            <w:shd w:val="clear" w:color="000000" w:fill="FFFFFF"/>
            <w:hideMark/>
          </w:tcPr>
          <w:p w14:paraId="7B2E3BD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30251</w:t>
            </w:r>
          </w:p>
        </w:tc>
      </w:tr>
      <w:tr w:rsidR="0006197B" w:rsidRPr="00495CFD" w14:paraId="206ABA7E"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5B8731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Arturo Cu Mez</w:t>
            </w:r>
          </w:p>
        </w:tc>
        <w:tc>
          <w:tcPr>
            <w:tcW w:w="819" w:type="pct"/>
            <w:tcBorders>
              <w:top w:val="nil"/>
              <w:left w:val="nil"/>
              <w:bottom w:val="single" w:sz="4" w:space="0" w:color="auto"/>
              <w:right w:val="single" w:sz="4" w:space="0" w:color="auto"/>
            </w:tcBorders>
            <w:shd w:val="clear" w:color="000000" w:fill="FFFFFF"/>
            <w:hideMark/>
          </w:tcPr>
          <w:p w14:paraId="40232FF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17 años</w:t>
            </w:r>
          </w:p>
        </w:tc>
        <w:tc>
          <w:tcPr>
            <w:tcW w:w="1672" w:type="pct"/>
            <w:tcBorders>
              <w:top w:val="nil"/>
              <w:left w:val="nil"/>
              <w:bottom w:val="single" w:sz="4" w:space="0" w:color="auto"/>
              <w:right w:val="single" w:sz="4" w:space="0" w:color="auto"/>
            </w:tcBorders>
            <w:shd w:val="clear" w:color="000000" w:fill="FFFFFF"/>
            <w:hideMark/>
          </w:tcPr>
          <w:p w14:paraId="20F2DF3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7DF797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981485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Félix Cu Mez</w:t>
            </w:r>
          </w:p>
        </w:tc>
        <w:tc>
          <w:tcPr>
            <w:tcW w:w="819" w:type="pct"/>
            <w:tcBorders>
              <w:top w:val="nil"/>
              <w:left w:val="nil"/>
              <w:bottom w:val="single" w:sz="4" w:space="0" w:color="auto"/>
              <w:right w:val="single" w:sz="4" w:space="0" w:color="auto"/>
            </w:tcBorders>
            <w:shd w:val="clear" w:color="000000" w:fill="FFFFFF"/>
            <w:hideMark/>
          </w:tcPr>
          <w:p w14:paraId="2FC21AC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16 años</w:t>
            </w:r>
          </w:p>
        </w:tc>
        <w:tc>
          <w:tcPr>
            <w:tcW w:w="1672" w:type="pct"/>
            <w:tcBorders>
              <w:top w:val="nil"/>
              <w:left w:val="nil"/>
              <w:bottom w:val="single" w:sz="4" w:space="0" w:color="auto"/>
              <w:right w:val="single" w:sz="4" w:space="0" w:color="auto"/>
            </w:tcBorders>
            <w:shd w:val="clear" w:color="000000" w:fill="FFFFFF"/>
            <w:hideMark/>
          </w:tcPr>
          <w:p w14:paraId="448971C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5B5CCA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343F30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Juana Cu Mez</w:t>
            </w:r>
          </w:p>
        </w:tc>
        <w:tc>
          <w:tcPr>
            <w:tcW w:w="819" w:type="pct"/>
            <w:tcBorders>
              <w:top w:val="nil"/>
              <w:left w:val="nil"/>
              <w:bottom w:val="single" w:sz="4" w:space="0" w:color="auto"/>
              <w:right w:val="single" w:sz="4" w:space="0" w:color="auto"/>
            </w:tcBorders>
            <w:shd w:val="clear" w:color="000000" w:fill="FFFFFF"/>
            <w:hideMark/>
          </w:tcPr>
          <w:p w14:paraId="60CFCFE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14 años</w:t>
            </w:r>
          </w:p>
        </w:tc>
        <w:tc>
          <w:tcPr>
            <w:tcW w:w="1672" w:type="pct"/>
            <w:tcBorders>
              <w:top w:val="nil"/>
              <w:left w:val="nil"/>
              <w:bottom w:val="single" w:sz="4" w:space="0" w:color="auto"/>
              <w:right w:val="single" w:sz="4" w:space="0" w:color="auto"/>
            </w:tcBorders>
            <w:shd w:val="clear" w:color="000000" w:fill="FFFFFF"/>
            <w:hideMark/>
          </w:tcPr>
          <w:p w14:paraId="1F67A1C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68A6C4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A79AE9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Juan Cu Mez</w:t>
            </w:r>
          </w:p>
        </w:tc>
        <w:tc>
          <w:tcPr>
            <w:tcW w:w="819" w:type="pct"/>
            <w:tcBorders>
              <w:top w:val="nil"/>
              <w:left w:val="nil"/>
              <w:bottom w:val="single" w:sz="4" w:space="0" w:color="auto"/>
              <w:right w:val="single" w:sz="4" w:space="0" w:color="auto"/>
            </w:tcBorders>
            <w:shd w:val="clear" w:color="000000" w:fill="FFFFFF"/>
            <w:hideMark/>
          </w:tcPr>
          <w:p w14:paraId="792C857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12 años</w:t>
            </w:r>
          </w:p>
        </w:tc>
        <w:tc>
          <w:tcPr>
            <w:tcW w:w="1672" w:type="pct"/>
            <w:tcBorders>
              <w:top w:val="nil"/>
              <w:left w:val="nil"/>
              <w:bottom w:val="single" w:sz="4" w:space="0" w:color="auto"/>
              <w:right w:val="single" w:sz="4" w:space="0" w:color="auto"/>
            </w:tcBorders>
            <w:shd w:val="clear" w:color="000000" w:fill="FFFFFF"/>
            <w:hideMark/>
          </w:tcPr>
          <w:p w14:paraId="3C09FF0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0974F07"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7683EA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César Otoniel Cu Mez</w:t>
            </w:r>
          </w:p>
        </w:tc>
        <w:tc>
          <w:tcPr>
            <w:tcW w:w="819" w:type="pct"/>
            <w:tcBorders>
              <w:top w:val="nil"/>
              <w:left w:val="nil"/>
              <w:bottom w:val="single" w:sz="4" w:space="0" w:color="auto"/>
              <w:right w:val="single" w:sz="4" w:space="0" w:color="auto"/>
            </w:tcBorders>
            <w:shd w:val="clear" w:color="000000" w:fill="FFFFFF"/>
            <w:hideMark/>
          </w:tcPr>
          <w:p w14:paraId="253941C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9 años</w:t>
            </w:r>
          </w:p>
        </w:tc>
        <w:tc>
          <w:tcPr>
            <w:tcW w:w="1672" w:type="pct"/>
            <w:tcBorders>
              <w:top w:val="nil"/>
              <w:left w:val="nil"/>
              <w:bottom w:val="single" w:sz="4" w:space="0" w:color="auto"/>
              <w:right w:val="single" w:sz="4" w:space="0" w:color="auto"/>
            </w:tcBorders>
            <w:shd w:val="clear" w:color="000000" w:fill="FFFFFF"/>
            <w:hideMark/>
          </w:tcPr>
          <w:p w14:paraId="209C207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254EEE2"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67BF7D6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21.</w:t>
            </w:r>
          </w:p>
        </w:tc>
        <w:tc>
          <w:tcPr>
            <w:tcW w:w="819" w:type="pct"/>
            <w:tcBorders>
              <w:top w:val="nil"/>
              <w:left w:val="nil"/>
              <w:bottom w:val="single" w:sz="4" w:space="0" w:color="auto"/>
              <w:right w:val="single" w:sz="4" w:space="0" w:color="auto"/>
            </w:tcBorders>
            <w:shd w:val="clear" w:color="000000" w:fill="FFFFFF"/>
            <w:hideMark/>
          </w:tcPr>
          <w:p w14:paraId="383BE68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6D070B9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05725C56"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F5D292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Mario Xol Choc</w:t>
            </w:r>
          </w:p>
        </w:tc>
        <w:tc>
          <w:tcPr>
            <w:tcW w:w="819" w:type="pct"/>
            <w:tcBorders>
              <w:top w:val="nil"/>
              <w:left w:val="nil"/>
              <w:bottom w:val="single" w:sz="4" w:space="0" w:color="auto"/>
              <w:right w:val="single" w:sz="4" w:space="0" w:color="auto"/>
            </w:tcBorders>
            <w:shd w:val="clear" w:color="000000" w:fill="FFFFFF"/>
            <w:hideMark/>
          </w:tcPr>
          <w:p w14:paraId="4400508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28 años</w:t>
            </w:r>
          </w:p>
        </w:tc>
        <w:tc>
          <w:tcPr>
            <w:tcW w:w="1672" w:type="pct"/>
            <w:tcBorders>
              <w:top w:val="nil"/>
              <w:left w:val="nil"/>
              <w:bottom w:val="single" w:sz="4" w:space="0" w:color="auto"/>
              <w:right w:val="single" w:sz="4" w:space="0" w:color="auto"/>
            </w:tcBorders>
            <w:shd w:val="clear" w:color="000000" w:fill="FFFFFF"/>
            <w:hideMark/>
          </w:tcPr>
          <w:p w14:paraId="5B1D131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43601</w:t>
            </w:r>
          </w:p>
        </w:tc>
      </w:tr>
      <w:tr w:rsidR="0006197B" w:rsidRPr="00495CFD" w14:paraId="6B57161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F4CEFD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Yolanda Caal Poou</w:t>
            </w:r>
          </w:p>
        </w:tc>
        <w:tc>
          <w:tcPr>
            <w:tcW w:w="819" w:type="pct"/>
            <w:tcBorders>
              <w:top w:val="nil"/>
              <w:left w:val="nil"/>
              <w:bottom w:val="single" w:sz="4" w:space="0" w:color="auto"/>
              <w:right w:val="single" w:sz="4" w:space="0" w:color="auto"/>
            </w:tcBorders>
            <w:shd w:val="clear" w:color="000000" w:fill="FFFFFF"/>
            <w:hideMark/>
          </w:tcPr>
          <w:p w14:paraId="1599BF1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23 años</w:t>
            </w:r>
          </w:p>
        </w:tc>
        <w:tc>
          <w:tcPr>
            <w:tcW w:w="1672" w:type="pct"/>
            <w:tcBorders>
              <w:top w:val="nil"/>
              <w:left w:val="nil"/>
              <w:bottom w:val="single" w:sz="4" w:space="0" w:color="auto"/>
              <w:right w:val="single" w:sz="4" w:space="0" w:color="auto"/>
            </w:tcBorders>
            <w:shd w:val="clear" w:color="000000" w:fill="FFFFFF"/>
            <w:hideMark/>
          </w:tcPr>
          <w:p w14:paraId="46454AE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DF05FC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6F78DE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Marcos Alvaro Xol Caal</w:t>
            </w:r>
          </w:p>
        </w:tc>
        <w:tc>
          <w:tcPr>
            <w:tcW w:w="819" w:type="pct"/>
            <w:tcBorders>
              <w:top w:val="nil"/>
              <w:left w:val="nil"/>
              <w:bottom w:val="single" w:sz="4" w:space="0" w:color="auto"/>
              <w:right w:val="single" w:sz="4" w:space="0" w:color="auto"/>
            </w:tcBorders>
            <w:shd w:val="clear" w:color="000000" w:fill="FFFFFF"/>
            <w:hideMark/>
          </w:tcPr>
          <w:p w14:paraId="620CBD0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 años</w:t>
            </w:r>
          </w:p>
        </w:tc>
        <w:tc>
          <w:tcPr>
            <w:tcW w:w="1672" w:type="pct"/>
            <w:tcBorders>
              <w:top w:val="nil"/>
              <w:left w:val="nil"/>
              <w:bottom w:val="single" w:sz="4" w:space="0" w:color="auto"/>
              <w:right w:val="single" w:sz="4" w:space="0" w:color="auto"/>
            </w:tcBorders>
            <w:shd w:val="clear" w:color="000000" w:fill="FFFFFF"/>
            <w:hideMark/>
          </w:tcPr>
          <w:p w14:paraId="1DBB852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618E142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996D54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Marvin Amado Xol Caal</w:t>
            </w:r>
          </w:p>
        </w:tc>
        <w:tc>
          <w:tcPr>
            <w:tcW w:w="819" w:type="pct"/>
            <w:tcBorders>
              <w:top w:val="nil"/>
              <w:left w:val="nil"/>
              <w:bottom w:val="single" w:sz="4" w:space="0" w:color="auto"/>
              <w:right w:val="single" w:sz="4" w:space="0" w:color="auto"/>
            </w:tcBorders>
            <w:shd w:val="clear" w:color="000000" w:fill="FFFFFF"/>
            <w:hideMark/>
          </w:tcPr>
          <w:p w14:paraId="3A81781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 años</w:t>
            </w:r>
          </w:p>
        </w:tc>
        <w:tc>
          <w:tcPr>
            <w:tcW w:w="1672" w:type="pct"/>
            <w:tcBorders>
              <w:top w:val="nil"/>
              <w:left w:val="nil"/>
              <w:bottom w:val="single" w:sz="4" w:space="0" w:color="auto"/>
              <w:right w:val="single" w:sz="4" w:space="0" w:color="auto"/>
            </w:tcBorders>
            <w:shd w:val="clear" w:color="000000" w:fill="FFFFFF"/>
            <w:hideMark/>
          </w:tcPr>
          <w:p w14:paraId="13E8B5A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7F77A264"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2A7C40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Walter Otoniel Xol Caal</w:t>
            </w:r>
          </w:p>
        </w:tc>
        <w:tc>
          <w:tcPr>
            <w:tcW w:w="819" w:type="pct"/>
            <w:tcBorders>
              <w:top w:val="nil"/>
              <w:left w:val="nil"/>
              <w:bottom w:val="single" w:sz="4" w:space="0" w:color="auto"/>
              <w:right w:val="single" w:sz="4" w:space="0" w:color="auto"/>
            </w:tcBorders>
            <w:shd w:val="clear" w:color="000000" w:fill="FFFFFF"/>
            <w:hideMark/>
          </w:tcPr>
          <w:p w14:paraId="191832A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 años</w:t>
            </w:r>
          </w:p>
        </w:tc>
        <w:tc>
          <w:tcPr>
            <w:tcW w:w="1672" w:type="pct"/>
            <w:tcBorders>
              <w:top w:val="nil"/>
              <w:left w:val="nil"/>
              <w:bottom w:val="single" w:sz="4" w:space="0" w:color="auto"/>
              <w:right w:val="single" w:sz="4" w:space="0" w:color="auto"/>
            </w:tcBorders>
            <w:shd w:val="clear" w:color="000000" w:fill="FFFFFF"/>
            <w:hideMark/>
          </w:tcPr>
          <w:p w14:paraId="505C495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7CA6DDC"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2B9DD13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22.</w:t>
            </w:r>
          </w:p>
        </w:tc>
        <w:tc>
          <w:tcPr>
            <w:tcW w:w="819" w:type="pct"/>
            <w:tcBorders>
              <w:top w:val="nil"/>
              <w:left w:val="nil"/>
              <w:bottom w:val="single" w:sz="4" w:space="0" w:color="auto"/>
              <w:right w:val="single" w:sz="4" w:space="0" w:color="auto"/>
            </w:tcBorders>
            <w:shd w:val="clear" w:color="000000" w:fill="FFFFFF"/>
            <w:hideMark/>
          </w:tcPr>
          <w:p w14:paraId="606FDA4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3E15076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DBDC92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BE5708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Mario Quim Coc</w:t>
            </w:r>
          </w:p>
        </w:tc>
        <w:tc>
          <w:tcPr>
            <w:tcW w:w="819" w:type="pct"/>
            <w:tcBorders>
              <w:top w:val="nil"/>
              <w:left w:val="nil"/>
              <w:bottom w:val="single" w:sz="4" w:space="0" w:color="auto"/>
              <w:right w:val="single" w:sz="4" w:space="0" w:color="auto"/>
            </w:tcBorders>
            <w:shd w:val="clear" w:color="000000" w:fill="FFFFFF"/>
            <w:hideMark/>
          </w:tcPr>
          <w:p w14:paraId="6C1AE28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33 años</w:t>
            </w:r>
          </w:p>
        </w:tc>
        <w:tc>
          <w:tcPr>
            <w:tcW w:w="1672" w:type="pct"/>
            <w:tcBorders>
              <w:top w:val="nil"/>
              <w:left w:val="nil"/>
              <w:bottom w:val="single" w:sz="4" w:space="0" w:color="auto"/>
              <w:right w:val="single" w:sz="4" w:space="0" w:color="auto"/>
            </w:tcBorders>
            <w:shd w:val="clear" w:color="000000" w:fill="FFFFFF"/>
            <w:hideMark/>
          </w:tcPr>
          <w:p w14:paraId="5E72308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38713</w:t>
            </w:r>
          </w:p>
        </w:tc>
      </w:tr>
      <w:tr w:rsidR="0006197B" w:rsidRPr="00495CFD" w14:paraId="4D2CCE3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4DB740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Estela Hub Xol</w:t>
            </w:r>
          </w:p>
        </w:tc>
        <w:tc>
          <w:tcPr>
            <w:tcW w:w="819" w:type="pct"/>
            <w:tcBorders>
              <w:top w:val="nil"/>
              <w:left w:val="nil"/>
              <w:bottom w:val="single" w:sz="4" w:space="0" w:color="auto"/>
              <w:right w:val="single" w:sz="4" w:space="0" w:color="auto"/>
            </w:tcBorders>
            <w:shd w:val="clear" w:color="000000" w:fill="FFFFFF"/>
            <w:hideMark/>
          </w:tcPr>
          <w:p w14:paraId="01FFF31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25 años</w:t>
            </w:r>
          </w:p>
        </w:tc>
        <w:tc>
          <w:tcPr>
            <w:tcW w:w="1672" w:type="pct"/>
            <w:tcBorders>
              <w:top w:val="nil"/>
              <w:left w:val="nil"/>
              <w:bottom w:val="single" w:sz="4" w:space="0" w:color="auto"/>
              <w:right w:val="single" w:sz="4" w:space="0" w:color="auto"/>
            </w:tcBorders>
            <w:shd w:val="clear" w:color="000000" w:fill="FFFFFF"/>
            <w:hideMark/>
          </w:tcPr>
          <w:p w14:paraId="531E519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595C39E2"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AF02C4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Wilson MGiver Quim Hub</w:t>
            </w:r>
          </w:p>
        </w:tc>
        <w:tc>
          <w:tcPr>
            <w:tcW w:w="819" w:type="pct"/>
            <w:tcBorders>
              <w:top w:val="nil"/>
              <w:left w:val="nil"/>
              <w:bottom w:val="single" w:sz="4" w:space="0" w:color="auto"/>
              <w:right w:val="single" w:sz="4" w:space="0" w:color="auto"/>
            </w:tcBorders>
            <w:shd w:val="clear" w:color="000000" w:fill="FFFFFF"/>
            <w:hideMark/>
          </w:tcPr>
          <w:p w14:paraId="7AE0B71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7 años</w:t>
            </w:r>
          </w:p>
        </w:tc>
        <w:tc>
          <w:tcPr>
            <w:tcW w:w="1672" w:type="pct"/>
            <w:tcBorders>
              <w:top w:val="nil"/>
              <w:left w:val="nil"/>
              <w:bottom w:val="single" w:sz="4" w:space="0" w:color="auto"/>
              <w:right w:val="single" w:sz="4" w:space="0" w:color="auto"/>
            </w:tcBorders>
            <w:shd w:val="clear" w:color="000000" w:fill="FFFFFF"/>
            <w:hideMark/>
          </w:tcPr>
          <w:p w14:paraId="19DD499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24B4AEDF"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422576C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23.</w:t>
            </w:r>
          </w:p>
        </w:tc>
        <w:tc>
          <w:tcPr>
            <w:tcW w:w="819" w:type="pct"/>
            <w:tcBorders>
              <w:top w:val="nil"/>
              <w:left w:val="nil"/>
              <w:bottom w:val="single" w:sz="4" w:space="0" w:color="auto"/>
              <w:right w:val="single" w:sz="4" w:space="0" w:color="auto"/>
            </w:tcBorders>
            <w:shd w:val="clear" w:color="000000" w:fill="FFFFFF"/>
            <w:hideMark/>
          </w:tcPr>
          <w:p w14:paraId="3249BA4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shd w:val="clear" w:color="000000" w:fill="FFFFFF"/>
            <w:hideMark/>
          </w:tcPr>
          <w:p w14:paraId="517C32C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4E25F91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2A56BC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lastRenderedPageBreak/>
              <w:t>Sebastian Quim Seb</w:t>
            </w:r>
          </w:p>
        </w:tc>
        <w:tc>
          <w:tcPr>
            <w:tcW w:w="819" w:type="pct"/>
            <w:tcBorders>
              <w:top w:val="nil"/>
              <w:left w:val="nil"/>
              <w:bottom w:val="single" w:sz="4" w:space="0" w:color="auto"/>
              <w:right w:val="single" w:sz="4" w:space="0" w:color="auto"/>
            </w:tcBorders>
            <w:shd w:val="clear" w:color="000000" w:fill="FFFFFF"/>
            <w:hideMark/>
          </w:tcPr>
          <w:p w14:paraId="5F2508D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55 años</w:t>
            </w:r>
          </w:p>
        </w:tc>
        <w:tc>
          <w:tcPr>
            <w:tcW w:w="1672" w:type="pct"/>
            <w:tcBorders>
              <w:top w:val="nil"/>
              <w:left w:val="nil"/>
              <w:bottom w:val="single" w:sz="4" w:space="0" w:color="auto"/>
              <w:right w:val="single" w:sz="4" w:space="0" w:color="auto"/>
            </w:tcBorders>
            <w:shd w:val="clear" w:color="000000" w:fill="FFFFFF"/>
            <w:hideMark/>
          </w:tcPr>
          <w:p w14:paraId="2AD1D00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2624</w:t>
            </w:r>
          </w:p>
        </w:tc>
      </w:tr>
      <w:tr w:rsidR="0006197B" w:rsidRPr="00495CFD" w14:paraId="4A1DC1BF"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1D2378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Magdalena Coc Yaxcal</w:t>
            </w:r>
          </w:p>
        </w:tc>
        <w:tc>
          <w:tcPr>
            <w:tcW w:w="819" w:type="pct"/>
            <w:tcBorders>
              <w:top w:val="nil"/>
              <w:left w:val="nil"/>
              <w:bottom w:val="single" w:sz="4" w:space="0" w:color="auto"/>
              <w:right w:val="single" w:sz="4" w:space="0" w:color="auto"/>
            </w:tcBorders>
            <w:shd w:val="clear" w:color="000000" w:fill="FFFFFF"/>
            <w:hideMark/>
          </w:tcPr>
          <w:p w14:paraId="18A840A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50 años</w:t>
            </w:r>
          </w:p>
        </w:tc>
        <w:tc>
          <w:tcPr>
            <w:tcW w:w="1672" w:type="pct"/>
            <w:tcBorders>
              <w:top w:val="nil"/>
              <w:left w:val="nil"/>
              <w:bottom w:val="single" w:sz="4" w:space="0" w:color="auto"/>
              <w:right w:val="single" w:sz="4" w:space="0" w:color="auto"/>
            </w:tcBorders>
            <w:shd w:val="clear" w:color="000000" w:fill="FFFFFF"/>
            <w:hideMark/>
          </w:tcPr>
          <w:p w14:paraId="09C4487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N-14 13799</w:t>
            </w:r>
          </w:p>
        </w:tc>
      </w:tr>
      <w:tr w:rsidR="0006197B" w:rsidRPr="00495CFD" w14:paraId="6F75E9F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29E8A2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Elena Violeta Quim Coc</w:t>
            </w:r>
          </w:p>
        </w:tc>
        <w:tc>
          <w:tcPr>
            <w:tcW w:w="819" w:type="pct"/>
            <w:tcBorders>
              <w:top w:val="nil"/>
              <w:left w:val="nil"/>
              <w:bottom w:val="single" w:sz="4" w:space="0" w:color="auto"/>
              <w:right w:val="single" w:sz="4" w:space="0" w:color="auto"/>
            </w:tcBorders>
            <w:shd w:val="clear" w:color="000000" w:fill="FFFFFF"/>
            <w:hideMark/>
          </w:tcPr>
          <w:p w14:paraId="4727359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18 años</w:t>
            </w:r>
          </w:p>
        </w:tc>
        <w:tc>
          <w:tcPr>
            <w:tcW w:w="1672" w:type="pct"/>
            <w:tcBorders>
              <w:top w:val="nil"/>
              <w:left w:val="nil"/>
              <w:bottom w:val="single" w:sz="4" w:space="0" w:color="auto"/>
              <w:right w:val="single" w:sz="4" w:space="0" w:color="auto"/>
            </w:tcBorders>
            <w:shd w:val="clear" w:color="000000" w:fill="FFFFFF"/>
            <w:hideMark/>
          </w:tcPr>
          <w:p w14:paraId="463EBA1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1A1F5258"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99D418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Otto Mariano Quim Coc</w:t>
            </w:r>
          </w:p>
        </w:tc>
        <w:tc>
          <w:tcPr>
            <w:tcW w:w="819" w:type="pct"/>
            <w:tcBorders>
              <w:top w:val="nil"/>
              <w:left w:val="nil"/>
              <w:bottom w:val="single" w:sz="4" w:space="0" w:color="auto"/>
              <w:right w:val="single" w:sz="4" w:space="0" w:color="auto"/>
            </w:tcBorders>
            <w:shd w:val="clear" w:color="000000" w:fill="FFFFFF"/>
            <w:hideMark/>
          </w:tcPr>
          <w:p w14:paraId="40E7DD0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15 años</w:t>
            </w:r>
          </w:p>
        </w:tc>
        <w:tc>
          <w:tcPr>
            <w:tcW w:w="1672" w:type="pct"/>
            <w:tcBorders>
              <w:top w:val="nil"/>
              <w:left w:val="nil"/>
              <w:bottom w:val="single" w:sz="4" w:space="0" w:color="auto"/>
              <w:right w:val="single" w:sz="4" w:space="0" w:color="auto"/>
            </w:tcBorders>
            <w:shd w:val="clear" w:color="000000" w:fill="FFFFFF"/>
            <w:hideMark/>
          </w:tcPr>
          <w:p w14:paraId="1A17B24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r>
      <w:tr w:rsidR="0006197B" w:rsidRPr="00495CFD" w14:paraId="34156049" w14:textId="77777777" w:rsidTr="00495CFD">
        <w:trPr>
          <w:trHeight w:val="314"/>
        </w:trPr>
        <w:tc>
          <w:tcPr>
            <w:tcW w:w="2509" w:type="pct"/>
            <w:tcBorders>
              <w:top w:val="nil"/>
              <w:left w:val="single" w:sz="4" w:space="0" w:color="auto"/>
              <w:bottom w:val="single" w:sz="4" w:space="0" w:color="auto"/>
              <w:right w:val="single" w:sz="4" w:space="0" w:color="auto"/>
            </w:tcBorders>
            <w:noWrap/>
            <w:vAlign w:val="bottom"/>
            <w:hideMark/>
          </w:tcPr>
          <w:p w14:paraId="3EA6B9C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24.</w:t>
            </w:r>
          </w:p>
        </w:tc>
        <w:tc>
          <w:tcPr>
            <w:tcW w:w="819" w:type="pct"/>
            <w:tcBorders>
              <w:top w:val="nil"/>
              <w:left w:val="nil"/>
              <w:bottom w:val="single" w:sz="4" w:space="0" w:color="auto"/>
              <w:right w:val="single" w:sz="4" w:space="0" w:color="auto"/>
            </w:tcBorders>
            <w:shd w:val="clear" w:color="000000" w:fill="FFFFFF"/>
            <w:hideMark/>
          </w:tcPr>
          <w:p w14:paraId="1D330AC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4A30255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493D0A12"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31B96A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Roberto Tux Cac</w:t>
            </w:r>
          </w:p>
        </w:tc>
        <w:tc>
          <w:tcPr>
            <w:tcW w:w="819" w:type="pct"/>
            <w:tcBorders>
              <w:top w:val="nil"/>
              <w:left w:val="nil"/>
              <w:bottom w:val="single" w:sz="4" w:space="0" w:color="auto"/>
              <w:right w:val="single" w:sz="4" w:space="0" w:color="auto"/>
            </w:tcBorders>
            <w:noWrap/>
            <w:vAlign w:val="bottom"/>
            <w:hideMark/>
          </w:tcPr>
          <w:p w14:paraId="446F5F1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30 años</w:t>
            </w:r>
          </w:p>
        </w:tc>
        <w:tc>
          <w:tcPr>
            <w:tcW w:w="1672" w:type="pct"/>
            <w:tcBorders>
              <w:top w:val="nil"/>
              <w:left w:val="nil"/>
              <w:bottom w:val="single" w:sz="4" w:space="0" w:color="auto"/>
              <w:right w:val="single" w:sz="4" w:space="0" w:color="auto"/>
            </w:tcBorders>
            <w:noWrap/>
            <w:vAlign w:val="bottom"/>
            <w:hideMark/>
          </w:tcPr>
          <w:p w14:paraId="7FA071D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25213</w:t>
            </w:r>
          </w:p>
        </w:tc>
      </w:tr>
      <w:tr w:rsidR="0006197B" w:rsidRPr="00495CFD" w14:paraId="64F9346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5B825D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Amalia Quim Seb</w:t>
            </w:r>
          </w:p>
        </w:tc>
        <w:tc>
          <w:tcPr>
            <w:tcW w:w="819" w:type="pct"/>
            <w:tcBorders>
              <w:top w:val="nil"/>
              <w:left w:val="nil"/>
              <w:bottom w:val="single" w:sz="4" w:space="0" w:color="auto"/>
              <w:right w:val="single" w:sz="4" w:space="0" w:color="auto"/>
            </w:tcBorders>
            <w:noWrap/>
            <w:vAlign w:val="bottom"/>
            <w:hideMark/>
          </w:tcPr>
          <w:p w14:paraId="44905FA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28 años</w:t>
            </w:r>
          </w:p>
        </w:tc>
        <w:tc>
          <w:tcPr>
            <w:tcW w:w="1672" w:type="pct"/>
            <w:tcBorders>
              <w:top w:val="nil"/>
              <w:left w:val="nil"/>
              <w:bottom w:val="single" w:sz="4" w:space="0" w:color="auto"/>
              <w:right w:val="single" w:sz="4" w:space="0" w:color="auto"/>
            </w:tcBorders>
            <w:noWrap/>
            <w:vAlign w:val="bottom"/>
            <w:hideMark/>
          </w:tcPr>
          <w:p w14:paraId="71B26C7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24823</w:t>
            </w:r>
          </w:p>
        </w:tc>
      </w:tr>
      <w:tr w:rsidR="0006197B" w:rsidRPr="00495CFD" w14:paraId="3B79898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75B4AF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Gladis Anabella Tux Quim</w:t>
            </w:r>
          </w:p>
        </w:tc>
        <w:tc>
          <w:tcPr>
            <w:tcW w:w="819" w:type="pct"/>
            <w:tcBorders>
              <w:top w:val="nil"/>
              <w:left w:val="nil"/>
              <w:bottom w:val="single" w:sz="4" w:space="0" w:color="auto"/>
              <w:right w:val="single" w:sz="4" w:space="0" w:color="auto"/>
            </w:tcBorders>
            <w:noWrap/>
            <w:vAlign w:val="bottom"/>
            <w:hideMark/>
          </w:tcPr>
          <w:p w14:paraId="1458153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9 años</w:t>
            </w:r>
          </w:p>
        </w:tc>
        <w:tc>
          <w:tcPr>
            <w:tcW w:w="1672" w:type="pct"/>
            <w:tcBorders>
              <w:top w:val="nil"/>
              <w:left w:val="nil"/>
              <w:bottom w:val="single" w:sz="4" w:space="0" w:color="auto"/>
              <w:right w:val="single" w:sz="4" w:space="0" w:color="auto"/>
            </w:tcBorders>
            <w:noWrap/>
            <w:vAlign w:val="bottom"/>
            <w:hideMark/>
          </w:tcPr>
          <w:p w14:paraId="1232A1E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5C8B4E0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09E213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Wilmer Alexander Tux Quim</w:t>
            </w:r>
          </w:p>
        </w:tc>
        <w:tc>
          <w:tcPr>
            <w:tcW w:w="819" w:type="pct"/>
            <w:tcBorders>
              <w:top w:val="nil"/>
              <w:left w:val="nil"/>
              <w:bottom w:val="single" w:sz="4" w:space="0" w:color="auto"/>
              <w:right w:val="single" w:sz="4" w:space="0" w:color="auto"/>
            </w:tcBorders>
            <w:noWrap/>
            <w:vAlign w:val="bottom"/>
            <w:hideMark/>
          </w:tcPr>
          <w:p w14:paraId="0D6D09A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8 años</w:t>
            </w:r>
          </w:p>
        </w:tc>
        <w:tc>
          <w:tcPr>
            <w:tcW w:w="1672" w:type="pct"/>
            <w:tcBorders>
              <w:top w:val="nil"/>
              <w:left w:val="nil"/>
              <w:bottom w:val="single" w:sz="4" w:space="0" w:color="auto"/>
              <w:right w:val="single" w:sz="4" w:space="0" w:color="auto"/>
            </w:tcBorders>
            <w:noWrap/>
            <w:vAlign w:val="bottom"/>
            <w:hideMark/>
          </w:tcPr>
          <w:p w14:paraId="2B18413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226AD9BE"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73E057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Ileana Griselda Tux Quim</w:t>
            </w:r>
          </w:p>
        </w:tc>
        <w:tc>
          <w:tcPr>
            <w:tcW w:w="819" w:type="pct"/>
            <w:tcBorders>
              <w:top w:val="nil"/>
              <w:left w:val="nil"/>
              <w:bottom w:val="single" w:sz="4" w:space="0" w:color="auto"/>
              <w:right w:val="single" w:sz="4" w:space="0" w:color="auto"/>
            </w:tcBorders>
            <w:noWrap/>
            <w:vAlign w:val="bottom"/>
            <w:hideMark/>
          </w:tcPr>
          <w:p w14:paraId="5165722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6 años</w:t>
            </w:r>
          </w:p>
        </w:tc>
        <w:tc>
          <w:tcPr>
            <w:tcW w:w="1672" w:type="pct"/>
            <w:tcBorders>
              <w:top w:val="nil"/>
              <w:left w:val="nil"/>
              <w:bottom w:val="single" w:sz="4" w:space="0" w:color="auto"/>
              <w:right w:val="single" w:sz="4" w:space="0" w:color="auto"/>
            </w:tcBorders>
            <w:noWrap/>
            <w:vAlign w:val="bottom"/>
            <w:hideMark/>
          </w:tcPr>
          <w:p w14:paraId="3BD9825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12F71CC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8300B1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Elida Floridalma Tux Quim</w:t>
            </w:r>
          </w:p>
        </w:tc>
        <w:tc>
          <w:tcPr>
            <w:tcW w:w="819" w:type="pct"/>
            <w:tcBorders>
              <w:top w:val="nil"/>
              <w:left w:val="nil"/>
              <w:bottom w:val="single" w:sz="4" w:space="0" w:color="auto"/>
              <w:right w:val="single" w:sz="4" w:space="0" w:color="auto"/>
            </w:tcBorders>
            <w:noWrap/>
            <w:vAlign w:val="bottom"/>
            <w:hideMark/>
          </w:tcPr>
          <w:p w14:paraId="66264C9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4 años</w:t>
            </w:r>
          </w:p>
        </w:tc>
        <w:tc>
          <w:tcPr>
            <w:tcW w:w="1672" w:type="pct"/>
            <w:tcBorders>
              <w:top w:val="nil"/>
              <w:left w:val="nil"/>
              <w:bottom w:val="single" w:sz="4" w:space="0" w:color="auto"/>
              <w:right w:val="single" w:sz="4" w:space="0" w:color="auto"/>
            </w:tcBorders>
            <w:noWrap/>
            <w:vAlign w:val="bottom"/>
            <w:hideMark/>
          </w:tcPr>
          <w:p w14:paraId="66562C8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5EF9C8E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D188B3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Sonia Magdalena Tux Quim</w:t>
            </w:r>
          </w:p>
        </w:tc>
        <w:tc>
          <w:tcPr>
            <w:tcW w:w="819" w:type="pct"/>
            <w:tcBorders>
              <w:top w:val="nil"/>
              <w:left w:val="nil"/>
              <w:bottom w:val="single" w:sz="4" w:space="0" w:color="auto"/>
              <w:right w:val="single" w:sz="4" w:space="0" w:color="auto"/>
            </w:tcBorders>
            <w:noWrap/>
            <w:vAlign w:val="bottom"/>
            <w:hideMark/>
          </w:tcPr>
          <w:p w14:paraId="21A16CF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 años</w:t>
            </w:r>
          </w:p>
        </w:tc>
        <w:tc>
          <w:tcPr>
            <w:tcW w:w="1672" w:type="pct"/>
            <w:tcBorders>
              <w:top w:val="nil"/>
              <w:left w:val="nil"/>
              <w:bottom w:val="single" w:sz="4" w:space="0" w:color="auto"/>
              <w:right w:val="single" w:sz="4" w:space="0" w:color="auto"/>
            </w:tcBorders>
            <w:noWrap/>
            <w:vAlign w:val="bottom"/>
            <w:hideMark/>
          </w:tcPr>
          <w:p w14:paraId="48DCF04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2FEFCC6A" w14:textId="77777777" w:rsidTr="00495CFD">
        <w:trPr>
          <w:trHeight w:val="285"/>
        </w:trPr>
        <w:tc>
          <w:tcPr>
            <w:tcW w:w="2509" w:type="pct"/>
            <w:tcBorders>
              <w:top w:val="nil"/>
              <w:left w:val="single" w:sz="4" w:space="0" w:color="auto"/>
              <w:bottom w:val="single" w:sz="4" w:space="0" w:color="auto"/>
              <w:right w:val="single" w:sz="4" w:space="0" w:color="auto"/>
            </w:tcBorders>
            <w:noWrap/>
            <w:vAlign w:val="bottom"/>
            <w:hideMark/>
          </w:tcPr>
          <w:p w14:paraId="2F9C1C5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25.</w:t>
            </w:r>
          </w:p>
        </w:tc>
        <w:tc>
          <w:tcPr>
            <w:tcW w:w="819" w:type="pct"/>
            <w:tcBorders>
              <w:top w:val="nil"/>
              <w:left w:val="nil"/>
              <w:bottom w:val="single" w:sz="4" w:space="0" w:color="auto"/>
              <w:right w:val="single" w:sz="4" w:space="0" w:color="auto"/>
            </w:tcBorders>
            <w:noWrap/>
            <w:vAlign w:val="bottom"/>
            <w:hideMark/>
          </w:tcPr>
          <w:p w14:paraId="12F8A6E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6826B4B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1BA4228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D81C29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Gerardo Yaxcal Gualná</w:t>
            </w:r>
          </w:p>
        </w:tc>
        <w:tc>
          <w:tcPr>
            <w:tcW w:w="819" w:type="pct"/>
            <w:tcBorders>
              <w:top w:val="nil"/>
              <w:left w:val="nil"/>
              <w:bottom w:val="single" w:sz="4" w:space="0" w:color="auto"/>
              <w:right w:val="single" w:sz="4" w:space="0" w:color="auto"/>
            </w:tcBorders>
            <w:noWrap/>
            <w:vAlign w:val="bottom"/>
            <w:hideMark/>
          </w:tcPr>
          <w:p w14:paraId="1614058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36 años</w:t>
            </w:r>
          </w:p>
        </w:tc>
        <w:tc>
          <w:tcPr>
            <w:tcW w:w="1672" w:type="pct"/>
            <w:tcBorders>
              <w:top w:val="nil"/>
              <w:left w:val="nil"/>
              <w:bottom w:val="single" w:sz="4" w:space="0" w:color="auto"/>
              <w:right w:val="single" w:sz="4" w:space="0" w:color="auto"/>
            </w:tcBorders>
            <w:noWrap/>
            <w:vAlign w:val="bottom"/>
            <w:hideMark/>
          </w:tcPr>
          <w:p w14:paraId="19242B7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O-16 23229</w:t>
            </w:r>
          </w:p>
        </w:tc>
      </w:tr>
      <w:tr w:rsidR="0006197B" w:rsidRPr="00495CFD" w14:paraId="3D18970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2CDC55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Aurelia Xol Choc</w:t>
            </w:r>
          </w:p>
        </w:tc>
        <w:tc>
          <w:tcPr>
            <w:tcW w:w="819" w:type="pct"/>
            <w:tcBorders>
              <w:top w:val="nil"/>
              <w:left w:val="nil"/>
              <w:bottom w:val="single" w:sz="4" w:space="0" w:color="auto"/>
              <w:right w:val="single" w:sz="4" w:space="0" w:color="auto"/>
            </w:tcBorders>
            <w:noWrap/>
            <w:vAlign w:val="bottom"/>
            <w:hideMark/>
          </w:tcPr>
          <w:p w14:paraId="2B18D08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33 años</w:t>
            </w:r>
          </w:p>
        </w:tc>
        <w:tc>
          <w:tcPr>
            <w:tcW w:w="1672" w:type="pct"/>
            <w:tcBorders>
              <w:top w:val="nil"/>
              <w:left w:val="nil"/>
              <w:bottom w:val="single" w:sz="4" w:space="0" w:color="auto"/>
              <w:right w:val="single" w:sz="4" w:space="0" w:color="auto"/>
            </w:tcBorders>
            <w:noWrap/>
            <w:vAlign w:val="bottom"/>
            <w:hideMark/>
          </w:tcPr>
          <w:p w14:paraId="7204CC2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O-16 25051</w:t>
            </w:r>
          </w:p>
        </w:tc>
      </w:tr>
      <w:tr w:rsidR="0006197B" w:rsidRPr="00495CFD" w14:paraId="6FDA1BB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366136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Mirna Floricelda Yaxcal Xol</w:t>
            </w:r>
          </w:p>
        </w:tc>
        <w:tc>
          <w:tcPr>
            <w:tcW w:w="819" w:type="pct"/>
            <w:tcBorders>
              <w:top w:val="nil"/>
              <w:left w:val="nil"/>
              <w:bottom w:val="single" w:sz="4" w:space="0" w:color="auto"/>
              <w:right w:val="single" w:sz="4" w:space="0" w:color="auto"/>
            </w:tcBorders>
            <w:noWrap/>
            <w:vAlign w:val="bottom"/>
            <w:hideMark/>
          </w:tcPr>
          <w:p w14:paraId="2E030A9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7 años</w:t>
            </w:r>
          </w:p>
        </w:tc>
        <w:tc>
          <w:tcPr>
            <w:tcW w:w="1672" w:type="pct"/>
            <w:tcBorders>
              <w:top w:val="nil"/>
              <w:left w:val="nil"/>
              <w:bottom w:val="single" w:sz="4" w:space="0" w:color="auto"/>
              <w:right w:val="single" w:sz="4" w:space="0" w:color="auto"/>
            </w:tcBorders>
            <w:noWrap/>
            <w:vAlign w:val="bottom"/>
            <w:hideMark/>
          </w:tcPr>
          <w:p w14:paraId="45B946B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04233AE5"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1D6526E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William Gerardo Yaxcal Xol</w:t>
            </w:r>
          </w:p>
        </w:tc>
        <w:tc>
          <w:tcPr>
            <w:tcW w:w="819" w:type="pct"/>
            <w:tcBorders>
              <w:top w:val="nil"/>
              <w:left w:val="nil"/>
              <w:bottom w:val="single" w:sz="4" w:space="0" w:color="auto"/>
              <w:right w:val="single" w:sz="4" w:space="0" w:color="auto"/>
            </w:tcBorders>
            <w:noWrap/>
            <w:vAlign w:val="bottom"/>
            <w:hideMark/>
          </w:tcPr>
          <w:p w14:paraId="4C92180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5 años</w:t>
            </w:r>
          </w:p>
        </w:tc>
        <w:tc>
          <w:tcPr>
            <w:tcW w:w="1672" w:type="pct"/>
            <w:tcBorders>
              <w:top w:val="nil"/>
              <w:left w:val="nil"/>
              <w:bottom w:val="single" w:sz="4" w:space="0" w:color="auto"/>
              <w:right w:val="single" w:sz="4" w:space="0" w:color="auto"/>
            </w:tcBorders>
            <w:noWrap/>
            <w:vAlign w:val="bottom"/>
            <w:hideMark/>
          </w:tcPr>
          <w:p w14:paraId="1BB1840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0D2199FA"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6970CB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Geidi Yanira Yaxcal Xol</w:t>
            </w:r>
          </w:p>
        </w:tc>
        <w:tc>
          <w:tcPr>
            <w:tcW w:w="819" w:type="pct"/>
            <w:tcBorders>
              <w:top w:val="nil"/>
              <w:left w:val="nil"/>
              <w:bottom w:val="single" w:sz="4" w:space="0" w:color="auto"/>
              <w:right w:val="single" w:sz="4" w:space="0" w:color="auto"/>
            </w:tcBorders>
            <w:noWrap/>
            <w:vAlign w:val="bottom"/>
            <w:hideMark/>
          </w:tcPr>
          <w:p w14:paraId="7BCF20F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3 años</w:t>
            </w:r>
          </w:p>
        </w:tc>
        <w:tc>
          <w:tcPr>
            <w:tcW w:w="1672" w:type="pct"/>
            <w:tcBorders>
              <w:top w:val="nil"/>
              <w:left w:val="nil"/>
              <w:bottom w:val="single" w:sz="4" w:space="0" w:color="auto"/>
              <w:right w:val="single" w:sz="4" w:space="0" w:color="auto"/>
            </w:tcBorders>
            <w:noWrap/>
            <w:vAlign w:val="bottom"/>
            <w:hideMark/>
          </w:tcPr>
          <w:p w14:paraId="543194A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4DAEF7A9"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D1CB93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Zoila Rebeca Yaxcal Xol</w:t>
            </w:r>
          </w:p>
        </w:tc>
        <w:tc>
          <w:tcPr>
            <w:tcW w:w="819" w:type="pct"/>
            <w:tcBorders>
              <w:top w:val="nil"/>
              <w:left w:val="nil"/>
              <w:bottom w:val="single" w:sz="4" w:space="0" w:color="auto"/>
              <w:right w:val="single" w:sz="4" w:space="0" w:color="auto"/>
            </w:tcBorders>
            <w:noWrap/>
            <w:vAlign w:val="bottom"/>
            <w:hideMark/>
          </w:tcPr>
          <w:p w14:paraId="31FAC2C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 años</w:t>
            </w:r>
          </w:p>
        </w:tc>
        <w:tc>
          <w:tcPr>
            <w:tcW w:w="1672" w:type="pct"/>
            <w:tcBorders>
              <w:top w:val="nil"/>
              <w:left w:val="nil"/>
              <w:bottom w:val="single" w:sz="4" w:space="0" w:color="auto"/>
              <w:right w:val="single" w:sz="4" w:space="0" w:color="auto"/>
            </w:tcBorders>
            <w:noWrap/>
            <w:vAlign w:val="bottom"/>
            <w:hideMark/>
          </w:tcPr>
          <w:p w14:paraId="7C0E5A6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71AAEC12" w14:textId="77777777" w:rsidTr="00495CFD">
        <w:trPr>
          <w:trHeight w:val="285"/>
        </w:trPr>
        <w:tc>
          <w:tcPr>
            <w:tcW w:w="2509" w:type="pct"/>
            <w:tcBorders>
              <w:top w:val="nil"/>
              <w:left w:val="single" w:sz="4" w:space="0" w:color="auto"/>
              <w:bottom w:val="single" w:sz="4" w:space="0" w:color="auto"/>
              <w:right w:val="single" w:sz="4" w:space="0" w:color="auto"/>
            </w:tcBorders>
            <w:noWrap/>
            <w:vAlign w:val="bottom"/>
            <w:hideMark/>
          </w:tcPr>
          <w:p w14:paraId="4C5FEAE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26.</w:t>
            </w:r>
          </w:p>
        </w:tc>
        <w:tc>
          <w:tcPr>
            <w:tcW w:w="819" w:type="pct"/>
            <w:tcBorders>
              <w:top w:val="nil"/>
              <w:left w:val="nil"/>
              <w:bottom w:val="single" w:sz="4" w:space="0" w:color="auto"/>
              <w:right w:val="single" w:sz="4" w:space="0" w:color="auto"/>
            </w:tcBorders>
            <w:noWrap/>
            <w:vAlign w:val="bottom"/>
            <w:hideMark/>
          </w:tcPr>
          <w:p w14:paraId="16C492D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0E41140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6CF3797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452F54F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Pablo Coc</w:t>
            </w:r>
          </w:p>
        </w:tc>
        <w:tc>
          <w:tcPr>
            <w:tcW w:w="819" w:type="pct"/>
            <w:tcBorders>
              <w:top w:val="nil"/>
              <w:left w:val="nil"/>
              <w:bottom w:val="single" w:sz="4" w:space="0" w:color="auto"/>
              <w:right w:val="single" w:sz="4" w:space="0" w:color="auto"/>
            </w:tcBorders>
            <w:noWrap/>
            <w:vAlign w:val="bottom"/>
            <w:hideMark/>
          </w:tcPr>
          <w:p w14:paraId="43DB6D4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53FB5B8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2619</w:t>
            </w:r>
          </w:p>
        </w:tc>
      </w:tr>
      <w:tr w:rsidR="0006197B" w:rsidRPr="00495CFD" w14:paraId="150547C0"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53871315"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Luisa Caal</w:t>
            </w:r>
          </w:p>
        </w:tc>
        <w:tc>
          <w:tcPr>
            <w:tcW w:w="819" w:type="pct"/>
            <w:tcBorders>
              <w:top w:val="nil"/>
              <w:left w:val="nil"/>
              <w:bottom w:val="single" w:sz="4" w:space="0" w:color="auto"/>
              <w:right w:val="single" w:sz="4" w:space="0" w:color="auto"/>
            </w:tcBorders>
            <w:noWrap/>
            <w:vAlign w:val="bottom"/>
            <w:hideMark/>
          </w:tcPr>
          <w:p w14:paraId="7FF3F27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4CA9469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2C77D16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69E5C2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Manuel Coc Caal</w:t>
            </w:r>
          </w:p>
        </w:tc>
        <w:tc>
          <w:tcPr>
            <w:tcW w:w="819" w:type="pct"/>
            <w:tcBorders>
              <w:top w:val="nil"/>
              <w:left w:val="nil"/>
              <w:bottom w:val="single" w:sz="4" w:space="0" w:color="auto"/>
              <w:right w:val="single" w:sz="4" w:space="0" w:color="auto"/>
            </w:tcBorders>
            <w:noWrap/>
            <w:vAlign w:val="bottom"/>
            <w:hideMark/>
          </w:tcPr>
          <w:p w14:paraId="04412D7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537AE389"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2B8226A3"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0BA9B6C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Josué Coc Caal</w:t>
            </w:r>
          </w:p>
        </w:tc>
        <w:tc>
          <w:tcPr>
            <w:tcW w:w="819" w:type="pct"/>
            <w:tcBorders>
              <w:top w:val="nil"/>
              <w:left w:val="nil"/>
              <w:bottom w:val="single" w:sz="4" w:space="0" w:color="auto"/>
              <w:right w:val="single" w:sz="4" w:space="0" w:color="auto"/>
            </w:tcBorders>
            <w:noWrap/>
            <w:vAlign w:val="bottom"/>
            <w:hideMark/>
          </w:tcPr>
          <w:p w14:paraId="08D515D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71B4432E"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16DFC226"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B10F67C"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Eliseo Coc Caal</w:t>
            </w:r>
          </w:p>
        </w:tc>
        <w:tc>
          <w:tcPr>
            <w:tcW w:w="819" w:type="pct"/>
            <w:tcBorders>
              <w:top w:val="nil"/>
              <w:left w:val="nil"/>
              <w:bottom w:val="single" w:sz="4" w:space="0" w:color="auto"/>
              <w:right w:val="single" w:sz="4" w:space="0" w:color="auto"/>
            </w:tcBorders>
            <w:noWrap/>
            <w:vAlign w:val="bottom"/>
            <w:hideMark/>
          </w:tcPr>
          <w:p w14:paraId="14CCC08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0E02A77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1BDAA0EE" w14:textId="77777777" w:rsidTr="00495CFD">
        <w:trPr>
          <w:trHeight w:val="285"/>
        </w:trPr>
        <w:tc>
          <w:tcPr>
            <w:tcW w:w="2509" w:type="pct"/>
            <w:tcBorders>
              <w:top w:val="nil"/>
              <w:left w:val="single" w:sz="4" w:space="0" w:color="auto"/>
              <w:bottom w:val="single" w:sz="4" w:space="0" w:color="auto"/>
              <w:right w:val="single" w:sz="4" w:space="0" w:color="auto"/>
            </w:tcBorders>
            <w:noWrap/>
            <w:vAlign w:val="bottom"/>
            <w:hideMark/>
          </w:tcPr>
          <w:p w14:paraId="2127E29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27.</w:t>
            </w:r>
          </w:p>
        </w:tc>
        <w:tc>
          <w:tcPr>
            <w:tcW w:w="819" w:type="pct"/>
            <w:tcBorders>
              <w:top w:val="nil"/>
              <w:left w:val="nil"/>
              <w:bottom w:val="single" w:sz="4" w:space="0" w:color="auto"/>
              <w:right w:val="single" w:sz="4" w:space="0" w:color="auto"/>
            </w:tcBorders>
            <w:noWrap/>
            <w:vAlign w:val="bottom"/>
            <w:hideMark/>
          </w:tcPr>
          <w:p w14:paraId="122C1924"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40CD379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72CE6EED"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D5C94B7"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Pedro Seb Quim</w:t>
            </w:r>
          </w:p>
        </w:tc>
        <w:tc>
          <w:tcPr>
            <w:tcW w:w="819" w:type="pct"/>
            <w:tcBorders>
              <w:top w:val="nil"/>
              <w:left w:val="nil"/>
              <w:bottom w:val="single" w:sz="4" w:space="0" w:color="auto"/>
              <w:right w:val="single" w:sz="4" w:space="0" w:color="auto"/>
            </w:tcBorders>
            <w:noWrap/>
            <w:vAlign w:val="bottom"/>
            <w:hideMark/>
          </w:tcPr>
          <w:p w14:paraId="53C20A8B"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58 años</w:t>
            </w:r>
          </w:p>
        </w:tc>
        <w:tc>
          <w:tcPr>
            <w:tcW w:w="1672" w:type="pct"/>
            <w:tcBorders>
              <w:top w:val="nil"/>
              <w:left w:val="nil"/>
              <w:bottom w:val="single" w:sz="4" w:space="0" w:color="auto"/>
              <w:right w:val="single" w:sz="4" w:space="0" w:color="auto"/>
            </w:tcBorders>
            <w:noWrap/>
            <w:vAlign w:val="bottom"/>
            <w:hideMark/>
          </w:tcPr>
          <w:p w14:paraId="561B5D1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20781</w:t>
            </w:r>
          </w:p>
        </w:tc>
      </w:tr>
      <w:tr w:rsidR="0006197B" w:rsidRPr="00495CFD" w14:paraId="164A347B"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74826FC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Manuela Choc Tiul</w:t>
            </w:r>
          </w:p>
        </w:tc>
        <w:tc>
          <w:tcPr>
            <w:tcW w:w="819" w:type="pct"/>
            <w:tcBorders>
              <w:top w:val="nil"/>
              <w:left w:val="nil"/>
              <w:bottom w:val="single" w:sz="4" w:space="0" w:color="auto"/>
              <w:right w:val="single" w:sz="4" w:space="0" w:color="auto"/>
            </w:tcBorders>
            <w:noWrap/>
            <w:vAlign w:val="bottom"/>
            <w:hideMark/>
          </w:tcPr>
          <w:p w14:paraId="4B083FD3"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55 años</w:t>
            </w:r>
          </w:p>
        </w:tc>
        <w:tc>
          <w:tcPr>
            <w:tcW w:w="1672" w:type="pct"/>
            <w:tcBorders>
              <w:top w:val="nil"/>
              <w:left w:val="nil"/>
              <w:bottom w:val="single" w:sz="4" w:space="0" w:color="auto"/>
              <w:right w:val="single" w:sz="4" w:space="0" w:color="auto"/>
            </w:tcBorders>
            <w:noWrap/>
            <w:vAlign w:val="bottom"/>
            <w:hideMark/>
          </w:tcPr>
          <w:p w14:paraId="1685639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28008</w:t>
            </w:r>
          </w:p>
        </w:tc>
      </w:tr>
      <w:tr w:rsidR="0006197B" w:rsidRPr="00495CFD" w14:paraId="5ECA6A8C"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37CC14FF"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Abel Benjamin Seb Choc</w:t>
            </w:r>
          </w:p>
        </w:tc>
        <w:tc>
          <w:tcPr>
            <w:tcW w:w="819" w:type="pct"/>
            <w:tcBorders>
              <w:top w:val="nil"/>
              <w:left w:val="nil"/>
              <w:bottom w:val="single" w:sz="4" w:space="0" w:color="auto"/>
              <w:right w:val="single" w:sz="4" w:space="0" w:color="auto"/>
            </w:tcBorders>
            <w:noWrap/>
            <w:vAlign w:val="bottom"/>
            <w:hideMark/>
          </w:tcPr>
          <w:p w14:paraId="2B4E4AF6"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14 años</w:t>
            </w:r>
          </w:p>
        </w:tc>
        <w:tc>
          <w:tcPr>
            <w:tcW w:w="1672" w:type="pct"/>
            <w:tcBorders>
              <w:top w:val="nil"/>
              <w:left w:val="nil"/>
              <w:bottom w:val="single" w:sz="4" w:space="0" w:color="auto"/>
              <w:right w:val="single" w:sz="4" w:space="0" w:color="auto"/>
            </w:tcBorders>
            <w:noWrap/>
            <w:vAlign w:val="bottom"/>
            <w:hideMark/>
          </w:tcPr>
          <w:p w14:paraId="759E8E6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1DCBB507" w14:textId="77777777" w:rsidTr="00495CFD">
        <w:trPr>
          <w:trHeight w:val="285"/>
        </w:trPr>
        <w:tc>
          <w:tcPr>
            <w:tcW w:w="2509" w:type="pct"/>
            <w:tcBorders>
              <w:top w:val="nil"/>
              <w:left w:val="single" w:sz="4" w:space="0" w:color="auto"/>
              <w:bottom w:val="single" w:sz="4" w:space="0" w:color="auto"/>
              <w:right w:val="single" w:sz="4" w:space="0" w:color="auto"/>
            </w:tcBorders>
            <w:noWrap/>
            <w:vAlign w:val="bottom"/>
            <w:hideMark/>
          </w:tcPr>
          <w:p w14:paraId="1666686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28.</w:t>
            </w:r>
          </w:p>
        </w:tc>
        <w:tc>
          <w:tcPr>
            <w:tcW w:w="819" w:type="pct"/>
            <w:tcBorders>
              <w:top w:val="nil"/>
              <w:left w:val="nil"/>
              <w:bottom w:val="single" w:sz="4" w:space="0" w:color="auto"/>
              <w:right w:val="single" w:sz="4" w:space="0" w:color="auto"/>
            </w:tcBorders>
            <w:noWrap/>
            <w:vAlign w:val="bottom"/>
            <w:hideMark/>
          </w:tcPr>
          <w:p w14:paraId="71BF442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c>
          <w:tcPr>
            <w:tcW w:w="1672" w:type="pct"/>
            <w:tcBorders>
              <w:top w:val="nil"/>
              <w:left w:val="nil"/>
              <w:bottom w:val="single" w:sz="4" w:space="0" w:color="auto"/>
              <w:right w:val="single" w:sz="4" w:space="0" w:color="auto"/>
            </w:tcBorders>
            <w:noWrap/>
            <w:vAlign w:val="bottom"/>
            <w:hideMark/>
          </w:tcPr>
          <w:p w14:paraId="51A7649D"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 </w:t>
            </w:r>
          </w:p>
        </w:tc>
      </w:tr>
      <w:tr w:rsidR="0006197B" w:rsidRPr="00495CFD" w14:paraId="02AAC85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2AEC86CA"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Dominga Yat</w:t>
            </w:r>
          </w:p>
        </w:tc>
        <w:tc>
          <w:tcPr>
            <w:tcW w:w="819" w:type="pct"/>
            <w:tcBorders>
              <w:top w:val="nil"/>
              <w:left w:val="nil"/>
              <w:bottom w:val="single" w:sz="4" w:space="0" w:color="auto"/>
              <w:right w:val="single" w:sz="4" w:space="0" w:color="auto"/>
            </w:tcBorders>
            <w:noWrap/>
            <w:vAlign w:val="bottom"/>
            <w:hideMark/>
          </w:tcPr>
          <w:p w14:paraId="4EFBC488"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47 años</w:t>
            </w:r>
          </w:p>
        </w:tc>
        <w:tc>
          <w:tcPr>
            <w:tcW w:w="1672" w:type="pct"/>
            <w:tcBorders>
              <w:top w:val="nil"/>
              <w:left w:val="nil"/>
              <w:bottom w:val="single" w:sz="4" w:space="0" w:color="auto"/>
              <w:right w:val="single" w:sz="4" w:space="0" w:color="auto"/>
            </w:tcBorders>
            <w:noWrap/>
            <w:vAlign w:val="bottom"/>
            <w:hideMark/>
          </w:tcPr>
          <w:p w14:paraId="2BAF646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23760</w:t>
            </w:r>
          </w:p>
        </w:tc>
      </w:tr>
      <w:tr w:rsidR="0006197B" w:rsidRPr="00495CFD" w14:paraId="41D0C931" w14:textId="77777777" w:rsidTr="00495CFD">
        <w:trPr>
          <w:trHeight w:val="314"/>
        </w:trPr>
        <w:tc>
          <w:tcPr>
            <w:tcW w:w="2509" w:type="pct"/>
            <w:tcBorders>
              <w:top w:val="nil"/>
              <w:left w:val="single" w:sz="4" w:space="0" w:color="auto"/>
              <w:bottom w:val="single" w:sz="4" w:space="0" w:color="auto"/>
              <w:right w:val="single" w:sz="4" w:space="0" w:color="auto"/>
            </w:tcBorders>
            <w:shd w:val="clear" w:color="000000" w:fill="FFFFFF"/>
            <w:hideMark/>
          </w:tcPr>
          <w:p w14:paraId="6CD36E31"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Segoe UI"/>
                <w:color w:val="212529"/>
                <w:sz w:val="20"/>
                <w:szCs w:val="20"/>
                <w:bdr w:val="none" w:sz="0" w:space="0" w:color="auto"/>
              </w:rPr>
            </w:pPr>
            <w:r w:rsidRPr="00495CFD">
              <w:rPr>
                <w:rFonts w:asciiTheme="majorHAnsi" w:eastAsia="Times New Roman" w:hAnsiTheme="majorHAnsi" w:cs="Segoe UI"/>
                <w:color w:val="212529"/>
                <w:sz w:val="20"/>
                <w:szCs w:val="20"/>
                <w:bdr w:val="none" w:sz="0" w:space="0" w:color="auto"/>
              </w:rPr>
              <w:t>David Choj</w:t>
            </w:r>
          </w:p>
        </w:tc>
        <w:tc>
          <w:tcPr>
            <w:tcW w:w="819" w:type="pct"/>
            <w:tcBorders>
              <w:top w:val="nil"/>
              <w:left w:val="nil"/>
              <w:bottom w:val="single" w:sz="4" w:space="0" w:color="auto"/>
              <w:right w:val="single" w:sz="4" w:space="0" w:color="auto"/>
            </w:tcBorders>
            <w:noWrap/>
            <w:vAlign w:val="bottom"/>
            <w:hideMark/>
          </w:tcPr>
          <w:p w14:paraId="06373270"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50 años</w:t>
            </w:r>
          </w:p>
        </w:tc>
        <w:tc>
          <w:tcPr>
            <w:tcW w:w="1672" w:type="pct"/>
            <w:tcBorders>
              <w:top w:val="nil"/>
              <w:left w:val="nil"/>
              <w:bottom w:val="single" w:sz="4" w:space="0" w:color="auto"/>
              <w:right w:val="single" w:sz="4" w:space="0" w:color="auto"/>
            </w:tcBorders>
            <w:noWrap/>
            <w:vAlign w:val="bottom"/>
            <w:hideMark/>
          </w:tcPr>
          <w:p w14:paraId="0E9694A2" w14:textId="77777777" w:rsidR="0006197B" w:rsidRPr="00495CFD" w:rsidRDefault="0006197B" w:rsidP="0006197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0"/>
                <w:szCs w:val="20"/>
                <w:bdr w:val="none" w:sz="0" w:space="0" w:color="auto"/>
              </w:rPr>
            </w:pPr>
            <w:r w:rsidRPr="00495CFD">
              <w:rPr>
                <w:rFonts w:asciiTheme="majorHAnsi" w:eastAsia="Times New Roman" w:hAnsiTheme="majorHAnsi"/>
                <w:color w:val="000000"/>
                <w:sz w:val="20"/>
                <w:szCs w:val="20"/>
                <w:bdr w:val="none" w:sz="0" w:space="0" w:color="auto"/>
              </w:rPr>
              <w:t>N-14 23761</w:t>
            </w:r>
          </w:p>
        </w:tc>
      </w:tr>
    </w:tbl>
    <w:p w14:paraId="155B307E" w14:textId="77777777" w:rsidR="00722C9F" w:rsidRPr="00495CFD" w:rsidRDefault="00722C9F" w:rsidP="00495CFD">
      <w:pPr>
        <w:rPr>
          <w:rFonts w:asciiTheme="majorHAnsi" w:hAnsiTheme="majorHAnsi" w:cs="Calibri"/>
          <w:sz w:val="16"/>
          <w:szCs w:val="16"/>
          <w:lang w:val="es-ES"/>
        </w:rPr>
      </w:pPr>
    </w:p>
    <w:sectPr w:rsidR="00722C9F" w:rsidRPr="00495CF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F50A" w14:textId="77777777" w:rsidR="000049BE" w:rsidRDefault="000049BE">
      <w:r>
        <w:separator/>
      </w:r>
    </w:p>
  </w:endnote>
  <w:endnote w:type="continuationSeparator" w:id="0">
    <w:p w14:paraId="2DD3F99A" w14:textId="77777777" w:rsidR="000049BE" w:rsidRDefault="0000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F0C9" w14:textId="77777777" w:rsidR="000049BE" w:rsidRPr="000F35ED" w:rsidRDefault="000049BE">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037DD8D" w14:textId="77777777" w:rsidR="000049BE" w:rsidRPr="000F35ED" w:rsidRDefault="000049BE" w:rsidP="000F35ED">
      <w:pPr>
        <w:rPr>
          <w:rFonts w:asciiTheme="majorHAnsi" w:hAnsiTheme="majorHAnsi"/>
          <w:sz w:val="16"/>
          <w:szCs w:val="16"/>
        </w:rPr>
      </w:pPr>
      <w:r w:rsidRPr="000F35ED">
        <w:rPr>
          <w:rFonts w:asciiTheme="majorHAnsi" w:hAnsiTheme="majorHAnsi"/>
          <w:sz w:val="16"/>
          <w:szCs w:val="16"/>
        </w:rPr>
        <w:separator/>
      </w:r>
    </w:p>
    <w:p w14:paraId="4A3B2ABC" w14:textId="77777777" w:rsidR="000049BE" w:rsidRPr="000F35ED" w:rsidRDefault="000049BE"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E94FE64" w14:textId="77777777" w:rsidR="000049BE" w:rsidRPr="000F35ED" w:rsidRDefault="000049BE"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1B864376" w14:textId="464E6820" w:rsidR="007D534C" w:rsidRPr="007D534C" w:rsidRDefault="007D534C" w:rsidP="006713FC">
      <w:pPr>
        <w:pStyle w:val="FootnoteText"/>
        <w:ind w:firstLine="720"/>
        <w:jc w:val="both"/>
        <w:rPr>
          <w:rFonts w:asciiTheme="majorHAnsi" w:hAnsiTheme="majorHAnsi"/>
          <w:sz w:val="16"/>
          <w:szCs w:val="16"/>
          <w:lang w:val="es-PE"/>
        </w:rPr>
      </w:pPr>
      <w:r w:rsidRPr="007D534C">
        <w:rPr>
          <w:rStyle w:val="FootnoteReference"/>
          <w:rFonts w:asciiTheme="majorHAnsi" w:hAnsiTheme="majorHAnsi"/>
          <w:sz w:val="16"/>
          <w:szCs w:val="16"/>
        </w:rPr>
        <w:footnoteRef/>
      </w:r>
      <w:r w:rsidRPr="007D534C">
        <w:rPr>
          <w:rFonts w:asciiTheme="majorHAnsi" w:hAnsiTheme="majorHAnsi"/>
          <w:sz w:val="16"/>
          <w:szCs w:val="16"/>
          <w:lang w:val="es-PE"/>
        </w:rPr>
        <w:t xml:space="preserve"> </w:t>
      </w:r>
      <w:r>
        <w:rPr>
          <w:rFonts w:asciiTheme="majorHAnsi" w:hAnsiTheme="majorHAnsi"/>
          <w:sz w:val="16"/>
          <w:szCs w:val="16"/>
          <w:lang w:val="es-PE"/>
        </w:rPr>
        <w:t xml:space="preserve">A solicitud de la parte peticionaria, y en aplicación del artículo 28.2. de su Reglamento, la Comisión mantiene bajo reserva su identidad. </w:t>
      </w:r>
    </w:p>
  </w:footnote>
  <w:footnote w:id="3">
    <w:p w14:paraId="66F33B07" w14:textId="16176E6B" w:rsidR="00BE76AA" w:rsidRPr="00CF02F2" w:rsidRDefault="00BE76AA" w:rsidP="006713FC">
      <w:pPr>
        <w:pStyle w:val="FootnoteText"/>
        <w:ind w:firstLine="720"/>
        <w:jc w:val="both"/>
        <w:rPr>
          <w:rFonts w:asciiTheme="majorHAnsi" w:hAnsiTheme="majorHAnsi"/>
          <w:sz w:val="16"/>
          <w:szCs w:val="16"/>
          <w:lang w:val="es-ES"/>
        </w:rPr>
      </w:pPr>
      <w:r w:rsidRPr="007D534C">
        <w:rPr>
          <w:rStyle w:val="FootnoteReference"/>
          <w:rFonts w:asciiTheme="majorHAnsi" w:hAnsiTheme="majorHAnsi"/>
          <w:sz w:val="16"/>
          <w:szCs w:val="16"/>
        </w:rPr>
        <w:footnoteRef/>
      </w:r>
      <w:r w:rsidRPr="007D534C">
        <w:rPr>
          <w:rFonts w:asciiTheme="majorHAnsi" w:hAnsiTheme="majorHAnsi"/>
          <w:sz w:val="16"/>
          <w:szCs w:val="16"/>
          <w:lang w:val="es-ES"/>
        </w:rPr>
        <w:t xml:space="preserve"> Conforme a lo dispuesto</w:t>
      </w:r>
      <w:r w:rsidRPr="000B6CF7">
        <w:rPr>
          <w:rFonts w:asciiTheme="majorHAnsi" w:hAnsiTheme="majorHAnsi"/>
          <w:sz w:val="16"/>
          <w:szCs w:val="16"/>
          <w:lang w:val="es-ES"/>
        </w:rPr>
        <w:t xml:space="preserve"> en el artículo 17.2.a del Reglamento de la Comisión, </w:t>
      </w:r>
      <w:r>
        <w:rPr>
          <w:rFonts w:asciiTheme="majorHAnsi" w:hAnsiTheme="majorHAnsi"/>
          <w:sz w:val="16"/>
          <w:szCs w:val="16"/>
          <w:lang w:val="es-ES"/>
        </w:rPr>
        <w:t>el Comisionado Edgar St</w:t>
      </w:r>
      <w:r w:rsidR="008669B6">
        <w:rPr>
          <w:rFonts w:asciiTheme="majorHAnsi" w:hAnsiTheme="majorHAnsi"/>
          <w:sz w:val="16"/>
          <w:szCs w:val="16"/>
          <w:lang w:val="es-ES"/>
        </w:rPr>
        <w:t>u</w:t>
      </w:r>
      <w:r>
        <w:rPr>
          <w:rFonts w:asciiTheme="majorHAnsi" w:hAnsiTheme="majorHAnsi"/>
          <w:sz w:val="16"/>
          <w:szCs w:val="16"/>
          <w:lang w:val="es-ES"/>
        </w:rPr>
        <w:t>ardo Ralón Orellana</w:t>
      </w:r>
      <w:r w:rsidRPr="009D4060">
        <w:rPr>
          <w:rFonts w:asciiTheme="majorHAnsi" w:hAnsiTheme="majorHAnsi"/>
          <w:sz w:val="16"/>
          <w:szCs w:val="16"/>
          <w:lang w:val="es-ES"/>
        </w:rPr>
        <w:t xml:space="preserve">, de nacionalidad </w:t>
      </w:r>
      <w:r>
        <w:rPr>
          <w:rFonts w:asciiTheme="majorHAnsi" w:hAnsiTheme="majorHAnsi"/>
          <w:sz w:val="16"/>
          <w:szCs w:val="16"/>
          <w:lang w:val="es-ES"/>
        </w:rPr>
        <w:t>guatemalteca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4">
    <w:p w14:paraId="522FA44E" w14:textId="77777777" w:rsidR="00360E48" w:rsidRPr="00C16E02" w:rsidRDefault="00360E48" w:rsidP="006713FC">
      <w:pPr>
        <w:pStyle w:val="FootnoteText"/>
        <w:ind w:firstLine="720"/>
        <w:jc w:val="both"/>
        <w:rPr>
          <w:rFonts w:asciiTheme="majorHAnsi" w:hAnsiTheme="majorHAnsi"/>
          <w:sz w:val="16"/>
          <w:szCs w:val="16"/>
          <w:lang w:val="es-ES"/>
        </w:rPr>
      </w:pPr>
      <w:r w:rsidRPr="00C16E02">
        <w:rPr>
          <w:rStyle w:val="FootnoteReference"/>
          <w:rFonts w:asciiTheme="majorHAnsi" w:hAnsiTheme="majorHAnsi"/>
          <w:sz w:val="16"/>
          <w:szCs w:val="16"/>
          <w:lang w:val="es-ES"/>
        </w:rPr>
        <w:footnoteRef/>
      </w:r>
      <w:r w:rsidRPr="00C16E02">
        <w:rPr>
          <w:rStyle w:val="FootnoteReference"/>
          <w:rFonts w:asciiTheme="majorHAnsi" w:hAnsiTheme="majorHAnsi"/>
          <w:sz w:val="16"/>
          <w:szCs w:val="16"/>
          <w:lang w:val="es-ES"/>
        </w:rPr>
        <w:t xml:space="preserve"> </w:t>
      </w:r>
      <w:r w:rsidRPr="00C16E02">
        <w:rPr>
          <w:rFonts w:asciiTheme="majorHAnsi" w:hAnsiTheme="majorHAnsi"/>
          <w:sz w:val="16"/>
          <w:szCs w:val="16"/>
          <w:lang w:val="es-ES"/>
        </w:rPr>
        <w:t xml:space="preserve">En adelante, “la Convención Americana” o “la Convención”. </w:t>
      </w:r>
      <w:r w:rsidRPr="00C16E02">
        <w:rPr>
          <w:rFonts w:asciiTheme="majorHAnsi" w:hAnsiTheme="majorHAnsi"/>
          <w:sz w:val="16"/>
          <w:szCs w:val="16"/>
          <w:lang w:val="es-ES"/>
        </w:rPr>
        <w:tab/>
      </w:r>
    </w:p>
  </w:footnote>
  <w:footnote w:id="5">
    <w:p w14:paraId="7C14B167" w14:textId="22D9BC3E" w:rsidR="002960BC" w:rsidRPr="0026517B" w:rsidRDefault="002960BC" w:rsidP="006713FC">
      <w:pPr>
        <w:pStyle w:val="FootnoteText"/>
        <w:ind w:firstLine="720"/>
        <w:jc w:val="both"/>
        <w:rPr>
          <w:rFonts w:asciiTheme="majorHAnsi" w:hAnsiTheme="majorHAnsi"/>
          <w:sz w:val="16"/>
          <w:szCs w:val="16"/>
          <w:lang w:val="es-PE"/>
        </w:rPr>
      </w:pPr>
      <w:r w:rsidRPr="0026517B">
        <w:rPr>
          <w:rStyle w:val="FootnoteReference"/>
          <w:rFonts w:asciiTheme="majorHAnsi" w:hAnsiTheme="majorHAnsi"/>
          <w:sz w:val="16"/>
          <w:szCs w:val="16"/>
        </w:rPr>
        <w:footnoteRef/>
      </w:r>
      <w:r w:rsidRPr="0026517B">
        <w:rPr>
          <w:rFonts w:asciiTheme="majorHAnsi" w:hAnsiTheme="majorHAnsi"/>
          <w:sz w:val="16"/>
          <w:szCs w:val="16"/>
          <w:lang w:val="es-PE"/>
        </w:rPr>
        <w:t xml:space="preserve"> En adelante, “</w:t>
      </w:r>
      <w:r w:rsidR="008669B6">
        <w:rPr>
          <w:rFonts w:asciiTheme="majorHAnsi" w:hAnsiTheme="majorHAnsi"/>
          <w:sz w:val="16"/>
          <w:szCs w:val="16"/>
          <w:lang w:val="es-PE"/>
        </w:rPr>
        <w:t xml:space="preserve">el </w:t>
      </w:r>
      <w:r w:rsidRPr="0026517B">
        <w:rPr>
          <w:rFonts w:asciiTheme="majorHAnsi" w:hAnsiTheme="majorHAnsi"/>
          <w:sz w:val="16"/>
          <w:szCs w:val="16"/>
          <w:lang w:val="es-PE"/>
        </w:rPr>
        <w:t>Protocolo de San Salvador”.</w:t>
      </w:r>
    </w:p>
  </w:footnote>
  <w:footnote w:id="6">
    <w:p w14:paraId="6C1C11A0" w14:textId="77777777" w:rsidR="0008289A" w:rsidRPr="003A566C" w:rsidRDefault="0008289A" w:rsidP="006713FC">
      <w:pPr>
        <w:pStyle w:val="FootnoteText"/>
        <w:ind w:firstLine="720"/>
        <w:jc w:val="both"/>
        <w:rPr>
          <w:rFonts w:asciiTheme="majorHAnsi" w:hAnsiTheme="majorHAnsi"/>
          <w:sz w:val="16"/>
          <w:szCs w:val="16"/>
          <w:lang w:val="es-PE"/>
        </w:rPr>
      </w:pPr>
      <w:r w:rsidRPr="003A566C">
        <w:rPr>
          <w:rStyle w:val="FootnoteReference"/>
          <w:rFonts w:asciiTheme="majorHAnsi" w:hAnsiTheme="majorHAnsi"/>
          <w:sz w:val="16"/>
          <w:szCs w:val="16"/>
        </w:rPr>
        <w:footnoteRef/>
      </w:r>
      <w:r w:rsidRPr="003A566C">
        <w:rPr>
          <w:rFonts w:asciiTheme="majorHAnsi" w:hAnsiTheme="majorHAnsi"/>
          <w:sz w:val="16"/>
          <w:szCs w:val="16"/>
          <w:lang w:val="es-PE"/>
        </w:rPr>
        <w:t xml:space="preserve"> </w:t>
      </w:r>
      <w:r>
        <w:rPr>
          <w:rFonts w:asciiTheme="majorHAnsi" w:hAnsiTheme="majorHAnsi"/>
          <w:bCs/>
          <w:sz w:val="16"/>
          <w:szCs w:val="16"/>
          <w:lang w:val="es-ES"/>
        </w:rPr>
        <w:t>L</w:t>
      </w:r>
      <w:r w:rsidRPr="003A566C">
        <w:rPr>
          <w:rFonts w:asciiTheme="majorHAnsi" w:hAnsiTheme="majorHAnsi"/>
          <w:bCs/>
          <w:sz w:val="16"/>
          <w:szCs w:val="16"/>
          <w:lang w:val="es-ES"/>
        </w:rPr>
        <w:t>a Declaración de Derechos del Hombre de las Naciones Unidas</w:t>
      </w:r>
    </w:p>
  </w:footnote>
  <w:footnote w:id="7">
    <w:p w14:paraId="79F07139" w14:textId="77777777" w:rsidR="008E3BFE" w:rsidRPr="00537490" w:rsidRDefault="008E3BFE" w:rsidP="006713FC">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8">
    <w:p w14:paraId="589333A9" w14:textId="53FD6936" w:rsidR="007E4624" w:rsidRPr="00C16E02" w:rsidRDefault="007E4624" w:rsidP="006713FC">
      <w:pPr>
        <w:pStyle w:val="FootnoteText"/>
        <w:ind w:firstLine="720"/>
        <w:jc w:val="both"/>
        <w:rPr>
          <w:rStyle w:val="FootnoteReference"/>
          <w:rFonts w:asciiTheme="majorHAnsi" w:hAnsiTheme="majorHAnsi"/>
          <w:color w:val="auto"/>
          <w:sz w:val="16"/>
          <w:szCs w:val="16"/>
          <w:lang w:val="es-ES"/>
        </w:rPr>
      </w:pPr>
      <w:r w:rsidRPr="00C16E02">
        <w:rPr>
          <w:rStyle w:val="FootnoteReference"/>
          <w:rFonts w:asciiTheme="majorHAnsi" w:hAnsiTheme="maj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002A3483">
        <w:rPr>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CIDH, Informe No. 6</w:t>
      </w:r>
      <w:r w:rsidRPr="00C16E02">
        <w:rPr>
          <w:rStyle w:val="FootnoteReference"/>
          <w:rFonts w:asciiTheme="majorHAnsi" w:hAnsiTheme="majorHAnsi"/>
          <w:sz w:val="16"/>
          <w:szCs w:val="16"/>
          <w:vertAlign w:val="baseline"/>
          <w:lang w:val="es-ES"/>
        </w:rPr>
        <w:t>7</w:t>
      </w:r>
      <w:r w:rsidRPr="00C16E02">
        <w:rPr>
          <w:rStyle w:val="FootnoteReference"/>
          <w:rFonts w:asciiTheme="majorHAnsi" w:hAnsiTheme="majorHAnsi"/>
          <w:color w:val="auto"/>
          <w:sz w:val="16"/>
          <w:szCs w:val="16"/>
          <w:vertAlign w:val="baseline"/>
          <w:lang w:val="es-ES"/>
        </w:rPr>
        <w:t>/2</w:t>
      </w:r>
      <w:r w:rsidRPr="00C16E02">
        <w:rPr>
          <w:rStyle w:val="FootnoteReference"/>
          <w:rFonts w:asciiTheme="majorHAnsi" w:hAnsiTheme="majorHAnsi"/>
          <w:sz w:val="16"/>
          <w:szCs w:val="16"/>
          <w:vertAlign w:val="baseline"/>
          <w:lang w:val="es-ES"/>
        </w:rPr>
        <w:t>3</w:t>
      </w:r>
      <w:r w:rsidRPr="00C16E02">
        <w:rPr>
          <w:rStyle w:val="FootnoteReference"/>
          <w:rFonts w:asciiTheme="majorHAnsi" w:hAnsiTheme="majorHAnsi"/>
          <w:color w:val="auto"/>
          <w:sz w:val="16"/>
          <w:szCs w:val="16"/>
          <w:vertAlign w:val="baseline"/>
          <w:lang w:val="es-ES"/>
        </w:rPr>
        <w:t>, Petición 1</w:t>
      </w:r>
      <w:r w:rsidRPr="00C16E02">
        <w:rPr>
          <w:rStyle w:val="FootnoteReference"/>
          <w:rFonts w:asciiTheme="majorHAnsi" w:hAnsiTheme="majorHAnsi"/>
          <w:sz w:val="16"/>
          <w:szCs w:val="16"/>
          <w:vertAlign w:val="baseline"/>
          <w:lang w:val="es-ES"/>
        </w:rPr>
        <w:t>503-11</w:t>
      </w:r>
      <w:r w:rsidR="00373148">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Admisibilidad. Vecinos de la C</w:t>
      </w:r>
      <w:r w:rsidRPr="00C16E02">
        <w:rPr>
          <w:rStyle w:val="FootnoteReference"/>
          <w:rFonts w:asciiTheme="majorHAnsi" w:hAnsiTheme="majorHAnsi"/>
          <w:sz w:val="16"/>
          <w:szCs w:val="16"/>
          <w:vertAlign w:val="baseline"/>
          <w:lang w:val="es-ES"/>
        </w:rPr>
        <w:t>omunidad El Triunfo</w:t>
      </w:r>
      <w:r w:rsidR="00373148">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Guatemala</w:t>
      </w:r>
      <w:r w:rsidR="00373148">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3</w:t>
      </w:r>
      <w:r w:rsidRPr="00C16E02">
        <w:rPr>
          <w:rStyle w:val="FootnoteReference"/>
          <w:rFonts w:asciiTheme="majorHAnsi" w:hAnsiTheme="majorHAnsi"/>
          <w:sz w:val="16"/>
          <w:szCs w:val="16"/>
          <w:vertAlign w:val="baseline"/>
          <w:lang w:val="es-ES"/>
        </w:rPr>
        <w:t>0</w:t>
      </w:r>
      <w:r w:rsidRPr="00C16E02">
        <w:rPr>
          <w:rStyle w:val="FootnoteReference"/>
          <w:rFonts w:asciiTheme="majorHAnsi" w:hAnsiTheme="majorHAnsi"/>
          <w:color w:val="auto"/>
          <w:sz w:val="16"/>
          <w:szCs w:val="16"/>
          <w:vertAlign w:val="baseline"/>
          <w:lang w:val="es-ES"/>
        </w:rPr>
        <w:t xml:space="preserve"> de m</w:t>
      </w:r>
      <w:r w:rsidRPr="00C16E02">
        <w:rPr>
          <w:rStyle w:val="FootnoteReference"/>
          <w:rFonts w:asciiTheme="majorHAnsi" w:hAnsiTheme="majorHAnsi"/>
          <w:sz w:val="16"/>
          <w:szCs w:val="16"/>
          <w:vertAlign w:val="baseline"/>
          <w:lang w:val="es-ES"/>
        </w:rPr>
        <w:t>ayo</w:t>
      </w:r>
      <w:r w:rsidRPr="00C16E02">
        <w:rPr>
          <w:rStyle w:val="FootnoteReference"/>
          <w:rFonts w:asciiTheme="majorHAnsi" w:hAnsiTheme="majorHAnsi"/>
          <w:color w:val="auto"/>
          <w:sz w:val="16"/>
          <w:szCs w:val="16"/>
          <w:vertAlign w:val="baseline"/>
          <w:lang w:val="es-ES"/>
        </w:rPr>
        <w:t xml:space="preserve"> de 2</w:t>
      </w:r>
      <w:r w:rsidRPr="00C16E02">
        <w:rPr>
          <w:rStyle w:val="FootnoteReference"/>
          <w:rFonts w:asciiTheme="majorHAnsi" w:hAnsiTheme="majorHAnsi"/>
          <w:sz w:val="16"/>
          <w:szCs w:val="16"/>
          <w:vertAlign w:val="baseline"/>
          <w:lang w:val="es-ES"/>
        </w:rPr>
        <w:t>023</w:t>
      </w:r>
      <w:r w:rsidRPr="00C16E02">
        <w:rPr>
          <w:rStyle w:val="FootnoteReference"/>
          <w:rFonts w:asciiTheme="majorHAnsi" w:hAnsiTheme="majorHAnsi"/>
          <w:color w:val="auto"/>
          <w:sz w:val="16"/>
          <w:szCs w:val="16"/>
          <w:vertAlign w:val="baseline"/>
          <w:lang w:val="es-ES"/>
        </w:rPr>
        <w:t>,</w:t>
      </w:r>
      <w:r w:rsidRPr="00C16E02">
        <w:rPr>
          <w:rStyle w:val="FootnoteReference"/>
          <w:rFonts w:asciiTheme="majorHAnsi" w:hAnsiTheme="majorHAnsi"/>
          <w:sz w:val="16"/>
          <w:szCs w:val="16"/>
          <w:vertAlign w:val="baseline"/>
          <w:lang w:val="es-ES"/>
        </w:rPr>
        <w:t xml:space="preserve"> </w:t>
      </w:r>
      <w:r w:rsidRPr="00C16E02">
        <w:rPr>
          <w:rStyle w:val="FootnoteReference"/>
          <w:rFonts w:asciiTheme="majorHAnsi" w:hAnsiTheme="majorHAnsi"/>
          <w:color w:val="auto"/>
          <w:sz w:val="16"/>
          <w:szCs w:val="16"/>
          <w:vertAlign w:val="baseline"/>
          <w:lang w:val="es-ES"/>
        </w:rPr>
        <w:t>párr. 2</w:t>
      </w:r>
      <w:r w:rsidRPr="00C16E02">
        <w:rPr>
          <w:rStyle w:val="FootnoteReference"/>
          <w:rFonts w:asciiTheme="majorHAnsi" w:hAnsiTheme="majorHAnsi"/>
          <w:sz w:val="16"/>
          <w:szCs w:val="16"/>
          <w:vertAlign w:val="baseline"/>
          <w:lang w:val="es-ES"/>
        </w:rPr>
        <w:t>9.</w:t>
      </w:r>
    </w:p>
  </w:footnote>
  <w:footnote w:id="9">
    <w:p w14:paraId="2231BE93" w14:textId="3E65749A" w:rsidR="007E4624" w:rsidRPr="001272A1" w:rsidRDefault="007E4624" w:rsidP="006713FC">
      <w:pPr>
        <w:pStyle w:val="FootnoteText"/>
        <w:ind w:firstLine="720"/>
        <w:jc w:val="both"/>
        <w:rPr>
          <w:rFonts w:asciiTheme="majorHAnsi" w:hAnsiTheme="majorHAnsi"/>
          <w:color w:val="auto"/>
          <w:sz w:val="16"/>
          <w:szCs w:val="16"/>
          <w:vertAlign w:val="superscript"/>
          <w:lang w:val="pt-BR"/>
        </w:rPr>
      </w:pPr>
      <w:r>
        <w:rPr>
          <w:rStyle w:val="FootnoteReference"/>
        </w:rPr>
        <w:footnoteRef/>
      </w:r>
      <w:r w:rsidRPr="003B67CB">
        <w:rPr>
          <w:lang w:val="pt-BR"/>
        </w:rPr>
        <w:t xml:space="preserve"> </w:t>
      </w:r>
      <w:r w:rsidRPr="003B67CB">
        <w:rPr>
          <w:rStyle w:val="FootnoteReference"/>
          <w:rFonts w:asciiTheme="majorHAnsi" w:hAnsiTheme="majorHAnsi"/>
          <w:color w:val="auto"/>
          <w:sz w:val="16"/>
          <w:szCs w:val="16"/>
          <w:vertAlign w:val="baseline"/>
          <w:lang w:val="pt-BR"/>
        </w:rPr>
        <w:t>CIDH, Informe No. 6</w:t>
      </w:r>
      <w:r w:rsidRPr="003B67CB">
        <w:rPr>
          <w:rStyle w:val="FootnoteReference"/>
          <w:rFonts w:asciiTheme="majorHAnsi" w:hAnsiTheme="majorHAnsi"/>
          <w:sz w:val="16"/>
          <w:szCs w:val="16"/>
          <w:vertAlign w:val="baseline"/>
          <w:lang w:val="pt-BR"/>
        </w:rPr>
        <w:t>7</w:t>
      </w:r>
      <w:r w:rsidRPr="003B67CB">
        <w:rPr>
          <w:rStyle w:val="FootnoteReference"/>
          <w:rFonts w:asciiTheme="majorHAnsi" w:hAnsiTheme="majorHAnsi"/>
          <w:color w:val="auto"/>
          <w:sz w:val="16"/>
          <w:szCs w:val="16"/>
          <w:vertAlign w:val="baseline"/>
          <w:lang w:val="pt-BR"/>
        </w:rPr>
        <w:t>/2</w:t>
      </w:r>
      <w:r w:rsidRPr="003B67CB">
        <w:rPr>
          <w:rStyle w:val="FootnoteReference"/>
          <w:rFonts w:asciiTheme="majorHAnsi" w:hAnsiTheme="majorHAnsi"/>
          <w:sz w:val="16"/>
          <w:szCs w:val="16"/>
          <w:vertAlign w:val="baseline"/>
          <w:lang w:val="pt-BR"/>
        </w:rPr>
        <w:t>3</w:t>
      </w:r>
      <w:r w:rsidRPr="003B67CB">
        <w:rPr>
          <w:rStyle w:val="FootnoteReference"/>
          <w:rFonts w:asciiTheme="majorHAnsi" w:hAnsiTheme="majorHAnsi"/>
          <w:color w:val="auto"/>
          <w:sz w:val="16"/>
          <w:szCs w:val="16"/>
          <w:vertAlign w:val="baseline"/>
          <w:lang w:val="pt-BR"/>
        </w:rPr>
        <w:t>, Petición 1</w:t>
      </w:r>
      <w:r w:rsidRPr="003B67CB">
        <w:rPr>
          <w:rStyle w:val="FootnoteReference"/>
          <w:rFonts w:asciiTheme="majorHAnsi" w:hAnsiTheme="majorHAnsi"/>
          <w:sz w:val="16"/>
          <w:szCs w:val="16"/>
          <w:vertAlign w:val="baseline"/>
          <w:lang w:val="pt-BR"/>
        </w:rPr>
        <w:t>503-11</w:t>
      </w:r>
      <w:r w:rsidR="00373148">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Admisibilidad</w:t>
      </w:r>
      <w:r w:rsidR="00562134">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Vecinos de la C</w:t>
      </w:r>
      <w:r w:rsidRPr="003B67CB">
        <w:rPr>
          <w:rStyle w:val="FootnoteReference"/>
          <w:rFonts w:asciiTheme="majorHAnsi" w:hAnsiTheme="majorHAnsi"/>
          <w:sz w:val="16"/>
          <w:szCs w:val="16"/>
          <w:vertAlign w:val="baseline"/>
          <w:lang w:val="pt-BR"/>
        </w:rPr>
        <w:t>omunidad El Triunfo</w:t>
      </w:r>
      <w:r w:rsidR="00373148">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Guatemala</w:t>
      </w:r>
      <w:r w:rsidR="00373148">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3</w:t>
      </w:r>
      <w:r w:rsidRPr="003B67CB">
        <w:rPr>
          <w:rStyle w:val="FootnoteReference"/>
          <w:rFonts w:asciiTheme="majorHAnsi" w:hAnsiTheme="majorHAnsi"/>
          <w:sz w:val="16"/>
          <w:szCs w:val="16"/>
          <w:vertAlign w:val="baseline"/>
          <w:lang w:val="pt-BR"/>
        </w:rPr>
        <w:t>0</w:t>
      </w:r>
      <w:r w:rsidRPr="003B67CB">
        <w:rPr>
          <w:rStyle w:val="FootnoteReference"/>
          <w:rFonts w:asciiTheme="majorHAnsi" w:hAnsiTheme="majorHAnsi"/>
          <w:color w:val="auto"/>
          <w:sz w:val="16"/>
          <w:szCs w:val="16"/>
          <w:vertAlign w:val="baseline"/>
          <w:lang w:val="pt-BR"/>
        </w:rPr>
        <w:t xml:space="preserve"> de m</w:t>
      </w:r>
      <w:r w:rsidRPr="003B67CB">
        <w:rPr>
          <w:rStyle w:val="FootnoteReference"/>
          <w:rFonts w:asciiTheme="majorHAnsi" w:hAnsiTheme="majorHAnsi"/>
          <w:sz w:val="16"/>
          <w:szCs w:val="16"/>
          <w:vertAlign w:val="baseline"/>
          <w:lang w:val="pt-BR"/>
        </w:rPr>
        <w:t>ayo</w:t>
      </w:r>
      <w:r w:rsidRPr="003B67CB">
        <w:rPr>
          <w:rStyle w:val="FootnoteReference"/>
          <w:rFonts w:asciiTheme="majorHAnsi" w:hAnsiTheme="majorHAnsi"/>
          <w:color w:val="auto"/>
          <w:sz w:val="16"/>
          <w:szCs w:val="16"/>
          <w:vertAlign w:val="baseline"/>
          <w:lang w:val="pt-BR"/>
        </w:rPr>
        <w:t xml:space="preserve"> de 2</w:t>
      </w:r>
      <w:r w:rsidRPr="003B67CB">
        <w:rPr>
          <w:rStyle w:val="FootnoteReference"/>
          <w:rFonts w:asciiTheme="majorHAnsi" w:hAnsiTheme="majorHAnsi"/>
          <w:sz w:val="16"/>
          <w:szCs w:val="16"/>
          <w:vertAlign w:val="baseline"/>
          <w:lang w:val="pt-BR"/>
        </w:rPr>
        <w:t>023</w:t>
      </w:r>
      <w:r w:rsidRPr="003B67CB">
        <w:rPr>
          <w:rStyle w:val="FootnoteReference"/>
          <w:rFonts w:asciiTheme="majorHAnsi" w:hAnsiTheme="majorHAnsi"/>
          <w:color w:val="auto"/>
          <w:sz w:val="16"/>
          <w:szCs w:val="16"/>
          <w:vertAlign w:val="baseline"/>
          <w:lang w:val="pt-BR"/>
        </w:rPr>
        <w:t>,</w:t>
      </w:r>
      <w:r w:rsidRPr="003B67CB">
        <w:rPr>
          <w:rStyle w:val="FootnoteReference"/>
          <w:rFonts w:asciiTheme="majorHAnsi" w:hAnsiTheme="majorHAnsi"/>
          <w:sz w:val="16"/>
          <w:szCs w:val="16"/>
          <w:vertAlign w:val="baseline"/>
          <w:lang w:val="pt-BR"/>
        </w:rPr>
        <w:t xml:space="preserve"> </w:t>
      </w:r>
      <w:r w:rsidRPr="003B67CB">
        <w:rPr>
          <w:rStyle w:val="FootnoteReference"/>
          <w:rFonts w:asciiTheme="majorHAnsi" w:hAnsiTheme="majorHAnsi"/>
          <w:color w:val="auto"/>
          <w:sz w:val="16"/>
          <w:szCs w:val="16"/>
          <w:vertAlign w:val="baseline"/>
          <w:lang w:val="pt-BR"/>
        </w:rPr>
        <w:t>párr. 2</w:t>
      </w:r>
      <w:r w:rsidRPr="003B67CB">
        <w:rPr>
          <w:rFonts w:asciiTheme="majorHAnsi" w:hAnsiTheme="majorHAnsi"/>
          <w:sz w:val="16"/>
          <w:szCs w:val="16"/>
          <w:lang w:val="pt-BR"/>
        </w:rPr>
        <w:t>7; e</w:t>
      </w:r>
      <w:r>
        <w:rPr>
          <w:rFonts w:asciiTheme="majorHAnsi" w:hAnsiTheme="majorHAnsi"/>
          <w:sz w:val="16"/>
          <w:szCs w:val="16"/>
          <w:lang w:val="pt-BR"/>
        </w:rPr>
        <w:t xml:space="preserve"> </w:t>
      </w:r>
      <w:r w:rsidRPr="001272A1">
        <w:rPr>
          <w:rStyle w:val="FootnoteReference"/>
          <w:rFonts w:asciiTheme="majorHAnsi" w:hAnsiTheme="majorHAnsi"/>
          <w:color w:val="auto"/>
          <w:sz w:val="16"/>
          <w:szCs w:val="16"/>
          <w:vertAlign w:val="baseline"/>
          <w:lang w:val="pt-BR"/>
        </w:rPr>
        <w:t>Informe No. 355/22, Petición 1918-11</w:t>
      </w:r>
      <w:r w:rsidR="00373148">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Admisibilidad</w:t>
      </w:r>
      <w:r w:rsidR="00562134">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Vecinos de la Aldea Sesajal</w:t>
      </w:r>
      <w:r w:rsidR="00FE25A2">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Guatemala</w:t>
      </w:r>
      <w:r w:rsidR="00373148">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12 de agosto de 2022, párr. 1</w:t>
      </w:r>
      <w:r>
        <w:rPr>
          <w:rFonts w:asciiTheme="majorHAnsi" w:hAnsiTheme="majorHAnsi"/>
          <w:color w:val="auto"/>
          <w:sz w:val="16"/>
          <w:szCs w:val="16"/>
          <w:lang w:val="pt-BR"/>
        </w:rPr>
        <w:t>7</w:t>
      </w:r>
      <w:r w:rsidRPr="001272A1">
        <w:rPr>
          <w:rStyle w:val="FootnoteReference"/>
          <w:rFonts w:asciiTheme="majorHAnsi" w:hAnsiTheme="majorHAnsi"/>
          <w:color w:val="auto"/>
          <w:sz w:val="16"/>
          <w:szCs w:val="16"/>
          <w:vertAlign w:val="baseline"/>
          <w:lang w:val="pt-BR"/>
        </w:rPr>
        <w:t>.</w:t>
      </w:r>
    </w:p>
  </w:footnote>
  <w:footnote w:id="10">
    <w:p w14:paraId="0F9473EF" w14:textId="3E438973" w:rsidR="009A37DE" w:rsidRPr="0008289A" w:rsidRDefault="009A37DE" w:rsidP="006713FC">
      <w:pPr>
        <w:pStyle w:val="FootnoteText"/>
        <w:ind w:firstLine="720"/>
        <w:jc w:val="both"/>
        <w:rPr>
          <w:rStyle w:val="FootnoteReference"/>
          <w:rFonts w:asciiTheme="majorHAnsi" w:hAnsiTheme="majorHAnsi"/>
          <w:color w:val="auto"/>
          <w:sz w:val="16"/>
          <w:szCs w:val="16"/>
          <w:lang w:val="pt-BR"/>
        </w:rPr>
      </w:pPr>
      <w:r w:rsidRPr="00C16E02">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 Informe No. 355/22, Petición 1918-11</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Admisibilidad</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Vecinos de la Aldea Sesajal</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Guatemala</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12 de agosto de 2022, párr. 19.</w:t>
      </w:r>
    </w:p>
  </w:footnote>
  <w:footnote w:id="11">
    <w:p w14:paraId="4D305F9B" w14:textId="41F2AA24" w:rsidR="009A37DE" w:rsidRPr="0008289A" w:rsidRDefault="009A37DE" w:rsidP="006713FC">
      <w:pPr>
        <w:pStyle w:val="FootnoteText"/>
        <w:ind w:firstLine="720"/>
        <w:jc w:val="both"/>
        <w:rPr>
          <w:rFonts w:asciiTheme="majorHAnsi" w:hAnsiTheme="majorHAnsi"/>
          <w:sz w:val="16"/>
          <w:szCs w:val="16"/>
          <w:lang w:val="pt-BR"/>
        </w:rPr>
      </w:pPr>
      <w:r w:rsidRPr="00C16E02">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 Informe No. 6</w:t>
      </w:r>
      <w:r w:rsidRPr="0008289A">
        <w:rPr>
          <w:rStyle w:val="FootnoteReference"/>
          <w:rFonts w:asciiTheme="majorHAnsi" w:hAnsiTheme="majorHAnsi"/>
          <w:sz w:val="16"/>
          <w:szCs w:val="16"/>
          <w:vertAlign w:val="baseline"/>
          <w:lang w:val="pt-BR"/>
        </w:rPr>
        <w:t>7</w:t>
      </w:r>
      <w:r w:rsidRPr="0008289A">
        <w:rPr>
          <w:rStyle w:val="FootnoteReference"/>
          <w:rFonts w:asciiTheme="majorHAnsi" w:hAnsiTheme="majorHAnsi"/>
          <w:color w:val="auto"/>
          <w:sz w:val="16"/>
          <w:szCs w:val="16"/>
          <w:vertAlign w:val="baseline"/>
          <w:lang w:val="pt-BR"/>
        </w:rPr>
        <w:t>/2</w:t>
      </w:r>
      <w:r w:rsidRPr="0008289A">
        <w:rPr>
          <w:rStyle w:val="FootnoteReference"/>
          <w:rFonts w:asciiTheme="majorHAnsi" w:hAnsiTheme="majorHAnsi"/>
          <w:sz w:val="16"/>
          <w:szCs w:val="16"/>
          <w:vertAlign w:val="baseline"/>
          <w:lang w:val="pt-BR"/>
        </w:rPr>
        <w:t>3</w:t>
      </w:r>
      <w:r w:rsidRPr="0008289A">
        <w:rPr>
          <w:rStyle w:val="FootnoteReference"/>
          <w:rFonts w:asciiTheme="majorHAnsi" w:hAnsiTheme="majorHAnsi"/>
          <w:color w:val="auto"/>
          <w:sz w:val="16"/>
          <w:szCs w:val="16"/>
          <w:vertAlign w:val="baseline"/>
          <w:lang w:val="pt-BR"/>
        </w:rPr>
        <w:t>, Petición 1</w:t>
      </w:r>
      <w:r w:rsidRPr="0008289A">
        <w:rPr>
          <w:rStyle w:val="FootnoteReference"/>
          <w:rFonts w:asciiTheme="majorHAnsi" w:hAnsiTheme="majorHAnsi"/>
          <w:sz w:val="16"/>
          <w:szCs w:val="16"/>
          <w:vertAlign w:val="baseline"/>
          <w:lang w:val="pt-BR"/>
        </w:rPr>
        <w:t>503-11</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Admisibilidad</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Vecinos de la C</w:t>
      </w:r>
      <w:r w:rsidRPr="0008289A">
        <w:rPr>
          <w:rStyle w:val="FootnoteReference"/>
          <w:rFonts w:asciiTheme="majorHAnsi" w:hAnsiTheme="majorHAnsi"/>
          <w:sz w:val="16"/>
          <w:szCs w:val="16"/>
          <w:vertAlign w:val="baseline"/>
          <w:lang w:val="pt-BR"/>
        </w:rPr>
        <w:t>omunidad El Triunfo</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Guatemala</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3</w:t>
      </w:r>
      <w:r w:rsidRPr="0008289A">
        <w:rPr>
          <w:rStyle w:val="FootnoteReference"/>
          <w:rFonts w:asciiTheme="majorHAnsi" w:hAnsiTheme="majorHAnsi"/>
          <w:sz w:val="16"/>
          <w:szCs w:val="16"/>
          <w:vertAlign w:val="baseline"/>
          <w:lang w:val="pt-BR"/>
        </w:rPr>
        <w:t>0</w:t>
      </w:r>
      <w:r w:rsidRPr="0008289A">
        <w:rPr>
          <w:rStyle w:val="FootnoteReference"/>
          <w:rFonts w:asciiTheme="majorHAnsi" w:hAnsiTheme="majorHAnsi"/>
          <w:color w:val="auto"/>
          <w:sz w:val="16"/>
          <w:szCs w:val="16"/>
          <w:vertAlign w:val="baseline"/>
          <w:lang w:val="pt-BR"/>
        </w:rPr>
        <w:t xml:space="preserve"> de m</w:t>
      </w:r>
      <w:r w:rsidRPr="0008289A">
        <w:rPr>
          <w:rStyle w:val="FootnoteReference"/>
          <w:rFonts w:asciiTheme="majorHAnsi" w:hAnsiTheme="majorHAnsi"/>
          <w:sz w:val="16"/>
          <w:szCs w:val="16"/>
          <w:vertAlign w:val="baseline"/>
          <w:lang w:val="pt-BR"/>
        </w:rPr>
        <w:t>ayo</w:t>
      </w:r>
      <w:r w:rsidRPr="0008289A">
        <w:rPr>
          <w:rStyle w:val="FootnoteReference"/>
          <w:rFonts w:asciiTheme="majorHAnsi" w:hAnsiTheme="majorHAnsi"/>
          <w:color w:val="auto"/>
          <w:sz w:val="16"/>
          <w:szCs w:val="16"/>
          <w:vertAlign w:val="baseline"/>
          <w:lang w:val="pt-BR"/>
        </w:rPr>
        <w:t xml:space="preserve"> de 2</w:t>
      </w:r>
      <w:r w:rsidRPr="0008289A">
        <w:rPr>
          <w:rStyle w:val="FootnoteReference"/>
          <w:rFonts w:asciiTheme="majorHAnsi" w:hAnsiTheme="majorHAnsi"/>
          <w:sz w:val="16"/>
          <w:szCs w:val="16"/>
          <w:vertAlign w:val="baseline"/>
          <w:lang w:val="pt-BR"/>
        </w:rPr>
        <w:t>023</w:t>
      </w:r>
      <w:r w:rsidRPr="0008289A">
        <w:rPr>
          <w:rStyle w:val="FootnoteReference"/>
          <w:rFonts w:asciiTheme="majorHAnsi" w:hAnsiTheme="majorHAnsi"/>
          <w:color w:val="auto"/>
          <w:sz w:val="16"/>
          <w:szCs w:val="16"/>
          <w:vertAlign w:val="baseline"/>
          <w:lang w:val="pt-BR"/>
        </w:rPr>
        <w:t>,</w:t>
      </w:r>
      <w:r w:rsidRPr="0008289A">
        <w:rPr>
          <w:rStyle w:val="FootnoteReference"/>
          <w:rFonts w:asciiTheme="majorHAnsi" w:hAnsiTheme="majorHAnsi"/>
          <w:sz w:val="16"/>
          <w:szCs w:val="16"/>
          <w:vertAlign w:val="baseline"/>
          <w:lang w:val="pt-BR"/>
        </w:rPr>
        <w:t xml:space="preserve"> </w:t>
      </w:r>
      <w:r w:rsidRPr="0008289A">
        <w:rPr>
          <w:rStyle w:val="FootnoteReference"/>
          <w:rFonts w:asciiTheme="majorHAnsi" w:hAnsiTheme="majorHAnsi"/>
          <w:color w:val="auto"/>
          <w:sz w:val="16"/>
          <w:szCs w:val="16"/>
          <w:vertAlign w:val="baseline"/>
          <w:lang w:val="pt-BR"/>
        </w:rPr>
        <w:t>párr.</w:t>
      </w:r>
      <w:r w:rsidRPr="0008289A">
        <w:rPr>
          <w:rStyle w:val="FootnoteReference"/>
          <w:rFonts w:asciiTheme="majorHAnsi" w:hAnsiTheme="majorHAnsi"/>
          <w:sz w:val="16"/>
          <w:szCs w:val="16"/>
          <w:vertAlign w:val="baseline"/>
          <w:lang w:val="pt-BR"/>
        </w:rPr>
        <w:t xml:space="preserve"> 30</w:t>
      </w:r>
      <w:r w:rsidRPr="0008289A">
        <w:rPr>
          <w:rStyle w:val="FootnoteReference"/>
          <w:rFonts w:asciiTheme="majorHAnsi" w:hAnsiTheme="majorHAnsi"/>
          <w:color w:val="auto"/>
          <w:sz w:val="16"/>
          <w:szCs w:val="16"/>
          <w:vertAlign w:val="baseline"/>
          <w:lang w:val="pt-BR"/>
        </w:rPr>
        <w:t>.</w:t>
      </w:r>
    </w:p>
  </w:footnote>
  <w:footnote w:id="12">
    <w:p w14:paraId="4AC11D47" w14:textId="5EAC2A0D" w:rsidR="00A17345" w:rsidRPr="0008289A" w:rsidRDefault="00A17345" w:rsidP="006713FC">
      <w:pPr>
        <w:pStyle w:val="FootnoteText"/>
        <w:ind w:firstLine="720"/>
        <w:jc w:val="both"/>
        <w:rPr>
          <w:rStyle w:val="FootnoteReference"/>
          <w:rFonts w:asciiTheme="majorHAnsi" w:hAnsiTheme="majorHAnsi"/>
          <w:color w:val="auto"/>
          <w:sz w:val="16"/>
          <w:szCs w:val="16"/>
          <w:lang w:val="pt-BR"/>
        </w:rPr>
      </w:pPr>
      <w:r w:rsidRPr="008A5269">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 Informe No. 57/08, Petición 283-06</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Inadmisibilidad</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Mario Roberto Chang Bravo</w:t>
      </w:r>
      <w:r w:rsidR="00B82F97"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Guatemala</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24 de julio de 2008, párr. 38.</w:t>
      </w:r>
    </w:p>
  </w:footnote>
  <w:footnote w:id="13">
    <w:p w14:paraId="6D8D04D5" w14:textId="16A093D8" w:rsidR="00A17345" w:rsidRPr="0008289A" w:rsidRDefault="00A17345" w:rsidP="006713FC">
      <w:pPr>
        <w:pStyle w:val="FootnoteText"/>
        <w:ind w:firstLine="720"/>
        <w:jc w:val="both"/>
        <w:rPr>
          <w:rStyle w:val="FootnoteReference"/>
          <w:rFonts w:asciiTheme="majorHAnsi" w:hAnsiTheme="majorHAnsi"/>
          <w:color w:val="auto"/>
          <w:sz w:val="16"/>
          <w:szCs w:val="16"/>
          <w:lang w:val="pt-BR"/>
        </w:rPr>
      </w:pPr>
      <w:r w:rsidRPr="008A5269">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 Informe No. 61/16, Petición 12.325</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Admisibilidad</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Comunidad de Paz San José de Apartadó</w:t>
      </w:r>
      <w:r w:rsidR="00AF39F5"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Colombia</w:t>
      </w:r>
      <w:r w:rsidR="00B82F97"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6 de diciembre de 2016, párr. 62.</w:t>
      </w:r>
      <w:r w:rsidRPr="0008289A">
        <w:rPr>
          <w:rFonts w:asciiTheme="majorHAnsi" w:hAnsiTheme="majorHAnsi"/>
          <w:color w:val="auto"/>
          <w:sz w:val="16"/>
          <w:szCs w:val="16"/>
          <w:lang w:val="pt-BR"/>
        </w:rPr>
        <w:t xml:space="preserve"> </w:t>
      </w:r>
    </w:p>
  </w:footnote>
  <w:footnote w:id="14">
    <w:p w14:paraId="55FF49A0" w14:textId="3BE07A36" w:rsidR="00A17345" w:rsidRPr="0008289A" w:rsidRDefault="00A17345" w:rsidP="006713FC">
      <w:pPr>
        <w:pStyle w:val="FootnoteText"/>
        <w:ind w:firstLine="720"/>
        <w:jc w:val="both"/>
        <w:rPr>
          <w:rFonts w:ascii="Helvetica" w:eastAsia="Times New Roman" w:hAnsi="Helvetica"/>
          <w:sz w:val="12"/>
          <w:szCs w:val="12"/>
          <w:bdr w:val="none" w:sz="0" w:space="0" w:color="auto"/>
          <w:lang w:val="pt-BR" w:eastAsia="es-MX"/>
        </w:rPr>
      </w:pPr>
      <w:r w:rsidRPr="008A5269">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00B82F97" w:rsidRPr="0008289A">
        <w:rPr>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 xml:space="preserve">Corte IDH, Caso Habbal y otros </w:t>
      </w:r>
      <w:r w:rsidR="00B82F97" w:rsidRPr="0008289A">
        <w:rPr>
          <w:rFonts w:asciiTheme="majorHAnsi" w:hAnsiTheme="majorHAnsi"/>
          <w:color w:val="auto"/>
          <w:sz w:val="16"/>
          <w:szCs w:val="16"/>
          <w:lang w:val="pt-BR"/>
        </w:rPr>
        <w:t>V</w:t>
      </w:r>
      <w:r w:rsidRPr="0008289A">
        <w:rPr>
          <w:rStyle w:val="FootnoteReference"/>
          <w:rFonts w:asciiTheme="majorHAnsi" w:hAnsiTheme="majorHAnsi"/>
          <w:color w:val="auto"/>
          <w:sz w:val="16"/>
          <w:szCs w:val="16"/>
          <w:vertAlign w:val="baseline"/>
          <w:lang w:val="pt-BR"/>
        </w:rPr>
        <w:t>s. Argentina</w:t>
      </w:r>
      <w:r w:rsidR="00B82F97"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Excepciones Preliminares y Fondo</w:t>
      </w:r>
      <w:r w:rsidR="00B82F97"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Sentencia de 31 de agosto de 2022</w:t>
      </w:r>
      <w:r w:rsidR="00B82F97"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Serie C No. 463, párr. 23; Caso Vereda La Esperanza Vs. Colombia</w:t>
      </w:r>
      <w:r w:rsidR="00B82F97"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Interpretación de la Sentencia de Excepción Preliminar, Fondo, Reparaciones y Costas</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Sentencia de 21 de noviembre de 2018</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Serie C No. 367, párr 32.</w:t>
      </w:r>
    </w:p>
  </w:footnote>
  <w:footnote w:id="15">
    <w:p w14:paraId="3DB86EB2" w14:textId="20F5D581" w:rsidR="00A17345" w:rsidRPr="0008289A" w:rsidRDefault="00A17345" w:rsidP="006713FC">
      <w:pPr>
        <w:pStyle w:val="FootnoteText"/>
        <w:ind w:firstLine="720"/>
        <w:jc w:val="both"/>
        <w:rPr>
          <w:rFonts w:asciiTheme="majorHAnsi" w:eastAsia="Times New Roman" w:hAnsiTheme="majorHAnsi"/>
          <w:color w:val="414141"/>
          <w:sz w:val="16"/>
          <w:szCs w:val="16"/>
          <w:bdr w:val="none" w:sz="0" w:space="0" w:color="auto"/>
          <w:lang w:val="pt-BR" w:eastAsia="es-MX"/>
        </w:rPr>
      </w:pPr>
      <w:r w:rsidRPr="00C16E02">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w:t>
      </w:r>
      <w:r w:rsidRPr="0008289A">
        <w:rPr>
          <w:rStyle w:val="FootnoteReference"/>
          <w:rFonts w:asciiTheme="majorHAnsi" w:hAnsiTheme="majorHAnsi"/>
          <w:sz w:val="16"/>
          <w:szCs w:val="16"/>
          <w:vertAlign w:val="baseline"/>
          <w:lang w:val="pt-BR"/>
        </w:rPr>
        <w:t>,</w:t>
      </w:r>
      <w:r w:rsidRPr="0008289A">
        <w:rPr>
          <w:rStyle w:val="FootnoteReference"/>
          <w:rFonts w:asciiTheme="majorHAnsi" w:hAnsiTheme="majorHAnsi"/>
          <w:color w:val="auto"/>
          <w:sz w:val="16"/>
          <w:szCs w:val="16"/>
          <w:vertAlign w:val="baseline"/>
          <w:lang w:val="pt-BR"/>
        </w:rPr>
        <w:t xml:space="preserve"> Justicia e Inclusión Social: Los desafíos de la democracia en Guatemala</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OEA/Ser.L/V/II.118 Doc. 5 rev. 1</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29 </w:t>
      </w:r>
      <w:r w:rsidR="0092735B" w:rsidRPr="0008289A">
        <w:rPr>
          <w:rFonts w:asciiTheme="majorHAnsi" w:hAnsiTheme="majorHAnsi"/>
          <w:color w:val="auto"/>
          <w:sz w:val="16"/>
          <w:szCs w:val="16"/>
          <w:lang w:val="pt-BR"/>
        </w:rPr>
        <w:t xml:space="preserve">de </w:t>
      </w:r>
      <w:r w:rsidRPr="0008289A">
        <w:rPr>
          <w:rStyle w:val="FootnoteReference"/>
          <w:rFonts w:asciiTheme="majorHAnsi" w:hAnsiTheme="majorHAnsi"/>
          <w:color w:val="auto"/>
          <w:sz w:val="16"/>
          <w:szCs w:val="16"/>
          <w:vertAlign w:val="baseline"/>
          <w:lang w:val="pt-BR"/>
        </w:rPr>
        <w:t xml:space="preserve">diciembre </w:t>
      </w:r>
      <w:r w:rsidR="0092735B" w:rsidRPr="0008289A">
        <w:rPr>
          <w:rFonts w:asciiTheme="majorHAnsi" w:hAnsiTheme="majorHAnsi"/>
          <w:color w:val="auto"/>
          <w:sz w:val="16"/>
          <w:szCs w:val="16"/>
          <w:lang w:val="pt-BR"/>
        </w:rPr>
        <w:t xml:space="preserve">de </w:t>
      </w:r>
      <w:r w:rsidRPr="0008289A">
        <w:rPr>
          <w:rStyle w:val="FootnoteReference"/>
          <w:rFonts w:asciiTheme="majorHAnsi" w:hAnsiTheme="majorHAnsi"/>
          <w:color w:val="auto"/>
          <w:sz w:val="16"/>
          <w:szCs w:val="16"/>
          <w:vertAlign w:val="baseline"/>
          <w:lang w:val="pt-BR"/>
        </w:rPr>
        <w:t>2003</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Capítulo IV, párrs. 248-253; Observaciones Preliminares: Visita</w:t>
      </w:r>
      <w:r w:rsidRPr="0008289A">
        <w:rPr>
          <w:rStyle w:val="FootnoteReference"/>
          <w:rFonts w:asciiTheme="majorHAnsi" w:hAnsiTheme="majorHAnsi"/>
          <w:i/>
          <w:iCs/>
          <w:color w:val="auto"/>
          <w:sz w:val="16"/>
          <w:szCs w:val="16"/>
          <w:vertAlign w:val="baseline"/>
          <w:lang w:val="pt-BR"/>
        </w:rPr>
        <w:t xml:space="preserve"> in loco</w:t>
      </w:r>
      <w:r w:rsidRPr="0008289A">
        <w:rPr>
          <w:rStyle w:val="FootnoteReference"/>
          <w:rFonts w:asciiTheme="majorHAnsi" w:hAnsiTheme="majorHAnsi"/>
          <w:color w:val="auto"/>
          <w:sz w:val="16"/>
          <w:szCs w:val="16"/>
          <w:vertAlign w:val="baseline"/>
          <w:lang w:val="pt-BR"/>
        </w:rPr>
        <w:t xml:space="preserve"> a Guatemala</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OEA/Ser.L/V/II.doc.124/24</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15 de agosto de 2024, párrs. 4-8; Situación de los derechos humanos en Guatemala: Diversidad, desigualdad y exclusión</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OEA/Ser.L/V/II.Doc. 43/15</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31 de diciembre de 2015, párrs. 450-451; y Situación de los derechos humanos en Guatemala</w:t>
      </w:r>
      <w:r w:rsidR="0037258E"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OEA/Ser.L/V/II. Doc. 208/17</w:t>
      </w:r>
      <w:r w:rsidR="0092735B"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31 </w:t>
      </w:r>
      <w:r w:rsidR="0037258E" w:rsidRPr="0008289A">
        <w:rPr>
          <w:rFonts w:asciiTheme="majorHAnsi" w:hAnsiTheme="majorHAnsi"/>
          <w:color w:val="auto"/>
          <w:sz w:val="16"/>
          <w:szCs w:val="16"/>
          <w:lang w:val="pt-BR"/>
        </w:rPr>
        <w:t xml:space="preserve">de </w:t>
      </w:r>
      <w:r w:rsidRPr="0008289A">
        <w:rPr>
          <w:rStyle w:val="FootnoteReference"/>
          <w:rFonts w:asciiTheme="majorHAnsi" w:hAnsiTheme="majorHAnsi"/>
          <w:color w:val="auto"/>
          <w:sz w:val="16"/>
          <w:szCs w:val="16"/>
          <w:vertAlign w:val="baseline"/>
          <w:lang w:val="pt-BR"/>
        </w:rPr>
        <w:t>diciembre</w:t>
      </w:r>
      <w:r w:rsidRPr="0008289A">
        <w:rPr>
          <w:rStyle w:val="FootnoteReference"/>
          <w:rFonts w:asciiTheme="majorHAnsi" w:hAnsiTheme="majorHAnsi"/>
          <w:sz w:val="16"/>
          <w:szCs w:val="16"/>
          <w:vertAlign w:val="baseline"/>
          <w:lang w:val="pt-BR"/>
        </w:rPr>
        <w:t xml:space="preserve"> de</w:t>
      </w:r>
      <w:r w:rsidRPr="0008289A">
        <w:rPr>
          <w:rStyle w:val="FootnoteReference"/>
          <w:rFonts w:asciiTheme="majorHAnsi" w:hAnsiTheme="majorHAnsi"/>
          <w:color w:val="auto"/>
          <w:sz w:val="16"/>
          <w:szCs w:val="16"/>
          <w:vertAlign w:val="baseline"/>
          <w:lang w:val="pt-BR"/>
        </w:rPr>
        <w:t xml:space="preserve"> 2017, párrs. 138-143. Asimismo, la CIDH ha realizado varias audiencias públicas sobre el Programa Nacional de Resarcimiento (PNR), como, por ejemplo, CIDH, 159</w:t>
      </w:r>
      <w:r w:rsidR="0037258E" w:rsidRPr="0008289A">
        <w:rPr>
          <w:rFonts w:asciiTheme="majorHAnsi" w:hAnsiTheme="majorHAnsi"/>
          <w:color w:val="auto"/>
          <w:sz w:val="16"/>
          <w:szCs w:val="16"/>
          <w:lang w:val="pt-BR"/>
        </w:rPr>
        <w:t>º</w:t>
      </w:r>
      <w:r w:rsidRPr="0008289A">
        <w:rPr>
          <w:rStyle w:val="FootnoteReference"/>
          <w:rFonts w:asciiTheme="majorHAnsi" w:hAnsiTheme="majorHAnsi"/>
          <w:color w:val="auto"/>
          <w:sz w:val="16"/>
          <w:szCs w:val="16"/>
          <w:vertAlign w:val="baseline"/>
          <w:lang w:val="pt-BR"/>
        </w:rPr>
        <w:t xml:space="preserve"> </w:t>
      </w:r>
      <w:r w:rsidR="0037258E" w:rsidRPr="0008289A">
        <w:rPr>
          <w:rFonts w:asciiTheme="majorHAnsi" w:hAnsiTheme="majorHAnsi"/>
          <w:color w:val="auto"/>
          <w:sz w:val="16"/>
          <w:szCs w:val="16"/>
          <w:lang w:val="pt-BR"/>
        </w:rPr>
        <w:t>P</w:t>
      </w:r>
      <w:r w:rsidRPr="0008289A">
        <w:rPr>
          <w:rStyle w:val="FootnoteReference"/>
          <w:rFonts w:asciiTheme="majorHAnsi" w:hAnsiTheme="majorHAnsi"/>
          <w:color w:val="auto"/>
          <w:sz w:val="16"/>
          <w:szCs w:val="16"/>
          <w:vertAlign w:val="baseline"/>
          <w:lang w:val="pt-BR"/>
        </w:rPr>
        <w:t xml:space="preserve">eríodo de </w:t>
      </w:r>
      <w:r w:rsidR="0037258E" w:rsidRPr="0008289A">
        <w:rPr>
          <w:rFonts w:asciiTheme="majorHAnsi" w:hAnsiTheme="majorHAnsi"/>
          <w:color w:val="auto"/>
          <w:sz w:val="16"/>
          <w:szCs w:val="16"/>
          <w:lang w:val="pt-BR"/>
        </w:rPr>
        <w:t>S</w:t>
      </w:r>
      <w:r w:rsidRPr="0008289A">
        <w:rPr>
          <w:rStyle w:val="FootnoteReference"/>
          <w:rFonts w:asciiTheme="majorHAnsi" w:hAnsiTheme="majorHAnsi"/>
          <w:color w:val="auto"/>
          <w:sz w:val="16"/>
          <w:szCs w:val="16"/>
          <w:vertAlign w:val="baseline"/>
          <w:lang w:val="pt-BR"/>
        </w:rPr>
        <w:t>esiones, Audiencia Pública “Derecho a la reparación integral para las víctimas del conflicto armado en Guatemala”, Panamá, 6 de diciembre de 2016</w:t>
      </w:r>
      <w:r w:rsidR="0037258E" w:rsidRPr="0008289A">
        <w:rPr>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156º Período de Sesiones, Audiencia Pública “Derechos humanos y justicia transicional en Guatemala”, 22 de octubre de 2015</w:t>
      </w:r>
      <w:r w:rsidR="0037258E" w:rsidRPr="0008289A">
        <w:rPr>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153º Período de Sesiones, Audiencia Pública “Acceso a la justicia y el legado del conflicto armado interno en Guatemala”, 28 de octubre de 2014</w:t>
      </w:r>
      <w:r w:rsidR="008513AF"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150º Período de Sesiones, Audiencia Pública “Programa Nacional de Resarcimiento en Guatemala”, 25 de marzo de 2014</w:t>
      </w:r>
      <w:r w:rsidR="008513AF"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144º Período de Sesiones, Audiencia Pública, “Situación de las mujeres víctimas de violaciones de derechos humanos durante el conflicto armado interno en Guatemala”, 27 de</w:t>
      </w:r>
      <w:r w:rsidRPr="0008289A">
        <w:rPr>
          <w:rStyle w:val="FootnoteReference"/>
          <w:rFonts w:asciiTheme="majorHAnsi" w:hAnsiTheme="majorHAnsi"/>
          <w:sz w:val="16"/>
          <w:szCs w:val="16"/>
          <w:vertAlign w:val="baseline"/>
          <w:lang w:val="pt-BR"/>
        </w:rPr>
        <w:t xml:space="preserve"> </w:t>
      </w:r>
      <w:r w:rsidRPr="0008289A">
        <w:rPr>
          <w:rStyle w:val="FootnoteReference"/>
          <w:rFonts w:asciiTheme="majorHAnsi" w:hAnsiTheme="majorHAnsi"/>
          <w:color w:val="auto"/>
          <w:sz w:val="16"/>
          <w:szCs w:val="16"/>
          <w:vertAlign w:val="baseline"/>
          <w:lang w:val="pt-BR"/>
        </w:rPr>
        <w:t>marzo de 2012</w:t>
      </w:r>
      <w:r w:rsidR="0080282D" w:rsidRPr="0008289A">
        <w:rPr>
          <w:rFonts w:asciiTheme="majorHAnsi" w:hAnsiTheme="majorHAnsi"/>
          <w:color w:val="auto"/>
          <w:sz w:val="16"/>
          <w:szCs w:val="16"/>
          <w:lang w:val="pt-BR"/>
        </w:rPr>
        <w:t xml:space="preserve">; y </w:t>
      </w:r>
      <w:r w:rsidRPr="0008289A">
        <w:rPr>
          <w:rStyle w:val="FootnoteReference"/>
          <w:rFonts w:asciiTheme="majorHAnsi" w:hAnsiTheme="majorHAnsi"/>
          <w:color w:val="auto"/>
          <w:sz w:val="16"/>
          <w:szCs w:val="16"/>
          <w:vertAlign w:val="baseline"/>
          <w:lang w:val="pt-BR"/>
        </w:rPr>
        <w:t xml:space="preserve"> 138º Período de Sesiones, Audiencia Pública “Política pública sobre reparaciones en Guatemala”, 19 de marzo de 2010.</w:t>
      </w:r>
    </w:p>
  </w:footnote>
  <w:footnote w:id="16">
    <w:p w14:paraId="677B67E5" w14:textId="060328CD" w:rsidR="00A17345" w:rsidRPr="0008289A" w:rsidRDefault="00A17345" w:rsidP="006713FC">
      <w:pPr>
        <w:pStyle w:val="FootnoteText"/>
        <w:ind w:firstLine="720"/>
        <w:jc w:val="both"/>
        <w:rPr>
          <w:sz w:val="12"/>
          <w:szCs w:val="12"/>
          <w:lang w:val="pt-BR"/>
        </w:rPr>
      </w:pPr>
      <w:r w:rsidRPr="002826FE">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 Situación de los derechos humanos en Guatemala</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OEA/Ser.L/V/II. Doc. 208/17</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31 </w:t>
      </w:r>
      <w:r w:rsidR="0080282D" w:rsidRPr="0008289A">
        <w:rPr>
          <w:rFonts w:asciiTheme="majorHAnsi" w:hAnsiTheme="majorHAnsi"/>
          <w:color w:val="auto"/>
          <w:sz w:val="16"/>
          <w:szCs w:val="16"/>
          <w:lang w:val="pt-BR"/>
        </w:rPr>
        <w:t xml:space="preserve">de </w:t>
      </w:r>
      <w:r w:rsidRPr="0008289A">
        <w:rPr>
          <w:rStyle w:val="FootnoteReference"/>
          <w:rFonts w:asciiTheme="majorHAnsi" w:hAnsiTheme="majorHAnsi"/>
          <w:color w:val="auto"/>
          <w:sz w:val="16"/>
          <w:szCs w:val="16"/>
          <w:vertAlign w:val="baseline"/>
          <w:lang w:val="pt-BR"/>
        </w:rPr>
        <w:t xml:space="preserve">diciembre </w:t>
      </w:r>
      <w:r w:rsidR="0080282D" w:rsidRPr="0008289A">
        <w:rPr>
          <w:rFonts w:asciiTheme="majorHAnsi" w:hAnsiTheme="majorHAnsi"/>
          <w:color w:val="auto"/>
          <w:sz w:val="16"/>
          <w:szCs w:val="16"/>
          <w:lang w:val="pt-BR"/>
        </w:rPr>
        <w:t xml:space="preserve">de </w:t>
      </w:r>
      <w:r w:rsidRPr="0008289A">
        <w:rPr>
          <w:rStyle w:val="FootnoteReference"/>
          <w:rFonts w:asciiTheme="majorHAnsi" w:hAnsiTheme="majorHAnsi"/>
          <w:color w:val="auto"/>
          <w:sz w:val="16"/>
          <w:szCs w:val="16"/>
          <w:vertAlign w:val="baseline"/>
          <w:lang w:val="pt-BR"/>
        </w:rPr>
        <w:t>2017, párr, 139.</w:t>
      </w:r>
    </w:p>
  </w:footnote>
  <w:footnote w:id="17">
    <w:p w14:paraId="044DB61B" w14:textId="2A0EF0A8" w:rsidR="00A17345" w:rsidRPr="0008289A" w:rsidRDefault="00A17345" w:rsidP="006713FC">
      <w:pPr>
        <w:pStyle w:val="FootnoteText"/>
        <w:ind w:firstLine="720"/>
        <w:jc w:val="both"/>
        <w:rPr>
          <w:rFonts w:asciiTheme="majorHAnsi" w:eastAsia="Times New Roman" w:hAnsiTheme="majorHAnsi"/>
          <w:sz w:val="16"/>
          <w:szCs w:val="16"/>
          <w:bdr w:val="none" w:sz="0" w:space="0" w:color="auto"/>
          <w:lang w:val="pt-BR" w:eastAsia="es-MX"/>
        </w:rPr>
      </w:pPr>
      <w:r w:rsidRPr="00C16E02">
        <w:rPr>
          <w:rStyle w:val="FootnoteReference"/>
          <w:rFonts w:asciiTheme="majorHAnsi" w:hAnsiTheme="majorHAnsi"/>
          <w:color w:val="auto"/>
          <w:sz w:val="16"/>
          <w:szCs w:val="16"/>
          <w:lang w:val="es-ES"/>
        </w:rPr>
        <w:footnoteRef/>
      </w:r>
      <w:r w:rsidRPr="0008289A">
        <w:rPr>
          <w:rStyle w:val="FootnoteReference"/>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CIDH, Informe No. 435/21, Petición 1-09</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Admisibilidad</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Vecinos de las comunidades del pueblo maya Achi en el municipio El</w:t>
      </w:r>
      <w:r w:rsidRPr="0008289A">
        <w:rPr>
          <w:rFonts w:asciiTheme="majorHAnsi" w:hAnsiTheme="majorHAnsi"/>
          <w:color w:val="auto"/>
          <w:sz w:val="16"/>
          <w:szCs w:val="16"/>
          <w:lang w:val="pt-BR"/>
        </w:rPr>
        <w:t xml:space="preserve"> </w:t>
      </w:r>
      <w:r w:rsidRPr="0008289A">
        <w:rPr>
          <w:rStyle w:val="FootnoteReference"/>
          <w:rFonts w:asciiTheme="majorHAnsi" w:hAnsiTheme="majorHAnsi"/>
          <w:color w:val="auto"/>
          <w:sz w:val="16"/>
          <w:szCs w:val="16"/>
          <w:vertAlign w:val="baseline"/>
          <w:lang w:val="pt-BR"/>
        </w:rPr>
        <w:t>Rabinal</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Guatemala</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31 de diciembre de 2021, párr. 16; Informe No. 355/22, Petición 1918-11</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Admisibilidad</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Vecinos de la Aldea Sesajal</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Guatemala</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12 de agosto de 2022; </w:t>
      </w:r>
      <w:r w:rsidR="0080282D" w:rsidRPr="0008289A">
        <w:rPr>
          <w:rFonts w:asciiTheme="majorHAnsi" w:hAnsiTheme="majorHAnsi"/>
          <w:color w:val="auto"/>
          <w:sz w:val="16"/>
          <w:szCs w:val="16"/>
          <w:lang w:val="pt-BR"/>
        </w:rPr>
        <w:t>e</w:t>
      </w:r>
      <w:r w:rsidRPr="0008289A">
        <w:rPr>
          <w:rStyle w:val="FootnoteReference"/>
          <w:rFonts w:asciiTheme="majorHAnsi" w:hAnsiTheme="majorHAnsi"/>
          <w:color w:val="auto"/>
          <w:sz w:val="16"/>
          <w:szCs w:val="16"/>
          <w:vertAlign w:val="baseline"/>
          <w:lang w:val="pt-BR"/>
        </w:rPr>
        <w:t xml:space="preserve"> Informe No. 67/23, Petición 1503-11</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Admisibilidad</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Vecinos de la Comunidad El Triunfo</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Guatemala</w:t>
      </w:r>
      <w:r w:rsidR="0080282D" w:rsidRPr="0008289A">
        <w:rPr>
          <w:rFonts w:asciiTheme="majorHAnsi" w:hAnsiTheme="majorHAnsi"/>
          <w:color w:val="auto"/>
          <w:sz w:val="16"/>
          <w:szCs w:val="16"/>
          <w:lang w:val="pt-BR"/>
        </w:rPr>
        <w:t>,</w:t>
      </w:r>
      <w:r w:rsidRPr="0008289A">
        <w:rPr>
          <w:rStyle w:val="FootnoteReference"/>
          <w:rFonts w:asciiTheme="majorHAnsi" w:hAnsiTheme="majorHAnsi"/>
          <w:color w:val="auto"/>
          <w:sz w:val="16"/>
          <w:szCs w:val="16"/>
          <w:vertAlign w:val="baseline"/>
          <w:lang w:val="pt-BR"/>
        </w:rPr>
        <w:t xml:space="preserve"> 30 de mayo de 2023</w:t>
      </w:r>
      <w:r w:rsidRPr="0008289A">
        <w:rPr>
          <w:rFonts w:asciiTheme="majorHAnsi" w:hAnsiTheme="majorHAnsi"/>
          <w:color w:val="auto"/>
          <w:sz w:val="16"/>
          <w:szCs w:val="16"/>
          <w:lang w:val="pt-BR"/>
        </w:rPr>
        <w:t>.</w:t>
      </w:r>
    </w:p>
  </w:footnote>
  <w:footnote w:id="18">
    <w:p w14:paraId="5612459D" w14:textId="77777777" w:rsidR="00952CEE" w:rsidRPr="00355562" w:rsidRDefault="00952CEE" w:rsidP="006713FC">
      <w:pPr>
        <w:pStyle w:val="FootnoteText"/>
        <w:ind w:firstLine="720"/>
        <w:jc w:val="both"/>
        <w:rPr>
          <w:lang w:val="pt-BR"/>
        </w:rPr>
      </w:pPr>
      <w:r w:rsidRPr="00673E85">
        <w:rPr>
          <w:rStyle w:val="FootnoteReference"/>
          <w:sz w:val="16"/>
          <w:szCs w:val="16"/>
        </w:rPr>
        <w:footnoteRef/>
      </w:r>
      <w:r w:rsidRPr="00355562">
        <w:rPr>
          <w:lang w:val="pt-BR"/>
        </w:rPr>
        <w:t xml:space="preserve"> </w:t>
      </w:r>
      <w:r w:rsidRPr="003224E1">
        <w:rPr>
          <w:rStyle w:val="FootnoteReference"/>
          <w:rFonts w:asciiTheme="majorHAnsi" w:hAnsiTheme="majorHAnsi"/>
          <w:color w:val="auto"/>
          <w:sz w:val="16"/>
          <w:szCs w:val="16"/>
          <w:vertAlign w:val="baseline"/>
          <w:lang w:val="pt-BR"/>
        </w:rPr>
        <w:t>CIDH, Informe No. 6</w:t>
      </w:r>
      <w:r w:rsidRPr="003224E1">
        <w:rPr>
          <w:rStyle w:val="FootnoteReference"/>
          <w:rFonts w:asciiTheme="majorHAnsi" w:hAnsiTheme="majorHAnsi"/>
          <w:sz w:val="16"/>
          <w:szCs w:val="16"/>
          <w:vertAlign w:val="baseline"/>
          <w:lang w:val="pt-BR"/>
        </w:rPr>
        <w:t>7</w:t>
      </w:r>
      <w:r w:rsidRPr="003224E1">
        <w:rPr>
          <w:rStyle w:val="FootnoteReference"/>
          <w:rFonts w:asciiTheme="majorHAnsi" w:hAnsiTheme="majorHAnsi"/>
          <w:color w:val="auto"/>
          <w:sz w:val="16"/>
          <w:szCs w:val="16"/>
          <w:vertAlign w:val="baseline"/>
          <w:lang w:val="pt-BR"/>
        </w:rPr>
        <w:t>/2</w:t>
      </w:r>
      <w:r w:rsidRPr="003224E1">
        <w:rPr>
          <w:rStyle w:val="FootnoteReference"/>
          <w:rFonts w:asciiTheme="majorHAnsi" w:hAnsiTheme="majorHAnsi"/>
          <w:sz w:val="16"/>
          <w:szCs w:val="16"/>
          <w:vertAlign w:val="baseline"/>
          <w:lang w:val="pt-BR"/>
        </w:rPr>
        <w:t>3</w:t>
      </w:r>
      <w:r w:rsidRPr="003224E1">
        <w:rPr>
          <w:rStyle w:val="FootnoteReference"/>
          <w:rFonts w:asciiTheme="majorHAnsi" w:hAnsiTheme="majorHAnsi"/>
          <w:color w:val="auto"/>
          <w:sz w:val="16"/>
          <w:szCs w:val="16"/>
          <w:vertAlign w:val="baseline"/>
          <w:lang w:val="pt-BR"/>
        </w:rPr>
        <w:t>, Petición 1</w:t>
      </w:r>
      <w:r w:rsidRPr="003224E1">
        <w:rPr>
          <w:rStyle w:val="FootnoteReference"/>
          <w:rFonts w:asciiTheme="majorHAnsi" w:hAnsiTheme="majorHAnsi"/>
          <w:sz w:val="16"/>
          <w:szCs w:val="16"/>
          <w:vertAlign w:val="baseline"/>
          <w:lang w:val="pt-BR"/>
        </w:rPr>
        <w:t>503-11</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C</w:t>
      </w:r>
      <w:r w:rsidRPr="003224E1">
        <w:rPr>
          <w:rStyle w:val="FootnoteReference"/>
          <w:rFonts w:asciiTheme="majorHAnsi" w:hAnsiTheme="majorHAnsi"/>
          <w:sz w:val="16"/>
          <w:szCs w:val="16"/>
          <w:vertAlign w:val="baseline"/>
          <w:lang w:val="pt-BR"/>
        </w:rPr>
        <w:t>omunidad El Triunfo</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3</w:t>
      </w:r>
      <w:r w:rsidRPr="003224E1">
        <w:rPr>
          <w:rStyle w:val="FootnoteReference"/>
          <w:rFonts w:asciiTheme="majorHAnsi" w:hAnsiTheme="majorHAnsi"/>
          <w:sz w:val="16"/>
          <w:szCs w:val="16"/>
          <w:vertAlign w:val="baseline"/>
          <w:lang w:val="pt-BR"/>
        </w:rPr>
        <w:t>0</w:t>
      </w:r>
      <w:r w:rsidRPr="003224E1">
        <w:rPr>
          <w:rStyle w:val="FootnoteReference"/>
          <w:rFonts w:asciiTheme="majorHAnsi" w:hAnsiTheme="majorHAnsi"/>
          <w:color w:val="auto"/>
          <w:sz w:val="16"/>
          <w:szCs w:val="16"/>
          <w:vertAlign w:val="baseline"/>
          <w:lang w:val="pt-BR"/>
        </w:rPr>
        <w:t xml:space="preserve"> de m</w:t>
      </w:r>
      <w:r w:rsidRPr="003224E1">
        <w:rPr>
          <w:rStyle w:val="FootnoteReference"/>
          <w:rFonts w:asciiTheme="majorHAnsi" w:hAnsiTheme="majorHAnsi"/>
          <w:sz w:val="16"/>
          <w:szCs w:val="16"/>
          <w:vertAlign w:val="baseline"/>
          <w:lang w:val="pt-BR"/>
        </w:rPr>
        <w:t>ayo</w:t>
      </w:r>
      <w:r w:rsidRPr="003224E1">
        <w:rPr>
          <w:rStyle w:val="FootnoteReference"/>
          <w:rFonts w:asciiTheme="majorHAnsi" w:hAnsiTheme="majorHAnsi"/>
          <w:color w:val="auto"/>
          <w:sz w:val="16"/>
          <w:szCs w:val="16"/>
          <w:vertAlign w:val="baseline"/>
          <w:lang w:val="pt-BR"/>
        </w:rPr>
        <w:t xml:space="preserve"> de 2</w:t>
      </w:r>
      <w:r w:rsidRPr="003224E1">
        <w:rPr>
          <w:rStyle w:val="FootnoteReference"/>
          <w:rFonts w:asciiTheme="majorHAnsi" w:hAnsiTheme="majorHAnsi"/>
          <w:sz w:val="16"/>
          <w:szCs w:val="16"/>
          <w:vertAlign w:val="baseline"/>
          <w:lang w:val="pt-BR"/>
        </w:rPr>
        <w:t>023</w:t>
      </w:r>
      <w:r w:rsidRPr="003224E1">
        <w:rPr>
          <w:rStyle w:val="FootnoteReference"/>
          <w:rFonts w:asciiTheme="majorHAnsi" w:hAnsiTheme="majorHAnsi"/>
          <w:color w:val="auto"/>
          <w:sz w:val="16"/>
          <w:szCs w:val="16"/>
          <w:vertAlign w:val="baseline"/>
          <w:lang w:val="pt-BR"/>
        </w:rPr>
        <w:t>.</w:t>
      </w:r>
    </w:p>
  </w:footnote>
  <w:footnote w:id="19">
    <w:p w14:paraId="16056DAE" w14:textId="77777777" w:rsidR="00952CEE" w:rsidRPr="00355562" w:rsidRDefault="00952CEE" w:rsidP="006713FC">
      <w:pPr>
        <w:pStyle w:val="FootnoteText"/>
        <w:ind w:firstLine="720"/>
        <w:jc w:val="both"/>
        <w:rPr>
          <w:lang w:val="pt-BR"/>
        </w:rPr>
      </w:pPr>
      <w:r w:rsidRPr="00673E85">
        <w:rPr>
          <w:rStyle w:val="FootnoteReference"/>
          <w:sz w:val="16"/>
          <w:szCs w:val="16"/>
        </w:rPr>
        <w:footnoteRef/>
      </w:r>
      <w:r w:rsidRPr="00355562">
        <w:rPr>
          <w:lang w:val="pt-BR"/>
        </w:rPr>
        <w:t xml:space="preserve"> </w:t>
      </w:r>
      <w:r w:rsidRPr="003224E1">
        <w:rPr>
          <w:rStyle w:val="FootnoteReference"/>
          <w:rFonts w:asciiTheme="majorHAnsi" w:hAnsiTheme="majorHAnsi"/>
          <w:color w:val="auto"/>
          <w:sz w:val="16"/>
          <w:szCs w:val="16"/>
          <w:vertAlign w:val="baseline"/>
          <w:lang w:val="pt-BR"/>
        </w:rPr>
        <w:t>CIDH, Informe No. 355/22, Petición 1918-11</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Aldea Sesajal</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12 de agosto de 2022</w:t>
      </w:r>
    </w:p>
  </w:footnote>
  <w:footnote w:id="20">
    <w:p w14:paraId="35199C7D" w14:textId="77777777" w:rsidR="0008289A" w:rsidRPr="00C16E02" w:rsidRDefault="0008289A" w:rsidP="006713FC">
      <w:pPr>
        <w:pStyle w:val="FootnoteText"/>
        <w:ind w:firstLine="720"/>
        <w:jc w:val="both"/>
        <w:rPr>
          <w:rFonts w:asciiTheme="majorHAnsi" w:eastAsia="Times New Roman" w:hAnsiTheme="majorHAnsi"/>
          <w:sz w:val="16"/>
          <w:szCs w:val="16"/>
          <w:bdr w:val="none" w:sz="0" w:space="0" w:color="auto"/>
          <w:lang w:val="es-EC" w:eastAsia="es-MX"/>
        </w:rPr>
      </w:pPr>
      <w:r w:rsidRPr="00673E85">
        <w:rPr>
          <w:rStyle w:val="FootnoteReference"/>
          <w:rFonts w:asciiTheme="minorHAnsi" w:hAnsiTheme="minorHAnsi" w:cstheme="min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CIDH, Informe No. 26/17, Petición 1208-08. Admisibilidad. William Olaya Moreno y familia. Colombia. 18 de marzo de 2017, párr.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331DF2" w:rsidP="00A50FCF">
    <w:pPr>
      <w:pStyle w:val="Header"/>
      <w:tabs>
        <w:tab w:val="clear" w:pos="4320"/>
        <w:tab w:val="clear" w:pos="8640"/>
      </w:tabs>
      <w:jc w:val="center"/>
      <w:rPr>
        <w:sz w:val="22"/>
        <w:szCs w:val="22"/>
      </w:rPr>
    </w:pPr>
    <w:r>
      <w:rPr>
        <w:noProof/>
        <w:sz w:val="22"/>
        <w:szCs w:val="22"/>
        <w:bdr w:val="nil"/>
      </w:rPr>
      <w:pict w14:anchorId="4367A34C">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A0F8D5C8"/>
    <w:lvl w:ilvl="0" w:tplc="13701580">
      <w:start w:val="1"/>
      <w:numFmt w:val="decimal"/>
      <w:lvlText w:val="%1."/>
      <w:lvlJc w:val="left"/>
      <w:pPr>
        <w:tabs>
          <w:tab w:val="num" w:pos="720"/>
        </w:tabs>
        <w:ind w:left="0" w:firstLine="720"/>
      </w:pPr>
      <w:rPr>
        <w:rFonts w:hint="default"/>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PA"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9BE"/>
    <w:rsid w:val="00006E1F"/>
    <w:rsid w:val="000070D7"/>
    <w:rsid w:val="00010C47"/>
    <w:rsid w:val="0001788C"/>
    <w:rsid w:val="0002326C"/>
    <w:rsid w:val="000255E6"/>
    <w:rsid w:val="000337EF"/>
    <w:rsid w:val="00035DC5"/>
    <w:rsid w:val="00040C3A"/>
    <w:rsid w:val="000419AD"/>
    <w:rsid w:val="000433C9"/>
    <w:rsid w:val="00051993"/>
    <w:rsid w:val="0006197B"/>
    <w:rsid w:val="000716C5"/>
    <w:rsid w:val="00073142"/>
    <w:rsid w:val="00075E23"/>
    <w:rsid w:val="00081165"/>
    <w:rsid w:val="0008289A"/>
    <w:rsid w:val="00087995"/>
    <w:rsid w:val="0009344A"/>
    <w:rsid w:val="000A1974"/>
    <w:rsid w:val="000A392E"/>
    <w:rsid w:val="000A575F"/>
    <w:rsid w:val="000B062C"/>
    <w:rsid w:val="000B6034"/>
    <w:rsid w:val="000D05CB"/>
    <w:rsid w:val="000D10DB"/>
    <w:rsid w:val="000E152A"/>
    <w:rsid w:val="000E1630"/>
    <w:rsid w:val="000E3194"/>
    <w:rsid w:val="000E5EB5"/>
    <w:rsid w:val="000F35ED"/>
    <w:rsid w:val="000F5921"/>
    <w:rsid w:val="00107131"/>
    <w:rsid w:val="0010736F"/>
    <w:rsid w:val="00113F73"/>
    <w:rsid w:val="00114865"/>
    <w:rsid w:val="00121CC2"/>
    <w:rsid w:val="001275DD"/>
    <w:rsid w:val="00131425"/>
    <w:rsid w:val="00133EE5"/>
    <w:rsid w:val="001409AF"/>
    <w:rsid w:val="00143822"/>
    <w:rsid w:val="0016355E"/>
    <w:rsid w:val="00167A34"/>
    <w:rsid w:val="001710A1"/>
    <w:rsid w:val="00173782"/>
    <w:rsid w:val="0019566B"/>
    <w:rsid w:val="00196793"/>
    <w:rsid w:val="001A3482"/>
    <w:rsid w:val="001A7870"/>
    <w:rsid w:val="001B0FB6"/>
    <w:rsid w:val="001B3A00"/>
    <w:rsid w:val="001C1B41"/>
    <w:rsid w:val="001D65CA"/>
    <w:rsid w:val="001D65EF"/>
    <w:rsid w:val="001D7945"/>
    <w:rsid w:val="001E49E7"/>
    <w:rsid w:val="001F7201"/>
    <w:rsid w:val="00211791"/>
    <w:rsid w:val="00223A29"/>
    <w:rsid w:val="002250A3"/>
    <w:rsid w:val="00235217"/>
    <w:rsid w:val="00243EAF"/>
    <w:rsid w:val="002469D2"/>
    <w:rsid w:val="00246D1F"/>
    <w:rsid w:val="00247403"/>
    <w:rsid w:val="00247542"/>
    <w:rsid w:val="002516D6"/>
    <w:rsid w:val="00253CE3"/>
    <w:rsid w:val="002572D8"/>
    <w:rsid w:val="0026020D"/>
    <w:rsid w:val="00266B61"/>
    <w:rsid w:val="0026712A"/>
    <w:rsid w:val="002704DB"/>
    <w:rsid w:val="00280453"/>
    <w:rsid w:val="00280C66"/>
    <w:rsid w:val="00284167"/>
    <w:rsid w:val="00287066"/>
    <w:rsid w:val="00287899"/>
    <w:rsid w:val="00290B9A"/>
    <w:rsid w:val="00292298"/>
    <w:rsid w:val="0029492C"/>
    <w:rsid w:val="002960BC"/>
    <w:rsid w:val="002A0AAE"/>
    <w:rsid w:val="002A2371"/>
    <w:rsid w:val="002A3483"/>
    <w:rsid w:val="002A5820"/>
    <w:rsid w:val="002B0CF9"/>
    <w:rsid w:val="002B4B34"/>
    <w:rsid w:val="002C121E"/>
    <w:rsid w:val="002D1116"/>
    <w:rsid w:val="002D1D34"/>
    <w:rsid w:val="002D2B26"/>
    <w:rsid w:val="002D7EA2"/>
    <w:rsid w:val="002E187C"/>
    <w:rsid w:val="002E6117"/>
    <w:rsid w:val="002F31D4"/>
    <w:rsid w:val="00302733"/>
    <w:rsid w:val="00314078"/>
    <w:rsid w:val="0031535D"/>
    <w:rsid w:val="003239B8"/>
    <w:rsid w:val="0033147D"/>
    <w:rsid w:val="0033169F"/>
    <w:rsid w:val="00331DF2"/>
    <w:rsid w:val="00344977"/>
    <w:rsid w:val="00346C95"/>
    <w:rsid w:val="0035217C"/>
    <w:rsid w:val="00356185"/>
    <w:rsid w:val="00360380"/>
    <w:rsid w:val="00360E48"/>
    <w:rsid w:val="003633E6"/>
    <w:rsid w:val="0037258E"/>
    <w:rsid w:val="00372B2A"/>
    <w:rsid w:val="00373148"/>
    <w:rsid w:val="0037519E"/>
    <w:rsid w:val="00386CF0"/>
    <w:rsid w:val="00394049"/>
    <w:rsid w:val="003B1B44"/>
    <w:rsid w:val="003B70FB"/>
    <w:rsid w:val="003C2181"/>
    <w:rsid w:val="003C2239"/>
    <w:rsid w:val="003C676B"/>
    <w:rsid w:val="003D093F"/>
    <w:rsid w:val="003D3BC2"/>
    <w:rsid w:val="003E397C"/>
    <w:rsid w:val="003E6CA1"/>
    <w:rsid w:val="00405F9C"/>
    <w:rsid w:val="004065A8"/>
    <w:rsid w:val="004165C2"/>
    <w:rsid w:val="00436B39"/>
    <w:rsid w:val="00441524"/>
    <w:rsid w:val="00441E0D"/>
    <w:rsid w:val="00441ECB"/>
    <w:rsid w:val="0044441A"/>
    <w:rsid w:val="00445193"/>
    <w:rsid w:val="00451127"/>
    <w:rsid w:val="00462C1B"/>
    <w:rsid w:val="00462C1C"/>
    <w:rsid w:val="00467B7E"/>
    <w:rsid w:val="00470F60"/>
    <w:rsid w:val="00472ECB"/>
    <w:rsid w:val="00473BB4"/>
    <w:rsid w:val="00477592"/>
    <w:rsid w:val="00486F1C"/>
    <w:rsid w:val="0049419D"/>
    <w:rsid w:val="00495CFD"/>
    <w:rsid w:val="004A6050"/>
    <w:rsid w:val="004A6A54"/>
    <w:rsid w:val="004C20D2"/>
    <w:rsid w:val="004C2312"/>
    <w:rsid w:val="004C4B62"/>
    <w:rsid w:val="004C54C9"/>
    <w:rsid w:val="004D1DDF"/>
    <w:rsid w:val="004D4ABA"/>
    <w:rsid w:val="004D6025"/>
    <w:rsid w:val="004D77D8"/>
    <w:rsid w:val="004E2649"/>
    <w:rsid w:val="004F28C4"/>
    <w:rsid w:val="004F626F"/>
    <w:rsid w:val="00501399"/>
    <w:rsid w:val="0050633D"/>
    <w:rsid w:val="005065E1"/>
    <w:rsid w:val="00507BC4"/>
    <w:rsid w:val="005128E4"/>
    <w:rsid w:val="005133DB"/>
    <w:rsid w:val="00514504"/>
    <w:rsid w:val="005145D9"/>
    <w:rsid w:val="00515B1D"/>
    <w:rsid w:val="0052527A"/>
    <w:rsid w:val="00525560"/>
    <w:rsid w:val="00533725"/>
    <w:rsid w:val="005426AA"/>
    <w:rsid w:val="00543E19"/>
    <w:rsid w:val="00544C49"/>
    <w:rsid w:val="005516A1"/>
    <w:rsid w:val="005559EF"/>
    <w:rsid w:val="005564B7"/>
    <w:rsid w:val="00562134"/>
    <w:rsid w:val="00563557"/>
    <w:rsid w:val="00566886"/>
    <w:rsid w:val="0057402A"/>
    <w:rsid w:val="005771D0"/>
    <w:rsid w:val="0059191A"/>
    <w:rsid w:val="005921FF"/>
    <w:rsid w:val="005A23D1"/>
    <w:rsid w:val="005A24ED"/>
    <w:rsid w:val="005A254F"/>
    <w:rsid w:val="005A6D0E"/>
    <w:rsid w:val="005B3AB2"/>
    <w:rsid w:val="005B52B0"/>
    <w:rsid w:val="005B6806"/>
    <w:rsid w:val="005C4225"/>
    <w:rsid w:val="005D38F9"/>
    <w:rsid w:val="005D3F3A"/>
    <w:rsid w:val="005F0DAD"/>
    <w:rsid w:val="005F0F33"/>
    <w:rsid w:val="005F15BF"/>
    <w:rsid w:val="005F637B"/>
    <w:rsid w:val="00600DEB"/>
    <w:rsid w:val="00612B1B"/>
    <w:rsid w:val="006219FD"/>
    <w:rsid w:val="00627C9F"/>
    <w:rsid w:val="006311E9"/>
    <w:rsid w:val="00632354"/>
    <w:rsid w:val="00635421"/>
    <w:rsid w:val="00636996"/>
    <w:rsid w:val="00640BD3"/>
    <w:rsid w:val="00641AA5"/>
    <w:rsid w:val="00642810"/>
    <w:rsid w:val="00652333"/>
    <w:rsid w:val="0065332D"/>
    <w:rsid w:val="0066114A"/>
    <w:rsid w:val="00667591"/>
    <w:rsid w:val="0067036D"/>
    <w:rsid w:val="006713FC"/>
    <w:rsid w:val="00673E85"/>
    <w:rsid w:val="0068009E"/>
    <w:rsid w:val="006811CF"/>
    <w:rsid w:val="00685FA6"/>
    <w:rsid w:val="00692219"/>
    <w:rsid w:val="0069507B"/>
    <w:rsid w:val="006A05B8"/>
    <w:rsid w:val="006A17D2"/>
    <w:rsid w:val="006A3EC2"/>
    <w:rsid w:val="006A57B5"/>
    <w:rsid w:val="006A73E6"/>
    <w:rsid w:val="006B2D5C"/>
    <w:rsid w:val="006B612F"/>
    <w:rsid w:val="006C1DD1"/>
    <w:rsid w:val="006C4EB1"/>
    <w:rsid w:val="006D5B19"/>
    <w:rsid w:val="006E0166"/>
    <w:rsid w:val="006E2FFB"/>
    <w:rsid w:val="006E7B34"/>
    <w:rsid w:val="00705FD6"/>
    <w:rsid w:val="0070697F"/>
    <w:rsid w:val="007125D0"/>
    <w:rsid w:val="0072199C"/>
    <w:rsid w:val="00722C9F"/>
    <w:rsid w:val="007253B8"/>
    <w:rsid w:val="007257A5"/>
    <w:rsid w:val="00727B16"/>
    <w:rsid w:val="00730C53"/>
    <w:rsid w:val="0073741F"/>
    <w:rsid w:val="0076643F"/>
    <w:rsid w:val="0077688C"/>
    <w:rsid w:val="00777F63"/>
    <w:rsid w:val="00782419"/>
    <w:rsid w:val="0079102B"/>
    <w:rsid w:val="00796642"/>
    <w:rsid w:val="007A1BAD"/>
    <w:rsid w:val="007A5817"/>
    <w:rsid w:val="007B05C4"/>
    <w:rsid w:val="007B35B2"/>
    <w:rsid w:val="007B60E9"/>
    <w:rsid w:val="007B6CC3"/>
    <w:rsid w:val="007B76D3"/>
    <w:rsid w:val="007C3334"/>
    <w:rsid w:val="007C7E8C"/>
    <w:rsid w:val="007D2B98"/>
    <w:rsid w:val="007D5215"/>
    <w:rsid w:val="007D534C"/>
    <w:rsid w:val="007E21BC"/>
    <w:rsid w:val="007E4624"/>
    <w:rsid w:val="007E46BD"/>
    <w:rsid w:val="007E7C82"/>
    <w:rsid w:val="007F2AA1"/>
    <w:rsid w:val="007F588D"/>
    <w:rsid w:val="0080282D"/>
    <w:rsid w:val="00803F1C"/>
    <w:rsid w:val="0080555E"/>
    <w:rsid w:val="0080600E"/>
    <w:rsid w:val="00814688"/>
    <w:rsid w:val="008165A7"/>
    <w:rsid w:val="00817612"/>
    <w:rsid w:val="00817F96"/>
    <w:rsid w:val="00822F26"/>
    <w:rsid w:val="0083100C"/>
    <w:rsid w:val="00833102"/>
    <w:rsid w:val="008338A4"/>
    <w:rsid w:val="00834D49"/>
    <w:rsid w:val="00837724"/>
    <w:rsid w:val="00837C45"/>
    <w:rsid w:val="00840482"/>
    <w:rsid w:val="00844730"/>
    <w:rsid w:val="008457C2"/>
    <w:rsid w:val="008513AF"/>
    <w:rsid w:val="00857A82"/>
    <w:rsid w:val="0086265B"/>
    <w:rsid w:val="008669B6"/>
    <w:rsid w:val="00867314"/>
    <w:rsid w:val="00873836"/>
    <w:rsid w:val="00885737"/>
    <w:rsid w:val="00890650"/>
    <w:rsid w:val="00897E12"/>
    <w:rsid w:val="008A7805"/>
    <w:rsid w:val="008A7E0F"/>
    <w:rsid w:val="008B12F5"/>
    <w:rsid w:val="008C0403"/>
    <w:rsid w:val="008C3AF6"/>
    <w:rsid w:val="008C4A25"/>
    <w:rsid w:val="008C5E2D"/>
    <w:rsid w:val="008D3E23"/>
    <w:rsid w:val="008D768D"/>
    <w:rsid w:val="008E113F"/>
    <w:rsid w:val="008E3759"/>
    <w:rsid w:val="008E3BFE"/>
    <w:rsid w:val="008E3EAA"/>
    <w:rsid w:val="008E52C3"/>
    <w:rsid w:val="008F1912"/>
    <w:rsid w:val="0090156D"/>
    <w:rsid w:val="0090270B"/>
    <w:rsid w:val="009041DC"/>
    <w:rsid w:val="00915023"/>
    <w:rsid w:val="009169EC"/>
    <w:rsid w:val="00917B5A"/>
    <w:rsid w:val="00920A58"/>
    <w:rsid w:val="00920A8C"/>
    <w:rsid w:val="009213DA"/>
    <w:rsid w:val="00923987"/>
    <w:rsid w:val="00926D11"/>
    <w:rsid w:val="0092735B"/>
    <w:rsid w:val="009278D5"/>
    <w:rsid w:val="00934A2C"/>
    <w:rsid w:val="00952CEE"/>
    <w:rsid w:val="00955CCE"/>
    <w:rsid w:val="009609FF"/>
    <w:rsid w:val="00961591"/>
    <w:rsid w:val="00962524"/>
    <w:rsid w:val="009648A3"/>
    <w:rsid w:val="00964996"/>
    <w:rsid w:val="0096706E"/>
    <w:rsid w:val="00974491"/>
    <w:rsid w:val="009758A7"/>
    <w:rsid w:val="00975C4E"/>
    <w:rsid w:val="00980D62"/>
    <w:rsid w:val="00981FBA"/>
    <w:rsid w:val="0099210D"/>
    <w:rsid w:val="00997BC5"/>
    <w:rsid w:val="009A0FA2"/>
    <w:rsid w:val="009A2100"/>
    <w:rsid w:val="009A37DE"/>
    <w:rsid w:val="009A4F41"/>
    <w:rsid w:val="009B2CA8"/>
    <w:rsid w:val="009B381B"/>
    <w:rsid w:val="009D1753"/>
    <w:rsid w:val="009D7611"/>
    <w:rsid w:val="009E0B61"/>
    <w:rsid w:val="009E53DE"/>
    <w:rsid w:val="00A06316"/>
    <w:rsid w:val="00A11212"/>
    <w:rsid w:val="00A11E44"/>
    <w:rsid w:val="00A16D16"/>
    <w:rsid w:val="00A17345"/>
    <w:rsid w:val="00A23907"/>
    <w:rsid w:val="00A25042"/>
    <w:rsid w:val="00A30100"/>
    <w:rsid w:val="00A328B3"/>
    <w:rsid w:val="00A348E0"/>
    <w:rsid w:val="00A35E83"/>
    <w:rsid w:val="00A425BC"/>
    <w:rsid w:val="00A43CA3"/>
    <w:rsid w:val="00A459E5"/>
    <w:rsid w:val="00A50FCF"/>
    <w:rsid w:val="00A528D1"/>
    <w:rsid w:val="00A57726"/>
    <w:rsid w:val="00A610CD"/>
    <w:rsid w:val="00A758AA"/>
    <w:rsid w:val="00A91AFF"/>
    <w:rsid w:val="00AA09A2"/>
    <w:rsid w:val="00AA4AD2"/>
    <w:rsid w:val="00AA52AC"/>
    <w:rsid w:val="00AA7996"/>
    <w:rsid w:val="00AC19CB"/>
    <w:rsid w:val="00AC4A25"/>
    <w:rsid w:val="00AE5488"/>
    <w:rsid w:val="00AE57D2"/>
    <w:rsid w:val="00AE6F91"/>
    <w:rsid w:val="00AE71A8"/>
    <w:rsid w:val="00AF39F5"/>
    <w:rsid w:val="00AF5571"/>
    <w:rsid w:val="00B07341"/>
    <w:rsid w:val="00B11747"/>
    <w:rsid w:val="00B30539"/>
    <w:rsid w:val="00B314DB"/>
    <w:rsid w:val="00B361F2"/>
    <w:rsid w:val="00B3718B"/>
    <w:rsid w:val="00B3745F"/>
    <w:rsid w:val="00B4632A"/>
    <w:rsid w:val="00B530F1"/>
    <w:rsid w:val="00B5736A"/>
    <w:rsid w:val="00B7229F"/>
    <w:rsid w:val="00B82F97"/>
    <w:rsid w:val="00B83AC9"/>
    <w:rsid w:val="00B951B0"/>
    <w:rsid w:val="00B95335"/>
    <w:rsid w:val="00BA276C"/>
    <w:rsid w:val="00BB306F"/>
    <w:rsid w:val="00BB50CD"/>
    <w:rsid w:val="00BD4B89"/>
    <w:rsid w:val="00BD5813"/>
    <w:rsid w:val="00BD5922"/>
    <w:rsid w:val="00BE76AA"/>
    <w:rsid w:val="00BF02CB"/>
    <w:rsid w:val="00BF26A6"/>
    <w:rsid w:val="00BF3D5C"/>
    <w:rsid w:val="00BF6FD8"/>
    <w:rsid w:val="00C03680"/>
    <w:rsid w:val="00C054DF"/>
    <w:rsid w:val="00C05CE1"/>
    <w:rsid w:val="00C131C7"/>
    <w:rsid w:val="00C17202"/>
    <w:rsid w:val="00C21762"/>
    <w:rsid w:val="00C21FEF"/>
    <w:rsid w:val="00C23BA4"/>
    <w:rsid w:val="00C24543"/>
    <w:rsid w:val="00C256A2"/>
    <w:rsid w:val="00C25ADB"/>
    <w:rsid w:val="00C51515"/>
    <w:rsid w:val="00C51FFD"/>
    <w:rsid w:val="00C55FEC"/>
    <w:rsid w:val="00C5660B"/>
    <w:rsid w:val="00C56D61"/>
    <w:rsid w:val="00C571F9"/>
    <w:rsid w:val="00C6269D"/>
    <w:rsid w:val="00C66B72"/>
    <w:rsid w:val="00C71AE8"/>
    <w:rsid w:val="00C741C1"/>
    <w:rsid w:val="00C81CFB"/>
    <w:rsid w:val="00C84E10"/>
    <w:rsid w:val="00C87AC4"/>
    <w:rsid w:val="00C937F5"/>
    <w:rsid w:val="00C9567A"/>
    <w:rsid w:val="00CA38A0"/>
    <w:rsid w:val="00CA739F"/>
    <w:rsid w:val="00CB212D"/>
    <w:rsid w:val="00CB2660"/>
    <w:rsid w:val="00CB27C8"/>
    <w:rsid w:val="00CC442D"/>
    <w:rsid w:val="00CC5E90"/>
    <w:rsid w:val="00CD046C"/>
    <w:rsid w:val="00CE076C"/>
    <w:rsid w:val="00CE13B3"/>
    <w:rsid w:val="00CE3033"/>
    <w:rsid w:val="00CE5199"/>
    <w:rsid w:val="00CE66D5"/>
    <w:rsid w:val="00CF3A5B"/>
    <w:rsid w:val="00CF55F8"/>
    <w:rsid w:val="00CF637A"/>
    <w:rsid w:val="00CF7214"/>
    <w:rsid w:val="00D059DE"/>
    <w:rsid w:val="00D05ABD"/>
    <w:rsid w:val="00D13530"/>
    <w:rsid w:val="00D13FCE"/>
    <w:rsid w:val="00D157AF"/>
    <w:rsid w:val="00D16E77"/>
    <w:rsid w:val="00D2412E"/>
    <w:rsid w:val="00D306D1"/>
    <w:rsid w:val="00D30800"/>
    <w:rsid w:val="00D3319F"/>
    <w:rsid w:val="00D34786"/>
    <w:rsid w:val="00D37BFC"/>
    <w:rsid w:val="00D43D1D"/>
    <w:rsid w:val="00D47A8E"/>
    <w:rsid w:val="00D511CE"/>
    <w:rsid w:val="00D52D14"/>
    <w:rsid w:val="00D57614"/>
    <w:rsid w:val="00D63C40"/>
    <w:rsid w:val="00D712D3"/>
    <w:rsid w:val="00D71422"/>
    <w:rsid w:val="00D72DC6"/>
    <w:rsid w:val="00D74C0A"/>
    <w:rsid w:val="00D7558D"/>
    <w:rsid w:val="00D8181D"/>
    <w:rsid w:val="00D81D92"/>
    <w:rsid w:val="00D839AA"/>
    <w:rsid w:val="00D858F1"/>
    <w:rsid w:val="00D8637A"/>
    <w:rsid w:val="00D876F9"/>
    <w:rsid w:val="00D87CB6"/>
    <w:rsid w:val="00D91366"/>
    <w:rsid w:val="00D944FB"/>
    <w:rsid w:val="00DA0428"/>
    <w:rsid w:val="00DA271E"/>
    <w:rsid w:val="00DA38B4"/>
    <w:rsid w:val="00DA6DD5"/>
    <w:rsid w:val="00DA7B5F"/>
    <w:rsid w:val="00DB2B5A"/>
    <w:rsid w:val="00DB43DB"/>
    <w:rsid w:val="00DC11E7"/>
    <w:rsid w:val="00DC2020"/>
    <w:rsid w:val="00DC24E3"/>
    <w:rsid w:val="00DC7023"/>
    <w:rsid w:val="00DC769A"/>
    <w:rsid w:val="00DD31A0"/>
    <w:rsid w:val="00DD3D86"/>
    <w:rsid w:val="00DD4AD2"/>
    <w:rsid w:val="00DD5A79"/>
    <w:rsid w:val="00DE4E5C"/>
    <w:rsid w:val="00DF1EC4"/>
    <w:rsid w:val="00E0340B"/>
    <w:rsid w:val="00E04A90"/>
    <w:rsid w:val="00E0551F"/>
    <w:rsid w:val="00E2027A"/>
    <w:rsid w:val="00E219C7"/>
    <w:rsid w:val="00E23C2C"/>
    <w:rsid w:val="00E4118C"/>
    <w:rsid w:val="00E43157"/>
    <w:rsid w:val="00E461CE"/>
    <w:rsid w:val="00E51C2C"/>
    <w:rsid w:val="00E54BDF"/>
    <w:rsid w:val="00E54D28"/>
    <w:rsid w:val="00E555E6"/>
    <w:rsid w:val="00E573E4"/>
    <w:rsid w:val="00E64C3D"/>
    <w:rsid w:val="00E67C67"/>
    <w:rsid w:val="00E720CA"/>
    <w:rsid w:val="00E82DDC"/>
    <w:rsid w:val="00E84EB5"/>
    <w:rsid w:val="00E85662"/>
    <w:rsid w:val="00E8789F"/>
    <w:rsid w:val="00E95CDD"/>
    <w:rsid w:val="00E97B71"/>
    <w:rsid w:val="00EA12EA"/>
    <w:rsid w:val="00EA3D34"/>
    <w:rsid w:val="00EB067E"/>
    <w:rsid w:val="00EB197F"/>
    <w:rsid w:val="00EB454D"/>
    <w:rsid w:val="00ED549D"/>
    <w:rsid w:val="00ED76BE"/>
    <w:rsid w:val="00EE00E9"/>
    <w:rsid w:val="00EE09B7"/>
    <w:rsid w:val="00EF0728"/>
    <w:rsid w:val="00EF1AAA"/>
    <w:rsid w:val="00EF619B"/>
    <w:rsid w:val="00EF76F5"/>
    <w:rsid w:val="00F00B55"/>
    <w:rsid w:val="00F02AD1"/>
    <w:rsid w:val="00F0665D"/>
    <w:rsid w:val="00F07C93"/>
    <w:rsid w:val="00F17B15"/>
    <w:rsid w:val="00F2388C"/>
    <w:rsid w:val="00F253CC"/>
    <w:rsid w:val="00F26337"/>
    <w:rsid w:val="00F37106"/>
    <w:rsid w:val="00F424C3"/>
    <w:rsid w:val="00F4251A"/>
    <w:rsid w:val="00F44E25"/>
    <w:rsid w:val="00F45CC1"/>
    <w:rsid w:val="00F519CF"/>
    <w:rsid w:val="00F54A63"/>
    <w:rsid w:val="00F56BA5"/>
    <w:rsid w:val="00F60E22"/>
    <w:rsid w:val="00F611C0"/>
    <w:rsid w:val="00F70C25"/>
    <w:rsid w:val="00F80229"/>
    <w:rsid w:val="00F81395"/>
    <w:rsid w:val="00F81BB8"/>
    <w:rsid w:val="00F8742A"/>
    <w:rsid w:val="00F90C64"/>
    <w:rsid w:val="00F917D1"/>
    <w:rsid w:val="00F9653B"/>
    <w:rsid w:val="00FB1338"/>
    <w:rsid w:val="00FB5989"/>
    <w:rsid w:val="00FB62CF"/>
    <w:rsid w:val="00FC23BF"/>
    <w:rsid w:val="00FC4AC3"/>
    <w:rsid w:val="00FD1524"/>
    <w:rsid w:val="00FD3C3B"/>
    <w:rsid w:val="00FE07DD"/>
    <w:rsid w:val="00FE25A2"/>
    <w:rsid w:val="00FE6B45"/>
    <w:rsid w:val="00FE7D40"/>
    <w:rsid w:val="00FF55F3"/>
    <w:rsid w:val="00FF5851"/>
    <w:rsid w:val="00FF7B79"/>
    <w:rsid w:val="0551270B"/>
    <w:rsid w:val="247987B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BE76A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CommentReference">
    <w:name w:val="annotation reference"/>
    <w:basedOn w:val="DefaultParagraphFont"/>
    <w:uiPriority w:val="99"/>
    <w:semiHidden/>
    <w:unhideWhenUsed/>
    <w:rsid w:val="002960BC"/>
    <w:rPr>
      <w:sz w:val="16"/>
      <w:szCs w:val="16"/>
    </w:rPr>
  </w:style>
  <w:style w:type="paragraph" w:styleId="CommentText">
    <w:name w:val="annotation text"/>
    <w:basedOn w:val="Normal"/>
    <w:link w:val="CommentTextChar"/>
    <w:uiPriority w:val="99"/>
    <w:semiHidden/>
    <w:unhideWhenUsed/>
    <w:rsid w:val="002960BC"/>
    <w:rPr>
      <w:sz w:val="20"/>
      <w:szCs w:val="20"/>
    </w:rPr>
  </w:style>
  <w:style w:type="character" w:customStyle="1" w:styleId="CommentTextChar">
    <w:name w:val="Comment Text Char"/>
    <w:basedOn w:val="DefaultParagraphFont"/>
    <w:link w:val="CommentText"/>
    <w:uiPriority w:val="99"/>
    <w:semiHidden/>
    <w:rsid w:val="002960BC"/>
    <w:rPr>
      <w:lang w:val="en-US" w:eastAsia="en-US"/>
    </w:rPr>
  </w:style>
  <w:style w:type="paragraph" w:styleId="CommentSubject">
    <w:name w:val="annotation subject"/>
    <w:basedOn w:val="CommentText"/>
    <w:next w:val="CommentText"/>
    <w:link w:val="CommentSubjectChar"/>
    <w:uiPriority w:val="99"/>
    <w:semiHidden/>
    <w:unhideWhenUsed/>
    <w:rsid w:val="002960BC"/>
    <w:rPr>
      <w:b/>
      <w:bCs/>
    </w:rPr>
  </w:style>
  <w:style w:type="character" w:customStyle="1" w:styleId="CommentSubjectChar">
    <w:name w:val="Comment Subject Char"/>
    <w:basedOn w:val="CommentTextChar"/>
    <w:link w:val="CommentSubject"/>
    <w:uiPriority w:val="99"/>
    <w:semiHidden/>
    <w:rsid w:val="002960BC"/>
    <w:rPr>
      <w:b/>
      <w:bCs/>
      <w:lang w:val="en-US" w:eastAsia="en-US"/>
    </w:rPr>
  </w:style>
  <w:style w:type="paragraph" w:customStyle="1" w:styleId="p1">
    <w:name w:val="p1"/>
    <w:basedOn w:val="Normal"/>
    <w:rsid w:val="00F45CC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8"/>
      <w:szCs w:val="18"/>
      <w:bdr w:val="none" w:sz="0" w:space="0" w:color="auto"/>
      <w:lang w:val="es-EC" w:eastAsia="es-MX"/>
    </w:rPr>
  </w:style>
  <w:style w:type="paragraph" w:styleId="Revision">
    <w:name w:val="Revision"/>
    <w:hidden/>
    <w:uiPriority w:val="99"/>
    <w:semiHidden/>
    <w:rsid w:val="008E113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A17345"/>
    <w:rPr>
      <w:rFonts w:ascii="Cambria" w:eastAsia="Cambria" w:hAnsi="Cambria" w:cs="Cambria"/>
      <w:color w:val="000000"/>
      <w:sz w:val="24"/>
      <w:szCs w:val="24"/>
      <w:u w:color="000000"/>
      <w:lang w:val="en-US"/>
    </w:rPr>
  </w:style>
  <w:style w:type="character" w:customStyle="1" w:styleId="normaltextrun">
    <w:name w:val="normaltextrun"/>
    <w:basedOn w:val="DefaultParagraphFont"/>
    <w:rsid w:val="00673E85"/>
  </w:style>
  <w:style w:type="character" w:customStyle="1" w:styleId="eop">
    <w:name w:val="eop"/>
    <w:basedOn w:val="DefaultParagraphFont"/>
    <w:rsid w:val="00673E85"/>
  </w:style>
  <w:style w:type="paragraph" w:customStyle="1" w:styleId="paragraph">
    <w:name w:val="paragraph"/>
    <w:basedOn w:val="Normal"/>
    <w:rsid w:val="00673E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007">
      <w:bodyDiv w:val="1"/>
      <w:marLeft w:val="0"/>
      <w:marRight w:val="0"/>
      <w:marTop w:val="0"/>
      <w:marBottom w:val="0"/>
      <w:divBdr>
        <w:top w:val="none" w:sz="0" w:space="0" w:color="auto"/>
        <w:left w:val="none" w:sz="0" w:space="0" w:color="auto"/>
        <w:bottom w:val="none" w:sz="0" w:space="0" w:color="auto"/>
        <w:right w:val="none" w:sz="0" w:space="0" w:color="auto"/>
      </w:divBdr>
    </w:div>
    <w:div w:id="178204024">
      <w:bodyDiv w:val="1"/>
      <w:marLeft w:val="0"/>
      <w:marRight w:val="0"/>
      <w:marTop w:val="0"/>
      <w:marBottom w:val="0"/>
      <w:divBdr>
        <w:top w:val="none" w:sz="0" w:space="0" w:color="auto"/>
        <w:left w:val="none" w:sz="0" w:space="0" w:color="auto"/>
        <w:bottom w:val="none" w:sz="0" w:space="0" w:color="auto"/>
        <w:right w:val="none" w:sz="0" w:space="0" w:color="auto"/>
      </w:divBdr>
    </w:div>
    <w:div w:id="391003180">
      <w:bodyDiv w:val="1"/>
      <w:marLeft w:val="0"/>
      <w:marRight w:val="0"/>
      <w:marTop w:val="0"/>
      <w:marBottom w:val="0"/>
      <w:divBdr>
        <w:top w:val="none" w:sz="0" w:space="0" w:color="auto"/>
        <w:left w:val="none" w:sz="0" w:space="0" w:color="auto"/>
        <w:bottom w:val="none" w:sz="0" w:space="0" w:color="auto"/>
        <w:right w:val="none" w:sz="0" w:space="0" w:color="auto"/>
      </w:divBdr>
    </w:div>
    <w:div w:id="540676915">
      <w:bodyDiv w:val="1"/>
      <w:marLeft w:val="0"/>
      <w:marRight w:val="0"/>
      <w:marTop w:val="0"/>
      <w:marBottom w:val="0"/>
      <w:divBdr>
        <w:top w:val="none" w:sz="0" w:space="0" w:color="auto"/>
        <w:left w:val="none" w:sz="0" w:space="0" w:color="auto"/>
        <w:bottom w:val="none" w:sz="0" w:space="0" w:color="auto"/>
        <w:right w:val="none" w:sz="0" w:space="0" w:color="auto"/>
      </w:divBdr>
    </w:div>
    <w:div w:id="911355748">
      <w:bodyDiv w:val="1"/>
      <w:marLeft w:val="0"/>
      <w:marRight w:val="0"/>
      <w:marTop w:val="0"/>
      <w:marBottom w:val="0"/>
      <w:divBdr>
        <w:top w:val="none" w:sz="0" w:space="0" w:color="auto"/>
        <w:left w:val="none" w:sz="0" w:space="0" w:color="auto"/>
        <w:bottom w:val="none" w:sz="0" w:space="0" w:color="auto"/>
        <w:right w:val="none" w:sz="0" w:space="0" w:color="auto"/>
      </w:divBdr>
    </w:div>
    <w:div w:id="953287587">
      <w:bodyDiv w:val="1"/>
      <w:marLeft w:val="0"/>
      <w:marRight w:val="0"/>
      <w:marTop w:val="0"/>
      <w:marBottom w:val="0"/>
      <w:divBdr>
        <w:top w:val="none" w:sz="0" w:space="0" w:color="auto"/>
        <w:left w:val="none" w:sz="0" w:space="0" w:color="auto"/>
        <w:bottom w:val="none" w:sz="0" w:space="0" w:color="auto"/>
        <w:right w:val="none" w:sz="0" w:space="0" w:color="auto"/>
      </w:divBdr>
      <w:divsChild>
        <w:div w:id="1727339660">
          <w:marLeft w:val="0"/>
          <w:marRight w:val="0"/>
          <w:marTop w:val="0"/>
          <w:marBottom w:val="0"/>
          <w:divBdr>
            <w:top w:val="none" w:sz="0" w:space="0" w:color="auto"/>
            <w:left w:val="none" w:sz="0" w:space="0" w:color="auto"/>
            <w:bottom w:val="none" w:sz="0" w:space="0" w:color="auto"/>
            <w:right w:val="none" w:sz="0" w:space="0" w:color="auto"/>
          </w:divBdr>
        </w:div>
      </w:divsChild>
    </w:div>
    <w:div w:id="120732894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41664649">
      <w:bodyDiv w:val="1"/>
      <w:marLeft w:val="0"/>
      <w:marRight w:val="0"/>
      <w:marTop w:val="0"/>
      <w:marBottom w:val="0"/>
      <w:divBdr>
        <w:top w:val="none" w:sz="0" w:space="0" w:color="auto"/>
        <w:left w:val="none" w:sz="0" w:space="0" w:color="auto"/>
        <w:bottom w:val="none" w:sz="0" w:space="0" w:color="auto"/>
        <w:right w:val="none" w:sz="0" w:space="0" w:color="auto"/>
      </w:divBdr>
    </w:div>
    <w:div w:id="1406076471">
      <w:bodyDiv w:val="1"/>
      <w:marLeft w:val="0"/>
      <w:marRight w:val="0"/>
      <w:marTop w:val="0"/>
      <w:marBottom w:val="0"/>
      <w:divBdr>
        <w:top w:val="none" w:sz="0" w:space="0" w:color="auto"/>
        <w:left w:val="none" w:sz="0" w:space="0" w:color="auto"/>
        <w:bottom w:val="none" w:sz="0" w:space="0" w:color="auto"/>
        <w:right w:val="none" w:sz="0" w:space="0" w:color="auto"/>
      </w:divBdr>
    </w:div>
    <w:div w:id="146126375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53825438">
      <w:bodyDiv w:val="1"/>
      <w:marLeft w:val="0"/>
      <w:marRight w:val="0"/>
      <w:marTop w:val="0"/>
      <w:marBottom w:val="0"/>
      <w:divBdr>
        <w:top w:val="none" w:sz="0" w:space="0" w:color="auto"/>
        <w:left w:val="none" w:sz="0" w:space="0" w:color="auto"/>
        <w:bottom w:val="none" w:sz="0" w:space="0" w:color="auto"/>
        <w:right w:val="none" w:sz="0" w:space="0" w:color="auto"/>
      </w:divBdr>
    </w:div>
    <w:div w:id="1986474209">
      <w:bodyDiv w:val="1"/>
      <w:marLeft w:val="0"/>
      <w:marRight w:val="0"/>
      <w:marTop w:val="0"/>
      <w:marBottom w:val="0"/>
      <w:divBdr>
        <w:top w:val="none" w:sz="0" w:space="0" w:color="auto"/>
        <w:left w:val="none" w:sz="0" w:space="0" w:color="auto"/>
        <w:bottom w:val="none" w:sz="0" w:space="0" w:color="auto"/>
        <w:right w:val="none" w:sz="0" w:space="0" w:color="auto"/>
      </w:divBdr>
    </w:div>
    <w:div w:id="2123069371">
      <w:bodyDiv w:val="1"/>
      <w:marLeft w:val="0"/>
      <w:marRight w:val="0"/>
      <w:marTop w:val="0"/>
      <w:marBottom w:val="0"/>
      <w:divBdr>
        <w:top w:val="none" w:sz="0" w:space="0" w:color="auto"/>
        <w:left w:val="none" w:sz="0" w:space="0" w:color="auto"/>
        <w:bottom w:val="none" w:sz="0" w:space="0" w:color="auto"/>
        <w:right w:val="none" w:sz="0" w:space="0" w:color="auto"/>
      </w:divBdr>
      <w:divsChild>
        <w:div w:id="2083007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35DC5"/>
    <w:rsid w:val="00136030"/>
    <w:rsid w:val="0016355E"/>
    <w:rsid w:val="00173782"/>
    <w:rsid w:val="001A3482"/>
    <w:rsid w:val="001B68CE"/>
    <w:rsid w:val="00200821"/>
    <w:rsid w:val="00201CE6"/>
    <w:rsid w:val="002134FC"/>
    <w:rsid w:val="0025245B"/>
    <w:rsid w:val="002675C5"/>
    <w:rsid w:val="002A3923"/>
    <w:rsid w:val="00362A0D"/>
    <w:rsid w:val="00394049"/>
    <w:rsid w:val="003E397C"/>
    <w:rsid w:val="003E4EFC"/>
    <w:rsid w:val="00451127"/>
    <w:rsid w:val="004B5BBB"/>
    <w:rsid w:val="004C1B4B"/>
    <w:rsid w:val="004E18BC"/>
    <w:rsid w:val="004F2DF8"/>
    <w:rsid w:val="005527C6"/>
    <w:rsid w:val="005D3F3A"/>
    <w:rsid w:val="00613A21"/>
    <w:rsid w:val="0065332D"/>
    <w:rsid w:val="006F24A1"/>
    <w:rsid w:val="00787C63"/>
    <w:rsid w:val="00796A1A"/>
    <w:rsid w:val="00822F26"/>
    <w:rsid w:val="0083185C"/>
    <w:rsid w:val="00913029"/>
    <w:rsid w:val="009A261B"/>
    <w:rsid w:val="009C3CB6"/>
    <w:rsid w:val="00A425BC"/>
    <w:rsid w:val="00A4418E"/>
    <w:rsid w:val="00AA2E17"/>
    <w:rsid w:val="00AC15A4"/>
    <w:rsid w:val="00AF16D7"/>
    <w:rsid w:val="00B0336C"/>
    <w:rsid w:val="00B30277"/>
    <w:rsid w:val="00BC0754"/>
    <w:rsid w:val="00C4464A"/>
    <w:rsid w:val="00CF3A5B"/>
    <w:rsid w:val="00D16E77"/>
    <w:rsid w:val="00D241E9"/>
    <w:rsid w:val="00D74C0A"/>
    <w:rsid w:val="00D7750D"/>
    <w:rsid w:val="00DA0428"/>
    <w:rsid w:val="00DE41B7"/>
    <w:rsid w:val="00E23C2C"/>
    <w:rsid w:val="00EB067E"/>
    <w:rsid w:val="00F00D2F"/>
    <w:rsid w:val="00F128DF"/>
    <w:rsid w:val="00F17B15"/>
    <w:rsid w:val="00F32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B78EB55C-09BE-4CBB-AC5D-B819D22B65F5}">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5270549-C5BF-4039-8D55-3FCC2F9D317F}">
  <ds:schemaRefs>
    <ds:schemaRef ds:uri="http://schemas.microsoft.com/sharepoint/v3/contenttype/forms"/>
  </ds:schemaRefs>
</ds:datastoreItem>
</file>

<file path=customXml/itemProps4.xml><?xml version="1.0" encoding="utf-8"?>
<ds:datastoreItem xmlns:ds="http://schemas.openxmlformats.org/officeDocument/2006/customXml" ds:itemID="{00DCA90D-9A30-47F1-8A8B-0C0E0EFBC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3813</Words>
  <Characters>21737</Characters>
  <Application>Microsoft Office Word</Application>
  <DocSecurity>0</DocSecurity>
  <Lines>181</Lines>
  <Paragraphs>50</Paragraphs>
  <ScaleCrop>false</ScaleCrop>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2025-12-12T14:49:00Z</dcterms:created>
  <dcterms:modified xsi:type="dcterms:W3CDTF">2025-12-12T14:49:00Z</dcterms:modified>
</cp:coreProperties>
</file>