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F3FE" w14:textId="77777777" w:rsidR="002A6B05" w:rsidRPr="008D65EE" w:rsidRDefault="002A6B05" w:rsidP="002A6B05">
      <w:pPr>
        <w:jc w:val="both"/>
        <w:rPr>
          <w:rFonts w:ascii="Cambria" w:hAnsi="Cambria" w:cs="Univers"/>
          <w:b/>
          <w:bCs/>
          <w:sz w:val="20"/>
          <w:szCs w:val="20"/>
          <w:lang w:val="es-CO"/>
        </w:rPr>
      </w:pPr>
      <w:r w:rsidRPr="008D65EE">
        <w:rPr>
          <w:rFonts w:ascii="Cambria" w:hAnsi="Cambria"/>
          <w:noProof/>
          <w:sz w:val="20"/>
          <w:szCs w:val="20"/>
          <w:lang w:val="es-CO"/>
        </w:rPr>
        <mc:AlternateContent>
          <mc:Choice Requires="wps">
            <w:drawing>
              <wp:anchor distT="0" distB="0" distL="114300" distR="114300" simplePos="0" relativeHeight="251663360" behindDoc="0" locked="0" layoutInCell="1" allowOverlap="1" wp14:anchorId="4DFC199B" wp14:editId="5B6F2626">
                <wp:simplePos x="0" y="0"/>
                <wp:positionH relativeFrom="column">
                  <wp:posOffset>1922780</wp:posOffset>
                </wp:positionH>
                <wp:positionV relativeFrom="paragraph">
                  <wp:posOffset>-541655</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9090" w14:textId="77777777" w:rsidR="00384416" w:rsidRDefault="00384416" w:rsidP="002A6B05">
                            <w:r>
                              <w:rPr>
                                <w:noProof/>
                              </w:rPr>
                              <w:drawing>
                                <wp:inline distT="0" distB="0" distL="0" distR="0" wp14:anchorId="3B12E0A3" wp14:editId="5E409E96">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C199B" id="_x0000_t202" coordsize="21600,21600" o:spt="202" path="m,l,21600r21600,l21600,xe">
                <v:stroke joinstyle="miter"/>
                <v:path gradientshapeok="t" o:connecttype="rect"/>
              </v:shapetype>
              <v:shape id="Text Box 11" o:spid="_x0000_s1026" type="#_x0000_t202" style="position:absolute;left:0;text-align:left;margin-left:151.4pt;margin-top:-42.65pt;width:413.25pt;height:7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" filled="f" stroked="f" strokeweight=".5pt">
                <v:textbox>
                  <w:txbxContent>
                    <w:p w14:paraId="66D09090" w14:textId="77777777" w:rsidR="00384416" w:rsidRDefault="00384416" w:rsidP="002A6B05">
                      <w:r>
                        <w:rPr>
                          <w:noProof/>
                        </w:rPr>
                        <w:drawing>
                          <wp:inline distT="0" distB="0" distL="0" distR="0" wp14:anchorId="3B12E0A3" wp14:editId="5E409E96">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r w:rsidRPr="008D65EE">
        <w:rPr>
          <w:rFonts w:ascii="Cambria" w:hAnsi="Cambria"/>
          <w:noProof/>
          <w:sz w:val="20"/>
          <w:szCs w:val="20"/>
          <w:lang w:val="es-CO"/>
        </w:rPr>
        <mc:AlternateContent>
          <mc:Choice Requires="wps">
            <w:drawing>
              <wp:anchor distT="0" distB="0" distL="114300" distR="114300" simplePos="0" relativeHeight="251659264" behindDoc="0" locked="0" layoutInCell="1" allowOverlap="1" wp14:anchorId="52176DA6" wp14:editId="67D65E15">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A3FF6" id="Rectangle 1" o:spid="_x0000_s1026" style="position:absolute;margin-left:-32.75pt;margin-top:-34.6pt;width:121.5pt;height:7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" fillcolor="#4a7194" stroked="f" strokeweight="1pt"/>
            </w:pict>
          </mc:Fallback>
        </mc:AlternateContent>
      </w:r>
    </w:p>
    <w:p w14:paraId="4CEE1B28" w14:textId="77777777" w:rsidR="002A6B05" w:rsidRPr="008D65EE" w:rsidRDefault="002A6B05" w:rsidP="002A6B05">
      <w:pPr>
        <w:tabs>
          <w:tab w:val="center" w:pos="5400"/>
        </w:tabs>
        <w:suppressAutoHyphens/>
        <w:jc w:val="both"/>
        <w:rPr>
          <w:rFonts w:ascii="Cambria" w:hAnsi="Cambria"/>
          <w:sz w:val="20"/>
          <w:szCs w:val="20"/>
          <w:lang w:val="es-CO"/>
        </w:rPr>
      </w:pPr>
    </w:p>
    <w:p w14:paraId="6594BD19" w14:textId="77777777" w:rsidR="002A6B05" w:rsidRPr="008D65EE" w:rsidRDefault="002A6B05" w:rsidP="002A6B05">
      <w:pPr>
        <w:tabs>
          <w:tab w:val="center" w:pos="5400"/>
        </w:tabs>
        <w:suppressAutoHyphens/>
        <w:jc w:val="both"/>
        <w:rPr>
          <w:rFonts w:ascii="Cambria" w:hAnsi="Cambria"/>
          <w:sz w:val="20"/>
          <w:szCs w:val="20"/>
          <w:lang w:val="es-CO"/>
        </w:rPr>
      </w:pPr>
    </w:p>
    <w:p w14:paraId="162753AF" w14:textId="77777777" w:rsidR="002A6B05" w:rsidRPr="008D65EE" w:rsidRDefault="002A6B05" w:rsidP="002A6B05">
      <w:pPr>
        <w:tabs>
          <w:tab w:val="center" w:pos="5400"/>
        </w:tabs>
        <w:suppressAutoHyphens/>
        <w:rPr>
          <w:rFonts w:ascii="Cambria" w:hAnsi="Cambria"/>
          <w:sz w:val="20"/>
          <w:szCs w:val="20"/>
          <w:lang w:val="es-CO"/>
        </w:rPr>
      </w:pPr>
    </w:p>
    <w:p w14:paraId="7DC20DC1" w14:textId="77777777" w:rsidR="002A6B05" w:rsidRPr="008D65EE" w:rsidRDefault="002A6B05" w:rsidP="002A6B05">
      <w:pPr>
        <w:tabs>
          <w:tab w:val="center" w:pos="5400"/>
        </w:tabs>
        <w:suppressAutoHyphens/>
        <w:rPr>
          <w:rFonts w:ascii="Cambria" w:hAnsi="Cambria"/>
          <w:sz w:val="20"/>
          <w:szCs w:val="20"/>
          <w:lang w:val="es-CO"/>
        </w:rPr>
      </w:pPr>
    </w:p>
    <w:p w14:paraId="18969343" w14:textId="77777777" w:rsidR="002A6B05" w:rsidRPr="008D65EE" w:rsidRDefault="002A6B05" w:rsidP="002A6B05">
      <w:pPr>
        <w:tabs>
          <w:tab w:val="center" w:pos="5400"/>
        </w:tabs>
        <w:suppressAutoHyphens/>
        <w:rPr>
          <w:rFonts w:ascii="Cambria" w:hAnsi="Cambria"/>
          <w:sz w:val="20"/>
          <w:szCs w:val="20"/>
          <w:lang w:val="es-CO"/>
        </w:rPr>
      </w:pPr>
    </w:p>
    <w:p w14:paraId="639C256A" w14:textId="77777777" w:rsidR="002A6B05" w:rsidRPr="008D65EE" w:rsidRDefault="002A6B05" w:rsidP="002A6B05">
      <w:pPr>
        <w:tabs>
          <w:tab w:val="center" w:pos="5400"/>
        </w:tabs>
        <w:suppressAutoHyphens/>
        <w:jc w:val="center"/>
        <w:rPr>
          <w:rFonts w:ascii="Cambria" w:hAnsi="Cambria"/>
          <w:sz w:val="20"/>
          <w:szCs w:val="20"/>
          <w:lang w:val="es-CO"/>
        </w:rPr>
      </w:pPr>
    </w:p>
    <w:p w14:paraId="7854368F" w14:textId="77777777" w:rsidR="002A6B05" w:rsidRPr="008D65EE" w:rsidRDefault="002A6B05" w:rsidP="002A6B05">
      <w:pPr>
        <w:tabs>
          <w:tab w:val="center" w:pos="5400"/>
        </w:tabs>
        <w:suppressAutoHyphens/>
        <w:jc w:val="center"/>
        <w:rPr>
          <w:rFonts w:ascii="Cambria" w:hAnsi="Cambria"/>
          <w:sz w:val="20"/>
          <w:szCs w:val="20"/>
          <w:lang w:val="es-CO"/>
        </w:rPr>
      </w:pPr>
    </w:p>
    <w:p w14:paraId="51BE1119" w14:textId="77777777" w:rsidR="002A6B05" w:rsidRPr="008D65EE" w:rsidRDefault="002A6B05" w:rsidP="002A6B05">
      <w:pPr>
        <w:tabs>
          <w:tab w:val="center" w:pos="5400"/>
        </w:tabs>
        <w:suppressAutoHyphens/>
        <w:jc w:val="center"/>
        <w:rPr>
          <w:rFonts w:ascii="Cambria" w:hAnsi="Cambria"/>
          <w:sz w:val="20"/>
          <w:szCs w:val="20"/>
          <w:lang w:val="es-CO"/>
        </w:rPr>
      </w:pPr>
    </w:p>
    <w:p w14:paraId="03A2BD62" w14:textId="77777777" w:rsidR="002A6B05" w:rsidRPr="008D65EE" w:rsidRDefault="002A6B05" w:rsidP="002A6B05">
      <w:pPr>
        <w:tabs>
          <w:tab w:val="center" w:pos="5400"/>
        </w:tabs>
        <w:suppressAutoHyphens/>
        <w:jc w:val="center"/>
        <w:rPr>
          <w:rFonts w:ascii="Cambria" w:hAnsi="Cambria"/>
          <w:sz w:val="20"/>
          <w:szCs w:val="20"/>
          <w:lang w:val="es-CO"/>
        </w:rPr>
      </w:pPr>
    </w:p>
    <w:p w14:paraId="15480F27" w14:textId="77777777" w:rsidR="002A6B05" w:rsidRPr="008D65EE" w:rsidRDefault="002A6B05" w:rsidP="002A6B05">
      <w:pPr>
        <w:tabs>
          <w:tab w:val="center" w:pos="5400"/>
        </w:tabs>
        <w:suppressAutoHyphens/>
        <w:jc w:val="center"/>
        <w:rPr>
          <w:rFonts w:ascii="Cambria" w:hAnsi="Cambria"/>
          <w:sz w:val="20"/>
          <w:szCs w:val="20"/>
          <w:lang w:val="es-CO"/>
        </w:rPr>
      </w:pPr>
    </w:p>
    <w:p w14:paraId="087A07A4" w14:textId="77777777" w:rsidR="002A6B05" w:rsidRPr="008D65EE" w:rsidRDefault="002A6B05" w:rsidP="002A6B05">
      <w:pPr>
        <w:tabs>
          <w:tab w:val="center" w:pos="5400"/>
        </w:tabs>
        <w:suppressAutoHyphens/>
        <w:jc w:val="center"/>
        <w:rPr>
          <w:rFonts w:ascii="Cambria" w:hAnsi="Cambria"/>
          <w:sz w:val="20"/>
          <w:szCs w:val="20"/>
          <w:lang w:val="es-CO"/>
        </w:rPr>
      </w:pPr>
    </w:p>
    <w:p w14:paraId="4C83C218" w14:textId="77777777" w:rsidR="002A6B05" w:rsidRPr="008D65EE" w:rsidRDefault="002A6B05" w:rsidP="002A6B05">
      <w:pPr>
        <w:tabs>
          <w:tab w:val="center" w:pos="5400"/>
        </w:tabs>
        <w:suppressAutoHyphens/>
        <w:jc w:val="center"/>
        <w:rPr>
          <w:rFonts w:ascii="Cambria" w:hAnsi="Cambria"/>
          <w:sz w:val="20"/>
          <w:szCs w:val="20"/>
          <w:lang w:val="es-CO"/>
        </w:rPr>
      </w:pPr>
    </w:p>
    <w:p w14:paraId="75B9F04D" w14:textId="77777777" w:rsidR="002A6B05" w:rsidRPr="008D65EE" w:rsidRDefault="002A6B05" w:rsidP="002A6B05">
      <w:pPr>
        <w:tabs>
          <w:tab w:val="center" w:pos="5400"/>
        </w:tabs>
        <w:suppressAutoHyphens/>
        <w:jc w:val="center"/>
        <w:rPr>
          <w:rFonts w:ascii="Cambria" w:hAnsi="Cambria"/>
          <w:sz w:val="20"/>
          <w:szCs w:val="20"/>
          <w:lang w:val="es-CO"/>
        </w:rPr>
      </w:pPr>
      <w:r w:rsidRPr="008D65EE">
        <w:rPr>
          <w:rFonts w:ascii="Cambria" w:hAnsi="Cambria"/>
          <w:noProof/>
          <w:sz w:val="20"/>
          <w:szCs w:val="20"/>
          <w:lang w:val="es-CO"/>
        </w:rPr>
        <mc:AlternateContent>
          <mc:Choice Requires="wps">
            <w:drawing>
              <wp:anchor distT="0" distB="0" distL="114300" distR="114300" simplePos="0" relativeHeight="251660288" behindDoc="0" locked="0" layoutInCell="1" allowOverlap="1" wp14:anchorId="25E4313C" wp14:editId="3E4189F6">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0C45E" w14:textId="3B83E680" w:rsidR="00384416" w:rsidRPr="006E6974" w:rsidRDefault="00384416" w:rsidP="002A6B05">
                            <w:pPr>
                              <w:spacing w:line="276" w:lineRule="auto"/>
                              <w:rPr>
                                <w:rFonts w:ascii="Cambria" w:hAnsi="Cambria" w:cs="Arial"/>
                                <w:b/>
                                <w:bCs/>
                                <w:color w:val="0D0D0D" w:themeColor="text1" w:themeTint="F2"/>
                                <w:sz w:val="36"/>
                                <w:szCs w:val="22"/>
                                <w:lang w:val="es-US"/>
                              </w:rPr>
                            </w:pPr>
                            <w:r w:rsidRPr="006E6974">
                              <w:rPr>
                                <w:rFonts w:ascii="Cambria" w:hAnsi="Cambria" w:cs="Arial"/>
                                <w:b/>
                                <w:bCs/>
                                <w:color w:val="0D0D0D" w:themeColor="text1" w:themeTint="F2"/>
                                <w:sz w:val="36"/>
                                <w:szCs w:val="22"/>
                                <w:lang w:val="es-US"/>
                              </w:rPr>
                              <w:t xml:space="preserve">INFORME </w:t>
                            </w:r>
                            <w:r w:rsidRPr="006E6974">
                              <w:rPr>
                                <w:rFonts w:ascii="Cambria" w:hAnsi="Cambria" w:cs="Arial"/>
                                <w:b/>
                                <w:bCs/>
                                <w:color w:val="0D0D0D" w:themeColor="text1" w:themeTint="F2"/>
                                <w:sz w:val="36"/>
                                <w:szCs w:val="40"/>
                                <w:lang w:val="es-US"/>
                              </w:rPr>
                              <w:t>No.</w:t>
                            </w:r>
                            <w:r w:rsidRPr="006E6974">
                              <w:rPr>
                                <w:rFonts w:ascii="Cambria" w:hAnsi="Cambria" w:cs="Arial"/>
                                <w:b/>
                                <w:bCs/>
                                <w:color w:val="0D0D0D" w:themeColor="text1" w:themeTint="F2"/>
                                <w:sz w:val="36"/>
                                <w:szCs w:val="22"/>
                                <w:lang w:val="es-US"/>
                              </w:rPr>
                              <w:t xml:space="preserve"> </w:t>
                            </w:r>
                            <w:r w:rsidR="0010220B">
                              <w:rPr>
                                <w:rFonts w:ascii="Cambria" w:hAnsi="Cambria" w:cs="Arial"/>
                                <w:b/>
                                <w:bCs/>
                                <w:color w:val="0D0D0D" w:themeColor="text1" w:themeTint="F2"/>
                                <w:sz w:val="36"/>
                                <w:szCs w:val="22"/>
                                <w:lang w:val="es-US"/>
                              </w:rPr>
                              <w:t>288</w:t>
                            </w:r>
                            <w:r w:rsidRPr="006E6974">
                              <w:rPr>
                                <w:rFonts w:ascii="Cambria" w:hAnsi="Cambria" w:cs="Arial"/>
                                <w:b/>
                                <w:bCs/>
                                <w:color w:val="0D0D0D" w:themeColor="text1" w:themeTint="F2"/>
                                <w:sz w:val="36"/>
                                <w:szCs w:val="22"/>
                                <w:lang w:val="es-US"/>
                              </w:rPr>
                              <w:t>/</w:t>
                            </w:r>
                            <w:r w:rsidR="00DD7638">
                              <w:rPr>
                                <w:rFonts w:ascii="Cambria" w:hAnsi="Cambria" w:cs="Arial"/>
                                <w:b/>
                                <w:bCs/>
                                <w:color w:val="0D0D0D" w:themeColor="text1" w:themeTint="F2"/>
                                <w:sz w:val="36"/>
                                <w:szCs w:val="22"/>
                                <w:lang w:val="es-US"/>
                              </w:rPr>
                              <w:t>2</w:t>
                            </w:r>
                            <w:r w:rsidR="00C9025B">
                              <w:rPr>
                                <w:rFonts w:ascii="Cambria" w:hAnsi="Cambria" w:cs="Arial"/>
                                <w:b/>
                                <w:bCs/>
                                <w:color w:val="0D0D0D" w:themeColor="text1" w:themeTint="F2"/>
                                <w:sz w:val="36"/>
                                <w:szCs w:val="22"/>
                                <w:lang w:val="es-US"/>
                              </w:rPr>
                              <w:t>5</w:t>
                            </w:r>
                          </w:p>
                          <w:p w14:paraId="4E4A4F38" w14:textId="52759423" w:rsidR="00384416" w:rsidRPr="00D83CEB" w:rsidRDefault="00384416" w:rsidP="002A6B05">
                            <w:pPr>
                              <w:spacing w:line="276" w:lineRule="auto"/>
                              <w:rPr>
                                <w:rFonts w:ascii="Cambria" w:hAnsi="Cambria" w:cs="Arial"/>
                                <w:b/>
                                <w:color w:val="0D0D0D" w:themeColor="text1" w:themeTint="F2"/>
                                <w:sz w:val="36"/>
                                <w:szCs w:val="22"/>
                                <w:lang w:val="es-US"/>
                              </w:rPr>
                            </w:pPr>
                            <w:r w:rsidRPr="006E6974">
                              <w:rPr>
                                <w:rFonts w:ascii="Cambria" w:hAnsi="Cambria" w:cs="Arial"/>
                                <w:b/>
                                <w:color w:val="0D0D0D" w:themeColor="text1" w:themeTint="F2"/>
                                <w:sz w:val="36"/>
                                <w:szCs w:val="22"/>
                                <w:lang w:val="es-US"/>
                              </w:rPr>
                              <w:t xml:space="preserve">CASO </w:t>
                            </w:r>
                            <w:r w:rsidRPr="00D83CEB">
                              <w:rPr>
                                <w:rFonts w:ascii="Cambria" w:hAnsi="Cambria" w:cs="Arial"/>
                                <w:b/>
                                <w:color w:val="0D0D0D" w:themeColor="text1" w:themeTint="F2"/>
                                <w:sz w:val="36"/>
                                <w:szCs w:val="22"/>
                                <w:lang w:val="es-US"/>
                              </w:rPr>
                              <w:t>13.866</w:t>
                            </w:r>
                          </w:p>
                          <w:p w14:paraId="13CE07F7" w14:textId="6B1639D6" w:rsidR="00384416" w:rsidRPr="006E6974" w:rsidRDefault="00384416" w:rsidP="002A6B05">
                            <w:pPr>
                              <w:spacing w:line="276" w:lineRule="auto"/>
                              <w:rPr>
                                <w:rFonts w:ascii="Cambria" w:hAnsi="Cambria" w:cs="Arial"/>
                                <w:color w:val="0D0D0D" w:themeColor="text1" w:themeTint="F2"/>
                                <w:szCs w:val="22"/>
                                <w:lang w:val="es-ES_tradnl"/>
                              </w:rPr>
                            </w:pPr>
                            <w:r w:rsidRPr="00D83CEB">
                              <w:rPr>
                                <w:rFonts w:ascii="Cambria" w:hAnsi="Cambria" w:cs="Arial"/>
                                <w:color w:val="0D0D0D" w:themeColor="text1" w:themeTint="F2"/>
                                <w:szCs w:val="22"/>
                                <w:lang w:val="es-ES_tradnl"/>
                              </w:rPr>
                              <w:t xml:space="preserve">INFORME DE FONDO </w:t>
                            </w:r>
                            <w:r w:rsidR="00C9025B" w:rsidRPr="005C6B71">
                              <w:rPr>
                                <w:rFonts w:ascii="Cambria" w:hAnsi="Cambria" w:cs="Arial"/>
                                <w:color w:val="0D0D0D" w:themeColor="text1" w:themeTint="F2"/>
                                <w:szCs w:val="22"/>
                                <w:lang w:val="es-ES_tradnl"/>
                              </w:rPr>
                              <w:t>(</w:t>
                            </w:r>
                            <w:r w:rsidR="00E12E11" w:rsidRPr="005C6B71">
                              <w:rPr>
                                <w:rFonts w:ascii="Cambria" w:hAnsi="Cambria" w:cs="Arial"/>
                                <w:color w:val="0D0D0D" w:themeColor="text1" w:themeTint="F2"/>
                                <w:szCs w:val="22"/>
                                <w:lang w:val="es-ES_tradnl"/>
                              </w:rPr>
                              <w:t>PUBLICACIÓN</w:t>
                            </w:r>
                            <w:r w:rsidR="00C9025B" w:rsidRPr="00D83CEB">
                              <w:rPr>
                                <w:rFonts w:ascii="Cambria" w:hAnsi="Cambria" w:cs="Arial"/>
                                <w:color w:val="0D0D0D" w:themeColor="text1" w:themeTint="F2"/>
                                <w:szCs w:val="22"/>
                                <w:lang w:val="es-ES_tradnl"/>
                              </w:rPr>
                              <w:t>)</w:t>
                            </w:r>
                          </w:p>
                          <w:p w14:paraId="6214426E" w14:textId="77777777" w:rsidR="00384416" w:rsidRPr="006E6974" w:rsidRDefault="00384416" w:rsidP="002A6B05">
                            <w:pPr>
                              <w:spacing w:line="276" w:lineRule="auto"/>
                              <w:rPr>
                                <w:rFonts w:ascii="Cambria" w:hAnsi="Cambria" w:cs="Arial"/>
                                <w:color w:val="0D0D0D" w:themeColor="text1" w:themeTint="F2"/>
                                <w:szCs w:val="22"/>
                                <w:lang w:val="es-ES_tradnl"/>
                              </w:rPr>
                            </w:pPr>
                            <w:bookmarkStart w:id="0" w:name="_ftnref1"/>
                          </w:p>
                          <w:p w14:paraId="05FBE72A" w14:textId="17D55D7C" w:rsidR="00384416" w:rsidRPr="006E6974" w:rsidRDefault="00384416" w:rsidP="002A6B05">
                            <w:pPr>
                              <w:spacing w:line="276" w:lineRule="auto"/>
                              <w:rPr>
                                <w:rFonts w:ascii="Cambria" w:hAnsi="Cambria" w:cs="Arial"/>
                                <w:color w:val="0D0D0D" w:themeColor="text1" w:themeTint="F2"/>
                                <w:szCs w:val="22"/>
                                <w:lang w:val="es-ES_tradnl"/>
                              </w:rPr>
                            </w:pPr>
                            <w:r>
                              <w:rPr>
                                <w:rFonts w:ascii="Cambria" w:hAnsi="Cambria" w:cs="Arial"/>
                                <w:color w:val="0D0D0D" w:themeColor="text1" w:themeTint="F2"/>
                                <w:szCs w:val="22"/>
                                <w:lang w:val="es-ES_tradnl"/>
                              </w:rPr>
                              <w:t>SARAH LYN LANGTON Y FAMILIA</w:t>
                            </w:r>
                          </w:p>
                          <w:bookmarkEnd w:id="0"/>
                          <w:p w14:paraId="2BDFDF3F" w14:textId="77777777" w:rsidR="00384416" w:rsidRPr="006E6974" w:rsidRDefault="00384416" w:rsidP="002A6B05">
                            <w:pPr>
                              <w:spacing w:line="276" w:lineRule="auto"/>
                              <w:rPr>
                                <w:rFonts w:ascii="Cambria" w:hAnsi="Cambria" w:cs="Arial"/>
                                <w:color w:val="0D0D0D" w:themeColor="text1" w:themeTint="F2"/>
                                <w:szCs w:val="22"/>
                                <w:lang w:val="es-ES"/>
                              </w:rPr>
                            </w:pPr>
                            <w:r w:rsidRPr="006E6974">
                              <w:rPr>
                                <w:rFonts w:ascii="Cambria" w:hAnsi="Cambria" w:cs="Arial"/>
                                <w:color w:val="0D0D0D" w:themeColor="text1" w:themeTint="F2"/>
                                <w:szCs w:val="22"/>
                                <w:lang w:val="es-ES_tradnl"/>
                              </w:rPr>
                              <w:t>VENEZUELA</w:t>
                            </w:r>
                          </w:p>
                          <w:p w14:paraId="46843513" w14:textId="77777777" w:rsidR="00384416" w:rsidRPr="00AE5488" w:rsidRDefault="00384416" w:rsidP="002A6B05">
                            <w:pPr>
                              <w:rPr>
                                <w:color w:val="0D0D0D" w:themeColor="text1" w:themeTint="F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4313C" id="Text Box 5" o:spid="_x0000_s1027" type="#_x0000_t202" style="position:absolute;left:0;text-align:left;margin-left:106.5pt;margin-top:8.45pt;width:349.7pt;height:17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010C45E" w14:textId="3B83E680" w:rsidR="00384416" w:rsidRPr="006E6974" w:rsidRDefault="00384416" w:rsidP="002A6B05">
                      <w:pPr>
                        <w:spacing w:line="276" w:lineRule="auto"/>
                        <w:rPr>
                          <w:rFonts w:ascii="Cambria" w:hAnsi="Cambria" w:cs="Arial"/>
                          <w:b/>
                          <w:bCs/>
                          <w:color w:val="0D0D0D" w:themeColor="text1" w:themeTint="F2"/>
                          <w:sz w:val="36"/>
                          <w:szCs w:val="22"/>
                          <w:lang w:val="es-US"/>
                        </w:rPr>
                      </w:pPr>
                      <w:r w:rsidRPr="006E6974">
                        <w:rPr>
                          <w:rFonts w:ascii="Cambria" w:hAnsi="Cambria" w:cs="Arial"/>
                          <w:b/>
                          <w:bCs/>
                          <w:color w:val="0D0D0D" w:themeColor="text1" w:themeTint="F2"/>
                          <w:sz w:val="36"/>
                          <w:szCs w:val="22"/>
                          <w:lang w:val="es-US"/>
                        </w:rPr>
                        <w:t xml:space="preserve">INFORME </w:t>
                      </w:r>
                      <w:r w:rsidRPr="006E6974">
                        <w:rPr>
                          <w:rFonts w:ascii="Cambria" w:hAnsi="Cambria" w:cs="Arial"/>
                          <w:b/>
                          <w:bCs/>
                          <w:color w:val="0D0D0D" w:themeColor="text1" w:themeTint="F2"/>
                          <w:sz w:val="36"/>
                          <w:szCs w:val="40"/>
                          <w:lang w:val="es-US"/>
                        </w:rPr>
                        <w:t>No.</w:t>
                      </w:r>
                      <w:r w:rsidRPr="006E6974">
                        <w:rPr>
                          <w:rFonts w:ascii="Cambria" w:hAnsi="Cambria" w:cs="Arial"/>
                          <w:b/>
                          <w:bCs/>
                          <w:color w:val="0D0D0D" w:themeColor="text1" w:themeTint="F2"/>
                          <w:sz w:val="36"/>
                          <w:szCs w:val="22"/>
                          <w:lang w:val="es-US"/>
                        </w:rPr>
                        <w:t xml:space="preserve"> </w:t>
                      </w:r>
                      <w:r w:rsidR="0010220B">
                        <w:rPr>
                          <w:rFonts w:ascii="Cambria" w:hAnsi="Cambria" w:cs="Arial"/>
                          <w:b/>
                          <w:bCs/>
                          <w:color w:val="0D0D0D" w:themeColor="text1" w:themeTint="F2"/>
                          <w:sz w:val="36"/>
                          <w:szCs w:val="22"/>
                          <w:lang w:val="es-US"/>
                        </w:rPr>
                        <w:t>288</w:t>
                      </w:r>
                      <w:r w:rsidRPr="006E6974">
                        <w:rPr>
                          <w:rFonts w:ascii="Cambria" w:hAnsi="Cambria" w:cs="Arial"/>
                          <w:b/>
                          <w:bCs/>
                          <w:color w:val="0D0D0D" w:themeColor="text1" w:themeTint="F2"/>
                          <w:sz w:val="36"/>
                          <w:szCs w:val="22"/>
                          <w:lang w:val="es-US"/>
                        </w:rPr>
                        <w:t>/</w:t>
                      </w:r>
                      <w:r w:rsidR="00DD7638">
                        <w:rPr>
                          <w:rFonts w:ascii="Cambria" w:hAnsi="Cambria" w:cs="Arial"/>
                          <w:b/>
                          <w:bCs/>
                          <w:color w:val="0D0D0D" w:themeColor="text1" w:themeTint="F2"/>
                          <w:sz w:val="36"/>
                          <w:szCs w:val="22"/>
                          <w:lang w:val="es-US"/>
                        </w:rPr>
                        <w:t>2</w:t>
                      </w:r>
                      <w:r w:rsidR="00C9025B">
                        <w:rPr>
                          <w:rFonts w:ascii="Cambria" w:hAnsi="Cambria" w:cs="Arial"/>
                          <w:b/>
                          <w:bCs/>
                          <w:color w:val="0D0D0D" w:themeColor="text1" w:themeTint="F2"/>
                          <w:sz w:val="36"/>
                          <w:szCs w:val="22"/>
                          <w:lang w:val="es-US"/>
                        </w:rPr>
                        <w:t>5</w:t>
                      </w:r>
                    </w:p>
                    <w:p w14:paraId="4E4A4F38" w14:textId="52759423" w:rsidR="00384416" w:rsidRPr="00D83CEB" w:rsidRDefault="00384416" w:rsidP="002A6B05">
                      <w:pPr>
                        <w:spacing w:line="276" w:lineRule="auto"/>
                        <w:rPr>
                          <w:rFonts w:ascii="Cambria" w:hAnsi="Cambria" w:cs="Arial"/>
                          <w:b/>
                          <w:color w:val="0D0D0D" w:themeColor="text1" w:themeTint="F2"/>
                          <w:sz w:val="36"/>
                          <w:szCs w:val="22"/>
                          <w:lang w:val="es-US"/>
                        </w:rPr>
                      </w:pPr>
                      <w:r w:rsidRPr="006E6974">
                        <w:rPr>
                          <w:rFonts w:ascii="Cambria" w:hAnsi="Cambria" w:cs="Arial"/>
                          <w:b/>
                          <w:color w:val="0D0D0D" w:themeColor="text1" w:themeTint="F2"/>
                          <w:sz w:val="36"/>
                          <w:szCs w:val="22"/>
                          <w:lang w:val="es-US"/>
                        </w:rPr>
                        <w:t xml:space="preserve">CASO </w:t>
                      </w:r>
                      <w:r w:rsidRPr="00D83CEB">
                        <w:rPr>
                          <w:rFonts w:ascii="Cambria" w:hAnsi="Cambria" w:cs="Arial"/>
                          <w:b/>
                          <w:color w:val="0D0D0D" w:themeColor="text1" w:themeTint="F2"/>
                          <w:sz w:val="36"/>
                          <w:szCs w:val="22"/>
                          <w:lang w:val="es-US"/>
                        </w:rPr>
                        <w:t>13.866</w:t>
                      </w:r>
                    </w:p>
                    <w:p w14:paraId="13CE07F7" w14:textId="6B1639D6" w:rsidR="00384416" w:rsidRPr="006E6974" w:rsidRDefault="00384416" w:rsidP="002A6B05">
                      <w:pPr>
                        <w:spacing w:line="276" w:lineRule="auto"/>
                        <w:rPr>
                          <w:rFonts w:ascii="Cambria" w:hAnsi="Cambria" w:cs="Arial"/>
                          <w:color w:val="0D0D0D" w:themeColor="text1" w:themeTint="F2"/>
                          <w:szCs w:val="22"/>
                          <w:lang w:val="es-ES_tradnl"/>
                        </w:rPr>
                      </w:pPr>
                      <w:r w:rsidRPr="00D83CEB">
                        <w:rPr>
                          <w:rFonts w:ascii="Cambria" w:hAnsi="Cambria" w:cs="Arial"/>
                          <w:color w:val="0D0D0D" w:themeColor="text1" w:themeTint="F2"/>
                          <w:szCs w:val="22"/>
                          <w:lang w:val="es-ES_tradnl"/>
                        </w:rPr>
                        <w:t xml:space="preserve">INFORME DE FONDO </w:t>
                      </w:r>
                      <w:r w:rsidR="00C9025B" w:rsidRPr="005C6B71">
                        <w:rPr>
                          <w:rFonts w:ascii="Cambria" w:hAnsi="Cambria" w:cs="Arial"/>
                          <w:color w:val="0D0D0D" w:themeColor="text1" w:themeTint="F2"/>
                          <w:szCs w:val="22"/>
                          <w:lang w:val="es-ES_tradnl"/>
                        </w:rPr>
                        <w:t>(</w:t>
                      </w:r>
                      <w:r w:rsidR="00E12E11" w:rsidRPr="005C6B71">
                        <w:rPr>
                          <w:rFonts w:ascii="Cambria" w:hAnsi="Cambria" w:cs="Arial"/>
                          <w:color w:val="0D0D0D" w:themeColor="text1" w:themeTint="F2"/>
                          <w:szCs w:val="22"/>
                          <w:lang w:val="es-ES_tradnl"/>
                        </w:rPr>
                        <w:t>PUBLICACIÓN</w:t>
                      </w:r>
                      <w:r w:rsidR="00C9025B" w:rsidRPr="00D83CEB">
                        <w:rPr>
                          <w:rFonts w:ascii="Cambria" w:hAnsi="Cambria" w:cs="Arial"/>
                          <w:color w:val="0D0D0D" w:themeColor="text1" w:themeTint="F2"/>
                          <w:szCs w:val="22"/>
                          <w:lang w:val="es-ES_tradnl"/>
                        </w:rPr>
                        <w:t>)</w:t>
                      </w:r>
                    </w:p>
                    <w:p w14:paraId="6214426E" w14:textId="77777777" w:rsidR="00384416" w:rsidRPr="006E6974" w:rsidRDefault="00384416" w:rsidP="002A6B05">
                      <w:pPr>
                        <w:spacing w:line="276" w:lineRule="auto"/>
                        <w:rPr>
                          <w:rFonts w:ascii="Cambria" w:hAnsi="Cambria" w:cs="Arial"/>
                          <w:color w:val="0D0D0D" w:themeColor="text1" w:themeTint="F2"/>
                          <w:szCs w:val="22"/>
                          <w:lang w:val="es-ES_tradnl"/>
                        </w:rPr>
                      </w:pPr>
                      <w:bookmarkStart w:id="1" w:name="_ftnref1"/>
                    </w:p>
                    <w:p w14:paraId="05FBE72A" w14:textId="17D55D7C" w:rsidR="00384416" w:rsidRPr="006E6974" w:rsidRDefault="00384416" w:rsidP="002A6B05">
                      <w:pPr>
                        <w:spacing w:line="276" w:lineRule="auto"/>
                        <w:rPr>
                          <w:rFonts w:ascii="Cambria" w:hAnsi="Cambria" w:cs="Arial"/>
                          <w:color w:val="0D0D0D" w:themeColor="text1" w:themeTint="F2"/>
                          <w:szCs w:val="22"/>
                          <w:lang w:val="es-ES_tradnl"/>
                        </w:rPr>
                      </w:pPr>
                      <w:r>
                        <w:rPr>
                          <w:rFonts w:ascii="Cambria" w:hAnsi="Cambria" w:cs="Arial"/>
                          <w:color w:val="0D0D0D" w:themeColor="text1" w:themeTint="F2"/>
                          <w:szCs w:val="22"/>
                          <w:lang w:val="es-ES_tradnl"/>
                        </w:rPr>
                        <w:t>SARAH LYN LANGTON Y FAMILIA</w:t>
                      </w:r>
                    </w:p>
                    <w:bookmarkEnd w:id="1"/>
                    <w:p w14:paraId="2BDFDF3F" w14:textId="77777777" w:rsidR="00384416" w:rsidRPr="006E6974" w:rsidRDefault="00384416" w:rsidP="002A6B05">
                      <w:pPr>
                        <w:spacing w:line="276" w:lineRule="auto"/>
                        <w:rPr>
                          <w:rFonts w:ascii="Cambria" w:hAnsi="Cambria" w:cs="Arial"/>
                          <w:color w:val="0D0D0D" w:themeColor="text1" w:themeTint="F2"/>
                          <w:szCs w:val="22"/>
                          <w:lang w:val="es-ES"/>
                        </w:rPr>
                      </w:pPr>
                      <w:r w:rsidRPr="006E6974">
                        <w:rPr>
                          <w:rFonts w:ascii="Cambria" w:hAnsi="Cambria" w:cs="Arial"/>
                          <w:color w:val="0D0D0D" w:themeColor="text1" w:themeTint="F2"/>
                          <w:szCs w:val="22"/>
                          <w:lang w:val="es-ES_tradnl"/>
                        </w:rPr>
                        <w:t>VENEZUELA</w:t>
                      </w:r>
                    </w:p>
                    <w:p w14:paraId="46843513" w14:textId="77777777" w:rsidR="00384416" w:rsidRPr="00AE5488" w:rsidRDefault="00384416" w:rsidP="002A6B05">
                      <w:pPr>
                        <w:rPr>
                          <w:color w:val="0D0D0D" w:themeColor="text1" w:themeTint="F2"/>
                          <w:lang w:val="es-ES_tradnl"/>
                        </w:rPr>
                      </w:pPr>
                    </w:p>
                  </w:txbxContent>
                </v:textbox>
              </v:shape>
            </w:pict>
          </mc:Fallback>
        </mc:AlternateContent>
      </w:r>
      <w:r w:rsidRPr="008D65EE">
        <w:rPr>
          <w:rFonts w:ascii="Cambria" w:hAnsi="Cambria"/>
          <w:noProof/>
          <w:sz w:val="20"/>
          <w:szCs w:val="20"/>
          <w:lang w:val="es-CO"/>
        </w:rPr>
        <mc:AlternateContent>
          <mc:Choice Requires="wps">
            <w:drawing>
              <wp:anchor distT="0" distB="0" distL="114300" distR="114300" simplePos="0" relativeHeight="251662336" behindDoc="0" locked="0" layoutInCell="1" allowOverlap="1" wp14:anchorId="735680ED" wp14:editId="589CE6C7">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FCFE2" w14:textId="3769F726" w:rsidR="00384416" w:rsidRPr="002163B5" w:rsidRDefault="00384416" w:rsidP="002A6B05">
                            <w:pPr>
                              <w:spacing w:line="276" w:lineRule="auto"/>
                              <w:jc w:val="right"/>
                              <w:rPr>
                                <w:rFonts w:asciiTheme="minorHAnsi" w:hAnsiTheme="minorHAnsi"/>
                                <w:color w:val="FFFFFF" w:themeColor="background1"/>
                                <w:sz w:val="22"/>
                                <w:lang w:val="es-US"/>
                              </w:rPr>
                            </w:pPr>
                            <w:r w:rsidRPr="002163B5">
                              <w:rPr>
                                <w:rFonts w:asciiTheme="minorHAnsi" w:hAnsiTheme="minorHAnsi"/>
                                <w:color w:val="FFFFFF" w:themeColor="background1"/>
                                <w:sz w:val="22"/>
                                <w:lang w:val="es-US"/>
                              </w:rPr>
                              <w:t>OEA/Ser.L/V/</w:t>
                            </w:r>
                            <w:r w:rsidR="002163B5" w:rsidRPr="002163B5">
                              <w:rPr>
                                <w:rFonts w:asciiTheme="minorHAnsi" w:hAnsiTheme="minorHAnsi"/>
                                <w:color w:val="FFFFFF" w:themeColor="background1"/>
                                <w:sz w:val="22"/>
                                <w:lang w:val="es-US"/>
                              </w:rPr>
                              <w:t>II</w:t>
                            </w:r>
                          </w:p>
                          <w:p w14:paraId="1EB6FD86" w14:textId="76CB1FED" w:rsidR="00384416" w:rsidRPr="002163B5" w:rsidRDefault="00384416" w:rsidP="002A6B05">
                            <w:pPr>
                              <w:spacing w:line="276" w:lineRule="auto"/>
                              <w:jc w:val="right"/>
                              <w:rPr>
                                <w:rFonts w:asciiTheme="minorHAnsi" w:hAnsiTheme="minorHAnsi"/>
                                <w:color w:val="FFFFFF" w:themeColor="background1"/>
                                <w:sz w:val="22"/>
                                <w:lang w:val="es-US"/>
                              </w:rPr>
                            </w:pPr>
                            <w:r w:rsidRPr="002163B5">
                              <w:rPr>
                                <w:rFonts w:asciiTheme="minorHAnsi" w:hAnsiTheme="minorHAnsi"/>
                                <w:color w:val="FFFFFF" w:themeColor="background1"/>
                                <w:sz w:val="22"/>
                                <w:lang w:val="es-US"/>
                              </w:rPr>
                              <w:t xml:space="preserve">Doc. </w:t>
                            </w:r>
                            <w:r w:rsidR="0010220B">
                              <w:rPr>
                                <w:rFonts w:asciiTheme="minorHAnsi" w:hAnsiTheme="minorHAnsi"/>
                                <w:color w:val="FFFFFF" w:themeColor="background1"/>
                                <w:sz w:val="22"/>
                                <w:lang w:val="es-US"/>
                              </w:rPr>
                              <w:t>303</w:t>
                            </w:r>
                          </w:p>
                          <w:p w14:paraId="6D28D126" w14:textId="1CB2E9E0" w:rsidR="00384416" w:rsidRPr="007C756A" w:rsidRDefault="0010220B" w:rsidP="002A6B05">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 xml:space="preserve">19 </w:t>
                            </w:r>
                            <w:r w:rsidR="002C3106">
                              <w:rPr>
                                <w:rFonts w:asciiTheme="minorHAnsi" w:hAnsiTheme="minorHAnsi"/>
                                <w:color w:val="FFFFFF" w:themeColor="background1"/>
                                <w:sz w:val="22"/>
                                <w:lang w:val="es-US"/>
                              </w:rPr>
                              <w:t xml:space="preserve">diciembre </w:t>
                            </w:r>
                            <w:r w:rsidR="00384416" w:rsidRPr="007C756A">
                              <w:rPr>
                                <w:rFonts w:asciiTheme="minorHAnsi" w:hAnsiTheme="minorHAnsi"/>
                                <w:color w:val="FFFFFF" w:themeColor="background1"/>
                                <w:sz w:val="22"/>
                                <w:lang w:val="es-US"/>
                              </w:rPr>
                              <w:t>20</w:t>
                            </w:r>
                            <w:r w:rsidR="00DD7638">
                              <w:rPr>
                                <w:rFonts w:asciiTheme="minorHAnsi" w:hAnsiTheme="minorHAnsi"/>
                                <w:color w:val="FFFFFF" w:themeColor="background1"/>
                                <w:sz w:val="22"/>
                                <w:lang w:val="es-US"/>
                              </w:rPr>
                              <w:t>2</w:t>
                            </w:r>
                            <w:r w:rsidR="00C9025B">
                              <w:rPr>
                                <w:rFonts w:asciiTheme="minorHAnsi" w:hAnsiTheme="minorHAnsi"/>
                                <w:color w:val="FFFFFF" w:themeColor="background1"/>
                                <w:sz w:val="22"/>
                                <w:lang w:val="es-US"/>
                              </w:rPr>
                              <w:t>5</w:t>
                            </w:r>
                          </w:p>
                          <w:p w14:paraId="51EC85FB" w14:textId="77777777" w:rsidR="00384416" w:rsidRPr="007C756A" w:rsidRDefault="00384416" w:rsidP="002A6B05">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p w14:paraId="79DCCCAA" w14:textId="77777777" w:rsidR="00384416" w:rsidRPr="00E33B22" w:rsidRDefault="00384416" w:rsidP="002A6B05">
                            <w:pPr>
                              <w:spacing w:line="276" w:lineRule="auto"/>
                              <w:jc w:val="right"/>
                              <w:rPr>
                                <w:rFonts w:asciiTheme="minorHAnsi" w:hAnsiTheme="minorHAnsi"/>
                                <w:color w:val="FFFFFF" w:themeColor="background1"/>
                                <w:sz w:val="22"/>
                                <w:lang w:val="es-V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680ED" id="Text Box 8" o:spid="_x0000_s1028" type="#_x0000_t202" style="position:absolute;left:0;text-align:left;margin-left:-27pt;margin-top:12.95pt;width:109.5pt;height:10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485FCFE2" w14:textId="3769F726" w:rsidR="00384416" w:rsidRPr="002163B5" w:rsidRDefault="00384416" w:rsidP="002A6B05">
                      <w:pPr>
                        <w:spacing w:line="276" w:lineRule="auto"/>
                        <w:jc w:val="right"/>
                        <w:rPr>
                          <w:rFonts w:asciiTheme="minorHAnsi" w:hAnsiTheme="minorHAnsi"/>
                          <w:color w:val="FFFFFF" w:themeColor="background1"/>
                          <w:sz w:val="22"/>
                          <w:lang w:val="es-US"/>
                        </w:rPr>
                      </w:pPr>
                      <w:r w:rsidRPr="002163B5">
                        <w:rPr>
                          <w:rFonts w:asciiTheme="minorHAnsi" w:hAnsiTheme="minorHAnsi"/>
                          <w:color w:val="FFFFFF" w:themeColor="background1"/>
                          <w:sz w:val="22"/>
                          <w:lang w:val="es-US"/>
                        </w:rPr>
                        <w:t>OEA/Ser.L/V/</w:t>
                      </w:r>
                      <w:r w:rsidR="002163B5" w:rsidRPr="002163B5">
                        <w:rPr>
                          <w:rFonts w:asciiTheme="minorHAnsi" w:hAnsiTheme="minorHAnsi"/>
                          <w:color w:val="FFFFFF" w:themeColor="background1"/>
                          <w:sz w:val="22"/>
                          <w:lang w:val="es-US"/>
                        </w:rPr>
                        <w:t>II</w:t>
                      </w:r>
                    </w:p>
                    <w:p w14:paraId="1EB6FD86" w14:textId="76CB1FED" w:rsidR="00384416" w:rsidRPr="002163B5" w:rsidRDefault="00384416" w:rsidP="002A6B05">
                      <w:pPr>
                        <w:spacing w:line="276" w:lineRule="auto"/>
                        <w:jc w:val="right"/>
                        <w:rPr>
                          <w:rFonts w:asciiTheme="minorHAnsi" w:hAnsiTheme="minorHAnsi"/>
                          <w:color w:val="FFFFFF" w:themeColor="background1"/>
                          <w:sz w:val="22"/>
                          <w:lang w:val="es-US"/>
                        </w:rPr>
                      </w:pPr>
                      <w:r w:rsidRPr="002163B5">
                        <w:rPr>
                          <w:rFonts w:asciiTheme="minorHAnsi" w:hAnsiTheme="minorHAnsi"/>
                          <w:color w:val="FFFFFF" w:themeColor="background1"/>
                          <w:sz w:val="22"/>
                          <w:lang w:val="es-US"/>
                        </w:rPr>
                        <w:t xml:space="preserve">Doc. </w:t>
                      </w:r>
                      <w:r w:rsidR="0010220B">
                        <w:rPr>
                          <w:rFonts w:asciiTheme="minorHAnsi" w:hAnsiTheme="minorHAnsi"/>
                          <w:color w:val="FFFFFF" w:themeColor="background1"/>
                          <w:sz w:val="22"/>
                          <w:lang w:val="es-US"/>
                        </w:rPr>
                        <w:t>303</w:t>
                      </w:r>
                    </w:p>
                    <w:p w14:paraId="6D28D126" w14:textId="1CB2E9E0" w:rsidR="00384416" w:rsidRPr="007C756A" w:rsidRDefault="0010220B" w:rsidP="002A6B05">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 xml:space="preserve">19 </w:t>
                      </w:r>
                      <w:r w:rsidR="002C3106">
                        <w:rPr>
                          <w:rFonts w:asciiTheme="minorHAnsi" w:hAnsiTheme="minorHAnsi"/>
                          <w:color w:val="FFFFFF" w:themeColor="background1"/>
                          <w:sz w:val="22"/>
                          <w:lang w:val="es-US"/>
                        </w:rPr>
                        <w:t xml:space="preserve">diciembre </w:t>
                      </w:r>
                      <w:r w:rsidR="00384416" w:rsidRPr="007C756A">
                        <w:rPr>
                          <w:rFonts w:asciiTheme="minorHAnsi" w:hAnsiTheme="minorHAnsi"/>
                          <w:color w:val="FFFFFF" w:themeColor="background1"/>
                          <w:sz w:val="22"/>
                          <w:lang w:val="es-US"/>
                        </w:rPr>
                        <w:t>20</w:t>
                      </w:r>
                      <w:r w:rsidR="00DD7638">
                        <w:rPr>
                          <w:rFonts w:asciiTheme="minorHAnsi" w:hAnsiTheme="minorHAnsi"/>
                          <w:color w:val="FFFFFF" w:themeColor="background1"/>
                          <w:sz w:val="22"/>
                          <w:lang w:val="es-US"/>
                        </w:rPr>
                        <w:t>2</w:t>
                      </w:r>
                      <w:r w:rsidR="00C9025B">
                        <w:rPr>
                          <w:rFonts w:asciiTheme="minorHAnsi" w:hAnsiTheme="minorHAnsi"/>
                          <w:color w:val="FFFFFF" w:themeColor="background1"/>
                          <w:sz w:val="22"/>
                          <w:lang w:val="es-US"/>
                        </w:rPr>
                        <w:t>5</w:t>
                      </w:r>
                    </w:p>
                    <w:p w14:paraId="51EC85FB" w14:textId="77777777" w:rsidR="00384416" w:rsidRPr="007C756A" w:rsidRDefault="00384416" w:rsidP="002A6B05">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p w14:paraId="79DCCCAA" w14:textId="77777777" w:rsidR="00384416" w:rsidRPr="00E33B22" w:rsidRDefault="00384416" w:rsidP="002A6B05">
                      <w:pPr>
                        <w:spacing w:line="276" w:lineRule="auto"/>
                        <w:jc w:val="right"/>
                        <w:rPr>
                          <w:rFonts w:asciiTheme="minorHAnsi" w:hAnsiTheme="minorHAnsi"/>
                          <w:color w:val="FFFFFF" w:themeColor="background1"/>
                          <w:sz w:val="22"/>
                          <w:lang w:val="es-VE"/>
                        </w:rPr>
                      </w:pPr>
                    </w:p>
                  </w:txbxContent>
                </v:textbox>
              </v:shape>
            </w:pict>
          </mc:Fallback>
        </mc:AlternateContent>
      </w:r>
    </w:p>
    <w:p w14:paraId="7944B527" w14:textId="77777777" w:rsidR="002A6B05" w:rsidRPr="008D65EE" w:rsidRDefault="002A6B05" w:rsidP="002A6B05">
      <w:pPr>
        <w:tabs>
          <w:tab w:val="center" w:pos="5400"/>
        </w:tabs>
        <w:suppressAutoHyphens/>
        <w:jc w:val="center"/>
        <w:rPr>
          <w:rFonts w:ascii="Cambria" w:hAnsi="Cambria"/>
          <w:sz w:val="20"/>
          <w:szCs w:val="20"/>
          <w:lang w:val="es-CO"/>
        </w:rPr>
      </w:pPr>
    </w:p>
    <w:p w14:paraId="5BE68AAF" w14:textId="77777777" w:rsidR="002A6B05" w:rsidRPr="008D65EE" w:rsidRDefault="002A6B05" w:rsidP="002A6B05">
      <w:pPr>
        <w:tabs>
          <w:tab w:val="center" w:pos="5400"/>
        </w:tabs>
        <w:suppressAutoHyphens/>
        <w:jc w:val="center"/>
        <w:rPr>
          <w:rFonts w:ascii="Cambria" w:hAnsi="Cambria"/>
          <w:sz w:val="20"/>
          <w:szCs w:val="20"/>
          <w:lang w:val="es-CO"/>
        </w:rPr>
      </w:pPr>
    </w:p>
    <w:p w14:paraId="36633C9B" w14:textId="77777777" w:rsidR="002A6B05" w:rsidRPr="008D65EE" w:rsidRDefault="002A6B05" w:rsidP="002A6B05">
      <w:pPr>
        <w:tabs>
          <w:tab w:val="center" w:pos="5400"/>
        </w:tabs>
        <w:suppressAutoHyphens/>
        <w:jc w:val="center"/>
        <w:rPr>
          <w:rFonts w:ascii="Cambria" w:hAnsi="Cambria" w:cs="Arial"/>
          <w:sz w:val="20"/>
          <w:szCs w:val="20"/>
          <w:lang w:val="es-CO"/>
        </w:rPr>
      </w:pPr>
    </w:p>
    <w:p w14:paraId="1818E8C4" w14:textId="77777777" w:rsidR="002A6B05" w:rsidRPr="008D65EE" w:rsidRDefault="002A6B05" w:rsidP="002A6B05">
      <w:pPr>
        <w:tabs>
          <w:tab w:val="center" w:pos="5400"/>
        </w:tabs>
        <w:suppressAutoHyphens/>
        <w:jc w:val="center"/>
        <w:rPr>
          <w:rFonts w:ascii="Cambria" w:hAnsi="Cambria"/>
          <w:sz w:val="20"/>
          <w:szCs w:val="20"/>
          <w:lang w:val="es-CO"/>
        </w:rPr>
      </w:pPr>
    </w:p>
    <w:p w14:paraId="0EA6749B" w14:textId="77777777" w:rsidR="002A6B05" w:rsidRPr="008D65EE" w:rsidRDefault="002A6B05" w:rsidP="002A6B05">
      <w:pPr>
        <w:tabs>
          <w:tab w:val="center" w:pos="5400"/>
        </w:tabs>
        <w:suppressAutoHyphens/>
        <w:jc w:val="center"/>
        <w:rPr>
          <w:rFonts w:ascii="Cambria" w:hAnsi="Cambria"/>
          <w:sz w:val="20"/>
          <w:szCs w:val="20"/>
          <w:lang w:val="es-CO"/>
        </w:rPr>
      </w:pPr>
    </w:p>
    <w:p w14:paraId="22D42A23" w14:textId="77777777" w:rsidR="002A6B05" w:rsidRPr="008D65EE" w:rsidRDefault="002A6B05" w:rsidP="002A6B05">
      <w:pPr>
        <w:tabs>
          <w:tab w:val="center" w:pos="5400"/>
        </w:tabs>
        <w:suppressAutoHyphens/>
        <w:jc w:val="center"/>
        <w:rPr>
          <w:rFonts w:ascii="Cambria" w:hAnsi="Cambria"/>
          <w:sz w:val="20"/>
          <w:szCs w:val="20"/>
          <w:lang w:val="es-CO"/>
        </w:rPr>
      </w:pPr>
    </w:p>
    <w:p w14:paraId="406153A9" w14:textId="77777777" w:rsidR="002A6B05" w:rsidRPr="008D65EE" w:rsidRDefault="002A6B05" w:rsidP="002A6B05">
      <w:pPr>
        <w:tabs>
          <w:tab w:val="center" w:pos="5400"/>
        </w:tabs>
        <w:suppressAutoHyphens/>
        <w:jc w:val="center"/>
        <w:rPr>
          <w:rFonts w:ascii="Cambria" w:hAnsi="Cambria"/>
          <w:sz w:val="20"/>
          <w:szCs w:val="20"/>
          <w:lang w:val="es-CO"/>
        </w:rPr>
      </w:pPr>
    </w:p>
    <w:p w14:paraId="70D35727" w14:textId="77777777" w:rsidR="002A6B05" w:rsidRPr="008D65EE" w:rsidRDefault="002A6B05" w:rsidP="002A6B05">
      <w:pPr>
        <w:tabs>
          <w:tab w:val="center" w:pos="5400"/>
        </w:tabs>
        <w:suppressAutoHyphens/>
        <w:jc w:val="center"/>
        <w:rPr>
          <w:rFonts w:ascii="Cambria" w:hAnsi="Cambria"/>
          <w:sz w:val="20"/>
          <w:szCs w:val="20"/>
          <w:lang w:val="es-CO"/>
        </w:rPr>
      </w:pPr>
    </w:p>
    <w:p w14:paraId="76C36E6C" w14:textId="77777777" w:rsidR="002A6B05" w:rsidRPr="008D65EE" w:rsidRDefault="002A6B05" w:rsidP="002A6B05">
      <w:pPr>
        <w:tabs>
          <w:tab w:val="center" w:pos="5400"/>
        </w:tabs>
        <w:suppressAutoHyphens/>
        <w:jc w:val="center"/>
        <w:rPr>
          <w:rFonts w:ascii="Cambria" w:hAnsi="Cambria"/>
          <w:sz w:val="20"/>
          <w:szCs w:val="20"/>
          <w:lang w:val="es-CO"/>
        </w:rPr>
      </w:pPr>
    </w:p>
    <w:p w14:paraId="42701DCB" w14:textId="77777777" w:rsidR="002A6B05" w:rsidRPr="008D65EE" w:rsidRDefault="002A6B05" w:rsidP="002A6B05">
      <w:pPr>
        <w:tabs>
          <w:tab w:val="center" w:pos="5400"/>
        </w:tabs>
        <w:suppressAutoHyphens/>
        <w:jc w:val="center"/>
        <w:rPr>
          <w:rFonts w:ascii="Cambria" w:hAnsi="Cambria"/>
          <w:sz w:val="20"/>
          <w:szCs w:val="20"/>
          <w:lang w:val="es-CO"/>
        </w:rPr>
      </w:pPr>
    </w:p>
    <w:p w14:paraId="6233D8A0" w14:textId="77777777" w:rsidR="002A6B05" w:rsidRPr="008D65EE" w:rsidRDefault="002A6B05" w:rsidP="002A6B05">
      <w:pPr>
        <w:tabs>
          <w:tab w:val="center" w:pos="5400"/>
        </w:tabs>
        <w:suppressAutoHyphens/>
        <w:jc w:val="center"/>
        <w:rPr>
          <w:rFonts w:ascii="Cambria" w:hAnsi="Cambria"/>
          <w:sz w:val="20"/>
          <w:szCs w:val="20"/>
          <w:lang w:val="es-CO"/>
        </w:rPr>
      </w:pPr>
    </w:p>
    <w:p w14:paraId="7A0A50D5" w14:textId="77777777" w:rsidR="002A6B05" w:rsidRPr="008D65EE" w:rsidRDefault="002A6B05" w:rsidP="002A6B05">
      <w:pPr>
        <w:tabs>
          <w:tab w:val="center" w:pos="5400"/>
        </w:tabs>
        <w:suppressAutoHyphens/>
        <w:jc w:val="center"/>
        <w:rPr>
          <w:rFonts w:ascii="Cambria" w:hAnsi="Cambria"/>
          <w:sz w:val="20"/>
          <w:szCs w:val="20"/>
          <w:lang w:val="es-CO"/>
        </w:rPr>
      </w:pPr>
    </w:p>
    <w:p w14:paraId="78CBEBFE" w14:textId="77777777" w:rsidR="002A6B05" w:rsidRPr="008D65EE" w:rsidRDefault="002A6B05" w:rsidP="002A6B05">
      <w:pPr>
        <w:tabs>
          <w:tab w:val="center" w:pos="5400"/>
        </w:tabs>
        <w:suppressAutoHyphens/>
        <w:jc w:val="center"/>
        <w:rPr>
          <w:rFonts w:ascii="Cambria" w:hAnsi="Cambria"/>
          <w:sz w:val="20"/>
          <w:szCs w:val="20"/>
          <w:lang w:val="es-CO"/>
        </w:rPr>
      </w:pPr>
    </w:p>
    <w:p w14:paraId="42296FC7" w14:textId="77777777" w:rsidR="002A6B05" w:rsidRPr="008D65EE" w:rsidRDefault="002A6B05" w:rsidP="002A6B05">
      <w:pPr>
        <w:tabs>
          <w:tab w:val="center" w:pos="5400"/>
        </w:tabs>
        <w:suppressAutoHyphens/>
        <w:jc w:val="center"/>
        <w:rPr>
          <w:rFonts w:ascii="Cambria" w:hAnsi="Cambria"/>
          <w:sz w:val="20"/>
          <w:szCs w:val="20"/>
          <w:lang w:val="es-CO"/>
        </w:rPr>
      </w:pPr>
    </w:p>
    <w:p w14:paraId="4AB1EC8D" w14:textId="77777777" w:rsidR="002A6B05" w:rsidRPr="008D65EE" w:rsidRDefault="002A6B05" w:rsidP="002A6B05">
      <w:pPr>
        <w:tabs>
          <w:tab w:val="center" w:pos="5400"/>
        </w:tabs>
        <w:suppressAutoHyphens/>
        <w:jc w:val="center"/>
        <w:rPr>
          <w:rFonts w:ascii="Cambria" w:hAnsi="Cambria"/>
          <w:sz w:val="20"/>
          <w:szCs w:val="20"/>
          <w:lang w:val="es-CO"/>
        </w:rPr>
      </w:pPr>
    </w:p>
    <w:p w14:paraId="26CCAD19" w14:textId="77777777" w:rsidR="002A6B05" w:rsidRPr="008D65EE" w:rsidRDefault="002A6B05" w:rsidP="002A6B05">
      <w:pPr>
        <w:tabs>
          <w:tab w:val="center" w:pos="5400"/>
        </w:tabs>
        <w:suppressAutoHyphens/>
        <w:jc w:val="center"/>
        <w:rPr>
          <w:rFonts w:ascii="Cambria" w:hAnsi="Cambria"/>
          <w:sz w:val="20"/>
          <w:szCs w:val="20"/>
          <w:lang w:val="es-CO"/>
        </w:rPr>
      </w:pPr>
    </w:p>
    <w:p w14:paraId="151963B0" w14:textId="77777777" w:rsidR="002A6B05" w:rsidRPr="008D65EE" w:rsidRDefault="002A6B05" w:rsidP="002A6B05">
      <w:pPr>
        <w:tabs>
          <w:tab w:val="center" w:pos="5400"/>
        </w:tabs>
        <w:suppressAutoHyphens/>
        <w:jc w:val="center"/>
        <w:rPr>
          <w:rFonts w:ascii="Cambria" w:hAnsi="Cambria"/>
          <w:sz w:val="20"/>
          <w:szCs w:val="20"/>
          <w:lang w:val="es-CO"/>
        </w:rPr>
      </w:pPr>
    </w:p>
    <w:p w14:paraId="0A1214FB" w14:textId="77777777" w:rsidR="002A6B05" w:rsidRPr="008D65EE" w:rsidRDefault="002A6B05" w:rsidP="002A6B05">
      <w:pPr>
        <w:tabs>
          <w:tab w:val="center" w:pos="5400"/>
        </w:tabs>
        <w:suppressAutoHyphens/>
        <w:jc w:val="center"/>
        <w:rPr>
          <w:rFonts w:ascii="Cambria" w:hAnsi="Cambria"/>
          <w:sz w:val="20"/>
          <w:szCs w:val="20"/>
          <w:lang w:val="es-CO"/>
        </w:rPr>
      </w:pPr>
    </w:p>
    <w:p w14:paraId="72BBA3F1" w14:textId="77777777" w:rsidR="002A6B05" w:rsidRPr="008D65EE" w:rsidRDefault="002A6B05" w:rsidP="002A6B05">
      <w:pPr>
        <w:tabs>
          <w:tab w:val="center" w:pos="5400"/>
        </w:tabs>
        <w:suppressAutoHyphens/>
        <w:jc w:val="center"/>
        <w:rPr>
          <w:rFonts w:ascii="Cambria" w:hAnsi="Cambria"/>
          <w:sz w:val="20"/>
          <w:szCs w:val="20"/>
          <w:lang w:val="es-CO"/>
        </w:rPr>
      </w:pPr>
    </w:p>
    <w:p w14:paraId="238D4EB0" w14:textId="77777777" w:rsidR="002A6B05" w:rsidRPr="008D65EE" w:rsidRDefault="002A6B05" w:rsidP="002A6B05">
      <w:pPr>
        <w:tabs>
          <w:tab w:val="center" w:pos="5400"/>
        </w:tabs>
        <w:suppressAutoHyphens/>
        <w:jc w:val="center"/>
        <w:rPr>
          <w:rFonts w:ascii="Cambria" w:hAnsi="Cambria"/>
          <w:sz w:val="20"/>
          <w:szCs w:val="20"/>
          <w:lang w:val="es-CO"/>
        </w:rPr>
      </w:pPr>
    </w:p>
    <w:p w14:paraId="7F106C68" w14:textId="77777777" w:rsidR="002A6B05" w:rsidRPr="008D65EE" w:rsidRDefault="002A6B05" w:rsidP="002A6B05">
      <w:pPr>
        <w:tabs>
          <w:tab w:val="center" w:pos="5400"/>
        </w:tabs>
        <w:suppressAutoHyphens/>
        <w:jc w:val="center"/>
        <w:rPr>
          <w:rFonts w:ascii="Cambria" w:hAnsi="Cambria"/>
          <w:sz w:val="20"/>
          <w:szCs w:val="20"/>
          <w:lang w:val="es-CO"/>
        </w:rPr>
      </w:pPr>
    </w:p>
    <w:p w14:paraId="341BD402" w14:textId="77777777" w:rsidR="002A6B05" w:rsidRPr="008D65EE" w:rsidRDefault="002A6B05" w:rsidP="002A6B05">
      <w:pPr>
        <w:tabs>
          <w:tab w:val="center" w:pos="5400"/>
        </w:tabs>
        <w:suppressAutoHyphens/>
        <w:jc w:val="center"/>
        <w:rPr>
          <w:rFonts w:ascii="Cambria" w:hAnsi="Cambria"/>
          <w:sz w:val="20"/>
          <w:szCs w:val="20"/>
          <w:lang w:val="es-CO"/>
        </w:rPr>
      </w:pPr>
    </w:p>
    <w:p w14:paraId="2AA11EE1" w14:textId="77777777" w:rsidR="002A6B05" w:rsidRPr="008D65EE" w:rsidRDefault="002A6B05" w:rsidP="002A6B05">
      <w:pPr>
        <w:tabs>
          <w:tab w:val="center" w:pos="5400"/>
        </w:tabs>
        <w:suppressAutoHyphens/>
        <w:jc w:val="center"/>
        <w:rPr>
          <w:rFonts w:ascii="Cambria" w:hAnsi="Cambria"/>
          <w:sz w:val="20"/>
          <w:szCs w:val="20"/>
          <w:lang w:val="es-CO"/>
        </w:rPr>
      </w:pPr>
    </w:p>
    <w:p w14:paraId="022A6287" w14:textId="77777777" w:rsidR="002A6B05" w:rsidRPr="008D65EE" w:rsidRDefault="002A6B05" w:rsidP="002A6B05">
      <w:pPr>
        <w:tabs>
          <w:tab w:val="center" w:pos="5400"/>
        </w:tabs>
        <w:suppressAutoHyphens/>
        <w:jc w:val="center"/>
        <w:rPr>
          <w:rFonts w:ascii="Cambria" w:hAnsi="Cambria"/>
          <w:sz w:val="20"/>
          <w:szCs w:val="20"/>
          <w:lang w:val="es-CO"/>
        </w:rPr>
      </w:pPr>
    </w:p>
    <w:p w14:paraId="2F127EC8" w14:textId="77777777" w:rsidR="002A6B05" w:rsidRPr="008D65EE" w:rsidRDefault="002A6B05" w:rsidP="002A6B05">
      <w:pPr>
        <w:tabs>
          <w:tab w:val="center" w:pos="5400"/>
        </w:tabs>
        <w:suppressAutoHyphens/>
        <w:jc w:val="center"/>
        <w:rPr>
          <w:rFonts w:ascii="Cambria" w:hAnsi="Cambria"/>
          <w:sz w:val="20"/>
          <w:szCs w:val="20"/>
          <w:lang w:val="es-CO"/>
        </w:rPr>
      </w:pPr>
    </w:p>
    <w:p w14:paraId="739678CD" w14:textId="77777777" w:rsidR="002A6B05" w:rsidRPr="008D65EE" w:rsidRDefault="002A6B05" w:rsidP="002A6B05">
      <w:pPr>
        <w:tabs>
          <w:tab w:val="center" w:pos="5400"/>
        </w:tabs>
        <w:suppressAutoHyphens/>
        <w:jc w:val="center"/>
        <w:rPr>
          <w:rFonts w:ascii="Cambria" w:hAnsi="Cambria"/>
          <w:sz w:val="20"/>
          <w:szCs w:val="20"/>
          <w:lang w:val="es-CO"/>
        </w:rPr>
      </w:pPr>
    </w:p>
    <w:p w14:paraId="6EA53F84" w14:textId="77777777" w:rsidR="002A6B05" w:rsidRPr="008D65EE" w:rsidRDefault="002A6B05" w:rsidP="002A6B05">
      <w:pPr>
        <w:tabs>
          <w:tab w:val="center" w:pos="5400"/>
        </w:tabs>
        <w:suppressAutoHyphens/>
        <w:jc w:val="center"/>
        <w:rPr>
          <w:rFonts w:ascii="Cambria" w:hAnsi="Cambria"/>
          <w:sz w:val="20"/>
          <w:szCs w:val="20"/>
          <w:lang w:val="es-CO"/>
        </w:rPr>
      </w:pPr>
    </w:p>
    <w:p w14:paraId="54828C49" w14:textId="77777777" w:rsidR="002A6B05" w:rsidRPr="008D65EE" w:rsidRDefault="002A6B05" w:rsidP="002A6B05">
      <w:pPr>
        <w:tabs>
          <w:tab w:val="center" w:pos="5400"/>
        </w:tabs>
        <w:suppressAutoHyphens/>
        <w:jc w:val="center"/>
        <w:rPr>
          <w:rFonts w:ascii="Cambria" w:hAnsi="Cambria"/>
          <w:sz w:val="20"/>
          <w:szCs w:val="20"/>
          <w:lang w:val="es-CO"/>
        </w:rPr>
      </w:pPr>
    </w:p>
    <w:p w14:paraId="2F4CA490" w14:textId="77777777" w:rsidR="002A6B05" w:rsidRPr="008D65EE" w:rsidRDefault="002A6B05" w:rsidP="002A6B05">
      <w:pPr>
        <w:tabs>
          <w:tab w:val="center" w:pos="5400"/>
        </w:tabs>
        <w:suppressAutoHyphens/>
        <w:jc w:val="center"/>
        <w:rPr>
          <w:rFonts w:ascii="Cambria" w:hAnsi="Cambria"/>
          <w:sz w:val="20"/>
          <w:szCs w:val="20"/>
          <w:lang w:val="es-CO"/>
        </w:rPr>
      </w:pPr>
      <w:r w:rsidRPr="008D65EE">
        <w:rPr>
          <w:rFonts w:ascii="Cambria" w:hAnsi="Cambria"/>
          <w:noProof/>
          <w:sz w:val="20"/>
          <w:szCs w:val="20"/>
          <w:lang w:val="es-CO"/>
        </w:rPr>
        <mc:AlternateContent>
          <mc:Choice Requires="wps">
            <w:drawing>
              <wp:anchor distT="0" distB="0" distL="114300" distR="114300" simplePos="0" relativeHeight="251661312" behindDoc="0" locked="0" layoutInCell="1" allowOverlap="1" wp14:anchorId="164E42AD" wp14:editId="5360AD48">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1ACCF" w14:textId="030A6E11" w:rsidR="00384416" w:rsidRPr="006E6974" w:rsidRDefault="00384416" w:rsidP="002A6B05">
                            <w:pPr>
                              <w:tabs>
                                <w:tab w:val="center" w:pos="5400"/>
                              </w:tabs>
                              <w:suppressAutoHyphens/>
                              <w:spacing w:before="60"/>
                              <w:rPr>
                                <w:rFonts w:ascii="Cambria" w:hAnsi="Cambria" w:cs="Univers"/>
                                <w:color w:val="0D0D0D" w:themeColor="text1" w:themeTint="F2"/>
                                <w:sz w:val="18"/>
                                <w:szCs w:val="20"/>
                                <w:lang w:val="es-ES_tradnl"/>
                              </w:rPr>
                            </w:pPr>
                            <w:r w:rsidRPr="006E6974">
                              <w:rPr>
                                <w:rFonts w:ascii="Cambria" w:hAnsi="Cambria"/>
                                <w:color w:val="0D0D0D" w:themeColor="text1" w:themeTint="F2"/>
                                <w:sz w:val="18"/>
                                <w:szCs w:val="20"/>
                                <w:lang w:val="es-ES"/>
                              </w:rPr>
                              <w:t>Aprobado</w:t>
                            </w:r>
                            <w:r w:rsidR="00401F00">
                              <w:rPr>
                                <w:rFonts w:ascii="Cambria" w:hAnsi="Cambria"/>
                                <w:color w:val="0D0D0D" w:themeColor="text1" w:themeTint="F2"/>
                                <w:sz w:val="18"/>
                                <w:szCs w:val="20"/>
                                <w:lang w:val="es-ES"/>
                              </w:rPr>
                              <w:t xml:space="preserve"> electrónicamente</w:t>
                            </w:r>
                            <w:r w:rsidRPr="006E6974">
                              <w:rPr>
                                <w:rFonts w:ascii="Cambria" w:hAnsi="Cambria"/>
                                <w:color w:val="0D0D0D" w:themeColor="text1" w:themeTint="F2"/>
                                <w:sz w:val="18"/>
                                <w:szCs w:val="20"/>
                                <w:lang w:val="es-ES"/>
                              </w:rPr>
                              <w:t xml:space="preserve"> por la Comisión el </w:t>
                            </w:r>
                            <w:r w:rsidR="005C6B71">
                              <w:rPr>
                                <w:rFonts w:ascii="Cambria" w:hAnsi="Cambria"/>
                                <w:color w:val="0D0D0D" w:themeColor="text1" w:themeTint="F2"/>
                                <w:sz w:val="18"/>
                                <w:szCs w:val="20"/>
                                <w:lang w:val="es-ES"/>
                              </w:rPr>
                              <w:t>19</w:t>
                            </w:r>
                            <w:r w:rsidR="002163B5">
                              <w:rPr>
                                <w:rFonts w:ascii="Cambria" w:hAnsi="Cambria"/>
                                <w:color w:val="0D0D0D" w:themeColor="text1" w:themeTint="F2"/>
                                <w:sz w:val="18"/>
                                <w:szCs w:val="20"/>
                                <w:lang w:val="es-ES"/>
                              </w:rPr>
                              <w:t xml:space="preserve"> de </w:t>
                            </w:r>
                            <w:r w:rsidR="005C6B71">
                              <w:rPr>
                                <w:rFonts w:ascii="Cambria" w:hAnsi="Cambria"/>
                                <w:color w:val="0D0D0D" w:themeColor="text1" w:themeTint="F2"/>
                                <w:sz w:val="18"/>
                                <w:szCs w:val="20"/>
                                <w:lang w:val="es-ES"/>
                              </w:rPr>
                              <w:t xml:space="preserve">diciembre </w:t>
                            </w:r>
                            <w:r w:rsidR="002163B5">
                              <w:rPr>
                                <w:rFonts w:ascii="Cambria" w:hAnsi="Cambria"/>
                                <w:color w:val="0D0D0D" w:themeColor="text1" w:themeTint="F2"/>
                                <w:sz w:val="18"/>
                                <w:szCs w:val="20"/>
                                <w:lang w:val="es-ES"/>
                              </w:rPr>
                              <w:t>de</w:t>
                            </w:r>
                            <w:r w:rsidRPr="006E6974">
                              <w:rPr>
                                <w:rFonts w:ascii="Cambria" w:hAnsi="Cambria"/>
                                <w:color w:val="0D0D0D" w:themeColor="text1" w:themeTint="F2"/>
                                <w:sz w:val="18"/>
                                <w:szCs w:val="20"/>
                                <w:lang w:val="es-ES"/>
                              </w:rPr>
                              <w:t xml:space="preserve"> 20</w:t>
                            </w:r>
                            <w:r w:rsidR="00DD7638">
                              <w:rPr>
                                <w:rFonts w:ascii="Cambria" w:hAnsi="Cambria"/>
                                <w:color w:val="0D0D0D" w:themeColor="text1" w:themeTint="F2"/>
                                <w:sz w:val="18"/>
                                <w:szCs w:val="20"/>
                                <w:lang w:val="es-ES"/>
                              </w:rPr>
                              <w:t>2</w:t>
                            </w:r>
                            <w:r w:rsidR="00401F00">
                              <w:rPr>
                                <w:rFonts w:ascii="Cambria" w:hAnsi="Cambria"/>
                                <w:color w:val="0D0D0D" w:themeColor="text1" w:themeTint="F2"/>
                                <w:sz w:val="18"/>
                                <w:szCs w:val="20"/>
                                <w:lang w:val="es-ES"/>
                              </w:rPr>
                              <w:t>5</w:t>
                            </w:r>
                          </w:p>
                          <w:p w14:paraId="252F404A" w14:textId="77777777" w:rsidR="00384416" w:rsidRPr="00167A34" w:rsidRDefault="00384416" w:rsidP="002A6B05">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E42AD" id="Text Box 7" o:spid="_x0000_s1029" type="#_x0000_t202" style="position:absolute;left:0;text-align:left;margin-left:105.65pt;margin-top:1.8pt;width:388.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361ACCF" w14:textId="030A6E11" w:rsidR="00384416" w:rsidRPr="006E6974" w:rsidRDefault="00384416" w:rsidP="002A6B05">
                      <w:pPr>
                        <w:tabs>
                          <w:tab w:val="center" w:pos="5400"/>
                        </w:tabs>
                        <w:suppressAutoHyphens/>
                        <w:spacing w:before="60"/>
                        <w:rPr>
                          <w:rFonts w:ascii="Cambria" w:hAnsi="Cambria" w:cs="Univers"/>
                          <w:color w:val="0D0D0D" w:themeColor="text1" w:themeTint="F2"/>
                          <w:sz w:val="18"/>
                          <w:szCs w:val="20"/>
                          <w:lang w:val="es-ES_tradnl"/>
                        </w:rPr>
                      </w:pPr>
                      <w:r w:rsidRPr="006E6974">
                        <w:rPr>
                          <w:rFonts w:ascii="Cambria" w:hAnsi="Cambria"/>
                          <w:color w:val="0D0D0D" w:themeColor="text1" w:themeTint="F2"/>
                          <w:sz w:val="18"/>
                          <w:szCs w:val="20"/>
                          <w:lang w:val="es-ES"/>
                        </w:rPr>
                        <w:t>Aprobado</w:t>
                      </w:r>
                      <w:r w:rsidR="00401F00">
                        <w:rPr>
                          <w:rFonts w:ascii="Cambria" w:hAnsi="Cambria"/>
                          <w:color w:val="0D0D0D" w:themeColor="text1" w:themeTint="F2"/>
                          <w:sz w:val="18"/>
                          <w:szCs w:val="20"/>
                          <w:lang w:val="es-ES"/>
                        </w:rPr>
                        <w:t xml:space="preserve"> electrónicamente</w:t>
                      </w:r>
                      <w:r w:rsidRPr="006E6974">
                        <w:rPr>
                          <w:rFonts w:ascii="Cambria" w:hAnsi="Cambria"/>
                          <w:color w:val="0D0D0D" w:themeColor="text1" w:themeTint="F2"/>
                          <w:sz w:val="18"/>
                          <w:szCs w:val="20"/>
                          <w:lang w:val="es-ES"/>
                        </w:rPr>
                        <w:t xml:space="preserve"> por la Comisión el </w:t>
                      </w:r>
                      <w:r w:rsidR="005C6B71">
                        <w:rPr>
                          <w:rFonts w:ascii="Cambria" w:hAnsi="Cambria"/>
                          <w:color w:val="0D0D0D" w:themeColor="text1" w:themeTint="F2"/>
                          <w:sz w:val="18"/>
                          <w:szCs w:val="20"/>
                          <w:lang w:val="es-ES"/>
                        </w:rPr>
                        <w:t>19</w:t>
                      </w:r>
                      <w:r w:rsidR="002163B5">
                        <w:rPr>
                          <w:rFonts w:ascii="Cambria" w:hAnsi="Cambria"/>
                          <w:color w:val="0D0D0D" w:themeColor="text1" w:themeTint="F2"/>
                          <w:sz w:val="18"/>
                          <w:szCs w:val="20"/>
                          <w:lang w:val="es-ES"/>
                        </w:rPr>
                        <w:t xml:space="preserve"> de </w:t>
                      </w:r>
                      <w:r w:rsidR="005C6B71">
                        <w:rPr>
                          <w:rFonts w:ascii="Cambria" w:hAnsi="Cambria"/>
                          <w:color w:val="0D0D0D" w:themeColor="text1" w:themeTint="F2"/>
                          <w:sz w:val="18"/>
                          <w:szCs w:val="20"/>
                          <w:lang w:val="es-ES"/>
                        </w:rPr>
                        <w:t xml:space="preserve">diciembre </w:t>
                      </w:r>
                      <w:r w:rsidR="002163B5">
                        <w:rPr>
                          <w:rFonts w:ascii="Cambria" w:hAnsi="Cambria"/>
                          <w:color w:val="0D0D0D" w:themeColor="text1" w:themeTint="F2"/>
                          <w:sz w:val="18"/>
                          <w:szCs w:val="20"/>
                          <w:lang w:val="es-ES"/>
                        </w:rPr>
                        <w:t>de</w:t>
                      </w:r>
                      <w:r w:rsidRPr="006E6974">
                        <w:rPr>
                          <w:rFonts w:ascii="Cambria" w:hAnsi="Cambria"/>
                          <w:color w:val="0D0D0D" w:themeColor="text1" w:themeTint="F2"/>
                          <w:sz w:val="18"/>
                          <w:szCs w:val="20"/>
                          <w:lang w:val="es-ES"/>
                        </w:rPr>
                        <w:t xml:space="preserve"> 20</w:t>
                      </w:r>
                      <w:r w:rsidR="00DD7638">
                        <w:rPr>
                          <w:rFonts w:ascii="Cambria" w:hAnsi="Cambria"/>
                          <w:color w:val="0D0D0D" w:themeColor="text1" w:themeTint="F2"/>
                          <w:sz w:val="18"/>
                          <w:szCs w:val="20"/>
                          <w:lang w:val="es-ES"/>
                        </w:rPr>
                        <w:t>2</w:t>
                      </w:r>
                      <w:r w:rsidR="00401F00">
                        <w:rPr>
                          <w:rFonts w:ascii="Cambria" w:hAnsi="Cambria"/>
                          <w:color w:val="0D0D0D" w:themeColor="text1" w:themeTint="F2"/>
                          <w:sz w:val="18"/>
                          <w:szCs w:val="20"/>
                          <w:lang w:val="es-ES"/>
                        </w:rPr>
                        <w:t>5</w:t>
                      </w:r>
                    </w:p>
                    <w:p w14:paraId="252F404A" w14:textId="77777777" w:rsidR="00384416" w:rsidRPr="00167A34" w:rsidRDefault="00384416" w:rsidP="002A6B05">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2A51EC33" w14:textId="77777777" w:rsidR="002A6B05" w:rsidRPr="008D65EE" w:rsidRDefault="002A6B05" w:rsidP="002A6B05">
      <w:pPr>
        <w:tabs>
          <w:tab w:val="center" w:pos="5400"/>
        </w:tabs>
        <w:suppressAutoHyphens/>
        <w:jc w:val="center"/>
        <w:rPr>
          <w:rFonts w:ascii="Cambria" w:hAnsi="Cambria"/>
          <w:sz w:val="20"/>
          <w:szCs w:val="20"/>
          <w:lang w:val="es-CO"/>
        </w:rPr>
      </w:pPr>
    </w:p>
    <w:p w14:paraId="23DF29BC" w14:textId="77777777" w:rsidR="002A6B05" w:rsidRPr="008D65EE" w:rsidRDefault="002A6B05" w:rsidP="002A6B05">
      <w:pPr>
        <w:tabs>
          <w:tab w:val="center" w:pos="5400"/>
        </w:tabs>
        <w:suppressAutoHyphens/>
        <w:jc w:val="center"/>
        <w:rPr>
          <w:rFonts w:ascii="Cambria" w:hAnsi="Cambria"/>
          <w:sz w:val="20"/>
          <w:szCs w:val="20"/>
          <w:lang w:val="es-CO"/>
        </w:rPr>
      </w:pPr>
    </w:p>
    <w:p w14:paraId="4350D688" w14:textId="77777777" w:rsidR="002A6B05" w:rsidRPr="008D65EE" w:rsidRDefault="002A6B05" w:rsidP="002A6B05">
      <w:pPr>
        <w:tabs>
          <w:tab w:val="center" w:pos="5400"/>
        </w:tabs>
        <w:suppressAutoHyphens/>
        <w:jc w:val="center"/>
        <w:rPr>
          <w:rFonts w:ascii="Cambria" w:hAnsi="Cambria"/>
          <w:sz w:val="20"/>
          <w:szCs w:val="20"/>
          <w:lang w:val="es-CO"/>
        </w:rPr>
      </w:pPr>
    </w:p>
    <w:p w14:paraId="0F42F2F4" w14:textId="77777777" w:rsidR="002A6B05" w:rsidRPr="008D65EE" w:rsidRDefault="002A6B05" w:rsidP="002A6B05">
      <w:pPr>
        <w:tabs>
          <w:tab w:val="center" w:pos="5400"/>
        </w:tabs>
        <w:suppressAutoHyphens/>
        <w:jc w:val="center"/>
        <w:rPr>
          <w:rFonts w:ascii="Cambria" w:hAnsi="Cambria"/>
          <w:sz w:val="20"/>
          <w:szCs w:val="20"/>
          <w:lang w:val="es-CO"/>
        </w:rPr>
      </w:pPr>
    </w:p>
    <w:p w14:paraId="166F426D" w14:textId="77777777" w:rsidR="002A6B05" w:rsidRPr="008D65EE" w:rsidRDefault="002A6B05" w:rsidP="002A6B05">
      <w:pPr>
        <w:tabs>
          <w:tab w:val="center" w:pos="5400"/>
        </w:tabs>
        <w:suppressAutoHyphens/>
        <w:jc w:val="center"/>
        <w:rPr>
          <w:rFonts w:ascii="Cambria" w:hAnsi="Cambria"/>
          <w:sz w:val="20"/>
          <w:szCs w:val="20"/>
          <w:lang w:val="es-CO"/>
        </w:rPr>
      </w:pPr>
      <w:r w:rsidRPr="008D65EE">
        <w:rPr>
          <w:rFonts w:ascii="Cambria" w:hAnsi="Cambria"/>
          <w:noProof/>
          <w:sz w:val="20"/>
          <w:szCs w:val="20"/>
          <w:lang w:val="es-CO"/>
        </w:rPr>
        <mc:AlternateContent>
          <mc:Choice Requires="wps">
            <w:drawing>
              <wp:anchor distT="0" distB="0" distL="114300" distR="114300" simplePos="0" relativeHeight="251664384" behindDoc="0" locked="0" layoutInCell="1" allowOverlap="1" wp14:anchorId="3EE4731B" wp14:editId="5D20A561">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DBEC2" w14:textId="33F40D9B" w:rsidR="00384416" w:rsidRPr="006E6974" w:rsidRDefault="00384416" w:rsidP="002A6B05">
                            <w:pPr>
                              <w:spacing w:line="276" w:lineRule="auto"/>
                              <w:rPr>
                                <w:rFonts w:ascii="Cambria" w:hAnsi="Cambria"/>
                                <w:color w:val="595959" w:themeColor="text1" w:themeTint="A6"/>
                                <w:sz w:val="18"/>
                                <w:szCs w:val="18"/>
                                <w:lang w:val="es-US"/>
                              </w:rPr>
                            </w:pPr>
                            <w:r w:rsidRPr="006E6974">
                              <w:rPr>
                                <w:rFonts w:ascii="Cambria" w:hAnsi="Cambria"/>
                                <w:b/>
                                <w:color w:val="595959" w:themeColor="text1" w:themeTint="A6"/>
                                <w:sz w:val="18"/>
                                <w:szCs w:val="18"/>
                                <w:lang w:val="pt-BR"/>
                              </w:rPr>
                              <w:t>Citar como:</w:t>
                            </w:r>
                            <w:r w:rsidRPr="006E6974">
                              <w:rPr>
                                <w:rFonts w:ascii="Cambria" w:hAnsi="Cambria"/>
                                <w:color w:val="595959" w:themeColor="text1" w:themeTint="A6"/>
                                <w:sz w:val="18"/>
                                <w:szCs w:val="18"/>
                                <w:lang w:val="pt-BR"/>
                              </w:rPr>
                              <w:t xml:space="preserve"> CIDH. Informe N</w:t>
                            </w:r>
                            <w:r w:rsidR="009962AF">
                              <w:rPr>
                                <w:rFonts w:ascii="Cambria" w:hAnsi="Cambria"/>
                                <w:color w:val="595959" w:themeColor="text1" w:themeTint="A6"/>
                                <w:sz w:val="18"/>
                                <w:szCs w:val="18"/>
                                <w:lang w:val="pt-BR"/>
                              </w:rPr>
                              <w:t xml:space="preserve">o. </w:t>
                            </w:r>
                            <w:r w:rsidR="005C6B71">
                              <w:rPr>
                                <w:rFonts w:ascii="Cambria" w:hAnsi="Cambria"/>
                                <w:color w:val="595959" w:themeColor="text1" w:themeTint="A6"/>
                                <w:sz w:val="18"/>
                                <w:szCs w:val="18"/>
                                <w:lang w:val="pt-BR"/>
                              </w:rPr>
                              <w:t>288</w:t>
                            </w:r>
                            <w:r w:rsidRPr="006E6974">
                              <w:rPr>
                                <w:rFonts w:ascii="Cambria" w:hAnsi="Cambria"/>
                                <w:color w:val="595959" w:themeColor="text1" w:themeTint="A6"/>
                                <w:sz w:val="18"/>
                                <w:szCs w:val="18"/>
                                <w:lang w:val="pt-BR"/>
                              </w:rPr>
                              <w:t>/</w:t>
                            </w:r>
                            <w:r w:rsidR="00DD7638">
                              <w:rPr>
                                <w:rFonts w:ascii="Cambria" w:hAnsi="Cambria"/>
                                <w:color w:val="595959" w:themeColor="text1" w:themeTint="A6"/>
                                <w:sz w:val="18"/>
                                <w:szCs w:val="18"/>
                                <w:lang w:val="pt-BR"/>
                              </w:rPr>
                              <w:t>2</w:t>
                            </w:r>
                            <w:r w:rsidR="003C6ADB">
                              <w:rPr>
                                <w:rFonts w:ascii="Cambria" w:hAnsi="Cambria"/>
                                <w:color w:val="595959" w:themeColor="text1" w:themeTint="A6"/>
                                <w:sz w:val="18"/>
                                <w:szCs w:val="18"/>
                                <w:lang w:val="pt-BR"/>
                              </w:rPr>
                              <w:t>5</w:t>
                            </w:r>
                            <w:r w:rsidRPr="006E6974">
                              <w:rPr>
                                <w:rFonts w:ascii="Cambria" w:hAnsi="Cambria"/>
                                <w:color w:val="595959" w:themeColor="text1" w:themeTint="A6"/>
                                <w:sz w:val="18"/>
                                <w:szCs w:val="18"/>
                                <w:lang w:val="pt-BR"/>
                              </w:rPr>
                              <w:t xml:space="preserve">. </w:t>
                            </w:r>
                            <w:r w:rsidRPr="006E6974">
                              <w:rPr>
                                <w:rFonts w:ascii="Cambria" w:hAnsi="Cambria"/>
                                <w:color w:val="595959" w:themeColor="text1" w:themeTint="A6"/>
                                <w:sz w:val="18"/>
                                <w:szCs w:val="18"/>
                                <w:lang w:val="es-PE"/>
                              </w:rPr>
                              <w:t>Caso 1</w:t>
                            </w:r>
                            <w:r>
                              <w:rPr>
                                <w:rFonts w:ascii="Cambria" w:hAnsi="Cambria"/>
                                <w:color w:val="595959" w:themeColor="text1" w:themeTint="A6"/>
                                <w:sz w:val="18"/>
                                <w:szCs w:val="18"/>
                                <w:lang w:val="es-PE"/>
                              </w:rPr>
                              <w:t>3</w:t>
                            </w:r>
                            <w:r w:rsidRPr="006E6974">
                              <w:rPr>
                                <w:rFonts w:ascii="Cambria" w:hAnsi="Cambria"/>
                                <w:color w:val="595959" w:themeColor="text1" w:themeTint="A6"/>
                                <w:sz w:val="18"/>
                                <w:szCs w:val="18"/>
                                <w:lang w:val="es-PE"/>
                              </w:rPr>
                              <w:t>.</w:t>
                            </w:r>
                            <w:r>
                              <w:rPr>
                                <w:rFonts w:ascii="Cambria" w:hAnsi="Cambria"/>
                                <w:color w:val="595959" w:themeColor="text1" w:themeTint="A6"/>
                                <w:sz w:val="18"/>
                                <w:szCs w:val="18"/>
                                <w:lang w:val="es-PE"/>
                              </w:rPr>
                              <w:t>866</w:t>
                            </w:r>
                            <w:r w:rsidRPr="006E6974">
                              <w:rPr>
                                <w:rFonts w:ascii="Cambria" w:hAnsi="Cambria"/>
                                <w:color w:val="595959" w:themeColor="text1" w:themeTint="A6"/>
                                <w:sz w:val="18"/>
                                <w:szCs w:val="18"/>
                                <w:lang w:val="es-PE"/>
                              </w:rPr>
                              <w:t xml:space="preserve">. </w:t>
                            </w:r>
                            <w:r w:rsidRPr="0026741F">
                              <w:rPr>
                                <w:rFonts w:ascii="Cambria" w:hAnsi="Cambria"/>
                                <w:color w:val="595959" w:themeColor="text1" w:themeTint="A6"/>
                                <w:sz w:val="18"/>
                                <w:szCs w:val="18"/>
                                <w:lang w:val="es-ES_tradnl"/>
                              </w:rPr>
                              <w:t>Fondo</w:t>
                            </w:r>
                            <w:r w:rsidR="003C6ADB" w:rsidRPr="0026741F">
                              <w:rPr>
                                <w:rFonts w:ascii="Cambria" w:hAnsi="Cambria"/>
                                <w:color w:val="595959" w:themeColor="text1" w:themeTint="A6"/>
                                <w:sz w:val="18"/>
                                <w:szCs w:val="18"/>
                                <w:lang w:val="es-ES_tradnl"/>
                              </w:rPr>
                              <w:t xml:space="preserve"> (</w:t>
                            </w:r>
                            <w:r w:rsidR="00E12E11" w:rsidRPr="005C6B71">
                              <w:rPr>
                                <w:rFonts w:ascii="Cambria" w:hAnsi="Cambria"/>
                                <w:color w:val="595959" w:themeColor="text1" w:themeTint="A6"/>
                                <w:sz w:val="18"/>
                                <w:szCs w:val="18"/>
                                <w:lang w:val="es-ES_tradnl"/>
                              </w:rPr>
                              <w:t>Publicación</w:t>
                            </w:r>
                            <w:r w:rsidR="003C6ADB" w:rsidRPr="0026741F">
                              <w:rPr>
                                <w:rFonts w:ascii="Cambria" w:hAnsi="Cambria"/>
                                <w:color w:val="595959" w:themeColor="text1" w:themeTint="A6"/>
                                <w:sz w:val="18"/>
                                <w:szCs w:val="18"/>
                                <w:lang w:val="es-ES_tradnl"/>
                              </w:rPr>
                              <w:t>)</w:t>
                            </w:r>
                            <w:r w:rsidRPr="0026741F">
                              <w:rPr>
                                <w:rFonts w:ascii="Cambria" w:hAnsi="Cambria"/>
                                <w:color w:val="595959" w:themeColor="text1" w:themeTint="A6"/>
                                <w:sz w:val="18"/>
                                <w:szCs w:val="18"/>
                                <w:lang w:val="es-ES_tradnl"/>
                              </w:rPr>
                              <w:t>.</w:t>
                            </w:r>
                            <w:r w:rsidRPr="006E6974">
                              <w:rPr>
                                <w:rFonts w:ascii="Cambria" w:hAnsi="Cambria"/>
                                <w:color w:val="595959" w:themeColor="text1" w:themeTint="A6"/>
                                <w:sz w:val="18"/>
                                <w:szCs w:val="18"/>
                                <w:lang w:val="es-ES_tradnl"/>
                              </w:rPr>
                              <w:t xml:space="preserve"> </w:t>
                            </w:r>
                            <w:r>
                              <w:rPr>
                                <w:rFonts w:ascii="Cambria" w:hAnsi="Cambria"/>
                                <w:color w:val="595959" w:themeColor="text1" w:themeTint="A6"/>
                                <w:sz w:val="18"/>
                                <w:szCs w:val="18"/>
                                <w:lang w:val="es-ES_tradnl"/>
                              </w:rPr>
                              <w:t>Sarah Lyn Langton y familia</w:t>
                            </w:r>
                            <w:r w:rsidRPr="006E6974">
                              <w:rPr>
                                <w:rFonts w:ascii="Cambria" w:hAnsi="Cambria"/>
                                <w:color w:val="595959" w:themeColor="text1" w:themeTint="A6"/>
                                <w:sz w:val="18"/>
                                <w:szCs w:val="18"/>
                                <w:lang w:val="es-ES_tradnl"/>
                              </w:rPr>
                              <w:t xml:space="preserve">. Venezuela. </w:t>
                            </w:r>
                            <w:r w:rsidR="005C6B71">
                              <w:rPr>
                                <w:rFonts w:ascii="Cambria" w:hAnsi="Cambria"/>
                                <w:color w:val="595959" w:themeColor="text1" w:themeTint="A6"/>
                                <w:sz w:val="18"/>
                                <w:szCs w:val="18"/>
                                <w:lang w:val="es-ES_tradnl"/>
                              </w:rPr>
                              <w:t>19</w:t>
                            </w:r>
                            <w:r w:rsidRPr="006E6974">
                              <w:rPr>
                                <w:rFonts w:ascii="Cambria" w:hAnsi="Cambria"/>
                                <w:color w:val="595959" w:themeColor="text1" w:themeTint="A6"/>
                                <w:sz w:val="18"/>
                                <w:szCs w:val="18"/>
                                <w:lang w:val="es-ES_tradnl"/>
                              </w:rPr>
                              <w:t xml:space="preserve"> de</w:t>
                            </w:r>
                            <w:r w:rsidR="00E12E11">
                              <w:rPr>
                                <w:rFonts w:ascii="Cambria" w:hAnsi="Cambria"/>
                                <w:color w:val="595959" w:themeColor="text1" w:themeTint="A6"/>
                                <w:sz w:val="18"/>
                                <w:szCs w:val="18"/>
                                <w:lang w:val="es-ES_tradnl"/>
                              </w:rPr>
                              <w:t xml:space="preserve"> </w:t>
                            </w:r>
                            <w:r w:rsidR="005C6B71">
                              <w:rPr>
                                <w:rFonts w:ascii="Cambria" w:hAnsi="Cambria"/>
                                <w:color w:val="595959" w:themeColor="text1" w:themeTint="A6"/>
                                <w:sz w:val="18"/>
                                <w:szCs w:val="18"/>
                                <w:lang w:val="es-ES_tradnl"/>
                              </w:rPr>
                              <w:t xml:space="preserve">diciembre </w:t>
                            </w:r>
                            <w:r w:rsidRPr="006E6974">
                              <w:rPr>
                                <w:rFonts w:ascii="Cambria" w:hAnsi="Cambria"/>
                                <w:color w:val="595959" w:themeColor="text1" w:themeTint="A6"/>
                                <w:sz w:val="18"/>
                                <w:szCs w:val="18"/>
                                <w:lang w:val="es-ES_tradnl"/>
                              </w:rPr>
                              <w:t>de 20</w:t>
                            </w:r>
                            <w:r w:rsidR="00DD7638">
                              <w:rPr>
                                <w:rFonts w:ascii="Cambria" w:hAnsi="Cambria"/>
                                <w:color w:val="595959" w:themeColor="text1" w:themeTint="A6"/>
                                <w:sz w:val="18"/>
                                <w:szCs w:val="18"/>
                                <w:lang w:val="es-ES_tradnl"/>
                              </w:rPr>
                              <w:t>2</w:t>
                            </w:r>
                            <w:r w:rsidR="003C6ADB">
                              <w:rPr>
                                <w:rFonts w:ascii="Cambria" w:hAnsi="Cambria"/>
                                <w:color w:val="595959" w:themeColor="text1" w:themeTint="A6"/>
                                <w:sz w:val="18"/>
                                <w:szCs w:val="18"/>
                                <w:lang w:val="es-ES_tradnl"/>
                              </w:rPr>
                              <w:t>5</w:t>
                            </w:r>
                            <w:r w:rsidRPr="006E6974">
                              <w:rPr>
                                <w:rFonts w:ascii="Cambria" w:hAnsi="Cambria"/>
                                <w:color w:val="595959" w:themeColor="text1" w:themeTint="A6"/>
                                <w:sz w:val="18"/>
                                <w:szCs w:val="18"/>
                                <w:lang w:val="es-US"/>
                              </w:rPr>
                              <w:t>.</w:t>
                            </w:r>
                          </w:p>
                          <w:p w14:paraId="770BFA68" w14:textId="77777777" w:rsidR="00384416" w:rsidRPr="009D70A3" w:rsidRDefault="00384416" w:rsidP="002A6B05">
                            <w:pPr>
                              <w:spacing w:line="276" w:lineRule="auto"/>
                              <w:rPr>
                                <w:rFonts w:ascii="Cambria" w:hAnsi="Cambria"/>
                                <w:color w:val="595959" w:themeColor="text1" w:themeTint="A6"/>
                                <w:sz w:val="18"/>
                                <w:szCs w:val="18"/>
                                <w:lang w:val="es-V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4731B" id="Text Box 10" o:spid="_x0000_s1030" type="#_x0000_t202" style="position:absolute;left:0;text-align:left;margin-left:105pt;margin-top:.45pt;width:389.2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547DBEC2" w14:textId="33F40D9B" w:rsidR="00384416" w:rsidRPr="006E6974" w:rsidRDefault="00384416" w:rsidP="002A6B05">
                      <w:pPr>
                        <w:spacing w:line="276" w:lineRule="auto"/>
                        <w:rPr>
                          <w:rFonts w:ascii="Cambria" w:hAnsi="Cambria"/>
                          <w:color w:val="595959" w:themeColor="text1" w:themeTint="A6"/>
                          <w:sz w:val="18"/>
                          <w:szCs w:val="18"/>
                          <w:lang w:val="es-US"/>
                        </w:rPr>
                      </w:pPr>
                      <w:r w:rsidRPr="006E6974">
                        <w:rPr>
                          <w:rFonts w:ascii="Cambria" w:hAnsi="Cambria"/>
                          <w:b/>
                          <w:color w:val="595959" w:themeColor="text1" w:themeTint="A6"/>
                          <w:sz w:val="18"/>
                          <w:szCs w:val="18"/>
                          <w:lang w:val="pt-BR"/>
                        </w:rPr>
                        <w:t>Citar como:</w:t>
                      </w:r>
                      <w:r w:rsidRPr="006E6974">
                        <w:rPr>
                          <w:rFonts w:ascii="Cambria" w:hAnsi="Cambria"/>
                          <w:color w:val="595959" w:themeColor="text1" w:themeTint="A6"/>
                          <w:sz w:val="18"/>
                          <w:szCs w:val="18"/>
                          <w:lang w:val="pt-BR"/>
                        </w:rPr>
                        <w:t xml:space="preserve"> CIDH. Informe N</w:t>
                      </w:r>
                      <w:r w:rsidR="009962AF">
                        <w:rPr>
                          <w:rFonts w:ascii="Cambria" w:hAnsi="Cambria"/>
                          <w:color w:val="595959" w:themeColor="text1" w:themeTint="A6"/>
                          <w:sz w:val="18"/>
                          <w:szCs w:val="18"/>
                          <w:lang w:val="pt-BR"/>
                        </w:rPr>
                        <w:t xml:space="preserve">o. </w:t>
                      </w:r>
                      <w:r w:rsidR="005C6B71">
                        <w:rPr>
                          <w:rFonts w:ascii="Cambria" w:hAnsi="Cambria"/>
                          <w:color w:val="595959" w:themeColor="text1" w:themeTint="A6"/>
                          <w:sz w:val="18"/>
                          <w:szCs w:val="18"/>
                          <w:lang w:val="pt-BR"/>
                        </w:rPr>
                        <w:t>288</w:t>
                      </w:r>
                      <w:r w:rsidRPr="006E6974">
                        <w:rPr>
                          <w:rFonts w:ascii="Cambria" w:hAnsi="Cambria"/>
                          <w:color w:val="595959" w:themeColor="text1" w:themeTint="A6"/>
                          <w:sz w:val="18"/>
                          <w:szCs w:val="18"/>
                          <w:lang w:val="pt-BR"/>
                        </w:rPr>
                        <w:t>/</w:t>
                      </w:r>
                      <w:r w:rsidR="00DD7638">
                        <w:rPr>
                          <w:rFonts w:ascii="Cambria" w:hAnsi="Cambria"/>
                          <w:color w:val="595959" w:themeColor="text1" w:themeTint="A6"/>
                          <w:sz w:val="18"/>
                          <w:szCs w:val="18"/>
                          <w:lang w:val="pt-BR"/>
                        </w:rPr>
                        <w:t>2</w:t>
                      </w:r>
                      <w:r w:rsidR="003C6ADB">
                        <w:rPr>
                          <w:rFonts w:ascii="Cambria" w:hAnsi="Cambria"/>
                          <w:color w:val="595959" w:themeColor="text1" w:themeTint="A6"/>
                          <w:sz w:val="18"/>
                          <w:szCs w:val="18"/>
                          <w:lang w:val="pt-BR"/>
                        </w:rPr>
                        <w:t>5</w:t>
                      </w:r>
                      <w:r w:rsidRPr="006E6974">
                        <w:rPr>
                          <w:rFonts w:ascii="Cambria" w:hAnsi="Cambria"/>
                          <w:color w:val="595959" w:themeColor="text1" w:themeTint="A6"/>
                          <w:sz w:val="18"/>
                          <w:szCs w:val="18"/>
                          <w:lang w:val="pt-BR"/>
                        </w:rPr>
                        <w:t xml:space="preserve">. </w:t>
                      </w:r>
                      <w:r w:rsidRPr="006E6974">
                        <w:rPr>
                          <w:rFonts w:ascii="Cambria" w:hAnsi="Cambria"/>
                          <w:color w:val="595959" w:themeColor="text1" w:themeTint="A6"/>
                          <w:sz w:val="18"/>
                          <w:szCs w:val="18"/>
                          <w:lang w:val="es-PE"/>
                        </w:rPr>
                        <w:t>Caso 1</w:t>
                      </w:r>
                      <w:r>
                        <w:rPr>
                          <w:rFonts w:ascii="Cambria" w:hAnsi="Cambria"/>
                          <w:color w:val="595959" w:themeColor="text1" w:themeTint="A6"/>
                          <w:sz w:val="18"/>
                          <w:szCs w:val="18"/>
                          <w:lang w:val="es-PE"/>
                        </w:rPr>
                        <w:t>3</w:t>
                      </w:r>
                      <w:r w:rsidRPr="006E6974">
                        <w:rPr>
                          <w:rFonts w:ascii="Cambria" w:hAnsi="Cambria"/>
                          <w:color w:val="595959" w:themeColor="text1" w:themeTint="A6"/>
                          <w:sz w:val="18"/>
                          <w:szCs w:val="18"/>
                          <w:lang w:val="es-PE"/>
                        </w:rPr>
                        <w:t>.</w:t>
                      </w:r>
                      <w:r>
                        <w:rPr>
                          <w:rFonts w:ascii="Cambria" w:hAnsi="Cambria"/>
                          <w:color w:val="595959" w:themeColor="text1" w:themeTint="A6"/>
                          <w:sz w:val="18"/>
                          <w:szCs w:val="18"/>
                          <w:lang w:val="es-PE"/>
                        </w:rPr>
                        <w:t>866</w:t>
                      </w:r>
                      <w:r w:rsidRPr="006E6974">
                        <w:rPr>
                          <w:rFonts w:ascii="Cambria" w:hAnsi="Cambria"/>
                          <w:color w:val="595959" w:themeColor="text1" w:themeTint="A6"/>
                          <w:sz w:val="18"/>
                          <w:szCs w:val="18"/>
                          <w:lang w:val="es-PE"/>
                        </w:rPr>
                        <w:t xml:space="preserve">. </w:t>
                      </w:r>
                      <w:r w:rsidRPr="0026741F">
                        <w:rPr>
                          <w:rFonts w:ascii="Cambria" w:hAnsi="Cambria"/>
                          <w:color w:val="595959" w:themeColor="text1" w:themeTint="A6"/>
                          <w:sz w:val="18"/>
                          <w:szCs w:val="18"/>
                          <w:lang w:val="es-ES_tradnl"/>
                        </w:rPr>
                        <w:t>Fondo</w:t>
                      </w:r>
                      <w:r w:rsidR="003C6ADB" w:rsidRPr="0026741F">
                        <w:rPr>
                          <w:rFonts w:ascii="Cambria" w:hAnsi="Cambria"/>
                          <w:color w:val="595959" w:themeColor="text1" w:themeTint="A6"/>
                          <w:sz w:val="18"/>
                          <w:szCs w:val="18"/>
                          <w:lang w:val="es-ES_tradnl"/>
                        </w:rPr>
                        <w:t xml:space="preserve"> (</w:t>
                      </w:r>
                      <w:r w:rsidR="00E12E11" w:rsidRPr="005C6B71">
                        <w:rPr>
                          <w:rFonts w:ascii="Cambria" w:hAnsi="Cambria"/>
                          <w:color w:val="595959" w:themeColor="text1" w:themeTint="A6"/>
                          <w:sz w:val="18"/>
                          <w:szCs w:val="18"/>
                          <w:lang w:val="es-ES_tradnl"/>
                        </w:rPr>
                        <w:t>Publicación</w:t>
                      </w:r>
                      <w:r w:rsidR="003C6ADB" w:rsidRPr="0026741F">
                        <w:rPr>
                          <w:rFonts w:ascii="Cambria" w:hAnsi="Cambria"/>
                          <w:color w:val="595959" w:themeColor="text1" w:themeTint="A6"/>
                          <w:sz w:val="18"/>
                          <w:szCs w:val="18"/>
                          <w:lang w:val="es-ES_tradnl"/>
                        </w:rPr>
                        <w:t>)</w:t>
                      </w:r>
                      <w:r w:rsidRPr="0026741F">
                        <w:rPr>
                          <w:rFonts w:ascii="Cambria" w:hAnsi="Cambria"/>
                          <w:color w:val="595959" w:themeColor="text1" w:themeTint="A6"/>
                          <w:sz w:val="18"/>
                          <w:szCs w:val="18"/>
                          <w:lang w:val="es-ES_tradnl"/>
                        </w:rPr>
                        <w:t>.</w:t>
                      </w:r>
                      <w:r w:rsidRPr="006E6974">
                        <w:rPr>
                          <w:rFonts w:ascii="Cambria" w:hAnsi="Cambria"/>
                          <w:color w:val="595959" w:themeColor="text1" w:themeTint="A6"/>
                          <w:sz w:val="18"/>
                          <w:szCs w:val="18"/>
                          <w:lang w:val="es-ES_tradnl"/>
                        </w:rPr>
                        <w:t xml:space="preserve"> </w:t>
                      </w:r>
                      <w:r>
                        <w:rPr>
                          <w:rFonts w:ascii="Cambria" w:hAnsi="Cambria"/>
                          <w:color w:val="595959" w:themeColor="text1" w:themeTint="A6"/>
                          <w:sz w:val="18"/>
                          <w:szCs w:val="18"/>
                          <w:lang w:val="es-ES_tradnl"/>
                        </w:rPr>
                        <w:t>Sarah Lyn Langton y familia</w:t>
                      </w:r>
                      <w:r w:rsidRPr="006E6974">
                        <w:rPr>
                          <w:rFonts w:ascii="Cambria" w:hAnsi="Cambria"/>
                          <w:color w:val="595959" w:themeColor="text1" w:themeTint="A6"/>
                          <w:sz w:val="18"/>
                          <w:szCs w:val="18"/>
                          <w:lang w:val="es-ES_tradnl"/>
                        </w:rPr>
                        <w:t xml:space="preserve">. Venezuela. </w:t>
                      </w:r>
                      <w:r w:rsidR="005C6B71">
                        <w:rPr>
                          <w:rFonts w:ascii="Cambria" w:hAnsi="Cambria"/>
                          <w:color w:val="595959" w:themeColor="text1" w:themeTint="A6"/>
                          <w:sz w:val="18"/>
                          <w:szCs w:val="18"/>
                          <w:lang w:val="es-ES_tradnl"/>
                        </w:rPr>
                        <w:t>19</w:t>
                      </w:r>
                      <w:r w:rsidRPr="006E6974">
                        <w:rPr>
                          <w:rFonts w:ascii="Cambria" w:hAnsi="Cambria"/>
                          <w:color w:val="595959" w:themeColor="text1" w:themeTint="A6"/>
                          <w:sz w:val="18"/>
                          <w:szCs w:val="18"/>
                          <w:lang w:val="es-ES_tradnl"/>
                        </w:rPr>
                        <w:t xml:space="preserve"> de</w:t>
                      </w:r>
                      <w:r w:rsidR="00E12E11">
                        <w:rPr>
                          <w:rFonts w:ascii="Cambria" w:hAnsi="Cambria"/>
                          <w:color w:val="595959" w:themeColor="text1" w:themeTint="A6"/>
                          <w:sz w:val="18"/>
                          <w:szCs w:val="18"/>
                          <w:lang w:val="es-ES_tradnl"/>
                        </w:rPr>
                        <w:t xml:space="preserve"> </w:t>
                      </w:r>
                      <w:r w:rsidR="005C6B71">
                        <w:rPr>
                          <w:rFonts w:ascii="Cambria" w:hAnsi="Cambria"/>
                          <w:color w:val="595959" w:themeColor="text1" w:themeTint="A6"/>
                          <w:sz w:val="18"/>
                          <w:szCs w:val="18"/>
                          <w:lang w:val="es-ES_tradnl"/>
                        </w:rPr>
                        <w:t xml:space="preserve">diciembre </w:t>
                      </w:r>
                      <w:r w:rsidRPr="006E6974">
                        <w:rPr>
                          <w:rFonts w:ascii="Cambria" w:hAnsi="Cambria"/>
                          <w:color w:val="595959" w:themeColor="text1" w:themeTint="A6"/>
                          <w:sz w:val="18"/>
                          <w:szCs w:val="18"/>
                          <w:lang w:val="es-ES_tradnl"/>
                        </w:rPr>
                        <w:t>de 20</w:t>
                      </w:r>
                      <w:r w:rsidR="00DD7638">
                        <w:rPr>
                          <w:rFonts w:ascii="Cambria" w:hAnsi="Cambria"/>
                          <w:color w:val="595959" w:themeColor="text1" w:themeTint="A6"/>
                          <w:sz w:val="18"/>
                          <w:szCs w:val="18"/>
                          <w:lang w:val="es-ES_tradnl"/>
                        </w:rPr>
                        <w:t>2</w:t>
                      </w:r>
                      <w:r w:rsidR="003C6ADB">
                        <w:rPr>
                          <w:rFonts w:ascii="Cambria" w:hAnsi="Cambria"/>
                          <w:color w:val="595959" w:themeColor="text1" w:themeTint="A6"/>
                          <w:sz w:val="18"/>
                          <w:szCs w:val="18"/>
                          <w:lang w:val="es-ES_tradnl"/>
                        </w:rPr>
                        <w:t>5</w:t>
                      </w:r>
                      <w:r w:rsidRPr="006E6974">
                        <w:rPr>
                          <w:rFonts w:ascii="Cambria" w:hAnsi="Cambria"/>
                          <w:color w:val="595959" w:themeColor="text1" w:themeTint="A6"/>
                          <w:sz w:val="18"/>
                          <w:szCs w:val="18"/>
                          <w:lang w:val="es-US"/>
                        </w:rPr>
                        <w:t>.</w:t>
                      </w:r>
                    </w:p>
                    <w:p w14:paraId="770BFA68" w14:textId="77777777" w:rsidR="00384416" w:rsidRPr="009D70A3" w:rsidRDefault="00384416" w:rsidP="002A6B05">
                      <w:pPr>
                        <w:spacing w:line="276" w:lineRule="auto"/>
                        <w:rPr>
                          <w:rFonts w:ascii="Cambria" w:hAnsi="Cambria"/>
                          <w:color w:val="595959" w:themeColor="text1" w:themeTint="A6"/>
                          <w:sz w:val="18"/>
                          <w:szCs w:val="18"/>
                          <w:lang w:val="es-VE"/>
                        </w:rPr>
                      </w:pPr>
                    </w:p>
                  </w:txbxContent>
                </v:textbox>
              </v:shape>
            </w:pict>
          </mc:Fallback>
        </mc:AlternateContent>
      </w:r>
    </w:p>
    <w:p w14:paraId="45540386" w14:textId="77777777" w:rsidR="002A6B05" w:rsidRPr="008D65EE" w:rsidRDefault="002A6B05" w:rsidP="002A6B05">
      <w:pPr>
        <w:tabs>
          <w:tab w:val="center" w:pos="5400"/>
        </w:tabs>
        <w:suppressAutoHyphens/>
        <w:jc w:val="center"/>
        <w:rPr>
          <w:rFonts w:ascii="Cambria" w:hAnsi="Cambria"/>
          <w:sz w:val="20"/>
          <w:szCs w:val="20"/>
          <w:lang w:val="es-CO"/>
        </w:rPr>
      </w:pPr>
    </w:p>
    <w:p w14:paraId="431800CC" w14:textId="77777777" w:rsidR="002A6B05" w:rsidRPr="008D65EE" w:rsidRDefault="002A6B05" w:rsidP="002A6B05">
      <w:pPr>
        <w:tabs>
          <w:tab w:val="center" w:pos="5400"/>
        </w:tabs>
        <w:suppressAutoHyphens/>
        <w:jc w:val="center"/>
        <w:rPr>
          <w:rFonts w:ascii="Cambria" w:hAnsi="Cambria"/>
          <w:b/>
          <w:sz w:val="20"/>
          <w:szCs w:val="20"/>
          <w:lang w:val="es-CO"/>
        </w:rPr>
      </w:pPr>
      <w:r w:rsidRPr="008D65EE">
        <w:rPr>
          <w:rFonts w:ascii="Cambria" w:hAnsi="Cambria"/>
          <w:noProof/>
          <w:sz w:val="20"/>
          <w:szCs w:val="20"/>
          <w:lang w:val="es-CO"/>
        </w:rPr>
        <mc:AlternateContent>
          <mc:Choice Requires="wps">
            <w:drawing>
              <wp:anchor distT="0" distB="0" distL="114300" distR="114300" simplePos="0" relativeHeight="251665408" behindDoc="0" locked="0" layoutInCell="1" allowOverlap="1" wp14:anchorId="48755A85" wp14:editId="591E89D0">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F47D1" w14:textId="77777777" w:rsidR="00384416" w:rsidRPr="00D72DC6" w:rsidRDefault="00384416" w:rsidP="002A6B05">
                            <w:pPr>
                              <w:rPr>
                                <w:color w:val="FFFFFF" w:themeColor="background1"/>
                                <w14:textFill>
                                  <w14:noFill/>
                                </w14:textFill>
                              </w:rPr>
                            </w:pPr>
                            <w:r w:rsidRPr="00D72DC6">
                              <w:rPr>
                                <w:noProof/>
                                <w:color w:val="FFFFFF" w:themeColor="background1"/>
                                <w14:textFill>
                                  <w14:noFill/>
                                </w14:textFill>
                              </w:rPr>
                              <w:drawing>
                                <wp:inline distT="0" distB="0" distL="0" distR="0" wp14:anchorId="529B6975" wp14:editId="2F29A04C">
                                  <wp:extent cx="1338942" cy="390525"/>
                                  <wp:effectExtent l="0" t="0" r="0" b="0"/>
                                  <wp:docPr id="15" name="Picture 15"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83" cy="4000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55A85" id="Text Box 9" o:spid="_x0000_s1031" type="#_x0000_t202" style="position:absolute;left:0;text-align:left;margin-left:104.7pt;margin-top:50.3pt;width:322.55pt;height:4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053F47D1" w14:textId="77777777" w:rsidR="00384416" w:rsidRPr="00D72DC6" w:rsidRDefault="00384416" w:rsidP="002A6B05">
                      <w:pPr>
                        <w:rPr>
                          <w:color w:val="FFFFFF" w:themeColor="background1"/>
                          <w14:textFill>
                            <w14:noFill/>
                          </w14:textFill>
                        </w:rPr>
                      </w:pPr>
                      <w:r w:rsidRPr="00D72DC6">
                        <w:rPr>
                          <w:noProof/>
                          <w:color w:val="FFFFFF" w:themeColor="background1"/>
                          <w14:textFill>
                            <w14:noFill/>
                          </w14:textFill>
                        </w:rPr>
                        <w:drawing>
                          <wp:inline distT="0" distB="0" distL="0" distR="0" wp14:anchorId="529B6975" wp14:editId="2F29A04C">
                            <wp:extent cx="1338942" cy="390525"/>
                            <wp:effectExtent l="0" t="0" r="0" b="0"/>
                            <wp:docPr id="15" name="Picture 15"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83" cy="400074"/>
                                    </a:xfrm>
                                    <a:prstGeom prst="rect">
                                      <a:avLst/>
                                    </a:prstGeom>
                                    <a:noFill/>
                                    <a:ln>
                                      <a:noFill/>
                                    </a:ln>
                                  </pic:spPr>
                                </pic:pic>
                              </a:graphicData>
                            </a:graphic>
                          </wp:inline>
                        </w:drawing>
                      </w:r>
                    </w:p>
                  </w:txbxContent>
                </v:textbox>
              </v:shape>
            </w:pict>
          </mc:Fallback>
        </mc:AlternateContent>
      </w:r>
      <w:r w:rsidRPr="008D65EE">
        <w:rPr>
          <w:rFonts w:ascii="Cambria" w:hAnsi="Cambria"/>
          <w:noProof/>
          <w:sz w:val="20"/>
          <w:szCs w:val="20"/>
          <w:lang w:val="es-CO"/>
        </w:rPr>
        <mc:AlternateContent>
          <mc:Choice Requires="wps">
            <w:drawing>
              <wp:anchor distT="0" distB="0" distL="114300" distR="114300" simplePos="0" relativeHeight="251666432" behindDoc="0" locked="0" layoutInCell="1" allowOverlap="1" wp14:anchorId="0399E72E" wp14:editId="4246716E">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74193" w14:textId="77777777" w:rsidR="00384416" w:rsidRPr="004B7EB6" w:rsidRDefault="00384416" w:rsidP="002A6B05">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9E72E" id="Text Box 4" o:spid="_x0000_s1032" type="#_x0000_t202" style="position:absolute;left:0;text-align:left;margin-left:-21.45pt;margin-top:72.05pt;width:93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AF74193" w14:textId="77777777" w:rsidR="00384416" w:rsidRPr="004B7EB6" w:rsidRDefault="00384416" w:rsidP="002A6B05">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0AE37924" w14:textId="77777777" w:rsidR="002A6B05" w:rsidRPr="008D65EE" w:rsidRDefault="002A6B05" w:rsidP="002A6B05">
      <w:pPr>
        <w:tabs>
          <w:tab w:val="center" w:pos="5400"/>
        </w:tabs>
        <w:suppressAutoHyphens/>
        <w:jc w:val="center"/>
        <w:rPr>
          <w:rFonts w:ascii="Cambria" w:hAnsi="Cambria"/>
          <w:b/>
          <w:sz w:val="18"/>
          <w:szCs w:val="18"/>
          <w:lang w:val="es-CO"/>
        </w:rPr>
      </w:pPr>
    </w:p>
    <w:p w14:paraId="53AB0430" w14:textId="77777777" w:rsidR="002A6B05" w:rsidRPr="008D65EE" w:rsidRDefault="002A6B05" w:rsidP="002A6B05">
      <w:pPr>
        <w:tabs>
          <w:tab w:val="center" w:pos="5400"/>
        </w:tabs>
        <w:suppressAutoHyphens/>
        <w:spacing w:line="276" w:lineRule="auto"/>
        <w:jc w:val="center"/>
        <w:rPr>
          <w:rFonts w:ascii="Cambria" w:hAnsi="Cambria"/>
          <w:b/>
          <w:sz w:val="18"/>
          <w:szCs w:val="18"/>
          <w:lang w:val="es-CO"/>
        </w:rPr>
      </w:pPr>
    </w:p>
    <w:p w14:paraId="62CC826C" w14:textId="77777777" w:rsidR="002A6B05" w:rsidRPr="008D65EE" w:rsidRDefault="002A6B05" w:rsidP="002A6B05">
      <w:pPr>
        <w:tabs>
          <w:tab w:val="center" w:pos="5400"/>
        </w:tabs>
        <w:suppressAutoHyphens/>
        <w:spacing w:line="276" w:lineRule="auto"/>
        <w:jc w:val="center"/>
        <w:rPr>
          <w:rFonts w:ascii="Cambria" w:hAnsi="Cambria"/>
          <w:b/>
          <w:sz w:val="18"/>
          <w:szCs w:val="18"/>
          <w:lang w:val="es-CO"/>
        </w:rPr>
      </w:pPr>
    </w:p>
    <w:p w14:paraId="5AB45308" w14:textId="77777777" w:rsidR="002A6B05" w:rsidRPr="008D65EE" w:rsidRDefault="002A6B05" w:rsidP="002A6B05">
      <w:pPr>
        <w:tabs>
          <w:tab w:val="center" w:pos="5400"/>
        </w:tabs>
        <w:suppressAutoHyphens/>
        <w:spacing w:line="276" w:lineRule="auto"/>
        <w:jc w:val="center"/>
        <w:rPr>
          <w:rFonts w:ascii="Cambria" w:hAnsi="Cambria"/>
          <w:b/>
          <w:sz w:val="18"/>
          <w:szCs w:val="18"/>
          <w:lang w:val="es-CO"/>
        </w:rPr>
      </w:pPr>
    </w:p>
    <w:p w14:paraId="52E24607" w14:textId="77777777" w:rsidR="002A6B05" w:rsidRPr="008D65EE" w:rsidRDefault="002A6B05" w:rsidP="002A6B05">
      <w:pPr>
        <w:tabs>
          <w:tab w:val="center" w:pos="5400"/>
        </w:tabs>
        <w:suppressAutoHyphens/>
        <w:spacing w:line="276" w:lineRule="auto"/>
        <w:jc w:val="center"/>
        <w:rPr>
          <w:rFonts w:ascii="Cambria" w:hAnsi="Cambria"/>
          <w:b/>
          <w:sz w:val="18"/>
          <w:szCs w:val="18"/>
          <w:lang w:val="es-CO"/>
        </w:rPr>
      </w:pPr>
    </w:p>
    <w:p w14:paraId="4DA55881" w14:textId="77777777" w:rsidR="002A6B05" w:rsidRPr="008D65EE" w:rsidRDefault="002A6B05" w:rsidP="002A6B05">
      <w:pPr>
        <w:tabs>
          <w:tab w:val="center" w:pos="5400"/>
        </w:tabs>
        <w:suppressAutoHyphens/>
        <w:spacing w:line="276" w:lineRule="auto"/>
        <w:jc w:val="center"/>
        <w:rPr>
          <w:rFonts w:ascii="Cambria" w:hAnsi="Cambria"/>
          <w:b/>
          <w:sz w:val="18"/>
          <w:szCs w:val="18"/>
          <w:lang w:val="es-CO"/>
        </w:rPr>
      </w:pPr>
      <w:r w:rsidRPr="008D65EE">
        <w:rPr>
          <w:rFonts w:ascii="Cambria" w:hAnsi="Cambria"/>
          <w:b/>
          <w:sz w:val="18"/>
          <w:szCs w:val="18"/>
          <w:lang w:val="es-CO"/>
        </w:rPr>
        <w:t>INFORME No. xxx/xx</w:t>
      </w:r>
    </w:p>
    <w:p w14:paraId="4434CE7E" w14:textId="77777777" w:rsidR="002A6B05" w:rsidRPr="008D65EE" w:rsidRDefault="002A6B05" w:rsidP="002A6B05">
      <w:pPr>
        <w:tabs>
          <w:tab w:val="center" w:pos="5400"/>
        </w:tabs>
        <w:suppressAutoHyphens/>
        <w:rPr>
          <w:rFonts w:ascii="Cambria" w:hAnsi="Cambria"/>
          <w:sz w:val="20"/>
          <w:szCs w:val="20"/>
          <w:lang w:val="es-CO"/>
        </w:rPr>
      </w:pPr>
    </w:p>
    <w:p w14:paraId="38E29C2E" w14:textId="77777777" w:rsidR="002A6B05" w:rsidRPr="00281C8E" w:rsidRDefault="002A6B05" w:rsidP="002A6B05">
      <w:pPr>
        <w:tabs>
          <w:tab w:val="center" w:pos="5400"/>
        </w:tabs>
        <w:suppressAutoHyphens/>
        <w:jc w:val="center"/>
        <w:rPr>
          <w:rFonts w:ascii="Cambria" w:hAnsi="Cambria"/>
          <w:b/>
          <w:lang w:val="es-CO"/>
        </w:rPr>
      </w:pPr>
      <w:r w:rsidRPr="00281C8E">
        <w:rPr>
          <w:rFonts w:ascii="Cambria" w:hAnsi="Cambria"/>
          <w:b/>
          <w:lang w:val="es-CO"/>
        </w:rPr>
        <w:t>ÍNDICE</w:t>
      </w:r>
    </w:p>
    <w:sdt>
      <w:sdtPr>
        <w:rPr>
          <w:rFonts w:ascii="Cambria" w:eastAsia="Arial Unicode MS" w:hAnsi="Cambria" w:cs="Times New Roman"/>
          <w:b w:val="0"/>
          <w:bCs w:val="0"/>
          <w:color w:val="auto"/>
          <w:sz w:val="24"/>
          <w:szCs w:val="24"/>
          <w:bdr w:val="nil"/>
          <w:lang w:val="es-CO" w:eastAsia="en-US"/>
        </w:rPr>
        <w:id w:val="-2143880512"/>
        <w:docPartObj>
          <w:docPartGallery w:val="Table of Contents"/>
          <w:docPartUnique/>
        </w:docPartObj>
      </w:sdtPr>
      <w:sdtEndPr/>
      <w:sdtContent>
        <w:p w14:paraId="688E5378" w14:textId="77777777" w:rsidR="002A6B05" w:rsidRPr="00281C8E" w:rsidRDefault="002A6B05" w:rsidP="002A6B05">
          <w:pPr>
            <w:pStyle w:val="TOCHeading"/>
            <w:spacing w:before="0" w:line="240" w:lineRule="auto"/>
            <w:rPr>
              <w:rFonts w:ascii="Cambria" w:hAnsi="Cambria"/>
              <w:b w:val="0"/>
              <w:sz w:val="24"/>
              <w:szCs w:val="24"/>
              <w:lang w:val="es-CO"/>
            </w:rPr>
          </w:pPr>
        </w:p>
        <w:p w14:paraId="7B4FDD2F" w14:textId="0540D9FB" w:rsidR="00281C8E" w:rsidRPr="00281C8E" w:rsidRDefault="002A6B05">
          <w:pPr>
            <w:pStyle w:val="TOC1"/>
            <w:rPr>
              <w:rFonts w:eastAsiaTheme="minorEastAsia" w:cstheme="minorBidi"/>
              <w:b w:val="0"/>
              <w:bCs w:val="0"/>
              <w:kern w:val="2"/>
              <w:sz w:val="24"/>
              <w:szCs w:val="24"/>
              <w:bdr w:val="none" w:sz="0" w:space="0" w:color="auto"/>
              <w:lang w:val="en-US"/>
              <w14:ligatures w14:val="standardContextual"/>
            </w:rPr>
          </w:pPr>
          <w:r w:rsidRPr="00281C8E">
            <w:rPr>
              <w:noProof w:val="0"/>
              <w:sz w:val="24"/>
              <w:szCs w:val="24"/>
              <w:lang w:val="es-CO"/>
            </w:rPr>
            <w:fldChar w:fldCharType="begin"/>
          </w:r>
          <w:r w:rsidRPr="00281C8E">
            <w:rPr>
              <w:noProof w:val="0"/>
              <w:sz w:val="24"/>
              <w:szCs w:val="24"/>
              <w:lang w:val="es-CO"/>
            </w:rPr>
            <w:instrText xml:space="preserve"> TOC \o "1-3" \h \z \u </w:instrText>
          </w:r>
          <w:r w:rsidRPr="00281C8E">
            <w:rPr>
              <w:noProof w:val="0"/>
              <w:sz w:val="24"/>
              <w:szCs w:val="24"/>
              <w:lang w:val="es-CO"/>
            </w:rPr>
            <w:fldChar w:fldCharType="separate"/>
          </w:r>
          <w:hyperlink w:anchor="_Toc217309311" w:history="1">
            <w:r w:rsidR="00281C8E" w:rsidRPr="00281C8E">
              <w:rPr>
                <w:rStyle w:val="Hyperlink"/>
                <w:sz w:val="24"/>
                <w:szCs w:val="24"/>
              </w:rPr>
              <w:t>I.</w:t>
            </w:r>
            <w:r w:rsidR="00281C8E" w:rsidRPr="00281C8E">
              <w:rPr>
                <w:rFonts w:eastAsiaTheme="minorEastAsia" w:cstheme="minorBidi"/>
                <w:b w:val="0"/>
                <w:bCs w:val="0"/>
                <w:kern w:val="2"/>
                <w:sz w:val="24"/>
                <w:szCs w:val="24"/>
                <w:bdr w:val="none" w:sz="0" w:space="0" w:color="auto"/>
                <w:lang w:val="en-US"/>
                <w14:ligatures w14:val="standardContextual"/>
              </w:rPr>
              <w:tab/>
            </w:r>
            <w:r w:rsidR="00281C8E" w:rsidRPr="00281C8E">
              <w:rPr>
                <w:rStyle w:val="Hyperlink"/>
                <w:sz w:val="24"/>
                <w:szCs w:val="24"/>
                <w:lang w:val="es-CO"/>
              </w:rPr>
              <w:t>RESUMEN</w:t>
            </w:r>
            <w:r w:rsidR="00281C8E" w:rsidRPr="00281C8E">
              <w:rPr>
                <w:webHidden/>
                <w:sz w:val="24"/>
                <w:szCs w:val="24"/>
              </w:rPr>
              <w:tab/>
            </w:r>
            <w:r w:rsidR="00281C8E" w:rsidRPr="00281C8E">
              <w:rPr>
                <w:webHidden/>
                <w:sz w:val="24"/>
                <w:szCs w:val="24"/>
              </w:rPr>
              <w:fldChar w:fldCharType="begin"/>
            </w:r>
            <w:r w:rsidR="00281C8E" w:rsidRPr="00281C8E">
              <w:rPr>
                <w:webHidden/>
                <w:sz w:val="24"/>
                <w:szCs w:val="24"/>
              </w:rPr>
              <w:instrText xml:space="preserve"> PAGEREF _Toc217309311 \h </w:instrText>
            </w:r>
            <w:r w:rsidR="00281C8E" w:rsidRPr="00281C8E">
              <w:rPr>
                <w:webHidden/>
                <w:sz w:val="24"/>
                <w:szCs w:val="24"/>
              </w:rPr>
            </w:r>
            <w:r w:rsidR="00281C8E" w:rsidRPr="00281C8E">
              <w:rPr>
                <w:webHidden/>
                <w:sz w:val="24"/>
                <w:szCs w:val="24"/>
              </w:rPr>
              <w:fldChar w:fldCharType="separate"/>
            </w:r>
            <w:r w:rsidR="00756083">
              <w:rPr>
                <w:webHidden/>
                <w:sz w:val="24"/>
                <w:szCs w:val="24"/>
              </w:rPr>
              <w:t>3</w:t>
            </w:r>
            <w:r w:rsidR="00281C8E" w:rsidRPr="00281C8E">
              <w:rPr>
                <w:webHidden/>
                <w:sz w:val="24"/>
                <w:szCs w:val="24"/>
              </w:rPr>
              <w:fldChar w:fldCharType="end"/>
            </w:r>
          </w:hyperlink>
        </w:p>
        <w:p w14:paraId="41E56044" w14:textId="2EEB4503" w:rsidR="00281C8E" w:rsidRPr="00281C8E" w:rsidRDefault="00281C8E">
          <w:pPr>
            <w:pStyle w:val="TOC1"/>
            <w:rPr>
              <w:rFonts w:eastAsiaTheme="minorEastAsia" w:cstheme="minorBidi"/>
              <w:b w:val="0"/>
              <w:bCs w:val="0"/>
              <w:kern w:val="2"/>
              <w:sz w:val="24"/>
              <w:szCs w:val="24"/>
              <w:bdr w:val="none" w:sz="0" w:space="0" w:color="auto"/>
              <w:lang w:val="en-US"/>
              <w14:ligatures w14:val="standardContextual"/>
            </w:rPr>
          </w:pPr>
          <w:hyperlink w:anchor="_Toc217309312" w:history="1">
            <w:r w:rsidRPr="00281C8E">
              <w:rPr>
                <w:rStyle w:val="Hyperlink"/>
                <w:sz w:val="24"/>
                <w:szCs w:val="24"/>
              </w:rPr>
              <w:t>II.</w:t>
            </w:r>
            <w:r w:rsidRPr="00281C8E">
              <w:rPr>
                <w:rFonts w:eastAsiaTheme="minorEastAsia" w:cstheme="minorBidi"/>
                <w:b w:val="0"/>
                <w:bCs w:val="0"/>
                <w:kern w:val="2"/>
                <w:sz w:val="24"/>
                <w:szCs w:val="24"/>
                <w:bdr w:val="none" w:sz="0" w:space="0" w:color="auto"/>
                <w:lang w:val="en-US"/>
                <w14:ligatures w14:val="standardContextual"/>
              </w:rPr>
              <w:tab/>
            </w:r>
            <w:r w:rsidRPr="00281C8E">
              <w:rPr>
                <w:rStyle w:val="Hyperlink"/>
                <w:sz w:val="24"/>
                <w:szCs w:val="24"/>
                <w:lang w:val="es-CO"/>
              </w:rPr>
              <w:t>POSICIONES DE LAS PARTES</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_Toc217309312 \h </w:instrText>
            </w:r>
            <w:r w:rsidRPr="00281C8E">
              <w:rPr>
                <w:webHidden/>
                <w:sz w:val="24"/>
                <w:szCs w:val="24"/>
              </w:rPr>
            </w:r>
            <w:r w:rsidRPr="00281C8E">
              <w:rPr>
                <w:webHidden/>
                <w:sz w:val="24"/>
                <w:szCs w:val="24"/>
              </w:rPr>
              <w:fldChar w:fldCharType="separate"/>
            </w:r>
            <w:r w:rsidR="00756083">
              <w:rPr>
                <w:webHidden/>
                <w:sz w:val="24"/>
                <w:szCs w:val="24"/>
              </w:rPr>
              <w:t>3</w:t>
            </w:r>
            <w:r w:rsidRPr="00281C8E">
              <w:rPr>
                <w:webHidden/>
                <w:sz w:val="24"/>
                <w:szCs w:val="24"/>
              </w:rPr>
              <w:fldChar w:fldCharType="end"/>
            </w:r>
          </w:hyperlink>
        </w:p>
        <w:p w14:paraId="17AAE4DA" w14:textId="6B02F020"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13" w:history="1">
            <w:r w:rsidRPr="00281C8E">
              <w:rPr>
                <w:rStyle w:val="Hyperlink"/>
                <w:sz w:val="24"/>
                <w:szCs w:val="24"/>
                <w:lang w:val="es-CO"/>
              </w:rPr>
              <w:t>A.</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Parte peticionaria</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_Toc217309313 \h </w:instrText>
            </w:r>
            <w:r w:rsidRPr="00281C8E">
              <w:rPr>
                <w:webHidden/>
                <w:sz w:val="24"/>
                <w:szCs w:val="24"/>
              </w:rPr>
            </w:r>
            <w:r w:rsidRPr="00281C8E">
              <w:rPr>
                <w:webHidden/>
                <w:sz w:val="24"/>
                <w:szCs w:val="24"/>
              </w:rPr>
              <w:fldChar w:fldCharType="separate"/>
            </w:r>
            <w:r w:rsidR="00756083">
              <w:rPr>
                <w:webHidden/>
                <w:sz w:val="24"/>
                <w:szCs w:val="24"/>
              </w:rPr>
              <w:t>3</w:t>
            </w:r>
            <w:r w:rsidRPr="00281C8E">
              <w:rPr>
                <w:webHidden/>
                <w:sz w:val="24"/>
                <w:szCs w:val="24"/>
              </w:rPr>
              <w:fldChar w:fldCharType="end"/>
            </w:r>
          </w:hyperlink>
        </w:p>
        <w:p w14:paraId="121A3200" w14:textId="50336003"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14" w:history="1">
            <w:r w:rsidRPr="00281C8E">
              <w:rPr>
                <w:rStyle w:val="Hyperlink"/>
                <w:sz w:val="24"/>
                <w:szCs w:val="24"/>
                <w:lang w:val="es-CO"/>
              </w:rPr>
              <w:t>B.</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Posición del Estado</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_Toc217309314 \h </w:instrText>
            </w:r>
            <w:r w:rsidRPr="00281C8E">
              <w:rPr>
                <w:webHidden/>
                <w:sz w:val="24"/>
                <w:szCs w:val="24"/>
              </w:rPr>
            </w:r>
            <w:r w:rsidRPr="00281C8E">
              <w:rPr>
                <w:webHidden/>
                <w:sz w:val="24"/>
                <w:szCs w:val="24"/>
              </w:rPr>
              <w:fldChar w:fldCharType="separate"/>
            </w:r>
            <w:r w:rsidR="00756083">
              <w:rPr>
                <w:webHidden/>
                <w:sz w:val="24"/>
                <w:szCs w:val="24"/>
              </w:rPr>
              <w:t>5</w:t>
            </w:r>
            <w:r w:rsidRPr="00281C8E">
              <w:rPr>
                <w:webHidden/>
                <w:sz w:val="24"/>
                <w:szCs w:val="24"/>
              </w:rPr>
              <w:fldChar w:fldCharType="end"/>
            </w:r>
          </w:hyperlink>
        </w:p>
        <w:p w14:paraId="11FCE353" w14:textId="71047B4A" w:rsidR="00281C8E" w:rsidRPr="00281C8E" w:rsidRDefault="00281C8E">
          <w:pPr>
            <w:pStyle w:val="TOC1"/>
            <w:rPr>
              <w:rFonts w:eastAsiaTheme="minorEastAsia" w:cstheme="minorBidi"/>
              <w:b w:val="0"/>
              <w:bCs w:val="0"/>
              <w:kern w:val="2"/>
              <w:sz w:val="24"/>
              <w:szCs w:val="24"/>
              <w:bdr w:val="none" w:sz="0" w:space="0" w:color="auto"/>
              <w:lang w:val="en-US"/>
              <w14:ligatures w14:val="standardContextual"/>
            </w:rPr>
          </w:pPr>
          <w:hyperlink w:anchor="_Toc217309315" w:history="1">
            <w:r w:rsidRPr="00281C8E">
              <w:rPr>
                <w:rStyle w:val="Hyperlink"/>
                <w:sz w:val="24"/>
                <w:szCs w:val="24"/>
              </w:rPr>
              <w:t>III.</w:t>
            </w:r>
            <w:r w:rsidRPr="00281C8E">
              <w:rPr>
                <w:rFonts w:eastAsiaTheme="minorEastAsia" w:cstheme="minorBidi"/>
                <w:b w:val="0"/>
                <w:bCs w:val="0"/>
                <w:kern w:val="2"/>
                <w:sz w:val="24"/>
                <w:szCs w:val="24"/>
                <w:bdr w:val="none" w:sz="0" w:space="0" w:color="auto"/>
                <w:lang w:val="en-US"/>
                <w14:ligatures w14:val="standardContextual"/>
              </w:rPr>
              <w:tab/>
            </w:r>
            <w:r w:rsidRPr="00281C8E">
              <w:rPr>
                <w:rStyle w:val="Hyperlink"/>
                <w:sz w:val="24"/>
                <w:szCs w:val="24"/>
                <w:lang w:val="es-CO"/>
              </w:rPr>
              <w:t>DETERMINACIÓN DE LOS HECHOS</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_Toc217309315 \h </w:instrText>
            </w:r>
            <w:r w:rsidRPr="00281C8E">
              <w:rPr>
                <w:webHidden/>
                <w:sz w:val="24"/>
                <w:szCs w:val="24"/>
              </w:rPr>
            </w:r>
            <w:r w:rsidRPr="00281C8E">
              <w:rPr>
                <w:webHidden/>
                <w:sz w:val="24"/>
                <w:szCs w:val="24"/>
              </w:rPr>
              <w:fldChar w:fldCharType="separate"/>
            </w:r>
            <w:r w:rsidR="00756083">
              <w:rPr>
                <w:webHidden/>
                <w:sz w:val="24"/>
                <w:szCs w:val="24"/>
              </w:rPr>
              <w:t>5</w:t>
            </w:r>
            <w:r w:rsidRPr="00281C8E">
              <w:rPr>
                <w:webHidden/>
                <w:sz w:val="24"/>
                <w:szCs w:val="24"/>
              </w:rPr>
              <w:fldChar w:fldCharType="end"/>
            </w:r>
          </w:hyperlink>
        </w:p>
        <w:p w14:paraId="2DA998E8" w14:textId="56BEE977"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16" w:history="1">
            <w:r w:rsidRPr="00281C8E">
              <w:rPr>
                <w:rStyle w:val="Hyperlink"/>
                <w:sz w:val="24"/>
                <w:szCs w:val="24"/>
                <w:lang w:val="es-CO"/>
              </w:rPr>
              <w:t>A.</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Contexto y antecedentes: condiciones de detención en el INOF y servicios de atención médica a privados de libertad en Venezuela</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_Toc217309316 \h </w:instrText>
            </w:r>
            <w:r w:rsidRPr="00281C8E">
              <w:rPr>
                <w:webHidden/>
                <w:sz w:val="24"/>
                <w:szCs w:val="24"/>
              </w:rPr>
            </w:r>
            <w:r w:rsidRPr="00281C8E">
              <w:rPr>
                <w:webHidden/>
                <w:sz w:val="24"/>
                <w:szCs w:val="24"/>
              </w:rPr>
              <w:fldChar w:fldCharType="separate"/>
            </w:r>
            <w:r w:rsidR="00756083">
              <w:rPr>
                <w:webHidden/>
                <w:sz w:val="24"/>
                <w:szCs w:val="24"/>
              </w:rPr>
              <w:t>5</w:t>
            </w:r>
            <w:r w:rsidRPr="00281C8E">
              <w:rPr>
                <w:webHidden/>
                <w:sz w:val="24"/>
                <w:szCs w:val="24"/>
              </w:rPr>
              <w:fldChar w:fldCharType="end"/>
            </w:r>
          </w:hyperlink>
        </w:p>
        <w:p w14:paraId="5E5BC722" w14:textId="69079D7A"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17" w:history="1">
            <w:r w:rsidRPr="00281C8E">
              <w:rPr>
                <w:rStyle w:val="Hyperlink"/>
                <w:sz w:val="24"/>
                <w:szCs w:val="24"/>
                <w:lang w:val="es-CO"/>
              </w:rPr>
              <w:t>B.</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La situación de salud física y psicológica de Sarah Lyn Langton durante su privación de libertad en el INOF</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_Toc217309317 \h </w:instrText>
            </w:r>
            <w:r w:rsidRPr="00281C8E">
              <w:rPr>
                <w:webHidden/>
                <w:sz w:val="24"/>
                <w:szCs w:val="24"/>
              </w:rPr>
            </w:r>
            <w:r w:rsidRPr="00281C8E">
              <w:rPr>
                <w:webHidden/>
                <w:sz w:val="24"/>
                <w:szCs w:val="24"/>
              </w:rPr>
              <w:fldChar w:fldCharType="separate"/>
            </w:r>
            <w:r w:rsidR="00756083">
              <w:rPr>
                <w:webHidden/>
                <w:sz w:val="24"/>
                <w:szCs w:val="24"/>
              </w:rPr>
              <w:t>6</w:t>
            </w:r>
            <w:r w:rsidRPr="00281C8E">
              <w:rPr>
                <w:webHidden/>
                <w:sz w:val="24"/>
                <w:szCs w:val="24"/>
              </w:rPr>
              <w:fldChar w:fldCharType="end"/>
            </w:r>
          </w:hyperlink>
        </w:p>
        <w:p w14:paraId="01F34ECE" w14:textId="4DBED0A7"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18" w:history="1">
            <w:r w:rsidRPr="00281C8E">
              <w:rPr>
                <w:rStyle w:val="Hyperlink"/>
                <w:sz w:val="24"/>
                <w:szCs w:val="24"/>
                <w:lang w:val="es-CO"/>
              </w:rPr>
              <w:t>C.</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La muerte de Sarah Lyn Langton en el Instituto Médico de San Bernardino en la ciudad de Caracas</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_Toc217309318 \h </w:instrText>
            </w:r>
            <w:r w:rsidRPr="00281C8E">
              <w:rPr>
                <w:webHidden/>
                <w:sz w:val="24"/>
                <w:szCs w:val="24"/>
              </w:rPr>
            </w:r>
            <w:r w:rsidRPr="00281C8E">
              <w:rPr>
                <w:webHidden/>
                <w:sz w:val="24"/>
                <w:szCs w:val="24"/>
              </w:rPr>
              <w:fldChar w:fldCharType="separate"/>
            </w:r>
            <w:r w:rsidR="00756083">
              <w:rPr>
                <w:webHidden/>
                <w:sz w:val="24"/>
                <w:szCs w:val="24"/>
              </w:rPr>
              <w:t>7</w:t>
            </w:r>
            <w:r w:rsidRPr="00281C8E">
              <w:rPr>
                <w:webHidden/>
                <w:sz w:val="24"/>
                <w:szCs w:val="24"/>
              </w:rPr>
              <w:fldChar w:fldCharType="end"/>
            </w:r>
          </w:hyperlink>
        </w:p>
        <w:p w14:paraId="6E22D414" w14:textId="30FA031B"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19" w:history="1">
            <w:r w:rsidRPr="00281C8E">
              <w:rPr>
                <w:rStyle w:val="Hyperlink"/>
                <w:sz w:val="24"/>
                <w:szCs w:val="24"/>
                <w:lang w:val="es-CO"/>
              </w:rPr>
              <w:t>E.</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Investigación de los hechos del caso y proceso judicial interno</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_Toc217309319 \h </w:instrText>
            </w:r>
            <w:r w:rsidRPr="00281C8E">
              <w:rPr>
                <w:webHidden/>
                <w:sz w:val="24"/>
                <w:szCs w:val="24"/>
              </w:rPr>
            </w:r>
            <w:r w:rsidRPr="00281C8E">
              <w:rPr>
                <w:webHidden/>
                <w:sz w:val="24"/>
                <w:szCs w:val="24"/>
              </w:rPr>
              <w:fldChar w:fldCharType="separate"/>
            </w:r>
            <w:r w:rsidR="00756083">
              <w:rPr>
                <w:webHidden/>
                <w:sz w:val="24"/>
                <w:szCs w:val="24"/>
              </w:rPr>
              <w:t>9</w:t>
            </w:r>
            <w:r w:rsidRPr="00281C8E">
              <w:rPr>
                <w:webHidden/>
                <w:sz w:val="24"/>
                <w:szCs w:val="24"/>
              </w:rPr>
              <w:fldChar w:fldCharType="end"/>
            </w:r>
          </w:hyperlink>
        </w:p>
        <w:p w14:paraId="492EF9A8" w14:textId="389EF468" w:rsidR="00281C8E" w:rsidRPr="00281C8E" w:rsidRDefault="00281C8E">
          <w:pPr>
            <w:pStyle w:val="TOC1"/>
            <w:rPr>
              <w:rFonts w:eastAsiaTheme="minorEastAsia" w:cstheme="minorBidi"/>
              <w:b w:val="0"/>
              <w:bCs w:val="0"/>
              <w:kern w:val="2"/>
              <w:sz w:val="24"/>
              <w:szCs w:val="24"/>
              <w:bdr w:val="none" w:sz="0" w:space="0" w:color="auto"/>
              <w:lang w:val="en-US"/>
              <w14:ligatures w14:val="standardContextual"/>
            </w:rPr>
          </w:pPr>
          <w:hyperlink w:anchor="_Toc217309320" w:history="1">
            <w:r w:rsidRPr="00281C8E">
              <w:rPr>
                <w:rStyle w:val="Hyperlink"/>
                <w:sz w:val="24"/>
                <w:szCs w:val="24"/>
              </w:rPr>
              <w:t>IV.</w:t>
            </w:r>
            <w:r w:rsidRPr="00281C8E">
              <w:rPr>
                <w:rFonts w:eastAsiaTheme="minorEastAsia" w:cstheme="minorBidi"/>
                <w:b w:val="0"/>
                <w:bCs w:val="0"/>
                <w:kern w:val="2"/>
                <w:sz w:val="24"/>
                <w:szCs w:val="24"/>
                <w:bdr w:val="none" w:sz="0" w:space="0" w:color="auto"/>
                <w:lang w:val="en-US"/>
                <w14:ligatures w14:val="standardContextual"/>
              </w:rPr>
              <w:tab/>
            </w:r>
            <w:r w:rsidRPr="00281C8E">
              <w:rPr>
                <w:rStyle w:val="Hyperlink"/>
                <w:sz w:val="24"/>
                <w:szCs w:val="24"/>
                <w:lang w:val="es-CO"/>
              </w:rPr>
              <w:t>ANALISIS DE DERECHO</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_Toc217309320 \h </w:instrText>
            </w:r>
            <w:r w:rsidRPr="00281C8E">
              <w:rPr>
                <w:webHidden/>
                <w:sz w:val="24"/>
                <w:szCs w:val="24"/>
              </w:rPr>
            </w:r>
            <w:r w:rsidRPr="00281C8E">
              <w:rPr>
                <w:webHidden/>
                <w:sz w:val="24"/>
                <w:szCs w:val="24"/>
              </w:rPr>
              <w:fldChar w:fldCharType="separate"/>
            </w:r>
            <w:r w:rsidR="00756083">
              <w:rPr>
                <w:webHidden/>
                <w:sz w:val="24"/>
                <w:szCs w:val="24"/>
              </w:rPr>
              <w:t>11</w:t>
            </w:r>
            <w:r w:rsidRPr="00281C8E">
              <w:rPr>
                <w:webHidden/>
                <w:sz w:val="24"/>
                <w:szCs w:val="24"/>
              </w:rPr>
              <w:fldChar w:fldCharType="end"/>
            </w:r>
          </w:hyperlink>
        </w:p>
        <w:p w14:paraId="2A2C6C49" w14:textId="081E20DB"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21" w:history="1">
            <w:r w:rsidRPr="00281C8E">
              <w:rPr>
                <w:rStyle w:val="Hyperlink"/>
                <w:rFonts w:cs="Cambria"/>
                <w:sz w:val="24"/>
                <w:szCs w:val="24"/>
                <w:lang w:val="es-CO"/>
              </w:rPr>
              <w:t>A.</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Derecho a la vida (artículo 4.1), a la integridad personal (artículo 5.1 y 5.2) y a la salud (artículo 26) en relación con los artículos 1.1 y 2 de la Convención Americana</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_Toc217309321 \h </w:instrText>
            </w:r>
            <w:r w:rsidRPr="00281C8E">
              <w:rPr>
                <w:webHidden/>
                <w:sz w:val="24"/>
                <w:szCs w:val="24"/>
              </w:rPr>
            </w:r>
            <w:r w:rsidRPr="00281C8E">
              <w:rPr>
                <w:webHidden/>
                <w:sz w:val="24"/>
                <w:szCs w:val="24"/>
              </w:rPr>
              <w:fldChar w:fldCharType="separate"/>
            </w:r>
            <w:r w:rsidR="00756083">
              <w:rPr>
                <w:webHidden/>
                <w:sz w:val="24"/>
                <w:szCs w:val="24"/>
              </w:rPr>
              <w:t>11</w:t>
            </w:r>
            <w:r w:rsidRPr="00281C8E">
              <w:rPr>
                <w:webHidden/>
                <w:sz w:val="24"/>
                <w:szCs w:val="24"/>
              </w:rPr>
              <w:fldChar w:fldCharType="end"/>
            </w:r>
          </w:hyperlink>
        </w:p>
        <w:p w14:paraId="05430696" w14:textId="37551632"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22" w:history="1">
            <w:r w:rsidRPr="00281C8E">
              <w:rPr>
                <w:rStyle w:val="Hyperlink"/>
                <w:sz w:val="24"/>
                <w:szCs w:val="24"/>
                <w:lang w:val="es-CO"/>
              </w:rPr>
              <w:t>B.</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Derechos a las garantías judiciales (artículo 8) y protección judicial (artículo 25) en relación con el artículo 1.1 de la Convención Americana</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_Toc217309322 \h </w:instrText>
            </w:r>
            <w:r w:rsidRPr="00281C8E">
              <w:rPr>
                <w:webHidden/>
                <w:sz w:val="24"/>
                <w:szCs w:val="24"/>
              </w:rPr>
            </w:r>
            <w:r w:rsidRPr="00281C8E">
              <w:rPr>
                <w:webHidden/>
                <w:sz w:val="24"/>
                <w:szCs w:val="24"/>
              </w:rPr>
              <w:fldChar w:fldCharType="separate"/>
            </w:r>
            <w:r w:rsidR="00756083">
              <w:rPr>
                <w:webHidden/>
                <w:sz w:val="24"/>
                <w:szCs w:val="24"/>
              </w:rPr>
              <w:t>17</w:t>
            </w:r>
            <w:r w:rsidRPr="00281C8E">
              <w:rPr>
                <w:webHidden/>
                <w:sz w:val="24"/>
                <w:szCs w:val="24"/>
              </w:rPr>
              <w:fldChar w:fldCharType="end"/>
            </w:r>
          </w:hyperlink>
        </w:p>
        <w:p w14:paraId="776068B4" w14:textId="225F639E" w:rsidR="00281C8E" w:rsidRPr="00281C8E" w:rsidRDefault="00281C8E">
          <w:pPr>
            <w:pStyle w:val="TOC3"/>
            <w:tabs>
              <w:tab w:val="left" w:pos="1920"/>
            </w:tabs>
            <w:rPr>
              <w:rFonts w:ascii="Cambria" w:eastAsiaTheme="minorEastAsia" w:hAnsi="Cambria" w:cstheme="minorBidi"/>
              <w:noProof/>
              <w:kern w:val="2"/>
              <w:bdr w:val="none" w:sz="0" w:space="0" w:color="auto"/>
              <w14:ligatures w14:val="standardContextual"/>
            </w:rPr>
          </w:pPr>
          <w:hyperlink w:anchor="_Toc217309323" w:history="1">
            <w:r w:rsidRPr="00281C8E">
              <w:rPr>
                <w:rStyle w:val="Hyperlink"/>
                <w:rFonts w:ascii="Cambria" w:hAnsi="Cambria"/>
                <w:noProof/>
                <w:lang w:val="es-CO"/>
              </w:rPr>
              <w:t>1.</w:t>
            </w:r>
            <w:r w:rsidRPr="00281C8E">
              <w:rPr>
                <w:rFonts w:ascii="Cambria" w:eastAsiaTheme="minorEastAsia" w:hAnsi="Cambria" w:cstheme="minorBidi"/>
                <w:noProof/>
                <w:kern w:val="2"/>
                <w:bdr w:val="none" w:sz="0" w:space="0" w:color="auto"/>
                <w14:ligatures w14:val="standardContextual"/>
              </w:rPr>
              <w:tab/>
            </w:r>
            <w:r w:rsidRPr="00281C8E">
              <w:rPr>
                <w:rStyle w:val="Hyperlink"/>
                <w:rFonts w:ascii="Cambria" w:hAnsi="Cambria"/>
                <w:noProof/>
                <w:lang w:val="es-CO"/>
              </w:rPr>
              <w:t>Consideraciones generales</w:t>
            </w:r>
            <w:r w:rsidRPr="00281C8E">
              <w:rPr>
                <w:rFonts w:ascii="Cambria" w:hAnsi="Cambria"/>
                <w:noProof/>
                <w:webHidden/>
              </w:rPr>
              <w:tab/>
            </w:r>
            <w:r w:rsidRPr="00281C8E">
              <w:rPr>
                <w:rFonts w:ascii="Cambria" w:hAnsi="Cambria"/>
                <w:noProof/>
                <w:webHidden/>
              </w:rPr>
              <w:fldChar w:fldCharType="begin"/>
            </w:r>
            <w:r w:rsidRPr="00281C8E">
              <w:rPr>
                <w:rFonts w:ascii="Cambria" w:hAnsi="Cambria"/>
                <w:noProof/>
                <w:webHidden/>
              </w:rPr>
              <w:instrText xml:space="preserve"> PAGEREF _Toc217309323 \h </w:instrText>
            </w:r>
            <w:r w:rsidRPr="00281C8E">
              <w:rPr>
                <w:rFonts w:ascii="Cambria" w:hAnsi="Cambria"/>
                <w:noProof/>
                <w:webHidden/>
              </w:rPr>
            </w:r>
            <w:r w:rsidRPr="00281C8E">
              <w:rPr>
                <w:rFonts w:ascii="Cambria" w:hAnsi="Cambria"/>
                <w:noProof/>
                <w:webHidden/>
              </w:rPr>
              <w:fldChar w:fldCharType="separate"/>
            </w:r>
            <w:r w:rsidR="00756083">
              <w:rPr>
                <w:rFonts w:ascii="Cambria" w:hAnsi="Cambria"/>
                <w:noProof/>
                <w:webHidden/>
              </w:rPr>
              <w:t>17</w:t>
            </w:r>
            <w:r w:rsidRPr="00281C8E">
              <w:rPr>
                <w:rFonts w:ascii="Cambria" w:hAnsi="Cambria"/>
                <w:noProof/>
                <w:webHidden/>
              </w:rPr>
              <w:fldChar w:fldCharType="end"/>
            </w:r>
          </w:hyperlink>
        </w:p>
        <w:p w14:paraId="489DB4C8" w14:textId="252ACC55" w:rsidR="00281C8E" w:rsidRPr="00281C8E" w:rsidRDefault="00281C8E">
          <w:pPr>
            <w:pStyle w:val="TOC3"/>
            <w:rPr>
              <w:rFonts w:ascii="Cambria" w:eastAsiaTheme="minorEastAsia" w:hAnsi="Cambria" w:cstheme="minorBidi"/>
              <w:noProof/>
              <w:kern w:val="2"/>
              <w:bdr w:val="none" w:sz="0" w:space="0" w:color="auto"/>
              <w14:ligatures w14:val="standardContextual"/>
            </w:rPr>
          </w:pPr>
          <w:hyperlink w:anchor="_Toc217309324" w:history="1">
            <w:r w:rsidRPr="00281C8E">
              <w:rPr>
                <w:rStyle w:val="Hyperlink"/>
                <w:rFonts w:ascii="Cambria" w:hAnsi="Cambria"/>
                <w:noProof/>
                <w:lang w:val="es-CO"/>
              </w:rPr>
              <w:t>2. Análisis del caso</w:t>
            </w:r>
            <w:r w:rsidRPr="00281C8E">
              <w:rPr>
                <w:rFonts w:ascii="Cambria" w:hAnsi="Cambria"/>
                <w:noProof/>
                <w:webHidden/>
              </w:rPr>
              <w:tab/>
            </w:r>
            <w:r w:rsidRPr="00281C8E">
              <w:rPr>
                <w:rFonts w:ascii="Cambria" w:hAnsi="Cambria"/>
                <w:noProof/>
                <w:webHidden/>
              </w:rPr>
              <w:fldChar w:fldCharType="begin"/>
            </w:r>
            <w:r w:rsidRPr="00281C8E">
              <w:rPr>
                <w:rFonts w:ascii="Cambria" w:hAnsi="Cambria"/>
                <w:noProof/>
                <w:webHidden/>
              </w:rPr>
              <w:instrText xml:space="preserve"> PAGEREF _Toc217309324 \h </w:instrText>
            </w:r>
            <w:r w:rsidRPr="00281C8E">
              <w:rPr>
                <w:rFonts w:ascii="Cambria" w:hAnsi="Cambria"/>
                <w:noProof/>
                <w:webHidden/>
              </w:rPr>
            </w:r>
            <w:r w:rsidRPr="00281C8E">
              <w:rPr>
                <w:rFonts w:ascii="Cambria" w:hAnsi="Cambria"/>
                <w:noProof/>
                <w:webHidden/>
              </w:rPr>
              <w:fldChar w:fldCharType="separate"/>
            </w:r>
            <w:r w:rsidR="00756083">
              <w:rPr>
                <w:rFonts w:ascii="Cambria" w:hAnsi="Cambria"/>
                <w:noProof/>
                <w:webHidden/>
              </w:rPr>
              <w:t>18</w:t>
            </w:r>
            <w:r w:rsidRPr="00281C8E">
              <w:rPr>
                <w:rFonts w:ascii="Cambria" w:hAnsi="Cambria"/>
                <w:noProof/>
                <w:webHidden/>
              </w:rPr>
              <w:fldChar w:fldCharType="end"/>
            </w:r>
          </w:hyperlink>
        </w:p>
        <w:p w14:paraId="652D2C01" w14:textId="36BDDEC1" w:rsidR="00281C8E" w:rsidRPr="00281C8E" w:rsidRDefault="00281C8E">
          <w:pPr>
            <w:pStyle w:val="TOC2"/>
            <w:rPr>
              <w:rFonts w:eastAsiaTheme="minorEastAsia" w:cstheme="minorBidi"/>
              <w:kern w:val="2"/>
              <w:sz w:val="24"/>
              <w:szCs w:val="24"/>
              <w:bdr w:val="none" w:sz="0" w:space="0" w:color="auto"/>
              <w:lang w:val="en-US" w:eastAsia="en-US"/>
              <w14:ligatures w14:val="standardContextual"/>
            </w:rPr>
          </w:pPr>
          <w:hyperlink w:anchor="_Toc217309325" w:history="1">
            <w:r w:rsidRPr="00281C8E">
              <w:rPr>
                <w:rStyle w:val="Hyperlink"/>
                <w:sz w:val="24"/>
                <w:szCs w:val="24"/>
                <w:lang w:val="es-CO"/>
              </w:rPr>
              <w:t>C.</w:t>
            </w:r>
            <w:r w:rsidRPr="00281C8E">
              <w:rPr>
                <w:rFonts w:eastAsiaTheme="minorEastAsia" w:cstheme="minorBidi"/>
                <w:kern w:val="2"/>
                <w:sz w:val="24"/>
                <w:szCs w:val="24"/>
                <w:bdr w:val="none" w:sz="0" w:space="0" w:color="auto"/>
                <w:lang w:val="en-US" w:eastAsia="en-US"/>
                <w14:ligatures w14:val="standardContextual"/>
              </w:rPr>
              <w:tab/>
            </w:r>
            <w:r w:rsidRPr="00281C8E">
              <w:rPr>
                <w:rStyle w:val="Hyperlink"/>
                <w:sz w:val="24"/>
                <w:szCs w:val="24"/>
                <w:lang w:val="es-CO"/>
              </w:rPr>
              <w:t>Derecho a la integridad personal (artículos 5.1) en relación con el artículo 1.1de la Convención Americana de Terry Langton y Lyn Langton</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_Toc217309325 \h </w:instrText>
            </w:r>
            <w:r w:rsidRPr="00281C8E">
              <w:rPr>
                <w:webHidden/>
                <w:sz w:val="24"/>
                <w:szCs w:val="24"/>
              </w:rPr>
            </w:r>
            <w:r w:rsidRPr="00281C8E">
              <w:rPr>
                <w:webHidden/>
                <w:sz w:val="24"/>
                <w:szCs w:val="24"/>
              </w:rPr>
              <w:fldChar w:fldCharType="separate"/>
            </w:r>
            <w:r w:rsidR="00756083">
              <w:rPr>
                <w:webHidden/>
                <w:sz w:val="24"/>
                <w:szCs w:val="24"/>
              </w:rPr>
              <w:t>19</w:t>
            </w:r>
            <w:r w:rsidRPr="00281C8E">
              <w:rPr>
                <w:webHidden/>
                <w:sz w:val="24"/>
                <w:szCs w:val="24"/>
              </w:rPr>
              <w:fldChar w:fldCharType="end"/>
            </w:r>
          </w:hyperlink>
        </w:p>
        <w:p w14:paraId="10FE09EB" w14:textId="76EB7D6E" w:rsidR="00281C8E" w:rsidRPr="00281C8E" w:rsidRDefault="00281C8E">
          <w:pPr>
            <w:pStyle w:val="TOC1"/>
            <w:rPr>
              <w:rFonts w:eastAsiaTheme="minorEastAsia" w:cstheme="minorBidi"/>
              <w:b w:val="0"/>
              <w:bCs w:val="0"/>
              <w:kern w:val="2"/>
              <w:sz w:val="24"/>
              <w:szCs w:val="24"/>
              <w:bdr w:val="none" w:sz="0" w:space="0" w:color="auto"/>
              <w:lang w:val="en-US"/>
              <w14:ligatures w14:val="standardContextual"/>
            </w:rPr>
          </w:pPr>
          <w:hyperlink w:anchor="_Toc217309326" w:history="1">
            <w:r w:rsidRPr="00281C8E">
              <w:rPr>
                <w:rStyle w:val="Hyperlink"/>
                <w:sz w:val="24"/>
                <w:szCs w:val="24"/>
              </w:rPr>
              <w:t>V.</w:t>
            </w:r>
            <w:r w:rsidRPr="00281C8E">
              <w:rPr>
                <w:rFonts w:eastAsiaTheme="minorEastAsia" w:cstheme="minorBidi"/>
                <w:b w:val="0"/>
                <w:bCs w:val="0"/>
                <w:kern w:val="2"/>
                <w:sz w:val="24"/>
                <w:szCs w:val="24"/>
                <w:bdr w:val="none" w:sz="0" w:space="0" w:color="auto"/>
                <w:lang w:val="en-US"/>
                <w14:ligatures w14:val="standardContextual"/>
              </w:rPr>
              <w:tab/>
            </w:r>
            <w:r w:rsidRPr="00281C8E">
              <w:rPr>
                <w:rStyle w:val="Hyperlink"/>
                <w:sz w:val="24"/>
                <w:szCs w:val="24"/>
                <w:lang w:val="es-CO"/>
              </w:rPr>
              <w:t>INFORME 389/21 E INFORMACIÓN SOBRE EL CUMPLIMIENTO</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_Toc217309326 \h </w:instrText>
            </w:r>
            <w:r w:rsidRPr="00281C8E">
              <w:rPr>
                <w:webHidden/>
                <w:sz w:val="24"/>
                <w:szCs w:val="24"/>
              </w:rPr>
            </w:r>
            <w:r w:rsidRPr="00281C8E">
              <w:rPr>
                <w:webHidden/>
                <w:sz w:val="24"/>
                <w:szCs w:val="24"/>
              </w:rPr>
              <w:fldChar w:fldCharType="separate"/>
            </w:r>
            <w:r w:rsidR="00756083">
              <w:rPr>
                <w:webHidden/>
                <w:sz w:val="24"/>
                <w:szCs w:val="24"/>
              </w:rPr>
              <w:t>20</w:t>
            </w:r>
            <w:r w:rsidRPr="00281C8E">
              <w:rPr>
                <w:webHidden/>
                <w:sz w:val="24"/>
                <w:szCs w:val="24"/>
              </w:rPr>
              <w:fldChar w:fldCharType="end"/>
            </w:r>
          </w:hyperlink>
        </w:p>
        <w:p w14:paraId="7CCF30E4" w14:textId="51065D86" w:rsidR="00281C8E" w:rsidRPr="00281C8E" w:rsidRDefault="00281C8E">
          <w:pPr>
            <w:pStyle w:val="TOC1"/>
            <w:rPr>
              <w:rFonts w:eastAsiaTheme="minorEastAsia" w:cstheme="minorBidi"/>
              <w:b w:val="0"/>
              <w:bCs w:val="0"/>
              <w:kern w:val="2"/>
              <w:sz w:val="24"/>
              <w:szCs w:val="24"/>
              <w:bdr w:val="none" w:sz="0" w:space="0" w:color="auto"/>
              <w:lang w:val="en-US"/>
              <w14:ligatures w14:val="standardContextual"/>
            </w:rPr>
          </w:pPr>
          <w:hyperlink w:anchor="_Toc217309327" w:history="1">
            <w:r w:rsidRPr="00281C8E">
              <w:rPr>
                <w:rStyle w:val="Hyperlink"/>
                <w:sz w:val="24"/>
                <w:szCs w:val="24"/>
              </w:rPr>
              <w:t>VI.</w:t>
            </w:r>
            <w:r w:rsidRPr="00281C8E">
              <w:rPr>
                <w:rFonts w:eastAsiaTheme="minorEastAsia" w:cstheme="minorBidi"/>
                <w:b w:val="0"/>
                <w:bCs w:val="0"/>
                <w:kern w:val="2"/>
                <w:sz w:val="24"/>
                <w:szCs w:val="24"/>
                <w:bdr w:val="none" w:sz="0" w:space="0" w:color="auto"/>
                <w:lang w:val="en-US"/>
                <w14:ligatures w14:val="standardContextual"/>
              </w:rPr>
              <w:tab/>
            </w:r>
            <w:r w:rsidRPr="00281C8E">
              <w:rPr>
                <w:rStyle w:val="Hyperlink"/>
                <w:sz w:val="24"/>
                <w:szCs w:val="24"/>
                <w:lang w:val="es-CO"/>
              </w:rPr>
              <w:t>ACTUACIONES POSTERIORES AL INFORME No. 42/25 E INFORMACIÓN SOBRE CUMPLIMIENTO</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_Toc217309327 \h </w:instrText>
            </w:r>
            <w:r w:rsidRPr="00281C8E">
              <w:rPr>
                <w:webHidden/>
                <w:sz w:val="24"/>
                <w:szCs w:val="24"/>
              </w:rPr>
            </w:r>
            <w:r w:rsidRPr="00281C8E">
              <w:rPr>
                <w:webHidden/>
                <w:sz w:val="24"/>
                <w:szCs w:val="24"/>
              </w:rPr>
              <w:fldChar w:fldCharType="separate"/>
            </w:r>
            <w:r w:rsidR="00756083">
              <w:rPr>
                <w:webHidden/>
                <w:sz w:val="24"/>
                <w:szCs w:val="24"/>
              </w:rPr>
              <w:t>21</w:t>
            </w:r>
            <w:r w:rsidRPr="00281C8E">
              <w:rPr>
                <w:webHidden/>
                <w:sz w:val="24"/>
                <w:szCs w:val="24"/>
              </w:rPr>
              <w:fldChar w:fldCharType="end"/>
            </w:r>
          </w:hyperlink>
        </w:p>
        <w:p w14:paraId="3393A7B2" w14:textId="0D6C56FC" w:rsidR="00281C8E" w:rsidRPr="00281C8E" w:rsidRDefault="00281C8E">
          <w:pPr>
            <w:pStyle w:val="TOC1"/>
            <w:rPr>
              <w:rFonts w:eastAsiaTheme="minorEastAsia" w:cstheme="minorBidi"/>
              <w:b w:val="0"/>
              <w:bCs w:val="0"/>
              <w:kern w:val="2"/>
              <w:sz w:val="24"/>
              <w:szCs w:val="24"/>
              <w:bdr w:val="none" w:sz="0" w:space="0" w:color="auto"/>
              <w:lang w:val="en-US"/>
              <w14:ligatures w14:val="standardContextual"/>
            </w:rPr>
          </w:pPr>
          <w:hyperlink w:anchor="_Toc217309328" w:history="1">
            <w:r w:rsidRPr="00281C8E">
              <w:rPr>
                <w:rStyle w:val="Hyperlink"/>
                <w:sz w:val="24"/>
                <w:szCs w:val="24"/>
              </w:rPr>
              <w:t>VII.</w:t>
            </w:r>
            <w:r w:rsidRPr="00281C8E">
              <w:rPr>
                <w:rFonts w:eastAsiaTheme="minorEastAsia" w:cstheme="minorBidi"/>
                <w:b w:val="0"/>
                <w:bCs w:val="0"/>
                <w:kern w:val="2"/>
                <w:sz w:val="24"/>
                <w:szCs w:val="24"/>
                <w:bdr w:val="none" w:sz="0" w:space="0" w:color="auto"/>
                <w:lang w:val="en-US"/>
                <w14:ligatures w14:val="standardContextual"/>
              </w:rPr>
              <w:tab/>
            </w:r>
            <w:r w:rsidRPr="00281C8E">
              <w:rPr>
                <w:rStyle w:val="Hyperlink"/>
                <w:sz w:val="24"/>
                <w:szCs w:val="24"/>
                <w:lang w:val="es-CO"/>
              </w:rPr>
              <w:t>CONCLUSIONES Y RECOMENDACIONES FINALES</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_Toc217309328 \h </w:instrText>
            </w:r>
            <w:r w:rsidRPr="00281C8E">
              <w:rPr>
                <w:webHidden/>
                <w:sz w:val="24"/>
                <w:szCs w:val="24"/>
              </w:rPr>
            </w:r>
            <w:r w:rsidRPr="00281C8E">
              <w:rPr>
                <w:webHidden/>
                <w:sz w:val="24"/>
                <w:szCs w:val="24"/>
              </w:rPr>
              <w:fldChar w:fldCharType="separate"/>
            </w:r>
            <w:r w:rsidR="00756083">
              <w:rPr>
                <w:webHidden/>
                <w:sz w:val="24"/>
                <w:szCs w:val="24"/>
              </w:rPr>
              <w:t>21</w:t>
            </w:r>
            <w:r w:rsidRPr="00281C8E">
              <w:rPr>
                <w:webHidden/>
                <w:sz w:val="24"/>
                <w:szCs w:val="24"/>
              </w:rPr>
              <w:fldChar w:fldCharType="end"/>
            </w:r>
          </w:hyperlink>
        </w:p>
        <w:p w14:paraId="42951DB9" w14:textId="27A64F5B" w:rsidR="00281C8E" w:rsidRPr="00281C8E" w:rsidRDefault="00281C8E">
          <w:pPr>
            <w:pStyle w:val="TOC1"/>
            <w:rPr>
              <w:rFonts w:eastAsiaTheme="minorEastAsia" w:cstheme="minorBidi"/>
              <w:b w:val="0"/>
              <w:bCs w:val="0"/>
              <w:kern w:val="2"/>
              <w:sz w:val="24"/>
              <w:szCs w:val="24"/>
              <w:bdr w:val="none" w:sz="0" w:space="0" w:color="auto"/>
              <w:lang w:val="en-US"/>
              <w14:ligatures w14:val="standardContextual"/>
            </w:rPr>
          </w:pPr>
          <w:hyperlink w:anchor="_Toc217309329" w:history="1">
            <w:r w:rsidRPr="00281C8E">
              <w:rPr>
                <w:rStyle w:val="Hyperlink"/>
                <w:sz w:val="24"/>
                <w:szCs w:val="24"/>
              </w:rPr>
              <w:t>VIII.</w:t>
            </w:r>
            <w:r w:rsidRPr="00281C8E">
              <w:rPr>
                <w:rFonts w:eastAsiaTheme="minorEastAsia" w:cstheme="minorBidi"/>
                <w:b w:val="0"/>
                <w:bCs w:val="0"/>
                <w:kern w:val="2"/>
                <w:sz w:val="24"/>
                <w:szCs w:val="24"/>
                <w:bdr w:val="none" w:sz="0" w:space="0" w:color="auto"/>
                <w:lang w:val="en-US"/>
                <w14:ligatures w14:val="standardContextual"/>
              </w:rPr>
              <w:tab/>
            </w:r>
            <w:r w:rsidRPr="00281C8E">
              <w:rPr>
                <w:rStyle w:val="Hyperlink"/>
                <w:sz w:val="24"/>
                <w:szCs w:val="24"/>
                <w:lang w:val="es-CO"/>
              </w:rPr>
              <w:t>PUBLICACIÓN</w:t>
            </w:r>
            <w:r w:rsidRPr="00281C8E">
              <w:rPr>
                <w:webHidden/>
                <w:sz w:val="24"/>
                <w:szCs w:val="24"/>
              </w:rPr>
              <w:tab/>
            </w:r>
            <w:r w:rsidRPr="00281C8E">
              <w:rPr>
                <w:webHidden/>
                <w:sz w:val="24"/>
                <w:szCs w:val="24"/>
              </w:rPr>
              <w:fldChar w:fldCharType="begin"/>
            </w:r>
            <w:r w:rsidRPr="00281C8E">
              <w:rPr>
                <w:webHidden/>
                <w:sz w:val="24"/>
                <w:szCs w:val="24"/>
              </w:rPr>
              <w:instrText xml:space="preserve"> PAGEREF _Toc217309329 \h </w:instrText>
            </w:r>
            <w:r w:rsidRPr="00281C8E">
              <w:rPr>
                <w:webHidden/>
                <w:sz w:val="24"/>
                <w:szCs w:val="24"/>
              </w:rPr>
            </w:r>
            <w:r w:rsidRPr="00281C8E">
              <w:rPr>
                <w:webHidden/>
                <w:sz w:val="24"/>
                <w:szCs w:val="24"/>
              </w:rPr>
              <w:fldChar w:fldCharType="separate"/>
            </w:r>
            <w:r w:rsidR="00756083">
              <w:rPr>
                <w:webHidden/>
                <w:sz w:val="24"/>
                <w:szCs w:val="24"/>
              </w:rPr>
              <w:t>22</w:t>
            </w:r>
            <w:r w:rsidRPr="00281C8E">
              <w:rPr>
                <w:webHidden/>
                <w:sz w:val="24"/>
                <w:szCs w:val="24"/>
              </w:rPr>
              <w:fldChar w:fldCharType="end"/>
            </w:r>
          </w:hyperlink>
        </w:p>
        <w:p w14:paraId="37136ABF" w14:textId="6DA215AD" w:rsidR="002A6B05" w:rsidRPr="008D65EE" w:rsidRDefault="002A6B05" w:rsidP="002A6B05">
          <w:pPr>
            <w:rPr>
              <w:lang w:val="es-CO"/>
            </w:rPr>
          </w:pPr>
          <w:r w:rsidRPr="00281C8E">
            <w:rPr>
              <w:rFonts w:ascii="Cambria" w:hAnsi="Cambria"/>
              <w:bCs/>
              <w:lang w:val="es-CO"/>
            </w:rPr>
            <w:fldChar w:fldCharType="end"/>
          </w:r>
        </w:p>
      </w:sdtContent>
    </w:sdt>
    <w:p w14:paraId="7EF2FF61" w14:textId="77777777" w:rsidR="002A6B05" w:rsidRPr="008D65EE" w:rsidRDefault="002A6B05" w:rsidP="002A6B05">
      <w:pPr>
        <w:tabs>
          <w:tab w:val="center" w:pos="5400"/>
        </w:tabs>
        <w:suppressAutoHyphens/>
        <w:spacing w:line="276" w:lineRule="auto"/>
        <w:jc w:val="center"/>
        <w:rPr>
          <w:rFonts w:ascii="Cambria" w:hAnsi="Cambria"/>
          <w:b/>
          <w:sz w:val="18"/>
          <w:szCs w:val="18"/>
          <w:lang w:val="es-CO"/>
        </w:rPr>
      </w:pPr>
    </w:p>
    <w:p w14:paraId="4B3C3A9A" w14:textId="77777777" w:rsidR="002A6B05" w:rsidRPr="008D65EE" w:rsidRDefault="002A6B05" w:rsidP="002A6B05">
      <w:pPr>
        <w:tabs>
          <w:tab w:val="center" w:pos="5400"/>
        </w:tabs>
        <w:suppressAutoHyphens/>
        <w:spacing w:line="276" w:lineRule="auto"/>
        <w:jc w:val="center"/>
        <w:rPr>
          <w:rFonts w:ascii="Cambria" w:hAnsi="Cambria"/>
          <w:b/>
          <w:sz w:val="18"/>
          <w:szCs w:val="18"/>
          <w:lang w:val="es-CO"/>
        </w:rPr>
      </w:pPr>
    </w:p>
    <w:p w14:paraId="7F84ECCC" w14:textId="297D50B6" w:rsidR="00EA6555" w:rsidRPr="008D65EE" w:rsidRDefault="00715121" w:rsidP="00715121">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20"/>
          <w:szCs w:val="20"/>
          <w:lang w:val="es-CO"/>
        </w:rPr>
      </w:pPr>
      <w:r>
        <w:rPr>
          <w:rFonts w:ascii="Cambria" w:hAnsi="Cambria"/>
          <w:b/>
          <w:sz w:val="20"/>
          <w:szCs w:val="20"/>
          <w:lang w:val="es-CO"/>
        </w:rPr>
        <w:br w:type="page"/>
      </w:r>
    </w:p>
    <w:p w14:paraId="7E64C3FE" w14:textId="77777777" w:rsidR="002A6B05" w:rsidRPr="008D65EE" w:rsidRDefault="002A6B05" w:rsidP="00981BF7">
      <w:pPr>
        <w:tabs>
          <w:tab w:val="center" w:pos="5400"/>
        </w:tabs>
        <w:suppressAutoHyphens/>
        <w:rPr>
          <w:rFonts w:ascii="Cambria" w:hAnsi="Cambria"/>
          <w:sz w:val="20"/>
          <w:szCs w:val="20"/>
          <w:lang w:val="es-CO"/>
        </w:rPr>
      </w:pPr>
    </w:p>
    <w:p w14:paraId="7ABFEC91" w14:textId="77777777" w:rsidR="002A6B05" w:rsidRPr="008D65EE" w:rsidRDefault="002A6B05" w:rsidP="002A6B05">
      <w:pPr>
        <w:pStyle w:val="Heading1"/>
        <w:spacing w:before="0"/>
        <w:ind w:firstLine="0"/>
        <w:rPr>
          <w:rFonts w:ascii="Cambria" w:hAnsi="Cambria"/>
          <w:color w:val="auto"/>
          <w:sz w:val="20"/>
          <w:szCs w:val="20"/>
          <w:lang w:val="es-CO"/>
        </w:rPr>
      </w:pPr>
      <w:bookmarkStart w:id="2" w:name="_Toc370840743"/>
      <w:bookmarkStart w:id="3" w:name="_Toc370840839"/>
      <w:bookmarkStart w:id="4" w:name="_Toc423514405"/>
      <w:bookmarkStart w:id="5" w:name="_Toc441166725"/>
      <w:bookmarkStart w:id="6" w:name="_Toc477355340"/>
      <w:bookmarkStart w:id="7" w:name="_Toc217309311"/>
      <w:r w:rsidRPr="008D65EE">
        <w:rPr>
          <w:rFonts w:ascii="Cambria" w:hAnsi="Cambria"/>
          <w:color w:val="auto"/>
          <w:sz w:val="20"/>
          <w:szCs w:val="20"/>
          <w:lang w:val="es-CO"/>
        </w:rPr>
        <w:t>RESUMEN</w:t>
      </w:r>
      <w:bookmarkEnd w:id="2"/>
      <w:bookmarkEnd w:id="3"/>
      <w:bookmarkEnd w:id="4"/>
      <w:bookmarkEnd w:id="5"/>
      <w:bookmarkEnd w:id="6"/>
      <w:bookmarkEnd w:id="7"/>
    </w:p>
    <w:p w14:paraId="2FE37C46" w14:textId="77777777" w:rsidR="002A6B05" w:rsidRPr="008D65EE"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CO"/>
        </w:rPr>
      </w:pPr>
    </w:p>
    <w:p w14:paraId="2A579AF0" w14:textId="35C79CCE" w:rsidR="001F742A" w:rsidRPr="008D65EE" w:rsidRDefault="002A6B05"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pacing w:after="120"/>
        <w:ind w:left="0" w:firstLine="709"/>
        <w:jc w:val="both"/>
        <w:rPr>
          <w:rFonts w:ascii="Cambria" w:hAnsi="Cambria"/>
          <w:color w:val="000000" w:themeColor="text1"/>
          <w:sz w:val="20"/>
          <w:szCs w:val="20"/>
          <w:lang w:val="es-CO"/>
        </w:rPr>
      </w:pPr>
      <w:r w:rsidRPr="008D65EE">
        <w:rPr>
          <w:rFonts w:ascii="Cambria" w:hAnsi="Cambria"/>
          <w:color w:val="000000" w:themeColor="text1"/>
          <w:sz w:val="20"/>
          <w:szCs w:val="20"/>
          <w:lang w:val="es-CO"/>
        </w:rPr>
        <w:t xml:space="preserve">El </w:t>
      </w:r>
      <w:r w:rsidR="00F909AD" w:rsidRPr="008D65EE">
        <w:rPr>
          <w:rFonts w:ascii="Cambria" w:hAnsi="Cambria"/>
          <w:color w:val="000000" w:themeColor="text1"/>
          <w:sz w:val="20"/>
          <w:szCs w:val="20"/>
          <w:lang w:val="es-CO"/>
        </w:rPr>
        <w:t>19</w:t>
      </w:r>
      <w:r w:rsidRPr="008D65EE">
        <w:rPr>
          <w:rFonts w:ascii="Cambria" w:hAnsi="Cambria"/>
          <w:color w:val="000000" w:themeColor="text1"/>
          <w:sz w:val="20"/>
          <w:szCs w:val="20"/>
          <w:lang w:val="es-CO"/>
        </w:rPr>
        <w:t xml:space="preserve"> de </w:t>
      </w:r>
      <w:r w:rsidR="00F909AD" w:rsidRPr="008D65EE">
        <w:rPr>
          <w:rFonts w:ascii="Cambria" w:hAnsi="Cambria"/>
          <w:color w:val="000000" w:themeColor="text1"/>
          <w:sz w:val="20"/>
          <w:szCs w:val="20"/>
          <w:lang w:val="es-CO"/>
        </w:rPr>
        <w:t>abril</w:t>
      </w:r>
      <w:r w:rsidRPr="008D65EE">
        <w:rPr>
          <w:rFonts w:ascii="Cambria" w:hAnsi="Cambria"/>
          <w:color w:val="000000" w:themeColor="text1"/>
          <w:sz w:val="20"/>
          <w:szCs w:val="20"/>
          <w:lang w:val="es-CO"/>
        </w:rPr>
        <w:t xml:space="preserve"> de 201</w:t>
      </w:r>
      <w:r w:rsidR="00F909AD" w:rsidRPr="008D65EE">
        <w:rPr>
          <w:rFonts w:ascii="Cambria" w:hAnsi="Cambria"/>
          <w:color w:val="000000" w:themeColor="text1"/>
          <w:sz w:val="20"/>
          <w:szCs w:val="20"/>
          <w:lang w:val="es-CO"/>
        </w:rPr>
        <w:t>1</w:t>
      </w:r>
      <w:r w:rsidRPr="008D65EE">
        <w:rPr>
          <w:rFonts w:ascii="Cambria" w:hAnsi="Cambria"/>
          <w:color w:val="000000" w:themeColor="text1"/>
          <w:sz w:val="20"/>
          <w:szCs w:val="20"/>
          <w:lang w:val="es-CO"/>
        </w:rPr>
        <w:t xml:space="preserve"> la Comisión Interamericana de Derechos Humanos (en adelante “la Comisión Interamericana”, “la Comisión” o “la CIDH”) recibió una petición presentada por</w:t>
      </w:r>
      <w:r w:rsidR="00790221" w:rsidRPr="008D65EE">
        <w:rPr>
          <w:rFonts w:ascii="Cambria" w:hAnsi="Cambria"/>
          <w:color w:val="000000" w:themeColor="text1"/>
          <w:sz w:val="20"/>
          <w:szCs w:val="20"/>
          <w:lang w:val="es-CO"/>
        </w:rPr>
        <w:t xml:space="preserve"> la organización no gubernamental</w:t>
      </w:r>
      <w:r w:rsidRPr="008D65EE">
        <w:rPr>
          <w:rFonts w:ascii="Cambria" w:hAnsi="Cambria"/>
          <w:color w:val="000000" w:themeColor="text1"/>
          <w:sz w:val="20"/>
          <w:szCs w:val="20"/>
          <w:lang w:val="es-CO"/>
        </w:rPr>
        <w:t xml:space="preserve"> </w:t>
      </w:r>
      <w:r w:rsidR="00F909AD" w:rsidRPr="008D65EE">
        <w:rPr>
          <w:rFonts w:ascii="Cambria" w:hAnsi="Cambria"/>
          <w:color w:val="000000" w:themeColor="text1"/>
          <w:sz w:val="20"/>
          <w:szCs w:val="20"/>
          <w:lang w:val="es-CO"/>
        </w:rPr>
        <w:t xml:space="preserve">REDRESS </w:t>
      </w:r>
      <w:r w:rsidRPr="008D65EE">
        <w:rPr>
          <w:rFonts w:ascii="Cambria" w:hAnsi="Cambria"/>
          <w:color w:val="000000" w:themeColor="text1"/>
          <w:sz w:val="20"/>
          <w:szCs w:val="20"/>
          <w:lang w:val="es-CO"/>
        </w:rPr>
        <w:t xml:space="preserve">(en adelante “la peticionaria”) en la cual se alega la responsabilidad internacional de la República Bolivariana de Venezuela (en adelante “el Estado venezolano”, “el Estado” o “Venezuela”) en perjuicio de </w:t>
      </w:r>
      <w:r w:rsidR="00F909AD" w:rsidRPr="008D65EE">
        <w:rPr>
          <w:rFonts w:ascii="Cambria" w:hAnsi="Cambria"/>
          <w:color w:val="000000" w:themeColor="text1"/>
          <w:sz w:val="20"/>
          <w:szCs w:val="20"/>
          <w:lang w:val="es-CO"/>
        </w:rPr>
        <w:t>Sarah Lyn</w:t>
      </w:r>
      <w:r w:rsidR="001F742A" w:rsidRPr="008D65EE">
        <w:rPr>
          <w:rFonts w:ascii="Cambria" w:hAnsi="Cambria"/>
          <w:color w:val="000000" w:themeColor="text1"/>
          <w:sz w:val="20"/>
          <w:szCs w:val="20"/>
          <w:lang w:val="es-CO"/>
        </w:rPr>
        <w:t xml:space="preserve"> Langton</w:t>
      </w:r>
      <w:r w:rsidR="00F909AD" w:rsidRPr="008D65EE">
        <w:rPr>
          <w:rFonts w:ascii="Cambria" w:hAnsi="Cambria"/>
          <w:color w:val="000000" w:themeColor="text1"/>
          <w:sz w:val="20"/>
          <w:szCs w:val="20"/>
          <w:lang w:val="es-CO"/>
        </w:rPr>
        <w:t xml:space="preserve"> Terry </w:t>
      </w:r>
      <w:r w:rsidR="001A1C63" w:rsidRPr="008D65EE">
        <w:rPr>
          <w:rFonts w:ascii="Cambria" w:hAnsi="Cambria"/>
          <w:color w:val="000000" w:themeColor="text1"/>
          <w:sz w:val="20"/>
          <w:szCs w:val="20"/>
          <w:lang w:val="es-CO"/>
        </w:rPr>
        <w:t>Langton</w:t>
      </w:r>
      <w:r w:rsidR="00F909AD" w:rsidRPr="008D65EE">
        <w:rPr>
          <w:rFonts w:ascii="Cambria" w:hAnsi="Cambria"/>
          <w:color w:val="000000" w:themeColor="text1"/>
          <w:sz w:val="20"/>
          <w:szCs w:val="20"/>
          <w:lang w:val="es-CO"/>
        </w:rPr>
        <w:t xml:space="preserve"> y Lyn</w:t>
      </w:r>
      <w:r w:rsidR="001A1C63" w:rsidRPr="008D65EE">
        <w:rPr>
          <w:rFonts w:ascii="Cambria" w:hAnsi="Cambria"/>
          <w:color w:val="000000" w:themeColor="text1"/>
          <w:sz w:val="20"/>
          <w:szCs w:val="20"/>
          <w:lang w:val="es-CO"/>
        </w:rPr>
        <w:t xml:space="preserve"> Langton</w:t>
      </w:r>
      <w:r w:rsidR="00F909AD" w:rsidRPr="008D65EE">
        <w:rPr>
          <w:rFonts w:ascii="Cambria" w:hAnsi="Cambria"/>
          <w:color w:val="000000" w:themeColor="text1"/>
          <w:sz w:val="20"/>
          <w:szCs w:val="20"/>
          <w:lang w:val="es-CO"/>
        </w:rPr>
        <w:t xml:space="preserve">, nacionales del Reino </w:t>
      </w:r>
      <w:r w:rsidR="00127C99" w:rsidRPr="008D65EE">
        <w:rPr>
          <w:rFonts w:ascii="Cambria" w:hAnsi="Cambria"/>
          <w:color w:val="000000" w:themeColor="text1"/>
          <w:sz w:val="20"/>
          <w:szCs w:val="20"/>
          <w:lang w:val="es-CO"/>
        </w:rPr>
        <w:t xml:space="preserve">Unido </w:t>
      </w:r>
      <w:r w:rsidR="00F909AD" w:rsidRPr="008D65EE">
        <w:rPr>
          <w:rFonts w:ascii="Cambria" w:hAnsi="Cambria"/>
          <w:color w:val="000000" w:themeColor="text1"/>
          <w:sz w:val="20"/>
          <w:szCs w:val="20"/>
          <w:lang w:val="es-CO"/>
        </w:rPr>
        <w:t>de Gran Bretaña e Irlanda del Norte</w:t>
      </w:r>
      <w:r w:rsidRPr="008D65EE">
        <w:rPr>
          <w:rFonts w:ascii="Cambria" w:hAnsi="Cambria"/>
          <w:color w:val="000000" w:themeColor="text1"/>
          <w:sz w:val="20"/>
          <w:szCs w:val="20"/>
          <w:lang w:val="es-CO"/>
        </w:rPr>
        <w:t xml:space="preserve">. </w:t>
      </w:r>
    </w:p>
    <w:p w14:paraId="5429BAC7" w14:textId="5A51B45E" w:rsidR="001F742A" w:rsidRPr="008D65EE" w:rsidRDefault="005304B2"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spacing w:after="120"/>
        <w:ind w:left="0" w:firstLine="709"/>
        <w:jc w:val="both"/>
        <w:rPr>
          <w:rFonts w:ascii="Cambria" w:hAnsi="Cambria"/>
          <w:color w:val="000000" w:themeColor="text1"/>
          <w:sz w:val="20"/>
          <w:szCs w:val="20"/>
          <w:lang w:val="es-CO"/>
        </w:rPr>
      </w:pPr>
      <w:r w:rsidRPr="008D65EE">
        <w:rPr>
          <w:rFonts w:ascii="Cambria" w:hAnsi="Cambria"/>
          <w:sz w:val="20"/>
          <w:szCs w:val="20"/>
          <w:lang w:val="es-CO"/>
        </w:rPr>
        <w:t>La Comisión aprobó el Informe de Admisibilidad No. </w:t>
      </w:r>
      <w:r w:rsidR="001A1C63" w:rsidRPr="008D65EE">
        <w:rPr>
          <w:rFonts w:ascii="Cambria" w:hAnsi="Cambria"/>
          <w:sz w:val="20"/>
          <w:szCs w:val="20"/>
          <w:lang w:val="es-CO"/>
        </w:rPr>
        <w:t>189</w:t>
      </w:r>
      <w:r w:rsidRPr="008D65EE">
        <w:rPr>
          <w:rFonts w:ascii="Cambria" w:hAnsi="Cambria"/>
          <w:sz w:val="20"/>
          <w:szCs w:val="20"/>
          <w:lang w:val="es-CO"/>
        </w:rPr>
        <w:t>/1</w:t>
      </w:r>
      <w:r w:rsidR="001A1C63" w:rsidRPr="008D65EE">
        <w:rPr>
          <w:rFonts w:ascii="Cambria" w:hAnsi="Cambria"/>
          <w:sz w:val="20"/>
          <w:szCs w:val="20"/>
          <w:lang w:val="es-CO"/>
        </w:rPr>
        <w:t>9</w:t>
      </w:r>
      <w:r w:rsidRPr="008D65EE">
        <w:rPr>
          <w:rFonts w:ascii="Cambria" w:hAnsi="Cambria"/>
          <w:sz w:val="20"/>
          <w:szCs w:val="20"/>
          <w:lang w:val="es-CO"/>
        </w:rPr>
        <w:t xml:space="preserve"> el </w:t>
      </w:r>
      <w:r w:rsidR="001A1C63" w:rsidRPr="008D65EE">
        <w:rPr>
          <w:rFonts w:ascii="Cambria" w:hAnsi="Cambria"/>
          <w:sz w:val="20"/>
          <w:szCs w:val="20"/>
          <w:lang w:val="es-CO"/>
        </w:rPr>
        <w:t>5</w:t>
      </w:r>
      <w:r w:rsidRPr="008D65EE">
        <w:rPr>
          <w:rFonts w:ascii="Cambria" w:hAnsi="Cambria"/>
          <w:sz w:val="20"/>
          <w:szCs w:val="20"/>
          <w:lang w:val="es-CO"/>
        </w:rPr>
        <w:t xml:space="preserve"> de </w:t>
      </w:r>
      <w:r w:rsidR="001A1C63" w:rsidRPr="008D65EE">
        <w:rPr>
          <w:rFonts w:ascii="Cambria" w:hAnsi="Cambria"/>
          <w:sz w:val="20"/>
          <w:szCs w:val="20"/>
          <w:lang w:val="es-CO"/>
        </w:rPr>
        <w:t>diciembre</w:t>
      </w:r>
      <w:r w:rsidRPr="008D65EE">
        <w:rPr>
          <w:rFonts w:ascii="Cambria" w:hAnsi="Cambria"/>
          <w:sz w:val="20"/>
          <w:szCs w:val="20"/>
          <w:lang w:val="es-CO"/>
        </w:rPr>
        <w:t xml:space="preserve"> de 201</w:t>
      </w:r>
      <w:r w:rsidR="001A1C63" w:rsidRPr="008D65EE">
        <w:rPr>
          <w:rFonts w:ascii="Cambria" w:hAnsi="Cambria"/>
          <w:sz w:val="20"/>
          <w:szCs w:val="20"/>
          <w:lang w:val="es-CO"/>
        </w:rPr>
        <w:t>9</w:t>
      </w:r>
      <w:r w:rsidRPr="008D65EE">
        <w:rPr>
          <w:rFonts w:ascii="Cambria" w:hAnsi="Cambria"/>
          <w:sz w:val="20"/>
          <w:szCs w:val="20"/>
          <w:lang w:val="es-CO"/>
        </w:rPr>
        <w:t>. El 2</w:t>
      </w:r>
      <w:r w:rsidR="001A1C63" w:rsidRPr="008D65EE">
        <w:rPr>
          <w:rFonts w:ascii="Cambria" w:hAnsi="Cambria"/>
          <w:sz w:val="20"/>
          <w:szCs w:val="20"/>
          <w:lang w:val="es-CO"/>
        </w:rPr>
        <w:t>6</w:t>
      </w:r>
      <w:r w:rsidRPr="008D65EE">
        <w:rPr>
          <w:rFonts w:ascii="Cambria" w:hAnsi="Cambria"/>
          <w:sz w:val="20"/>
          <w:szCs w:val="20"/>
          <w:lang w:val="es-CO"/>
        </w:rPr>
        <w:t xml:space="preserve"> de </w:t>
      </w:r>
      <w:r w:rsidR="001A1C63" w:rsidRPr="008D65EE">
        <w:rPr>
          <w:rFonts w:ascii="Cambria" w:hAnsi="Cambria"/>
          <w:sz w:val="20"/>
          <w:szCs w:val="20"/>
          <w:lang w:val="es-CO"/>
        </w:rPr>
        <w:t>diciembre</w:t>
      </w:r>
      <w:r w:rsidRPr="008D65EE">
        <w:rPr>
          <w:rFonts w:ascii="Cambria" w:hAnsi="Cambria"/>
          <w:sz w:val="20"/>
          <w:szCs w:val="20"/>
          <w:lang w:val="es-CO"/>
        </w:rPr>
        <w:t xml:space="preserve"> de 201</w:t>
      </w:r>
      <w:r w:rsidR="001A1C63" w:rsidRPr="008D65EE">
        <w:rPr>
          <w:rFonts w:ascii="Cambria" w:hAnsi="Cambria"/>
          <w:sz w:val="20"/>
          <w:szCs w:val="20"/>
          <w:lang w:val="es-CO"/>
        </w:rPr>
        <w:t>9</w:t>
      </w:r>
      <w:r w:rsidRPr="008D65EE">
        <w:rPr>
          <w:rFonts w:ascii="Cambria" w:hAnsi="Cambria"/>
          <w:sz w:val="20"/>
          <w:szCs w:val="20"/>
          <w:lang w:val="es-CO"/>
        </w:rPr>
        <w:t xml:space="preserve"> la Comisión notificó dicho informe a las partes y se puso a su disposición a fin de llegar a una solución amistosa. Las partes contaron con los plazos reglamentarios para presentar sus observaciones adicionales sobre el fondo</w:t>
      </w:r>
      <w:r w:rsidR="006A0010" w:rsidRPr="008D65EE">
        <w:rPr>
          <w:rFonts w:ascii="Cambria" w:hAnsi="Cambria"/>
          <w:sz w:val="20"/>
          <w:szCs w:val="20"/>
          <w:lang w:val="es-CO"/>
        </w:rPr>
        <w:t>. E</w:t>
      </w:r>
      <w:r w:rsidRPr="008D65EE">
        <w:rPr>
          <w:rFonts w:ascii="Cambria" w:hAnsi="Cambria"/>
          <w:sz w:val="20"/>
          <w:szCs w:val="20"/>
          <w:lang w:val="es-CO"/>
        </w:rPr>
        <w:t>l Estado</w:t>
      </w:r>
      <w:r w:rsidR="001A1C63" w:rsidRPr="008D65EE">
        <w:rPr>
          <w:rFonts w:ascii="Cambria" w:hAnsi="Cambria"/>
          <w:sz w:val="20"/>
          <w:szCs w:val="20"/>
          <w:lang w:val="es-CO"/>
        </w:rPr>
        <w:t xml:space="preserve"> no present</w:t>
      </w:r>
      <w:r w:rsidR="006A0010" w:rsidRPr="008D65EE">
        <w:rPr>
          <w:rFonts w:ascii="Cambria" w:hAnsi="Cambria"/>
          <w:sz w:val="20"/>
          <w:szCs w:val="20"/>
          <w:lang w:val="es-CO"/>
        </w:rPr>
        <w:t>ó observaciones</w:t>
      </w:r>
      <w:r w:rsidRPr="008D65EE">
        <w:rPr>
          <w:rFonts w:ascii="Cambria" w:hAnsi="Cambria"/>
          <w:sz w:val="20"/>
          <w:szCs w:val="20"/>
          <w:lang w:val="es-CO"/>
        </w:rPr>
        <w:t>. Toda la información recibida fue debidamente trasladada entre las partes</w:t>
      </w:r>
      <w:r w:rsidR="001F742A" w:rsidRPr="008D65EE">
        <w:rPr>
          <w:rFonts w:ascii="Cambria" w:hAnsi="Cambria"/>
          <w:sz w:val="20"/>
          <w:szCs w:val="20"/>
          <w:lang w:val="es-CO"/>
        </w:rPr>
        <w:t>.</w:t>
      </w:r>
    </w:p>
    <w:p w14:paraId="494E1934" w14:textId="77777777" w:rsidR="001F742A" w:rsidRPr="008D65EE" w:rsidRDefault="001F742A" w:rsidP="001F74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1260"/>
        <w:jc w:val="both"/>
        <w:rPr>
          <w:rFonts w:ascii="Cambria" w:hAnsi="Cambria"/>
          <w:color w:val="000000" w:themeColor="text1"/>
          <w:sz w:val="20"/>
          <w:szCs w:val="20"/>
          <w:lang w:val="es-CO"/>
        </w:rPr>
      </w:pPr>
    </w:p>
    <w:p w14:paraId="0F92C7D0" w14:textId="77777777" w:rsidR="002A6B05" w:rsidRPr="008D65EE" w:rsidRDefault="002A6B05" w:rsidP="002A6B05">
      <w:pPr>
        <w:pStyle w:val="Heading1"/>
        <w:spacing w:before="0"/>
        <w:ind w:firstLine="0"/>
        <w:jc w:val="both"/>
        <w:rPr>
          <w:rFonts w:ascii="Cambria" w:hAnsi="Cambria"/>
          <w:color w:val="auto"/>
          <w:sz w:val="20"/>
          <w:szCs w:val="20"/>
          <w:lang w:val="es-CO"/>
        </w:rPr>
      </w:pPr>
      <w:bookmarkStart w:id="8" w:name="_Toc477355342"/>
      <w:bookmarkStart w:id="9" w:name="_Toc217309312"/>
      <w:r w:rsidRPr="008D65EE">
        <w:rPr>
          <w:rFonts w:ascii="Cambria" w:hAnsi="Cambria"/>
          <w:color w:val="auto"/>
          <w:sz w:val="20"/>
          <w:szCs w:val="20"/>
          <w:lang w:val="es-CO"/>
        </w:rPr>
        <w:t>POSICIONES DE LAS PARTES</w:t>
      </w:r>
      <w:bookmarkEnd w:id="8"/>
      <w:bookmarkEnd w:id="9"/>
    </w:p>
    <w:p w14:paraId="0D082C24" w14:textId="77777777" w:rsidR="002A6B05" w:rsidRPr="008D65EE" w:rsidRDefault="002A6B05" w:rsidP="002A6B05">
      <w:pPr>
        <w:tabs>
          <w:tab w:val="left" w:pos="1440"/>
        </w:tabs>
        <w:jc w:val="both"/>
        <w:rPr>
          <w:rFonts w:ascii="Cambria" w:hAnsi="Cambria"/>
          <w:sz w:val="20"/>
          <w:szCs w:val="20"/>
          <w:lang w:val="es-CO"/>
        </w:rPr>
      </w:pPr>
    </w:p>
    <w:p w14:paraId="0D9226B1" w14:textId="77777777" w:rsidR="002A6B05" w:rsidRPr="008D65EE" w:rsidRDefault="002A6B05" w:rsidP="002A6B05">
      <w:pPr>
        <w:pStyle w:val="Heading2"/>
        <w:numPr>
          <w:ilvl w:val="0"/>
          <w:numId w:val="52"/>
        </w:numPr>
        <w:jc w:val="both"/>
        <w:rPr>
          <w:rFonts w:ascii="Cambria" w:hAnsi="Cambria"/>
          <w:i w:val="0"/>
          <w:sz w:val="20"/>
          <w:szCs w:val="20"/>
          <w:lang w:val="es-CO"/>
        </w:rPr>
      </w:pPr>
      <w:bookmarkStart w:id="10" w:name="_Toc423514408"/>
      <w:bookmarkStart w:id="11" w:name="_Toc441166728"/>
      <w:bookmarkStart w:id="12" w:name="_Toc477355343"/>
      <w:bookmarkStart w:id="13" w:name="_Toc217309313"/>
      <w:r w:rsidRPr="008D65EE">
        <w:rPr>
          <w:rFonts w:ascii="Cambria" w:hAnsi="Cambria"/>
          <w:i w:val="0"/>
          <w:sz w:val="20"/>
          <w:szCs w:val="20"/>
          <w:lang w:val="es-CO"/>
        </w:rPr>
        <w:t>P</w:t>
      </w:r>
      <w:bookmarkEnd w:id="10"/>
      <w:bookmarkEnd w:id="11"/>
      <w:bookmarkEnd w:id="12"/>
      <w:r w:rsidRPr="008D65EE">
        <w:rPr>
          <w:rFonts w:ascii="Cambria" w:hAnsi="Cambria"/>
          <w:i w:val="0"/>
          <w:sz w:val="20"/>
          <w:szCs w:val="20"/>
          <w:lang w:val="es-CO"/>
        </w:rPr>
        <w:t>arte peticionaria</w:t>
      </w:r>
      <w:bookmarkEnd w:id="13"/>
      <w:r w:rsidRPr="008D65EE">
        <w:rPr>
          <w:rFonts w:ascii="Cambria" w:hAnsi="Cambria"/>
          <w:i w:val="0"/>
          <w:sz w:val="20"/>
          <w:szCs w:val="20"/>
          <w:lang w:val="es-CO"/>
        </w:rPr>
        <w:t xml:space="preserve"> </w:t>
      </w:r>
    </w:p>
    <w:p w14:paraId="3AE2FDF6" w14:textId="77777777" w:rsidR="002A6B05" w:rsidRPr="008D65EE"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CO"/>
        </w:rPr>
      </w:pPr>
    </w:p>
    <w:p w14:paraId="31359FE8" w14:textId="2E509727" w:rsidR="002A6B05" w:rsidRPr="008D65EE" w:rsidRDefault="002A6B05"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color w:val="000000" w:themeColor="text1"/>
          <w:sz w:val="20"/>
          <w:szCs w:val="20"/>
          <w:lang w:val="es-CO"/>
        </w:rPr>
        <w:t>La parte peticionaria alegó que</w:t>
      </w:r>
      <w:r w:rsidR="00E437A7" w:rsidRPr="008D65EE">
        <w:rPr>
          <w:rFonts w:ascii="Cambria" w:hAnsi="Cambria"/>
          <w:color w:val="000000" w:themeColor="text1"/>
          <w:sz w:val="20"/>
          <w:szCs w:val="20"/>
          <w:lang w:val="es-CO"/>
        </w:rPr>
        <w:t xml:space="preserve"> Sarah Lyn Langton</w:t>
      </w:r>
      <w:r w:rsidR="008D67C8" w:rsidRPr="008D65EE">
        <w:rPr>
          <w:rFonts w:ascii="Cambria" w:hAnsi="Cambria"/>
          <w:color w:val="000000" w:themeColor="text1"/>
          <w:sz w:val="20"/>
          <w:szCs w:val="20"/>
          <w:lang w:val="es-CO"/>
        </w:rPr>
        <w:t xml:space="preserve">, de nacionalidad británica, </w:t>
      </w:r>
      <w:r w:rsidR="00E437A7" w:rsidRPr="008D65EE">
        <w:rPr>
          <w:rFonts w:ascii="Cambria" w:hAnsi="Cambria"/>
          <w:color w:val="000000" w:themeColor="text1"/>
          <w:sz w:val="20"/>
          <w:szCs w:val="20"/>
          <w:lang w:val="es-CO"/>
        </w:rPr>
        <w:t>fue sentenciada el 8 de agosto de 2000 en Venezuela por tráfico de estupefacientes y recluida en el Instituto Nacional de Orientación Femenina (INOF), en el Estado Miranda en Venezuela.</w:t>
      </w:r>
      <w:r w:rsidR="008D67C8" w:rsidRPr="008D65EE">
        <w:rPr>
          <w:rFonts w:ascii="Cambria" w:hAnsi="Cambria"/>
          <w:color w:val="000000" w:themeColor="text1"/>
          <w:sz w:val="20"/>
          <w:szCs w:val="20"/>
          <w:lang w:val="es-CO"/>
        </w:rPr>
        <w:t xml:space="preserve"> Afirmó que Sarah padecía de diabetes mellitus tipo I y era por lo tanto, insulina-dependiente</w:t>
      </w:r>
      <w:r w:rsidR="0084043E" w:rsidRPr="008D65EE">
        <w:rPr>
          <w:rFonts w:ascii="Cambria" w:hAnsi="Cambria"/>
          <w:color w:val="000000" w:themeColor="text1"/>
          <w:sz w:val="20"/>
          <w:szCs w:val="20"/>
          <w:lang w:val="es-CO"/>
        </w:rPr>
        <w:t>.</w:t>
      </w:r>
    </w:p>
    <w:p w14:paraId="71446371" w14:textId="77777777" w:rsidR="002A6B05" w:rsidRPr="008D65EE"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567"/>
        <w:jc w:val="both"/>
        <w:rPr>
          <w:rFonts w:ascii="Cambria" w:hAnsi="Cambria"/>
          <w:sz w:val="20"/>
          <w:szCs w:val="20"/>
          <w:lang w:val="es-CO"/>
        </w:rPr>
      </w:pPr>
    </w:p>
    <w:p w14:paraId="67A7CFEC" w14:textId="688D0329" w:rsidR="002A6B05" w:rsidRPr="008D65EE" w:rsidRDefault="002A6B05"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color w:val="000000" w:themeColor="text1"/>
          <w:sz w:val="20"/>
          <w:szCs w:val="20"/>
          <w:lang w:val="es-CO"/>
        </w:rPr>
        <w:t xml:space="preserve">Señaló que </w:t>
      </w:r>
      <w:r w:rsidR="00E437A7" w:rsidRPr="008D65EE">
        <w:rPr>
          <w:rFonts w:ascii="Cambria" w:hAnsi="Cambria"/>
          <w:color w:val="000000" w:themeColor="text1"/>
          <w:sz w:val="20"/>
          <w:szCs w:val="20"/>
          <w:lang w:val="es-CO"/>
        </w:rPr>
        <w:t>el 6 de marzo de 2001 a las 4:15pm, la presunta víctima sufrió un ataque de hipoglicemia y, entre las 5:30pm y las 7:00pm, fue trasladada al Hospital General Victorino Santaella en Los Teques por una baja en los niveles de azúcar en la sangre</w:t>
      </w:r>
      <w:r w:rsidRPr="008D65EE">
        <w:rPr>
          <w:rFonts w:ascii="Cambria" w:hAnsi="Cambria"/>
          <w:color w:val="000000" w:themeColor="text1"/>
          <w:sz w:val="20"/>
          <w:szCs w:val="20"/>
          <w:lang w:val="es-CO"/>
        </w:rPr>
        <w:t>.</w:t>
      </w:r>
      <w:r w:rsidR="00E437A7" w:rsidRPr="008D65EE">
        <w:rPr>
          <w:rFonts w:ascii="Cambria" w:hAnsi="Cambria"/>
          <w:color w:val="000000" w:themeColor="text1"/>
          <w:sz w:val="20"/>
          <w:szCs w:val="20"/>
          <w:lang w:val="es-CO"/>
        </w:rPr>
        <w:t xml:space="preserve"> Alegó que, a las 7:45pm del mismo </w:t>
      </w:r>
      <w:r w:rsidR="00CD7891" w:rsidRPr="008D65EE">
        <w:rPr>
          <w:rFonts w:ascii="Cambria" w:hAnsi="Cambria"/>
          <w:color w:val="000000" w:themeColor="text1"/>
          <w:sz w:val="20"/>
          <w:szCs w:val="20"/>
          <w:lang w:val="es-CO"/>
        </w:rPr>
        <w:t>día</w:t>
      </w:r>
      <w:r w:rsidR="00E437A7" w:rsidRPr="008D65EE">
        <w:rPr>
          <w:rFonts w:ascii="Cambria" w:hAnsi="Cambria"/>
          <w:color w:val="000000" w:themeColor="text1"/>
          <w:sz w:val="20"/>
          <w:szCs w:val="20"/>
          <w:lang w:val="es-CO"/>
        </w:rPr>
        <w:t xml:space="preserve"> la presunta víctima fue dada de</w:t>
      </w:r>
      <w:r w:rsidRPr="008D65EE">
        <w:rPr>
          <w:rFonts w:ascii="Cambria" w:hAnsi="Cambria"/>
          <w:color w:val="000000" w:themeColor="text1"/>
          <w:sz w:val="20"/>
          <w:szCs w:val="20"/>
          <w:lang w:val="es-CO"/>
        </w:rPr>
        <w:t xml:space="preserve"> </w:t>
      </w:r>
      <w:r w:rsidR="00E437A7" w:rsidRPr="008D65EE">
        <w:rPr>
          <w:rFonts w:ascii="Cambria" w:hAnsi="Cambria"/>
          <w:color w:val="000000" w:themeColor="text1"/>
          <w:sz w:val="20"/>
          <w:szCs w:val="20"/>
          <w:lang w:val="es-CO"/>
        </w:rPr>
        <w:t xml:space="preserve">alta sin que se le diera un diagnóstico formal y que en este momento no había personal médico de servicio en la prisión para atenderla. </w:t>
      </w:r>
    </w:p>
    <w:p w14:paraId="2BE083E7" w14:textId="77777777" w:rsidR="002A6B05" w:rsidRPr="008D65EE"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CO"/>
        </w:rPr>
      </w:pPr>
    </w:p>
    <w:p w14:paraId="1FD3EB4D" w14:textId="34413F1A" w:rsidR="00E437A7" w:rsidRPr="008D65EE" w:rsidRDefault="00E437A7"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color w:val="000000" w:themeColor="text1"/>
          <w:sz w:val="20"/>
          <w:szCs w:val="20"/>
          <w:lang w:val="es-CO"/>
        </w:rPr>
        <w:t xml:space="preserve">Asimismo, señaló que al día siguiente, a las 3:30pm mientras se encontraba en su celda, comenzó a convulsionar y quedó inconsciente, imposibilitada de administrarse la dosis de insulina u otro medicamento que le permitiese estabilizar su condición. Al mismo tiempo, afirmó que la insulina se encontraba en la nevera de la Dirección del centro penitenciario a la cual la presunta víctima no tenía acceso. Señaló que las autoridades del INOF llamaron al cuerpo de bomberos que llegó con una ambulancia una hora después y que el personal penitenciario tardó más de dos horas para trasladarla a la ambulancia. </w:t>
      </w:r>
    </w:p>
    <w:p w14:paraId="1FF6B6C0" w14:textId="77777777" w:rsidR="00E437A7" w:rsidRPr="008D65EE" w:rsidRDefault="00E437A7" w:rsidP="00E437A7">
      <w:pPr>
        <w:pStyle w:val="ListParagraph"/>
        <w:rPr>
          <w:color w:val="000000" w:themeColor="text1"/>
          <w:sz w:val="20"/>
          <w:szCs w:val="20"/>
          <w:lang w:val="es-CO"/>
        </w:rPr>
      </w:pPr>
    </w:p>
    <w:p w14:paraId="7488D9A4" w14:textId="17BE66B3" w:rsidR="00A726D4" w:rsidRPr="008D65EE" w:rsidRDefault="00E437A7"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color w:val="000000" w:themeColor="text1"/>
          <w:sz w:val="20"/>
          <w:szCs w:val="20"/>
          <w:lang w:val="es-CO"/>
        </w:rPr>
        <w:t xml:space="preserve"> La peticionaria alegó que al momento de presentarse la emergencia “no había médicos o personal equivalente con la capacidad de suplir necesidades médicas en caso de emergencia en el INOF”, toda vez que la doctora a cargo de la jefatura del servicio médico del INOF y encargada de la guardia en el servicio de adultos en el horario correspondiente se encontraba en Colombia asistiendo a una conferencia y que la comisario del penal, quien </w:t>
      </w:r>
      <w:r w:rsidR="00256DC4" w:rsidRPr="008D65EE">
        <w:rPr>
          <w:rFonts w:ascii="Cambria" w:hAnsi="Cambria"/>
          <w:color w:val="000000" w:themeColor="text1"/>
          <w:sz w:val="20"/>
          <w:szCs w:val="20"/>
          <w:lang w:val="es-CO"/>
        </w:rPr>
        <w:t>había</w:t>
      </w:r>
      <w:r w:rsidRPr="008D65EE">
        <w:rPr>
          <w:rFonts w:ascii="Cambria" w:hAnsi="Cambria"/>
          <w:color w:val="000000" w:themeColor="text1"/>
          <w:sz w:val="20"/>
          <w:szCs w:val="20"/>
          <w:lang w:val="es-CO"/>
        </w:rPr>
        <w:t xml:space="preserve"> autorizado </w:t>
      </w:r>
      <w:r w:rsidR="00A726D4" w:rsidRPr="008D65EE">
        <w:rPr>
          <w:rFonts w:ascii="Cambria" w:hAnsi="Cambria"/>
          <w:color w:val="000000" w:themeColor="text1"/>
          <w:sz w:val="20"/>
          <w:szCs w:val="20"/>
          <w:lang w:val="es-CO"/>
        </w:rPr>
        <w:t xml:space="preserve">la ausencia de la doctora encargada, se encontraba también en la misma conferencia. Afirmó también que ninguna de ellas </w:t>
      </w:r>
      <w:r w:rsidR="00256DC4" w:rsidRPr="008D65EE">
        <w:rPr>
          <w:rFonts w:ascii="Cambria" w:hAnsi="Cambria"/>
          <w:color w:val="000000" w:themeColor="text1"/>
          <w:sz w:val="20"/>
          <w:szCs w:val="20"/>
          <w:lang w:val="es-CO"/>
        </w:rPr>
        <w:t>había</w:t>
      </w:r>
      <w:r w:rsidR="00A726D4" w:rsidRPr="008D65EE">
        <w:rPr>
          <w:rFonts w:ascii="Cambria" w:hAnsi="Cambria"/>
          <w:color w:val="000000" w:themeColor="text1"/>
          <w:sz w:val="20"/>
          <w:szCs w:val="20"/>
          <w:lang w:val="es-CO"/>
        </w:rPr>
        <w:t xml:space="preserve"> tomado medidas para asegurarse que existiera servicio médico en el centro durante su ausencia. La peticionaria alegó que, si bien los doctores Luis Eduardo Mota Acosta y Migdalia Coromoto Galavis Carvajal estaban presentes en el INOF al momento de los hechos y habían sido notificados de la situación, no prestaron ayuda a la presunta víctima </w:t>
      </w:r>
      <w:r w:rsidR="008D67C8" w:rsidRPr="008D65EE">
        <w:rPr>
          <w:rFonts w:ascii="Cambria" w:hAnsi="Cambria"/>
          <w:color w:val="000000" w:themeColor="text1"/>
          <w:sz w:val="20"/>
          <w:szCs w:val="20"/>
          <w:lang w:val="es-CO"/>
        </w:rPr>
        <w:t>debido</w:t>
      </w:r>
      <w:r w:rsidR="00A726D4" w:rsidRPr="008D65EE">
        <w:rPr>
          <w:rFonts w:ascii="Cambria" w:hAnsi="Cambria"/>
          <w:color w:val="000000" w:themeColor="text1"/>
          <w:sz w:val="20"/>
          <w:szCs w:val="20"/>
          <w:lang w:val="es-CO"/>
        </w:rPr>
        <w:t xml:space="preserve"> a una presunta prohibición expresa de </w:t>
      </w:r>
      <w:r w:rsidR="00256DC4" w:rsidRPr="008D65EE">
        <w:rPr>
          <w:rFonts w:ascii="Cambria" w:hAnsi="Cambria"/>
          <w:color w:val="000000" w:themeColor="text1"/>
          <w:sz w:val="20"/>
          <w:szCs w:val="20"/>
          <w:lang w:val="es-CO"/>
        </w:rPr>
        <w:t>acceder</w:t>
      </w:r>
      <w:r w:rsidR="00A726D4" w:rsidRPr="008D65EE">
        <w:rPr>
          <w:rFonts w:ascii="Cambria" w:hAnsi="Cambria"/>
          <w:color w:val="000000" w:themeColor="text1"/>
          <w:sz w:val="20"/>
          <w:szCs w:val="20"/>
          <w:lang w:val="es-CO"/>
        </w:rPr>
        <w:t xml:space="preserve"> al área de adultos, toda vez que se encontraban a cargo </w:t>
      </w:r>
      <w:r w:rsidR="00256DC4" w:rsidRPr="008D65EE">
        <w:rPr>
          <w:rFonts w:ascii="Cambria" w:hAnsi="Cambria"/>
          <w:color w:val="000000" w:themeColor="text1"/>
          <w:sz w:val="20"/>
          <w:szCs w:val="20"/>
          <w:lang w:val="es-CO"/>
        </w:rPr>
        <w:t xml:space="preserve">del área pediátrica del penal. </w:t>
      </w:r>
    </w:p>
    <w:p w14:paraId="4112712C" w14:textId="77777777" w:rsidR="00A726D4" w:rsidRPr="008D65EE" w:rsidRDefault="00A726D4" w:rsidP="00A726D4">
      <w:pPr>
        <w:pStyle w:val="ListParagraph"/>
        <w:rPr>
          <w:color w:val="000000" w:themeColor="text1"/>
          <w:sz w:val="20"/>
          <w:szCs w:val="20"/>
          <w:lang w:val="es-CO"/>
        </w:rPr>
      </w:pPr>
    </w:p>
    <w:p w14:paraId="5F30EF5C" w14:textId="52919F1D" w:rsidR="002A6B05" w:rsidRPr="008D65EE" w:rsidRDefault="00256DC4"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color w:val="000000" w:themeColor="text1"/>
          <w:sz w:val="20"/>
          <w:szCs w:val="20"/>
          <w:lang w:val="es-CO"/>
        </w:rPr>
        <w:t>La peticionaria afirmó que, aproximadamente a las 6</w:t>
      </w:r>
      <w:r w:rsidR="008D67C8" w:rsidRPr="008D65EE">
        <w:rPr>
          <w:rFonts w:ascii="Cambria" w:hAnsi="Cambria"/>
          <w:color w:val="000000" w:themeColor="text1"/>
          <w:sz w:val="20"/>
          <w:szCs w:val="20"/>
          <w:lang w:val="es-CO"/>
        </w:rPr>
        <w:t>:00</w:t>
      </w:r>
      <w:r w:rsidRPr="008D65EE">
        <w:rPr>
          <w:rFonts w:ascii="Cambria" w:hAnsi="Cambria"/>
          <w:color w:val="000000" w:themeColor="text1"/>
          <w:sz w:val="20"/>
          <w:szCs w:val="20"/>
          <w:lang w:val="es-CO"/>
        </w:rPr>
        <w:t>pm</w:t>
      </w:r>
      <w:r w:rsidR="008D67C8" w:rsidRPr="008D65EE">
        <w:rPr>
          <w:rFonts w:ascii="Cambria" w:hAnsi="Cambria"/>
          <w:color w:val="000000" w:themeColor="text1"/>
          <w:sz w:val="20"/>
          <w:szCs w:val="20"/>
          <w:lang w:val="es-CO"/>
        </w:rPr>
        <w:t xml:space="preserve"> del mismo día</w:t>
      </w:r>
      <w:r w:rsidRPr="008D65EE">
        <w:rPr>
          <w:rFonts w:ascii="Cambria" w:hAnsi="Cambria"/>
          <w:color w:val="000000" w:themeColor="text1"/>
          <w:sz w:val="20"/>
          <w:szCs w:val="20"/>
          <w:lang w:val="es-CO"/>
        </w:rPr>
        <w:t xml:space="preserve">, la presunta víctima fue trasladada al Hospital General Victorino Santaella, </w:t>
      </w:r>
      <w:r w:rsidR="00CD7891" w:rsidRPr="008D65EE">
        <w:rPr>
          <w:rFonts w:ascii="Cambria" w:hAnsi="Cambria"/>
          <w:color w:val="000000" w:themeColor="text1"/>
          <w:sz w:val="20"/>
          <w:szCs w:val="20"/>
          <w:lang w:val="es-CO"/>
        </w:rPr>
        <w:t>presentando</w:t>
      </w:r>
      <w:r w:rsidRPr="008D65EE">
        <w:rPr>
          <w:rFonts w:ascii="Cambria" w:hAnsi="Cambria"/>
          <w:color w:val="000000" w:themeColor="text1"/>
          <w:sz w:val="20"/>
          <w:szCs w:val="20"/>
          <w:lang w:val="es-CO"/>
        </w:rPr>
        <w:t xml:space="preserve"> una “situación crítica con sudoración profusa, fluctuando entre estados semi-inconsciente e inconsciente, con frialdad cutánea, palidez acentuada, descompensada con hipoglucemia”, ante lo cual, los médicos ordenaron su traslado al área de cuidados intensivos pero que, al no haber camas disponibles, tuvo que ser mantenida en el pasillo del hospital. La peticionaria alegó que Sarah no habría recibido atención médica hasta al menos las 11pm. </w:t>
      </w:r>
    </w:p>
    <w:p w14:paraId="01125925" w14:textId="77777777" w:rsidR="00256DC4" w:rsidRPr="008D65EE" w:rsidRDefault="00256DC4" w:rsidP="0036484A">
      <w:pPr>
        <w:pStyle w:val="ListParagraph"/>
        <w:ind w:firstLine="567"/>
        <w:rPr>
          <w:sz w:val="20"/>
          <w:szCs w:val="20"/>
          <w:lang w:val="es-CO"/>
        </w:rPr>
      </w:pPr>
    </w:p>
    <w:p w14:paraId="15C6A771" w14:textId="0DD205F8" w:rsidR="00256DC4" w:rsidRPr="008D65EE" w:rsidRDefault="00256DC4"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sz w:val="20"/>
          <w:szCs w:val="20"/>
          <w:lang w:val="es-CO"/>
        </w:rPr>
        <w:t xml:space="preserve">Alegó que, de acuerdo a una nota informativa de la Dirección General de Custodia y </w:t>
      </w:r>
      <w:r w:rsidR="00CD7891" w:rsidRPr="008D65EE">
        <w:rPr>
          <w:rFonts w:ascii="Cambria" w:hAnsi="Cambria"/>
          <w:sz w:val="20"/>
          <w:szCs w:val="20"/>
          <w:lang w:val="es-CO"/>
        </w:rPr>
        <w:t>Rehabilitación</w:t>
      </w:r>
      <w:r w:rsidRPr="008D65EE">
        <w:rPr>
          <w:rFonts w:ascii="Cambria" w:hAnsi="Cambria"/>
          <w:sz w:val="20"/>
          <w:szCs w:val="20"/>
          <w:lang w:val="es-CO"/>
        </w:rPr>
        <w:t xml:space="preserve"> del Recluso de fecha 11 de marzo de 2001, </w:t>
      </w:r>
      <w:r w:rsidR="0089741E" w:rsidRPr="008D65EE">
        <w:rPr>
          <w:rFonts w:ascii="Cambria" w:hAnsi="Cambria"/>
          <w:sz w:val="20"/>
          <w:szCs w:val="20"/>
          <w:lang w:val="es-CO"/>
        </w:rPr>
        <w:t>el médico tratante habría manifestado que la presunta víctima se encontraba muy delicada de salud y debía ser recluida en terapia intensiva pero que el hospital no contaba con los instrumentos médicos adecuados disponibles, ante lo cual el abogado defensor había gestionado el traslado a un centro médico privado con la autorización de la directora del INOF.</w:t>
      </w:r>
    </w:p>
    <w:p w14:paraId="735B9055" w14:textId="77777777" w:rsidR="002A6B05" w:rsidRPr="008D65EE" w:rsidRDefault="002A6B05" w:rsidP="0036484A">
      <w:pPr>
        <w:pStyle w:val="ListParagraph"/>
        <w:ind w:firstLine="567"/>
        <w:rPr>
          <w:color w:val="000000" w:themeColor="text1"/>
          <w:sz w:val="20"/>
          <w:szCs w:val="20"/>
          <w:lang w:val="es-CO"/>
        </w:rPr>
      </w:pPr>
    </w:p>
    <w:p w14:paraId="1ABD0D02" w14:textId="45B11D50" w:rsidR="002A6B05" w:rsidRPr="008D65EE" w:rsidRDefault="002A6B05"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color w:val="000000" w:themeColor="text1"/>
          <w:sz w:val="20"/>
          <w:szCs w:val="20"/>
          <w:lang w:val="es-CO"/>
        </w:rPr>
        <w:t xml:space="preserve">Asimismo, la peticionaria alegó que </w:t>
      </w:r>
      <w:r w:rsidR="0089741E" w:rsidRPr="008D65EE">
        <w:rPr>
          <w:rFonts w:ascii="Cambria" w:hAnsi="Cambria"/>
          <w:color w:val="000000" w:themeColor="text1"/>
          <w:sz w:val="20"/>
          <w:szCs w:val="20"/>
          <w:lang w:val="es-CO"/>
        </w:rPr>
        <w:t xml:space="preserve">la presunta víctima llegó al Instituto Médico de San Bernardino en Caracas a las 4am del 8 de marzo </w:t>
      </w:r>
      <w:r w:rsidR="0007198E" w:rsidRPr="008D65EE">
        <w:rPr>
          <w:rFonts w:ascii="Cambria" w:hAnsi="Cambria"/>
          <w:color w:val="000000" w:themeColor="text1"/>
          <w:sz w:val="20"/>
          <w:szCs w:val="20"/>
          <w:lang w:val="es-CO"/>
        </w:rPr>
        <w:t>pero que las autoridades del instituto la dejaron en la ambulancia hasta que se cumpliera con los procedimientos administrativos para su ingreso y que posteriormente solicitaron un depósito mayor de diez mil dólares americanos mediante la copia de la tarjeta de crédito del señor Langton, quien se encontraba en el Reino Unido. Alegó que Sarah fue admitida en la unidad de cuidados intensivos a las 9:00am y que ingresó al instituto en estado de coma diabético, muriendo en el instituto el 13 de marzo de 2001 a las 11:45pm por encefalopatía anóxica y diabetes melitos tipo I, sin haber recobrado el conocimiento luego de ser ingresada.</w:t>
      </w:r>
    </w:p>
    <w:p w14:paraId="61A8D094" w14:textId="77777777" w:rsidR="002A6B05" w:rsidRPr="008D65EE" w:rsidRDefault="002A6B05" w:rsidP="0036484A">
      <w:pPr>
        <w:pStyle w:val="ListParagraph"/>
        <w:ind w:left="0" w:firstLine="567"/>
        <w:rPr>
          <w:color w:val="000000" w:themeColor="text1"/>
          <w:sz w:val="20"/>
          <w:szCs w:val="20"/>
          <w:lang w:val="es-CO"/>
        </w:rPr>
      </w:pPr>
    </w:p>
    <w:p w14:paraId="32344F08" w14:textId="3791F586" w:rsidR="00A16D37" w:rsidRPr="008D65EE" w:rsidRDefault="002A6B05" w:rsidP="0036484A">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ascii="Cambria" w:hAnsi="Cambria"/>
          <w:sz w:val="20"/>
          <w:szCs w:val="20"/>
          <w:lang w:val="es-CO"/>
        </w:rPr>
      </w:pPr>
      <w:r w:rsidRPr="008D65EE">
        <w:rPr>
          <w:rFonts w:ascii="Cambria" w:hAnsi="Cambria"/>
          <w:color w:val="000000" w:themeColor="text1"/>
          <w:sz w:val="20"/>
          <w:szCs w:val="20"/>
          <w:lang w:val="es-CO"/>
        </w:rPr>
        <w:t>La peticionaria alegó que</w:t>
      </w:r>
      <w:r w:rsidR="0007198E" w:rsidRPr="008D65EE">
        <w:rPr>
          <w:rFonts w:ascii="Cambria" w:hAnsi="Cambria"/>
          <w:color w:val="000000" w:themeColor="text1"/>
          <w:sz w:val="20"/>
          <w:szCs w:val="20"/>
          <w:lang w:val="es-CO"/>
        </w:rPr>
        <w:t xml:space="preserve"> los padres de Sarah, Terry Langton y Lyn Langton, viajaron con urgencia a Venezuela para cuidar a su hija pero que nunca pudieron interactuar con ella debido a la gravedad de su estado </w:t>
      </w:r>
      <w:r w:rsidR="00A16D37" w:rsidRPr="008D65EE">
        <w:rPr>
          <w:rFonts w:ascii="Cambria" w:hAnsi="Cambria"/>
          <w:color w:val="000000" w:themeColor="text1"/>
          <w:sz w:val="20"/>
          <w:szCs w:val="20"/>
          <w:lang w:val="es-CO"/>
        </w:rPr>
        <w:t xml:space="preserve">permanente de inconsciencia, lo cual habría acentuado su sufrimiento y sentido de impotencia. Señaló también que “las autoridades venezolanas sabían de la condición de salud de Sarah desde que fue procesada” y que el señor Langton </w:t>
      </w:r>
      <w:r w:rsidR="00CD7891" w:rsidRPr="008D65EE">
        <w:rPr>
          <w:rFonts w:ascii="Cambria" w:hAnsi="Cambria"/>
          <w:color w:val="000000" w:themeColor="text1"/>
          <w:sz w:val="20"/>
          <w:szCs w:val="20"/>
          <w:lang w:val="es-CO"/>
        </w:rPr>
        <w:t>les</w:t>
      </w:r>
      <w:r w:rsidR="00A16D37" w:rsidRPr="008D65EE">
        <w:rPr>
          <w:rFonts w:ascii="Cambria" w:hAnsi="Cambria"/>
          <w:color w:val="000000" w:themeColor="text1"/>
          <w:sz w:val="20"/>
          <w:szCs w:val="20"/>
          <w:lang w:val="es-CO"/>
        </w:rPr>
        <w:t xml:space="preserve"> había indicado a las autoridades del INOF su preocupación por la salud de su hija tanto por la diabetes como porque estaba “sufriendo de algún desequilibrio mental”, lo cual habría sido confirmado por los doctores que la habían tratado en el Reino Unido con anterioridad. La peticionaria afirmó que nunca habían recibido confirmación de que se hubiese practicado una evaluación psiquiátrica a Sarah para determinar su salud mental y que la Embajada Británica en Venezuela había tenido conocimiento de varios episodios en los cuales la presunta víctima había tenido que ir al hospital debido a que no se le administraba su dosis de insulina a tiempo por las autoridades del INOF. </w:t>
      </w:r>
    </w:p>
    <w:p w14:paraId="1BC8B6C2" w14:textId="77777777" w:rsidR="00A16D37" w:rsidRPr="008D65EE" w:rsidRDefault="00A16D37" w:rsidP="00A16D37">
      <w:pPr>
        <w:pStyle w:val="ListParagraph"/>
        <w:rPr>
          <w:color w:val="000000" w:themeColor="text1"/>
          <w:sz w:val="20"/>
          <w:szCs w:val="20"/>
          <w:lang w:val="es-CO"/>
        </w:rPr>
      </w:pPr>
    </w:p>
    <w:p w14:paraId="79D70409" w14:textId="0420B1A6" w:rsidR="00936CFE" w:rsidRPr="008D65EE" w:rsidRDefault="00936CFE"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lang w:val="es-CO"/>
        </w:rPr>
      </w:pPr>
      <w:r w:rsidRPr="008D65EE">
        <w:rPr>
          <w:rFonts w:ascii="Cambria" w:hAnsi="Cambria"/>
          <w:color w:val="000000" w:themeColor="text1"/>
          <w:sz w:val="20"/>
          <w:szCs w:val="20"/>
          <w:lang w:val="es-CO"/>
        </w:rPr>
        <w:t>Con respecto a la investigación de los hechos y el proceso penal, la peticionaria alegó que el 7 de marzo de 20</w:t>
      </w:r>
      <w:r w:rsidR="008D67C8" w:rsidRPr="008D65EE">
        <w:rPr>
          <w:rFonts w:ascii="Cambria" w:hAnsi="Cambria"/>
          <w:color w:val="000000" w:themeColor="text1"/>
          <w:sz w:val="20"/>
          <w:szCs w:val="20"/>
          <w:lang w:val="es-CO"/>
        </w:rPr>
        <w:t>0</w:t>
      </w:r>
      <w:r w:rsidRPr="008D65EE">
        <w:rPr>
          <w:rFonts w:ascii="Cambria" w:hAnsi="Cambria"/>
          <w:color w:val="000000" w:themeColor="text1"/>
          <w:sz w:val="20"/>
          <w:szCs w:val="20"/>
          <w:lang w:val="es-CO"/>
        </w:rPr>
        <w:t xml:space="preserve">2, se notificó al ciudadano Julián </w:t>
      </w:r>
      <w:r w:rsidR="00CD7891" w:rsidRPr="008D65EE">
        <w:rPr>
          <w:rFonts w:ascii="Cambria" w:hAnsi="Cambria"/>
          <w:color w:val="000000" w:themeColor="text1"/>
          <w:sz w:val="20"/>
          <w:szCs w:val="20"/>
          <w:lang w:val="es-CO"/>
        </w:rPr>
        <w:t>Isaías</w:t>
      </w:r>
      <w:r w:rsidRPr="008D65EE">
        <w:rPr>
          <w:rFonts w:ascii="Cambria" w:hAnsi="Cambria"/>
          <w:color w:val="000000" w:themeColor="text1"/>
          <w:sz w:val="20"/>
          <w:szCs w:val="20"/>
          <w:lang w:val="es-CO"/>
        </w:rPr>
        <w:t xml:space="preserve"> </w:t>
      </w:r>
      <w:r w:rsidR="00CD7891" w:rsidRPr="008D65EE">
        <w:rPr>
          <w:rFonts w:ascii="Cambria" w:hAnsi="Cambria"/>
          <w:color w:val="000000" w:themeColor="text1"/>
          <w:sz w:val="20"/>
          <w:szCs w:val="20"/>
          <w:lang w:val="es-CO"/>
        </w:rPr>
        <w:t>Rodríguez</w:t>
      </w:r>
      <w:r w:rsidRPr="008D65EE">
        <w:rPr>
          <w:rFonts w:ascii="Cambria" w:hAnsi="Cambria"/>
          <w:color w:val="000000" w:themeColor="text1"/>
          <w:sz w:val="20"/>
          <w:szCs w:val="20"/>
          <w:lang w:val="es-CO"/>
        </w:rPr>
        <w:t xml:space="preserve">, Fiscal General de la República, sobre los hechos ocurridos y el 30 de abril de ese año se abrió una investigación según lo establecido en el artículo 300 del Código de Procedimiento Penal. La peticionaria señaló que la oficina del </w:t>
      </w:r>
      <w:r w:rsidR="008D67C8" w:rsidRPr="008D65EE">
        <w:rPr>
          <w:rFonts w:ascii="Cambria" w:hAnsi="Cambria"/>
          <w:color w:val="000000" w:themeColor="text1"/>
          <w:sz w:val="20"/>
          <w:szCs w:val="20"/>
          <w:lang w:val="es-CO"/>
        </w:rPr>
        <w:t>d</w:t>
      </w:r>
      <w:r w:rsidRPr="008D65EE">
        <w:rPr>
          <w:rFonts w:ascii="Cambria" w:hAnsi="Cambria"/>
          <w:color w:val="000000" w:themeColor="text1"/>
          <w:sz w:val="20"/>
          <w:szCs w:val="20"/>
          <w:lang w:val="es-CO"/>
        </w:rPr>
        <w:t xml:space="preserve">espacho del Fiscal General de Venezuela informó dos años después, en el 2004, al padre de Sarah </w:t>
      </w:r>
      <w:r w:rsidR="00A437B1" w:rsidRPr="008D65EE">
        <w:rPr>
          <w:rFonts w:ascii="Cambria" w:hAnsi="Cambria"/>
          <w:color w:val="000000" w:themeColor="text1"/>
          <w:sz w:val="20"/>
          <w:szCs w:val="20"/>
          <w:lang w:val="es-CO"/>
        </w:rPr>
        <w:t>que la investigación se encontraba en su etapa final y que se habían realizado entrevistas al personal médico del Hospital General Victorino Santaella y del Instituto de Diagnóstico San Bernardino. Alegó que dicha comunicación se realizó mediante c</w:t>
      </w:r>
      <w:r w:rsidR="008D67C8" w:rsidRPr="008D65EE">
        <w:rPr>
          <w:rFonts w:ascii="Cambria" w:hAnsi="Cambria"/>
          <w:color w:val="000000" w:themeColor="text1"/>
          <w:sz w:val="20"/>
          <w:szCs w:val="20"/>
          <w:lang w:val="es-CO"/>
        </w:rPr>
        <w:t>artas</w:t>
      </w:r>
      <w:r w:rsidR="00A437B1" w:rsidRPr="008D65EE">
        <w:rPr>
          <w:rFonts w:ascii="Cambria" w:hAnsi="Cambria"/>
          <w:color w:val="000000" w:themeColor="text1"/>
          <w:sz w:val="20"/>
          <w:szCs w:val="20"/>
          <w:lang w:val="es-CO"/>
        </w:rPr>
        <w:t xml:space="preserve"> remitidas vía la Embajada Británica en Venezuela. </w:t>
      </w:r>
    </w:p>
    <w:p w14:paraId="48C2C84D" w14:textId="77777777" w:rsidR="00936CFE" w:rsidRPr="008D65EE" w:rsidRDefault="00936CFE" w:rsidP="00936CFE">
      <w:pPr>
        <w:pStyle w:val="ListParagraph"/>
        <w:rPr>
          <w:color w:val="000000" w:themeColor="text1"/>
          <w:sz w:val="20"/>
          <w:szCs w:val="20"/>
          <w:lang w:val="es-CO"/>
        </w:rPr>
      </w:pPr>
    </w:p>
    <w:p w14:paraId="6E8E2E71" w14:textId="2B3A8FD0" w:rsidR="00A437B1" w:rsidRPr="008D65EE" w:rsidRDefault="00A437B1"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lang w:val="es-CO"/>
        </w:rPr>
      </w:pPr>
      <w:r w:rsidRPr="008D65EE">
        <w:rPr>
          <w:rFonts w:ascii="Cambria" w:hAnsi="Cambria"/>
          <w:color w:val="000000" w:themeColor="text1"/>
          <w:sz w:val="20"/>
          <w:szCs w:val="20"/>
          <w:lang w:val="es-CO"/>
        </w:rPr>
        <w:t>Posteriormente, la peticionaria alegó que entre marzo y noviembre de 2005 se realiz</w:t>
      </w:r>
      <w:r w:rsidR="008D67C8" w:rsidRPr="008D65EE">
        <w:rPr>
          <w:rFonts w:ascii="Cambria" w:hAnsi="Cambria"/>
          <w:color w:val="000000" w:themeColor="text1"/>
          <w:sz w:val="20"/>
          <w:szCs w:val="20"/>
          <w:lang w:val="es-CO"/>
        </w:rPr>
        <w:t xml:space="preserve">aron </w:t>
      </w:r>
      <w:r w:rsidRPr="008D65EE">
        <w:rPr>
          <w:rFonts w:ascii="Cambria" w:hAnsi="Cambria"/>
          <w:color w:val="000000" w:themeColor="text1"/>
          <w:sz w:val="20"/>
          <w:szCs w:val="20"/>
          <w:lang w:val="es-CO"/>
        </w:rPr>
        <w:t>entrevistas de diferentes personas y que</w:t>
      </w:r>
      <w:r w:rsidR="00A46294" w:rsidRPr="008D65EE">
        <w:rPr>
          <w:rFonts w:ascii="Cambria" w:hAnsi="Cambria"/>
          <w:color w:val="000000" w:themeColor="text1"/>
          <w:sz w:val="20"/>
          <w:szCs w:val="20"/>
          <w:lang w:val="es-CO"/>
        </w:rPr>
        <w:t xml:space="preserve"> entre el 2005 y el 2007 se realizaron las imputaciones de los médicos involucrados</w:t>
      </w:r>
      <w:r w:rsidRPr="008D65EE">
        <w:rPr>
          <w:rFonts w:ascii="Cambria" w:hAnsi="Cambria"/>
          <w:color w:val="000000" w:themeColor="text1"/>
          <w:sz w:val="20"/>
          <w:szCs w:val="20"/>
          <w:lang w:val="es-CO"/>
        </w:rPr>
        <w:t xml:space="preserve"> </w:t>
      </w:r>
      <w:r w:rsidR="00534047" w:rsidRPr="008D65EE">
        <w:rPr>
          <w:rFonts w:ascii="Cambria" w:hAnsi="Cambria"/>
          <w:color w:val="000000" w:themeColor="text1"/>
          <w:sz w:val="20"/>
          <w:szCs w:val="20"/>
          <w:lang w:val="es-CO"/>
        </w:rPr>
        <w:t>homicidio culposo</w:t>
      </w:r>
      <w:r w:rsidR="00A46294" w:rsidRPr="008D65EE">
        <w:rPr>
          <w:rFonts w:ascii="Cambria" w:hAnsi="Cambria"/>
          <w:color w:val="000000" w:themeColor="text1"/>
          <w:sz w:val="20"/>
          <w:szCs w:val="20"/>
          <w:lang w:val="es-CO"/>
        </w:rPr>
        <w:t xml:space="preserve"> y</w:t>
      </w:r>
      <w:r w:rsidR="00534047" w:rsidRPr="008D65EE">
        <w:rPr>
          <w:rFonts w:ascii="Cambria" w:hAnsi="Cambria"/>
          <w:color w:val="000000" w:themeColor="text1"/>
          <w:sz w:val="20"/>
          <w:szCs w:val="20"/>
          <w:lang w:val="es-CO"/>
        </w:rPr>
        <w:t xml:space="preserve"> abandono de niño u otra persona incapaz. </w:t>
      </w:r>
    </w:p>
    <w:p w14:paraId="5F989E0F" w14:textId="77777777" w:rsidR="00A437B1" w:rsidRPr="008D65EE" w:rsidRDefault="00A437B1" w:rsidP="00A437B1">
      <w:pPr>
        <w:pStyle w:val="ListParagraph"/>
        <w:rPr>
          <w:color w:val="000000" w:themeColor="text1"/>
          <w:sz w:val="20"/>
          <w:szCs w:val="20"/>
          <w:lang w:val="es-CO"/>
        </w:rPr>
      </w:pPr>
    </w:p>
    <w:p w14:paraId="1D36D717" w14:textId="2DA848DA" w:rsidR="002F364A" w:rsidRPr="008D65EE" w:rsidRDefault="00534047"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lang w:val="es-CO"/>
        </w:rPr>
      </w:pPr>
      <w:r w:rsidRPr="008D65EE">
        <w:rPr>
          <w:rFonts w:ascii="Cambria" w:hAnsi="Cambria"/>
          <w:color w:val="000000" w:themeColor="text1"/>
          <w:sz w:val="20"/>
          <w:szCs w:val="20"/>
          <w:lang w:val="es-CO"/>
        </w:rPr>
        <w:t xml:space="preserve">La peticionaria alegó que el 8 de julio de 2008 se realizaron las acusaciones contra Migdalia Coromoto Galavis Carvajal, Luis Eduardo Mota Acosta, Marianella </w:t>
      </w:r>
      <w:r w:rsidR="00CD7891" w:rsidRPr="008D65EE">
        <w:rPr>
          <w:rFonts w:ascii="Cambria" w:hAnsi="Cambria"/>
          <w:color w:val="000000" w:themeColor="text1"/>
          <w:sz w:val="20"/>
          <w:szCs w:val="20"/>
          <w:lang w:val="es-CO"/>
        </w:rPr>
        <w:t>González</w:t>
      </w:r>
      <w:r w:rsidRPr="008D65EE">
        <w:rPr>
          <w:rFonts w:ascii="Cambria" w:hAnsi="Cambria"/>
          <w:color w:val="000000" w:themeColor="text1"/>
          <w:sz w:val="20"/>
          <w:szCs w:val="20"/>
          <w:lang w:val="es-CO"/>
        </w:rPr>
        <w:t xml:space="preserve"> de Muñoz y Eglee del Carmen Ascanio </w:t>
      </w:r>
      <w:r w:rsidR="00EB0F19" w:rsidRPr="008D65EE">
        <w:rPr>
          <w:rFonts w:ascii="Cambria" w:hAnsi="Cambria"/>
          <w:color w:val="000000" w:themeColor="text1"/>
          <w:sz w:val="20"/>
          <w:szCs w:val="20"/>
          <w:lang w:val="es-CO"/>
        </w:rPr>
        <w:t>Cadenas</w:t>
      </w:r>
      <w:r w:rsidRPr="008D65EE">
        <w:rPr>
          <w:rFonts w:ascii="Cambria" w:hAnsi="Cambria"/>
          <w:color w:val="000000" w:themeColor="text1"/>
          <w:sz w:val="20"/>
          <w:szCs w:val="20"/>
          <w:lang w:val="es-CO"/>
        </w:rPr>
        <w:t xml:space="preserve">, los </w:t>
      </w:r>
      <w:r w:rsidR="00EB0F19" w:rsidRPr="008D65EE">
        <w:rPr>
          <w:rFonts w:ascii="Cambria" w:hAnsi="Cambria"/>
          <w:color w:val="000000" w:themeColor="text1"/>
          <w:sz w:val="20"/>
          <w:szCs w:val="20"/>
          <w:lang w:val="es-CO"/>
        </w:rPr>
        <w:t>primeros</w:t>
      </w:r>
      <w:r w:rsidRPr="008D65EE">
        <w:rPr>
          <w:rFonts w:ascii="Cambria" w:hAnsi="Cambria"/>
          <w:color w:val="000000" w:themeColor="text1"/>
          <w:sz w:val="20"/>
          <w:szCs w:val="20"/>
          <w:lang w:val="es-CO"/>
        </w:rPr>
        <w:t xml:space="preserve"> dos por el delito</w:t>
      </w:r>
      <w:r w:rsidR="00A87368">
        <w:rPr>
          <w:rFonts w:ascii="Cambria" w:hAnsi="Cambria"/>
          <w:color w:val="000000" w:themeColor="text1"/>
          <w:sz w:val="20"/>
          <w:szCs w:val="20"/>
          <w:lang w:val="es-CO"/>
        </w:rPr>
        <w:t xml:space="preserve"> </w:t>
      </w:r>
      <w:r w:rsidRPr="008D65EE">
        <w:rPr>
          <w:rFonts w:ascii="Cambria" w:hAnsi="Cambria"/>
          <w:color w:val="000000" w:themeColor="text1"/>
          <w:sz w:val="20"/>
          <w:szCs w:val="20"/>
          <w:lang w:val="es-CO"/>
        </w:rPr>
        <w:t xml:space="preserve">de homicidio culposo y los demás por omisión de socorro. Afirmó que las </w:t>
      </w:r>
      <w:r w:rsidR="00EB0F19" w:rsidRPr="008D65EE">
        <w:rPr>
          <w:rFonts w:ascii="Cambria" w:hAnsi="Cambria"/>
          <w:color w:val="000000" w:themeColor="text1"/>
          <w:sz w:val="20"/>
          <w:szCs w:val="20"/>
          <w:lang w:val="es-CO"/>
        </w:rPr>
        <w:t>audiencias</w:t>
      </w:r>
      <w:r w:rsidRPr="008D65EE">
        <w:rPr>
          <w:rFonts w:ascii="Cambria" w:hAnsi="Cambria"/>
          <w:color w:val="000000" w:themeColor="text1"/>
          <w:sz w:val="20"/>
          <w:szCs w:val="20"/>
          <w:lang w:val="es-CO"/>
        </w:rPr>
        <w:t xml:space="preserve"> preliminares y de fondo fueron celebradas el 20 de octubre de 2010, </w:t>
      </w:r>
      <w:r w:rsidR="00A87368" w:rsidRPr="008D65EE">
        <w:rPr>
          <w:rFonts w:ascii="Cambria" w:hAnsi="Cambria"/>
          <w:color w:val="000000" w:themeColor="text1"/>
          <w:sz w:val="20"/>
          <w:szCs w:val="20"/>
          <w:lang w:val="es-CO"/>
        </w:rPr>
        <w:t>más</w:t>
      </w:r>
      <w:r w:rsidRPr="008D65EE">
        <w:rPr>
          <w:rFonts w:ascii="Cambria" w:hAnsi="Cambria"/>
          <w:color w:val="000000" w:themeColor="text1"/>
          <w:sz w:val="20"/>
          <w:szCs w:val="20"/>
          <w:lang w:val="es-CO"/>
        </w:rPr>
        <w:t xml:space="preserve"> de dos años después de las acusaciones</w:t>
      </w:r>
      <w:r w:rsidR="002F364A" w:rsidRPr="008D65EE">
        <w:rPr>
          <w:rFonts w:ascii="Cambria" w:hAnsi="Cambria"/>
          <w:color w:val="000000" w:themeColor="text1"/>
          <w:sz w:val="20"/>
          <w:szCs w:val="20"/>
          <w:lang w:val="es-CO"/>
        </w:rPr>
        <w:t xml:space="preserve"> y que el 29 de octubre de 2010, el Tribunal de Primera Instancia en Funciones de Control No. 03 del Circuito Judicial Penal de la Circunscripción Judicial del Estado de Miranda decidió que operaba la prescripción ordinaria en relación con dos de los acusados y la prescripción judicial con respecto a los otros dos acusados dado que “desde el día 07 de marzo de 2001, (fecha en que ocurrió el hecho) hasta el día 20 de octubre de 2010, fecha de celebración de la audiencia preliminar, han transcurrido nueve años, siete meses y doce días, sin que la misma se prolongara por causas atribuibles a los imputados o a su defensa”, por lo cual la investigación culminó con la absolución penal de los imputados. </w:t>
      </w:r>
    </w:p>
    <w:p w14:paraId="3E71174C" w14:textId="77777777" w:rsidR="00F25690" w:rsidRPr="008D65EE" w:rsidRDefault="00F25690" w:rsidP="00F2569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lang w:val="es-CO"/>
        </w:rPr>
      </w:pPr>
    </w:p>
    <w:p w14:paraId="2456A937" w14:textId="379B3E27" w:rsidR="002A6B05" w:rsidRPr="008D65EE" w:rsidRDefault="002F364A"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ascii="Cambria" w:hAnsi="Cambria"/>
          <w:sz w:val="20"/>
          <w:szCs w:val="20"/>
          <w:lang w:val="es-CO"/>
        </w:rPr>
      </w:pPr>
      <w:r w:rsidRPr="008D65EE">
        <w:rPr>
          <w:rFonts w:ascii="Cambria" w:hAnsi="Cambria"/>
          <w:color w:val="000000" w:themeColor="text1"/>
          <w:sz w:val="20"/>
          <w:szCs w:val="20"/>
          <w:lang w:val="es-CO"/>
        </w:rPr>
        <w:t xml:space="preserve">La peticionaria señaló que en total la investigación se extendió por un período de </w:t>
      </w:r>
      <w:r w:rsidR="00F25690" w:rsidRPr="008D65EE">
        <w:rPr>
          <w:rFonts w:ascii="Cambria" w:hAnsi="Cambria"/>
          <w:color w:val="000000" w:themeColor="text1"/>
          <w:sz w:val="20"/>
          <w:szCs w:val="20"/>
          <w:lang w:val="es-CO"/>
        </w:rPr>
        <w:t>9</w:t>
      </w:r>
      <w:r w:rsidRPr="008D65EE">
        <w:rPr>
          <w:rFonts w:ascii="Cambria" w:hAnsi="Cambria"/>
          <w:color w:val="000000" w:themeColor="text1"/>
          <w:sz w:val="20"/>
          <w:szCs w:val="20"/>
          <w:lang w:val="es-CO"/>
        </w:rPr>
        <w:t xml:space="preserve"> años y 7 meses</w:t>
      </w:r>
      <w:r w:rsidRPr="008D65EE">
        <w:rPr>
          <w:rFonts w:ascii="Cambria" w:hAnsi="Cambria"/>
          <w:sz w:val="20"/>
          <w:szCs w:val="20"/>
          <w:lang w:val="es-CO"/>
        </w:rPr>
        <w:t xml:space="preserve">, aunque las autoridades tenían conocimiento de la prescripción ordinaria y judicial, pero aun así no habrían actuado con la debida diligencia en el desarrollo de la investigación. Durante el proceso, </w:t>
      </w:r>
      <w:r w:rsidR="00CF13B0" w:rsidRPr="008D65EE">
        <w:rPr>
          <w:rFonts w:ascii="Cambria" w:hAnsi="Cambria"/>
          <w:sz w:val="20"/>
          <w:szCs w:val="20"/>
          <w:lang w:val="es-CO"/>
        </w:rPr>
        <w:t xml:space="preserve">la peticionaria </w:t>
      </w:r>
      <w:r w:rsidR="00CF13B0" w:rsidRPr="008D65EE">
        <w:rPr>
          <w:rFonts w:ascii="Cambria" w:hAnsi="Cambria"/>
          <w:sz w:val="20"/>
          <w:szCs w:val="20"/>
          <w:lang w:val="es-CO"/>
        </w:rPr>
        <w:lastRenderedPageBreak/>
        <w:t xml:space="preserve">afirmó que los padres de la presunta víctima no recibieron copias de las actas de la investigación, a pesar de haber solicitado la información constantemente y que no habrían obtenido una copia en inglés hasta el 1 de febrero de 2011. </w:t>
      </w:r>
      <w:r w:rsidR="002A6B05" w:rsidRPr="008D65EE">
        <w:rPr>
          <w:rFonts w:ascii="Cambria" w:hAnsi="Cambria"/>
          <w:sz w:val="20"/>
          <w:szCs w:val="20"/>
          <w:lang w:val="es-CO"/>
        </w:rPr>
        <w:t xml:space="preserve"> </w:t>
      </w:r>
    </w:p>
    <w:p w14:paraId="2BA66897" w14:textId="77777777" w:rsidR="002A6B05" w:rsidRPr="008D65EE" w:rsidRDefault="002A6B05" w:rsidP="002A6B05">
      <w:pPr>
        <w:pStyle w:val="ListParagraph"/>
        <w:rPr>
          <w:sz w:val="20"/>
          <w:szCs w:val="20"/>
          <w:lang w:val="es-CO"/>
        </w:rPr>
      </w:pPr>
    </w:p>
    <w:p w14:paraId="0E401387" w14:textId="7D9FAFF9" w:rsidR="002A6B05" w:rsidRPr="008D65EE" w:rsidRDefault="002A6B05"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567"/>
        <w:jc w:val="both"/>
        <w:rPr>
          <w:rFonts w:ascii="Cambria" w:hAnsi="Cambria"/>
          <w:sz w:val="20"/>
          <w:szCs w:val="20"/>
          <w:lang w:val="es-CO"/>
        </w:rPr>
      </w:pPr>
      <w:r w:rsidRPr="008D65EE">
        <w:rPr>
          <w:rFonts w:ascii="Cambria" w:hAnsi="Cambria"/>
          <w:sz w:val="20"/>
          <w:szCs w:val="20"/>
          <w:lang w:val="es-CO"/>
        </w:rPr>
        <w:t xml:space="preserve">En cuanto al fondo, la peticionaria alegó la violación de los derechos a la </w:t>
      </w:r>
      <w:r w:rsidR="00EB0F19" w:rsidRPr="008D65EE">
        <w:rPr>
          <w:rFonts w:ascii="Cambria" w:hAnsi="Cambria"/>
          <w:sz w:val="20"/>
          <w:szCs w:val="20"/>
          <w:lang w:val="es-CO"/>
        </w:rPr>
        <w:t xml:space="preserve">vida (artículo 4 de la CADH), a la </w:t>
      </w:r>
      <w:r w:rsidRPr="008D65EE">
        <w:rPr>
          <w:rFonts w:ascii="Cambria" w:hAnsi="Cambria"/>
          <w:sz w:val="20"/>
          <w:szCs w:val="20"/>
          <w:lang w:val="es-CO"/>
        </w:rPr>
        <w:t>integridad personal</w:t>
      </w:r>
      <w:r w:rsidR="00EB0F19" w:rsidRPr="008D65EE">
        <w:rPr>
          <w:rFonts w:ascii="Cambria" w:hAnsi="Cambria"/>
          <w:sz w:val="20"/>
          <w:szCs w:val="20"/>
          <w:lang w:val="es-CO"/>
        </w:rPr>
        <w:t xml:space="preserve"> (artículo 5 de la CADH)</w:t>
      </w:r>
      <w:r w:rsidRPr="008D65EE">
        <w:rPr>
          <w:rFonts w:ascii="Cambria" w:hAnsi="Cambria"/>
          <w:sz w:val="20"/>
          <w:szCs w:val="20"/>
          <w:lang w:val="es-CO"/>
        </w:rPr>
        <w:t>,</w:t>
      </w:r>
      <w:r w:rsidR="00EB0F19" w:rsidRPr="008D65EE">
        <w:rPr>
          <w:rFonts w:ascii="Cambria" w:hAnsi="Cambria"/>
          <w:sz w:val="20"/>
          <w:szCs w:val="20"/>
          <w:lang w:val="es-CO"/>
        </w:rPr>
        <w:t xml:space="preserve"> a las garantías procesales (artículo 8 de la CADH) y </w:t>
      </w:r>
      <w:r w:rsidRPr="008D65EE">
        <w:rPr>
          <w:rFonts w:ascii="Cambria" w:hAnsi="Cambria"/>
          <w:sz w:val="20"/>
          <w:szCs w:val="20"/>
          <w:lang w:val="es-CO"/>
        </w:rPr>
        <w:t>a la protección judicial</w:t>
      </w:r>
      <w:r w:rsidR="00EB0F19" w:rsidRPr="008D65EE">
        <w:rPr>
          <w:rFonts w:ascii="Cambria" w:hAnsi="Cambria"/>
          <w:sz w:val="20"/>
          <w:szCs w:val="20"/>
          <w:lang w:val="es-CO"/>
        </w:rPr>
        <w:t xml:space="preserve"> (artículo 25 de la CADH), todos ellos en relación con la obligación general de respetar y garantizar los derechos (artículo 1.1) y la obligación de adoptar disposiciones de carácter interno (artículo 2) en perjuicio de Sarah Lyn Langton, Terry Langton y Lyn Langton</w:t>
      </w:r>
      <w:r w:rsidRPr="008D65EE">
        <w:rPr>
          <w:rFonts w:ascii="Cambria" w:hAnsi="Cambria"/>
          <w:sz w:val="20"/>
          <w:szCs w:val="20"/>
          <w:lang w:val="es-CO"/>
        </w:rPr>
        <w:t>.</w:t>
      </w:r>
    </w:p>
    <w:p w14:paraId="4B39CF73" w14:textId="77777777" w:rsidR="002A6B05" w:rsidRPr="008D65EE" w:rsidRDefault="002A6B05" w:rsidP="002A6B05">
      <w:pPr>
        <w:jc w:val="both"/>
        <w:rPr>
          <w:rFonts w:ascii="Cambria" w:hAnsi="Cambria"/>
          <w:sz w:val="20"/>
          <w:szCs w:val="20"/>
          <w:lang w:val="es-CO"/>
        </w:rPr>
      </w:pPr>
      <w:bookmarkStart w:id="14" w:name="_Toc477355344"/>
    </w:p>
    <w:p w14:paraId="03D84B78" w14:textId="77777777" w:rsidR="002A6B05" w:rsidRPr="008D65EE" w:rsidRDefault="002A6B05" w:rsidP="002A6B05">
      <w:pPr>
        <w:pStyle w:val="Heading2"/>
        <w:numPr>
          <w:ilvl w:val="0"/>
          <w:numId w:val="52"/>
        </w:numPr>
        <w:jc w:val="both"/>
        <w:rPr>
          <w:rFonts w:ascii="Cambria" w:hAnsi="Cambria"/>
          <w:i w:val="0"/>
          <w:sz w:val="20"/>
          <w:szCs w:val="20"/>
          <w:lang w:val="es-CO"/>
        </w:rPr>
      </w:pPr>
      <w:bookmarkStart w:id="15" w:name="_Toc217309314"/>
      <w:r w:rsidRPr="008D65EE">
        <w:rPr>
          <w:rFonts w:ascii="Cambria" w:hAnsi="Cambria"/>
          <w:i w:val="0"/>
          <w:sz w:val="20"/>
          <w:szCs w:val="20"/>
          <w:lang w:val="es-CO"/>
        </w:rPr>
        <w:t>Posición del Estado</w:t>
      </w:r>
      <w:bookmarkEnd w:id="14"/>
      <w:bookmarkEnd w:id="15"/>
    </w:p>
    <w:p w14:paraId="1BD3E229" w14:textId="77777777" w:rsidR="002A6B05" w:rsidRPr="008D65EE"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CO"/>
        </w:rPr>
      </w:pPr>
    </w:p>
    <w:p w14:paraId="2A97EEC6" w14:textId="722EEB13" w:rsidR="002A6B05" w:rsidRPr="008D65EE" w:rsidRDefault="002A6B05" w:rsidP="002A6B0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630"/>
        <w:jc w:val="both"/>
        <w:rPr>
          <w:rFonts w:ascii="Cambria" w:hAnsi="Cambria"/>
          <w:color w:val="FF0000"/>
          <w:sz w:val="20"/>
          <w:szCs w:val="20"/>
          <w:lang w:val="es-CO"/>
        </w:rPr>
      </w:pPr>
      <w:r w:rsidRPr="008D65EE">
        <w:rPr>
          <w:rFonts w:ascii="Cambria" w:hAnsi="Cambria"/>
          <w:color w:val="000000" w:themeColor="text1"/>
          <w:sz w:val="20"/>
          <w:szCs w:val="20"/>
          <w:lang w:val="es-CO"/>
        </w:rPr>
        <w:t xml:space="preserve">El Estado no presentó observaciones sobre el fondo de la presente petición. </w:t>
      </w:r>
    </w:p>
    <w:p w14:paraId="0890CF27" w14:textId="77777777" w:rsidR="002A6B05" w:rsidRPr="008D65EE" w:rsidRDefault="002A6B05" w:rsidP="002A6B0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CO"/>
        </w:rPr>
      </w:pPr>
    </w:p>
    <w:p w14:paraId="3667C384" w14:textId="77777777" w:rsidR="002A6B05" w:rsidRPr="008D65EE" w:rsidRDefault="002A6B05" w:rsidP="002A6B05">
      <w:pPr>
        <w:pStyle w:val="Heading1"/>
        <w:spacing w:before="0"/>
        <w:ind w:firstLine="0"/>
        <w:jc w:val="both"/>
        <w:rPr>
          <w:rFonts w:ascii="Cambria" w:eastAsia="Yu Gothic Light" w:hAnsi="Cambria"/>
          <w:color w:val="auto"/>
          <w:sz w:val="20"/>
          <w:szCs w:val="20"/>
          <w:lang w:val="es-CO"/>
        </w:rPr>
      </w:pPr>
      <w:bookmarkStart w:id="16" w:name="_Toc217309315"/>
      <w:bookmarkStart w:id="17" w:name="_Toc477355360"/>
      <w:bookmarkStart w:id="18" w:name="_Toc480897202"/>
      <w:r w:rsidRPr="008D65EE">
        <w:rPr>
          <w:rFonts w:ascii="Cambria" w:eastAsia="Yu Gothic Light" w:hAnsi="Cambria"/>
          <w:color w:val="auto"/>
          <w:sz w:val="20"/>
          <w:szCs w:val="20"/>
          <w:lang w:val="es-CO"/>
        </w:rPr>
        <w:t>DETERMINACIÓN DE LOS HECHOS</w:t>
      </w:r>
      <w:bookmarkEnd w:id="16"/>
    </w:p>
    <w:p w14:paraId="45C46935" w14:textId="77777777" w:rsidR="002A6B05" w:rsidRPr="008D65EE" w:rsidRDefault="002A6B05" w:rsidP="002A6B05">
      <w:pPr>
        <w:rPr>
          <w:rFonts w:ascii="Cambria" w:hAnsi="Cambria"/>
          <w:sz w:val="20"/>
          <w:szCs w:val="20"/>
          <w:lang w:val="es-CO"/>
        </w:rPr>
      </w:pPr>
    </w:p>
    <w:p w14:paraId="1B04F052" w14:textId="77777777" w:rsidR="002A6B05" w:rsidRPr="008D65EE" w:rsidRDefault="002A6B05" w:rsidP="002A6B05">
      <w:pPr>
        <w:pStyle w:val="ListParagraph"/>
        <w:numPr>
          <w:ilvl w:val="0"/>
          <w:numId w:val="51"/>
        </w:numPr>
        <w:ind w:left="0" w:firstLine="567"/>
        <w:jc w:val="both"/>
        <w:rPr>
          <w:sz w:val="20"/>
          <w:szCs w:val="20"/>
          <w:lang w:val="es-CO"/>
        </w:rPr>
      </w:pPr>
      <w:r w:rsidRPr="008D65EE">
        <w:rPr>
          <w:sz w:val="20"/>
          <w:szCs w:val="20"/>
          <w:lang w:val="es-CO"/>
        </w:rPr>
        <w:t xml:space="preserve">La Comisión recuerda que con fundamento en el artículo 38 del Reglamento “[s]e presumirán verdaderos los hechos alegados en la petición cuyas partes pertinentes hayan sido transmitidas al Estado en cuestión, si éste no suministra información relevante para controvertirlos dentro del plazo fijado por la Comisión conforme al artículo 37 del presente Reglamento, siempre que de otros elementos de convicción no resulte una conclusión contraria”. En el presente caso, dado que el Estado no controvirtió ninguno de los hechos alegados por la peticionaria, opera una presunción de que los mismos son ciertos. De igual forma, la Comisión pasa a hacer la determinación de hecho de acuerdo con la información que se encuentra en el expediente. </w:t>
      </w:r>
    </w:p>
    <w:p w14:paraId="27843A01" w14:textId="77777777" w:rsidR="002A6B05" w:rsidRPr="008D65EE" w:rsidRDefault="002A6B05" w:rsidP="002A6B05">
      <w:pPr>
        <w:rPr>
          <w:rFonts w:ascii="Cambria" w:hAnsi="Cambria"/>
          <w:sz w:val="20"/>
          <w:szCs w:val="20"/>
          <w:lang w:val="es-CO"/>
        </w:rPr>
      </w:pPr>
    </w:p>
    <w:p w14:paraId="16B20564" w14:textId="4991EA47" w:rsidR="002A6B05" w:rsidRPr="008D65EE" w:rsidRDefault="002A6B05" w:rsidP="00550322">
      <w:pPr>
        <w:pStyle w:val="Heading2"/>
        <w:numPr>
          <w:ilvl w:val="0"/>
          <w:numId w:val="54"/>
        </w:numPr>
        <w:jc w:val="both"/>
        <w:rPr>
          <w:rFonts w:ascii="Cambria" w:hAnsi="Cambria"/>
          <w:i w:val="0"/>
          <w:sz w:val="20"/>
          <w:szCs w:val="20"/>
          <w:lang w:val="es-CO"/>
        </w:rPr>
      </w:pPr>
      <w:bookmarkStart w:id="19" w:name="_Toc217309316"/>
      <w:r w:rsidRPr="008D65EE">
        <w:rPr>
          <w:rFonts w:ascii="Cambria" w:hAnsi="Cambria"/>
          <w:i w:val="0"/>
          <w:sz w:val="20"/>
          <w:szCs w:val="20"/>
          <w:lang w:val="es-CO"/>
        </w:rPr>
        <w:t>Contexto y antecedentes: condiciones de detención en el</w:t>
      </w:r>
      <w:r w:rsidR="006C19F3" w:rsidRPr="008D65EE">
        <w:rPr>
          <w:rFonts w:ascii="Cambria" w:hAnsi="Cambria"/>
          <w:i w:val="0"/>
          <w:sz w:val="20"/>
          <w:szCs w:val="20"/>
          <w:lang w:val="es-CO"/>
        </w:rPr>
        <w:t xml:space="preserve"> INOF y servicios de atención médica a privados de libertad en Venezuela</w:t>
      </w:r>
      <w:bookmarkEnd w:id="19"/>
      <w:r w:rsidRPr="008D65EE">
        <w:rPr>
          <w:rFonts w:ascii="Cambria" w:hAnsi="Cambria"/>
          <w:i w:val="0"/>
          <w:sz w:val="20"/>
          <w:szCs w:val="20"/>
          <w:lang w:val="es-CO"/>
        </w:rPr>
        <w:t xml:space="preserve"> </w:t>
      </w:r>
    </w:p>
    <w:p w14:paraId="46859CAD" w14:textId="77777777" w:rsidR="002A6B05" w:rsidRPr="008D65EE" w:rsidRDefault="002A6B05" w:rsidP="002A6B05">
      <w:pPr>
        <w:rPr>
          <w:rFonts w:ascii="Cambria" w:hAnsi="Cambria"/>
          <w:i/>
          <w:sz w:val="20"/>
          <w:szCs w:val="20"/>
          <w:lang w:val="es-CO"/>
        </w:rPr>
      </w:pPr>
    </w:p>
    <w:p w14:paraId="24037CDF" w14:textId="05F676FD" w:rsidR="00F25690" w:rsidRPr="008D65EE" w:rsidRDefault="00035AA6" w:rsidP="01AF1628">
      <w:pPr>
        <w:pStyle w:val="ListParagraph"/>
        <w:numPr>
          <w:ilvl w:val="0"/>
          <w:numId w:val="51"/>
        </w:numPr>
        <w:ind w:left="0" w:firstLine="567"/>
        <w:jc w:val="both"/>
        <w:rPr>
          <w:sz w:val="20"/>
          <w:szCs w:val="20"/>
          <w:lang w:val="es-CO"/>
        </w:rPr>
      </w:pPr>
      <w:r w:rsidRPr="008D65EE">
        <w:rPr>
          <w:sz w:val="20"/>
          <w:szCs w:val="20"/>
          <w:lang w:val="es-CO"/>
        </w:rPr>
        <w:t>El Instituto Nacional de Orientación Femenina (INOF) es el único centro de detención</w:t>
      </w:r>
      <w:r w:rsidR="0052612C" w:rsidRPr="008D65EE">
        <w:rPr>
          <w:sz w:val="20"/>
          <w:szCs w:val="20"/>
          <w:lang w:val="es-CO"/>
        </w:rPr>
        <w:t xml:space="preserve"> exclusivamente</w:t>
      </w:r>
      <w:r w:rsidRPr="008D65EE">
        <w:rPr>
          <w:sz w:val="20"/>
          <w:szCs w:val="20"/>
          <w:lang w:val="es-CO"/>
        </w:rPr>
        <w:t xml:space="preserve"> para mujeres en Venezuela</w:t>
      </w:r>
      <w:r w:rsidR="00852E1F" w:rsidRPr="008D65EE">
        <w:rPr>
          <w:sz w:val="20"/>
          <w:szCs w:val="20"/>
          <w:lang w:val="es-CO"/>
        </w:rPr>
        <w:t xml:space="preserve"> y está </w:t>
      </w:r>
      <w:r w:rsidRPr="008D65EE">
        <w:rPr>
          <w:sz w:val="20"/>
          <w:szCs w:val="20"/>
          <w:lang w:val="es-CO"/>
        </w:rPr>
        <w:t>ubicado en Los Teques</w:t>
      </w:r>
      <w:r w:rsidR="00852E1F" w:rsidRPr="008D65EE">
        <w:rPr>
          <w:sz w:val="20"/>
          <w:szCs w:val="20"/>
          <w:lang w:val="es-CO"/>
        </w:rPr>
        <w:t xml:space="preserve"> en el </w:t>
      </w:r>
      <w:r w:rsidRPr="008D65EE">
        <w:rPr>
          <w:sz w:val="20"/>
          <w:szCs w:val="20"/>
          <w:lang w:val="es-CO"/>
        </w:rPr>
        <w:t xml:space="preserve">estado Miranda. </w:t>
      </w:r>
      <w:r w:rsidR="00F25690" w:rsidRPr="008D65EE">
        <w:rPr>
          <w:sz w:val="20"/>
          <w:szCs w:val="20"/>
          <w:lang w:val="es-CO"/>
        </w:rPr>
        <w:t xml:space="preserve"> </w:t>
      </w:r>
      <w:r w:rsidRPr="008D65EE">
        <w:rPr>
          <w:sz w:val="20"/>
          <w:szCs w:val="20"/>
          <w:lang w:val="es-CO"/>
        </w:rPr>
        <w:t xml:space="preserve">Algunas organizaciones no gubernamentales habían </w:t>
      </w:r>
      <w:r w:rsidR="00CD7891" w:rsidRPr="008D65EE">
        <w:rPr>
          <w:sz w:val="20"/>
          <w:szCs w:val="20"/>
          <w:lang w:val="es-CO"/>
        </w:rPr>
        <w:t>reseñados</w:t>
      </w:r>
      <w:r w:rsidRPr="008D65EE">
        <w:rPr>
          <w:sz w:val="20"/>
          <w:szCs w:val="20"/>
          <w:lang w:val="es-CO"/>
        </w:rPr>
        <w:t xml:space="preserve"> en los años anteriores y siguientes a l</w:t>
      </w:r>
      <w:r w:rsidR="00852E1F" w:rsidRPr="008D65EE">
        <w:rPr>
          <w:sz w:val="20"/>
          <w:szCs w:val="20"/>
          <w:lang w:val="es-CO"/>
        </w:rPr>
        <w:t xml:space="preserve">a muerte de Sarah Langton </w:t>
      </w:r>
      <w:r w:rsidRPr="008D65EE">
        <w:rPr>
          <w:sz w:val="20"/>
          <w:szCs w:val="20"/>
          <w:lang w:val="es-CO"/>
        </w:rPr>
        <w:t>la falta de acceso a servicios de salud en el INOF</w:t>
      </w:r>
      <w:r w:rsidR="00852E1F" w:rsidRPr="008D65EE">
        <w:rPr>
          <w:sz w:val="20"/>
          <w:szCs w:val="20"/>
          <w:vertAlign w:val="superscript"/>
          <w:lang w:val="es-CO"/>
        </w:rPr>
        <w:footnoteReference w:id="1"/>
      </w:r>
      <w:r w:rsidRPr="008D65EE">
        <w:rPr>
          <w:sz w:val="20"/>
          <w:szCs w:val="20"/>
          <w:lang w:val="es-CO"/>
        </w:rPr>
        <w:t>. En su informe anual</w:t>
      </w:r>
      <w:r w:rsidR="006F7CB4" w:rsidRPr="008D65EE">
        <w:rPr>
          <w:sz w:val="20"/>
          <w:szCs w:val="20"/>
          <w:lang w:val="es-CO"/>
        </w:rPr>
        <w:t xml:space="preserve"> 2003</w:t>
      </w:r>
      <w:r w:rsidRPr="008D65EE">
        <w:rPr>
          <w:sz w:val="20"/>
          <w:szCs w:val="20"/>
          <w:lang w:val="es-CO"/>
        </w:rPr>
        <w:t xml:space="preserve">, </w:t>
      </w:r>
      <w:r w:rsidR="006F7CB4" w:rsidRPr="008D65EE">
        <w:rPr>
          <w:sz w:val="20"/>
          <w:szCs w:val="20"/>
          <w:lang w:val="es-CO"/>
        </w:rPr>
        <w:t xml:space="preserve">solo dos años después de los hechos del presente caso </w:t>
      </w:r>
      <w:r w:rsidRPr="008D65EE">
        <w:rPr>
          <w:sz w:val="20"/>
          <w:szCs w:val="20"/>
          <w:lang w:val="es-CO"/>
        </w:rPr>
        <w:t>la organización no gubernamental PROVEA, reseñó la atención precaria en servicios básicos de salud, mayormente en lo que a salud mental respecta, con inexistencia de programas especiales para el tratamiento de internos con graves trastornos psiquiátricos, incluyendo a grupos de reclusas que se encuentran en una situación especialmente vulnerable</w:t>
      </w:r>
      <w:r w:rsidRPr="008D65EE">
        <w:rPr>
          <w:sz w:val="20"/>
          <w:szCs w:val="20"/>
          <w:vertAlign w:val="superscript"/>
          <w:lang w:val="es-CO"/>
        </w:rPr>
        <w:footnoteReference w:id="2"/>
      </w:r>
      <w:r w:rsidR="002409D7" w:rsidRPr="008D65EE">
        <w:rPr>
          <w:sz w:val="20"/>
          <w:szCs w:val="20"/>
          <w:lang w:val="es-CO"/>
        </w:rPr>
        <w:t>.</w:t>
      </w:r>
      <w:r w:rsidR="006F7CB4" w:rsidRPr="008D65EE">
        <w:rPr>
          <w:sz w:val="20"/>
          <w:szCs w:val="20"/>
          <w:lang w:val="es-CO"/>
        </w:rPr>
        <w:t xml:space="preserve"> </w:t>
      </w:r>
      <w:r w:rsidR="006E7340" w:rsidRPr="008D65EE">
        <w:rPr>
          <w:sz w:val="20"/>
          <w:szCs w:val="20"/>
          <w:lang w:val="es-CO"/>
        </w:rPr>
        <w:t xml:space="preserve"> </w:t>
      </w:r>
    </w:p>
    <w:p w14:paraId="30F8CAF2" w14:textId="77777777" w:rsidR="00F25690" w:rsidRPr="008D65EE" w:rsidRDefault="00F25690" w:rsidP="00F25690">
      <w:pPr>
        <w:pStyle w:val="ListParagraph"/>
        <w:ind w:left="567"/>
        <w:jc w:val="both"/>
        <w:rPr>
          <w:sz w:val="20"/>
          <w:szCs w:val="20"/>
          <w:lang w:val="es-CO"/>
        </w:rPr>
      </w:pPr>
    </w:p>
    <w:p w14:paraId="48C9FE8F" w14:textId="7F4E0B2A" w:rsidR="00852E1F" w:rsidRPr="008D65EE" w:rsidRDefault="006E7340" w:rsidP="00852E1F">
      <w:pPr>
        <w:pStyle w:val="ListParagraph"/>
        <w:numPr>
          <w:ilvl w:val="0"/>
          <w:numId w:val="51"/>
        </w:numPr>
        <w:ind w:left="0" w:firstLine="567"/>
        <w:jc w:val="both"/>
        <w:rPr>
          <w:sz w:val="20"/>
          <w:szCs w:val="20"/>
          <w:lang w:val="es-CO"/>
        </w:rPr>
      </w:pPr>
      <w:r w:rsidRPr="008D65EE">
        <w:rPr>
          <w:sz w:val="20"/>
          <w:szCs w:val="20"/>
          <w:lang w:val="es-CO"/>
        </w:rPr>
        <w:t>Estos problemas en la situación carcelaria no eran exclusivos de</w:t>
      </w:r>
      <w:r w:rsidR="006918A1" w:rsidRPr="008D65EE">
        <w:rPr>
          <w:sz w:val="20"/>
          <w:szCs w:val="20"/>
          <w:lang w:val="es-CO"/>
        </w:rPr>
        <w:t>l</w:t>
      </w:r>
      <w:r w:rsidRPr="008D65EE">
        <w:rPr>
          <w:sz w:val="20"/>
          <w:szCs w:val="20"/>
          <w:lang w:val="es-CO"/>
        </w:rPr>
        <w:t xml:space="preserve"> INOF, precisamente e</w:t>
      </w:r>
      <w:r w:rsidR="005717C9" w:rsidRPr="008D65EE">
        <w:rPr>
          <w:sz w:val="20"/>
          <w:szCs w:val="20"/>
          <w:lang w:val="es-CO"/>
        </w:rPr>
        <w:t>l año de la muerte de Sarah</w:t>
      </w:r>
      <w:r w:rsidR="006F7CB4" w:rsidRPr="008D65EE">
        <w:rPr>
          <w:sz w:val="20"/>
          <w:szCs w:val="20"/>
          <w:lang w:val="es-CO"/>
        </w:rPr>
        <w:t xml:space="preserve"> </w:t>
      </w:r>
      <w:r w:rsidR="005717C9" w:rsidRPr="008D65EE">
        <w:rPr>
          <w:sz w:val="20"/>
          <w:szCs w:val="20"/>
          <w:lang w:val="es-CO"/>
        </w:rPr>
        <w:t>el Comité de Derechos Humanos de la</w:t>
      </w:r>
      <w:r w:rsidRPr="008D65EE">
        <w:rPr>
          <w:sz w:val="20"/>
          <w:szCs w:val="20"/>
          <w:lang w:val="es-CO"/>
        </w:rPr>
        <w:t>s Naciones Unidas</w:t>
      </w:r>
      <w:r w:rsidR="005717C9" w:rsidRPr="008D65EE">
        <w:rPr>
          <w:sz w:val="20"/>
          <w:szCs w:val="20"/>
          <w:lang w:val="es-CO"/>
        </w:rPr>
        <w:t xml:space="preserve"> </w:t>
      </w:r>
      <w:r w:rsidRPr="008D65EE">
        <w:rPr>
          <w:sz w:val="20"/>
          <w:szCs w:val="20"/>
          <w:lang w:val="es-CO"/>
        </w:rPr>
        <w:t>mostró su preocupación</w:t>
      </w:r>
      <w:r w:rsidR="005717C9" w:rsidRPr="008D65EE">
        <w:rPr>
          <w:sz w:val="20"/>
          <w:szCs w:val="20"/>
          <w:lang w:val="es-CO"/>
        </w:rPr>
        <w:t xml:space="preserve"> por las condiciones de las cárceles y de los lugares de detención</w:t>
      </w:r>
      <w:r w:rsidRPr="008D65EE">
        <w:rPr>
          <w:sz w:val="20"/>
          <w:szCs w:val="20"/>
          <w:lang w:val="es-CO"/>
        </w:rPr>
        <w:t xml:space="preserve"> en Venezuela</w:t>
      </w:r>
      <w:r w:rsidRPr="008D65EE">
        <w:rPr>
          <w:rStyle w:val="FootnoteReference"/>
          <w:sz w:val="20"/>
          <w:szCs w:val="20"/>
          <w:lang w:val="es-CO"/>
        </w:rPr>
        <w:footnoteReference w:id="3"/>
      </w:r>
      <w:r w:rsidR="005717C9" w:rsidRPr="008D65EE">
        <w:rPr>
          <w:sz w:val="20"/>
          <w:szCs w:val="20"/>
          <w:lang w:val="es-CO"/>
        </w:rPr>
        <w:t>.</w:t>
      </w:r>
      <w:r w:rsidRPr="008D65EE">
        <w:rPr>
          <w:sz w:val="20"/>
          <w:szCs w:val="20"/>
          <w:lang w:val="es-CO"/>
        </w:rPr>
        <w:t xml:space="preserve"> La Comisión se ha pronunciado reiteradamente en los últimos años sobre la crítica situación en que se encuentran las personas privadas de libertad en Venezuela</w:t>
      </w:r>
      <w:r w:rsidRPr="008D65EE">
        <w:rPr>
          <w:rStyle w:val="FootnoteReference"/>
          <w:sz w:val="20"/>
          <w:szCs w:val="20"/>
          <w:lang w:val="es-CO"/>
        </w:rPr>
        <w:footnoteReference w:id="4"/>
      </w:r>
      <w:r w:rsidRPr="008D65EE">
        <w:rPr>
          <w:sz w:val="20"/>
          <w:szCs w:val="20"/>
          <w:lang w:val="es-CO"/>
        </w:rPr>
        <w:t>, afirmando que “constituye una de las más graves del continente”</w:t>
      </w:r>
      <w:r w:rsidR="002409D7" w:rsidRPr="008D65EE">
        <w:rPr>
          <w:rStyle w:val="FootnoteReference"/>
          <w:sz w:val="20"/>
          <w:szCs w:val="20"/>
          <w:lang w:val="es-CO"/>
        </w:rPr>
        <w:footnoteReference w:id="5"/>
      </w:r>
      <w:r w:rsidRPr="008D65EE">
        <w:rPr>
          <w:sz w:val="20"/>
          <w:szCs w:val="20"/>
          <w:lang w:val="es-CO"/>
        </w:rPr>
        <w:t>.</w:t>
      </w:r>
      <w:r w:rsidR="002409D7" w:rsidRPr="008D65EE">
        <w:rPr>
          <w:sz w:val="20"/>
          <w:szCs w:val="20"/>
          <w:lang w:val="es-CO"/>
        </w:rPr>
        <w:t xml:space="preserve"> </w:t>
      </w:r>
    </w:p>
    <w:p w14:paraId="3B715390" w14:textId="77777777" w:rsidR="00852E1F" w:rsidRPr="008D65EE" w:rsidRDefault="00852E1F" w:rsidP="00852E1F">
      <w:pPr>
        <w:jc w:val="both"/>
        <w:rPr>
          <w:rFonts w:ascii="Cambria" w:hAnsi="Cambria"/>
          <w:sz w:val="20"/>
          <w:szCs w:val="20"/>
          <w:lang w:val="es-CO"/>
        </w:rPr>
      </w:pPr>
    </w:p>
    <w:p w14:paraId="4AB9B717" w14:textId="5F5C0182" w:rsidR="00852E1F" w:rsidRPr="008D65EE" w:rsidRDefault="00852E1F" w:rsidP="00852E1F">
      <w:pPr>
        <w:pStyle w:val="ListParagraph"/>
        <w:numPr>
          <w:ilvl w:val="0"/>
          <w:numId w:val="51"/>
        </w:numPr>
        <w:ind w:left="0" w:firstLine="567"/>
        <w:jc w:val="both"/>
        <w:rPr>
          <w:sz w:val="20"/>
          <w:szCs w:val="20"/>
          <w:lang w:val="es-CO"/>
        </w:rPr>
      </w:pPr>
      <w:r w:rsidRPr="008D65EE">
        <w:rPr>
          <w:sz w:val="20"/>
          <w:szCs w:val="20"/>
          <w:lang w:val="es-CO"/>
        </w:rPr>
        <w:t>Según la información a la que ha podido acceder la Comisión, desde el momento de los hechos la situación de las reclusas en el INOF no ha mejorado y son particularmente graves en la actualidad</w:t>
      </w:r>
      <w:r w:rsidRPr="008D65EE">
        <w:rPr>
          <w:rStyle w:val="FootnoteReference"/>
          <w:sz w:val="20"/>
          <w:szCs w:val="20"/>
          <w:lang w:val="es-CO"/>
        </w:rPr>
        <w:footnoteReference w:id="6"/>
      </w:r>
      <w:r w:rsidRPr="008D65EE">
        <w:rPr>
          <w:sz w:val="20"/>
          <w:szCs w:val="20"/>
          <w:lang w:val="es-CO"/>
        </w:rPr>
        <w:t xml:space="preserve">. Por </w:t>
      </w:r>
      <w:r w:rsidRPr="008D65EE">
        <w:rPr>
          <w:sz w:val="20"/>
          <w:szCs w:val="20"/>
          <w:lang w:val="es-CO"/>
        </w:rPr>
        <w:lastRenderedPageBreak/>
        <w:t>ejemplo, en su último informe, del año 2021, el Observatorio Venezolano de Prisiones advirtió que en el INOF existen condiciones prevalecientes de hacinamiento y de falta de acceso a la salud, con un 152,2% de población reclusa en el centro de detención</w:t>
      </w:r>
      <w:r w:rsidRPr="008D65EE">
        <w:rPr>
          <w:rStyle w:val="FootnoteReference"/>
          <w:rFonts w:cs="Times New Roman"/>
          <w:sz w:val="20"/>
          <w:szCs w:val="20"/>
          <w:lang w:val="es-CO"/>
        </w:rPr>
        <w:footnoteReference w:id="7"/>
      </w:r>
      <w:r w:rsidRPr="008D65EE">
        <w:rPr>
          <w:sz w:val="20"/>
          <w:szCs w:val="20"/>
          <w:lang w:val="es-CO"/>
        </w:rPr>
        <w:t>, y acceso a atención médica solo en algunas situaciones de emergencia</w:t>
      </w:r>
      <w:r w:rsidRPr="008D65EE">
        <w:rPr>
          <w:rStyle w:val="FootnoteReference"/>
          <w:rFonts w:cs="Times New Roman"/>
          <w:sz w:val="20"/>
          <w:szCs w:val="20"/>
          <w:lang w:val="es-CO"/>
        </w:rPr>
        <w:footnoteReference w:id="8"/>
      </w:r>
      <w:r w:rsidRPr="008D65EE">
        <w:rPr>
          <w:sz w:val="20"/>
          <w:szCs w:val="20"/>
          <w:lang w:val="es-CO"/>
        </w:rPr>
        <w:t>, generando desprotección a reclusas con afecciones no consideradas urgentes, e incluso a emergencias que no son atendidas</w:t>
      </w:r>
      <w:r w:rsidRPr="008D65EE">
        <w:rPr>
          <w:rStyle w:val="FootnoteReference"/>
          <w:rFonts w:cs="Times New Roman"/>
          <w:sz w:val="20"/>
          <w:szCs w:val="20"/>
          <w:lang w:val="es-CO"/>
        </w:rPr>
        <w:footnoteReference w:id="9"/>
      </w:r>
      <w:r w:rsidRPr="008D65EE">
        <w:rPr>
          <w:sz w:val="20"/>
          <w:szCs w:val="20"/>
          <w:lang w:val="es-CO"/>
        </w:rPr>
        <w:t>.</w:t>
      </w:r>
    </w:p>
    <w:p w14:paraId="6EE137B7" w14:textId="77777777" w:rsidR="002A6B05" w:rsidRPr="008D65EE" w:rsidRDefault="002A6B05" w:rsidP="00035AA6">
      <w:pPr>
        <w:jc w:val="both"/>
        <w:rPr>
          <w:rFonts w:ascii="Cambria" w:hAnsi="Cambria"/>
          <w:sz w:val="20"/>
          <w:szCs w:val="20"/>
          <w:lang w:val="es-CO"/>
        </w:rPr>
      </w:pPr>
    </w:p>
    <w:p w14:paraId="512369C8" w14:textId="46E4131A" w:rsidR="002A6B05" w:rsidRPr="008D65EE" w:rsidRDefault="002A6B05" w:rsidP="00550322">
      <w:pPr>
        <w:pStyle w:val="Heading2"/>
        <w:numPr>
          <w:ilvl w:val="0"/>
          <w:numId w:val="54"/>
        </w:numPr>
        <w:jc w:val="both"/>
        <w:rPr>
          <w:rFonts w:ascii="Cambria" w:hAnsi="Cambria"/>
          <w:i w:val="0"/>
          <w:iCs w:val="0"/>
          <w:sz w:val="20"/>
          <w:szCs w:val="20"/>
          <w:lang w:val="es-CO"/>
        </w:rPr>
      </w:pPr>
      <w:bookmarkStart w:id="20" w:name="_Toc217309317"/>
      <w:r w:rsidRPr="008D65EE">
        <w:rPr>
          <w:rFonts w:ascii="Cambria" w:hAnsi="Cambria"/>
          <w:i w:val="0"/>
          <w:iCs w:val="0"/>
          <w:sz w:val="20"/>
          <w:szCs w:val="20"/>
          <w:lang w:val="es-CO"/>
        </w:rPr>
        <w:t xml:space="preserve">La </w:t>
      </w:r>
      <w:r w:rsidR="006C19F3" w:rsidRPr="008D65EE">
        <w:rPr>
          <w:rFonts w:ascii="Cambria" w:hAnsi="Cambria"/>
          <w:i w:val="0"/>
          <w:iCs w:val="0"/>
          <w:sz w:val="20"/>
          <w:szCs w:val="20"/>
          <w:lang w:val="es-CO"/>
        </w:rPr>
        <w:t>situación de salud física y psicológica de Sarah Lyn Langton durante su privación de libertad en el INOF</w:t>
      </w:r>
      <w:bookmarkEnd w:id="20"/>
      <w:r w:rsidR="006C19F3" w:rsidRPr="008D65EE">
        <w:rPr>
          <w:rFonts w:ascii="Cambria" w:hAnsi="Cambria"/>
          <w:i w:val="0"/>
          <w:iCs w:val="0"/>
          <w:sz w:val="20"/>
          <w:szCs w:val="20"/>
          <w:lang w:val="es-CO"/>
        </w:rPr>
        <w:t xml:space="preserve"> </w:t>
      </w:r>
    </w:p>
    <w:p w14:paraId="569DF2B3" w14:textId="77777777" w:rsidR="002A6B05" w:rsidRPr="008D65EE" w:rsidRDefault="002A6B05" w:rsidP="002A6B05">
      <w:pPr>
        <w:pStyle w:val="ListParagraph"/>
        <w:rPr>
          <w:rFonts w:cstheme="majorHAnsi"/>
          <w:bCs/>
          <w:sz w:val="20"/>
          <w:szCs w:val="20"/>
          <w:lang w:val="es-CO"/>
        </w:rPr>
      </w:pPr>
    </w:p>
    <w:p w14:paraId="6135C01A" w14:textId="35EB5706" w:rsidR="002715A9" w:rsidRPr="008D65EE" w:rsidRDefault="006F76A1" w:rsidP="01AF1628">
      <w:pPr>
        <w:pStyle w:val="ListParagraph"/>
        <w:numPr>
          <w:ilvl w:val="0"/>
          <w:numId w:val="51"/>
        </w:numPr>
        <w:ind w:left="0" w:firstLine="567"/>
        <w:jc w:val="both"/>
        <w:rPr>
          <w:rFonts w:cstheme="majorBidi"/>
          <w:sz w:val="20"/>
          <w:szCs w:val="20"/>
          <w:lang w:val="es-CO"/>
        </w:rPr>
      </w:pPr>
      <w:r w:rsidRPr="008D65EE">
        <w:rPr>
          <w:rFonts w:cstheme="majorBidi"/>
          <w:sz w:val="20"/>
          <w:szCs w:val="20"/>
          <w:lang w:val="es-CO"/>
        </w:rPr>
        <w:t xml:space="preserve">Sarah Lyn Langton, de nacionalidad </w:t>
      </w:r>
      <w:r w:rsidR="004C405D" w:rsidRPr="008D65EE">
        <w:rPr>
          <w:rFonts w:cstheme="majorBidi"/>
          <w:sz w:val="20"/>
          <w:szCs w:val="20"/>
          <w:lang w:val="es-CO"/>
        </w:rPr>
        <w:t>británica</w:t>
      </w:r>
      <w:r w:rsidRPr="008D65EE">
        <w:rPr>
          <w:rFonts w:cstheme="majorBidi"/>
          <w:sz w:val="20"/>
          <w:szCs w:val="20"/>
          <w:lang w:val="es-CO"/>
        </w:rPr>
        <w:t xml:space="preserve">, </w:t>
      </w:r>
      <w:r w:rsidR="004C405D" w:rsidRPr="008D65EE">
        <w:rPr>
          <w:rFonts w:cstheme="majorBidi"/>
          <w:sz w:val="20"/>
          <w:szCs w:val="20"/>
          <w:lang w:val="es-CO"/>
        </w:rPr>
        <w:t>se encontraba cumpliendo una condena de 5 años por el delito de tráfico de estupefacientes desde el 29 de agosto de 2000 en el INOF</w:t>
      </w:r>
      <w:r w:rsidR="00852E1F" w:rsidRPr="008D65EE">
        <w:rPr>
          <w:rFonts w:cstheme="majorBidi"/>
          <w:sz w:val="20"/>
          <w:szCs w:val="20"/>
          <w:lang w:val="es-CO"/>
        </w:rPr>
        <w:t xml:space="preserve">, </w:t>
      </w:r>
      <w:r w:rsidR="004C405D" w:rsidRPr="008D65EE">
        <w:rPr>
          <w:rFonts w:cstheme="majorBidi"/>
          <w:sz w:val="20"/>
          <w:szCs w:val="20"/>
          <w:lang w:val="es-CO"/>
        </w:rPr>
        <w:t xml:space="preserve">ubicado </w:t>
      </w:r>
      <w:r w:rsidR="009A42B2" w:rsidRPr="008D65EE">
        <w:rPr>
          <w:rFonts w:cstheme="majorBidi"/>
          <w:sz w:val="20"/>
          <w:szCs w:val="20"/>
          <w:lang w:val="es-CO"/>
        </w:rPr>
        <w:t>en la localidad de Los Teques, estado Miranda</w:t>
      </w:r>
      <w:r w:rsidR="00852E1F" w:rsidRPr="008D65EE">
        <w:rPr>
          <w:rFonts w:cstheme="majorBidi"/>
          <w:sz w:val="20"/>
          <w:szCs w:val="20"/>
          <w:lang w:val="es-CO"/>
        </w:rPr>
        <w:t xml:space="preserve"> en</w:t>
      </w:r>
      <w:r w:rsidR="009A42B2" w:rsidRPr="008D65EE">
        <w:rPr>
          <w:rFonts w:cstheme="majorBidi"/>
          <w:sz w:val="20"/>
          <w:szCs w:val="20"/>
          <w:lang w:val="es-CO"/>
        </w:rPr>
        <w:t xml:space="preserve"> Venezuela</w:t>
      </w:r>
      <w:r w:rsidR="004C405D" w:rsidRPr="008D65EE">
        <w:rPr>
          <w:rStyle w:val="FootnoteReference"/>
          <w:rFonts w:cstheme="majorBidi"/>
          <w:sz w:val="20"/>
          <w:szCs w:val="20"/>
          <w:lang w:val="es-CO"/>
        </w:rPr>
        <w:footnoteReference w:id="10"/>
      </w:r>
      <w:r w:rsidR="009A42B2" w:rsidRPr="008D65EE">
        <w:rPr>
          <w:rFonts w:cstheme="majorBidi"/>
          <w:sz w:val="20"/>
          <w:szCs w:val="20"/>
          <w:lang w:val="es-CO"/>
        </w:rPr>
        <w:t xml:space="preserve">. </w:t>
      </w:r>
      <w:r w:rsidR="00852E1F" w:rsidRPr="008D65EE">
        <w:rPr>
          <w:rFonts w:cstheme="majorBidi"/>
          <w:sz w:val="20"/>
          <w:szCs w:val="20"/>
          <w:lang w:val="es-CO"/>
        </w:rPr>
        <w:t xml:space="preserve"> </w:t>
      </w:r>
      <w:r w:rsidR="004C405D" w:rsidRPr="008D65EE">
        <w:rPr>
          <w:rFonts w:cstheme="majorBidi"/>
          <w:sz w:val="20"/>
          <w:szCs w:val="20"/>
          <w:lang w:val="es-CO"/>
        </w:rPr>
        <w:t xml:space="preserve">La presunta víctima </w:t>
      </w:r>
      <w:r w:rsidR="009A42B2" w:rsidRPr="008D65EE">
        <w:rPr>
          <w:rFonts w:cstheme="majorBidi"/>
          <w:sz w:val="20"/>
          <w:szCs w:val="20"/>
          <w:lang w:val="es-CO"/>
        </w:rPr>
        <w:t>padecía de diabetes mellitus tipo I</w:t>
      </w:r>
      <w:r w:rsidR="004C405D" w:rsidRPr="008D65EE">
        <w:rPr>
          <w:rFonts w:cstheme="majorBidi"/>
          <w:sz w:val="20"/>
          <w:szCs w:val="20"/>
          <w:lang w:val="es-CO"/>
        </w:rPr>
        <w:t xml:space="preserve"> desde los 4 años</w:t>
      </w:r>
      <w:r w:rsidR="002715A9" w:rsidRPr="008D65EE">
        <w:rPr>
          <w:rFonts w:cstheme="majorBidi"/>
          <w:sz w:val="20"/>
          <w:szCs w:val="20"/>
          <w:lang w:val="es-CO"/>
        </w:rPr>
        <w:t>, por lo cual era insulina-dependiente</w:t>
      </w:r>
      <w:r w:rsidR="004C405D" w:rsidRPr="008D65EE">
        <w:rPr>
          <w:rFonts w:cstheme="majorBidi"/>
          <w:sz w:val="20"/>
          <w:szCs w:val="20"/>
          <w:lang w:val="es-CO"/>
        </w:rPr>
        <w:t xml:space="preserve"> </w:t>
      </w:r>
      <w:r w:rsidR="004C405D" w:rsidRPr="008D65EE">
        <w:rPr>
          <w:rStyle w:val="FootnoteReference"/>
          <w:rFonts w:cstheme="majorBidi"/>
          <w:sz w:val="20"/>
          <w:szCs w:val="20"/>
          <w:lang w:val="es-CO"/>
        </w:rPr>
        <w:footnoteReference w:id="11"/>
      </w:r>
      <w:r w:rsidR="00EB0764" w:rsidRPr="008D65EE">
        <w:rPr>
          <w:rFonts w:cstheme="majorBidi"/>
          <w:sz w:val="20"/>
          <w:szCs w:val="20"/>
          <w:lang w:val="es-CO"/>
        </w:rPr>
        <w:t>. En los años precedentes a los hechos la diabetes que padecía la presunta víctima había logrado estabilizarse con el tratamiento adecuado</w:t>
      </w:r>
      <w:r w:rsidR="00852E1F" w:rsidRPr="008D65EE">
        <w:rPr>
          <w:rStyle w:val="FootnoteReference"/>
          <w:rFonts w:cstheme="majorBidi"/>
          <w:sz w:val="20"/>
          <w:szCs w:val="20"/>
          <w:lang w:val="es-CO"/>
        </w:rPr>
        <w:footnoteReference w:id="12"/>
      </w:r>
      <w:r w:rsidR="00EB0764" w:rsidRPr="008D65EE">
        <w:rPr>
          <w:rFonts w:cstheme="majorBidi"/>
          <w:sz w:val="20"/>
          <w:szCs w:val="20"/>
          <w:lang w:val="es-CO"/>
        </w:rPr>
        <w:t xml:space="preserve">.  </w:t>
      </w:r>
    </w:p>
    <w:p w14:paraId="6B903381" w14:textId="77777777" w:rsidR="00852E1F" w:rsidRPr="008D65EE" w:rsidRDefault="00852E1F" w:rsidP="00852E1F">
      <w:pPr>
        <w:jc w:val="both"/>
        <w:rPr>
          <w:rFonts w:ascii="Cambria" w:hAnsi="Cambria" w:cstheme="majorHAnsi"/>
          <w:bCs/>
          <w:sz w:val="20"/>
          <w:szCs w:val="20"/>
          <w:lang w:val="es-CO"/>
        </w:rPr>
      </w:pPr>
    </w:p>
    <w:p w14:paraId="70CF37D1" w14:textId="2117EEE3" w:rsidR="002715A9" w:rsidRPr="008D65EE" w:rsidRDefault="002715A9" w:rsidP="002715A9">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Aunado a esto, Sarah había presentado</w:t>
      </w:r>
      <w:r w:rsidR="00EB0764" w:rsidRPr="008D65EE">
        <w:rPr>
          <w:rFonts w:cstheme="majorHAnsi"/>
          <w:bCs/>
          <w:sz w:val="20"/>
          <w:szCs w:val="20"/>
          <w:lang w:val="es-CO"/>
        </w:rPr>
        <w:t xml:space="preserve"> una fuerte depresión y</w:t>
      </w:r>
      <w:r w:rsidRPr="008D65EE">
        <w:rPr>
          <w:rFonts w:cstheme="majorHAnsi"/>
          <w:bCs/>
          <w:sz w:val="20"/>
          <w:szCs w:val="20"/>
          <w:lang w:val="es-CO"/>
        </w:rPr>
        <w:t xml:space="preserve"> episodios </w:t>
      </w:r>
      <w:r w:rsidR="00852E1F" w:rsidRPr="008D65EE">
        <w:rPr>
          <w:rFonts w:cstheme="majorHAnsi"/>
          <w:bCs/>
          <w:sz w:val="20"/>
          <w:szCs w:val="20"/>
          <w:lang w:val="es-CO"/>
        </w:rPr>
        <w:t xml:space="preserve">de </w:t>
      </w:r>
      <w:r w:rsidRPr="008D65EE">
        <w:rPr>
          <w:rFonts w:cstheme="majorHAnsi"/>
          <w:bCs/>
          <w:sz w:val="20"/>
          <w:szCs w:val="20"/>
          <w:lang w:val="es-CO"/>
        </w:rPr>
        <w:t>stress severos que hicieron a sus padres creer que presentaba un trastorno psicológico</w:t>
      </w:r>
      <w:r w:rsidR="00012E36" w:rsidRPr="008D65EE">
        <w:rPr>
          <w:rStyle w:val="FootnoteReference"/>
          <w:rFonts w:cstheme="majorHAnsi"/>
          <w:bCs/>
          <w:sz w:val="20"/>
          <w:szCs w:val="20"/>
          <w:lang w:val="es-CO"/>
        </w:rPr>
        <w:footnoteReference w:id="13"/>
      </w:r>
      <w:r w:rsidRPr="008D65EE">
        <w:rPr>
          <w:rFonts w:cstheme="majorHAnsi"/>
          <w:bCs/>
          <w:sz w:val="20"/>
          <w:szCs w:val="20"/>
          <w:lang w:val="es-CO"/>
        </w:rPr>
        <w:t>. El médico de la familia afirmó que mientras se encontraba estudian</w:t>
      </w:r>
      <w:r w:rsidR="00852E1F" w:rsidRPr="008D65EE">
        <w:rPr>
          <w:rFonts w:cstheme="majorHAnsi"/>
          <w:bCs/>
          <w:sz w:val="20"/>
          <w:szCs w:val="20"/>
          <w:lang w:val="es-CO"/>
        </w:rPr>
        <w:t>do</w:t>
      </w:r>
      <w:r w:rsidRPr="008D65EE">
        <w:rPr>
          <w:rFonts w:cstheme="majorHAnsi"/>
          <w:bCs/>
          <w:sz w:val="20"/>
          <w:szCs w:val="20"/>
          <w:lang w:val="es-CO"/>
        </w:rPr>
        <w:t xml:space="preserve"> en Londres había ingerido en distintas ocasiones una sobredosis de medicamentos y que para el momento de su última consulta se encontraba </w:t>
      </w:r>
      <w:r w:rsidR="00852E1F" w:rsidRPr="008D65EE">
        <w:rPr>
          <w:rFonts w:cstheme="majorHAnsi"/>
          <w:bCs/>
          <w:sz w:val="20"/>
          <w:szCs w:val="20"/>
          <w:lang w:val="es-CO"/>
        </w:rPr>
        <w:t>tomando</w:t>
      </w:r>
      <w:r w:rsidRPr="008D65EE">
        <w:rPr>
          <w:rFonts w:cstheme="majorHAnsi"/>
          <w:bCs/>
          <w:sz w:val="20"/>
          <w:szCs w:val="20"/>
          <w:lang w:val="es-CO"/>
        </w:rPr>
        <w:t xml:space="preserve"> el antidepresivo Paroxetine y había solicitado Diazepan para poder relajarse</w:t>
      </w:r>
      <w:r w:rsidRPr="008D65EE">
        <w:rPr>
          <w:rStyle w:val="FootnoteReference"/>
          <w:rFonts w:cstheme="majorHAnsi"/>
          <w:bCs/>
          <w:sz w:val="20"/>
          <w:szCs w:val="20"/>
          <w:lang w:val="es-CO"/>
        </w:rPr>
        <w:footnoteReference w:id="14"/>
      </w:r>
      <w:r w:rsidRPr="008D65EE">
        <w:rPr>
          <w:rFonts w:cstheme="majorHAnsi"/>
          <w:bCs/>
          <w:sz w:val="20"/>
          <w:szCs w:val="20"/>
          <w:lang w:val="es-CO"/>
        </w:rPr>
        <w:t xml:space="preserve">. </w:t>
      </w:r>
    </w:p>
    <w:p w14:paraId="2E344339" w14:textId="77777777" w:rsidR="00EA6555" w:rsidRPr="008D65EE" w:rsidRDefault="00EA6555" w:rsidP="00EA6555">
      <w:pPr>
        <w:jc w:val="both"/>
        <w:rPr>
          <w:rFonts w:cstheme="majorHAnsi"/>
          <w:bCs/>
          <w:sz w:val="20"/>
          <w:szCs w:val="20"/>
          <w:lang w:val="es-CO"/>
        </w:rPr>
      </w:pPr>
    </w:p>
    <w:p w14:paraId="53522D52" w14:textId="179F8B60" w:rsidR="00EB0764" w:rsidRPr="008D65EE" w:rsidRDefault="00EB0764" w:rsidP="002715A9">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Durante su privación de libertad en las instalaciones del INOF, las autoridades penitenciarias mantenían la insulina de Sarah en la nevera de la Dirección del Penal y se le daban cuando ella lo solicitaba</w:t>
      </w:r>
      <w:r w:rsidR="00852E1F" w:rsidRPr="008D65EE">
        <w:rPr>
          <w:rStyle w:val="FootnoteReference"/>
          <w:rFonts w:cstheme="majorHAnsi"/>
          <w:bCs/>
          <w:sz w:val="20"/>
          <w:szCs w:val="20"/>
          <w:lang w:val="es-CO"/>
        </w:rPr>
        <w:footnoteReference w:id="15"/>
      </w:r>
      <w:r w:rsidRPr="008D65EE">
        <w:rPr>
          <w:rFonts w:cstheme="majorHAnsi"/>
          <w:bCs/>
          <w:sz w:val="20"/>
          <w:szCs w:val="20"/>
          <w:lang w:val="es-CO"/>
        </w:rPr>
        <w:t xml:space="preserve">. </w:t>
      </w:r>
      <w:r w:rsidR="007929A7" w:rsidRPr="008D65EE">
        <w:rPr>
          <w:rFonts w:cstheme="majorHAnsi"/>
          <w:bCs/>
          <w:sz w:val="20"/>
          <w:szCs w:val="20"/>
          <w:lang w:val="es-CO"/>
        </w:rPr>
        <w:t>En algunas oportunidades anteriores había tenido que ser trasladada al hospital porque no se le había controlado debidamente la diabetes</w:t>
      </w:r>
      <w:r w:rsidR="007929A7" w:rsidRPr="008D65EE">
        <w:rPr>
          <w:rStyle w:val="FootnoteReference"/>
          <w:rFonts w:cstheme="majorHAnsi"/>
          <w:bCs/>
          <w:sz w:val="20"/>
          <w:szCs w:val="20"/>
          <w:lang w:val="es-CO"/>
        </w:rPr>
        <w:footnoteReference w:id="16"/>
      </w:r>
      <w:r w:rsidR="007929A7" w:rsidRPr="008D65EE">
        <w:rPr>
          <w:rFonts w:cstheme="majorHAnsi"/>
          <w:bCs/>
          <w:sz w:val="20"/>
          <w:szCs w:val="20"/>
          <w:lang w:val="es-CO"/>
        </w:rPr>
        <w:t>.</w:t>
      </w:r>
      <w:r w:rsidR="00012E36" w:rsidRPr="008D65EE">
        <w:rPr>
          <w:rFonts w:cstheme="majorHAnsi"/>
          <w:bCs/>
          <w:sz w:val="20"/>
          <w:szCs w:val="20"/>
          <w:lang w:val="es-CO"/>
        </w:rPr>
        <w:t xml:space="preserve"> </w:t>
      </w:r>
    </w:p>
    <w:p w14:paraId="11AC7C52" w14:textId="77777777" w:rsidR="00EE4B9B" w:rsidRPr="008D65EE" w:rsidRDefault="00EE4B9B" w:rsidP="00EE4B9B">
      <w:pPr>
        <w:pStyle w:val="ListParagraph"/>
        <w:ind w:left="567"/>
        <w:jc w:val="both"/>
        <w:rPr>
          <w:rFonts w:cstheme="majorHAnsi"/>
          <w:bCs/>
          <w:sz w:val="20"/>
          <w:szCs w:val="20"/>
          <w:lang w:val="es-CO"/>
        </w:rPr>
      </w:pPr>
    </w:p>
    <w:p w14:paraId="6F96BD59" w14:textId="38BEA639" w:rsidR="009A42B2" w:rsidRPr="008D65EE" w:rsidRDefault="006D136E" w:rsidP="01AF1628">
      <w:pPr>
        <w:pStyle w:val="ListParagraph"/>
        <w:numPr>
          <w:ilvl w:val="0"/>
          <w:numId w:val="51"/>
        </w:numPr>
        <w:ind w:left="0" w:firstLine="567"/>
        <w:jc w:val="both"/>
        <w:rPr>
          <w:rFonts w:cstheme="majorBidi"/>
          <w:sz w:val="20"/>
          <w:szCs w:val="20"/>
          <w:lang w:val="es-CO"/>
        </w:rPr>
      </w:pPr>
      <w:r w:rsidRPr="008D65EE">
        <w:rPr>
          <w:rFonts w:cstheme="majorBidi"/>
          <w:sz w:val="20"/>
          <w:szCs w:val="20"/>
          <w:lang w:val="es-CO"/>
        </w:rPr>
        <w:t xml:space="preserve">Se desprende del expediente que las autoridades venezolanas tenían conocimiento del estado de salud de la presunta </w:t>
      </w:r>
      <w:r w:rsidR="00BA67B6" w:rsidRPr="008D65EE">
        <w:rPr>
          <w:rFonts w:cstheme="majorBidi"/>
          <w:sz w:val="20"/>
          <w:szCs w:val="20"/>
          <w:lang w:val="es-CO"/>
        </w:rPr>
        <w:t>víctima,</w:t>
      </w:r>
      <w:r w:rsidRPr="008D65EE">
        <w:rPr>
          <w:rFonts w:cstheme="majorBidi"/>
          <w:sz w:val="20"/>
          <w:szCs w:val="20"/>
          <w:lang w:val="es-CO"/>
        </w:rPr>
        <w:t xml:space="preserve"> así como de su</w:t>
      </w:r>
      <w:r w:rsidR="00852E1F" w:rsidRPr="008D65EE">
        <w:rPr>
          <w:rFonts w:cstheme="majorBidi"/>
          <w:sz w:val="20"/>
          <w:szCs w:val="20"/>
          <w:lang w:val="es-CO"/>
        </w:rPr>
        <w:t xml:space="preserve"> la vulnerabilidad de su</w:t>
      </w:r>
      <w:r w:rsidRPr="008D65EE">
        <w:rPr>
          <w:rFonts w:cstheme="majorBidi"/>
          <w:sz w:val="20"/>
          <w:szCs w:val="20"/>
          <w:lang w:val="es-CO"/>
        </w:rPr>
        <w:t xml:space="preserve"> estado psicológico</w:t>
      </w:r>
      <w:r w:rsidR="00852E1F" w:rsidRPr="008D65EE">
        <w:rPr>
          <w:rStyle w:val="FootnoteReference"/>
          <w:rFonts w:cstheme="majorBidi"/>
          <w:sz w:val="20"/>
          <w:szCs w:val="20"/>
          <w:lang w:val="es-CO"/>
        </w:rPr>
        <w:footnoteReference w:id="17"/>
      </w:r>
      <w:r w:rsidRPr="008D65EE">
        <w:rPr>
          <w:rFonts w:cstheme="majorBidi"/>
          <w:sz w:val="20"/>
          <w:szCs w:val="20"/>
          <w:lang w:val="es-CO"/>
        </w:rPr>
        <w:t xml:space="preserve">. </w:t>
      </w:r>
      <w:r w:rsidR="009A42B2" w:rsidRPr="008D65EE">
        <w:rPr>
          <w:rFonts w:cstheme="majorBidi"/>
          <w:sz w:val="20"/>
          <w:szCs w:val="20"/>
          <w:lang w:val="es-CO"/>
        </w:rPr>
        <w:t xml:space="preserve">El </w:t>
      </w:r>
      <w:r w:rsidR="007929A7" w:rsidRPr="008D65EE">
        <w:rPr>
          <w:rFonts w:cstheme="majorBidi"/>
          <w:sz w:val="20"/>
          <w:szCs w:val="20"/>
          <w:lang w:val="es-CO"/>
        </w:rPr>
        <w:t xml:space="preserve">Dr. Orlando González del </w:t>
      </w:r>
      <w:r w:rsidR="00012E36" w:rsidRPr="008D65EE">
        <w:rPr>
          <w:rFonts w:cstheme="majorBidi"/>
          <w:sz w:val="20"/>
          <w:szCs w:val="20"/>
          <w:lang w:val="es-CO"/>
        </w:rPr>
        <w:t>s</w:t>
      </w:r>
      <w:r w:rsidR="009A42B2" w:rsidRPr="008D65EE">
        <w:rPr>
          <w:rFonts w:cstheme="majorBidi"/>
          <w:sz w:val="20"/>
          <w:szCs w:val="20"/>
          <w:lang w:val="es-CO"/>
        </w:rPr>
        <w:t xml:space="preserve">ervicio </w:t>
      </w:r>
      <w:r w:rsidR="00012E36" w:rsidRPr="008D65EE">
        <w:rPr>
          <w:rFonts w:cstheme="majorBidi"/>
          <w:sz w:val="20"/>
          <w:szCs w:val="20"/>
          <w:lang w:val="es-CO"/>
        </w:rPr>
        <w:t>m</w:t>
      </w:r>
      <w:r w:rsidR="009A42B2" w:rsidRPr="008D65EE">
        <w:rPr>
          <w:rFonts w:cstheme="majorBidi"/>
          <w:sz w:val="20"/>
          <w:szCs w:val="20"/>
          <w:lang w:val="es-CO"/>
        </w:rPr>
        <w:t>édico del INOF</w:t>
      </w:r>
      <w:r w:rsidR="007929A7" w:rsidRPr="008D65EE">
        <w:rPr>
          <w:rFonts w:cstheme="majorBidi"/>
          <w:sz w:val="20"/>
          <w:szCs w:val="20"/>
          <w:lang w:val="es-CO"/>
        </w:rPr>
        <w:t xml:space="preserve"> abrió la historia clínica de la paciente el 1 de septiembre de 2000</w:t>
      </w:r>
      <w:r w:rsidR="00012E36" w:rsidRPr="008D65EE">
        <w:rPr>
          <w:rFonts w:cstheme="majorBidi"/>
          <w:sz w:val="20"/>
          <w:szCs w:val="20"/>
          <w:lang w:val="es-CO"/>
        </w:rPr>
        <w:t xml:space="preserve">, realizando una evaluación médica e indicando que la paciente sufría de diabetes tipo I </w:t>
      </w:r>
      <w:r w:rsidR="00BA67B6" w:rsidRPr="008D65EE">
        <w:rPr>
          <w:rFonts w:cstheme="majorBidi"/>
          <w:sz w:val="20"/>
          <w:szCs w:val="20"/>
          <w:lang w:val="es-CO"/>
        </w:rPr>
        <w:t>y que</w:t>
      </w:r>
      <w:r w:rsidR="009A42B2" w:rsidRPr="008D65EE">
        <w:rPr>
          <w:rFonts w:cstheme="majorBidi"/>
          <w:sz w:val="20"/>
          <w:szCs w:val="20"/>
          <w:lang w:val="es-CO"/>
        </w:rPr>
        <w:t xml:space="preserve"> era </w:t>
      </w:r>
      <w:r w:rsidR="00CD7891" w:rsidRPr="008D65EE">
        <w:rPr>
          <w:rFonts w:cstheme="majorBidi"/>
          <w:sz w:val="20"/>
          <w:szCs w:val="20"/>
          <w:lang w:val="es-CO"/>
        </w:rPr>
        <w:t>insulina</w:t>
      </w:r>
      <w:r w:rsidR="009A42B2" w:rsidRPr="008D65EE">
        <w:rPr>
          <w:rFonts w:cstheme="majorBidi"/>
          <w:sz w:val="20"/>
          <w:szCs w:val="20"/>
          <w:lang w:val="es-CO"/>
        </w:rPr>
        <w:t>-dependiente</w:t>
      </w:r>
      <w:r w:rsidR="00012E36" w:rsidRPr="008D65EE">
        <w:rPr>
          <w:rStyle w:val="FootnoteReference"/>
          <w:rFonts w:cstheme="majorBidi"/>
          <w:sz w:val="20"/>
          <w:szCs w:val="20"/>
          <w:lang w:val="es-CO"/>
        </w:rPr>
        <w:footnoteReference w:id="18"/>
      </w:r>
      <w:r w:rsidR="009A42B2" w:rsidRPr="008D65EE">
        <w:rPr>
          <w:rFonts w:cstheme="majorBidi"/>
          <w:sz w:val="20"/>
          <w:szCs w:val="20"/>
          <w:lang w:val="es-CO"/>
        </w:rPr>
        <w:t>.</w:t>
      </w:r>
      <w:r w:rsidR="000214DC" w:rsidRPr="008D65EE">
        <w:rPr>
          <w:rFonts w:cstheme="majorBidi"/>
          <w:sz w:val="20"/>
          <w:szCs w:val="20"/>
          <w:lang w:val="es-CO"/>
        </w:rPr>
        <w:t xml:space="preserve"> El Dr. González </w:t>
      </w:r>
      <w:r w:rsidR="00CD7891" w:rsidRPr="008D65EE">
        <w:rPr>
          <w:rFonts w:cstheme="majorBidi"/>
          <w:sz w:val="20"/>
          <w:szCs w:val="20"/>
          <w:lang w:val="es-CO"/>
        </w:rPr>
        <w:t>también</w:t>
      </w:r>
      <w:r w:rsidR="000214DC" w:rsidRPr="008D65EE">
        <w:rPr>
          <w:rFonts w:cstheme="majorBidi"/>
          <w:sz w:val="20"/>
          <w:szCs w:val="20"/>
          <w:lang w:val="es-CO"/>
        </w:rPr>
        <w:t xml:space="preserve"> indicó en la historia que la presunta víctima sufría de adicción a </w:t>
      </w:r>
      <w:r w:rsidR="00852E1F" w:rsidRPr="008D65EE">
        <w:rPr>
          <w:rFonts w:cstheme="majorBidi"/>
          <w:sz w:val="20"/>
          <w:szCs w:val="20"/>
          <w:lang w:val="es-CO"/>
        </w:rPr>
        <w:t xml:space="preserve">ciertas </w:t>
      </w:r>
      <w:r w:rsidR="000214DC" w:rsidRPr="008D65EE">
        <w:rPr>
          <w:rFonts w:cstheme="majorBidi"/>
          <w:sz w:val="20"/>
          <w:szCs w:val="20"/>
          <w:lang w:val="es-CO"/>
        </w:rPr>
        <w:t>sustancias</w:t>
      </w:r>
      <w:r w:rsidR="000214DC" w:rsidRPr="008D65EE">
        <w:rPr>
          <w:rStyle w:val="FootnoteReference"/>
          <w:rFonts w:cstheme="majorBidi"/>
          <w:sz w:val="20"/>
          <w:szCs w:val="20"/>
          <w:lang w:val="es-CO"/>
        </w:rPr>
        <w:footnoteReference w:id="19"/>
      </w:r>
      <w:r w:rsidR="000214DC" w:rsidRPr="008D65EE">
        <w:rPr>
          <w:rFonts w:cstheme="majorBidi"/>
          <w:sz w:val="20"/>
          <w:szCs w:val="20"/>
          <w:lang w:val="es-CO"/>
        </w:rPr>
        <w:t>.</w:t>
      </w:r>
      <w:r w:rsidR="009A42B2" w:rsidRPr="008D65EE">
        <w:rPr>
          <w:rFonts w:cstheme="majorBidi"/>
          <w:sz w:val="20"/>
          <w:szCs w:val="20"/>
          <w:lang w:val="es-CO"/>
        </w:rPr>
        <w:t xml:space="preserve"> </w:t>
      </w:r>
      <w:r w:rsidR="000214DC" w:rsidRPr="008D65EE">
        <w:rPr>
          <w:rFonts w:cstheme="majorBidi"/>
          <w:sz w:val="20"/>
          <w:szCs w:val="20"/>
          <w:lang w:val="es-CO"/>
        </w:rPr>
        <w:t xml:space="preserve">Asimismo, </w:t>
      </w:r>
      <w:r w:rsidR="00012E36" w:rsidRPr="008D65EE">
        <w:rPr>
          <w:rFonts w:cstheme="majorBidi"/>
          <w:sz w:val="20"/>
          <w:szCs w:val="20"/>
          <w:lang w:val="es-CO"/>
        </w:rPr>
        <w:t>a</w:t>
      </w:r>
      <w:r w:rsidR="009A42B2" w:rsidRPr="008D65EE">
        <w:rPr>
          <w:rFonts w:cstheme="majorBidi"/>
          <w:sz w:val="20"/>
          <w:szCs w:val="20"/>
          <w:lang w:val="es-CO"/>
        </w:rPr>
        <w:t xml:space="preserve">notó que Sarah tomaba </w:t>
      </w:r>
      <w:r w:rsidR="00012E36" w:rsidRPr="008D65EE">
        <w:rPr>
          <w:rFonts w:cstheme="majorBidi"/>
          <w:sz w:val="20"/>
          <w:szCs w:val="20"/>
          <w:lang w:val="es-CO"/>
        </w:rPr>
        <w:t>un medicamento utilizado para tratar los síntomas de la ansiedad y la depresión denominado D</w:t>
      </w:r>
      <w:r w:rsidR="009A42B2" w:rsidRPr="008D65EE">
        <w:rPr>
          <w:rFonts w:cstheme="majorBidi"/>
          <w:sz w:val="20"/>
          <w:szCs w:val="20"/>
          <w:lang w:val="es-CO"/>
        </w:rPr>
        <w:t>iazepan</w:t>
      </w:r>
      <w:r w:rsidR="00012E36" w:rsidRPr="008D65EE">
        <w:rPr>
          <w:rStyle w:val="FootnoteReference"/>
          <w:rFonts w:cstheme="majorBidi"/>
          <w:sz w:val="20"/>
          <w:szCs w:val="20"/>
          <w:lang w:val="es-CO"/>
        </w:rPr>
        <w:footnoteReference w:id="20"/>
      </w:r>
      <w:r w:rsidR="00012E36" w:rsidRPr="008D65EE">
        <w:rPr>
          <w:rFonts w:cstheme="majorBidi"/>
          <w:sz w:val="20"/>
          <w:szCs w:val="20"/>
          <w:lang w:val="es-CO"/>
        </w:rPr>
        <w:t xml:space="preserve">. La presunta víctima fue evaluada regularmente por los </w:t>
      </w:r>
      <w:r w:rsidR="00012E36" w:rsidRPr="008D65EE">
        <w:rPr>
          <w:rFonts w:cstheme="majorBidi"/>
          <w:sz w:val="20"/>
          <w:szCs w:val="20"/>
          <w:lang w:val="es-CO"/>
        </w:rPr>
        <w:lastRenderedPageBreak/>
        <w:t xml:space="preserve">médicos adscritos al servicio médico del INOF, </w:t>
      </w:r>
      <w:r w:rsidR="00852E1F" w:rsidRPr="008D65EE">
        <w:rPr>
          <w:rFonts w:cstheme="majorBidi"/>
          <w:sz w:val="20"/>
          <w:szCs w:val="20"/>
          <w:lang w:val="es-CO"/>
        </w:rPr>
        <w:t xml:space="preserve">sin embargo </w:t>
      </w:r>
      <w:r w:rsidR="00012E36" w:rsidRPr="008D65EE">
        <w:rPr>
          <w:rFonts w:cstheme="majorBidi"/>
          <w:sz w:val="20"/>
          <w:szCs w:val="20"/>
          <w:lang w:val="es-CO"/>
        </w:rPr>
        <w:t xml:space="preserve">su </w:t>
      </w:r>
      <w:r w:rsidR="0010654D" w:rsidRPr="008D65EE">
        <w:rPr>
          <w:rFonts w:cstheme="majorBidi"/>
          <w:sz w:val="20"/>
          <w:szCs w:val="20"/>
          <w:lang w:val="es-CO"/>
        </w:rPr>
        <w:t>última</w:t>
      </w:r>
      <w:r w:rsidR="00012E36" w:rsidRPr="008D65EE">
        <w:rPr>
          <w:rFonts w:cstheme="majorBidi"/>
          <w:sz w:val="20"/>
          <w:szCs w:val="20"/>
          <w:lang w:val="es-CO"/>
        </w:rPr>
        <w:t xml:space="preserve"> revisión </w:t>
      </w:r>
      <w:r w:rsidR="00852E1F" w:rsidRPr="008D65EE">
        <w:rPr>
          <w:rFonts w:cstheme="majorBidi"/>
          <w:sz w:val="20"/>
          <w:szCs w:val="20"/>
          <w:lang w:val="es-CO"/>
        </w:rPr>
        <w:t xml:space="preserve">médica había sido </w:t>
      </w:r>
      <w:r w:rsidR="00012E36" w:rsidRPr="008D65EE">
        <w:rPr>
          <w:rFonts w:cstheme="majorBidi"/>
          <w:sz w:val="20"/>
          <w:szCs w:val="20"/>
          <w:lang w:val="es-CO"/>
        </w:rPr>
        <w:t>el</w:t>
      </w:r>
      <w:r w:rsidR="009A42B2" w:rsidRPr="008D65EE">
        <w:rPr>
          <w:rFonts w:cstheme="majorBidi"/>
          <w:sz w:val="20"/>
          <w:szCs w:val="20"/>
          <w:lang w:val="es-CO"/>
        </w:rPr>
        <w:t xml:space="preserve"> 5 de enero del 2001</w:t>
      </w:r>
      <w:r w:rsidR="00012E36" w:rsidRPr="008D65EE">
        <w:rPr>
          <w:rStyle w:val="FootnoteReference"/>
          <w:rFonts w:cstheme="majorBidi"/>
          <w:sz w:val="20"/>
          <w:szCs w:val="20"/>
          <w:lang w:val="es-CO"/>
        </w:rPr>
        <w:footnoteReference w:id="21"/>
      </w:r>
      <w:r w:rsidR="009A42B2" w:rsidRPr="008D65EE">
        <w:rPr>
          <w:rFonts w:cstheme="majorBidi"/>
          <w:sz w:val="20"/>
          <w:szCs w:val="20"/>
          <w:lang w:val="es-CO"/>
        </w:rPr>
        <w:t>.</w:t>
      </w:r>
    </w:p>
    <w:p w14:paraId="6339B851" w14:textId="77777777" w:rsidR="00EE4B9B" w:rsidRPr="008D65EE" w:rsidRDefault="00EE4B9B" w:rsidP="00EE4B9B">
      <w:pPr>
        <w:jc w:val="both"/>
        <w:rPr>
          <w:rFonts w:ascii="Cambria" w:hAnsi="Cambria" w:cstheme="majorHAnsi"/>
          <w:bCs/>
          <w:sz w:val="20"/>
          <w:szCs w:val="20"/>
          <w:lang w:val="es-CO"/>
        </w:rPr>
      </w:pPr>
    </w:p>
    <w:p w14:paraId="3517276B" w14:textId="7094D12B" w:rsidR="00EE4B9B" w:rsidRPr="008D65EE" w:rsidRDefault="00FC66CA" w:rsidP="009A42B2">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El padre de Sarah, Terry Langton</w:t>
      </w:r>
      <w:r w:rsidR="00852E1F" w:rsidRPr="008D65EE">
        <w:rPr>
          <w:rFonts w:cstheme="majorHAnsi"/>
          <w:bCs/>
          <w:sz w:val="20"/>
          <w:szCs w:val="20"/>
          <w:lang w:val="es-CO"/>
        </w:rPr>
        <w:t xml:space="preserve">, </w:t>
      </w:r>
      <w:r w:rsidRPr="008D65EE">
        <w:rPr>
          <w:rFonts w:cstheme="majorHAnsi"/>
          <w:bCs/>
          <w:sz w:val="20"/>
          <w:szCs w:val="20"/>
          <w:lang w:val="es-CO"/>
        </w:rPr>
        <w:t>también había comunicado a las autoridades venezolanas su preocupación sobre el manejo correcto de la enfermedad de su hija en el centro penitenciario, afirmando que no podía acceder al tipo correcto de insulina, y que no tenía a su disposición otros elementos necesarios para su tratamiento, por lo cual la familia enviaba lo que podía mediante la Embajada del Reino Unido en Caracas</w:t>
      </w:r>
      <w:r w:rsidRPr="008D65EE">
        <w:rPr>
          <w:rStyle w:val="FootnoteReference"/>
          <w:rFonts w:cstheme="majorHAnsi"/>
          <w:bCs/>
          <w:sz w:val="20"/>
          <w:szCs w:val="20"/>
          <w:lang w:val="es-CO"/>
        </w:rPr>
        <w:footnoteReference w:id="22"/>
      </w:r>
      <w:r w:rsidRPr="008D65EE">
        <w:rPr>
          <w:rFonts w:cstheme="majorHAnsi"/>
          <w:bCs/>
          <w:sz w:val="20"/>
          <w:szCs w:val="20"/>
          <w:lang w:val="es-CO"/>
        </w:rPr>
        <w:t>. Aunado a esto, se desprende del expediente que el médico de la familia, Charles Fox, había emitido un informe el 11 de septiembre de 2000 en el cual advirtió que en prisión “su diabetes indudablemente será una seri</w:t>
      </w:r>
      <w:r w:rsidR="00127C99" w:rsidRPr="008D65EE">
        <w:rPr>
          <w:rFonts w:cstheme="majorHAnsi"/>
          <w:bCs/>
          <w:sz w:val="20"/>
          <w:szCs w:val="20"/>
          <w:lang w:val="es-CO"/>
        </w:rPr>
        <w:t>a</w:t>
      </w:r>
      <w:r w:rsidRPr="008D65EE">
        <w:rPr>
          <w:rFonts w:cstheme="majorHAnsi"/>
          <w:bCs/>
          <w:sz w:val="20"/>
          <w:szCs w:val="20"/>
          <w:lang w:val="es-CO"/>
        </w:rPr>
        <w:t xml:space="preserve"> amenaza para su salud y posiblemente para su vida”</w:t>
      </w:r>
      <w:r w:rsidRPr="008D65EE">
        <w:rPr>
          <w:rStyle w:val="FootnoteReference"/>
          <w:rFonts w:cstheme="majorHAnsi"/>
          <w:bCs/>
          <w:sz w:val="20"/>
          <w:szCs w:val="20"/>
          <w:lang w:val="es-CO"/>
        </w:rPr>
        <w:footnoteReference w:id="23"/>
      </w:r>
      <w:r w:rsidRPr="008D65EE">
        <w:rPr>
          <w:rFonts w:cstheme="majorHAnsi"/>
          <w:bCs/>
          <w:sz w:val="20"/>
          <w:szCs w:val="20"/>
          <w:lang w:val="es-CO"/>
        </w:rPr>
        <w:t>.</w:t>
      </w:r>
      <w:r w:rsidR="00E233C9" w:rsidRPr="008D65EE">
        <w:rPr>
          <w:rFonts w:cstheme="majorHAnsi"/>
          <w:bCs/>
          <w:sz w:val="20"/>
          <w:szCs w:val="20"/>
          <w:lang w:val="es-CO"/>
        </w:rPr>
        <w:t xml:space="preserve"> Dicho informe junto con información adicional sobre el estado de salud de la presunta víctima fue enviada a su abogado defensor, Pastor </w:t>
      </w:r>
      <w:r w:rsidR="00CD7891" w:rsidRPr="008D65EE">
        <w:rPr>
          <w:rFonts w:cstheme="majorHAnsi"/>
          <w:bCs/>
          <w:sz w:val="20"/>
          <w:szCs w:val="20"/>
          <w:lang w:val="es-CO"/>
        </w:rPr>
        <w:t>Solórzano</w:t>
      </w:r>
      <w:r w:rsidR="00E233C9" w:rsidRPr="008D65EE">
        <w:rPr>
          <w:rFonts w:cstheme="majorHAnsi"/>
          <w:bCs/>
          <w:sz w:val="20"/>
          <w:szCs w:val="20"/>
          <w:lang w:val="es-CO"/>
        </w:rPr>
        <w:t>, para ser entregada a las autoridades de la prisión</w:t>
      </w:r>
      <w:r w:rsidR="00E233C9" w:rsidRPr="008D65EE">
        <w:rPr>
          <w:rStyle w:val="FootnoteReference"/>
          <w:rFonts w:cstheme="majorHAnsi"/>
          <w:bCs/>
          <w:sz w:val="20"/>
          <w:szCs w:val="20"/>
          <w:lang w:val="es-CO"/>
        </w:rPr>
        <w:footnoteReference w:id="24"/>
      </w:r>
      <w:r w:rsidR="00E233C9" w:rsidRPr="008D65EE">
        <w:rPr>
          <w:rFonts w:cstheme="majorHAnsi"/>
          <w:bCs/>
          <w:sz w:val="20"/>
          <w:szCs w:val="20"/>
          <w:lang w:val="es-CO"/>
        </w:rPr>
        <w:t>. Consta también en el expediente que el 17 de octubre de 2000, personal de la Embajada del Reino Unido en Caracas visitó a Sarah y entregó al Director del INOF la versión en español de los documentos que explicaban la situación de diabetes, así como el tratamiento y dieta necesarios</w:t>
      </w:r>
      <w:r w:rsidR="00E233C9" w:rsidRPr="008D65EE">
        <w:rPr>
          <w:rStyle w:val="FootnoteReference"/>
          <w:rFonts w:cstheme="majorHAnsi"/>
          <w:bCs/>
          <w:sz w:val="20"/>
          <w:szCs w:val="20"/>
          <w:lang w:val="es-CO"/>
        </w:rPr>
        <w:footnoteReference w:id="25"/>
      </w:r>
      <w:r w:rsidR="00E233C9" w:rsidRPr="008D65EE">
        <w:rPr>
          <w:rFonts w:cstheme="majorHAnsi"/>
          <w:bCs/>
          <w:sz w:val="20"/>
          <w:szCs w:val="20"/>
          <w:lang w:val="es-CO"/>
        </w:rPr>
        <w:t>.</w:t>
      </w:r>
    </w:p>
    <w:p w14:paraId="5D4B3B7F" w14:textId="5E426B31" w:rsidR="00E233C9" w:rsidRPr="008D65EE" w:rsidRDefault="00E233C9" w:rsidP="00EE4B9B">
      <w:pPr>
        <w:pStyle w:val="ListParagraph"/>
        <w:ind w:left="567"/>
        <w:jc w:val="both"/>
        <w:rPr>
          <w:rFonts w:cstheme="majorHAnsi"/>
          <w:bCs/>
          <w:sz w:val="20"/>
          <w:szCs w:val="20"/>
          <w:lang w:val="es-CO"/>
        </w:rPr>
      </w:pPr>
      <w:r w:rsidRPr="008D65EE">
        <w:rPr>
          <w:rFonts w:cstheme="majorHAnsi"/>
          <w:bCs/>
          <w:sz w:val="20"/>
          <w:szCs w:val="20"/>
          <w:lang w:val="es-CO"/>
        </w:rPr>
        <w:t xml:space="preserve"> </w:t>
      </w:r>
    </w:p>
    <w:p w14:paraId="04EAE46A" w14:textId="1829499F" w:rsidR="009A42B2" w:rsidRPr="008D65EE" w:rsidRDefault="00E233C9" w:rsidP="01AF1628">
      <w:pPr>
        <w:pStyle w:val="ListParagraph"/>
        <w:numPr>
          <w:ilvl w:val="0"/>
          <w:numId w:val="51"/>
        </w:numPr>
        <w:ind w:left="0" w:firstLine="567"/>
        <w:jc w:val="both"/>
        <w:rPr>
          <w:rFonts w:cstheme="majorBidi"/>
          <w:sz w:val="20"/>
          <w:szCs w:val="20"/>
          <w:lang w:val="es-CO"/>
        </w:rPr>
      </w:pPr>
      <w:r w:rsidRPr="008D65EE">
        <w:rPr>
          <w:rFonts w:cstheme="majorBidi"/>
          <w:sz w:val="20"/>
          <w:szCs w:val="20"/>
          <w:lang w:val="es-CO"/>
        </w:rPr>
        <w:t>Terry Langton también había advertido a las autoridades sobre episodios de problemas psicológicos de su hija</w:t>
      </w:r>
      <w:r w:rsidRPr="008D65EE">
        <w:rPr>
          <w:rStyle w:val="FootnoteReference"/>
          <w:rFonts w:cstheme="majorBidi"/>
          <w:sz w:val="20"/>
          <w:szCs w:val="20"/>
          <w:lang w:val="es-CO"/>
        </w:rPr>
        <w:footnoteReference w:id="26"/>
      </w:r>
      <w:r w:rsidRPr="008D65EE">
        <w:rPr>
          <w:rFonts w:cstheme="majorBidi"/>
          <w:sz w:val="20"/>
          <w:szCs w:val="20"/>
          <w:lang w:val="es-CO"/>
        </w:rPr>
        <w:t xml:space="preserve">. </w:t>
      </w:r>
      <w:r w:rsidR="00B9532D" w:rsidRPr="008D65EE">
        <w:rPr>
          <w:rFonts w:cstheme="majorBidi"/>
          <w:sz w:val="20"/>
          <w:szCs w:val="20"/>
          <w:lang w:val="es-CO"/>
        </w:rPr>
        <w:t>Se desprende del expediente que Jalismar Canozo, miembro del Consulado británico en Venezuela, visitó a Sarah en el INOF el 5 de septiembre del 2000</w:t>
      </w:r>
      <w:r w:rsidR="00643323" w:rsidRPr="008D65EE">
        <w:rPr>
          <w:rFonts w:cstheme="majorBidi"/>
          <w:sz w:val="20"/>
          <w:szCs w:val="20"/>
          <w:lang w:val="es-CO"/>
        </w:rPr>
        <w:t xml:space="preserve"> y afirmó posteriormente a los padres de Sarah que las autoridades de la prisión mantenían sus medicinas (insulina y diazepan) y se las entregaban cuando ella lo solicitaba</w:t>
      </w:r>
      <w:r w:rsidR="00EE4B9B" w:rsidRPr="008D65EE">
        <w:rPr>
          <w:rStyle w:val="FootnoteReference"/>
          <w:rFonts w:cstheme="majorBidi"/>
          <w:sz w:val="20"/>
          <w:szCs w:val="20"/>
          <w:lang w:val="es-CO"/>
        </w:rPr>
        <w:footnoteReference w:id="27"/>
      </w:r>
      <w:r w:rsidR="00643323" w:rsidRPr="008D65EE">
        <w:rPr>
          <w:rFonts w:cstheme="majorBidi"/>
          <w:sz w:val="20"/>
          <w:szCs w:val="20"/>
          <w:lang w:val="es-CO"/>
        </w:rPr>
        <w:t xml:space="preserve">. Asimismo, afirmó que </w:t>
      </w:r>
      <w:r w:rsidR="00CD7891" w:rsidRPr="008D65EE">
        <w:rPr>
          <w:rFonts w:cstheme="majorBidi"/>
          <w:sz w:val="20"/>
          <w:szCs w:val="20"/>
          <w:lang w:val="es-CO"/>
        </w:rPr>
        <w:t>había</w:t>
      </w:r>
      <w:r w:rsidR="00643323" w:rsidRPr="008D65EE">
        <w:rPr>
          <w:rFonts w:cstheme="majorBidi"/>
          <w:sz w:val="20"/>
          <w:szCs w:val="20"/>
          <w:lang w:val="es-CO"/>
        </w:rPr>
        <w:t xml:space="preserve"> solicitado a las autoridades de la prisión si Sarah pudiese ser evaluada por un psiquiatra ya que </w:t>
      </w:r>
      <w:r w:rsidR="00CD7891" w:rsidRPr="008D65EE">
        <w:rPr>
          <w:rFonts w:cstheme="majorBidi"/>
          <w:sz w:val="20"/>
          <w:szCs w:val="20"/>
          <w:lang w:val="es-CO"/>
        </w:rPr>
        <w:t>había</w:t>
      </w:r>
      <w:r w:rsidR="00643323" w:rsidRPr="008D65EE">
        <w:rPr>
          <w:rFonts w:cstheme="majorBidi"/>
          <w:sz w:val="20"/>
          <w:szCs w:val="20"/>
          <w:lang w:val="es-CO"/>
        </w:rPr>
        <w:t xml:space="preserve"> intentado cometer suicidio en dos oportunidades unos años antes</w:t>
      </w:r>
      <w:r w:rsidR="00643323" w:rsidRPr="008D65EE">
        <w:rPr>
          <w:rStyle w:val="FootnoteReference"/>
          <w:rFonts w:cstheme="majorBidi"/>
          <w:sz w:val="20"/>
          <w:szCs w:val="20"/>
          <w:lang w:val="es-CO"/>
        </w:rPr>
        <w:footnoteReference w:id="28"/>
      </w:r>
      <w:r w:rsidR="00643323" w:rsidRPr="008D65EE">
        <w:rPr>
          <w:rFonts w:cstheme="majorBidi"/>
          <w:sz w:val="20"/>
          <w:szCs w:val="20"/>
          <w:lang w:val="es-CO"/>
        </w:rPr>
        <w:t xml:space="preserve">. </w:t>
      </w:r>
      <w:r w:rsidR="00B9532D" w:rsidRPr="008D65EE">
        <w:rPr>
          <w:rFonts w:cstheme="majorBidi"/>
          <w:sz w:val="20"/>
          <w:szCs w:val="20"/>
          <w:lang w:val="es-CO"/>
        </w:rPr>
        <w:t xml:space="preserve"> </w:t>
      </w:r>
    </w:p>
    <w:p w14:paraId="02FA1AED" w14:textId="77777777" w:rsidR="00127C99" w:rsidRPr="008D65EE" w:rsidRDefault="00127C99" w:rsidP="00127C99">
      <w:pPr>
        <w:jc w:val="both"/>
        <w:rPr>
          <w:rFonts w:cstheme="majorHAnsi"/>
          <w:bCs/>
          <w:sz w:val="20"/>
          <w:szCs w:val="20"/>
          <w:lang w:val="es-CO"/>
        </w:rPr>
      </w:pPr>
    </w:p>
    <w:p w14:paraId="03DB309B" w14:textId="3F432189" w:rsidR="009A42B2" w:rsidRPr="008D65EE" w:rsidRDefault="00E233C9" w:rsidP="009A42B2">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 xml:space="preserve">No existe en el expediente prueba de que se le hayan prestado a Sarah servicios de salud psicológica. </w:t>
      </w:r>
    </w:p>
    <w:p w14:paraId="7E2259C2" w14:textId="77777777" w:rsidR="002A6B05" w:rsidRPr="008D65EE" w:rsidRDefault="002A6B05" w:rsidP="002A6B05">
      <w:pPr>
        <w:jc w:val="both"/>
        <w:rPr>
          <w:rFonts w:ascii="Cambria" w:hAnsi="Cambria"/>
          <w:sz w:val="20"/>
          <w:szCs w:val="20"/>
          <w:lang w:val="es-CO"/>
        </w:rPr>
      </w:pPr>
    </w:p>
    <w:p w14:paraId="06DA70D3" w14:textId="3F322B30" w:rsidR="002A6B05" w:rsidRPr="008D65EE" w:rsidRDefault="006C19F3" w:rsidP="00550322">
      <w:pPr>
        <w:pStyle w:val="Heading2"/>
        <w:numPr>
          <w:ilvl w:val="0"/>
          <w:numId w:val="54"/>
        </w:numPr>
        <w:rPr>
          <w:rFonts w:ascii="Cambria" w:hAnsi="Cambria"/>
          <w:i w:val="0"/>
          <w:iCs w:val="0"/>
          <w:sz w:val="20"/>
          <w:szCs w:val="20"/>
          <w:lang w:val="es-CO"/>
        </w:rPr>
      </w:pPr>
      <w:bookmarkStart w:id="21" w:name="_Toc217309318"/>
      <w:r w:rsidRPr="008D65EE">
        <w:rPr>
          <w:rFonts w:ascii="Cambria" w:hAnsi="Cambria"/>
          <w:i w:val="0"/>
          <w:iCs w:val="0"/>
          <w:sz w:val="20"/>
          <w:szCs w:val="20"/>
          <w:lang w:val="es-CO"/>
        </w:rPr>
        <w:t>La muerte de Sarah Lyn Langton en el Instituto Médico de San Bernardino en la ciudad de Caracas</w:t>
      </w:r>
      <w:bookmarkEnd w:id="21"/>
    </w:p>
    <w:p w14:paraId="0527002F" w14:textId="77777777" w:rsidR="002A6B05" w:rsidRPr="008D65EE" w:rsidRDefault="002A6B05" w:rsidP="002A6B05">
      <w:pPr>
        <w:rPr>
          <w:rFonts w:ascii="Cambria" w:hAnsi="Cambria"/>
          <w:i/>
          <w:iCs/>
          <w:sz w:val="20"/>
          <w:szCs w:val="20"/>
          <w:lang w:val="es-CO"/>
        </w:rPr>
      </w:pPr>
    </w:p>
    <w:p w14:paraId="7003CF94" w14:textId="2A6A61D4" w:rsidR="00012E36" w:rsidRPr="008D65EE" w:rsidRDefault="00012E36" w:rsidP="00012E36">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El 6 de marzo de 2001 Sarah fue trasladada desde el INOF hasta el hospital Victorino Santaella de Los Teques, por funcionarios del Cuerpo de Bomberos ya que presentaba baja de azúcar y no había personal médico de guardia en el servicio</w:t>
      </w:r>
      <w:r w:rsidR="00FD16CE" w:rsidRPr="008D65EE">
        <w:rPr>
          <w:rStyle w:val="FootnoteReference"/>
          <w:rFonts w:cstheme="majorHAnsi"/>
          <w:bCs/>
          <w:sz w:val="20"/>
          <w:szCs w:val="20"/>
          <w:lang w:val="es-CO"/>
        </w:rPr>
        <w:footnoteReference w:id="29"/>
      </w:r>
      <w:r w:rsidR="00FD16CE" w:rsidRPr="008D65EE">
        <w:rPr>
          <w:rFonts w:cstheme="majorHAnsi"/>
          <w:bCs/>
          <w:sz w:val="20"/>
          <w:szCs w:val="20"/>
          <w:lang w:val="es-CO"/>
        </w:rPr>
        <w:t xml:space="preserve">. </w:t>
      </w:r>
      <w:r w:rsidRPr="008D65EE">
        <w:rPr>
          <w:rFonts w:cstheme="majorHAnsi"/>
          <w:bCs/>
          <w:sz w:val="20"/>
          <w:szCs w:val="20"/>
          <w:lang w:val="es-CO"/>
        </w:rPr>
        <w:t>Fue dada de alta aproximadamente a las 09:00pm del mismo día, sin diagnóstico formal</w:t>
      </w:r>
      <w:r w:rsidRPr="008D65EE">
        <w:rPr>
          <w:rStyle w:val="FootnoteReference"/>
          <w:rFonts w:cstheme="majorHAnsi"/>
          <w:bCs/>
          <w:sz w:val="20"/>
          <w:szCs w:val="20"/>
          <w:lang w:val="es-CO"/>
        </w:rPr>
        <w:footnoteReference w:id="30"/>
      </w:r>
      <w:r w:rsidRPr="008D65EE">
        <w:rPr>
          <w:rFonts w:cstheme="majorHAnsi"/>
          <w:bCs/>
          <w:sz w:val="20"/>
          <w:szCs w:val="20"/>
          <w:lang w:val="es-CO"/>
        </w:rPr>
        <w:t xml:space="preserve">. </w:t>
      </w:r>
    </w:p>
    <w:p w14:paraId="204A8E46" w14:textId="77777777" w:rsidR="00605CFA" w:rsidRPr="008D65EE" w:rsidRDefault="00605CFA" w:rsidP="00A4436D">
      <w:pPr>
        <w:jc w:val="both"/>
        <w:rPr>
          <w:rFonts w:ascii="Cambria" w:hAnsi="Cambria"/>
          <w:sz w:val="20"/>
          <w:szCs w:val="20"/>
          <w:lang w:val="es-CO"/>
        </w:rPr>
      </w:pPr>
    </w:p>
    <w:p w14:paraId="35FFA17A" w14:textId="4DD2DD68" w:rsidR="005A2E8A" w:rsidRPr="008D65EE" w:rsidRDefault="009A42B2" w:rsidP="00A4436D">
      <w:pPr>
        <w:pStyle w:val="ListParagraph"/>
        <w:numPr>
          <w:ilvl w:val="0"/>
          <w:numId w:val="51"/>
        </w:numPr>
        <w:ind w:left="0" w:firstLine="567"/>
        <w:jc w:val="both"/>
        <w:rPr>
          <w:sz w:val="20"/>
          <w:szCs w:val="20"/>
          <w:lang w:val="es-CO"/>
        </w:rPr>
      </w:pPr>
      <w:r w:rsidRPr="008D65EE">
        <w:rPr>
          <w:sz w:val="20"/>
          <w:szCs w:val="20"/>
          <w:lang w:val="es-CO"/>
        </w:rPr>
        <w:t>El 7 de marzo de 2001</w:t>
      </w:r>
      <w:r w:rsidR="00F564F0" w:rsidRPr="008D65EE">
        <w:rPr>
          <w:sz w:val="20"/>
          <w:szCs w:val="20"/>
          <w:lang w:val="es-CO"/>
        </w:rPr>
        <w:t>, Sarah presentaba problemas de salud</w:t>
      </w:r>
      <w:r w:rsidR="007C39A6" w:rsidRPr="008D65EE">
        <w:rPr>
          <w:rStyle w:val="FootnoteReference"/>
          <w:sz w:val="20"/>
          <w:szCs w:val="20"/>
          <w:lang w:val="es-CO"/>
        </w:rPr>
        <w:footnoteReference w:id="31"/>
      </w:r>
      <w:r w:rsidR="00F564F0" w:rsidRPr="008D65EE">
        <w:rPr>
          <w:sz w:val="20"/>
          <w:szCs w:val="20"/>
          <w:lang w:val="es-CO"/>
        </w:rPr>
        <w:t>. Una de</w:t>
      </w:r>
      <w:r w:rsidR="005A2E8A" w:rsidRPr="008D65EE">
        <w:rPr>
          <w:sz w:val="20"/>
          <w:szCs w:val="20"/>
          <w:lang w:val="es-CO"/>
        </w:rPr>
        <w:t xml:space="preserve"> sus compañeras declaró que Sarah se encontraba durmiendo normalmente hasta las 3:40 pero estaba inquieta por lo cual ellas intentaron despertarla, presentaba también sudoración</w:t>
      </w:r>
      <w:r w:rsidR="00EE4B9B" w:rsidRPr="008D65EE">
        <w:rPr>
          <w:sz w:val="20"/>
          <w:szCs w:val="20"/>
          <w:lang w:val="es-CO"/>
        </w:rPr>
        <w:t xml:space="preserve"> por lo cual</w:t>
      </w:r>
      <w:r w:rsidR="005A2E8A" w:rsidRPr="008D65EE">
        <w:rPr>
          <w:sz w:val="20"/>
          <w:szCs w:val="20"/>
          <w:lang w:val="es-CO"/>
        </w:rPr>
        <w:t xml:space="preserve"> la sentaron para bañarla con una tela mojada</w:t>
      </w:r>
      <w:r w:rsidR="005A2E8A" w:rsidRPr="008D65EE">
        <w:rPr>
          <w:rStyle w:val="FootnoteReference"/>
          <w:sz w:val="20"/>
          <w:szCs w:val="20"/>
          <w:lang w:val="es-CO"/>
        </w:rPr>
        <w:footnoteReference w:id="32"/>
      </w:r>
      <w:r w:rsidR="005A2E8A" w:rsidRPr="008D65EE">
        <w:rPr>
          <w:sz w:val="20"/>
          <w:szCs w:val="20"/>
          <w:lang w:val="es-CO"/>
        </w:rPr>
        <w:t xml:space="preserve">. En ese momento Sarah comenzó a botar espuma por la boca y presentaba vómitos blancos y </w:t>
      </w:r>
      <w:r w:rsidR="005A2E8A" w:rsidRPr="008D65EE">
        <w:rPr>
          <w:sz w:val="20"/>
          <w:szCs w:val="20"/>
          <w:lang w:val="es-CO"/>
        </w:rPr>
        <w:lastRenderedPageBreak/>
        <w:t>espumosos</w:t>
      </w:r>
      <w:r w:rsidR="005A2E8A" w:rsidRPr="008D65EE">
        <w:rPr>
          <w:rStyle w:val="FootnoteReference"/>
          <w:sz w:val="20"/>
          <w:szCs w:val="20"/>
          <w:lang w:val="es-CO"/>
        </w:rPr>
        <w:footnoteReference w:id="33"/>
      </w:r>
      <w:r w:rsidR="005A2E8A" w:rsidRPr="008D65EE">
        <w:rPr>
          <w:sz w:val="20"/>
          <w:szCs w:val="20"/>
          <w:lang w:val="es-CO"/>
        </w:rPr>
        <w:t>. Las otras reclusas trataron de darle un sorbo de agua para que se limpiara la boca y ella parecía relajarse y calmarse un poco</w:t>
      </w:r>
      <w:r w:rsidR="005A2E8A" w:rsidRPr="008D65EE">
        <w:rPr>
          <w:rStyle w:val="FootnoteReference"/>
          <w:sz w:val="20"/>
          <w:szCs w:val="20"/>
          <w:lang w:val="es-CO"/>
        </w:rPr>
        <w:footnoteReference w:id="34"/>
      </w:r>
      <w:r w:rsidR="005A2E8A" w:rsidRPr="008D65EE">
        <w:rPr>
          <w:sz w:val="20"/>
          <w:szCs w:val="20"/>
          <w:lang w:val="es-CO"/>
        </w:rPr>
        <w:t>.</w:t>
      </w:r>
      <w:r w:rsidR="00F564F0" w:rsidRPr="008D65EE">
        <w:rPr>
          <w:sz w:val="20"/>
          <w:szCs w:val="20"/>
          <w:lang w:val="es-CO"/>
        </w:rPr>
        <w:t xml:space="preserve"> </w:t>
      </w:r>
      <w:r w:rsidR="005A2E8A" w:rsidRPr="008D65EE">
        <w:rPr>
          <w:sz w:val="20"/>
          <w:szCs w:val="20"/>
          <w:lang w:val="es-CO"/>
        </w:rPr>
        <w:t>Una de las</w:t>
      </w:r>
      <w:r w:rsidR="00F564F0" w:rsidRPr="008D65EE">
        <w:rPr>
          <w:sz w:val="20"/>
          <w:szCs w:val="20"/>
          <w:lang w:val="es-CO"/>
        </w:rPr>
        <w:t xml:space="preserve"> reclusas le avisó a la vigilante que Sarah estaba mal y que necesitaba su insulina</w:t>
      </w:r>
      <w:r w:rsidR="007C39A6" w:rsidRPr="008D65EE">
        <w:rPr>
          <w:rStyle w:val="FootnoteReference"/>
          <w:sz w:val="20"/>
          <w:szCs w:val="20"/>
          <w:lang w:val="es-CO"/>
        </w:rPr>
        <w:footnoteReference w:id="35"/>
      </w:r>
      <w:r w:rsidR="00EF16F1" w:rsidRPr="008D65EE">
        <w:rPr>
          <w:sz w:val="20"/>
          <w:szCs w:val="20"/>
          <w:lang w:val="es-CO"/>
        </w:rPr>
        <w:t xml:space="preserve">. </w:t>
      </w:r>
      <w:r w:rsidR="005A2E8A" w:rsidRPr="008D65EE">
        <w:rPr>
          <w:sz w:val="20"/>
          <w:szCs w:val="20"/>
          <w:lang w:val="es-CO"/>
        </w:rPr>
        <w:t>Sarah se desmayó y quedó inconsciente</w:t>
      </w:r>
      <w:r w:rsidR="005A2E8A" w:rsidRPr="008D65EE">
        <w:rPr>
          <w:rStyle w:val="FootnoteReference"/>
          <w:sz w:val="20"/>
          <w:szCs w:val="20"/>
          <w:lang w:val="es-CO"/>
        </w:rPr>
        <w:footnoteReference w:id="36"/>
      </w:r>
      <w:r w:rsidR="005A2E8A" w:rsidRPr="008D65EE">
        <w:rPr>
          <w:sz w:val="20"/>
          <w:szCs w:val="20"/>
          <w:lang w:val="es-CO"/>
        </w:rPr>
        <w:t>.</w:t>
      </w:r>
    </w:p>
    <w:p w14:paraId="2AE29785" w14:textId="77777777" w:rsidR="005A2E8A" w:rsidRPr="008D65EE" w:rsidRDefault="005A2E8A" w:rsidP="005A2E8A">
      <w:pPr>
        <w:pStyle w:val="ListParagraph"/>
        <w:rPr>
          <w:sz w:val="20"/>
          <w:szCs w:val="20"/>
          <w:lang w:val="es-CO"/>
        </w:rPr>
      </w:pPr>
    </w:p>
    <w:p w14:paraId="16169C68" w14:textId="720940C8" w:rsidR="006526C8" w:rsidRPr="008D65EE" w:rsidRDefault="00EF16F1" w:rsidP="00A4436D">
      <w:pPr>
        <w:pStyle w:val="ListParagraph"/>
        <w:numPr>
          <w:ilvl w:val="0"/>
          <w:numId w:val="51"/>
        </w:numPr>
        <w:ind w:left="0" w:firstLine="567"/>
        <w:jc w:val="both"/>
        <w:rPr>
          <w:sz w:val="20"/>
          <w:szCs w:val="20"/>
          <w:lang w:val="es-CO"/>
        </w:rPr>
      </w:pPr>
      <w:r w:rsidRPr="008D65EE">
        <w:rPr>
          <w:sz w:val="20"/>
          <w:szCs w:val="20"/>
          <w:lang w:val="es-CO"/>
        </w:rPr>
        <w:t xml:space="preserve">La </w:t>
      </w:r>
      <w:r w:rsidR="005A2E8A" w:rsidRPr="008D65EE">
        <w:rPr>
          <w:sz w:val="20"/>
          <w:szCs w:val="20"/>
          <w:lang w:val="es-CO"/>
        </w:rPr>
        <w:t>vigilante</w:t>
      </w:r>
      <w:r w:rsidRPr="008D65EE">
        <w:rPr>
          <w:sz w:val="20"/>
          <w:szCs w:val="20"/>
          <w:lang w:val="es-CO"/>
        </w:rPr>
        <w:t xml:space="preserve"> procedió a llamar a los bomberos, quienes</w:t>
      </w:r>
      <w:r w:rsidR="005A3412" w:rsidRPr="008D65EE">
        <w:rPr>
          <w:sz w:val="20"/>
          <w:szCs w:val="20"/>
          <w:lang w:val="es-CO"/>
        </w:rPr>
        <w:t>, de acuerdo a las declaraciones de una de las prisioneras</w:t>
      </w:r>
      <w:r w:rsidR="005A2E8A" w:rsidRPr="008D65EE">
        <w:rPr>
          <w:rStyle w:val="FootnoteReference"/>
          <w:sz w:val="20"/>
          <w:szCs w:val="20"/>
          <w:lang w:val="es-CO"/>
        </w:rPr>
        <w:footnoteReference w:id="37"/>
      </w:r>
      <w:r w:rsidR="00EE4B9B" w:rsidRPr="008D65EE">
        <w:rPr>
          <w:sz w:val="20"/>
          <w:szCs w:val="20"/>
          <w:lang w:val="es-CO"/>
        </w:rPr>
        <w:t xml:space="preserve">, </w:t>
      </w:r>
      <w:r w:rsidRPr="008D65EE">
        <w:rPr>
          <w:sz w:val="20"/>
          <w:szCs w:val="20"/>
          <w:lang w:val="es-CO"/>
        </w:rPr>
        <w:t>se negaron a bajarla y exigieron que fuesen las otras prisioneras quienes debían bajarla</w:t>
      </w:r>
      <w:r w:rsidR="007C39A6" w:rsidRPr="008D65EE">
        <w:rPr>
          <w:rStyle w:val="FootnoteReference"/>
          <w:sz w:val="20"/>
          <w:szCs w:val="20"/>
          <w:lang w:val="es-CO"/>
        </w:rPr>
        <w:footnoteReference w:id="38"/>
      </w:r>
      <w:r w:rsidRPr="008D65EE">
        <w:rPr>
          <w:sz w:val="20"/>
          <w:szCs w:val="20"/>
          <w:lang w:val="es-CO"/>
        </w:rPr>
        <w:t xml:space="preserve">. </w:t>
      </w:r>
      <w:r w:rsidR="00D647F5" w:rsidRPr="008D65EE">
        <w:rPr>
          <w:sz w:val="20"/>
          <w:szCs w:val="20"/>
          <w:lang w:val="es-CO"/>
        </w:rPr>
        <w:t xml:space="preserve">Sarah </w:t>
      </w:r>
      <w:r w:rsidR="00A4436D" w:rsidRPr="008D65EE">
        <w:rPr>
          <w:sz w:val="20"/>
          <w:szCs w:val="20"/>
          <w:lang w:val="es-CO"/>
        </w:rPr>
        <w:t xml:space="preserve">fue trasladada </w:t>
      </w:r>
      <w:r w:rsidR="00F564F0" w:rsidRPr="008D65EE">
        <w:rPr>
          <w:sz w:val="20"/>
          <w:szCs w:val="20"/>
          <w:lang w:val="es-CO"/>
        </w:rPr>
        <w:t xml:space="preserve">por una </w:t>
      </w:r>
      <w:r w:rsidR="009A42B2" w:rsidRPr="008D65EE">
        <w:rPr>
          <w:sz w:val="20"/>
          <w:szCs w:val="20"/>
          <w:lang w:val="es-CO"/>
        </w:rPr>
        <w:t>ambulancia del Cuerpo de Bomberos</w:t>
      </w:r>
      <w:r w:rsidR="00F564F0" w:rsidRPr="008D65EE">
        <w:rPr>
          <w:sz w:val="20"/>
          <w:szCs w:val="20"/>
          <w:lang w:val="es-CO"/>
        </w:rPr>
        <w:t xml:space="preserve"> al Hospital General Victorino Santaella, donde ingresó a las 4:55</w:t>
      </w:r>
      <w:r w:rsidR="00127C99" w:rsidRPr="008D65EE">
        <w:rPr>
          <w:sz w:val="20"/>
          <w:szCs w:val="20"/>
          <w:lang w:val="es-CO"/>
        </w:rPr>
        <w:t xml:space="preserve"> </w:t>
      </w:r>
      <w:r w:rsidR="00F564F0" w:rsidRPr="008D65EE">
        <w:rPr>
          <w:sz w:val="20"/>
          <w:szCs w:val="20"/>
          <w:lang w:val="es-CO"/>
        </w:rPr>
        <w:t xml:space="preserve">pm al área de emergencia en </w:t>
      </w:r>
      <w:r w:rsidR="000E1C22" w:rsidRPr="008D65EE">
        <w:rPr>
          <w:sz w:val="20"/>
          <w:szCs w:val="20"/>
          <w:lang w:val="es-CO"/>
        </w:rPr>
        <w:t>“</w:t>
      </w:r>
      <w:r w:rsidR="00F564F0" w:rsidRPr="008D65EE">
        <w:rPr>
          <w:sz w:val="20"/>
          <w:szCs w:val="20"/>
          <w:lang w:val="es-CO"/>
        </w:rPr>
        <w:t xml:space="preserve">condiciones </w:t>
      </w:r>
      <w:r w:rsidR="00D647F5" w:rsidRPr="008D65EE">
        <w:rPr>
          <w:sz w:val="20"/>
          <w:szCs w:val="20"/>
          <w:lang w:val="es-CO"/>
        </w:rPr>
        <w:t>crítica</w:t>
      </w:r>
      <w:r w:rsidR="000E1C22" w:rsidRPr="008D65EE">
        <w:rPr>
          <w:sz w:val="20"/>
          <w:szCs w:val="20"/>
          <w:lang w:val="es-CO"/>
        </w:rPr>
        <w:t>s</w:t>
      </w:r>
      <w:r w:rsidR="00F564F0" w:rsidRPr="008D65EE">
        <w:rPr>
          <w:sz w:val="20"/>
          <w:szCs w:val="20"/>
          <w:lang w:val="es-CO"/>
        </w:rPr>
        <w:t>, estado semiinconsciente, sudoración profusa, frialdad cutánea, palidez acentuada, descompensada con hipoglicemia</w:t>
      </w:r>
      <w:r w:rsidR="000E1C22" w:rsidRPr="008D65EE">
        <w:rPr>
          <w:sz w:val="20"/>
          <w:szCs w:val="20"/>
          <w:lang w:val="es-CO"/>
        </w:rPr>
        <w:t>”</w:t>
      </w:r>
      <w:r w:rsidR="007C39A6" w:rsidRPr="008D65EE">
        <w:rPr>
          <w:rStyle w:val="FootnoteReference"/>
          <w:sz w:val="20"/>
          <w:szCs w:val="20"/>
          <w:lang w:val="es-CO"/>
        </w:rPr>
        <w:footnoteReference w:id="39"/>
      </w:r>
      <w:r w:rsidR="00F564F0" w:rsidRPr="008D65EE">
        <w:rPr>
          <w:sz w:val="20"/>
          <w:szCs w:val="20"/>
          <w:lang w:val="es-CO"/>
        </w:rPr>
        <w:t xml:space="preserve">. En el Hospital Sarah fue atendida </w:t>
      </w:r>
      <w:r w:rsidR="007C39A6" w:rsidRPr="008D65EE">
        <w:rPr>
          <w:sz w:val="20"/>
          <w:szCs w:val="20"/>
          <w:lang w:val="es-CO"/>
        </w:rPr>
        <w:t>po</w:t>
      </w:r>
      <w:r w:rsidR="00F564F0" w:rsidRPr="008D65EE">
        <w:rPr>
          <w:sz w:val="20"/>
          <w:szCs w:val="20"/>
          <w:lang w:val="es-CO"/>
        </w:rPr>
        <w:t>r los médicos del área de choque, quienes le suministraron solución glucosoza pero Sarah no respondió</w:t>
      </w:r>
      <w:r w:rsidR="007C39A6" w:rsidRPr="008D65EE">
        <w:rPr>
          <w:rStyle w:val="FootnoteReference"/>
          <w:sz w:val="20"/>
          <w:szCs w:val="20"/>
          <w:lang w:val="es-CO"/>
        </w:rPr>
        <w:footnoteReference w:id="40"/>
      </w:r>
      <w:r w:rsidR="00F564F0" w:rsidRPr="008D65EE">
        <w:rPr>
          <w:sz w:val="20"/>
          <w:szCs w:val="20"/>
          <w:lang w:val="es-CO"/>
        </w:rPr>
        <w:t xml:space="preserve">. </w:t>
      </w:r>
      <w:r w:rsidR="000E1C22" w:rsidRPr="008D65EE">
        <w:rPr>
          <w:sz w:val="20"/>
          <w:szCs w:val="20"/>
          <w:lang w:val="es-CO"/>
        </w:rPr>
        <w:t xml:space="preserve">Sarah fue evaluada </w:t>
      </w:r>
      <w:r w:rsidR="006526C8" w:rsidRPr="008D65EE">
        <w:rPr>
          <w:sz w:val="20"/>
          <w:szCs w:val="20"/>
          <w:lang w:val="es-CO"/>
        </w:rPr>
        <w:t>aproximadamente a las 10:00</w:t>
      </w:r>
      <w:r w:rsidR="00DF2653" w:rsidRPr="008D65EE">
        <w:rPr>
          <w:sz w:val="20"/>
          <w:szCs w:val="20"/>
          <w:lang w:val="es-CO"/>
        </w:rPr>
        <w:t xml:space="preserve"> </w:t>
      </w:r>
      <w:r w:rsidR="006526C8" w:rsidRPr="008D65EE">
        <w:rPr>
          <w:sz w:val="20"/>
          <w:szCs w:val="20"/>
          <w:lang w:val="es-CO"/>
        </w:rPr>
        <w:t xml:space="preserve">pm observándose malas condiciones generales, afebril, hidratada, inconsciente, disneica y neurología Glasgow de 3 puntos por lo cual se planteó una probable descerebración y se ordenó, entre otras cosas, un control permanente de glicemia, </w:t>
      </w:r>
      <w:r w:rsidR="00CD7891" w:rsidRPr="008D65EE">
        <w:rPr>
          <w:sz w:val="20"/>
          <w:szCs w:val="20"/>
          <w:lang w:val="es-CO"/>
        </w:rPr>
        <w:t>electrolitos</w:t>
      </w:r>
      <w:r w:rsidR="006526C8" w:rsidRPr="008D65EE">
        <w:rPr>
          <w:sz w:val="20"/>
          <w:szCs w:val="20"/>
          <w:lang w:val="es-CO"/>
        </w:rPr>
        <w:t>, PH, gases y tac de cráneo</w:t>
      </w:r>
      <w:r w:rsidR="006526C8" w:rsidRPr="008D65EE">
        <w:rPr>
          <w:rStyle w:val="FootnoteReference"/>
          <w:rFonts w:cstheme="majorHAnsi"/>
          <w:bCs/>
          <w:sz w:val="20"/>
          <w:szCs w:val="20"/>
          <w:lang w:val="es-CO"/>
        </w:rPr>
        <w:footnoteReference w:id="41"/>
      </w:r>
      <w:r w:rsidR="006526C8" w:rsidRPr="008D65EE">
        <w:rPr>
          <w:sz w:val="20"/>
          <w:szCs w:val="20"/>
          <w:lang w:val="es-CO"/>
        </w:rPr>
        <w:t xml:space="preserve">. </w:t>
      </w:r>
      <w:r w:rsidR="00F564F0" w:rsidRPr="008D65EE">
        <w:rPr>
          <w:sz w:val="20"/>
          <w:szCs w:val="20"/>
          <w:lang w:val="es-CO"/>
        </w:rPr>
        <w:t>Ante el deterioro de la presunta víctima los médicos ordenaron su traslado al área de terapia intensiva pero ésta se encontraba ocupada</w:t>
      </w:r>
      <w:r w:rsidR="007C39A6" w:rsidRPr="008D65EE">
        <w:rPr>
          <w:rStyle w:val="FootnoteReference"/>
          <w:sz w:val="20"/>
          <w:szCs w:val="20"/>
          <w:lang w:val="es-CO"/>
        </w:rPr>
        <w:footnoteReference w:id="42"/>
      </w:r>
      <w:r w:rsidR="00F564F0" w:rsidRPr="008D65EE">
        <w:rPr>
          <w:sz w:val="20"/>
          <w:szCs w:val="20"/>
          <w:lang w:val="es-CO"/>
        </w:rPr>
        <w:t>. Debido a esta situación, el abogado defensor de Sarah, Pastor Solórzano, comenzó a gestionar el traslado a un centro privado, el cual fue autorizado a las 5:45 de la mañana</w:t>
      </w:r>
      <w:r w:rsidR="007C39A6" w:rsidRPr="008D65EE">
        <w:rPr>
          <w:rStyle w:val="FootnoteReference"/>
          <w:sz w:val="20"/>
          <w:szCs w:val="20"/>
          <w:lang w:val="es-CO"/>
        </w:rPr>
        <w:footnoteReference w:id="43"/>
      </w:r>
      <w:r w:rsidR="00F564F0" w:rsidRPr="008D65EE">
        <w:rPr>
          <w:sz w:val="20"/>
          <w:szCs w:val="20"/>
          <w:lang w:val="es-CO"/>
        </w:rPr>
        <w:t xml:space="preserve">. </w:t>
      </w:r>
    </w:p>
    <w:p w14:paraId="62447D69" w14:textId="77777777" w:rsidR="00EE4B9B" w:rsidRPr="008D65EE" w:rsidRDefault="00EE4B9B" w:rsidP="00EE4B9B">
      <w:pPr>
        <w:pStyle w:val="ListParagraph"/>
        <w:ind w:left="567"/>
        <w:jc w:val="both"/>
        <w:rPr>
          <w:sz w:val="20"/>
          <w:szCs w:val="20"/>
          <w:lang w:val="es-CO"/>
        </w:rPr>
      </w:pPr>
    </w:p>
    <w:p w14:paraId="1B4630DC" w14:textId="494D2DCB" w:rsidR="009A42B2" w:rsidRPr="008D65EE" w:rsidRDefault="006526C8" w:rsidP="00A4436D">
      <w:pPr>
        <w:pStyle w:val="ListParagraph"/>
        <w:numPr>
          <w:ilvl w:val="0"/>
          <w:numId w:val="51"/>
        </w:numPr>
        <w:ind w:left="0" w:firstLine="567"/>
        <w:jc w:val="both"/>
        <w:rPr>
          <w:sz w:val="20"/>
          <w:szCs w:val="20"/>
          <w:lang w:val="es-CO"/>
        </w:rPr>
      </w:pPr>
      <w:r w:rsidRPr="008D65EE">
        <w:rPr>
          <w:sz w:val="20"/>
          <w:szCs w:val="20"/>
          <w:lang w:val="es-CO"/>
        </w:rPr>
        <w:t>Al llegar al Instituto de Diagnóstico de San Bernardino, dicho centro médico solicitó una garantía para la admisión de Sarah por la cantidad de 10.000 dólares americanos para poder ingresarla</w:t>
      </w:r>
      <w:r w:rsidRPr="008D65EE">
        <w:rPr>
          <w:rStyle w:val="FootnoteReference"/>
          <w:sz w:val="20"/>
          <w:szCs w:val="20"/>
          <w:lang w:val="es-CO"/>
        </w:rPr>
        <w:footnoteReference w:id="44"/>
      </w:r>
      <w:r w:rsidR="00962B35" w:rsidRPr="008D65EE">
        <w:rPr>
          <w:sz w:val="20"/>
          <w:szCs w:val="20"/>
          <w:lang w:val="es-CO"/>
        </w:rPr>
        <w:t>.</w:t>
      </w:r>
      <w:r w:rsidRPr="008D65EE">
        <w:rPr>
          <w:sz w:val="20"/>
          <w:szCs w:val="20"/>
          <w:lang w:val="es-CO"/>
        </w:rPr>
        <w:t xml:space="preserve"> </w:t>
      </w:r>
      <w:r w:rsidR="00962B35" w:rsidRPr="008D65EE">
        <w:rPr>
          <w:sz w:val="20"/>
          <w:szCs w:val="20"/>
          <w:lang w:val="es-CO"/>
        </w:rPr>
        <w:t>Durante algunas horas, Sarah se mantuvo en la sala de admisiones conectada al respirador de la ambulancia hasta que su padre pudo asegurar los fondos para que la ingresaran</w:t>
      </w:r>
      <w:r w:rsidR="00EE4B9B" w:rsidRPr="008D65EE">
        <w:rPr>
          <w:rStyle w:val="FootnoteReference"/>
          <w:sz w:val="20"/>
          <w:szCs w:val="20"/>
          <w:lang w:val="es-CO"/>
        </w:rPr>
        <w:footnoteReference w:id="45"/>
      </w:r>
      <w:r w:rsidR="00962B35" w:rsidRPr="008D65EE">
        <w:rPr>
          <w:sz w:val="20"/>
          <w:szCs w:val="20"/>
          <w:lang w:val="es-CO"/>
        </w:rPr>
        <w:t xml:space="preserve">. </w:t>
      </w:r>
      <w:r w:rsidR="00F564F0" w:rsidRPr="008D65EE">
        <w:rPr>
          <w:sz w:val="20"/>
          <w:szCs w:val="20"/>
          <w:lang w:val="es-CO"/>
        </w:rPr>
        <w:t xml:space="preserve">La presunta víctima ingresó al Instituto de Diagnóstico de San Bernardino </w:t>
      </w:r>
      <w:r w:rsidR="00A57D22" w:rsidRPr="008D65EE">
        <w:rPr>
          <w:sz w:val="20"/>
          <w:szCs w:val="20"/>
          <w:lang w:val="es-CO"/>
        </w:rPr>
        <w:t>en la mañana d</w:t>
      </w:r>
      <w:r w:rsidR="00962B35" w:rsidRPr="008D65EE">
        <w:rPr>
          <w:sz w:val="20"/>
          <w:szCs w:val="20"/>
          <w:lang w:val="es-CO"/>
        </w:rPr>
        <w:t xml:space="preserve">el 8 de marzo de 2001 </w:t>
      </w:r>
      <w:r w:rsidR="00F564F0" w:rsidRPr="008D65EE">
        <w:rPr>
          <w:sz w:val="20"/>
          <w:szCs w:val="20"/>
          <w:lang w:val="es-CO"/>
        </w:rPr>
        <w:t>con coma diabético</w:t>
      </w:r>
      <w:r w:rsidR="007C39A6" w:rsidRPr="008D65EE">
        <w:rPr>
          <w:rStyle w:val="FootnoteReference"/>
          <w:sz w:val="20"/>
          <w:szCs w:val="20"/>
          <w:lang w:val="es-CO"/>
        </w:rPr>
        <w:footnoteReference w:id="46"/>
      </w:r>
      <w:r w:rsidR="007C39A6" w:rsidRPr="008D65EE">
        <w:rPr>
          <w:sz w:val="20"/>
          <w:szCs w:val="20"/>
          <w:lang w:val="es-CO"/>
        </w:rPr>
        <w:t>.</w:t>
      </w:r>
      <w:r w:rsidR="00F564F0" w:rsidRPr="008D65EE">
        <w:rPr>
          <w:sz w:val="20"/>
          <w:szCs w:val="20"/>
          <w:lang w:val="es-CO"/>
        </w:rPr>
        <w:t xml:space="preserve"> </w:t>
      </w:r>
    </w:p>
    <w:p w14:paraId="30E2A21C" w14:textId="77777777" w:rsidR="00EE4B9B" w:rsidRPr="008D65EE" w:rsidRDefault="00EE4B9B" w:rsidP="00EE4B9B">
      <w:pPr>
        <w:jc w:val="both"/>
        <w:rPr>
          <w:rFonts w:ascii="Cambria" w:hAnsi="Cambria"/>
          <w:sz w:val="20"/>
          <w:szCs w:val="20"/>
          <w:lang w:val="es-CO"/>
        </w:rPr>
      </w:pPr>
    </w:p>
    <w:p w14:paraId="76960B4D" w14:textId="55EA3F05" w:rsidR="009A42B2" w:rsidRPr="008D65EE" w:rsidRDefault="00A57D22" w:rsidP="00A57D22">
      <w:pPr>
        <w:pStyle w:val="ListParagraph"/>
        <w:numPr>
          <w:ilvl w:val="0"/>
          <w:numId w:val="51"/>
        </w:numPr>
        <w:ind w:left="0" w:firstLine="567"/>
        <w:jc w:val="both"/>
        <w:rPr>
          <w:sz w:val="20"/>
          <w:szCs w:val="20"/>
          <w:lang w:val="es-CO"/>
        </w:rPr>
      </w:pPr>
      <w:r w:rsidRPr="008D65EE">
        <w:rPr>
          <w:sz w:val="20"/>
          <w:szCs w:val="20"/>
          <w:lang w:val="es-CO"/>
        </w:rPr>
        <w:t xml:space="preserve">El 10 de marzo de 2001, el doctor José David Crespo realizó un informe médico sobre el estado de salud de la paciente determinando que presentaba encefalopatía </w:t>
      </w:r>
      <w:r w:rsidR="00CD7891" w:rsidRPr="008D65EE">
        <w:rPr>
          <w:sz w:val="20"/>
          <w:szCs w:val="20"/>
          <w:lang w:val="es-CO"/>
        </w:rPr>
        <w:t>metabólica</w:t>
      </w:r>
      <w:r w:rsidRPr="008D65EE">
        <w:rPr>
          <w:sz w:val="20"/>
          <w:szCs w:val="20"/>
          <w:lang w:val="es-CO"/>
        </w:rPr>
        <w:t xml:space="preserve"> secundaria a hipoglicemia, insuficiencia respiratoria aguda secundaria a broncoaspiración y diabetes mellitas tipo I</w:t>
      </w:r>
      <w:r w:rsidRPr="008D65EE">
        <w:rPr>
          <w:rStyle w:val="FootnoteReference"/>
          <w:rFonts w:cstheme="majorHAnsi"/>
          <w:bCs/>
          <w:sz w:val="20"/>
          <w:szCs w:val="20"/>
          <w:lang w:val="es-CO"/>
        </w:rPr>
        <w:footnoteReference w:id="47"/>
      </w:r>
      <w:r w:rsidRPr="008D65EE">
        <w:rPr>
          <w:sz w:val="20"/>
          <w:szCs w:val="20"/>
          <w:lang w:val="es-CO"/>
        </w:rPr>
        <w:t xml:space="preserve">. </w:t>
      </w:r>
    </w:p>
    <w:p w14:paraId="16809370" w14:textId="77777777" w:rsidR="00EE4B9B" w:rsidRPr="008D65EE" w:rsidRDefault="00EE4B9B" w:rsidP="00EE4B9B">
      <w:pPr>
        <w:jc w:val="both"/>
        <w:rPr>
          <w:rFonts w:ascii="Cambria" w:hAnsi="Cambria"/>
          <w:sz w:val="20"/>
          <w:szCs w:val="20"/>
          <w:lang w:val="es-CO"/>
        </w:rPr>
      </w:pPr>
    </w:p>
    <w:p w14:paraId="110E3177" w14:textId="4EFCF074" w:rsidR="00EE4B9B" w:rsidRPr="008D65EE" w:rsidRDefault="009A42B2" w:rsidP="00EE4B9B">
      <w:pPr>
        <w:pStyle w:val="ListParagraph"/>
        <w:numPr>
          <w:ilvl w:val="0"/>
          <w:numId w:val="51"/>
        </w:numPr>
        <w:ind w:left="0" w:firstLine="567"/>
        <w:jc w:val="both"/>
        <w:rPr>
          <w:sz w:val="20"/>
          <w:szCs w:val="20"/>
          <w:lang w:val="es-CO"/>
        </w:rPr>
      </w:pPr>
      <w:r w:rsidRPr="008D65EE">
        <w:rPr>
          <w:sz w:val="20"/>
          <w:szCs w:val="20"/>
          <w:lang w:val="es-CO"/>
        </w:rPr>
        <w:t xml:space="preserve">Sarah murió </w:t>
      </w:r>
      <w:r w:rsidR="00A57D22" w:rsidRPr="008D65EE">
        <w:rPr>
          <w:sz w:val="20"/>
          <w:szCs w:val="20"/>
          <w:lang w:val="es-CO"/>
        </w:rPr>
        <w:t xml:space="preserve">en la noche del </w:t>
      </w:r>
      <w:r w:rsidRPr="008D65EE">
        <w:rPr>
          <w:sz w:val="20"/>
          <w:szCs w:val="20"/>
          <w:lang w:val="es-CO"/>
        </w:rPr>
        <w:t>13 de marzo de 2001</w:t>
      </w:r>
      <w:r w:rsidR="00A57D22" w:rsidRPr="008D65EE">
        <w:rPr>
          <w:sz w:val="20"/>
          <w:szCs w:val="20"/>
          <w:lang w:val="es-CO"/>
        </w:rPr>
        <w:t xml:space="preserve"> en el Instituto de Diagnóstico de San Bernardino </w:t>
      </w:r>
      <w:r w:rsidRPr="008D65EE">
        <w:rPr>
          <w:sz w:val="20"/>
          <w:szCs w:val="20"/>
          <w:lang w:val="es-CO"/>
        </w:rPr>
        <w:t xml:space="preserve">a los 25 </w:t>
      </w:r>
      <w:r w:rsidR="00CD7891" w:rsidRPr="008D65EE">
        <w:rPr>
          <w:sz w:val="20"/>
          <w:szCs w:val="20"/>
          <w:lang w:val="es-CO"/>
        </w:rPr>
        <w:t>años</w:t>
      </w:r>
      <w:r w:rsidR="00A57D22" w:rsidRPr="008D65EE">
        <w:rPr>
          <w:rStyle w:val="FootnoteReference"/>
          <w:rFonts w:cstheme="majorHAnsi"/>
          <w:bCs/>
          <w:sz w:val="20"/>
          <w:szCs w:val="20"/>
          <w:lang w:val="es-CO"/>
        </w:rPr>
        <w:footnoteReference w:id="48"/>
      </w:r>
      <w:r w:rsidRPr="008D65EE">
        <w:rPr>
          <w:sz w:val="20"/>
          <w:szCs w:val="20"/>
          <w:lang w:val="es-CO"/>
        </w:rPr>
        <w:t xml:space="preserve">. De acuerdo a la </w:t>
      </w:r>
      <w:r w:rsidR="00473895" w:rsidRPr="008D65EE">
        <w:rPr>
          <w:sz w:val="20"/>
          <w:szCs w:val="20"/>
          <w:lang w:val="es-CO"/>
        </w:rPr>
        <w:t xml:space="preserve">autopsia realizada por la división general de medicina legal del cuerpo técnico de policía judicial, </w:t>
      </w:r>
      <w:r w:rsidRPr="008D65EE">
        <w:rPr>
          <w:sz w:val="20"/>
          <w:szCs w:val="20"/>
          <w:lang w:val="es-CO"/>
        </w:rPr>
        <w:t>la causa de su muerte fue encefalopatía anóxica y diabetes melitos tipo I</w:t>
      </w:r>
      <w:r w:rsidR="00473895" w:rsidRPr="008D65EE">
        <w:rPr>
          <w:rStyle w:val="FootnoteReference"/>
          <w:sz w:val="20"/>
          <w:szCs w:val="20"/>
          <w:lang w:val="es-CO"/>
        </w:rPr>
        <w:footnoteReference w:id="49"/>
      </w:r>
      <w:r w:rsidR="00EE4B9B" w:rsidRPr="008D65EE">
        <w:rPr>
          <w:sz w:val="20"/>
          <w:szCs w:val="20"/>
          <w:lang w:val="es-CO"/>
        </w:rPr>
        <w:t>.</w:t>
      </w:r>
      <w:r w:rsidRPr="008D65EE">
        <w:rPr>
          <w:sz w:val="20"/>
          <w:szCs w:val="20"/>
          <w:lang w:val="es-CO"/>
        </w:rPr>
        <w:t xml:space="preserve"> </w:t>
      </w:r>
    </w:p>
    <w:p w14:paraId="455612A3" w14:textId="77777777" w:rsidR="00EE4B9B" w:rsidRPr="008D65EE" w:rsidRDefault="00EE4B9B" w:rsidP="00EE4B9B">
      <w:pPr>
        <w:jc w:val="both"/>
        <w:rPr>
          <w:rFonts w:ascii="Cambria" w:hAnsi="Cambria"/>
          <w:sz w:val="20"/>
          <w:szCs w:val="20"/>
          <w:lang w:val="es-CO"/>
        </w:rPr>
      </w:pPr>
    </w:p>
    <w:p w14:paraId="2F72A8FE" w14:textId="27ABF37F" w:rsidR="009A42B2" w:rsidRPr="008D65EE" w:rsidRDefault="009A42B2" w:rsidP="00EE4B9B">
      <w:pPr>
        <w:pStyle w:val="ListParagraph"/>
        <w:numPr>
          <w:ilvl w:val="0"/>
          <w:numId w:val="51"/>
        </w:numPr>
        <w:ind w:left="0" w:firstLine="567"/>
        <w:jc w:val="both"/>
        <w:rPr>
          <w:sz w:val="20"/>
          <w:szCs w:val="20"/>
          <w:lang w:val="es-CO"/>
        </w:rPr>
      </w:pPr>
      <w:r w:rsidRPr="008D65EE">
        <w:rPr>
          <w:sz w:val="20"/>
          <w:szCs w:val="20"/>
          <w:lang w:val="es-CO"/>
        </w:rPr>
        <w:t xml:space="preserve">Los padres de Sarah </w:t>
      </w:r>
      <w:r w:rsidR="00473895" w:rsidRPr="008D65EE">
        <w:rPr>
          <w:sz w:val="20"/>
          <w:szCs w:val="20"/>
          <w:lang w:val="es-CO"/>
        </w:rPr>
        <w:t>habían viajado desde el Reino Unido a Venezuela cuando Sarah se encontraba en el Instituto en San Bernardino</w:t>
      </w:r>
      <w:r w:rsidR="00716ECF" w:rsidRPr="008D65EE">
        <w:rPr>
          <w:rStyle w:val="FootnoteReference"/>
          <w:sz w:val="20"/>
          <w:szCs w:val="20"/>
          <w:lang w:val="es-CO"/>
        </w:rPr>
        <w:footnoteReference w:id="50"/>
      </w:r>
      <w:r w:rsidR="00473895" w:rsidRPr="008D65EE">
        <w:rPr>
          <w:sz w:val="20"/>
          <w:szCs w:val="20"/>
          <w:lang w:val="es-CO"/>
        </w:rPr>
        <w:t xml:space="preserve">, sin embargo no pudieron comunicarse con ella en ningún </w:t>
      </w:r>
      <w:r w:rsidR="00473895" w:rsidRPr="008D65EE">
        <w:rPr>
          <w:sz w:val="20"/>
          <w:szCs w:val="20"/>
          <w:lang w:val="es-CO"/>
        </w:rPr>
        <w:lastRenderedPageBreak/>
        <w:t xml:space="preserve">momento dado que </w:t>
      </w:r>
      <w:r w:rsidR="00EE4B9B" w:rsidRPr="008D65EE">
        <w:rPr>
          <w:sz w:val="20"/>
          <w:szCs w:val="20"/>
          <w:lang w:val="es-CO"/>
        </w:rPr>
        <w:t>Sarah nunca recobró el conocimiento luego de ser ingresada en el Instituto Médico de San Bernardino</w:t>
      </w:r>
      <w:r w:rsidR="00716ECF" w:rsidRPr="008D65EE">
        <w:rPr>
          <w:rStyle w:val="FootnoteReference"/>
          <w:sz w:val="20"/>
          <w:szCs w:val="20"/>
          <w:lang w:val="es-CO"/>
        </w:rPr>
        <w:footnoteReference w:id="51"/>
      </w:r>
      <w:r w:rsidRPr="008D65EE">
        <w:rPr>
          <w:sz w:val="20"/>
          <w:szCs w:val="20"/>
          <w:lang w:val="es-CO"/>
        </w:rPr>
        <w:t>.</w:t>
      </w:r>
    </w:p>
    <w:p w14:paraId="15E95841" w14:textId="77777777" w:rsidR="00EE4B9B" w:rsidRPr="008D65EE" w:rsidRDefault="00EE4B9B" w:rsidP="00EE4B9B">
      <w:pPr>
        <w:pStyle w:val="ListParagraph"/>
        <w:rPr>
          <w:sz w:val="20"/>
          <w:szCs w:val="20"/>
          <w:lang w:val="es-CO"/>
        </w:rPr>
      </w:pPr>
    </w:p>
    <w:p w14:paraId="0AA9247C" w14:textId="501427BD" w:rsidR="00EE4B9B" w:rsidRPr="008D65EE" w:rsidRDefault="00EE4B9B" w:rsidP="00EE4B9B">
      <w:pPr>
        <w:pStyle w:val="ListParagraph"/>
        <w:numPr>
          <w:ilvl w:val="0"/>
          <w:numId w:val="51"/>
        </w:numPr>
        <w:ind w:left="0" w:firstLine="567"/>
        <w:jc w:val="both"/>
        <w:rPr>
          <w:sz w:val="20"/>
          <w:szCs w:val="20"/>
          <w:lang w:val="es-CO"/>
        </w:rPr>
      </w:pPr>
      <w:r w:rsidRPr="008D65EE">
        <w:rPr>
          <w:sz w:val="20"/>
          <w:szCs w:val="20"/>
          <w:lang w:val="es-CO"/>
        </w:rPr>
        <w:t>Se observa en el expediente del caso, que luego de la muerte de Sarah las autoridades venezolanas realizaron en septiembre del 2001 el pago de 12.301,35 libras esterlinas a los padres de Sarah por concepto de los gastos médicos sufragados y la repatriación del cuerpo</w:t>
      </w:r>
      <w:r w:rsidRPr="008D65EE">
        <w:rPr>
          <w:rStyle w:val="FootnoteReference"/>
          <w:sz w:val="20"/>
          <w:szCs w:val="20"/>
          <w:lang w:val="es-CO"/>
        </w:rPr>
        <w:footnoteReference w:id="52"/>
      </w:r>
      <w:r w:rsidRPr="008D65EE">
        <w:rPr>
          <w:sz w:val="20"/>
          <w:szCs w:val="20"/>
          <w:lang w:val="es-CO"/>
        </w:rPr>
        <w:t>.</w:t>
      </w:r>
    </w:p>
    <w:p w14:paraId="0E3916F3" w14:textId="77777777" w:rsidR="00193F03" w:rsidRPr="008D65EE" w:rsidRDefault="00193F03" w:rsidP="00193F03">
      <w:pPr>
        <w:pStyle w:val="ListParagraph"/>
        <w:ind w:left="567"/>
        <w:jc w:val="both"/>
        <w:rPr>
          <w:sz w:val="20"/>
          <w:szCs w:val="20"/>
          <w:lang w:val="es-CO"/>
        </w:rPr>
      </w:pPr>
    </w:p>
    <w:p w14:paraId="4754FBCB" w14:textId="05B6A60B" w:rsidR="00473895" w:rsidRPr="008D65EE" w:rsidRDefault="00473895" w:rsidP="00550322">
      <w:pPr>
        <w:pStyle w:val="ListParagraph"/>
        <w:numPr>
          <w:ilvl w:val="0"/>
          <w:numId w:val="54"/>
        </w:numPr>
        <w:jc w:val="both"/>
        <w:rPr>
          <w:b/>
          <w:bCs/>
          <w:sz w:val="20"/>
          <w:szCs w:val="20"/>
          <w:lang w:val="es-CO"/>
        </w:rPr>
      </w:pPr>
      <w:r w:rsidRPr="008D65EE">
        <w:rPr>
          <w:b/>
          <w:bCs/>
          <w:sz w:val="20"/>
          <w:szCs w:val="20"/>
          <w:lang w:val="es-CO"/>
        </w:rPr>
        <w:t xml:space="preserve">Situación del servicio médico del INOF el 6 y 7 de marzo de 2001 </w:t>
      </w:r>
    </w:p>
    <w:p w14:paraId="4B0CB482" w14:textId="77777777" w:rsidR="00473895" w:rsidRPr="008D65EE" w:rsidRDefault="00473895" w:rsidP="00473895">
      <w:pPr>
        <w:pStyle w:val="ListParagraph"/>
        <w:ind w:left="1440"/>
        <w:jc w:val="both"/>
        <w:rPr>
          <w:b/>
          <w:bCs/>
          <w:sz w:val="20"/>
          <w:szCs w:val="20"/>
          <w:lang w:val="es-CO"/>
        </w:rPr>
      </w:pPr>
    </w:p>
    <w:p w14:paraId="4BCA76F9" w14:textId="3E2A2639" w:rsidR="00473895" w:rsidRPr="008D65EE" w:rsidRDefault="00473895" w:rsidP="01AF1628">
      <w:pPr>
        <w:pStyle w:val="ListParagraph"/>
        <w:numPr>
          <w:ilvl w:val="0"/>
          <w:numId w:val="51"/>
        </w:numPr>
        <w:ind w:left="0" w:firstLine="567"/>
        <w:jc w:val="both"/>
        <w:rPr>
          <w:sz w:val="20"/>
          <w:szCs w:val="20"/>
          <w:lang w:val="es-CO"/>
        </w:rPr>
      </w:pPr>
      <w:r w:rsidRPr="008D65EE">
        <w:rPr>
          <w:sz w:val="20"/>
          <w:szCs w:val="20"/>
          <w:lang w:val="es-CO"/>
        </w:rPr>
        <w:t>Sarah requería de vigilancia permanente debido a su condición médica</w:t>
      </w:r>
      <w:r w:rsidRPr="008D65EE">
        <w:rPr>
          <w:rStyle w:val="FootnoteReference"/>
          <w:sz w:val="20"/>
          <w:szCs w:val="20"/>
          <w:lang w:val="es-CO"/>
        </w:rPr>
        <w:footnoteReference w:id="53"/>
      </w:r>
      <w:r w:rsidRPr="008D65EE">
        <w:rPr>
          <w:sz w:val="20"/>
          <w:szCs w:val="20"/>
          <w:lang w:val="es-CO"/>
        </w:rPr>
        <w:t>. Sin embargo, durante el 6 y el 7 de marzo de 2001 el INOF se encontraba sin médico de guardia para atender a las reclusas ni siquiera en casos de emergencia</w:t>
      </w:r>
      <w:r w:rsidRPr="008D65EE">
        <w:rPr>
          <w:rStyle w:val="FootnoteReference"/>
          <w:sz w:val="20"/>
          <w:szCs w:val="20"/>
          <w:lang w:val="es-CO"/>
        </w:rPr>
        <w:footnoteReference w:id="54"/>
      </w:r>
      <w:r w:rsidRPr="008D65EE">
        <w:rPr>
          <w:sz w:val="20"/>
          <w:szCs w:val="20"/>
          <w:lang w:val="es-CO"/>
        </w:rPr>
        <w:t xml:space="preserve">. Aunado a esto, de acuerdo a la historia clínica puede evidenciarse que el servicio médico del INOF no </w:t>
      </w:r>
      <w:r w:rsidR="00EE4B9B" w:rsidRPr="008D65EE">
        <w:rPr>
          <w:sz w:val="20"/>
          <w:szCs w:val="20"/>
          <w:lang w:val="es-CO"/>
        </w:rPr>
        <w:t xml:space="preserve">le </w:t>
      </w:r>
      <w:r w:rsidRPr="008D65EE">
        <w:rPr>
          <w:sz w:val="20"/>
          <w:szCs w:val="20"/>
          <w:lang w:val="es-CO"/>
        </w:rPr>
        <w:t>había realizado consulta o evaluación médica desde el 5 de enero de 2001, es decir por m</w:t>
      </w:r>
      <w:r w:rsidR="00127C99" w:rsidRPr="008D65EE">
        <w:rPr>
          <w:sz w:val="20"/>
          <w:szCs w:val="20"/>
          <w:lang w:val="es-CO"/>
        </w:rPr>
        <w:t>á</w:t>
      </w:r>
      <w:r w:rsidRPr="008D65EE">
        <w:rPr>
          <w:sz w:val="20"/>
          <w:szCs w:val="20"/>
          <w:lang w:val="es-CO"/>
        </w:rPr>
        <w:t>s de 60 días</w:t>
      </w:r>
      <w:r w:rsidR="00EE4B9B" w:rsidRPr="008D65EE">
        <w:rPr>
          <w:rStyle w:val="FootnoteReference"/>
          <w:rFonts w:cstheme="majorBidi"/>
          <w:sz w:val="20"/>
          <w:szCs w:val="20"/>
          <w:lang w:val="es-CO"/>
        </w:rPr>
        <w:footnoteReference w:id="55"/>
      </w:r>
      <w:r w:rsidRPr="008D65EE">
        <w:rPr>
          <w:sz w:val="20"/>
          <w:szCs w:val="20"/>
          <w:lang w:val="es-CO"/>
        </w:rPr>
        <w:t>. Según las autoridades venezolanas el INOF carecía de personal médico suficiente para cumplir con roles de guardia que permit</w:t>
      </w:r>
      <w:r w:rsidR="00EE4B9B" w:rsidRPr="008D65EE">
        <w:rPr>
          <w:sz w:val="20"/>
          <w:szCs w:val="20"/>
          <w:lang w:val="es-CO"/>
        </w:rPr>
        <w:t>iesen</w:t>
      </w:r>
      <w:r w:rsidRPr="008D65EE">
        <w:rPr>
          <w:sz w:val="20"/>
          <w:szCs w:val="20"/>
          <w:lang w:val="es-CO"/>
        </w:rPr>
        <w:t xml:space="preserve"> prestar el servicio las 24 horas del </w:t>
      </w:r>
      <w:r w:rsidR="00CD7891" w:rsidRPr="008D65EE">
        <w:rPr>
          <w:sz w:val="20"/>
          <w:szCs w:val="20"/>
          <w:lang w:val="es-CO"/>
        </w:rPr>
        <w:t>día</w:t>
      </w:r>
      <w:r w:rsidRPr="008D65EE">
        <w:rPr>
          <w:sz w:val="20"/>
          <w:szCs w:val="20"/>
          <w:lang w:val="es-CO"/>
        </w:rPr>
        <w:t>, especialmente, en el caso de internas con enfermedades que requieren de atención inmediata. El servicio médico para adulto “funcionaba hasta las 4:00pm de la tarde, quedando la población reclusa desasistida de un servicio de vital importancia”</w:t>
      </w:r>
      <w:r w:rsidRPr="008D65EE">
        <w:rPr>
          <w:rStyle w:val="FootnoteReference"/>
          <w:sz w:val="20"/>
          <w:szCs w:val="20"/>
          <w:lang w:val="es-CO"/>
        </w:rPr>
        <w:t xml:space="preserve"> </w:t>
      </w:r>
      <w:r w:rsidRPr="008D65EE">
        <w:rPr>
          <w:rStyle w:val="FootnoteReference"/>
          <w:sz w:val="20"/>
          <w:szCs w:val="20"/>
          <w:lang w:val="es-CO"/>
        </w:rPr>
        <w:footnoteReference w:id="56"/>
      </w:r>
      <w:r w:rsidRPr="008D65EE">
        <w:rPr>
          <w:sz w:val="20"/>
          <w:szCs w:val="20"/>
          <w:lang w:val="es-CO"/>
        </w:rPr>
        <w:t xml:space="preserve">.  </w:t>
      </w:r>
    </w:p>
    <w:p w14:paraId="4DA1E2D8" w14:textId="77777777" w:rsidR="00EE4B9B" w:rsidRPr="008D65EE" w:rsidRDefault="00EE4B9B" w:rsidP="00EE4B9B">
      <w:pPr>
        <w:pStyle w:val="ListParagraph"/>
        <w:ind w:left="567"/>
        <w:jc w:val="both"/>
        <w:rPr>
          <w:sz w:val="20"/>
          <w:szCs w:val="20"/>
          <w:lang w:val="es-CO"/>
        </w:rPr>
      </w:pPr>
    </w:p>
    <w:p w14:paraId="3142FF28" w14:textId="7E24DC84" w:rsidR="00473895" w:rsidRPr="008D65EE" w:rsidRDefault="00EE4B9B" w:rsidP="00473895">
      <w:pPr>
        <w:pStyle w:val="ListParagraph"/>
        <w:numPr>
          <w:ilvl w:val="0"/>
          <w:numId w:val="51"/>
        </w:numPr>
        <w:ind w:left="0" w:firstLine="567"/>
        <w:jc w:val="both"/>
        <w:rPr>
          <w:sz w:val="20"/>
          <w:szCs w:val="20"/>
          <w:lang w:val="es-CO"/>
        </w:rPr>
      </w:pPr>
      <w:r w:rsidRPr="008D65EE">
        <w:rPr>
          <w:sz w:val="20"/>
          <w:szCs w:val="20"/>
          <w:lang w:val="es-CO"/>
        </w:rPr>
        <w:t>Aunado a esto, e</w:t>
      </w:r>
      <w:r w:rsidR="00473895" w:rsidRPr="008D65EE">
        <w:rPr>
          <w:sz w:val="20"/>
          <w:szCs w:val="20"/>
          <w:lang w:val="es-CO"/>
        </w:rPr>
        <w:t>l 7 de marzo, la Doctora Marianella González, a cargo de la Jefatura del Servicio Médico del INOF y encargada de la guardia en el servicio de adultos en horario de 1 a 4 pm, no se encontraba en las instalaciones del centro penitenciario, ya que había viajado a la ciudad de Cartagena en Colombia para asistir a un evento para directivos de centros penales en Iberoamérica, sin haber coordinado lo necesario para que el servicio médico de adultos del INOF quedara provisto de personal médico y de los insumos necesarios para atender a la población del penal</w:t>
      </w:r>
      <w:r w:rsidR="00473895" w:rsidRPr="008D65EE">
        <w:rPr>
          <w:rStyle w:val="FootnoteReference"/>
          <w:sz w:val="20"/>
          <w:szCs w:val="20"/>
          <w:lang w:val="es-CO"/>
        </w:rPr>
        <w:footnoteReference w:id="57"/>
      </w:r>
      <w:r w:rsidR="00473895" w:rsidRPr="008D65EE">
        <w:rPr>
          <w:sz w:val="20"/>
          <w:szCs w:val="20"/>
          <w:lang w:val="es-CO"/>
        </w:rPr>
        <w:t>. Por su parte, la comisari</w:t>
      </w:r>
      <w:r w:rsidR="00EB265C" w:rsidRPr="008D65EE">
        <w:rPr>
          <w:sz w:val="20"/>
          <w:szCs w:val="20"/>
          <w:lang w:val="es-CO"/>
        </w:rPr>
        <w:t>a</w:t>
      </w:r>
      <w:r w:rsidR="00473895" w:rsidRPr="008D65EE">
        <w:rPr>
          <w:sz w:val="20"/>
          <w:szCs w:val="20"/>
          <w:lang w:val="es-CO"/>
        </w:rPr>
        <w:t xml:space="preserve"> del penal Eglee Ascanio, se encontraba también en el referido evento y había otorgado el permiso a la Doctora González sin haber coordinado y verificado que hubiese personal médico para que pudiese prestarse servicio médico durante su ausencia</w:t>
      </w:r>
      <w:r w:rsidR="00473895" w:rsidRPr="008D65EE">
        <w:rPr>
          <w:rStyle w:val="FootnoteReference"/>
          <w:sz w:val="20"/>
          <w:szCs w:val="20"/>
          <w:lang w:val="es-CO"/>
        </w:rPr>
        <w:footnoteReference w:id="58"/>
      </w:r>
      <w:r w:rsidR="00473895" w:rsidRPr="008D65EE">
        <w:rPr>
          <w:sz w:val="20"/>
          <w:szCs w:val="20"/>
          <w:lang w:val="es-CO"/>
        </w:rPr>
        <w:t xml:space="preserve">. </w:t>
      </w:r>
    </w:p>
    <w:p w14:paraId="152859DE" w14:textId="77777777" w:rsidR="00EE4B9B" w:rsidRPr="008D65EE" w:rsidRDefault="00EE4B9B" w:rsidP="00EE4B9B">
      <w:pPr>
        <w:jc w:val="both"/>
        <w:rPr>
          <w:rFonts w:ascii="Cambria" w:hAnsi="Cambria"/>
          <w:sz w:val="20"/>
          <w:szCs w:val="20"/>
          <w:lang w:val="es-CO"/>
        </w:rPr>
      </w:pPr>
    </w:p>
    <w:p w14:paraId="44522B02" w14:textId="521D7532" w:rsidR="002A6B05" w:rsidRPr="008D65EE" w:rsidRDefault="00473895" w:rsidP="01AF1628">
      <w:pPr>
        <w:pStyle w:val="ListParagraph"/>
        <w:numPr>
          <w:ilvl w:val="0"/>
          <w:numId w:val="51"/>
        </w:numPr>
        <w:ind w:left="0" w:firstLine="567"/>
        <w:jc w:val="both"/>
        <w:rPr>
          <w:sz w:val="20"/>
          <w:szCs w:val="20"/>
          <w:lang w:val="es-CO"/>
        </w:rPr>
      </w:pPr>
      <w:r w:rsidRPr="008D65EE">
        <w:rPr>
          <w:sz w:val="20"/>
          <w:szCs w:val="20"/>
          <w:lang w:val="es-CO"/>
        </w:rPr>
        <w:t>El día de los hechos del caso, los doctores Luís Eduardo Mota Acosta y Migdalia Coromoto Galavis Carvajal quienes tenían a su cargo el área pediátrica del penal, se encontraban en el INOF y fueron notificados sobre una reclusa desmayada</w:t>
      </w:r>
      <w:r w:rsidRPr="008D65EE">
        <w:rPr>
          <w:rStyle w:val="FootnoteReference"/>
          <w:sz w:val="20"/>
          <w:szCs w:val="20"/>
          <w:lang w:val="es-CO"/>
        </w:rPr>
        <w:footnoteReference w:id="59"/>
      </w:r>
      <w:r w:rsidRPr="008D65EE">
        <w:rPr>
          <w:sz w:val="20"/>
          <w:szCs w:val="20"/>
          <w:lang w:val="es-CO"/>
        </w:rPr>
        <w:t xml:space="preserve">. Sin embargo, no prestaron asistencia médica alegando que no podría ingresar al </w:t>
      </w:r>
      <w:r w:rsidR="00B50F83" w:rsidRPr="008D65EE">
        <w:rPr>
          <w:sz w:val="20"/>
          <w:szCs w:val="20"/>
          <w:lang w:val="es-CO"/>
        </w:rPr>
        <w:t>área</w:t>
      </w:r>
      <w:r w:rsidRPr="008D65EE">
        <w:rPr>
          <w:sz w:val="20"/>
          <w:szCs w:val="20"/>
          <w:lang w:val="es-CO"/>
        </w:rPr>
        <w:t xml:space="preserve"> de adultos</w:t>
      </w:r>
      <w:r w:rsidRPr="008D65EE">
        <w:rPr>
          <w:rStyle w:val="FootnoteReference"/>
          <w:sz w:val="20"/>
          <w:szCs w:val="20"/>
          <w:lang w:val="es-CO"/>
        </w:rPr>
        <w:footnoteReference w:id="60"/>
      </w:r>
      <w:r w:rsidRPr="008D65EE">
        <w:rPr>
          <w:sz w:val="20"/>
          <w:szCs w:val="20"/>
          <w:lang w:val="es-CO"/>
        </w:rPr>
        <w:t xml:space="preserve">.  </w:t>
      </w:r>
    </w:p>
    <w:p w14:paraId="6DF26562" w14:textId="77777777" w:rsidR="002829C1" w:rsidRPr="008D65EE" w:rsidRDefault="002829C1" w:rsidP="002829C1">
      <w:pPr>
        <w:pStyle w:val="ListParagraph"/>
        <w:ind w:left="567"/>
        <w:jc w:val="both"/>
        <w:rPr>
          <w:sz w:val="20"/>
          <w:szCs w:val="20"/>
          <w:lang w:val="es-CO"/>
        </w:rPr>
      </w:pPr>
    </w:p>
    <w:p w14:paraId="0700901A" w14:textId="396953AD" w:rsidR="002A6B05" w:rsidRPr="008D65EE" w:rsidRDefault="006C19F3" w:rsidP="00550322">
      <w:pPr>
        <w:pStyle w:val="Heading2"/>
        <w:numPr>
          <w:ilvl w:val="0"/>
          <w:numId w:val="54"/>
        </w:numPr>
        <w:rPr>
          <w:rFonts w:ascii="Cambria" w:hAnsi="Cambria"/>
          <w:i w:val="0"/>
          <w:iCs w:val="0"/>
          <w:sz w:val="20"/>
          <w:szCs w:val="20"/>
          <w:lang w:val="es-CO"/>
        </w:rPr>
      </w:pPr>
      <w:bookmarkStart w:id="22" w:name="_Toc217309319"/>
      <w:r w:rsidRPr="008D65EE">
        <w:rPr>
          <w:rFonts w:ascii="Cambria" w:hAnsi="Cambria"/>
          <w:i w:val="0"/>
          <w:iCs w:val="0"/>
          <w:sz w:val="20"/>
          <w:szCs w:val="20"/>
          <w:lang w:val="es-CO"/>
        </w:rPr>
        <w:t>Investigación de los hechos del caso y p</w:t>
      </w:r>
      <w:r w:rsidR="002A6B05" w:rsidRPr="008D65EE">
        <w:rPr>
          <w:rFonts w:ascii="Cambria" w:hAnsi="Cambria"/>
          <w:i w:val="0"/>
          <w:iCs w:val="0"/>
          <w:sz w:val="20"/>
          <w:szCs w:val="20"/>
          <w:lang w:val="es-CO"/>
        </w:rPr>
        <w:t>roces</w:t>
      </w:r>
      <w:r w:rsidRPr="008D65EE">
        <w:rPr>
          <w:rFonts w:ascii="Cambria" w:hAnsi="Cambria"/>
          <w:i w:val="0"/>
          <w:iCs w:val="0"/>
          <w:sz w:val="20"/>
          <w:szCs w:val="20"/>
          <w:lang w:val="es-CO"/>
        </w:rPr>
        <w:t>o judicial interno</w:t>
      </w:r>
      <w:bookmarkEnd w:id="22"/>
      <w:r w:rsidRPr="008D65EE">
        <w:rPr>
          <w:rFonts w:ascii="Cambria" w:hAnsi="Cambria"/>
          <w:i w:val="0"/>
          <w:iCs w:val="0"/>
          <w:sz w:val="20"/>
          <w:szCs w:val="20"/>
          <w:lang w:val="es-CO"/>
        </w:rPr>
        <w:t xml:space="preserve"> </w:t>
      </w:r>
    </w:p>
    <w:p w14:paraId="3BA4D9A3" w14:textId="77777777" w:rsidR="002A6B05" w:rsidRPr="008D65EE" w:rsidRDefault="002A6B05" w:rsidP="002A6B05">
      <w:pPr>
        <w:jc w:val="both"/>
        <w:rPr>
          <w:rFonts w:ascii="Cambria" w:hAnsi="Cambria"/>
          <w:b/>
          <w:color w:val="FF0000"/>
          <w:sz w:val="20"/>
          <w:szCs w:val="20"/>
          <w:lang w:val="es-CO"/>
        </w:rPr>
      </w:pPr>
    </w:p>
    <w:p w14:paraId="2B18188F" w14:textId="67D46484" w:rsidR="009A42B2" w:rsidRPr="008D65EE" w:rsidRDefault="002A6B05" w:rsidP="009A42B2">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 xml:space="preserve">Del expediente se desprende que </w:t>
      </w:r>
      <w:r w:rsidR="00193F03" w:rsidRPr="008D65EE">
        <w:rPr>
          <w:rFonts w:cstheme="majorHAnsi"/>
          <w:bCs/>
          <w:sz w:val="20"/>
          <w:szCs w:val="20"/>
          <w:lang w:val="es-CO"/>
        </w:rPr>
        <w:t xml:space="preserve">tanto la embajada del Reino Unido en Venezuela como los padres de Sarah solicitaron a las autoridades venezolanas realizar una investigación debida de los </w:t>
      </w:r>
      <w:r w:rsidR="00BA67B6" w:rsidRPr="008D65EE">
        <w:rPr>
          <w:rFonts w:cstheme="majorHAnsi"/>
          <w:bCs/>
          <w:sz w:val="20"/>
          <w:szCs w:val="20"/>
          <w:lang w:val="es-CO"/>
        </w:rPr>
        <w:t>hechos,</w:t>
      </w:r>
      <w:r w:rsidR="00716ECF" w:rsidRPr="008D65EE">
        <w:rPr>
          <w:rFonts w:cstheme="majorHAnsi"/>
          <w:bCs/>
          <w:sz w:val="20"/>
          <w:szCs w:val="20"/>
          <w:lang w:val="es-CO"/>
        </w:rPr>
        <w:t xml:space="preserve"> así como información sobre el progreso de la investigación y el proceso judicial</w:t>
      </w:r>
      <w:r w:rsidR="00193F03" w:rsidRPr="008D65EE">
        <w:rPr>
          <w:rStyle w:val="FootnoteReference"/>
          <w:rFonts w:cstheme="majorHAnsi"/>
          <w:bCs/>
          <w:sz w:val="20"/>
          <w:szCs w:val="20"/>
          <w:lang w:val="es-CO"/>
        </w:rPr>
        <w:footnoteReference w:id="61"/>
      </w:r>
      <w:r w:rsidR="00193F03" w:rsidRPr="008D65EE">
        <w:rPr>
          <w:rFonts w:cstheme="majorHAnsi"/>
          <w:bCs/>
          <w:sz w:val="20"/>
          <w:szCs w:val="20"/>
          <w:lang w:val="es-CO"/>
        </w:rPr>
        <w:t xml:space="preserve">. </w:t>
      </w:r>
    </w:p>
    <w:p w14:paraId="70145C4A" w14:textId="77777777" w:rsidR="001E54BC" w:rsidRPr="008D65EE" w:rsidRDefault="001E54BC" w:rsidP="001E54BC">
      <w:pPr>
        <w:pStyle w:val="ListParagraph"/>
        <w:ind w:left="567"/>
        <w:jc w:val="both"/>
        <w:rPr>
          <w:rFonts w:cstheme="majorHAnsi"/>
          <w:bCs/>
          <w:sz w:val="20"/>
          <w:szCs w:val="20"/>
          <w:lang w:val="es-CO"/>
        </w:rPr>
      </w:pPr>
    </w:p>
    <w:p w14:paraId="307F079F" w14:textId="463571DD" w:rsidR="001E54BC" w:rsidRPr="008D65EE" w:rsidRDefault="003122C3" w:rsidP="009A42B2">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L</w:t>
      </w:r>
      <w:r w:rsidR="009A42B2" w:rsidRPr="008D65EE">
        <w:rPr>
          <w:rFonts w:cstheme="majorHAnsi"/>
          <w:bCs/>
          <w:sz w:val="20"/>
          <w:szCs w:val="20"/>
          <w:lang w:val="es-CO"/>
        </w:rPr>
        <w:t xml:space="preserve">a Dirección General de Custodia y Rehabilitación del Recluso dirigió </w:t>
      </w:r>
      <w:r w:rsidRPr="008D65EE">
        <w:rPr>
          <w:rFonts w:cstheme="majorHAnsi"/>
          <w:bCs/>
          <w:sz w:val="20"/>
          <w:szCs w:val="20"/>
          <w:lang w:val="es-CO"/>
        </w:rPr>
        <w:t xml:space="preserve">una nota informativa </w:t>
      </w:r>
      <w:r w:rsidR="009A42B2" w:rsidRPr="008D65EE">
        <w:rPr>
          <w:rFonts w:cstheme="majorHAnsi"/>
          <w:bCs/>
          <w:sz w:val="20"/>
          <w:szCs w:val="20"/>
          <w:lang w:val="es-CO"/>
        </w:rPr>
        <w:t>al Vice-Ministro de Seguridad Ciudadana</w:t>
      </w:r>
      <w:r w:rsidRPr="008D65EE">
        <w:rPr>
          <w:rFonts w:cstheme="majorHAnsi"/>
          <w:bCs/>
          <w:sz w:val="20"/>
          <w:szCs w:val="20"/>
          <w:lang w:val="es-CO"/>
        </w:rPr>
        <w:t xml:space="preserve"> el 11 de marzo de 2001</w:t>
      </w:r>
      <w:r w:rsidR="009A42B2" w:rsidRPr="008D65EE">
        <w:rPr>
          <w:rFonts w:cstheme="majorHAnsi"/>
          <w:bCs/>
          <w:sz w:val="20"/>
          <w:szCs w:val="20"/>
          <w:lang w:val="es-CO"/>
        </w:rPr>
        <w:t>,</w:t>
      </w:r>
      <w:r w:rsidRPr="008D65EE">
        <w:rPr>
          <w:rFonts w:cstheme="majorHAnsi"/>
          <w:bCs/>
          <w:sz w:val="20"/>
          <w:szCs w:val="20"/>
          <w:lang w:val="es-CO"/>
        </w:rPr>
        <w:t xml:space="preserve"> en la cual expuso los hechos principales ocurridos </w:t>
      </w:r>
      <w:r w:rsidR="009A42B2" w:rsidRPr="008D65EE">
        <w:rPr>
          <w:rFonts w:cstheme="majorHAnsi"/>
          <w:bCs/>
          <w:sz w:val="20"/>
          <w:szCs w:val="20"/>
          <w:lang w:val="es-CO"/>
        </w:rPr>
        <w:t>de</w:t>
      </w:r>
      <w:r w:rsidRPr="008D65EE">
        <w:rPr>
          <w:rFonts w:cstheme="majorHAnsi"/>
          <w:bCs/>
          <w:sz w:val="20"/>
          <w:szCs w:val="20"/>
          <w:lang w:val="es-CO"/>
        </w:rPr>
        <w:t>sde el</w:t>
      </w:r>
      <w:r w:rsidR="009A42B2" w:rsidRPr="008D65EE">
        <w:rPr>
          <w:rFonts w:cstheme="majorHAnsi"/>
          <w:bCs/>
          <w:sz w:val="20"/>
          <w:szCs w:val="20"/>
          <w:lang w:val="es-CO"/>
        </w:rPr>
        <w:t xml:space="preserve"> 6 al 9 de marzo</w:t>
      </w:r>
      <w:r w:rsidR="00EE4B9B" w:rsidRPr="008D65EE">
        <w:rPr>
          <w:rFonts w:cstheme="majorHAnsi"/>
          <w:bCs/>
          <w:sz w:val="20"/>
          <w:szCs w:val="20"/>
          <w:lang w:val="es-CO"/>
        </w:rPr>
        <w:t>,</w:t>
      </w:r>
      <w:r w:rsidRPr="008D65EE">
        <w:rPr>
          <w:rFonts w:cstheme="majorHAnsi"/>
          <w:bCs/>
          <w:sz w:val="20"/>
          <w:szCs w:val="20"/>
          <w:lang w:val="es-CO"/>
        </w:rPr>
        <w:t xml:space="preserve"> afirmando que </w:t>
      </w:r>
      <w:r w:rsidR="009A42B2" w:rsidRPr="008D65EE">
        <w:rPr>
          <w:rFonts w:cstheme="majorHAnsi"/>
          <w:bCs/>
          <w:sz w:val="20"/>
          <w:szCs w:val="20"/>
          <w:lang w:val="es-CO"/>
        </w:rPr>
        <w:t xml:space="preserve">“la Dirección de Fiscalización e Investigación del Sistema </w:t>
      </w:r>
      <w:r w:rsidR="009A42B2" w:rsidRPr="008D65EE">
        <w:rPr>
          <w:rFonts w:cstheme="majorHAnsi"/>
          <w:bCs/>
          <w:sz w:val="20"/>
          <w:szCs w:val="20"/>
          <w:lang w:val="es-CO"/>
        </w:rPr>
        <w:lastRenderedPageBreak/>
        <w:t>Penitenciario, aperturó averiguación a los fines de verificar las causas que originaron el estado clínico que presenta la interna S</w:t>
      </w:r>
      <w:r w:rsidRPr="008D65EE">
        <w:rPr>
          <w:rFonts w:cstheme="majorHAnsi"/>
          <w:bCs/>
          <w:sz w:val="20"/>
          <w:szCs w:val="20"/>
          <w:lang w:val="es-CO"/>
        </w:rPr>
        <w:t>arah</w:t>
      </w:r>
      <w:r w:rsidR="009A42B2" w:rsidRPr="008D65EE">
        <w:rPr>
          <w:rFonts w:cstheme="majorHAnsi"/>
          <w:bCs/>
          <w:sz w:val="20"/>
          <w:szCs w:val="20"/>
          <w:lang w:val="es-CO"/>
        </w:rPr>
        <w:t xml:space="preserve"> L</w:t>
      </w:r>
      <w:r w:rsidRPr="008D65EE">
        <w:rPr>
          <w:rFonts w:cstheme="majorHAnsi"/>
          <w:bCs/>
          <w:sz w:val="20"/>
          <w:szCs w:val="20"/>
          <w:lang w:val="es-CO"/>
        </w:rPr>
        <w:t>angton</w:t>
      </w:r>
      <w:r w:rsidR="009A42B2" w:rsidRPr="008D65EE">
        <w:rPr>
          <w:rFonts w:cstheme="majorHAnsi"/>
          <w:bCs/>
          <w:sz w:val="20"/>
          <w:szCs w:val="20"/>
          <w:lang w:val="es-CO"/>
        </w:rPr>
        <w:t xml:space="preserve"> y determinar la existencia de alguna responsabilidad a que hubiere lugar”</w:t>
      </w:r>
      <w:r w:rsidRPr="008D65EE">
        <w:rPr>
          <w:rStyle w:val="FootnoteReference"/>
          <w:rFonts w:cstheme="majorHAnsi"/>
          <w:bCs/>
          <w:sz w:val="20"/>
          <w:szCs w:val="20"/>
          <w:lang w:val="es-CO"/>
        </w:rPr>
        <w:footnoteReference w:id="62"/>
      </w:r>
      <w:r w:rsidR="009A42B2" w:rsidRPr="008D65EE">
        <w:rPr>
          <w:rFonts w:cstheme="majorHAnsi"/>
          <w:bCs/>
          <w:sz w:val="20"/>
          <w:szCs w:val="20"/>
          <w:lang w:val="es-CO"/>
        </w:rPr>
        <w:t>.</w:t>
      </w:r>
    </w:p>
    <w:p w14:paraId="5672DDFF" w14:textId="58257825" w:rsidR="009A42B2" w:rsidRPr="008D65EE" w:rsidRDefault="009A42B2" w:rsidP="001E54BC">
      <w:pPr>
        <w:jc w:val="both"/>
        <w:rPr>
          <w:rFonts w:ascii="Cambria" w:hAnsi="Cambria" w:cstheme="majorHAnsi"/>
          <w:bCs/>
          <w:sz w:val="20"/>
          <w:szCs w:val="20"/>
          <w:lang w:val="es-CO"/>
        </w:rPr>
      </w:pPr>
      <w:r w:rsidRPr="008D65EE">
        <w:rPr>
          <w:rFonts w:ascii="Cambria" w:hAnsi="Cambria" w:cstheme="majorHAnsi"/>
          <w:bCs/>
          <w:sz w:val="20"/>
          <w:szCs w:val="20"/>
          <w:lang w:val="es-CO"/>
        </w:rPr>
        <w:t xml:space="preserve"> </w:t>
      </w:r>
    </w:p>
    <w:p w14:paraId="311E65A6" w14:textId="100CBF42" w:rsidR="001E54BC" w:rsidRPr="008D65EE" w:rsidRDefault="003122C3" w:rsidP="009A42B2">
      <w:pPr>
        <w:pStyle w:val="ListParagraph"/>
        <w:numPr>
          <w:ilvl w:val="0"/>
          <w:numId w:val="51"/>
        </w:numPr>
        <w:ind w:left="0" w:firstLine="567"/>
        <w:jc w:val="both"/>
        <w:rPr>
          <w:sz w:val="20"/>
          <w:szCs w:val="20"/>
          <w:lang w:val="es-CO"/>
        </w:rPr>
      </w:pPr>
      <w:r w:rsidRPr="008D65EE">
        <w:rPr>
          <w:sz w:val="20"/>
          <w:szCs w:val="20"/>
          <w:lang w:val="es-CO"/>
        </w:rPr>
        <w:t xml:space="preserve">El Fiscal General de la República, Julián Isaías </w:t>
      </w:r>
      <w:r w:rsidR="00CD7891" w:rsidRPr="008D65EE">
        <w:rPr>
          <w:sz w:val="20"/>
          <w:szCs w:val="20"/>
          <w:lang w:val="es-CO"/>
        </w:rPr>
        <w:t>Rodríguez</w:t>
      </w:r>
      <w:r w:rsidRPr="008D65EE">
        <w:rPr>
          <w:sz w:val="20"/>
          <w:szCs w:val="20"/>
          <w:lang w:val="es-CO"/>
        </w:rPr>
        <w:t xml:space="preserve">, </w:t>
      </w:r>
      <w:r w:rsidR="005475CF" w:rsidRPr="008D65EE">
        <w:rPr>
          <w:sz w:val="20"/>
          <w:szCs w:val="20"/>
          <w:lang w:val="es-CO"/>
        </w:rPr>
        <w:t xml:space="preserve">el consulado del Reino Unido en Venezuela y Terry y Lyn Langton </w:t>
      </w:r>
      <w:r w:rsidRPr="008D65EE">
        <w:rPr>
          <w:sz w:val="20"/>
          <w:szCs w:val="20"/>
          <w:lang w:val="es-CO"/>
        </w:rPr>
        <w:t>intercambi</w:t>
      </w:r>
      <w:r w:rsidR="005475CF" w:rsidRPr="008D65EE">
        <w:rPr>
          <w:sz w:val="20"/>
          <w:szCs w:val="20"/>
          <w:lang w:val="es-CO"/>
        </w:rPr>
        <w:t>aron</w:t>
      </w:r>
      <w:r w:rsidRPr="008D65EE">
        <w:rPr>
          <w:sz w:val="20"/>
          <w:szCs w:val="20"/>
          <w:lang w:val="es-CO"/>
        </w:rPr>
        <w:t xml:space="preserve"> vari</w:t>
      </w:r>
      <w:r w:rsidR="005475CF" w:rsidRPr="008D65EE">
        <w:rPr>
          <w:sz w:val="20"/>
          <w:szCs w:val="20"/>
          <w:lang w:val="es-CO"/>
        </w:rPr>
        <w:t>as correspondencias</w:t>
      </w:r>
      <w:r w:rsidRPr="008D65EE">
        <w:rPr>
          <w:sz w:val="20"/>
          <w:szCs w:val="20"/>
          <w:lang w:val="es-CO"/>
        </w:rPr>
        <w:t xml:space="preserve"> entre el</w:t>
      </w:r>
      <w:r w:rsidR="005475CF" w:rsidRPr="008D65EE">
        <w:rPr>
          <w:sz w:val="20"/>
          <w:szCs w:val="20"/>
          <w:lang w:val="es-CO"/>
        </w:rPr>
        <w:t xml:space="preserve"> 2002</w:t>
      </w:r>
      <w:r w:rsidRPr="008D65EE">
        <w:rPr>
          <w:sz w:val="20"/>
          <w:szCs w:val="20"/>
          <w:lang w:val="es-CO"/>
        </w:rPr>
        <w:t xml:space="preserve"> </w:t>
      </w:r>
      <w:r w:rsidR="005475CF" w:rsidRPr="008D65EE">
        <w:rPr>
          <w:sz w:val="20"/>
          <w:szCs w:val="20"/>
          <w:lang w:val="es-CO"/>
        </w:rPr>
        <w:t>y el 2008 con respecto a los hechos ocurridos y los avances de la investigación iniciada el 30 de abril de 2002. En su correspondencia No. DFGR-47.746, el Fiscal afirmó que</w:t>
      </w:r>
      <w:r w:rsidR="003D2A74" w:rsidRPr="008D65EE">
        <w:rPr>
          <w:sz w:val="20"/>
          <w:szCs w:val="20"/>
          <w:lang w:val="es-CO"/>
        </w:rPr>
        <w:t>: i) Sarah requería de vigilancia permanente pero no había sido evaluada por m</w:t>
      </w:r>
      <w:r w:rsidR="00127C99" w:rsidRPr="008D65EE">
        <w:rPr>
          <w:sz w:val="20"/>
          <w:szCs w:val="20"/>
          <w:lang w:val="es-CO"/>
        </w:rPr>
        <w:t>á</w:t>
      </w:r>
      <w:r w:rsidR="003D2A74" w:rsidRPr="008D65EE">
        <w:rPr>
          <w:sz w:val="20"/>
          <w:szCs w:val="20"/>
          <w:lang w:val="es-CO"/>
        </w:rPr>
        <w:t xml:space="preserve">s de 60 días; ii) que </w:t>
      </w:r>
      <w:r w:rsidR="005475CF" w:rsidRPr="008D65EE">
        <w:rPr>
          <w:sz w:val="20"/>
          <w:szCs w:val="20"/>
          <w:lang w:val="es-CO"/>
        </w:rPr>
        <w:t xml:space="preserve">“el Servicio Médico de adultos del INOF </w:t>
      </w:r>
      <w:r w:rsidR="003D2A74" w:rsidRPr="008D65EE">
        <w:rPr>
          <w:sz w:val="20"/>
          <w:szCs w:val="20"/>
          <w:lang w:val="es-CO"/>
        </w:rPr>
        <w:t>carece</w:t>
      </w:r>
      <w:r w:rsidR="005475CF" w:rsidRPr="008D65EE">
        <w:rPr>
          <w:sz w:val="20"/>
          <w:szCs w:val="20"/>
          <w:lang w:val="es-CO"/>
        </w:rPr>
        <w:t xml:space="preserve"> de persona</w:t>
      </w:r>
      <w:r w:rsidR="003D2A74" w:rsidRPr="008D65EE">
        <w:rPr>
          <w:sz w:val="20"/>
          <w:szCs w:val="20"/>
          <w:lang w:val="es-CO"/>
        </w:rPr>
        <w:t>l médico suficiente para cumplir con los roles de guardia” por lo que “la población reclusa quedaba desasistida de un servicio de vital importancia” y iii) que</w:t>
      </w:r>
      <w:r w:rsidR="005475CF" w:rsidRPr="008D65EE">
        <w:rPr>
          <w:sz w:val="20"/>
          <w:szCs w:val="20"/>
          <w:lang w:val="es-CO"/>
        </w:rPr>
        <w:t xml:space="preserve"> </w:t>
      </w:r>
      <w:r w:rsidR="003D2A74" w:rsidRPr="008D65EE">
        <w:rPr>
          <w:sz w:val="20"/>
          <w:szCs w:val="20"/>
          <w:lang w:val="es-CO"/>
        </w:rPr>
        <w:t>“</w:t>
      </w:r>
      <w:r w:rsidR="005475CF" w:rsidRPr="008D65EE">
        <w:rPr>
          <w:sz w:val="20"/>
          <w:szCs w:val="20"/>
          <w:lang w:val="es-CO"/>
        </w:rPr>
        <w:t>a la referida ciudadana no se le prestó el auxilio inmediato que requirió por parte de los médicos presentes en el [INOF] (área de pediatría) quienes fueron informados de la situación de emergencia que se presentó con la mencionada ciudadana”</w:t>
      </w:r>
      <w:r w:rsidR="003D2A74" w:rsidRPr="008D65EE">
        <w:rPr>
          <w:rStyle w:val="FootnoteReference"/>
          <w:rFonts w:cstheme="majorHAnsi"/>
          <w:bCs/>
          <w:sz w:val="20"/>
          <w:szCs w:val="20"/>
          <w:lang w:val="es-CO"/>
        </w:rPr>
        <w:t xml:space="preserve"> </w:t>
      </w:r>
      <w:r w:rsidR="003D2A74" w:rsidRPr="008D65EE">
        <w:rPr>
          <w:rStyle w:val="FootnoteReference"/>
          <w:rFonts w:cstheme="majorHAnsi"/>
          <w:bCs/>
          <w:sz w:val="20"/>
          <w:szCs w:val="20"/>
          <w:lang w:val="es-CO"/>
        </w:rPr>
        <w:footnoteReference w:id="63"/>
      </w:r>
      <w:r w:rsidR="005475CF" w:rsidRPr="008D65EE">
        <w:rPr>
          <w:sz w:val="20"/>
          <w:szCs w:val="20"/>
          <w:lang w:val="es-CO"/>
        </w:rPr>
        <w:t>.</w:t>
      </w:r>
    </w:p>
    <w:p w14:paraId="67B58A6B" w14:textId="2665F96C" w:rsidR="005475CF" w:rsidRPr="008D65EE" w:rsidRDefault="005475CF" w:rsidP="001E54BC">
      <w:pPr>
        <w:jc w:val="both"/>
        <w:rPr>
          <w:rFonts w:ascii="Cambria" w:hAnsi="Cambria"/>
          <w:sz w:val="20"/>
          <w:szCs w:val="20"/>
          <w:lang w:val="es-CO"/>
        </w:rPr>
      </w:pPr>
      <w:r w:rsidRPr="008D65EE">
        <w:rPr>
          <w:rFonts w:ascii="Cambria" w:hAnsi="Cambria"/>
          <w:sz w:val="20"/>
          <w:szCs w:val="20"/>
          <w:lang w:val="es-CO"/>
        </w:rPr>
        <w:t xml:space="preserve"> </w:t>
      </w:r>
    </w:p>
    <w:p w14:paraId="65BC17D5" w14:textId="28D1A752" w:rsidR="00F332A9" w:rsidRPr="008D65EE" w:rsidRDefault="009A42B2" w:rsidP="003D2A74">
      <w:pPr>
        <w:pStyle w:val="ListParagraph"/>
        <w:numPr>
          <w:ilvl w:val="0"/>
          <w:numId w:val="51"/>
        </w:numPr>
        <w:ind w:left="0" w:firstLine="567"/>
        <w:jc w:val="both"/>
        <w:rPr>
          <w:sz w:val="20"/>
          <w:szCs w:val="20"/>
          <w:lang w:val="es-CO"/>
        </w:rPr>
      </w:pPr>
      <w:r w:rsidRPr="008D65EE">
        <w:rPr>
          <w:sz w:val="20"/>
          <w:szCs w:val="20"/>
          <w:lang w:val="es-CO"/>
        </w:rPr>
        <w:t xml:space="preserve"> El 30 de abril de 2002 se ordenó abrir investigación conforme al artículo 300 del Código de Procedimiento Penal</w:t>
      </w:r>
      <w:r w:rsidR="003D2A74" w:rsidRPr="008D65EE">
        <w:rPr>
          <w:sz w:val="20"/>
          <w:szCs w:val="20"/>
          <w:lang w:val="es-CO"/>
        </w:rPr>
        <w:t xml:space="preserve">, </w:t>
      </w:r>
      <w:r w:rsidRPr="008D65EE">
        <w:rPr>
          <w:sz w:val="20"/>
          <w:szCs w:val="20"/>
          <w:lang w:val="es-CO"/>
        </w:rPr>
        <w:t>por</w:t>
      </w:r>
      <w:r w:rsidR="00EE4B9B" w:rsidRPr="008D65EE">
        <w:rPr>
          <w:sz w:val="20"/>
          <w:szCs w:val="20"/>
          <w:lang w:val="es-CO"/>
        </w:rPr>
        <w:t xml:space="preserve"> la</w:t>
      </w:r>
      <w:r w:rsidRPr="008D65EE">
        <w:rPr>
          <w:sz w:val="20"/>
          <w:szCs w:val="20"/>
          <w:lang w:val="es-CO"/>
        </w:rPr>
        <w:t xml:space="preserve"> Fiscal Vigésima Octava del Ministerio Público a Nivel Nacional con Competencia Plena</w:t>
      </w:r>
      <w:r w:rsidR="003D2A74" w:rsidRPr="008D65EE">
        <w:rPr>
          <w:sz w:val="20"/>
          <w:szCs w:val="20"/>
          <w:lang w:val="es-CO"/>
        </w:rPr>
        <w:t xml:space="preserve"> y e</w:t>
      </w:r>
      <w:r w:rsidRPr="008D65EE">
        <w:rPr>
          <w:sz w:val="20"/>
          <w:szCs w:val="20"/>
          <w:lang w:val="es-CO"/>
        </w:rPr>
        <w:t xml:space="preserve">ntre marzo y noviembre de 2005 se llevaron a cabo diversas </w:t>
      </w:r>
      <w:r w:rsidR="003D2A74" w:rsidRPr="008D65EE">
        <w:rPr>
          <w:sz w:val="20"/>
          <w:szCs w:val="20"/>
          <w:lang w:val="es-CO"/>
        </w:rPr>
        <w:t>diligencias investigativas, incluyendo la</w:t>
      </w:r>
      <w:r w:rsidR="00D829CF" w:rsidRPr="008D65EE">
        <w:rPr>
          <w:sz w:val="20"/>
          <w:szCs w:val="20"/>
          <w:lang w:val="es-CO"/>
        </w:rPr>
        <w:t xml:space="preserve"> localización</w:t>
      </w:r>
      <w:r w:rsidR="003D2A74" w:rsidRPr="008D65EE">
        <w:rPr>
          <w:sz w:val="20"/>
          <w:szCs w:val="20"/>
          <w:lang w:val="es-CO"/>
        </w:rPr>
        <w:t xml:space="preserve"> </w:t>
      </w:r>
      <w:r w:rsidR="00A56D7F" w:rsidRPr="008D65EE">
        <w:rPr>
          <w:sz w:val="20"/>
          <w:szCs w:val="20"/>
          <w:lang w:val="es-CO"/>
        </w:rPr>
        <w:t>de los informes médicos del Instituto Diagnóstico San Bernardino y del Hospital Victorino Santaella y entrevista a</w:t>
      </w:r>
      <w:r w:rsidR="00F332A9" w:rsidRPr="008D65EE">
        <w:rPr>
          <w:sz w:val="20"/>
          <w:szCs w:val="20"/>
          <w:lang w:val="es-CO"/>
        </w:rPr>
        <w:t xml:space="preserve"> algunas reclusas y custodias del INOF</w:t>
      </w:r>
      <w:r w:rsidR="003D2A74" w:rsidRPr="008D65EE">
        <w:rPr>
          <w:rStyle w:val="FootnoteReference"/>
          <w:sz w:val="20"/>
          <w:szCs w:val="20"/>
          <w:lang w:val="es-CO"/>
        </w:rPr>
        <w:footnoteReference w:id="64"/>
      </w:r>
      <w:r w:rsidRPr="008D65EE">
        <w:rPr>
          <w:sz w:val="20"/>
          <w:szCs w:val="20"/>
          <w:lang w:val="es-CO"/>
        </w:rPr>
        <w:t>.</w:t>
      </w:r>
      <w:r w:rsidR="00F332A9" w:rsidRPr="008D65EE">
        <w:rPr>
          <w:sz w:val="20"/>
          <w:szCs w:val="20"/>
          <w:lang w:val="es-CO"/>
        </w:rPr>
        <w:t xml:space="preserve"> El 20 de junio de 2006, el Fiscal General informó que el proceso penal iniciado con motivo de la muerte de Sarah Langton se encontraba en fase preparatoria</w:t>
      </w:r>
      <w:r w:rsidR="00F332A9" w:rsidRPr="008D65EE">
        <w:rPr>
          <w:rStyle w:val="FootnoteReference"/>
          <w:sz w:val="20"/>
          <w:szCs w:val="20"/>
          <w:lang w:val="es-CO"/>
        </w:rPr>
        <w:footnoteReference w:id="65"/>
      </w:r>
      <w:r w:rsidR="00F332A9" w:rsidRPr="008D65EE">
        <w:rPr>
          <w:sz w:val="20"/>
          <w:szCs w:val="20"/>
          <w:lang w:val="es-CO"/>
        </w:rPr>
        <w:t xml:space="preserve">. </w:t>
      </w:r>
    </w:p>
    <w:p w14:paraId="3814F4FE" w14:textId="77777777" w:rsidR="001E54BC" w:rsidRPr="008D65EE" w:rsidRDefault="001E54BC" w:rsidP="001E54BC">
      <w:pPr>
        <w:jc w:val="both"/>
        <w:rPr>
          <w:rFonts w:ascii="Cambria" w:hAnsi="Cambria"/>
          <w:sz w:val="20"/>
          <w:szCs w:val="20"/>
          <w:lang w:val="es-CO"/>
        </w:rPr>
      </w:pPr>
    </w:p>
    <w:p w14:paraId="0CB17E42" w14:textId="0AACCA9B" w:rsidR="00F332A9" w:rsidRPr="008D65EE" w:rsidRDefault="0075684F" w:rsidP="01AF1628">
      <w:pPr>
        <w:pStyle w:val="ListParagraph"/>
        <w:numPr>
          <w:ilvl w:val="0"/>
          <w:numId w:val="51"/>
        </w:numPr>
        <w:ind w:left="0" w:firstLine="567"/>
        <w:jc w:val="both"/>
        <w:rPr>
          <w:sz w:val="20"/>
          <w:szCs w:val="20"/>
          <w:lang w:val="es-CO"/>
        </w:rPr>
      </w:pPr>
      <w:r w:rsidRPr="008D65EE">
        <w:rPr>
          <w:sz w:val="20"/>
          <w:szCs w:val="20"/>
          <w:lang w:val="es-CO"/>
        </w:rPr>
        <w:t>En 2005</w:t>
      </w:r>
      <w:r w:rsidR="00EE4B9B" w:rsidRPr="008D65EE">
        <w:rPr>
          <w:sz w:val="20"/>
          <w:szCs w:val="20"/>
          <w:lang w:val="es-CO"/>
        </w:rPr>
        <w:t xml:space="preserve">, </w:t>
      </w:r>
      <w:r w:rsidRPr="008D65EE">
        <w:rPr>
          <w:sz w:val="20"/>
          <w:szCs w:val="20"/>
          <w:lang w:val="es-CO"/>
        </w:rPr>
        <w:t xml:space="preserve">se </w:t>
      </w:r>
      <w:r w:rsidR="00EE4B9B" w:rsidRPr="008D65EE">
        <w:rPr>
          <w:sz w:val="20"/>
          <w:szCs w:val="20"/>
          <w:lang w:val="es-CO"/>
        </w:rPr>
        <w:t>había imputado</w:t>
      </w:r>
      <w:r w:rsidRPr="008D65EE">
        <w:rPr>
          <w:sz w:val="20"/>
          <w:szCs w:val="20"/>
          <w:lang w:val="es-CO"/>
        </w:rPr>
        <w:t xml:space="preserve"> a Migdalia Coromoto Galvis Carvajal por el delito de homicidio culposo</w:t>
      </w:r>
      <w:r w:rsidRPr="008D65EE">
        <w:rPr>
          <w:rStyle w:val="FootnoteReference"/>
          <w:sz w:val="20"/>
          <w:szCs w:val="20"/>
          <w:lang w:val="es-CO"/>
        </w:rPr>
        <w:footnoteReference w:id="66"/>
      </w:r>
      <w:r w:rsidRPr="008D65EE">
        <w:rPr>
          <w:sz w:val="20"/>
          <w:szCs w:val="20"/>
          <w:lang w:val="es-CO"/>
        </w:rPr>
        <w:t>. El 8 de mayo de 2006 se realizó la imputación en contra de Luis Mota por el delito de homicidio culposo</w:t>
      </w:r>
      <w:r w:rsidRPr="008D65EE">
        <w:rPr>
          <w:rStyle w:val="FootnoteReference"/>
          <w:sz w:val="20"/>
          <w:szCs w:val="20"/>
          <w:lang w:val="es-CO"/>
        </w:rPr>
        <w:footnoteReference w:id="67"/>
      </w:r>
      <w:r w:rsidRPr="008D65EE">
        <w:rPr>
          <w:sz w:val="20"/>
          <w:szCs w:val="20"/>
          <w:lang w:val="es-CO"/>
        </w:rPr>
        <w:t xml:space="preserve">. El 7 de julio de 2006 se imputó a Marianella </w:t>
      </w:r>
      <w:r w:rsidR="00CD7891" w:rsidRPr="008D65EE">
        <w:rPr>
          <w:sz w:val="20"/>
          <w:szCs w:val="20"/>
          <w:lang w:val="es-CO"/>
        </w:rPr>
        <w:t>González</w:t>
      </w:r>
      <w:r w:rsidRPr="008D65EE">
        <w:rPr>
          <w:sz w:val="20"/>
          <w:szCs w:val="20"/>
          <w:lang w:val="es-CO"/>
        </w:rPr>
        <w:t xml:space="preserve"> por el delito de homicidio culposo</w:t>
      </w:r>
      <w:r w:rsidRPr="008D65EE">
        <w:rPr>
          <w:rStyle w:val="FootnoteReference"/>
          <w:sz w:val="20"/>
          <w:szCs w:val="20"/>
          <w:lang w:val="es-CO"/>
        </w:rPr>
        <w:footnoteReference w:id="68"/>
      </w:r>
      <w:r w:rsidRPr="008D65EE">
        <w:rPr>
          <w:sz w:val="20"/>
          <w:szCs w:val="20"/>
          <w:lang w:val="es-CO"/>
        </w:rPr>
        <w:t>. El 25 de mayo del 2007 se le imputó el delito de abandono de niño y otra persona incapaz</w:t>
      </w:r>
      <w:r w:rsidRPr="008D65EE">
        <w:rPr>
          <w:rStyle w:val="FootnoteReference"/>
          <w:sz w:val="20"/>
          <w:szCs w:val="20"/>
          <w:lang w:val="es-CO"/>
        </w:rPr>
        <w:footnoteReference w:id="69"/>
      </w:r>
      <w:r w:rsidRPr="008D65EE">
        <w:rPr>
          <w:sz w:val="20"/>
          <w:szCs w:val="20"/>
          <w:lang w:val="es-CO"/>
        </w:rPr>
        <w:t xml:space="preserve">.  </w:t>
      </w:r>
      <w:r w:rsidR="00F332A9" w:rsidRPr="008D65EE">
        <w:rPr>
          <w:sz w:val="20"/>
          <w:szCs w:val="20"/>
          <w:lang w:val="es-CO"/>
        </w:rPr>
        <w:t xml:space="preserve">El 8 de julio de 2008, los fiscales del ministerio público realizaron la acusación fiscal en contra de Migdalia Coromoto Galavis Carvajal y Luis Eduardo Mota por el delito de homicidio culposo y Marianella </w:t>
      </w:r>
      <w:r w:rsidR="00CD7891" w:rsidRPr="008D65EE">
        <w:rPr>
          <w:sz w:val="20"/>
          <w:szCs w:val="20"/>
          <w:lang w:val="es-CO"/>
        </w:rPr>
        <w:t>González</w:t>
      </w:r>
      <w:r w:rsidR="00F332A9" w:rsidRPr="008D65EE">
        <w:rPr>
          <w:sz w:val="20"/>
          <w:szCs w:val="20"/>
          <w:lang w:val="es-CO"/>
        </w:rPr>
        <w:t xml:space="preserve"> y Eglee Ascanio por </w:t>
      </w:r>
      <w:r w:rsidRPr="008D65EE">
        <w:rPr>
          <w:sz w:val="20"/>
          <w:szCs w:val="20"/>
          <w:lang w:val="es-CO"/>
        </w:rPr>
        <w:t xml:space="preserve">el delito de omisión de socorro por los hechos ocurridos el </w:t>
      </w:r>
      <w:r w:rsidR="00CD7891" w:rsidRPr="008D65EE">
        <w:rPr>
          <w:sz w:val="20"/>
          <w:szCs w:val="20"/>
          <w:lang w:val="es-CO"/>
        </w:rPr>
        <w:t>día</w:t>
      </w:r>
      <w:r w:rsidRPr="008D65EE">
        <w:rPr>
          <w:sz w:val="20"/>
          <w:szCs w:val="20"/>
          <w:lang w:val="es-CO"/>
        </w:rPr>
        <w:t xml:space="preserve"> 7 de marzo de 2001</w:t>
      </w:r>
      <w:r w:rsidR="00CC0F9A" w:rsidRPr="008D65EE">
        <w:rPr>
          <w:rStyle w:val="FootnoteReference"/>
          <w:sz w:val="20"/>
          <w:szCs w:val="20"/>
          <w:lang w:val="es-CO"/>
        </w:rPr>
        <w:footnoteReference w:id="70"/>
      </w:r>
      <w:r w:rsidRPr="008D65EE">
        <w:rPr>
          <w:sz w:val="20"/>
          <w:szCs w:val="20"/>
          <w:lang w:val="es-CO"/>
        </w:rPr>
        <w:t xml:space="preserve">.  </w:t>
      </w:r>
    </w:p>
    <w:p w14:paraId="2B26EB12" w14:textId="77777777" w:rsidR="001E54BC" w:rsidRPr="008D65EE" w:rsidRDefault="001E54BC" w:rsidP="001E54BC">
      <w:pPr>
        <w:jc w:val="both"/>
        <w:rPr>
          <w:rFonts w:ascii="Cambria" w:hAnsi="Cambria"/>
          <w:sz w:val="20"/>
          <w:szCs w:val="20"/>
          <w:lang w:val="es-CO"/>
        </w:rPr>
      </w:pPr>
    </w:p>
    <w:p w14:paraId="1F660703" w14:textId="77777777" w:rsidR="00EE4B9B" w:rsidRPr="008D65EE" w:rsidRDefault="009A63E3" w:rsidP="00EE4B9B">
      <w:pPr>
        <w:pStyle w:val="ListParagraph"/>
        <w:numPr>
          <w:ilvl w:val="0"/>
          <w:numId w:val="51"/>
        </w:numPr>
        <w:ind w:left="0" w:firstLine="567"/>
        <w:jc w:val="both"/>
        <w:rPr>
          <w:sz w:val="20"/>
          <w:szCs w:val="20"/>
          <w:lang w:val="es-CO"/>
        </w:rPr>
      </w:pPr>
      <w:r w:rsidRPr="008D65EE">
        <w:rPr>
          <w:sz w:val="20"/>
          <w:szCs w:val="20"/>
          <w:lang w:val="es-CO"/>
        </w:rPr>
        <w:t xml:space="preserve">El 29 de octubre de 2010, se realizó la audiencia preliminar </w:t>
      </w:r>
      <w:r w:rsidR="00CC0F9A" w:rsidRPr="008D65EE">
        <w:rPr>
          <w:sz w:val="20"/>
          <w:szCs w:val="20"/>
          <w:lang w:val="es-CO"/>
        </w:rPr>
        <w:t xml:space="preserve">ante el Tribunal de Primera Instancia en funciones de control No. 3 del circuito judicial penal de la circunscripción judicial del Estado Miranda, </w:t>
      </w:r>
      <w:r w:rsidRPr="008D65EE">
        <w:rPr>
          <w:sz w:val="20"/>
          <w:szCs w:val="20"/>
          <w:lang w:val="es-CO"/>
        </w:rPr>
        <w:t>de acuerdo a lo establecido en el artículo 365 del Código Orgánico Procesal Penal venezolano para decidir sobre la admisión o no de la acusación fiscal</w:t>
      </w:r>
      <w:r w:rsidR="00CC0F9A" w:rsidRPr="008D65EE">
        <w:rPr>
          <w:sz w:val="20"/>
          <w:szCs w:val="20"/>
          <w:lang w:val="es-CO"/>
        </w:rPr>
        <w:t xml:space="preserve"> que había sido</w:t>
      </w:r>
      <w:r w:rsidRPr="008D65EE">
        <w:rPr>
          <w:sz w:val="20"/>
          <w:szCs w:val="20"/>
          <w:lang w:val="es-CO"/>
        </w:rPr>
        <w:t xml:space="preserve"> presentada el 8 de julio de 2008</w:t>
      </w:r>
      <w:r w:rsidR="00CC0F9A" w:rsidRPr="008D65EE">
        <w:rPr>
          <w:rStyle w:val="FootnoteReference"/>
          <w:sz w:val="20"/>
          <w:szCs w:val="20"/>
          <w:lang w:val="es-CO"/>
        </w:rPr>
        <w:footnoteReference w:id="71"/>
      </w:r>
      <w:r w:rsidRPr="008D65EE">
        <w:rPr>
          <w:sz w:val="20"/>
          <w:szCs w:val="20"/>
          <w:lang w:val="es-CO"/>
        </w:rPr>
        <w:t>.</w:t>
      </w:r>
      <w:r w:rsidR="00EE4B9B" w:rsidRPr="008D65EE">
        <w:rPr>
          <w:sz w:val="20"/>
          <w:szCs w:val="20"/>
          <w:lang w:val="es-CO"/>
        </w:rPr>
        <w:t xml:space="preserve"> </w:t>
      </w:r>
      <w:r w:rsidRPr="008D65EE">
        <w:rPr>
          <w:sz w:val="20"/>
          <w:szCs w:val="20"/>
          <w:lang w:val="es-CO"/>
        </w:rPr>
        <w:t xml:space="preserve">Durante la audiencia, </w:t>
      </w:r>
      <w:r w:rsidR="00A452E5" w:rsidRPr="008D65EE">
        <w:rPr>
          <w:sz w:val="20"/>
          <w:szCs w:val="20"/>
          <w:lang w:val="es-CO"/>
        </w:rPr>
        <w:t>l</w:t>
      </w:r>
      <w:r w:rsidR="009A42B2" w:rsidRPr="008D65EE">
        <w:rPr>
          <w:sz w:val="20"/>
          <w:szCs w:val="20"/>
          <w:lang w:val="es-CO"/>
        </w:rPr>
        <w:t>os abogados de los acusados alegaron la existencia de la prescripción ordinaria de la acción y la prescripción judicial</w:t>
      </w:r>
      <w:r w:rsidR="00CC0F9A" w:rsidRPr="008D65EE">
        <w:rPr>
          <w:rStyle w:val="FootnoteReference"/>
          <w:sz w:val="20"/>
          <w:szCs w:val="20"/>
          <w:lang w:val="es-CO"/>
        </w:rPr>
        <w:footnoteReference w:id="72"/>
      </w:r>
      <w:r w:rsidR="009A42B2" w:rsidRPr="008D65EE">
        <w:rPr>
          <w:sz w:val="20"/>
          <w:szCs w:val="20"/>
          <w:lang w:val="es-CO"/>
        </w:rPr>
        <w:t xml:space="preserve">. </w:t>
      </w:r>
    </w:p>
    <w:p w14:paraId="2827CCD7" w14:textId="77777777" w:rsidR="00EE4B9B" w:rsidRPr="008D65EE" w:rsidRDefault="00EE4B9B" w:rsidP="00EE4B9B">
      <w:pPr>
        <w:pStyle w:val="ListParagraph"/>
        <w:rPr>
          <w:sz w:val="20"/>
          <w:szCs w:val="20"/>
          <w:lang w:val="es-CO"/>
        </w:rPr>
      </w:pPr>
    </w:p>
    <w:p w14:paraId="61EEE673" w14:textId="5E63B5CD" w:rsidR="00B364AE" w:rsidRPr="008D65EE" w:rsidRDefault="009A42B2" w:rsidP="00EE4B9B">
      <w:pPr>
        <w:pStyle w:val="ListParagraph"/>
        <w:numPr>
          <w:ilvl w:val="0"/>
          <w:numId w:val="51"/>
        </w:numPr>
        <w:ind w:left="0" w:firstLine="567"/>
        <w:jc w:val="both"/>
        <w:rPr>
          <w:sz w:val="20"/>
          <w:szCs w:val="20"/>
          <w:lang w:val="es-CO"/>
        </w:rPr>
      </w:pPr>
      <w:r w:rsidRPr="008D65EE">
        <w:rPr>
          <w:sz w:val="20"/>
          <w:szCs w:val="20"/>
          <w:lang w:val="es-CO"/>
        </w:rPr>
        <w:t>Dichas excepciones fueron encontradas procedentes por el Tribunal</w:t>
      </w:r>
      <w:r w:rsidR="00CC0F9A" w:rsidRPr="008D65EE">
        <w:rPr>
          <w:sz w:val="20"/>
          <w:szCs w:val="20"/>
          <w:lang w:val="es-CO"/>
        </w:rPr>
        <w:t>, el cual</w:t>
      </w:r>
      <w:r w:rsidRPr="008D65EE">
        <w:rPr>
          <w:sz w:val="20"/>
          <w:szCs w:val="20"/>
          <w:lang w:val="es-CO"/>
        </w:rPr>
        <w:t xml:space="preserve"> decidió que </w:t>
      </w:r>
      <w:r w:rsidR="00CC0F9A" w:rsidRPr="008D65EE">
        <w:rPr>
          <w:sz w:val="20"/>
          <w:szCs w:val="20"/>
          <w:lang w:val="es-CO"/>
        </w:rPr>
        <w:t xml:space="preserve">operaba </w:t>
      </w:r>
      <w:r w:rsidRPr="008D65EE">
        <w:rPr>
          <w:sz w:val="20"/>
          <w:szCs w:val="20"/>
          <w:lang w:val="es-CO"/>
        </w:rPr>
        <w:t>la prescripción ordinaria en relación con Luis Eduardo Mota y Migdalia Galvis debido a que habían pasado más de 3 años desde la comisión del alegado hecho punible y su primera citación en calidad de imputados</w:t>
      </w:r>
      <w:r w:rsidR="00CC0F9A" w:rsidRPr="008D65EE">
        <w:rPr>
          <w:rStyle w:val="FootnoteReference"/>
          <w:sz w:val="20"/>
          <w:szCs w:val="20"/>
          <w:lang w:val="es-CO"/>
        </w:rPr>
        <w:footnoteReference w:id="73"/>
      </w:r>
      <w:r w:rsidR="00CC0F9A" w:rsidRPr="008D65EE">
        <w:rPr>
          <w:sz w:val="20"/>
          <w:szCs w:val="20"/>
          <w:lang w:val="es-CO"/>
        </w:rPr>
        <w:t>. El tribunal también decidió que con</w:t>
      </w:r>
      <w:r w:rsidRPr="008D65EE">
        <w:rPr>
          <w:sz w:val="20"/>
          <w:szCs w:val="20"/>
          <w:lang w:val="es-CO"/>
        </w:rPr>
        <w:t xml:space="preserve"> relación </w:t>
      </w:r>
      <w:r w:rsidR="00CC0F9A" w:rsidRPr="008D65EE">
        <w:rPr>
          <w:sz w:val="20"/>
          <w:szCs w:val="20"/>
          <w:lang w:val="es-CO"/>
        </w:rPr>
        <w:t>a</w:t>
      </w:r>
      <w:r w:rsidRPr="008D65EE">
        <w:rPr>
          <w:sz w:val="20"/>
          <w:szCs w:val="20"/>
          <w:lang w:val="es-CO"/>
        </w:rPr>
        <w:t xml:space="preserve"> Marianella </w:t>
      </w:r>
      <w:r w:rsidR="00CD7891" w:rsidRPr="008D65EE">
        <w:rPr>
          <w:sz w:val="20"/>
          <w:szCs w:val="20"/>
          <w:lang w:val="es-CO"/>
        </w:rPr>
        <w:t>González</w:t>
      </w:r>
      <w:r w:rsidRPr="008D65EE">
        <w:rPr>
          <w:sz w:val="20"/>
          <w:szCs w:val="20"/>
          <w:lang w:val="es-CO"/>
        </w:rPr>
        <w:t xml:space="preserve"> y Eglee del Carmen Ascanio, </w:t>
      </w:r>
      <w:r w:rsidR="00CC0F9A" w:rsidRPr="008D65EE">
        <w:rPr>
          <w:sz w:val="20"/>
          <w:szCs w:val="20"/>
          <w:lang w:val="es-CO"/>
        </w:rPr>
        <w:t xml:space="preserve">operaba la </w:t>
      </w:r>
      <w:r w:rsidRPr="008D65EE">
        <w:rPr>
          <w:sz w:val="20"/>
          <w:szCs w:val="20"/>
          <w:lang w:val="es-CO"/>
        </w:rPr>
        <w:t>prescripción judicial</w:t>
      </w:r>
      <w:r w:rsidR="00EE4B9B" w:rsidRPr="008D65EE">
        <w:rPr>
          <w:sz w:val="20"/>
          <w:szCs w:val="20"/>
          <w:lang w:val="es-CO"/>
        </w:rPr>
        <w:t xml:space="preserve">, dado que "desde el día 07 de marzo de 2001, (fecha en que ocurrió el hecho) hasta el día 20 de octubre de 2010, fecha de la celebración de la audiencia preliminar, han transcurrido nueve (9) años, siete (7) meses y doce (12) días, sin que la misma se prolongara por causas atribuibles a los imputados </w:t>
      </w:r>
      <w:r w:rsidR="00EE4B9B" w:rsidRPr="008D65EE">
        <w:rPr>
          <w:sz w:val="20"/>
          <w:szCs w:val="20"/>
          <w:lang w:val="es-CO"/>
        </w:rPr>
        <w:lastRenderedPageBreak/>
        <w:t>o a su defensa"</w:t>
      </w:r>
      <w:r w:rsidR="00CC0F9A" w:rsidRPr="008D65EE">
        <w:rPr>
          <w:rStyle w:val="FootnoteReference"/>
          <w:sz w:val="20"/>
          <w:szCs w:val="20"/>
          <w:lang w:val="es-CO"/>
        </w:rPr>
        <w:footnoteReference w:id="74"/>
      </w:r>
      <w:r w:rsidR="00EE4B9B" w:rsidRPr="008D65EE">
        <w:rPr>
          <w:sz w:val="20"/>
          <w:szCs w:val="20"/>
          <w:lang w:val="es-CO"/>
        </w:rPr>
        <w:t xml:space="preserve">. </w:t>
      </w:r>
      <w:r w:rsidR="00CC0F9A" w:rsidRPr="008D65EE">
        <w:rPr>
          <w:sz w:val="20"/>
          <w:szCs w:val="20"/>
          <w:lang w:val="es-CO"/>
        </w:rPr>
        <w:t>Debido a la aplicación de la prescripción, el tribunal declaró el sobreseimiento de la causa seguida contra todos los acusados</w:t>
      </w:r>
      <w:r w:rsidR="00EE4B9B" w:rsidRPr="008D65EE">
        <w:rPr>
          <w:rStyle w:val="FootnoteReference"/>
          <w:sz w:val="20"/>
          <w:szCs w:val="20"/>
          <w:lang w:val="es-CO"/>
        </w:rPr>
        <w:footnoteReference w:id="75"/>
      </w:r>
      <w:r w:rsidR="00CC0F9A" w:rsidRPr="008D65EE">
        <w:rPr>
          <w:sz w:val="20"/>
          <w:szCs w:val="20"/>
          <w:lang w:val="es-CO"/>
        </w:rPr>
        <w:t xml:space="preserve">. </w:t>
      </w:r>
    </w:p>
    <w:p w14:paraId="102B6CFB" w14:textId="77777777" w:rsidR="002A6B05" w:rsidRPr="008D65EE" w:rsidRDefault="002A6B05" w:rsidP="002A6B05">
      <w:pPr>
        <w:rPr>
          <w:rFonts w:ascii="Cambria" w:hAnsi="Cambria"/>
          <w:sz w:val="20"/>
          <w:szCs w:val="20"/>
          <w:lang w:val="es-CO"/>
        </w:rPr>
      </w:pPr>
    </w:p>
    <w:p w14:paraId="4C097F92" w14:textId="5B42245C" w:rsidR="002A6B05" w:rsidRPr="008D65EE" w:rsidRDefault="002A6B05" w:rsidP="002A6B05">
      <w:pPr>
        <w:pStyle w:val="Heading1"/>
        <w:spacing w:before="0"/>
        <w:ind w:firstLine="0"/>
        <w:jc w:val="both"/>
        <w:rPr>
          <w:rFonts w:ascii="Cambria" w:eastAsia="Yu Gothic Light" w:hAnsi="Cambria"/>
          <w:color w:val="auto"/>
          <w:sz w:val="20"/>
          <w:szCs w:val="20"/>
          <w:lang w:val="es-CO"/>
        </w:rPr>
      </w:pPr>
      <w:bookmarkStart w:id="23" w:name="_Toc217309320"/>
      <w:r w:rsidRPr="008D65EE">
        <w:rPr>
          <w:rFonts w:ascii="Cambria" w:eastAsia="Yu Gothic Light" w:hAnsi="Cambria"/>
          <w:color w:val="auto"/>
          <w:sz w:val="20"/>
          <w:szCs w:val="20"/>
          <w:lang w:val="es-CO"/>
        </w:rPr>
        <w:t>ANALISIS DE DERECHO</w:t>
      </w:r>
      <w:bookmarkEnd w:id="17"/>
      <w:bookmarkEnd w:id="18"/>
      <w:bookmarkEnd w:id="23"/>
    </w:p>
    <w:p w14:paraId="15261456" w14:textId="77777777" w:rsidR="002A6B05" w:rsidRPr="008D65EE" w:rsidRDefault="002A6B05" w:rsidP="002A6B05">
      <w:pPr>
        <w:jc w:val="both"/>
        <w:rPr>
          <w:rFonts w:ascii="Cambria" w:hAnsi="Cambria" w:cs="Calibri"/>
          <w:bCs/>
          <w:sz w:val="20"/>
          <w:szCs w:val="20"/>
          <w:lang w:val="es-CO"/>
        </w:rPr>
      </w:pPr>
    </w:p>
    <w:p w14:paraId="70E6F05F" w14:textId="00971D70" w:rsidR="002A6B05" w:rsidRPr="008D65EE" w:rsidRDefault="002A6B05" w:rsidP="00550322">
      <w:pPr>
        <w:pStyle w:val="Heading2"/>
        <w:numPr>
          <w:ilvl w:val="0"/>
          <w:numId w:val="53"/>
        </w:numPr>
        <w:jc w:val="both"/>
        <w:rPr>
          <w:rFonts w:ascii="Cambria" w:eastAsia="Cambria" w:hAnsi="Cambria" w:cs="Cambria"/>
          <w:i w:val="0"/>
          <w:iCs w:val="0"/>
          <w:sz w:val="20"/>
          <w:szCs w:val="20"/>
          <w:u w:color="000000"/>
          <w:lang w:val="es-CO" w:eastAsia="es-ES"/>
        </w:rPr>
      </w:pPr>
      <w:bookmarkStart w:id="24" w:name="_Toc217309321"/>
      <w:r w:rsidRPr="008D65EE">
        <w:rPr>
          <w:rFonts w:ascii="Cambria" w:hAnsi="Cambria"/>
          <w:i w:val="0"/>
          <w:iCs w:val="0"/>
          <w:sz w:val="20"/>
          <w:szCs w:val="20"/>
          <w:lang w:val="es-CO"/>
        </w:rPr>
        <w:t xml:space="preserve">Derecho a la </w:t>
      </w:r>
      <w:r w:rsidR="005B6E17" w:rsidRPr="008D65EE">
        <w:rPr>
          <w:rFonts w:ascii="Cambria" w:hAnsi="Cambria"/>
          <w:i w:val="0"/>
          <w:iCs w:val="0"/>
          <w:sz w:val="20"/>
          <w:szCs w:val="20"/>
          <w:lang w:val="es-CO"/>
        </w:rPr>
        <w:t>vida (artículo 4.1</w:t>
      </w:r>
      <w:r w:rsidR="005B6E17" w:rsidRPr="008D65EE">
        <w:rPr>
          <w:rStyle w:val="FootnoteReference"/>
          <w:rFonts w:ascii="Cambria" w:hAnsi="Cambria"/>
          <w:i w:val="0"/>
          <w:iCs w:val="0"/>
          <w:sz w:val="20"/>
          <w:szCs w:val="20"/>
          <w:lang w:val="es-CO"/>
        </w:rPr>
        <w:footnoteReference w:id="76"/>
      </w:r>
      <w:r w:rsidR="005B6E17" w:rsidRPr="008D65EE">
        <w:rPr>
          <w:rFonts w:ascii="Cambria" w:hAnsi="Cambria"/>
          <w:i w:val="0"/>
          <w:iCs w:val="0"/>
          <w:sz w:val="20"/>
          <w:szCs w:val="20"/>
          <w:lang w:val="es-CO"/>
        </w:rPr>
        <w:t>), a la integridad personal (artículo 5</w:t>
      </w:r>
      <w:r w:rsidR="007361B0" w:rsidRPr="008D65EE">
        <w:rPr>
          <w:rFonts w:ascii="Cambria" w:hAnsi="Cambria"/>
          <w:i w:val="0"/>
          <w:iCs w:val="0"/>
          <w:sz w:val="20"/>
          <w:szCs w:val="20"/>
          <w:lang w:val="es-CO"/>
        </w:rPr>
        <w:t>.1 y 5.2</w:t>
      </w:r>
      <w:r w:rsidR="005B6E17" w:rsidRPr="008D65EE">
        <w:rPr>
          <w:rFonts w:ascii="Cambria" w:hAnsi="Cambria"/>
          <w:i w:val="0"/>
          <w:iCs w:val="0"/>
          <w:sz w:val="20"/>
          <w:szCs w:val="20"/>
          <w:lang w:val="es-CO"/>
        </w:rPr>
        <w:t>)</w:t>
      </w:r>
      <w:r w:rsidR="005B6E17" w:rsidRPr="008D65EE">
        <w:rPr>
          <w:rStyle w:val="FootnoteReference"/>
          <w:rFonts w:ascii="Cambria" w:hAnsi="Cambria"/>
          <w:i w:val="0"/>
          <w:iCs w:val="0"/>
          <w:sz w:val="20"/>
          <w:szCs w:val="20"/>
          <w:lang w:val="es-CO"/>
        </w:rPr>
        <w:footnoteReference w:id="77"/>
      </w:r>
      <w:r w:rsidR="005B6E17" w:rsidRPr="008D65EE">
        <w:rPr>
          <w:rFonts w:ascii="Cambria" w:hAnsi="Cambria"/>
          <w:i w:val="0"/>
          <w:iCs w:val="0"/>
          <w:sz w:val="20"/>
          <w:szCs w:val="20"/>
          <w:lang w:val="es-CO"/>
        </w:rPr>
        <w:t xml:space="preserve"> y a la salud (artículo 26</w:t>
      </w:r>
      <w:r w:rsidR="005B6E17" w:rsidRPr="008D65EE">
        <w:rPr>
          <w:rStyle w:val="FootnoteReference"/>
          <w:rFonts w:ascii="Cambria" w:hAnsi="Cambria"/>
          <w:i w:val="0"/>
          <w:iCs w:val="0"/>
          <w:sz w:val="20"/>
          <w:szCs w:val="20"/>
          <w:lang w:val="es-CO"/>
        </w:rPr>
        <w:footnoteReference w:id="78"/>
      </w:r>
      <w:r w:rsidR="005B6E17" w:rsidRPr="008D65EE">
        <w:rPr>
          <w:rFonts w:ascii="Cambria" w:hAnsi="Cambria"/>
          <w:i w:val="0"/>
          <w:iCs w:val="0"/>
          <w:sz w:val="20"/>
          <w:szCs w:val="20"/>
          <w:lang w:val="es-CO"/>
        </w:rPr>
        <w:t xml:space="preserve">) </w:t>
      </w:r>
      <w:r w:rsidRPr="008D65EE">
        <w:rPr>
          <w:rFonts w:ascii="Cambria" w:hAnsi="Cambria"/>
          <w:i w:val="0"/>
          <w:iCs w:val="0"/>
          <w:sz w:val="20"/>
          <w:szCs w:val="20"/>
          <w:lang w:val="es-CO"/>
        </w:rPr>
        <w:t xml:space="preserve">en relación con </w:t>
      </w:r>
      <w:r w:rsidR="00D8110A" w:rsidRPr="008D65EE">
        <w:rPr>
          <w:rFonts w:ascii="Cambria" w:hAnsi="Cambria"/>
          <w:i w:val="0"/>
          <w:iCs w:val="0"/>
          <w:sz w:val="20"/>
          <w:szCs w:val="20"/>
          <w:lang w:val="es-CO"/>
        </w:rPr>
        <w:t>los</w:t>
      </w:r>
      <w:r w:rsidRPr="008D65EE">
        <w:rPr>
          <w:rFonts w:ascii="Cambria" w:hAnsi="Cambria"/>
          <w:i w:val="0"/>
          <w:iCs w:val="0"/>
          <w:sz w:val="20"/>
          <w:szCs w:val="20"/>
          <w:lang w:val="es-CO"/>
        </w:rPr>
        <w:t xml:space="preserve"> artículo</w:t>
      </w:r>
      <w:r w:rsidR="00D8110A" w:rsidRPr="008D65EE">
        <w:rPr>
          <w:rFonts w:ascii="Cambria" w:hAnsi="Cambria"/>
          <w:i w:val="0"/>
          <w:iCs w:val="0"/>
          <w:sz w:val="20"/>
          <w:szCs w:val="20"/>
          <w:lang w:val="es-CO"/>
        </w:rPr>
        <w:t>s</w:t>
      </w:r>
      <w:r w:rsidRPr="008D65EE">
        <w:rPr>
          <w:rFonts w:ascii="Cambria" w:hAnsi="Cambria"/>
          <w:i w:val="0"/>
          <w:iCs w:val="0"/>
          <w:sz w:val="20"/>
          <w:szCs w:val="20"/>
          <w:lang w:val="es-CO"/>
        </w:rPr>
        <w:t xml:space="preserve"> 1.1</w:t>
      </w:r>
      <w:r w:rsidRPr="008D65EE">
        <w:rPr>
          <w:rStyle w:val="FootnoteReference"/>
          <w:rFonts w:ascii="Cambria" w:hAnsi="Cambria"/>
          <w:i w:val="0"/>
          <w:iCs w:val="0"/>
          <w:sz w:val="20"/>
          <w:szCs w:val="20"/>
          <w:lang w:val="es-CO"/>
        </w:rPr>
        <w:footnoteReference w:id="79"/>
      </w:r>
      <w:r w:rsidR="00D8110A" w:rsidRPr="008D65EE">
        <w:rPr>
          <w:rFonts w:ascii="Cambria" w:hAnsi="Cambria"/>
          <w:i w:val="0"/>
          <w:iCs w:val="0"/>
          <w:sz w:val="20"/>
          <w:szCs w:val="20"/>
          <w:lang w:val="es-CO"/>
        </w:rPr>
        <w:t xml:space="preserve"> y 2</w:t>
      </w:r>
      <w:r w:rsidR="00D8110A" w:rsidRPr="008D65EE">
        <w:rPr>
          <w:rStyle w:val="FootnoteReference"/>
          <w:rFonts w:ascii="Cambria" w:hAnsi="Cambria"/>
          <w:i w:val="0"/>
          <w:iCs w:val="0"/>
          <w:sz w:val="20"/>
          <w:szCs w:val="20"/>
          <w:lang w:val="es-CO"/>
        </w:rPr>
        <w:footnoteReference w:id="80"/>
      </w:r>
      <w:r w:rsidR="00D8110A" w:rsidRPr="008D65EE">
        <w:rPr>
          <w:rFonts w:ascii="Cambria" w:hAnsi="Cambria"/>
          <w:i w:val="0"/>
          <w:iCs w:val="0"/>
          <w:sz w:val="20"/>
          <w:szCs w:val="20"/>
          <w:lang w:val="es-CO"/>
        </w:rPr>
        <w:t xml:space="preserve"> </w:t>
      </w:r>
      <w:r w:rsidRPr="008D65EE">
        <w:rPr>
          <w:rFonts w:ascii="Cambria" w:hAnsi="Cambria"/>
          <w:i w:val="0"/>
          <w:iCs w:val="0"/>
          <w:sz w:val="20"/>
          <w:szCs w:val="20"/>
          <w:lang w:val="es-CO"/>
        </w:rPr>
        <w:t>de la Convención Americana</w:t>
      </w:r>
      <w:bookmarkEnd w:id="24"/>
    </w:p>
    <w:p w14:paraId="52D6D1F6" w14:textId="77777777" w:rsidR="00714F11" w:rsidRPr="008D65EE" w:rsidRDefault="00714F11" w:rsidP="00913B8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eastAsia="Batang"/>
          <w:sz w:val="20"/>
          <w:szCs w:val="20"/>
          <w:bdr w:val="none" w:sz="0" w:space="0" w:color="auto"/>
          <w:lang w:val="es-CO"/>
        </w:rPr>
      </w:pPr>
    </w:p>
    <w:p w14:paraId="0D3B126F" w14:textId="07A377C0" w:rsidR="00714F11" w:rsidRPr="008D65EE" w:rsidRDefault="00714F11" w:rsidP="00714F11">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eastAsia="Batang"/>
          <w:sz w:val="20"/>
          <w:szCs w:val="20"/>
          <w:bdr w:val="none" w:sz="0" w:space="0" w:color="auto"/>
          <w:lang w:val="es-CO"/>
        </w:rPr>
      </w:pPr>
      <w:r w:rsidRPr="008D65EE">
        <w:rPr>
          <w:sz w:val="20"/>
          <w:szCs w:val="20"/>
          <w:lang w:val="es-CO"/>
        </w:rPr>
        <w:t>E</w:t>
      </w:r>
      <w:r w:rsidR="00860ACA" w:rsidRPr="008D65EE">
        <w:rPr>
          <w:sz w:val="20"/>
          <w:szCs w:val="20"/>
          <w:lang w:val="es-CO"/>
        </w:rPr>
        <w:t xml:space="preserve">l derecho a la vida es prerrequisito del disfrute de todos los demás derechos humanos y sin </w:t>
      </w:r>
      <w:r w:rsidR="00860ACA" w:rsidRPr="008D65EE">
        <w:rPr>
          <w:rFonts w:eastAsia="Batang"/>
          <w:sz w:val="20"/>
          <w:szCs w:val="20"/>
          <w:bdr w:val="none" w:sz="0" w:space="0" w:color="auto"/>
          <w:lang w:val="es-CO"/>
        </w:rPr>
        <w:t>cuyo</w:t>
      </w:r>
      <w:r w:rsidR="00860ACA" w:rsidRPr="008D65EE">
        <w:rPr>
          <w:sz w:val="20"/>
          <w:szCs w:val="20"/>
          <w:lang w:val="es-CO"/>
        </w:rPr>
        <w:t xml:space="preserve"> respeto todos los demás carecen de sentido</w:t>
      </w:r>
      <w:r w:rsidR="00860ACA" w:rsidRPr="008D65EE">
        <w:rPr>
          <w:sz w:val="20"/>
          <w:szCs w:val="20"/>
          <w:vertAlign w:val="superscript"/>
          <w:lang w:val="es-CO"/>
        </w:rPr>
        <w:footnoteReference w:id="81"/>
      </w:r>
      <w:r w:rsidR="00860ACA" w:rsidRPr="008D65EE">
        <w:rPr>
          <w:sz w:val="20"/>
          <w:szCs w:val="20"/>
          <w:lang w:val="es-CO"/>
        </w:rPr>
        <w:t>. El cumplimiento del artículo 4 en relación con el artículo 1.1 de la Convención Americana no sólo presupone que ninguna persona sea privada de su vida arbitrariamente, sino que además requiere que los Estados tomen todas las medidas apropiadas para proteger y preservar el derecho a la vida, bajo su deber de garantizar el pleno y libre ejercicio de los derechos de todas las personas bajo su jurisdicción</w:t>
      </w:r>
      <w:r w:rsidR="00860ACA" w:rsidRPr="008D65EE">
        <w:rPr>
          <w:sz w:val="20"/>
          <w:szCs w:val="20"/>
          <w:vertAlign w:val="superscript"/>
          <w:lang w:val="es-CO"/>
        </w:rPr>
        <w:footnoteReference w:id="82"/>
      </w:r>
      <w:r w:rsidR="00860ACA" w:rsidRPr="008D65EE">
        <w:rPr>
          <w:sz w:val="20"/>
          <w:szCs w:val="20"/>
          <w:lang w:val="es-CO"/>
        </w:rPr>
        <w:t xml:space="preserve">. </w:t>
      </w:r>
    </w:p>
    <w:p w14:paraId="2535B520" w14:textId="77777777" w:rsidR="00F2657E" w:rsidRPr="008D65EE" w:rsidRDefault="00F2657E" w:rsidP="00F2657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eastAsia="Batang"/>
          <w:sz w:val="20"/>
          <w:szCs w:val="20"/>
          <w:bdr w:val="none" w:sz="0" w:space="0" w:color="auto"/>
          <w:lang w:val="es-CO"/>
        </w:rPr>
      </w:pPr>
    </w:p>
    <w:p w14:paraId="5D011455" w14:textId="16DC6928" w:rsidR="00714F11" w:rsidRPr="008D65EE" w:rsidRDefault="00714F11" w:rsidP="00714F11">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eastAsia="Batang"/>
          <w:sz w:val="20"/>
          <w:szCs w:val="20"/>
          <w:bdr w:val="none" w:sz="0" w:space="0" w:color="auto"/>
          <w:lang w:val="es-CO"/>
        </w:rPr>
      </w:pPr>
      <w:r w:rsidRPr="008D65EE">
        <w:rPr>
          <w:sz w:val="20"/>
          <w:szCs w:val="20"/>
          <w:lang w:val="es-CO"/>
        </w:rPr>
        <w:t>Estas obligaciones resultan igualmente aplicables al derecho a la integridad personal</w:t>
      </w:r>
      <w:r w:rsidRPr="008D65EE">
        <w:rPr>
          <w:rStyle w:val="FootnoteReference"/>
          <w:sz w:val="20"/>
          <w:szCs w:val="20"/>
          <w:lang w:val="es-CO"/>
        </w:rPr>
        <w:footnoteReference w:id="83"/>
      </w:r>
      <w:r w:rsidRPr="008D65EE">
        <w:rPr>
          <w:sz w:val="20"/>
          <w:szCs w:val="20"/>
          <w:lang w:val="es-CO"/>
        </w:rPr>
        <w:t xml:space="preserve">. </w:t>
      </w:r>
      <w:r w:rsidRPr="008D65EE">
        <w:rPr>
          <w:rFonts w:cstheme="minorHAnsi"/>
          <w:sz w:val="20"/>
          <w:szCs w:val="20"/>
          <w:lang w:val="es-CO"/>
        </w:rPr>
        <w:t>Los órganos del sistema interamericano han reconocido que el derecho a la integridad personal se encuentra directa e inmediatamente vinculado con la atención a la salud humana, y que la falta de atención médica adecuada puede conllevar la vulneración del artículo 5.1 de la Convención</w:t>
      </w:r>
      <w:r w:rsidRPr="008D65EE">
        <w:rPr>
          <w:rStyle w:val="FootnoteReference"/>
          <w:rFonts w:cstheme="minorHAnsi"/>
          <w:sz w:val="20"/>
          <w:szCs w:val="20"/>
          <w:lang w:val="es-CO"/>
        </w:rPr>
        <w:footnoteReference w:id="84"/>
      </w:r>
      <w:r w:rsidRPr="008D65EE">
        <w:rPr>
          <w:rFonts w:cstheme="minorHAnsi"/>
          <w:sz w:val="20"/>
          <w:szCs w:val="20"/>
          <w:lang w:val="es-CO"/>
        </w:rPr>
        <w:t xml:space="preserve">. </w:t>
      </w:r>
      <w:r w:rsidR="001B1D6A" w:rsidRPr="008D65EE">
        <w:rPr>
          <w:color w:val="auto"/>
          <w:sz w:val="20"/>
          <w:szCs w:val="20"/>
          <w:lang w:val="es-CO"/>
        </w:rPr>
        <w:t>Por lo tanto, la protección del derecho a la integridad personal supone la regulación de los servicios de salud en el ámbito interno, así como la implementación de una serie de mecanismos tendientes a tutelar la efectividad de dicha regulación.</w:t>
      </w:r>
      <w:r w:rsidR="001B1D6A" w:rsidRPr="008D65EE">
        <w:rPr>
          <w:rStyle w:val="FootnoteReference"/>
          <w:color w:val="auto"/>
          <w:sz w:val="20"/>
          <w:szCs w:val="20"/>
          <w:lang w:val="es-CO"/>
        </w:rPr>
        <w:footnoteReference w:id="85"/>
      </w:r>
      <w:r w:rsidR="001B1D6A" w:rsidRPr="008D65EE">
        <w:rPr>
          <w:rFonts w:cstheme="minorHAnsi"/>
          <w:color w:val="auto"/>
          <w:sz w:val="20"/>
          <w:szCs w:val="20"/>
          <w:lang w:val="es-CO"/>
        </w:rPr>
        <w:t xml:space="preserve"> </w:t>
      </w:r>
      <w:r w:rsidRPr="008D65EE">
        <w:rPr>
          <w:rFonts w:cstheme="minorHAnsi"/>
          <w:sz w:val="20"/>
          <w:szCs w:val="20"/>
          <w:lang w:val="es-CO"/>
        </w:rPr>
        <w:t>De igual forma, se han referido a la plena justiciabilidad y autonomía del derecho a la salud a través del artículo 26 de la Convención Americana y las obligaciones que derivan del mismo</w:t>
      </w:r>
      <w:r w:rsidRPr="008D65EE">
        <w:rPr>
          <w:rStyle w:val="FootnoteReference"/>
          <w:rFonts w:cstheme="minorHAnsi"/>
          <w:sz w:val="20"/>
          <w:szCs w:val="20"/>
          <w:lang w:val="es-CO"/>
        </w:rPr>
        <w:footnoteReference w:id="86"/>
      </w:r>
      <w:r w:rsidRPr="008D65EE">
        <w:rPr>
          <w:rFonts w:cstheme="minorHAnsi"/>
          <w:sz w:val="20"/>
          <w:szCs w:val="20"/>
          <w:lang w:val="es-CO"/>
        </w:rPr>
        <w:t>. La Comisión ha reiterado que el derecho a la salud constituye una de las normas económicas y sociales mencionadas en el artículo 26 de la Convención y, en ese sentido, los Estados partes se encuentran en la obligación de procurar el desarrollo progresivo del mismo, así como de respetar, garantizar y adoptar las medidas necesarias para hacer efectivo tal derecho</w:t>
      </w:r>
      <w:r w:rsidRPr="008D65EE">
        <w:rPr>
          <w:rStyle w:val="FootnoteReference"/>
          <w:rFonts w:cstheme="minorHAnsi"/>
          <w:sz w:val="20"/>
          <w:szCs w:val="20"/>
          <w:lang w:val="es-CO"/>
        </w:rPr>
        <w:footnoteReference w:id="87"/>
      </w:r>
      <w:r w:rsidRPr="008D65EE">
        <w:rPr>
          <w:rFonts w:cstheme="minorHAnsi"/>
          <w:sz w:val="20"/>
          <w:szCs w:val="20"/>
          <w:lang w:val="es-CO"/>
        </w:rPr>
        <w:t xml:space="preserve">. En casos donde el Estado no ha garantizado el derecho a la salud a una persona privada de </w:t>
      </w:r>
      <w:r w:rsidRPr="008D65EE">
        <w:rPr>
          <w:rFonts w:cstheme="minorHAnsi"/>
          <w:sz w:val="20"/>
          <w:szCs w:val="20"/>
          <w:lang w:val="es-CO"/>
        </w:rPr>
        <w:lastRenderedPageBreak/>
        <w:t>libertad, la Corte ha encontrado anteriormente que existe una violación al artículo 5.1 y 26 de la Convención Americana</w:t>
      </w:r>
      <w:r w:rsidRPr="008D65EE">
        <w:rPr>
          <w:rStyle w:val="FootnoteReference"/>
          <w:rFonts w:cstheme="minorHAnsi"/>
          <w:sz w:val="20"/>
          <w:szCs w:val="20"/>
          <w:lang w:val="es-CO"/>
        </w:rPr>
        <w:footnoteReference w:id="88"/>
      </w:r>
      <w:r w:rsidRPr="008D65EE">
        <w:rPr>
          <w:rFonts w:cstheme="minorHAnsi"/>
          <w:sz w:val="20"/>
          <w:szCs w:val="20"/>
          <w:lang w:val="es-CO"/>
        </w:rPr>
        <w:t>.</w:t>
      </w:r>
    </w:p>
    <w:p w14:paraId="7AA386E4" w14:textId="77777777" w:rsidR="00913B80" w:rsidRPr="008D65EE" w:rsidRDefault="00913B80" w:rsidP="00913B80">
      <w:pPr>
        <w:pStyle w:val="parrafos"/>
        <w:rPr>
          <w:lang w:val="es-CO"/>
        </w:rPr>
      </w:pPr>
    </w:p>
    <w:p w14:paraId="6E7ABF67" w14:textId="77777777" w:rsidR="00913B80" w:rsidRPr="008D65EE" w:rsidRDefault="00913B80" w:rsidP="00913B8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sz w:val="20"/>
          <w:szCs w:val="20"/>
          <w:lang w:val="es-CO"/>
        </w:rPr>
      </w:pPr>
      <w:r w:rsidRPr="008D65EE">
        <w:rPr>
          <w:sz w:val="20"/>
          <w:szCs w:val="20"/>
          <w:lang w:val="es-CO"/>
        </w:rPr>
        <w:t>En ese marco, la Corte ha reconocido que la salud es un derecho humano fundamental e indispensable para el ejercicio adecuado de los demás derechos humanos, y que todo ser humano tiene derecho al disfrute del más alto nivel posible de salud que le permita vivir dignamente, entendida la salud no sólo como la ausencia de afecciones o enfermedades, sino también como un estado completo de bienestar físico, mental y social, derivado de un estilo de vida que permita alcanzar a las personas un balance integral</w:t>
      </w:r>
      <w:r w:rsidRPr="008D65EE">
        <w:rPr>
          <w:rStyle w:val="FootnoteReference"/>
          <w:sz w:val="20"/>
          <w:szCs w:val="20"/>
          <w:lang w:val="es-CO"/>
        </w:rPr>
        <w:footnoteReference w:id="89"/>
      </w:r>
      <w:r w:rsidRPr="008D65EE">
        <w:rPr>
          <w:sz w:val="20"/>
          <w:szCs w:val="20"/>
          <w:lang w:val="es-CO"/>
        </w:rPr>
        <w:t>. Tanto para analizar posibles violaciones a los derechos a la vida e integridad personales relacionadas con la salud, como para determinar las obligaciones exigibles autónomamente bajo el derecho a la salud protegido por el artículo 26 de la Convención, la Comisión y la Corte han tomado en consideración los componentes de disponibilidad, accesibilidad, aceptabilidad y calidad de las prestaciones médicas, indicando que aquellas obligaciones deben estar orientadas hacia la satisfacción de tales componentes</w:t>
      </w:r>
      <w:r w:rsidRPr="008D65EE">
        <w:rPr>
          <w:rStyle w:val="FootnoteReference"/>
          <w:sz w:val="20"/>
          <w:szCs w:val="20"/>
          <w:lang w:val="es-CO"/>
        </w:rPr>
        <w:footnoteReference w:id="90"/>
      </w:r>
      <w:r w:rsidRPr="008D65EE">
        <w:rPr>
          <w:sz w:val="20"/>
          <w:szCs w:val="20"/>
          <w:lang w:val="es-CO"/>
        </w:rPr>
        <w:t xml:space="preserve">. </w:t>
      </w:r>
    </w:p>
    <w:p w14:paraId="4EF912C0" w14:textId="77777777" w:rsidR="00866305" w:rsidRPr="008D65EE" w:rsidRDefault="00866305" w:rsidP="00866305">
      <w:pPr>
        <w:rPr>
          <w:sz w:val="20"/>
          <w:szCs w:val="20"/>
          <w:lang w:val="es-CO"/>
        </w:rPr>
      </w:pPr>
    </w:p>
    <w:p w14:paraId="445139EC" w14:textId="77777777" w:rsidR="00866305" w:rsidRPr="008D65EE" w:rsidRDefault="00866305" w:rsidP="0086630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sz w:val="20"/>
          <w:szCs w:val="20"/>
          <w:lang w:val="es-CO"/>
        </w:rPr>
      </w:pPr>
      <w:r w:rsidRPr="008D65EE">
        <w:rPr>
          <w:sz w:val="20"/>
          <w:szCs w:val="20"/>
          <w:lang w:val="es-CO"/>
        </w:rPr>
        <w:t>La falta de atención médica adecuada “no satisface los requisitos materiales mínimos de un tratamiento digno conforme a la condición de ser humano en el sentido del artículo 5 de la Convención”</w:t>
      </w:r>
      <w:r w:rsidRPr="008D65EE">
        <w:rPr>
          <w:rStyle w:val="FootnoteReference"/>
          <w:sz w:val="20"/>
          <w:szCs w:val="20"/>
          <w:lang w:val="es-CO"/>
        </w:rPr>
        <w:footnoteReference w:id="91"/>
      </w:r>
      <w:r w:rsidRPr="008D65EE">
        <w:rPr>
          <w:sz w:val="20"/>
          <w:szCs w:val="20"/>
          <w:lang w:val="es-CO"/>
        </w:rPr>
        <w:t>. El derecho a la integridad personal tiene un nexo con el derecho a la salud, entendido como un derecho autónomo que deriva del artículo 26 de la Convención, y las condiciones de detención de las personas privadas de la libertad</w:t>
      </w:r>
      <w:r w:rsidRPr="008D65EE">
        <w:rPr>
          <w:rStyle w:val="FootnoteReference"/>
          <w:sz w:val="20"/>
          <w:szCs w:val="20"/>
          <w:lang w:val="es-CO"/>
        </w:rPr>
        <w:footnoteReference w:id="92"/>
      </w:r>
      <w:r w:rsidRPr="008D65EE">
        <w:rPr>
          <w:sz w:val="20"/>
          <w:szCs w:val="20"/>
          <w:lang w:val="es-CO"/>
        </w:rPr>
        <w:t>. En este sentido, la Comisión recuerda que teniendo en cuenta el marco interpretativo del artículo 29 de la Convención Americana, el artículo 26 visto a la luz de los artículos 1.1 y 2 del mismo instrumento, se desprenden, al menos las siguientes obligaciones inmediatas y exigibles: i) obligaciones generales de respeto y garantía, ii) aplicación del principio de no discriminación a los derechos económicos, sociales y culturales, iii) obligaciones de dar pasos o adoptar medidas para lograr el goce de los derechos incorporados en dicho artículo y iv) ofrecer recursos idóneos y efectivos para su protección. Las metodologías o fuentes de análisis que resulten pertinentes para cada una de estas obligaciones, deberán ser establecidas según las circunstancias propias de cada caso.</w:t>
      </w:r>
    </w:p>
    <w:p w14:paraId="7221297E" w14:textId="77777777" w:rsidR="00714F11" w:rsidRPr="008D65EE" w:rsidRDefault="00714F11" w:rsidP="0086630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eastAsia="Batang"/>
          <w:sz w:val="20"/>
          <w:szCs w:val="20"/>
          <w:bdr w:val="none" w:sz="0" w:space="0" w:color="auto"/>
          <w:lang w:val="es-CO"/>
        </w:rPr>
      </w:pPr>
    </w:p>
    <w:p w14:paraId="6407A649" w14:textId="7D41B07E" w:rsidR="00714F11" w:rsidRPr="008D65EE" w:rsidRDefault="005B6E17" w:rsidP="00B7324E">
      <w:pPr>
        <w:pStyle w:val="ListParagraph"/>
        <w:numPr>
          <w:ilvl w:val="0"/>
          <w:numId w:val="55"/>
        </w:numPr>
        <w:jc w:val="both"/>
        <w:rPr>
          <w:b/>
          <w:sz w:val="20"/>
          <w:szCs w:val="20"/>
          <w:lang w:val="es-CO"/>
        </w:rPr>
      </w:pPr>
      <w:r w:rsidRPr="008D65EE">
        <w:rPr>
          <w:b/>
          <w:sz w:val="20"/>
          <w:szCs w:val="20"/>
          <w:lang w:val="es-CO"/>
        </w:rPr>
        <w:t xml:space="preserve">La obligación del Estado de proveer servicios de salud física y psicológica a las personas privadas de libertad </w:t>
      </w:r>
    </w:p>
    <w:p w14:paraId="5C1CDD5D" w14:textId="77777777" w:rsidR="00714F11" w:rsidRPr="008D65EE" w:rsidRDefault="00714F11" w:rsidP="00714F11">
      <w:pPr>
        <w:pStyle w:val="ListParagraph"/>
        <w:ind w:left="1080"/>
        <w:rPr>
          <w:b/>
          <w:sz w:val="20"/>
          <w:szCs w:val="20"/>
          <w:lang w:val="es-CO"/>
        </w:rPr>
      </w:pPr>
    </w:p>
    <w:p w14:paraId="1ACB1D7C" w14:textId="6F9DACFF" w:rsidR="00866305" w:rsidRPr="008D65EE" w:rsidRDefault="00714F11" w:rsidP="00866305">
      <w:pPr>
        <w:pStyle w:val="ListParagraph"/>
        <w:numPr>
          <w:ilvl w:val="0"/>
          <w:numId w:val="51"/>
        </w:numPr>
        <w:ind w:left="0" w:firstLine="567"/>
        <w:jc w:val="both"/>
        <w:rPr>
          <w:sz w:val="20"/>
          <w:szCs w:val="20"/>
          <w:lang w:val="es-CO"/>
        </w:rPr>
      </w:pPr>
      <w:r w:rsidRPr="008D65EE">
        <w:rPr>
          <w:sz w:val="20"/>
          <w:szCs w:val="20"/>
          <w:lang w:val="es-CO"/>
        </w:rPr>
        <w:t>La jurisprudencia reiterada del sistema interamericano ha establecido que frente a las personas privadas de libertad, el Estado asume una posición especial de garante de sus derechos, toda vez que la privación de libertad “produce una relación e interacción especial de sujeción entre la persona privada de libertad y el Estado, caracterizada por la particular intensidad con que el Estado puede regular sus derechos y obligaciones y por las circunstancias propias del encierro, en donde al recluso se le impide satisfacer por cuenta propia una serie de necesidades básicas que son esenciales para el desarrollo de una vida digna”</w:t>
      </w:r>
      <w:r w:rsidRPr="008D65EE">
        <w:rPr>
          <w:rStyle w:val="FootnoteReference"/>
          <w:sz w:val="20"/>
          <w:szCs w:val="20"/>
          <w:lang w:val="es-CO"/>
        </w:rPr>
        <w:footnoteReference w:id="93"/>
      </w:r>
      <w:r w:rsidRPr="008D65EE">
        <w:rPr>
          <w:sz w:val="20"/>
          <w:szCs w:val="20"/>
          <w:lang w:val="es-CO"/>
        </w:rPr>
        <w:t xml:space="preserve">. </w:t>
      </w:r>
      <w:r w:rsidR="00866305" w:rsidRPr="008D65EE">
        <w:rPr>
          <w:sz w:val="20"/>
          <w:szCs w:val="20"/>
          <w:lang w:val="es-CO"/>
        </w:rPr>
        <w:t xml:space="preserve"> Asimismo, la Corte ha destacado que “siempre que una persona es privada de la libertad en un estado de salud normal y posteriormente aparece con afectaciones a su salud, corresponde al Estado proveer una explicación satisfactoria y convincente de esa situación y desvirtuar alegatos sobre su responsabilidad, mediante elementos probatorios adecuados”</w:t>
      </w:r>
      <w:r w:rsidR="00866305" w:rsidRPr="008D65EE">
        <w:rPr>
          <w:rStyle w:val="FootnoteReference"/>
          <w:sz w:val="20"/>
          <w:szCs w:val="20"/>
          <w:lang w:val="es-CO"/>
        </w:rPr>
        <w:footnoteReference w:id="94"/>
      </w:r>
      <w:r w:rsidR="00866305" w:rsidRPr="008D65EE">
        <w:rPr>
          <w:sz w:val="20"/>
          <w:szCs w:val="20"/>
          <w:lang w:val="es-CO"/>
        </w:rPr>
        <w:t>. Es decir, si el Estado no logra brindar una explicación satisfactoria, esto llevaría a la presunción de responsabilidad estatal por las afecciones que sufre la persona que ha estado bajo la custodia de agentes estatales</w:t>
      </w:r>
      <w:r w:rsidR="00866305" w:rsidRPr="008D65EE">
        <w:rPr>
          <w:rStyle w:val="FootnoteReference"/>
          <w:sz w:val="20"/>
          <w:szCs w:val="20"/>
          <w:lang w:val="es-CO"/>
        </w:rPr>
        <w:footnoteReference w:id="95"/>
      </w:r>
      <w:r w:rsidR="00866305" w:rsidRPr="008D65EE">
        <w:rPr>
          <w:sz w:val="20"/>
          <w:szCs w:val="20"/>
          <w:lang w:val="es-CO"/>
        </w:rPr>
        <w:t xml:space="preserve">. </w:t>
      </w:r>
    </w:p>
    <w:p w14:paraId="0766C14A" w14:textId="77777777" w:rsidR="0036484A" w:rsidRPr="008D65EE" w:rsidRDefault="0036484A" w:rsidP="0036484A">
      <w:pPr>
        <w:pStyle w:val="ListParagraph"/>
        <w:ind w:left="567"/>
        <w:jc w:val="both"/>
        <w:rPr>
          <w:sz w:val="20"/>
          <w:szCs w:val="20"/>
          <w:lang w:val="es-CO"/>
        </w:rPr>
      </w:pPr>
    </w:p>
    <w:p w14:paraId="255A27BE" w14:textId="2F356421" w:rsidR="000968CB" w:rsidRPr="008D65EE" w:rsidRDefault="000968CB" w:rsidP="0086630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sz w:val="20"/>
          <w:szCs w:val="20"/>
          <w:lang w:val="es-CO"/>
        </w:rPr>
      </w:pPr>
      <w:r w:rsidRPr="008D65EE">
        <w:rPr>
          <w:rFonts w:cstheme="minorHAnsi"/>
          <w:bCs/>
          <w:sz w:val="20"/>
          <w:szCs w:val="20"/>
          <w:lang w:val="es-CO"/>
        </w:rPr>
        <w:t xml:space="preserve">El Estado tiene el deber de salvaguardar la salud y el bienestar de las personas detenidas, </w:t>
      </w:r>
      <w:r w:rsidRPr="008D65EE">
        <w:rPr>
          <w:bCs/>
          <w:sz w:val="20"/>
          <w:szCs w:val="20"/>
          <w:lang w:val="es-CO"/>
        </w:rPr>
        <w:t>“</w:t>
      </w:r>
      <w:r w:rsidRPr="008D65EE">
        <w:rPr>
          <w:rFonts w:cstheme="minorHAnsi"/>
          <w:bCs/>
          <w:sz w:val="20"/>
          <w:szCs w:val="20"/>
          <w:lang w:val="es-CO"/>
        </w:rPr>
        <w:t>brindándoles, entre otras cosas, la asistencia médica requerida, así como debe garantizar que la manera y el método de privación de libertad no excedan el nivel inevitable de sufrimiento inherente a la detención”</w:t>
      </w:r>
      <w:r w:rsidRPr="008D65EE">
        <w:rPr>
          <w:rStyle w:val="FootnoteReference"/>
          <w:rFonts w:cstheme="minorHAnsi"/>
          <w:sz w:val="20"/>
          <w:szCs w:val="20"/>
          <w:lang w:val="es-CO"/>
        </w:rPr>
        <w:footnoteReference w:id="96"/>
      </w:r>
      <w:r w:rsidRPr="008D65EE">
        <w:rPr>
          <w:rFonts w:cstheme="minorHAnsi"/>
          <w:bCs/>
          <w:sz w:val="20"/>
          <w:szCs w:val="20"/>
          <w:lang w:val="es-CO"/>
        </w:rPr>
        <w:t xml:space="preserve">. </w:t>
      </w:r>
    </w:p>
    <w:p w14:paraId="743A3ACC" w14:textId="77777777" w:rsidR="00244B80" w:rsidRPr="008D65EE" w:rsidRDefault="00244B80" w:rsidP="00244B80">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es-CO"/>
        </w:rPr>
      </w:pPr>
    </w:p>
    <w:p w14:paraId="6FB4415C" w14:textId="14F7DA5B" w:rsidR="009D13A5" w:rsidRPr="008D65EE" w:rsidRDefault="000968CB" w:rsidP="00B150F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sz w:val="20"/>
          <w:szCs w:val="20"/>
          <w:lang w:val="es-CO"/>
        </w:rPr>
      </w:pPr>
      <w:r w:rsidRPr="008D65EE">
        <w:rPr>
          <w:rFonts w:cstheme="minorHAnsi"/>
          <w:bCs/>
          <w:sz w:val="20"/>
          <w:szCs w:val="20"/>
          <w:lang w:val="es-CO"/>
        </w:rPr>
        <w:t xml:space="preserve">En cuanto a las condiciones de detención, la Corte ha indicado que </w:t>
      </w:r>
      <w:r w:rsidRPr="008D65EE">
        <w:rPr>
          <w:rFonts w:cstheme="minorHAnsi"/>
          <w:sz w:val="20"/>
          <w:szCs w:val="20"/>
          <w:lang w:val="es-CO"/>
        </w:rPr>
        <w:t>debe proporcionarse atención médica “regularmente, brindando el tratamiento adecuado que sea necesario y a cargo del personal médico calificado cuando este sea necesario”</w:t>
      </w:r>
      <w:r w:rsidRPr="008D65EE">
        <w:rPr>
          <w:rStyle w:val="FootnoteReference"/>
          <w:rFonts w:cstheme="minorHAnsi"/>
          <w:sz w:val="20"/>
          <w:szCs w:val="20"/>
          <w:lang w:val="es-CO"/>
        </w:rPr>
        <w:footnoteReference w:id="97"/>
      </w:r>
      <w:r w:rsidRPr="008D65EE">
        <w:rPr>
          <w:rFonts w:cstheme="minorHAnsi"/>
          <w:sz w:val="20"/>
          <w:szCs w:val="20"/>
          <w:lang w:val="es-CO"/>
        </w:rPr>
        <w:t xml:space="preserve">. </w:t>
      </w:r>
      <w:r w:rsidR="005356AD" w:rsidRPr="008D65EE">
        <w:rPr>
          <w:sz w:val="20"/>
          <w:szCs w:val="20"/>
          <w:lang w:val="es-CO"/>
        </w:rPr>
        <w:t xml:space="preserve">Tanto la Comisión como la </w:t>
      </w:r>
      <w:r w:rsidR="009D13A5" w:rsidRPr="008D65EE">
        <w:rPr>
          <w:sz w:val="20"/>
          <w:szCs w:val="20"/>
          <w:lang w:val="es-CO"/>
        </w:rPr>
        <w:t xml:space="preserve">Corte </w:t>
      </w:r>
      <w:r w:rsidR="005356AD" w:rsidRPr="008D65EE">
        <w:rPr>
          <w:sz w:val="20"/>
          <w:szCs w:val="20"/>
          <w:lang w:val="es-CO"/>
        </w:rPr>
        <w:t xml:space="preserve">han </w:t>
      </w:r>
      <w:r w:rsidR="007C7828" w:rsidRPr="008D65EE">
        <w:rPr>
          <w:sz w:val="20"/>
          <w:szCs w:val="20"/>
          <w:lang w:val="es-CO"/>
        </w:rPr>
        <w:t>empleado</w:t>
      </w:r>
      <w:r w:rsidR="005356AD" w:rsidRPr="008D65EE">
        <w:rPr>
          <w:sz w:val="20"/>
          <w:szCs w:val="20"/>
          <w:lang w:val="es-CO"/>
        </w:rPr>
        <w:t xml:space="preserve"> </w:t>
      </w:r>
      <w:r w:rsidR="009D13A5" w:rsidRPr="008D65EE">
        <w:rPr>
          <w:bCs/>
          <w:iCs/>
          <w:sz w:val="20"/>
          <w:szCs w:val="20"/>
          <w:lang w:val="es-CO"/>
        </w:rPr>
        <w:t>las Reglas Mínimas de Naciones Unidas para el Tratamiento de Reclusos a fin de interpretar el contenido del derecho de las personas privadas de la libertad a un trato digno y humano</w:t>
      </w:r>
      <w:r w:rsidR="007C7828" w:rsidRPr="008D65EE">
        <w:rPr>
          <w:rStyle w:val="FootnoteReference"/>
          <w:bCs/>
          <w:iCs/>
          <w:sz w:val="20"/>
          <w:szCs w:val="20"/>
          <w:lang w:val="es-CO"/>
        </w:rPr>
        <w:footnoteReference w:id="98"/>
      </w:r>
      <w:r w:rsidR="009D13A5" w:rsidRPr="008D65EE">
        <w:rPr>
          <w:bCs/>
          <w:iCs/>
          <w:sz w:val="20"/>
          <w:szCs w:val="20"/>
          <w:lang w:val="es-CO"/>
        </w:rPr>
        <w:t xml:space="preserve">. </w:t>
      </w:r>
      <w:r w:rsidR="00531E2A" w:rsidRPr="008D65EE">
        <w:rPr>
          <w:bCs/>
          <w:iCs/>
          <w:sz w:val="20"/>
          <w:szCs w:val="20"/>
          <w:lang w:val="es-CO"/>
        </w:rPr>
        <w:t xml:space="preserve">En este sentido, han reiterado que con respecto a los </w:t>
      </w:r>
      <w:r w:rsidR="009D13A5" w:rsidRPr="008D65EE">
        <w:rPr>
          <w:bCs/>
          <w:iCs/>
          <w:sz w:val="20"/>
          <w:szCs w:val="20"/>
          <w:lang w:val="es-CO"/>
        </w:rPr>
        <w:t>servicios médicos que se les deben prestar, dichas Reglas señalan</w:t>
      </w:r>
      <w:r w:rsidR="00531E2A" w:rsidRPr="008D65EE">
        <w:rPr>
          <w:bCs/>
          <w:iCs/>
          <w:sz w:val="20"/>
          <w:szCs w:val="20"/>
          <w:lang w:val="es-CO"/>
        </w:rPr>
        <w:t xml:space="preserve"> </w:t>
      </w:r>
      <w:r w:rsidR="009D13A5" w:rsidRPr="008D65EE">
        <w:rPr>
          <w:bCs/>
          <w:iCs/>
          <w:sz w:val="20"/>
          <w:szCs w:val="20"/>
          <w:lang w:val="es-CO"/>
        </w:rPr>
        <w:t>que “[e]l médico deberá examinar a cada recluso tan pronto sea posible después de su ingreso y ulteriormente tan a menudo como sea necesario, en particular para determinar la existencia de una enfermedad física o mental, [y] tomar en su caso las medidas necesarias”</w:t>
      </w:r>
      <w:r w:rsidR="009D13A5" w:rsidRPr="008D65EE">
        <w:rPr>
          <w:sz w:val="20"/>
          <w:szCs w:val="20"/>
          <w:vertAlign w:val="superscript"/>
          <w:lang w:val="es-CO"/>
        </w:rPr>
        <w:footnoteReference w:id="99"/>
      </w:r>
      <w:r w:rsidR="00531E2A" w:rsidRPr="008D65EE">
        <w:rPr>
          <w:bCs/>
          <w:iCs/>
          <w:sz w:val="20"/>
          <w:szCs w:val="20"/>
          <w:lang w:val="es-CO"/>
        </w:rPr>
        <w:t>.</w:t>
      </w:r>
    </w:p>
    <w:p w14:paraId="713C6AAB" w14:textId="77777777" w:rsidR="009D13A5" w:rsidRPr="008D65EE" w:rsidRDefault="009D13A5" w:rsidP="00EA6555">
      <w:pPr>
        <w:pStyle w:val="ListParagraph"/>
        <w:ind w:left="0" w:firstLine="567"/>
        <w:rPr>
          <w:sz w:val="20"/>
          <w:szCs w:val="20"/>
          <w:lang w:val="es-CO"/>
        </w:rPr>
      </w:pPr>
    </w:p>
    <w:p w14:paraId="01A22CE0" w14:textId="77777777" w:rsidR="000968CB" w:rsidRPr="008D65EE" w:rsidRDefault="009D13A5"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sz w:val="20"/>
          <w:szCs w:val="20"/>
          <w:lang w:val="es-CO"/>
        </w:rPr>
      </w:pPr>
      <w:r w:rsidRPr="008D65EE">
        <w:rPr>
          <w:sz w:val="20"/>
          <w:szCs w:val="20"/>
          <w:lang w:val="es-CO"/>
        </w:rPr>
        <w:t>También es pertinente recordar que el Principio 24 para la Protección de Todas las Personas Sometidas a Cualquier Forma de Detención o Prisión establece que: “[s]e ofrecerá a toda persona detenida o presa un examen médico apropiado con la menor dilación posible después de su ingreso en el lugar de detención o prisión y, posteriormente, esas personas recibirán atención y tratamiento médico cada vez que sea necesario. Esa atención y ese tratamiento serán gratuitos”</w:t>
      </w:r>
      <w:r w:rsidRPr="008D65EE">
        <w:rPr>
          <w:sz w:val="20"/>
          <w:szCs w:val="20"/>
          <w:vertAlign w:val="superscript"/>
          <w:lang w:val="es-CO"/>
        </w:rPr>
        <w:footnoteReference w:id="100"/>
      </w:r>
      <w:r w:rsidR="000968CB" w:rsidRPr="008D65EE">
        <w:rPr>
          <w:sz w:val="20"/>
          <w:szCs w:val="20"/>
          <w:lang w:val="es-CO"/>
        </w:rPr>
        <w:t xml:space="preserve">. </w:t>
      </w:r>
    </w:p>
    <w:p w14:paraId="45A0517C" w14:textId="77777777" w:rsidR="000968CB" w:rsidRPr="008D65EE" w:rsidRDefault="000968CB" w:rsidP="00EA6555">
      <w:pPr>
        <w:pStyle w:val="ListParagraph"/>
        <w:ind w:left="0" w:firstLine="567"/>
        <w:rPr>
          <w:sz w:val="20"/>
          <w:szCs w:val="20"/>
          <w:lang w:val="es-CO"/>
        </w:rPr>
      </w:pPr>
    </w:p>
    <w:p w14:paraId="18D16CF7" w14:textId="1F8661BF" w:rsidR="00531E2A" w:rsidRPr="008D65EE" w:rsidRDefault="00B150F5"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sz w:val="20"/>
          <w:szCs w:val="20"/>
          <w:lang w:val="es-CO"/>
        </w:rPr>
      </w:pPr>
      <w:r w:rsidRPr="008D65EE">
        <w:rPr>
          <w:sz w:val="20"/>
          <w:szCs w:val="20"/>
          <w:lang w:val="es-CO"/>
        </w:rPr>
        <w:t>Aunado a esto, l</w:t>
      </w:r>
      <w:r w:rsidR="000968CB" w:rsidRPr="008D65EE">
        <w:rPr>
          <w:sz w:val="20"/>
          <w:szCs w:val="20"/>
          <w:lang w:val="es-CO"/>
        </w:rPr>
        <w:t>a Comisión, siguiendo la jurisprudencia europea, ha afirmado que se debe respetar el principio de equivalencia</w:t>
      </w:r>
      <w:r w:rsidR="000968CB" w:rsidRPr="008D65EE">
        <w:rPr>
          <w:rStyle w:val="FootnoteReference"/>
          <w:rFonts w:cs="Times New Roman"/>
          <w:sz w:val="20"/>
          <w:szCs w:val="20"/>
          <w:lang w:val="es-CO"/>
        </w:rPr>
        <w:footnoteReference w:id="101"/>
      </w:r>
      <w:r w:rsidR="000968CB" w:rsidRPr="008D65EE">
        <w:rPr>
          <w:sz w:val="20"/>
          <w:szCs w:val="20"/>
          <w:lang w:val="es-CO"/>
        </w:rPr>
        <w:t>. Dicho principio consiste en que, dentro de los recintos de privación de libertad, los servicios de salud organizados en las prisiones deben poder proveer tratamiento médico y de enfermería en condiciones comparables con aquellas disfrutadas por pacientes en la comunidad exterior”</w:t>
      </w:r>
      <w:r w:rsidR="000968CB" w:rsidRPr="008D65EE">
        <w:rPr>
          <w:rStyle w:val="FootnoteReference"/>
          <w:rFonts w:cs="Times New Roman"/>
          <w:sz w:val="20"/>
          <w:szCs w:val="20"/>
          <w:lang w:val="es-CO"/>
        </w:rPr>
        <w:footnoteReference w:id="102"/>
      </w:r>
      <w:r w:rsidR="000968CB" w:rsidRPr="008D65EE">
        <w:rPr>
          <w:sz w:val="20"/>
          <w:szCs w:val="20"/>
          <w:lang w:val="es-CO"/>
        </w:rPr>
        <w:t>. Este principio igualmente ha sido reconocido por la Corte Interamericana</w:t>
      </w:r>
      <w:r w:rsidR="000968CB" w:rsidRPr="008D65EE">
        <w:rPr>
          <w:rStyle w:val="FootnoteReference"/>
          <w:rFonts w:cs="Times New Roman"/>
          <w:sz w:val="20"/>
          <w:szCs w:val="20"/>
          <w:lang w:val="es-CO"/>
        </w:rPr>
        <w:footnoteReference w:id="103"/>
      </w:r>
      <w:r w:rsidR="000968CB" w:rsidRPr="008D65EE">
        <w:rPr>
          <w:sz w:val="20"/>
          <w:szCs w:val="20"/>
          <w:lang w:val="es-CO"/>
        </w:rPr>
        <w:t>.</w:t>
      </w:r>
      <w:r w:rsidR="00DF23DC" w:rsidRPr="008D65EE">
        <w:rPr>
          <w:sz w:val="20"/>
          <w:szCs w:val="20"/>
          <w:lang w:val="es-CO"/>
        </w:rPr>
        <w:t xml:space="preserve"> </w:t>
      </w:r>
      <w:r w:rsidRPr="008D65EE">
        <w:rPr>
          <w:sz w:val="20"/>
          <w:szCs w:val="20"/>
          <w:lang w:val="es-CO"/>
        </w:rPr>
        <w:t>Con respecto a este principio, e</w:t>
      </w:r>
      <w:r w:rsidR="00DF23DC" w:rsidRPr="008D65EE">
        <w:rPr>
          <w:sz w:val="20"/>
          <w:szCs w:val="20"/>
          <w:lang w:val="es-CO"/>
        </w:rPr>
        <w:t xml:space="preserve">l Tribunal Europeo ha señalado </w:t>
      </w:r>
      <w:r w:rsidRPr="008D65EE">
        <w:rPr>
          <w:sz w:val="20"/>
          <w:szCs w:val="20"/>
          <w:lang w:val="es-CO"/>
        </w:rPr>
        <w:t xml:space="preserve">que </w:t>
      </w:r>
      <w:r w:rsidR="00DF23DC" w:rsidRPr="008D65EE">
        <w:rPr>
          <w:sz w:val="20"/>
          <w:szCs w:val="20"/>
          <w:lang w:val="es-CO"/>
        </w:rPr>
        <w:t xml:space="preserve">el servicio de salud en los recintos de privación de libertad debe poder proveer tratamiento médico y de </w:t>
      </w:r>
      <w:r w:rsidR="00C36237" w:rsidRPr="008D65EE">
        <w:rPr>
          <w:sz w:val="20"/>
          <w:szCs w:val="20"/>
          <w:lang w:val="es-CO"/>
        </w:rPr>
        <w:t>enfermería,</w:t>
      </w:r>
      <w:r w:rsidR="00DF23DC" w:rsidRPr="008D65EE">
        <w:rPr>
          <w:sz w:val="20"/>
          <w:szCs w:val="20"/>
          <w:lang w:val="es-CO"/>
        </w:rPr>
        <w:t xml:space="preserve"> así como dietas apropiadas, fisioterapia, rehabilitación y otras facilidades necesarias especializadas en condiciones comparables con aquellas disfrutadas por pacientes en la comunidad exterior</w:t>
      </w:r>
      <w:r w:rsidR="00DF23DC" w:rsidRPr="008D65EE">
        <w:rPr>
          <w:rStyle w:val="FootnoteAnchor"/>
          <w:sz w:val="20"/>
          <w:szCs w:val="20"/>
          <w:lang w:val="es-CO"/>
        </w:rPr>
        <w:footnoteReference w:id="104"/>
      </w:r>
      <w:r w:rsidR="00DF23DC" w:rsidRPr="008D65EE">
        <w:rPr>
          <w:sz w:val="20"/>
          <w:szCs w:val="20"/>
          <w:lang w:val="es-CO"/>
        </w:rPr>
        <w:t xml:space="preserve">. </w:t>
      </w:r>
      <w:r w:rsidR="00DF23DC" w:rsidRPr="008D65EE">
        <w:rPr>
          <w:rFonts w:cs="AdvPL"/>
          <w:sz w:val="20"/>
          <w:szCs w:val="20"/>
          <w:lang w:val="es-CO"/>
        </w:rPr>
        <w:t xml:space="preserve">La falta y/o deficiencia en la provisión de dicha atención médica, o </w:t>
      </w:r>
      <w:r w:rsidR="00DF23DC" w:rsidRPr="008D65EE">
        <w:rPr>
          <w:sz w:val="20"/>
          <w:szCs w:val="20"/>
          <w:lang w:val="es-CO"/>
        </w:rPr>
        <w:t xml:space="preserve">un tratamiento médico negligente o deficiente, </w:t>
      </w:r>
      <w:r w:rsidR="00DF23DC" w:rsidRPr="008D65EE">
        <w:rPr>
          <w:rFonts w:cs="AdvPL"/>
          <w:sz w:val="20"/>
          <w:szCs w:val="20"/>
          <w:lang w:val="es-CO"/>
        </w:rPr>
        <w:t>no es acorde con la obligación de proteger el derecho a la vida de las personas privadas de libertad</w:t>
      </w:r>
      <w:r w:rsidR="00DF23DC" w:rsidRPr="008D65EE">
        <w:rPr>
          <w:rStyle w:val="FootnoteAnchor"/>
          <w:rFonts w:cs="AdvPL"/>
          <w:sz w:val="20"/>
          <w:szCs w:val="20"/>
          <w:lang w:val="es-CO"/>
        </w:rPr>
        <w:footnoteReference w:id="105"/>
      </w:r>
      <w:r w:rsidR="00DF23DC" w:rsidRPr="008D65EE">
        <w:rPr>
          <w:rFonts w:cs="AdvPL"/>
          <w:sz w:val="20"/>
          <w:szCs w:val="20"/>
          <w:lang w:val="es-CO"/>
        </w:rPr>
        <w:t>.</w:t>
      </w:r>
    </w:p>
    <w:p w14:paraId="354E08C9" w14:textId="77777777" w:rsidR="00531E2A" w:rsidRPr="008D65EE" w:rsidRDefault="00531E2A" w:rsidP="00EA6555">
      <w:pPr>
        <w:pStyle w:val="ListParagraph"/>
        <w:ind w:left="0" w:firstLine="567"/>
        <w:rPr>
          <w:sz w:val="20"/>
          <w:szCs w:val="20"/>
          <w:lang w:val="es-CO"/>
        </w:rPr>
      </w:pPr>
    </w:p>
    <w:p w14:paraId="402AF136" w14:textId="4807E3AA" w:rsidR="00DF23DC" w:rsidRPr="008D65EE" w:rsidRDefault="00531E2A"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sz w:val="20"/>
          <w:szCs w:val="20"/>
          <w:lang w:val="es-CO"/>
        </w:rPr>
      </w:pPr>
      <w:r w:rsidRPr="008D65EE">
        <w:rPr>
          <w:sz w:val="20"/>
          <w:szCs w:val="20"/>
          <w:lang w:val="es-CO"/>
        </w:rPr>
        <w:lastRenderedPageBreak/>
        <w:t>La obligación de proveer servicios de salud a las personas privadas de libertad s</w:t>
      </w:r>
      <w:r w:rsidR="005356AD" w:rsidRPr="008D65EE">
        <w:rPr>
          <w:sz w:val="20"/>
          <w:szCs w:val="20"/>
          <w:lang w:val="es-CO"/>
        </w:rPr>
        <w:t>e incrementa</w:t>
      </w:r>
      <w:r w:rsidRPr="008D65EE">
        <w:rPr>
          <w:sz w:val="20"/>
          <w:szCs w:val="20"/>
          <w:lang w:val="es-CO"/>
        </w:rPr>
        <w:t xml:space="preserve"> además con</w:t>
      </w:r>
      <w:r w:rsidR="005356AD" w:rsidRPr="008D65EE">
        <w:rPr>
          <w:sz w:val="20"/>
          <w:szCs w:val="20"/>
          <w:lang w:val="es-CO"/>
        </w:rPr>
        <w:t xml:space="preserve"> respecto de una persona que padece enfermedades graves o crónicas cuando su salud se puede deteriorar de manera progresiva</w:t>
      </w:r>
      <w:r w:rsidRPr="008D65EE">
        <w:rPr>
          <w:rStyle w:val="FootnoteReference"/>
          <w:sz w:val="20"/>
          <w:szCs w:val="20"/>
          <w:lang w:val="es-CO"/>
        </w:rPr>
        <w:footnoteReference w:id="106"/>
      </w:r>
      <w:r w:rsidR="005356AD" w:rsidRPr="008D65EE">
        <w:rPr>
          <w:sz w:val="20"/>
          <w:szCs w:val="20"/>
          <w:lang w:val="es-CO"/>
        </w:rPr>
        <w:t xml:space="preserve">. </w:t>
      </w:r>
      <w:r w:rsidRPr="008D65EE">
        <w:rPr>
          <w:sz w:val="20"/>
          <w:szCs w:val="20"/>
          <w:lang w:val="es-CO"/>
        </w:rPr>
        <w:t>La Corte ha recordad</w:t>
      </w:r>
      <w:r w:rsidR="00B150F5" w:rsidRPr="008D65EE">
        <w:rPr>
          <w:sz w:val="20"/>
          <w:szCs w:val="20"/>
          <w:lang w:val="es-CO"/>
        </w:rPr>
        <w:t>o</w:t>
      </w:r>
      <w:r w:rsidRPr="008D65EE">
        <w:rPr>
          <w:sz w:val="20"/>
          <w:szCs w:val="20"/>
          <w:lang w:val="es-CO"/>
        </w:rPr>
        <w:t xml:space="preserve"> que “[e]</w:t>
      </w:r>
      <w:r w:rsidR="005356AD" w:rsidRPr="008D65EE">
        <w:rPr>
          <w:sz w:val="20"/>
          <w:szCs w:val="20"/>
          <w:lang w:val="es-CO"/>
        </w:rPr>
        <w:t xml:space="preserve">sta obligación puede verse condicionada, acentuada o especificada según el tipo de enfermedad, particularmente si ésta tiene carácter terminal o, aún si no lo tiene </w:t>
      </w:r>
      <w:r w:rsidR="005356AD" w:rsidRPr="008D65EE">
        <w:rPr>
          <w:i/>
          <w:sz w:val="20"/>
          <w:szCs w:val="20"/>
          <w:lang w:val="es-CO"/>
        </w:rPr>
        <w:t>per se</w:t>
      </w:r>
      <w:r w:rsidR="005356AD" w:rsidRPr="008D65EE">
        <w:rPr>
          <w:sz w:val="20"/>
          <w:szCs w:val="20"/>
          <w:lang w:val="es-CO"/>
        </w:rPr>
        <w:t>, si puede complicarse o agravarse ya sea por las circunstancias propias de la persona, por las condiciones de detención o por las capacidades reales de atención en salud del establecimiento carcelario o de las autoridades encargadas</w:t>
      </w:r>
      <w:r w:rsidRPr="008D65EE">
        <w:rPr>
          <w:sz w:val="20"/>
          <w:szCs w:val="20"/>
          <w:lang w:val="es-CO"/>
        </w:rPr>
        <w:t>”</w:t>
      </w:r>
      <w:r w:rsidRPr="008D65EE">
        <w:rPr>
          <w:rStyle w:val="FootnoteReference"/>
          <w:sz w:val="20"/>
          <w:szCs w:val="20"/>
          <w:lang w:val="es-CO"/>
        </w:rPr>
        <w:footnoteReference w:id="107"/>
      </w:r>
      <w:r w:rsidR="005356AD" w:rsidRPr="008D65EE">
        <w:rPr>
          <w:sz w:val="20"/>
          <w:szCs w:val="20"/>
          <w:lang w:val="es-CO"/>
        </w:rPr>
        <w:t xml:space="preserve">. </w:t>
      </w:r>
    </w:p>
    <w:p w14:paraId="4A747AA2" w14:textId="77777777" w:rsidR="00DF23DC" w:rsidRPr="008D65EE" w:rsidRDefault="00DF23DC" w:rsidP="00EA6555">
      <w:pPr>
        <w:pStyle w:val="ListParagraph"/>
        <w:ind w:left="0" w:firstLine="567"/>
        <w:rPr>
          <w:sz w:val="20"/>
          <w:szCs w:val="20"/>
          <w:lang w:val="es-CO"/>
        </w:rPr>
      </w:pPr>
    </w:p>
    <w:p w14:paraId="39C07B40" w14:textId="5BACD58E" w:rsidR="00115F51" w:rsidRPr="008D65EE" w:rsidRDefault="005356AD" w:rsidP="00EA6555">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theme="minorHAnsi"/>
          <w:sz w:val="20"/>
          <w:szCs w:val="20"/>
          <w:lang w:val="es-CO"/>
        </w:rPr>
      </w:pPr>
      <w:r w:rsidRPr="008D65EE">
        <w:rPr>
          <w:sz w:val="20"/>
          <w:szCs w:val="20"/>
          <w:lang w:val="es-CO"/>
        </w:rPr>
        <w:t>Las autoridades deben asegurarse de que, cuando lo requiera la naturaleza de una condición médica, la supervisión sea periódica y sistemática dirigida a la curación de enfermedades del detenido o a prevenir su agravamiento, en lugar de tratarlos de forma meramente sintomática</w:t>
      </w:r>
      <w:r w:rsidRPr="008D65EE">
        <w:rPr>
          <w:rStyle w:val="FootnoteAnchor"/>
          <w:sz w:val="20"/>
          <w:szCs w:val="20"/>
          <w:lang w:val="es-CO"/>
        </w:rPr>
        <w:footnoteReference w:id="108"/>
      </w:r>
      <w:r w:rsidRPr="008D65EE">
        <w:rPr>
          <w:sz w:val="20"/>
          <w:szCs w:val="20"/>
          <w:lang w:val="es-CO"/>
        </w:rPr>
        <w:t xml:space="preserve">. </w:t>
      </w:r>
      <w:r w:rsidR="00B150F5" w:rsidRPr="008D65EE">
        <w:rPr>
          <w:sz w:val="20"/>
          <w:szCs w:val="20"/>
          <w:lang w:val="es-CO"/>
        </w:rPr>
        <w:t xml:space="preserve">La </w:t>
      </w:r>
      <w:r w:rsidR="00DF23DC" w:rsidRPr="008D65EE">
        <w:rPr>
          <w:sz w:val="20"/>
          <w:szCs w:val="20"/>
          <w:lang w:val="es-CO"/>
        </w:rPr>
        <w:t xml:space="preserve">atención </w:t>
      </w:r>
      <w:r w:rsidR="00B150F5" w:rsidRPr="008D65EE">
        <w:rPr>
          <w:sz w:val="20"/>
          <w:szCs w:val="20"/>
          <w:lang w:val="es-CO"/>
        </w:rPr>
        <w:t xml:space="preserve">médica </w:t>
      </w:r>
      <w:r w:rsidR="00DF23DC" w:rsidRPr="008D65EE">
        <w:rPr>
          <w:sz w:val="20"/>
          <w:szCs w:val="20"/>
          <w:lang w:val="es-CO"/>
        </w:rPr>
        <w:t xml:space="preserve">debe además incluir </w:t>
      </w:r>
      <w:r w:rsidR="00AC4529" w:rsidRPr="008D65EE">
        <w:rPr>
          <w:sz w:val="20"/>
          <w:szCs w:val="20"/>
          <w:lang w:val="es-CO"/>
        </w:rPr>
        <w:t>atención médica psiquiátrica</w:t>
      </w:r>
      <w:r w:rsidR="00DF23DC" w:rsidRPr="008D65EE">
        <w:rPr>
          <w:sz w:val="20"/>
          <w:szCs w:val="20"/>
          <w:lang w:val="es-CO"/>
        </w:rPr>
        <w:t xml:space="preserve"> </w:t>
      </w:r>
      <w:r w:rsidR="00AC4529" w:rsidRPr="008D65EE">
        <w:rPr>
          <w:sz w:val="20"/>
          <w:szCs w:val="20"/>
          <w:lang w:val="es-CO"/>
        </w:rPr>
        <w:t>a las personas privadas de libertad, tanto en situaciones de emergencia como para efectos de atención regular, ya sea en el propio lugar de detención o centro penitenciario o, en caso de no contar con ello, en los hospitales o centros de atención en salud donde corresponda otorgar ese servicio</w:t>
      </w:r>
      <w:r w:rsidR="00AC4529" w:rsidRPr="008D65EE">
        <w:rPr>
          <w:rStyle w:val="FootnoteReference"/>
          <w:sz w:val="20"/>
          <w:szCs w:val="20"/>
          <w:lang w:val="es-CO"/>
        </w:rPr>
        <w:footnoteReference w:id="109"/>
      </w:r>
      <w:r w:rsidR="00AC4529" w:rsidRPr="008D65EE">
        <w:rPr>
          <w:sz w:val="20"/>
          <w:szCs w:val="20"/>
          <w:lang w:val="es-CO"/>
        </w:rPr>
        <w:t xml:space="preserve">. </w:t>
      </w:r>
    </w:p>
    <w:p w14:paraId="336069C0" w14:textId="77777777" w:rsidR="00345C8C" w:rsidRPr="008D65EE" w:rsidRDefault="00345C8C" w:rsidP="009C06F8">
      <w:p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20"/>
          <w:szCs w:val="20"/>
          <w:lang w:val="es-CO"/>
        </w:rPr>
      </w:pPr>
    </w:p>
    <w:p w14:paraId="0570DA45" w14:textId="77777777" w:rsidR="005B6E17" w:rsidRPr="008D65EE" w:rsidRDefault="005B6E17" w:rsidP="00550322">
      <w:pPr>
        <w:pStyle w:val="ListParagraph"/>
        <w:numPr>
          <w:ilvl w:val="0"/>
          <w:numId w:val="55"/>
        </w:numPr>
        <w:rPr>
          <w:sz w:val="20"/>
          <w:szCs w:val="20"/>
          <w:lang w:val="es-CO"/>
        </w:rPr>
      </w:pPr>
      <w:bookmarkStart w:id="25" w:name="_Toc528245380"/>
      <w:bookmarkStart w:id="26" w:name="_Toc75698636"/>
      <w:bookmarkStart w:id="27" w:name="_Toc75710758"/>
      <w:bookmarkStart w:id="28" w:name="_Toc75710871"/>
      <w:r w:rsidRPr="008D65EE">
        <w:rPr>
          <w:b/>
          <w:sz w:val="20"/>
          <w:szCs w:val="20"/>
          <w:lang w:val="es-CO"/>
        </w:rPr>
        <w:t>Análisis del caso</w:t>
      </w:r>
      <w:bookmarkEnd w:id="25"/>
      <w:bookmarkEnd w:id="26"/>
      <w:bookmarkEnd w:id="27"/>
      <w:bookmarkEnd w:id="28"/>
    </w:p>
    <w:p w14:paraId="24BAFD6F" w14:textId="77777777" w:rsidR="00AF04B7" w:rsidRPr="008D65EE" w:rsidRDefault="00AF04B7" w:rsidP="00096787">
      <w:pPr>
        <w:jc w:val="both"/>
        <w:rPr>
          <w:sz w:val="20"/>
          <w:szCs w:val="20"/>
          <w:lang w:val="es-CO"/>
        </w:rPr>
      </w:pPr>
    </w:p>
    <w:p w14:paraId="7BDE58CD" w14:textId="316E6A6A" w:rsidR="00244B80" w:rsidRPr="008D65EE" w:rsidRDefault="00AF04B7" w:rsidP="00244B8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
          <w:color w:val="auto"/>
          <w:sz w:val="20"/>
          <w:szCs w:val="20"/>
          <w:lang w:val="es-CO"/>
        </w:rPr>
      </w:pPr>
      <w:r w:rsidRPr="008D65EE">
        <w:rPr>
          <w:sz w:val="20"/>
          <w:szCs w:val="20"/>
          <w:lang w:val="es-CO"/>
        </w:rPr>
        <w:t>De acuerdo con las determinaciones de hechos realizadas</w:t>
      </w:r>
      <w:r w:rsidR="00096787" w:rsidRPr="008D65EE">
        <w:rPr>
          <w:sz w:val="20"/>
          <w:szCs w:val="20"/>
          <w:lang w:val="es-CO"/>
        </w:rPr>
        <w:t xml:space="preserve">, </w:t>
      </w:r>
      <w:r w:rsidRPr="008D65EE">
        <w:rPr>
          <w:rFonts w:cstheme="majorHAnsi"/>
          <w:bCs/>
          <w:sz w:val="20"/>
          <w:szCs w:val="20"/>
          <w:lang w:val="es-CO"/>
        </w:rPr>
        <w:t xml:space="preserve">Sarah Lyn se encontraba privada de libertad en el INOF desde el 29 de agosto de 2000 cumpliendo una condena de 5 años. Las autoridades de la prisión tenían conocimiento sobre su condición de diabetes mellitus tipo I y que era insulina-dependiente. </w:t>
      </w:r>
      <w:r w:rsidR="00244B80" w:rsidRPr="008D65EE">
        <w:rPr>
          <w:rFonts w:cstheme="majorHAnsi"/>
          <w:bCs/>
          <w:sz w:val="20"/>
          <w:szCs w:val="20"/>
          <w:lang w:val="es-CO"/>
        </w:rPr>
        <w:t xml:space="preserve"> La Comisión analizará a continuación </w:t>
      </w:r>
      <w:r w:rsidR="00207601" w:rsidRPr="008D65EE">
        <w:rPr>
          <w:rFonts w:cstheme="majorHAnsi"/>
          <w:bCs/>
          <w:sz w:val="20"/>
          <w:szCs w:val="20"/>
          <w:lang w:val="es-CO"/>
        </w:rPr>
        <w:t xml:space="preserve">en primer lugar, </w:t>
      </w:r>
      <w:r w:rsidR="00244B80" w:rsidRPr="008D65EE">
        <w:rPr>
          <w:rFonts w:cstheme="majorHAnsi"/>
          <w:bCs/>
          <w:sz w:val="20"/>
          <w:szCs w:val="20"/>
          <w:lang w:val="es-CO"/>
        </w:rPr>
        <w:t xml:space="preserve">si el Estado cumplió con sus obligaciones internacionales mientras la presunta víctima se encontraba privada de la libertad en el </w:t>
      </w:r>
      <w:r w:rsidR="00207601" w:rsidRPr="008D65EE">
        <w:rPr>
          <w:sz w:val="20"/>
          <w:szCs w:val="20"/>
          <w:lang w:val="es-CO"/>
        </w:rPr>
        <w:t>INOF. En segundo lugar, se pronunciará sobre lo ocurrido el 7 de marzo de 2001. Finalmente, realizará su conclusión.</w:t>
      </w:r>
      <w:r w:rsidR="001B1D6A" w:rsidRPr="008D65EE">
        <w:rPr>
          <w:color w:val="FF0000"/>
          <w:sz w:val="20"/>
          <w:szCs w:val="20"/>
          <w:lang w:val="es-CO"/>
        </w:rPr>
        <w:t xml:space="preserve"> </w:t>
      </w:r>
      <w:r w:rsidR="001B1D6A" w:rsidRPr="008D65EE">
        <w:rPr>
          <w:color w:val="auto"/>
          <w:sz w:val="20"/>
          <w:szCs w:val="20"/>
          <w:lang w:val="es-CO"/>
        </w:rPr>
        <w:t>Bajo el principio de no discriminación (artículo 1.1 de la Convención), esta obligación adquiere particular relevancia respecto de las personas privadas de libertad.</w:t>
      </w:r>
      <w:r w:rsidR="001B1D6A" w:rsidRPr="008D65EE">
        <w:rPr>
          <w:rStyle w:val="FootnoteReference"/>
          <w:color w:val="auto"/>
          <w:sz w:val="20"/>
          <w:szCs w:val="20"/>
          <w:lang w:val="es-CO"/>
        </w:rPr>
        <w:footnoteReference w:id="110"/>
      </w:r>
    </w:p>
    <w:p w14:paraId="1BB8AB55" w14:textId="1691A5FC" w:rsidR="00244B80" w:rsidRPr="008D65EE" w:rsidRDefault="00244B80" w:rsidP="00244B8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567"/>
        <w:jc w:val="both"/>
        <w:rPr>
          <w:b/>
          <w:sz w:val="20"/>
          <w:szCs w:val="20"/>
          <w:lang w:val="es-CO"/>
        </w:rPr>
      </w:pPr>
    </w:p>
    <w:p w14:paraId="6C9980AC" w14:textId="16292862" w:rsidR="00244B80" w:rsidRPr="008D65EE" w:rsidRDefault="00207601" w:rsidP="0055032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b/>
          <w:sz w:val="20"/>
          <w:szCs w:val="20"/>
          <w:lang w:val="es-CO"/>
        </w:rPr>
      </w:pPr>
      <w:r w:rsidRPr="008D65EE">
        <w:rPr>
          <w:b/>
          <w:sz w:val="20"/>
          <w:szCs w:val="20"/>
          <w:lang w:val="es-CO"/>
        </w:rPr>
        <w:t xml:space="preserve">En cuanto al tratamiento médico recibido en el INOF </w:t>
      </w:r>
    </w:p>
    <w:p w14:paraId="4F0BBDB0" w14:textId="77777777" w:rsidR="00244B80" w:rsidRPr="008D65EE" w:rsidRDefault="00244B80" w:rsidP="00244B8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567"/>
        <w:jc w:val="both"/>
        <w:rPr>
          <w:b/>
          <w:sz w:val="20"/>
          <w:szCs w:val="20"/>
          <w:lang w:val="es-CO"/>
        </w:rPr>
      </w:pPr>
    </w:p>
    <w:p w14:paraId="34994A44" w14:textId="71B5D190" w:rsidR="00AF04B7" w:rsidRPr="008D65EE" w:rsidRDefault="00DF23DC" w:rsidP="00DF23DC">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
          <w:sz w:val="20"/>
          <w:szCs w:val="20"/>
          <w:lang w:val="es-CO"/>
        </w:rPr>
      </w:pPr>
      <w:r w:rsidRPr="008D65EE">
        <w:rPr>
          <w:sz w:val="20"/>
          <w:szCs w:val="20"/>
          <w:lang w:val="es-CO"/>
        </w:rPr>
        <w:t>La Comisión nota que</w:t>
      </w:r>
      <w:r w:rsidR="00981BF7" w:rsidRPr="008D65EE">
        <w:rPr>
          <w:sz w:val="20"/>
          <w:szCs w:val="20"/>
          <w:lang w:val="es-CO"/>
        </w:rPr>
        <w:t>,</w:t>
      </w:r>
      <w:r w:rsidRPr="008D65EE">
        <w:rPr>
          <w:sz w:val="20"/>
          <w:szCs w:val="20"/>
          <w:lang w:val="es-CO"/>
        </w:rPr>
        <w:t xml:space="preserve"> en el presente caso, no está controvertido que el daño sufrido en la salud y la vida de Sarah Langton tiene un nexo causal con la enfermedad que </w:t>
      </w:r>
      <w:r w:rsidR="00C55EB2" w:rsidRPr="008D65EE">
        <w:rPr>
          <w:sz w:val="20"/>
          <w:szCs w:val="20"/>
          <w:lang w:val="es-CO"/>
        </w:rPr>
        <w:t>padecía</w:t>
      </w:r>
      <w:r w:rsidRPr="008D65EE">
        <w:rPr>
          <w:sz w:val="20"/>
          <w:szCs w:val="20"/>
          <w:lang w:val="es-CO"/>
        </w:rPr>
        <w:t xml:space="preserve"> mientras estuvo bajo la custodia estatal, y correspondía al Estado aportar elementos probatorios que demostrasen la provisión de un tratamiento adecuado y oportuno mientras la presunta víctima estuvo privada de su libertad. </w:t>
      </w:r>
      <w:r w:rsidR="0028728D" w:rsidRPr="008D65EE">
        <w:rPr>
          <w:sz w:val="20"/>
          <w:szCs w:val="20"/>
          <w:lang w:val="es-CO"/>
        </w:rPr>
        <w:t>La Comisión nota que e</w:t>
      </w:r>
      <w:r w:rsidRPr="008D65EE">
        <w:rPr>
          <w:sz w:val="20"/>
          <w:szCs w:val="20"/>
          <w:lang w:val="es-CO"/>
        </w:rPr>
        <w:t xml:space="preserve">l Estado </w:t>
      </w:r>
      <w:r w:rsidR="0028728D" w:rsidRPr="008D65EE">
        <w:rPr>
          <w:sz w:val="20"/>
          <w:szCs w:val="20"/>
          <w:lang w:val="es-CO"/>
        </w:rPr>
        <w:t xml:space="preserve">de Venezuela </w:t>
      </w:r>
      <w:r w:rsidRPr="008D65EE">
        <w:rPr>
          <w:sz w:val="20"/>
          <w:szCs w:val="20"/>
          <w:lang w:val="es-CO"/>
        </w:rPr>
        <w:t>no ha aportado ninguna prueba para demostrar que otorgó un tratamiento médico adecuado a Sara</w:t>
      </w:r>
      <w:r w:rsidR="001550F5" w:rsidRPr="008D65EE">
        <w:rPr>
          <w:sz w:val="20"/>
          <w:szCs w:val="20"/>
          <w:lang w:val="es-CO"/>
        </w:rPr>
        <w:t>h</w:t>
      </w:r>
      <w:r w:rsidRPr="008D65EE">
        <w:rPr>
          <w:sz w:val="20"/>
          <w:szCs w:val="20"/>
          <w:lang w:val="es-CO"/>
        </w:rPr>
        <w:t xml:space="preserve"> mientras se encontraba detenida</w:t>
      </w:r>
      <w:r w:rsidR="0028728D" w:rsidRPr="008D65EE">
        <w:rPr>
          <w:sz w:val="20"/>
          <w:szCs w:val="20"/>
          <w:lang w:val="es-CO"/>
        </w:rPr>
        <w:t>, pues no ha aportado información en el presente procedimiento</w:t>
      </w:r>
      <w:r w:rsidRPr="008D65EE">
        <w:rPr>
          <w:sz w:val="20"/>
          <w:szCs w:val="20"/>
          <w:lang w:val="es-CO"/>
        </w:rPr>
        <w:t xml:space="preserve">. </w:t>
      </w:r>
    </w:p>
    <w:p w14:paraId="77C2DC5B" w14:textId="77777777" w:rsidR="00AF04B7" w:rsidRPr="008D65EE" w:rsidRDefault="00AF04B7" w:rsidP="00AF04B7">
      <w:pPr>
        <w:pStyle w:val="ListParagraph"/>
        <w:rPr>
          <w:rFonts w:cstheme="majorHAnsi"/>
          <w:bCs/>
          <w:sz w:val="20"/>
          <w:szCs w:val="20"/>
          <w:lang w:val="es-CO"/>
        </w:rPr>
      </w:pPr>
    </w:p>
    <w:p w14:paraId="740F7CD9" w14:textId="7A527984" w:rsidR="0028728D" w:rsidRPr="008D65EE" w:rsidRDefault="00AF04B7" w:rsidP="0028728D">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cs="HelveticaNeue-Light"/>
          <w:b/>
          <w:sz w:val="20"/>
          <w:szCs w:val="20"/>
          <w:lang w:val="es-CO"/>
        </w:rPr>
      </w:pPr>
      <w:r w:rsidRPr="008D65EE">
        <w:rPr>
          <w:rFonts w:cstheme="majorHAnsi"/>
          <w:bCs/>
          <w:sz w:val="20"/>
          <w:szCs w:val="20"/>
          <w:lang w:val="es-CO"/>
        </w:rPr>
        <w:t xml:space="preserve">La Comisión </w:t>
      </w:r>
      <w:r w:rsidR="0028728D" w:rsidRPr="008D65EE">
        <w:rPr>
          <w:rFonts w:cstheme="majorHAnsi"/>
          <w:bCs/>
          <w:sz w:val="20"/>
          <w:szCs w:val="20"/>
          <w:lang w:val="es-CO"/>
        </w:rPr>
        <w:t>observa</w:t>
      </w:r>
      <w:r w:rsidRPr="008D65EE">
        <w:rPr>
          <w:rFonts w:cstheme="majorHAnsi"/>
          <w:bCs/>
          <w:sz w:val="20"/>
          <w:szCs w:val="20"/>
          <w:lang w:val="es-CO"/>
        </w:rPr>
        <w:t xml:space="preserve"> que la</w:t>
      </w:r>
      <w:r w:rsidR="0028728D" w:rsidRPr="008D65EE">
        <w:rPr>
          <w:rFonts w:cstheme="majorHAnsi"/>
          <w:bCs/>
          <w:sz w:val="20"/>
          <w:szCs w:val="20"/>
          <w:lang w:val="es-CO"/>
        </w:rPr>
        <w:t xml:space="preserve"> presunta víctima tenía diabetes</w:t>
      </w:r>
      <w:r w:rsidRPr="008D65EE">
        <w:rPr>
          <w:rFonts w:cstheme="majorHAnsi"/>
          <w:bCs/>
          <w:sz w:val="20"/>
          <w:szCs w:val="20"/>
          <w:lang w:val="es-CO"/>
        </w:rPr>
        <w:t xml:space="preserve">. </w:t>
      </w:r>
      <w:r w:rsidR="0028728D" w:rsidRPr="008D65EE">
        <w:rPr>
          <w:sz w:val="20"/>
          <w:szCs w:val="20"/>
          <w:bdr w:val="none" w:sz="0" w:space="0" w:color="auto" w:frame="1"/>
          <w:lang w:val="es-CO"/>
        </w:rPr>
        <w:t>L</w:t>
      </w:r>
      <w:r w:rsidR="0028728D" w:rsidRPr="008D65EE">
        <w:rPr>
          <w:sz w:val="20"/>
          <w:szCs w:val="20"/>
          <w:lang w:val="es-CO"/>
        </w:rPr>
        <w:t>a Organización Mundial para la Salud (OMS) ha indicado que el tratamiento para la enfermedad de la diabetes</w:t>
      </w:r>
      <w:r w:rsidR="0028728D" w:rsidRPr="008D65EE">
        <w:rPr>
          <w:rStyle w:val="FootnoteReference"/>
          <w:sz w:val="20"/>
          <w:szCs w:val="20"/>
          <w:lang w:val="es-CO"/>
        </w:rPr>
        <w:footnoteReference w:id="111"/>
      </w:r>
      <w:r w:rsidR="0028728D" w:rsidRPr="008D65EE">
        <w:rPr>
          <w:sz w:val="20"/>
          <w:szCs w:val="20"/>
          <w:lang w:val="es-CO"/>
        </w:rPr>
        <w:t xml:space="preserve"> </w:t>
      </w:r>
      <w:r w:rsidR="0028728D" w:rsidRPr="008D65EE">
        <w:rPr>
          <w:sz w:val="20"/>
          <w:szCs w:val="20"/>
          <w:bdr w:val="none" w:sz="0" w:space="0" w:color="auto" w:frame="1"/>
          <w:lang w:val="es-CO"/>
        </w:rPr>
        <w:t xml:space="preserve">“consiste en la reducción de la glicemia y de otros factores de riesgo conocidos que dañan los vasos sanguíneos. […]”. Entre las intervenciones que “son factibles y económicas en los países en desarrollo” la OMS indica que se debe realizar: i) control moderado de la glucemia; ii) control de la tensión arterial; iii) </w:t>
      </w:r>
      <w:r w:rsidR="0028728D" w:rsidRPr="008D65EE">
        <w:rPr>
          <w:sz w:val="20"/>
          <w:szCs w:val="20"/>
          <w:lang w:val="es-CO"/>
        </w:rPr>
        <w:t xml:space="preserve">cuidados podológicos; iv) pruebas de detección de retinopatía (causa de ceguera); v) control de los lípidos de la sangre (regulación de la </w:t>
      </w:r>
      <w:r w:rsidR="0028728D" w:rsidRPr="008D65EE">
        <w:rPr>
          <w:sz w:val="20"/>
          <w:szCs w:val="20"/>
          <w:lang w:val="es-CO"/>
        </w:rPr>
        <w:lastRenderedPageBreak/>
        <w:t>concentración de colesterol); detección de los signos tempranos de nefropatía relacionada con la diabetes”</w:t>
      </w:r>
      <w:r w:rsidR="0028728D" w:rsidRPr="008D65EE">
        <w:rPr>
          <w:rStyle w:val="FootnoteReference"/>
          <w:sz w:val="20"/>
          <w:szCs w:val="20"/>
          <w:lang w:val="es-CO"/>
        </w:rPr>
        <w:footnoteReference w:id="112"/>
      </w:r>
      <w:r w:rsidR="0028728D" w:rsidRPr="008D65EE">
        <w:rPr>
          <w:sz w:val="20"/>
          <w:szCs w:val="20"/>
          <w:lang w:val="es-CO"/>
        </w:rPr>
        <w:t>. La OMS ha señalado recomendaciones concretas para el tratamiento de esta enfermedad las cuales incluyen actividad física y una dieta adecuada</w:t>
      </w:r>
      <w:r w:rsidR="0028728D" w:rsidRPr="008D65EE">
        <w:rPr>
          <w:rStyle w:val="FootnoteReference"/>
          <w:sz w:val="20"/>
          <w:szCs w:val="20"/>
          <w:lang w:val="es-CO"/>
        </w:rPr>
        <w:footnoteReference w:id="113"/>
      </w:r>
      <w:r w:rsidR="0028728D" w:rsidRPr="008D65EE">
        <w:rPr>
          <w:sz w:val="20"/>
          <w:szCs w:val="20"/>
          <w:lang w:val="es-CO"/>
        </w:rPr>
        <w:t xml:space="preserve">. </w:t>
      </w:r>
    </w:p>
    <w:p w14:paraId="504DEA17" w14:textId="77777777" w:rsidR="0028728D" w:rsidRPr="008D65EE" w:rsidRDefault="0028728D" w:rsidP="0028728D">
      <w:pPr>
        <w:jc w:val="both"/>
        <w:rPr>
          <w:rFonts w:cstheme="majorHAnsi"/>
          <w:bCs/>
          <w:sz w:val="20"/>
          <w:szCs w:val="20"/>
          <w:lang w:val="es-CO"/>
        </w:rPr>
      </w:pPr>
    </w:p>
    <w:p w14:paraId="52015A25" w14:textId="1A0DAB5B" w:rsidR="00EA6555" w:rsidRPr="008D65EE" w:rsidRDefault="0028728D" w:rsidP="74C6822C">
      <w:pPr>
        <w:pStyle w:val="ListParagraph"/>
        <w:numPr>
          <w:ilvl w:val="0"/>
          <w:numId w:val="51"/>
        </w:numPr>
        <w:ind w:left="0" w:firstLine="567"/>
        <w:jc w:val="both"/>
        <w:rPr>
          <w:rFonts w:cstheme="majorBidi"/>
          <w:sz w:val="20"/>
          <w:szCs w:val="20"/>
          <w:lang w:val="es-CO"/>
        </w:rPr>
      </w:pPr>
      <w:r w:rsidRPr="008D65EE">
        <w:rPr>
          <w:rFonts w:cstheme="majorBidi"/>
          <w:sz w:val="20"/>
          <w:szCs w:val="20"/>
          <w:lang w:val="es-CO"/>
        </w:rPr>
        <w:t xml:space="preserve">En el caso, la información disponible indica que la diabetes de la presunta víctima no fue controlada adecuadamente. </w:t>
      </w:r>
      <w:r w:rsidR="00AF04B7" w:rsidRPr="008D65EE">
        <w:rPr>
          <w:rFonts w:cstheme="majorBidi"/>
          <w:sz w:val="20"/>
          <w:szCs w:val="20"/>
          <w:lang w:val="es-CO"/>
        </w:rPr>
        <w:t>Si bien es cierto que las autoridades penitenciarias mantenían la insulina de Sarah y se l</w:t>
      </w:r>
      <w:r w:rsidR="00DF23DC" w:rsidRPr="008D65EE">
        <w:rPr>
          <w:rFonts w:cstheme="majorBidi"/>
          <w:sz w:val="20"/>
          <w:szCs w:val="20"/>
          <w:lang w:val="es-CO"/>
        </w:rPr>
        <w:t xml:space="preserve">a entregaban </w:t>
      </w:r>
      <w:r w:rsidR="00AF04B7" w:rsidRPr="008D65EE">
        <w:rPr>
          <w:rFonts w:cstheme="majorBidi"/>
          <w:sz w:val="20"/>
          <w:szCs w:val="20"/>
          <w:lang w:val="es-CO"/>
        </w:rPr>
        <w:t>cuando ella lo solicitaba, en varias oportunidades anteriores al día de su muerte Sarah había tenido que ser trasladada al hospital porque no se le había controlado debidamente la diabetes</w:t>
      </w:r>
      <w:r w:rsidR="00AF04B7" w:rsidRPr="008D65EE">
        <w:rPr>
          <w:rStyle w:val="FootnoteReference"/>
          <w:rFonts w:cstheme="majorBidi"/>
          <w:sz w:val="20"/>
          <w:szCs w:val="20"/>
          <w:lang w:val="es-CO"/>
        </w:rPr>
        <w:footnoteReference w:id="114"/>
      </w:r>
      <w:r w:rsidR="00AF04B7" w:rsidRPr="008D65EE">
        <w:rPr>
          <w:rFonts w:cstheme="majorBidi"/>
          <w:sz w:val="20"/>
          <w:szCs w:val="20"/>
          <w:lang w:val="es-CO"/>
        </w:rPr>
        <w:t xml:space="preserve">. Asimismo, su padre había expresado a las autoridades venezolanas su preocupación sobre el manejo correcto de la enfermedad de su hija en el centro penitenciario, afirmando que no podía acceder al tipo correcto de insulina, y que no tenía a su disposición otros elementos necesarios para su tratamiento, por lo cual la familia enviaba lo que podía mediante la Embajada del Reino Unido en Caracas. El médico de la familia, Charles Fox, había advertido </w:t>
      </w:r>
      <w:r w:rsidR="009207C2" w:rsidRPr="008D65EE">
        <w:rPr>
          <w:rFonts w:cstheme="majorBidi"/>
          <w:sz w:val="20"/>
          <w:szCs w:val="20"/>
          <w:lang w:val="es-CO"/>
        </w:rPr>
        <w:t xml:space="preserve">expresamente </w:t>
      </w:r>
      <w:r w:rsidR="00AF04B7" w:rsidRPr="008D65EE">
        <w:rPr>
          <w:rFonts w:cstheme="majorBidi"/>
          <w:sz w:val="20"/>
          <w:szCs w:val="20"/>
          <w:lang w:val="es-CO"/>
        </w:rPr>
        <w:t xml:space="preserve">que en prisión </w:t>
      </w:r>
      <w:r w:rsidR="009207C2" w:rsidRPr="008D65EE">
        <w:rPr>
          <w:rFonts w:cstheme="majorBidi"/>
          <w:sz w:val="20"/>
          <w:szCs w:val="20"/>
          <w:lang w:val="es-CO"/>
        </w:rPr>
        <w:t>la</w:t>
      </w:r>
      <w:r w:rsidR="00AF04B7" w:rsidRPr="008D65EE">
        <w:rPr>
          <w:rFonts w:cstheme="majorBidi"/>
          <w:sz w:val="20"/>
          <w:szCs w:val="20"/>
          <w:lang w:val="es-CO"/>
        </w:rPr>
        <w:t xml:space="preserve"> diabetes </w:t>
      </w:r>
      <w:r w:rsidR="009207C2" w:rsidRPr="008D65EE">
        <w:rPr>
          <w:rFonts w:cstheme="majorBidi"/>
          <w:sz w:val="20"/>
          <w:szCs w:val="20"/>
          <w:lang w:val="es-CO"/>
        </w:rPr>
        <w:t xml:space="preserve">de Sarah </w:t>
      </w:r>
      <w:r w:rsidR="00AF04B7" w:rsidRPr="008D65EE">
        <w:rPr>
          <w:rFonts w:cstheme="majorBidi"/>
          <w:sz w:val="20"/>
          <w:szCs w:val="20"/>
          <w:lang w:val="es-CO"/>
        </w:rPr>
        <w:t>indudablemente ser</w:t>
      </w:r>
      <w:r w:rsidR="009207C2" w:rsidRPr="008D65EE">
        <w:rPr>
          <w:rFonts w:cstheme="majorBidi"/>
          <w:sz w:val="20"/>
          <w:szCs w:val="20"/>
          <w:lang w:val="es-CO"/>
        </w:rPr>
        <w:t>ía</w:t>
      </w:r>
      <w:r w:rsidR="00AF04B7" w:rsidRPr="008D65EE">
        <w:rPr>
          <w:rFonts w:cstheme="majorBidi"/>
          <w:sz w:val="20"/>
          <w:szCs w:val="20"/>
          <w:lang w:val="es-CO"/>
        </w:rPr>
        <w:t xml:space="preserve"> una </w:t>
      </w:r>
      <w:r w:rsidR="25AEE3AE" w:rsidRPr="008D65EE">
        <w:rPr>
          <w:rFonts w:cstheme="majorBidi"/>
          <w:sz w:val="20"/>
          <w:szCs w:val="20"/>
          <w:lang w:val="es-CO"/>
        </w:rPr>
        <w:t>seria</w:t>
      </w:r>
      <w:r w:rsidR="009207C2" w:rsidRPr="008D65EE">
        <w:rPr>
          <w:rFonts w:cstheme="majorBidi"/>
          <w:sz w:val="20"/>
          <w:szCs w:val="20"/>
          <w:lang w:val="es-CO"/>
        </w:rPr>
        <w:t xml:space="preserve"> </w:t>
      </w:r>
      <w:r w:rsidR="00AF04B7" w:rsidRPr="008D65EE">
        <w:rPr>
          <w:rFonts w:cstheme="majorBidi"/>
          <w:sz w:val="20"/>
          <w:szCs w:val="20"/>
          <w:lang w:val="es-CO"/>
        </w:rPr>
        <w:t>amenaza para su salud y posiblemente para su vida.</w:t>
      </w:r>
    </w:p>
    <w:p w14:paraId="098C7E1B" w14:textId="61FD6B11" w:rsidR="00AF04B7" w:rsidRPr="008D65EE" w:rsidRDefault="00AF04B7" w:rsidP="00EA6555">
      <w:pPr>
        <w:jc w:val="both"/>
        <w:rPr>
          <w:rFonts w:cstheme="majorHAnsi"/>
          <w:bCs/>
          <w:sz w:val="20"/>
          <w:szCs w:val="20"/>
          <w:lang w:val="es-CO"/>
        </w:rPr>
      </w:pPr>
      <w:r w:rsidRPr="008D65EE">
        <w:rPr>
          <w:rFonts w:cstheme="majorHAnsi"/>
          <w:bCs/>
          <w:sz w:val="20"/>
          <w:szCs w:val="20"/>
          <w:lang w:val="es-CO"/>
        </w:rPr>
        <w:t xml:space="preserve"> </w:t>
      </w:r>
    </w:p>
    <w:p w14:paraId="7628A2B9" w14:textId="156106E7" w:rsidR="00EA6555" w:rsidRPr="008D65EE" w:rsidRDefault="00AF04B7" w:rsidP="74C6822C">
      <w:pPr>
        <w:pStyle w:val="ListParagraph"/>
        <w:numPr>
          <w:ilvl w:val="0"/>
          <w:numId w:val="51"/>
        </w:numPr>
        <w:ind w:left="0" w:firstLine="567"/>
        <w:jc w:val="both"/>
        <w:rPr>
          <w:rFonts w:cstheme="majorBidi"/>
          <w:sz w:val="20"/>
          <w:szCs w:val="20"/>
          <w:lang w:val="es-CO"/>
        </w:rPr>
      </w:pPr>
      <w:r w:rsidRPr="008D65EE">
        <w:rPr>
          <w:rFonts w:cstheme="majorBidi"/>
          <w:sz w:val="20"/>
          <w:szCs w:val="20"/>
          <w:lang w:val="es-CO"/>
        </w:rPr>
        <w:t xml:space="preserve">Aunado a esto, si bien se le realizó un </w:t>
      </w:r>
      <w:r w:rsidR="009207C2" w:rsidRPr="008D65EE">
        <w:rPr>
          <w:rFonts w:cstheme="majorBidi"/>
          <w:sz w:val="20"/>
          <w:szCs w:val="20"/>
          <w:lang w:val="es-CO"/>
        </w:rPr>
        <w:t xml:space="preserve">examen </w:t>
      </w:r>
      <w:r w:rsidRPr="008D65EE">
        <w:rPr>
          <w:rFonts w:cstheme="majorBidi"/>
          <w:sz w:val="20"/>
          <w:szCs w:val="20"/>
          <w:lang w:val="es-CO"/>
        </w:rPr>
        <w:t>médico inicial, al momento de los hechos, el 7 de ma</w:t>
      </w:r>
      <w:r w:rsidR="009207C2" w:rsidRPr="008D65EE">
        <w:rPr>
          <w:rFonts w:cstheme="majorBidi"/>
          <w:sz w:val="20"/>
          <w:szCs w:val="20"/>
          <w:lang w:val="es-CO"/>
        </w:rPr>
        <w:t>rzo</w:t>
      </w:r>
      <w:r w:rsidRPr="008D65EE">
        <w:rPr>
          <w:rFonts w:cstheme="majorBidi"/>
          <w:sz w:val="20"/>
          <w:szCs w:val="20"/>
          <w:lang w:val="es-CO"/>
        </w:rPr>
        <w:t xml:space="preserve"> de 2001, </w:t>
      </w:r>
      <w:r w:rsidR="009207C2" w:rsidRPr="008D65EE">
        <w:rPr>
          <w:rFonts w:cstheme="majorBidi"/>
          <w:sz w:val="20"/>
          <w:szCs w:val="20"/>
          <w:lang w:val="es-CO"/>
        </w:rPr>
        <w:t xml:space="preserve">Sarah tenía </w:t>
      </w:r>
      <w:r w:rsidR="7B133091" w:rsidRPr="008D65EE">
        <w:rPr>
          <w:rFonts w:cstheme="majorBidi"/>
          <w:sz w:val="20"/>
          <w:szCs w:val="20"/>
          <w:lang w:val="es-CO"/>
        </w:rPr>
        <w:t>más</w:t>
      </w:r>
      <w:r w:rsidR="009207C2" w:rsidRPr="008D65EE">
        <w:rPr>
          <w:rFonts w:cstheme="majorBidi"/>
          <w:sz w:val="20"/>
          <w:szCs w:val="20"/>
          <w:lang w:val="es-CO"/>
        </w:rPr>
        <w:t xml:space="preserve"> de 60 días </w:t>
      </w:r>
      <w:r w:rsidRPr="008D65EE">
        <w:rPr>
          <w:rFonts w:cstheme="majorBidi"/>
          <w:sz w:val="20"/>
          <w:szCs w:val="20"/>
          <w:lang w:val="es-CO"/>
        </w:rPr>
        <w:t xml:space="preserve">sin ser evaluada </w:t>
      </w:r>
      <w:r w:rsidR="009207C2" w:rsidRPr="008D65EE">
        <w:rPr>
          <w:rFonts w:cstheme="majorBidi"/>
          <w:sz w:val="20"/>
          <w:szCs w:val="20"/>
          <w:lang w:val="es-CO"/>
        </w:rPr>
        <w:t>y</w:t>
      </w:r>
      <w:r w:rsidRPr="008D65EE">
        <w:rPr>
          <w:rFonts w:cstheme="majorBidi"/>
          <w:sz w:val="20"/>
          <w:szCs w:val="20"/>
          <w:lang w:val="es-CO"/>
        </w:rPr>
        <w:t xml:space="preserve"> sin que se controlase su diabetes por personal médico. Su última revisión, según lo afirmado por el propio Fiscal General de la República, había sido el 5 de enero del 2001. Incluso el día antes de que se desencadenara la emergencia que derivó en la muerte de Sarah, el 6 de marzo de 2001, ésta había sido trasladada hasta el hospital Victorino Santaella porque presentaba baja de azúcar</w:t>
      </w:r>
      <w:r w:rsidRPr="008D65EE">
        <w:rPr>
          <w:rStyle w:val="FootnoteReference"/>
          <w:rFonts w:cstheme="majorBidi"/>
          <w:sz w:val="20"/>
          <w:szCs w:val="20"/>
          <w:lang w:val="es-CO"/>
        </w:rPr>
        <w:footnoteReference w:id="115"/>
      </w:r>
      <w:r w:rsidRPr="008D65EE">
        <w:rPr>
          <w:rFonts w:cstheme="majorBidi"/>
          <w:sz w:val="20"/>
          <w:szCs w:val="20"/>
          <w:lang w:val="es-CO"/>
        </w:rPr>
        <w:t xml:space="preserve"> y había sido dad</w:t>
      </w:r>
      <w:r w:rsidR="009207C2" w:rsidRPr="008D65EE">
        <w:rPr>
          <w:rFonts w:cstheme="majorBidi"/>
          <w:sz w:val="20"/>
          <w:szCs w:val="20"/>
          <w:lang w:val="es-CO"/>
        </w:rPr>
        <w:t>a</w:t>
      </w:r>
      <w:r w:rsidRPr="008D65EE">
        <w:rPr>
          <w:rFonts w:cstheme="majorBidi"/>
          <w:sz w:val="20"/>
          <w:szCs w:val="20"/>
          <w:lang w:val="es-CO"/>
        </w:rPr>
        <w:t xml:space="preserve"> de alta sin diagnóstico formal. </w:t>
      </w:r>
    </w:p>
    <w:p w14:paraId="40ED1AD5" w14:textId="77777777" w:rsidR="00EA6555" w:rsidRPr="008D65EE" w:rsidRDefault="00EA6555" w:rsidP="00EA6555">
      <w:pPr>
        <w:jc w:val="both"/>
        <w:rPr>
          <w:rFonts w:cstheme="majorHAnsi"/>
          <w:bCs/>
          <w:sz w:val="20"/>
          <w:szCs w:val="20"/>
          <w:lang w:val="es-CO"/>
        </w:rPr>
      </w:pPr>
    </w:p>
    <w:p w14:paraId="0F422579" w14:textId="099D788A" w:rsidR="00EA6555" w:rsidRPr="008D65EE" w:rsidRDefault="00AF04B7" w:rsidP="009207C2">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 xml:space="preserve">La Comisión </w:t>
      </w:r>
      <w:r w:rsidR="00CD7891" w:rsidRPr="008D65EE">
        <w:rPr>
          <w:rFonts w:cstheme="majorHAnsi"/>
          <w:bCs/>
          <w:sz w:val="20"/>
          <w:szCs w:val="20"/>
          <w:lang w:val="es-CO"/>
        </w:rPr>
        <w:t>también</w:t>
      </w:r>
      <w:r w:rsidRPr="008D65EE">
        <w:rPr>
          <w:rFonts w:cstheme="majorHAnsi"/>
          <w:bCs/>
          <w:sz w:val="20"/>
          <w:szCs w:val="20"/>
          <w:lang w:val="es-CO"/>
        </w:rPr>
        <w:t xml:space="preserve"> nota que Sarah había presentado una fuerte depresión y episodios de stress severos en el pasado debido a los cuales sus padres pensaban que presentaba un trastorno psicológico. Esto además </w:t>
      </w:r>
      <w:r w:rsidR="00CD7891" w:rsidRPr="008D65EE">
        <w:rPr>
          <w:rFonts w:cstheme="majorHAnsi"/>
          <w:bCs/>
          <w:sz w:val="20"/>
          <w:szCs w:val="20"/>
          <w:lang w:val="es-CO"/>
        </w:rPr>
        <w:t>había</w:t>
      </w:r>
      <w:r w:rsidRPr="008D65EE">
        <w:rPr>
          <w:rFonts w:cstheme="majorHAnsi"/>
          <w:bCs/>
          <w:sz w:val="20"/>
          <w:szCs w:val="20"/>
          <w:lang w:val="es-CO"/>
        </w:rPr>
        <w:t xml:space="preserve"> sido confirmado por el médico de la familia quien </w:t>
      </w:r>
      <w:r w:rsidR="00C55EB2" w:rsidRPr="008D65EE">
        <w:rPr>
          <w:rFonts w:cstheme="majorHAnsi"/>
          <w:bCs/>
          <w:sz w:val="20"/>
          <w:szCs w:val="20"/>
          <w:lang w:val="es-CO"/>
        </w:rPr>
        <w:t xml:space="preserve">explicó </w:t>
      </w:r>
      <w:r w:rsidRPr="008D65EE">
        <w:rPr>
          <w:rFonts w:cstheme="majorHAnsi"/>
          <w:bCs/>
          <w:sz w:val="20"/>
          <w:szCs w:val="20"/>
          <w:lang w:val="es-CO"/>
        </w:rPr>
        <w:t>que mientras se encontraba estudian</w:t>
      </w:r>
      <w:r w:rsidR="009207C2" w:rsidRPr="008D65EE">
        <w:rPr>
          <w:rFonts w:cstheme="majorHAnsi"/>
          <w:bCs/>
          <w:sz w:val="20"/>
          <w:szCs w:val="20"/>
          <w:lang w:val="es-CO"/>
        </w:rPr>
        <w:t>do</w:t>
      </w:r>
      <w:r w:rsidRPr="008D65EE">
        <w:rPr>
          <w:rFonts w:cstheme="majorHAnsi"/>
          <w:bCs/>
          <w:sz w:val="20"/>
          <w:szCs w:val="20"/>
          <w:lang w:val="es-CO"/>
        </w:rPr>
        <w:t xml:space="preserve"> en Londres</w:t>
      </w:r>
      <w:r w:rsidR="00557DBC" w:rsidRPr="008D65EE">
        <w:rPr>
          <w:rFonts w:cstheme="majorHAnsi"/>
          <w:bCs/>
          <w:sz w:val="20"/>
          <w:szCs w:val="20"/>
          <w:lang w:val="es-CO"/>
        </w:rPr>
        <w:t xml:space="preserve"> Sarah</w:t>
      </w:r>
      <w:r w:rsidRPr="008D65EE">
        <w:rPr>
          <w:rFonts w:cstheme="majorHAnsi"/>
          <w:bCs/>
          <w:sz w:val="20"/>
          <w:szCs w:val="20"/>
          <w:lang w:val="es-CO"/>
        </w:rPr>
        <w:t xml:space="preserve"> había ingerido en distintas ocasiones una sobredosis de medicamentos y</w:t>
      </w:r>
      <w:r w:rsidR="00557DBC" w:rsidRPr="008D65EE">
        <w:rPr>
          <w:rFonts w:cstheme="majorHAnsi"/>
          <w:bCs/>
          <w:sz w:val="20"/>
          <w:szCs w:val="20"/>
          <w:lang w:val="es-CO"/>
        </w:rPr>
        <w:t>,</w:t>
      </w:r>
      <w:r w:rsidRPr="008D65EE">
        <w:rPr>
          <w:rFonts w:cstheme="majorHAnsi"/>
          <w:bCs/>
          <w:sz w:val="20"/>
          <w:szCs w:val="20"/>
          <w:lang w:val="es-CO"/>
        </w:rPr>
        <w:t xml:space="preserve"> para el momento de su última consulta</w:t>
      </w:r>
      <w:r w:rsidR="00557DBC" w:rsidRPr="008D65EE">
        <w:rPr>
          <w:rFonts w:cstheme="majorHAnsi"/>
          <w:bCs/>
          <w:sz w:val="20"/>
          <w:szCs w:val="20"/>
          <w:lang w:val="es-CO"/>
        </w:rPr>
        <w:t>,</w:t>
      </w:r>
      <w:r w:rsidRPr="008D65EE">
        <w:rPr>
          <w:rFonts w:cstheme="majorHAnsi"/>
          <w:bCs/>
          <w:sz w:val="20"/>
          <w:szCs w:val="20"/>
          <w:lang w:val="es-CO"/>
        </w:rPr>
        <w:t xml:space="preserve"> se encontraba </w:t>
      </w:r>
      <w:r w:rsidR="00C55EB2" w:rsidRPr="008D65EE">
        <w:rPr>
          <w:rFonts w:cstheme="majorHAnsi"/>
          <w:bCs/>
          <w:sz w:val="20"/>
          <w:szCs w:val="20"/>
          <w:lang w:val="es-CO"/>
        </w:rPr>
        <w:t xml:space="preserve">tomando </w:t>
      </w:r>
      <w:r w:rsidRPr="008D65EE">
        <w:rPr>
          <w:rFonts w:cstheme="majorHAnsi"/>
          <w:bCs/>
          <w:sz w:val="20"/>
          <w:szCs w:val="20"/>
          <w:lang w:val="es-CO"/>
        </w:rPr>
        <w:t xml:space="preserve">el antidepresivo Paroxetine y había solicitado Diazepan. </w:t>
      </w:r>
    </w:p>
    <w:p w14:paraId="1A0BF4DD" w14:textId="77777777" w:rsidR="00EA6555" w:rsidRPr="008D65EE" w:rsidRDefault="00EA6555" w:rsidP="00EA6555">
      <w:pPr>
        <w:jc w:val="both"/>
        <w:rPr>
          <w:rFonts w:cstheme="majorHAnsi"/>
          <w:bCs/>
          <w:sz w:val="20"/>
          <w:szCs w:val="20"/>
          <w:lang w:val="es-CO"/>
        </w:rPr>
      </w:pPr>
    </w:p>
    <w:p w14:paraId="38A30B83" w14:textId="7CBBBBD4" w:rsidR="00EA6555" w:rsidRPr="008D65EE" w:rsidRDefault="00AF04B7" w:rsidP="00AF04B7">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Consta en el expediente que su padre, Terry Langton</w:t>
      </w:r>
      <w:r w:rsidR="00557DBC" w:rsidRPr="008D65EE">
        <w:rPr>
          <w:rFonts w:cstheme="majorHAnsi"/>
          <w:bCs/>
          <w:sz w:val="20"/>
          <w:szCs w:val="20"/>
          <w:lang w:val="es-CO"/>
        </w:rPr>
        <w:t>,</w:t>
      </w:r>
      <w:r w:rsidRPr="008D65EE">
        <w:rPr>
          <w:rFonts w:cstheme="majorHAnsi"/>
          <w:bCs/>
          <w:sz w:val="20"/>
          <w:szCs w:val="20"/>
          <w:lang w:val="es-CO"/>
        </w:rPr>
        <w:t xml:space="preserve"> había advertido a las autoridades sobre episodios de problemas psicológicos de su hij</w:t>
      </w:r>
      <w:r w:rsidR="00096787" w:rsidRPr="008D65EE">
        <w:rPr>
          <w:rFonts w:cstheme="majorHAnsi"/>
          <w:bCs/>
          <w:sz w:val="20"/>
          <w:szCs w:val="20"/>
          <w:lang w:val="es-CO"/>
        </w:rPr>
        <w:t>a</w:t>
      </w:r>
      <w:r w:rsidRPr="008D65EE">
        <w:rPr>
          <w:rFonts w:cstheme="majorHAnsi"/>
          <w:bCs/>
          <w:sz w:val="20"/>
          <w:szCs w:val="20"/>
          <w:lang w:val="es-CO"/>
        </w:rPr>
        <w:t xml:space="preserve"> y que el médico de</w:t>
      </w:r>
      <w:r w:rsidR="00715452" w:rsidRPr="008D65EE">
        <w:rPr>
          <w:rFonts w:cstheme="majorHAnsi"/>
          <w:bCs/>
          <w:sz w:val="20"/>
          <w:szCs w:val="20"/>
          <w:lang w:val="es-CO"/>
        </w:rPr>
        <w:t>l</w:t>
      </w:r>
      <w:r w:rsidRPr="008D65EE">
        <w:rPr>
          <w:rFonts w:cstheme="majorHAnsi"/>
          <w:bCs/>
          <w:sz w:val="20"/>
          <w:szCs w:val="20"/>
          <w:lang w:val="es-CO"/>
        </w:rPr>
        <w:t xml:space="preserve"> servicio de salud había anotado en su historia clínica que Sarah sufría </w:t>
      </w:r>
      <w:r w:rsidR="009207C2" w:rsidRPr="008D65EE">
        <w:rPr>
          <w:rFonts w:cstheme="majorHAnsi"/>
          <w:bCs/>
          <w:sz w:val="20"/>
          <w:szCs w:val="20"/>
          <w:lang w:val="es-CO"/>
        </w:rPr>
        <w:t>adicción a algunas sustancias</w:t>
      </w:r>
      <w:r w:rsidRPr="008D65EE">
        <w:rPr>
          <w:rFonts w:cstheme="majorHAnsi"/>
          <w:bCs/>
          <w:sz w:val="20"/>
          <w:szCs w:val="20"/>
          <w:lang w:val="es-CO"/>
        </w:rPr>
        <w:t xml:space="preserve">. </w:t>
      </w:r>
      <w:r w:rsidR="009207C2" w:rsidRPr="008D65EE">
        <w:rPr>
          <w:rFonts w:cstheme="majorHAnsi"/>
          <w:bCs/>
          <w:sz w:val="20"/>
          <w:szCs w:val="20"/>
          <w:lang w:val="es-CO"/>
        </w:rPr>
        <w:t xml:space="preserve">Debido a esto, una representante del Consulado británico en Venezuela, había solicitado a las autoridades de la prisión si Sarah pudiese ser evaluada por un psiquiatra en la prisión explicando que había intentado cometer suicidio en dos oportunidades unos años antes.  </w:t>
      </w:r>
      <w:r w:rsidRPr="008D65EE">
        <w:rPr>
          <w:rFonts w:cstheme="majorHAnsi"/>
          <w:bCs/>
          <w:sz w:val="20"/>
          <w:szCs w:val="20"/>
          <w:lang w:val="es-CO"/>
        </w:rPr>
        <w:t>Sin embargo, a pesar de su historia</w:t>
      </w:r>
      <w:r w:rsidR="009207C2" w:rsidRPr="008D65EE">
        <w:rPr>
          <w:rFonts w:cstheme="majorHAnsi"/>
          <w:bCs/>
          <w:sz w:val="20"/>
          <w:szCs w:val="20"/>
          <w:lang w:val="es-CO"/>
        </w:rPr>
        <w:t xml:space="preserve"> </w:t>
      </w:r>
      <w:r w:rsidRPr="008D65EE">
        <w:rPr>
          <w:rFonts w:cstheme="majorHAnsi"/>
          <w:bCs/>
          <w:sz w:val="20"/>
          <w:szCs w:val="20"/>
          <w:lang w:val="es-CO"/>
        </w:rPr>
        <w:t>clínica anterior y las preocupaciones de su familia con respecto a su estado psicológica la Comisión no observa en el expediente que el Estado</w:t>
      </w:r>
      <w:r w:rsidR="00557DBC" w:rsidRPr="008D65EE">
        <w:rPr>
          <w:rFonts w:cstheme="majorHAnsi"/>
          <w:bCs/>
          <w:sz w:val="20"/>
          <w:szCs w:val="20"/>
          <w:lang w:val="es-CO"/>
        </w:rPr>
        <w:t xml:space="preserve"> le</w:t>
      </w:r>
      <w:r w:rsidRPr="008D65EE">
        <w:rPr>
          <w:rFonts w:cstheme="majorHAnsi"/>
          <w:bCs/>
          <w:sz w:val="20"/>
          <w:szCs w:val="20"/>
          <w:lang w:val="es-CO"/>
        </w:rPr>
        <w:t xml:space="preserve"> </w:t>
      </w:r>
      <w:r w:rsidR="00557DBC" w:rsidRPr="008D65EE">
        <w:rPr>
          <w:rFonts w:cstheme="majorHAnsi"/>
          <w:bCs/>
          <w:sz w:val="20"/>
          <w:szCs w:val="20"/>
          <w:lang w:val="es-CO"/>
        </w:rPr>
        <w:t>hubiere brindado</w:t>
      </w:r>
      <w:r w:rsidRPr="008D65EE">
        <w:rPr>
          <w:rFonts w:cstheme="majorHAnsi"/>
          <w:bCs/>
          <w:sz w:val="20"/>
          <w:szCs w:val="20"/>
          <w:lang w:val="es-CO"/>
        </w:rPr>
        <w:t xml:space="preserve"> servicios de salud </w:t>
      </w:r>
      <w:r w:rsidR="00557DBC" w:rsidRPr="008D65EE">
        <w:rPr>
          <w:rFonts w:cstheme="majorHAnsi"/>
          <w:bCs/>
          <w:sz w:val="20"/>
          <w:szCs w:val="20"/>
          <w:lang w:val="es-CO"/>
        </w:rPr>
        <w:t xml:space="preserve">mental, o se hubiera realizado </w:t>
      </w:r>
      <w:r w:rsidRPr="008D65EE">
        <w:rPr>
          <w:rFonts w:cstheme="majorHAnsi"/>
          <w:bCs/>
          <w:sz w:val="20"/>
          <w:szCs w:val="20"/>
          <w:lang w:val="es-CO"/>
        </w:rPr>
        <w:t>una evaluación</w:t>
      </w:r>
      <w:r w:rsidR="00557DBC" w:rsidRPr="008D65EE">
        <w:rPr>
          <w:rFonts w:cstheme="majorHAnsi"/>
          <w:bCs/>
          <w:sz w:val="20"/>
          <w:szCs w:val="20"/>
          <w:lang w:val="es-CO"/>
        </w:rPr>
        <w:t xml:space="preserve"> psicológica o psiquiátrica</w:t>
      </w:r>
      <w:r w:rsidRPr="008D65EE">
        <w:rPr>
          <w:rFonts w:cstheme="majorHAnsi"/>
          <w:bCs/>
          <w:sz w:val="20"/>
          <w:szCs w:val="20"/>
          <w:lang w:val="es-CO"/>
        </w:rPr>
        <w:t xml:space="preserve">. </w:t>
      </w:r>
    </w:p>
    <w:p w14:paraId="4878CFB8" w14:textId="77777777" w:rsidR="00EA6555" w:rsidRPr="008D65EE" w:rsidRDefault="00EA6555" w:rsidP="00EA6555">
      <w:pPr>
        <w:jc w:val="both"/>
        <w:rPr>
          <w:rFonts w:cstheme="majorHAnsi"/>
          <w:bCs/>
          <w:sz w:val="20"/>
          <w:szCs w:val="20"/>
          <w:lang w:val="es-CO"/>
        </w:rPr>
      </w:pPr>
    </w:p>
    <w:p w14:paraId="1E9D7861" w14:textId="684C07B6" w:rsidR="00AF04B7" w:rsidRPr="008D65EE" w:rsidRDefault="00557DBC" w:rsidP="00AF04B7">
      <w:pPr>
        <w:pStyle w:val="ListParagraph"/>
        <w:numPr>
          <w:ilvl w:val="0"/>
          <w:numId w:val="51"/>
        </w:numPr>
        <w:ind w:left="0" w:firstLine="567"/>
        <w:jc w:val="both"/>
        <w:rPr>
          <w:rFonts w:cstheme="majorHAnsi"/>
          <w:bCs/>
          <w:sz w:val="20"/>
          <w:szCs w:val="20"/>
          <w:lang w:val="es-CO"/>
        </w:rPr>
      </w:pPr>
      <w:r w:rsidRPr="008D65EE">
        <w:rPr>
          <w:rFonts w:cstheme="majorHAnsi"/>
          <w:bCs/>
          <w:sz w:val="20"/>
          <w:szCs w:val="20"/>
          <w:lang w:val="es-CO"/>
        </w:rPr>
        <w:t>En vista de lo antes explicado</w:t>
      </w:r>
      <w:r w:rsidR="00AF04B7" w:rsidRPr="008D65EE">
        <w:rPr>
          <w:rFonts w:cstheme="majorHAnsi"/>
          <w:bCs/>
          <w:sz w:val="20"/>
          <w:szCs w:val="20"/>
          <w:lang w:val="es-CO"/>
        </w:rPr>
        <w:t xml:space="preserve">, la Comisión concluye que durante su privativa de libertad en el INOF a Sarah no </w:t>
      </w:r>
      <w:r w:rsidRPr="008D65EE">
        <w:rPr>
          <w:rFonts w:cstheme="majorHAnsi"/>
          <w:bCs/>
          <w:sz w:val="20"/>
          <w:szCs w:val="20"/>
          <w:lang w:val="es-CO"/>
        </w:rPr>
        <w:t xml:space="preserve">tuvo acceso a atención médica adecuada </w:t>
      </w:r>
      <w:r w:rsidR="00AF04B7" w:rsidRPr="008D65EE">
        <w:rPr>
          <w:rFonts w:cstheme="majorHAnsi"/>
          <w:bCs/>
          <w:sz w:val="20"/>
          <w:szCs w:val="20"/>
          <w:lang w:val="es-CO"/>
        </w:rPr>
        <w:t xml:space="preserve">para poder controlar su enfermedad de diabetes ni su </w:t>
      </w:r>
      <w:r w:rsidR="00715452" w:rsidRPr="008D65EE">
        <w:rPr>
          <w:rFonts w:cstheme="majorHAnsi"/>
          <w:bCs/>
          <w:sz w:val="20"/>
          <w:szCs w:val="20"/>
          <w:lang w:val="es-CO"/>
        </w:rPr>
        <w:t>salud mental</w:t>
      </w:r>
      <w:r w:rsidR="00AF04B7" w:rsidRPr="008D65EE">
        <w:rPr>
          <w:rFonts w:cstheme="majorHAnsi"/>
          <w:bCs/>
          <w:sz w:val="20"/>
          <w:szCs w:val="20"/>
          <w:lang w:val="es-CO"/>
        </w:rPr>
        <w:t xml:space="preserve">. </w:t>
      </w:r>
    </w:p>
    <w:p w14:paraId="4F04F5F2" w14:textId="117E017F" w:rsidR="00AF04B7" w:rsidRPr="008D65EE" w:rsidRDefault="00AF04B7" w:rsidP="00AF04B7">
      <w:pPr>
        <w:jc w:val="both"/>
        <w:rPr>
          <w:rFonts w:ascii="Cambria" w:hAnsi="Cambria"/>
          <w:sz w:val="20"/>
          <w:szCs w:val="20"/>
          <w:lang w:val="es-CO"/>
        </w:rPr>
      </w:pPr>
    </w:p>
    <w:p w14:paraId="0D36AD41" w14:textId="77777777" w:rsidR="00B7324E" w:rsidRPr="008D65EE" w:rsidRDefault="00B7324E" w:rsidP="00AF04B7">
      <w:pPr>
        <w:jc w:val="both"/>
        <w:rPr>
          <w:rFonts w:ascii="Cambria" w:hAnsi="Cambria"/>
          <w:sz w:val="20"/>
          <w:szCs w:val="20"/>
          <w:lang w:val="es-CO"/>
        </w:rPr>
      </w:pPr>
    </w:p>
    <w:p w14:paraId="16FA8DA9" w14:textId="77777777" w:rsidR="00B7324E" w:rsidRPr="008D65EE" w:rsidRDefault="00B7324E" w:rsidP="00AF04B7">
      <w:pPr>
        <w:jc w:val="both"/>
        <w:rPr>
          <w:rFonts w:ascii="Cambria" w:hAnsi="Cambria"/>
          <w:sz w:val="20"/>
          <w:szCs w:val="20"/>
          <w:lang w:val="es-CO"/>
        </w:rPr>
      </w:pPr>
    </w:p>
    <w:p w14:paraId="30B6A711" w14:textId="0ABD92A5" w:rsidR="00207601" w:rsidRPr="008D65EE" w:rsidRDefault="00207601" w:rsidP="0055032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b/>
          <w:sz w:val="20"/>
          <w:szCs w:val="20"/>
          <w:lang w:val="es-CO"/>
        </w:rPr>
      </w:pPr>
      <w:r w:rsidRPr="008D65EE">
        <w:rPr>
          <w:b/>
          <w:sz w:val="20"/>
          <w:szCs w:val="20"/>
          <w:lang w:val="es-CO"/>
        </w:rPr>
        <w:lastRenderedPageBreak/>
        <w:t xml:space="preserve">En cuanto los hechos ocurridos el 7 de marzo de 2001 </w:t>
      </w:r>
    </w:p>
    <w:p w14:paraId="2A0C30BE" w14:textId="77777777" w:rsidR="00207601" w:rsidRPr="008D65EE" w:rsidRDefault="00207601" w:rsidP="00AF04B7">
      <w:pPr>
        <w:jc w:val="both"/>
        <w:rPr>
          <w:rFonts w:ascii="Cambria" w:hAnsi="Cambria"/>
          <w:sz w:val="20"/>
          <w:szCs w:val="20"/>
          <w:lang w:val="es-CO"/>
        </w:rPr>
      </w:pPr>
    </w:p>
    <w:p w14:paraId="726C596A" w14:textId="7ED4C69F" w:rsidR="0033269E" w:rsidRPr="008D65EE" w:rsidRDefault="00EA6D81" w:rsidP="0033269E">
      <w:pPr>
        <w:pStyle w:val="ListParagraph"/>
        <w:numPr>
          <w:ilvl w:val="0"/>
          <w:numId w:val="51"/>
        </w:numPr>
        <w:ind w:left="0" w:firstLine="567"/>
        <w:jc w:val="both"/>
        <w:rPr>
          <w:sz w:val="20"/>
          <w:szCs w:val="20"/>
          <w:lang w:val="es-CO"/>
        </w:rPr>
      </w:pPr>
      <w:r w:rsidRPr="008D65EE">
        <w:rPr>
          <w:sz w:val="20"/>
          <w:szCs w:val="20"/>
          <w:lang w:val="es-CO"/>
        </w:rPr>
        <w:t xml:space="preserve">En relación con el día en que ocurrió la muerte de la presunta víctima, </w:t>
      </w:r>
      <w:r w:rsidR="00AF04B7" w:rsidRPr="008D65EE">
        <w:rPr>
          <w:sz w:val="20"/>
          <w:szCs w:val="20"/>
          <w:lang w:val="es-CO"/>
        </w:rPr>
        <w:t>7 de marzo de 2001</w:t>
      </w:r>
      <w:r w:rsidR="00715452" w:rsidRPr="008D65EE">
        <w:rPr>
          <w:sz w:val="20"/>
          <w:szCs w:val="20"/>
          <w:lang w:val="es-CO"/>
        </w:rPr>
        <w:t>,</w:t>
      </w:r>
      <w:r w:rsidR="00AF04B7" w:rsidRPr="008D65EE">
        <w:rPr>
          <w:sz w:val="20"/>
          <w:szCs w:val="20"/>
          <w:lang w:val="es-CO"/>
        </w:rPr>
        <w:t xml:space="preserve"> la </w:t>
      </w:r>
      <w:r w:rsidRPr="008D65EE">
        <w:rPr>
          <w:sz w:val="20"/>
          <w:szCs w:val="20"/>
          <w:lang w:val="es-CO"/>
        </w:rPr>
        <w:t xml:space="preserve">Comisión nota que la </w:t>
      </w:r>
      <w:r w:rsidR="00AF04B7" w:rsidRPr="008D65EE">
        <w:rPr>
          <w:sz w:val="20"/>
          <w:szCs w:val="20"/>
          <w:lang w:val="es-CO"/>
        </w:rPr>
        <w:t xml:space="preserve">situación de salud de Sarah comenzó a empeorar rápidamente. Según las declaraciones de una de sus compañeras, </w:t>
      </w:r>
      <w:r w:rsidR="006B06CA" w:rsidRPr="008D65EE">
        <w:rPr>
          <w:sz w:val="20"/>
          <w:szCs w:val="20"/>
          <w:lang w:val="es-CO"/>
        </w:rPr>
        <w:t xml:space="preserve">ellas la </w:t>
      </w:r>
      <w:r w:rsidR="00AF04B7" w:rsidRPr="008D65EE">
        <w:rPr>
          <w:sz w:val="20"/>
          <w:szCs w:val="20"/>
          <w:lang w:val="es-CO"/>
        </w:rPr>
        <w:t>despertaron alrededor de las 3:40 porque estaba inquieta y presentaba sudoración</w:t>
      </w:r>
      <w:r w:rsidR="006B06CA" w:rsidRPr="008D65EE">
        <w:rPr>
          <w:sz w:val="20"/>
          <w:szCs w:val="20"/>
          <w:lang w:val="es-CO"/>
        </w:rPr>
        <w:t xml:space="preserve"> y</w:t>
      </w:r>
      <w:r w:rsidR="00AF04B7" w:rsidRPr="008D65EE">
        <w:rPr>
          <w:sz w:val="20"/>
          <w:szCs w:val="20"/>
          <w:lang w:val="es-CO"/>
        </w:rPr>
        <w:t xml:space="preserve"> vómitos blancos y espumosos</w:t>
      </w:r>
      <w:r w:rsidR="006B06CA" w:rsidRPr="008D65EE">
        <w:rPr>
          <w:sz w:val="20"/>
          <w:szCs w:val="20"/>
          <w:lang w:val="es-CO"/>
        </w:rPr>
        <w:t>, por lo cual</w:t>
      </w:r>
      <w:r w:rsidR="00AF04B7" w:rsidRPr="008D65EE">
        <w:rPr>
          <w:sz w:val="20"/>
          <w:szCs w:val="20"/>
          <w:lang w:val="es-CO"/>
        </w:rPr>
        <w:t xml:space="preserve"> las otras reclusas trataron de brindarle ayuda. Una de las reclusas le avisó a la vigilante que Sarah estaba mal y que necesitaba su insulina. Sin embargo, </w:t>
      </w:r>
      <w:r w:rsidRPr="008D65EE">
        <w:rPr>
          <w:sz w:val="20"/>
          <w:szCs w:val="20"/>
          <w:lang w:val="es-CO"/>
        </w:rPr>
        <w:t>e</w:t>
      </w:r>
      <w:r w:rsidR="0033269E" w:rsidRPr="008D65EE">
        <w:rPr>
          <w:sz w:val="20"/>
          <w:szCs w:val="20"/>
          <w:lang w:val="es-CO"/>
        </w:rPr>
        <w:t>se día, la doctora a cargo de la Jefatura del Servicio Médico del INOF y la comisaria del penal no se encontraban en las instalaciones del centro penitenciario, ya que habían viajado a un evento, sin haber coordinado lo necesario para que el servicio médico de adultos del INOF quedara provisto de personal médico. A su vez, los doctores quienes tenían a su cargo el área pediátrica</w:t>
      </w:r>
      <w:r w:rsidRPr="008D65EE">
        <w:rPr>
          <w:sz w:val="20"/>
          <w:szCs w:val="20"/>
          <w:lang w:val="es-CO"/>
        </w:rPr>
        <w:t xml:space="preserve">, pese a que </w:t>
      </w:r>
      <w:r w:rsidR="0033269E" w:rsidRPr="008D65EE">
        <w:rPr>
          <w:sz w:val="20"/>
          <w:szCs w:val="20"/>
          <w:lang w:val="es-CO"/>
        </w:rPr>
        <w:t xml:space="preserve">fueron notificados sobre una reclusa desmayada, no le prestaron asistencia médica alegando que no podría ingresar al área de adultos.  </w:t>
      </w:r>
    </w:p>
    <w:p w14:paraId="45680009" w14:textId="77777777" w:rsidR="00AF04B7" w:rsidRPr="008D65EE" w:rsidRDefault="00AF04B7" w:rsidP="009C06F8">
      <w:pPr>
        <w:rPr>
          <w:sz w:val="20"/>
          <w:szCs w:val="20"/>
          <w:lang w:val="es-CO"/>
        </w:rPr>
      </w:pPr>
    </w:p>
    <w:p w14:paraId="75A5709D" w14:textId="286A81FC" w:rsidR="00073640" w:rsidRPr="008D65EE" w:rsidRDefault="00073640" w:rsidP="0036484A">
      <w:pPr>
        <w:pStyle w:val="ListParagraph"/>
        <w:numPr>
          <w:ilvl w:val="0"/>
          <w:numId w:val="51"/>
        </w:numPr>
        <w:ind w:left="0" w:firstLine="567"/>
        <w:jc w:val="both"/>
        <w:rPr>
          <w:sz w:val="20"/>
          <w:szCs w:val="20"/>
          <w:lang w:val="es-CO"/>
        </w:rPr>
      </w:pPr>
      <w:r w:rsidRPr="008D65EE">
        <w:rPr>
          <w:sz w:val="20"/>
          <w:szCs w:val="20"/>
          <w:lang w:val="es-CO"/>
        </w:rPr>
        <w:t>La Comisión</w:t>
      </w:r>
      <w:r w:rsidR="009207C2" w:rsidRPr="008D65EE">
        <w:rPr>
          <w:sz w:val="20"/>
          <w:szCs w:val="20"/>
          <w:lang w:val="es-CO"/>
        </w:rPr>
        <w:t xml:space="preserve"> observa </w:t>
      </w:r>
      <w:r w:rsidR="009C06F8" w:rsidRPr="008D65EE">
        <w:rPr>
          <w:sz w:val="20"/>
          <w:szCs w:val="20"/>
          <w:lang w:val="es-CO"/>
        </w:rPr>
        <w:t>que</w:t>
      </w:r>
      <w:r w:rsidR="00EA6D81" w:rsidRPr="008D65EE">
        <w:rPr>
          <w:sz w:val="20"/>
          <w:szCs w:val="20"/>
          <w:lang w:val="es-CO"/>
        </w:rPr>
        <w:t>,</w:t>
      </w:r>
      <w:r w:rsidR="009C06F8" w:rsidRPr="008D65EE">
        <w:rPr>
          <w:sz w:val="20"/>
          <w:szCs w:val="20"/>
          <w:lang w:val="es-CO"/>
        </w:rPr>
        <w:t xml:space="preserve"> a esta ausencia de atención médica, se suma </w:t>
      </w:r>
      <w:r w:rsidRPr="008D65EE">
        <w:rPr>
          <w:sz w:val="20"/>
          <w:szCs w:val="20"/>
          <w:lang w:val="es-CO"/>
        </w:rPr>
        <w:t>la tardanza en las que incurrieron los miembros del cuerpo de bomberos para trasladarla al Hospital</w:t>
      </w:r>
      <w:r w:rsidR="00EA6D81" w:rsidRPr="008D65EE">
        <w:rPr>
          <w:sz w:val="20"/>
          <w:szCs w:val="20"/>
          <w:lang w:val="es-CO"/>
        </w:rPr>
        <w:t xml:space="preserve"> y que, </w:t>
      </w:r>
      <w:r w:rsidRPr="008D65EE">
        <w:rPr>
          <w:sz w:val="20"/>
          <w:szCs w:val="20"/>
          <w:lang w:val="es-CO"/>
        </w:rPr>
        <w:t xml:space="preserve">cuando </w:t>
      </w:r>
      <w:r w:rsidR="00557DBC" w:rsidRPr="008D65EE">
        <w:rPr>
          <w:sz w:val="20"/>
          <w:szCs w:val="20"/>
          <w:lang w:val="es-CO"/>
        </w:rPr>
        <w:t xml:space="preserve">finalmente </w:t>
      </w:r>
      <w:r w:rsidRPr="008D65EE">
        <w:rPr>
          <w:sz w:val="20"/>
          <w:szCs w:val="20"/>
          <w:lang w:val="es-CO"/>
        </w:rPr>
        <w:t xml:space="preserve">llegó </w:t>
      </w:r>
      <w:r w:rsidR="009C06F8" w:rsidRPr="008D65EE">
        <w:rPr>
          <w:sz w:val="20"/>
          <w:szCs w:val="20"/>
          <w:lang w:val="es-CO"/>
        </w:rPr>
        <w:t xml:space="preserve">la presunta víctima </w:t>
      </w:r>
      <w:r w:rsidRPr="008D65EE">
        <w:rPr>
          <w:sz w:val="20"/>
          <w:szCs w:val="20"/>
          <w:lang w:val="es-CO"/>
        </w:rPr>
        <w:t xml:space="preserve">al </w:t>
      </w:r>
      <w:r w:rsidR="00AF04B7" w:rsidRPr="008D65EE">
        <w:rPr>
          <w:sz w:val="20"/>
          <w:szCs w:val="20"/>
          <w:lang w:val="es-CO"/>
        </w:rPr>
        <w:t>Hospital</w:t>
      </w:r>
      <w:r w:rsidR="00557DBC" w:rsidRPr="008D65EE">
        <w:rPr>
          <w:sz w:val="20"/>
          <w:szCs w:val="20"/>
          <w:lang w:val="es-CO"/>
        </w:rPr>
        <w:t xml:space="preserve"> -e</w:t>
      </w:r>
      <w:r w:rsidRPr="008D65EE">
        <w:rPr>
          <w:sz w:val="20"/>
          <w:szCs w:val="20"/>
          <w:lang w:val="es-CO"/>
        </w:rPr>
        <w:t xml:space="preserve">n </w:t>
      </w:r>
      <w:r w:rsidR="00AF04B7" w:rsidRPr="008D65EE">
        <w:rPr>
          <w:sz w:val="20"/>
          <w:szCs w:val="20"/>
          <w:lang w:val="es-CO"/>
        </w:rPr>
        <w:t>condiciones críticas</w:t>
      </w:r>
      <w:r w:rsidRPr="008D65EE">
        <w:rPr>
          <w:sz w:val="20"/>
          <w:szCs w:val="20"/>
          <w:lang w:val="es-CO"/>
        </w:rPr>
        <w:t xml:space="preserve"> y</w:t>
      </w:r>
      <w:r w:rsidR="00AF04B7" w:rsidRPr="008D65EE">
        <w:rPr>
          <w:sz w:val="20"/>
          <w:szCs w:val="20"/>
          <w:lang w:val="es-CO"/>
        </w:rPr>
        <w:t xml:space="preserve"> estado </w:t>
      </w:r>
      <w:r w:rsidR="00EA6D81" w:rsidRPr="008D65EE">
        <w:rPr>
          <w:sz w:val="20"/>
          <w:szCs w:val="20"/>
          <w:lang w:val="es-CO"/>
        </w:rPr>
        <w:t>semiinconsciente</w:t>
      </w:r>
      <w:r w:rsidR="00557DBC" w:rsidRPr="008D65EE">
        <w:rPr>
          <w:sz w:val="20"/>
          <w:szCs w:val="20"/>
          <w:lang w:val="es-CO"/>
        </w:rPr>
        <w:t>-</w:t>
      </w:r>
      <w:r w:rsidR="00EA6D81" w:rsidRPr="008D65EE">
        <w:rPr>
          <w:sz w:val="20"/>
          <w:szCs w:val="20"/>
          <w:lang w:val="es-CO"/>
        </w:rPr>
        <w:t xml:space="preserve"> no</w:t>
      </w:r>
      <w:r w:rsidRPr="008D65EE">
        <w:rPr>
          <w:sz w:val="20"/>
          <w:szCs w:val="20"/>
          <w:lang w:val="es-CO"/>
        </w:rPr>
        <w:t xml:space="preserve"> había lugar para atenderla</w:t>
      </w:r>
      <w:r w:rsidR="00EA6D81" w:rsidRPr="008D65EE">
        <w:rPr>
          <w:sz w:val="20"/>
          <w:szCs w:val="20"/>
          <w:lang w:val="es-CO"/>
        </w:rPr>
        <w:t xml:space="preserve">. </w:t>
      </w:r>
      <w:r w:rsidR="00557DBC" w:rsidRPr="008D65EE">
        <w:rPr>
          <w:sz w:val="20"/>
          <w:szCs w:val="20"/>
          <w:lang w:val="es-CO"/>
        </w:rPr>
        <w:t>Además, p</w:t>
      </w:r>
      <w:r w:rsidR="00E821C5" w:rsidRPr="008D65EE">
        <w:rPr>
          <w:sz w:val="20"/>
          <w:szCs w:val="20"/>
          <w:lang w:val="es-CO"/>
        </w:rPr>
        <w:t>ese a tratarse de una persona bajo custodia del Estado, correspondió a sus</w:t>
      </w:r>
      <w:r w:rsidRPr="008D65EE">
        <w:rPr>
          <w:sz w:val="20"/>
          <w:szCs w:val="20"/>
          <w:lang w:val="es-CO"/>
        </w:rPr>
        <w:t xml:space="preserve"> padres</w:t>
      </w:r>
      <w:r w:rsidR="00E821C5" w:rsidRPr="008D65EE">
        <w:rPr>
          <w:sz w:val="20"/>
          <w:szCs w:val="20"/>
          <w:lang w:val="es-CO"/>
        </w:rPr>
        <w:t xml:space="preserve"> y abogado</w:t>
      </w:r>
      <w:r w:rsidRPr="008D65EE">
        <w:rPr>
          <w:sz w:val="20"/>
          <w:szCs w:val="20"/>
          <w:lang w:val="es-CO"/>
        </w:rPr>
        <w:t xml:space="preserve"> realizar el traslado a una clínica privada y cubrir los gastos, lo cual</w:t>
      </w:r>
      <w:r w:rsidR="009207C2" w:rsidRPr="008D65EE">
        <w:rPr>
          <w:sz w:val="20"/>
          <w:szCs w:val="20"/>
          <w:lang w:val="es-CO"/>
        </w:rPr>
        <w:t xml:space="preserve">, </w:t>
      </w:r>
      <w:r w:rsidRPr="008D65EE">
        <w:rPr>
          <w:sz w:val="20"/>
          <w:szCs w:val="20"/>
          <w:lang w:val="es-CO"/>
        </w:rPr>
        <w:t xml:space="preserve">tomó varias horas de angustia en las cuales mantuvieron a </w:t>
      </w:r>
      <w:r w:rsidR="00AF04B7" w:rsidRPr="008D65EE">
        <w:rPr>
          <w:sz w:val="20"/>
          <w:szCs w:val="20"/>
          <w:lang w:val="es-CO"/>
        </w:rPr>
        <w:t>Sarah en la sala de admisiones conectada al respirador de la ambulancia</w:t>
      </w:r>
      <w:r w:rsidR="00E821C5" w:rsidRPr="008D65EE">
        <w:rPr>
          <w:sz w:val="20"/>
          <w:szCs w:val="20"/>
          <w:lang w:val="es-CO"/>
        </w:rPr>
        <w:t xml:space="preserve">, siendo </w:t>
      </w:r>
      <w:r w:rsidRPr="008D65EE">
        <w:rPr>
          <w:sz w:val="20"/>
          <w:szCs w:val="20"/>
          <w:lang w:val="es-CO"/>
        </w:rPr>
        <w:t xml:space="preserve">que cuando fue admitida </w:t>
      </w:r>
      <w:r w:rsidR="009C06F8" w:rsidRPr="008D65EE">
        <w:rPr>
          <w:sz w:val="20"/>
          <w:szCs w:val="20"/>
          <w:lang w:val="es-CO"/>
        </w:rPr>
        <w:t>cuando ya</w:t>
      </w:r>
      <w:r w:rsidRPr="008D65EE">
        <w:rPr>
          <w:sz w:val="20"/>
          <w:szCs w:val="20"/>
          <w:lang w:val="es-CO"/>
        </w:rPr>
        <w:t xml:space="preserve"> estaba en coma diabético</w:t>
      </w:r>
      <w:r w:rsidR="00AF04B7" w:rsidRPr="008D65EE">
        <w:rPr>
          <w:sz w:val="20"/>
          <w:szCs w:val="20"/>
          <w:lang w:val="es-CO"/>
        </w:rPr>
        <w:t>.</w:t>
      </w:r>
    </w:p>
    <w:p w14:paraId="72C5A4D2" w14:textId="77777777" w:rsidR="00EA6555" w:rsidRPr="008D65EE" w:rsidRDefault="00EA6555" w:rsidP="00EA6555">
      <w:pPr>
        <w:jc w:val="both"/>
        <w:rPr>
          <w:sz w:val="20"/>
          <w:szCs w:val="20"/>
          <w:lang w:val="es-CO"/>
        </w:rPr>
      </w:pPr>
    </w:p>
    <w:p w14:paraId="408BFC04" w14:textId="19095ED1" w:rsidR="00AF04B7" w:rsidRPr="008D65EE" w:rsidRDefault="00AF04B7" w:rsidP="00EA6555">
      <w:pPr>
        <w:pStyle w:val="ListParagraph"/>
        <w:numPr>
          <w:ilvl w:val="0"/>
          <w:numId w:val="51"/>
        </w:numPr>
        <w:ind w:left="0" w:firstLine="567"/>
        <w:jc w:val="both"/>
        <w:rPr>
          <w:sz w:val="20"/>
          <w:szCs w:val="20"/>
          <w:lang w:val="es-CO"/>
        </w:rPr>
      </w:pPr>
      <w:r w:rsidRPr="008D65EE">
        <w:rPr>
          <w:sz w:val="20"/>
          <w:szCs w:val="20"/>
          <w:lang w:val="es-CO"/>
        </w:rPr>
        <w:t>La</w:t>
      </w:r>
      <w:r w:rsidR="0033269E" w:rsidRPr="008D65EE">
        <w:rPr>
          <w:sz w:val="20"/>
          <w:szCs w:val="20"/>
          <w:lang w:val="es-CO"/>
        </w:rPr>
        <w:t xml:space="preserve"> Comisión nota que las </w:t>
      </w:r>
      <w:r w:rsidRPr="008D65EE">
        <w:rPr>
          <w:sz w:val="20"/>
          <w:szCs w:val="20"/>
          <w:lang w:val="es-CO"/>
        </w:rPr>
        <w:t xml:space="preserve">propias autoridades venezolanas afirmaron en sus comunicaciones con los padres de Sarah que </w:t>
      </w:r>
      <w:r w:rsidR="009C06F8" w:rsidRPr="008D65EE">
        <w:rPr>
          <w:sz w:val="20"/>
          <w:szCs w:val="20"/>
          <w:lang w:val="es-CO"/>
        </w:rPr>
        <w:t xml:space="preserve">la falta de atención médica que enfrentó, </w:t>
      </w:r>
      <w:r w:rsidRPr="008D65EE">
        <w:rPr>
          <w:sz w:val="20"/>
          <w:szCs w:val="20"/>
          <w:lang w:val="es-CO"/>
        </w:rPr>
        <w:t xml:space="preserve">se debía a que el INOF carecía de personal médico suficiente para cumplir con roles de guardia que permitan prestar el servicio las 24 horas del día, especialmente, en el caso de internas con enfermedades que requieren de atención inmediata y que el servicio médico para adulto “funcionaba hasta las 4:00pm de la tarde, quedando la población reclusa desasistida de un servicio de vital importancia”.  </w:t>
      </w:r>
    </w:p>
    <w:p w14:paraId="781E8227" w14:textId="77777777" w:rsidR="00EA6555" w:rsidRPr="008D65EE" w:rsidRDefault="00EA6555" w:rsidP="00EA6555">
      <w:pPr>
        <w:jc w:val="both"/>
        <w:rPr>
          <w:sz w:val="20"/>
          <w:szCs w:val="20"/>
          <w:lang w:val="es-CO"/>
        </w:rPr>
      </w:pPr>
    </w:p>
    <w:p w14:paraId="3D1EE3FB" w14:textId="27AEFFFB" w:rsidR="00EA6555" w:rsidRPr="008D65EE" w:rsidRDefault="00AF04B7" w:rsidP="00EA6555">
      <w:pPr>
        <w:pStyle w:val="ListParagraph"/>
        <w:numPr>
          <w:ilvl w:val="0"/>
          <w:numId w:val="51"/>
        </w:numPr>
        <w:ind w:left="0" w:firstLine="567"/>
        <w:jc w:val="both"/>
        <w:rPr>
          <w:sz w:val="20"/>
          <w:szCs w:val="20"/>
          <w:lang w:val="es-CO"/>
        </w:rPr>
      </w:pPr>
      <w:r w:rsidRPr="008D65EE">
        <w:rPr>
          <w:rFonts w:cstheme="majorHAnsi"/>
          <w:bCs/>
          <w:sz w:val="20"/>
          <w:szCs w:val="20"/>
          <w:lang w:val="es-CO"/>
        </w:rPr>
        <w:t xml:space="preserve">Tal y como lo ha afirmado la Corte Interamericana, </w:t>
      </w:r>
      <w:r w:rsidR="0033269E" w:rsidRPr="008D65EE">
        <w:rPr>
          <w:rFonts w:cstheme="majorHAnsi"/>
          <w:bCs/>
          <w:sz w:val="20"/>
          <w:szCs w:val="20"/>
          <w:lang w:val="es-CO"/>
        </w:rPr>
        <w:t xml:space="preserve">el Estado tiene un deber de asegurar conforme al principio de equivalencia que </w:t>
      </w:r>
      <w:r w:rsidRPr="008D65EE">
        <w:rPr>
          <w:rFonts w:cstheme="majorHAnsi"/>
          <w:bCs/>
          <w:sz w:val="20"/>
          <w:szCs w:val="20"/>
          <w:lang w:val="es-CO"/>
        </w:rPr>
        <w:t xml:space="preserve">las personas privadas de libertad que padezcan enfermedades graves, crónicas o terminales, tales como la </w:t>
      </w:r>
      <w:r w:rsidR="00CD7891" w:rsidRPr="008D65EE">
        <w:rPr>
          <w:rFonts w:cstheme="majorHAnsi"/>
          <w:bCs/>
          <w:sz w:val="20"/>
          <w:szCs w:val="20"/>
          <w:lang w:val="es-CO"/>
        </w:rPr>
        <w:t>diabetes</w:t>
      </w:r>
      <w:r w:rsidRPr="008D65EE">
        <w:rPr>
          <w:rFonts w:cstheme="majorHAnsi"/>
          <w:bCs/>
          <w:sz w:val="20"/>
          <w:szCs w:val="20"/>
          <w:lang w:val="es-CO"/>
        </w:rPr>
        <w:t xml:space="preserve"> </w:t>
      </w:r>
      <w:r w:rsidR="0033269E" w:rsidRPr="008D65EE">
        <w:rPr>
          <w:rFonts w:cstheme="majorHAnsi"/>
          <w:bCs/>
          <w:sz w:val="20"/>
          <w:szCs w:val="20"/>
          <w:lang w:val="es-CO"/>
        </w:rPr>
        <w:t xml:space="preserve">tengan </w:t>
      </w:r>
      <w:r w:rsidRPr="008D65EE">
        <w:rPr>
          <w:rFonts w:cstheme="majorHAnsi"/>
          <w:bCs/>
          <w:sz w:val="20"/>
          <w:szCs w:val="20"/>
          <w:lang w:val="es-CO"/>
        </w:rPr>
        <w:t>unidades adecuadas de atención médica para brindarles una atención y tratamiento especializado, que incluya espacios, equipo y personal calificado (de medicina y enfermería)</w:t>
      </w:r>
      <w:r w:rsidRPr="008D65EE">
        <w:rPr>
          <w:rStyle w:val="FootnoteReference"/>
          <w:rFonts w:cstheme="majorHAnsi"/>
          <w:bCs/>
          <w:sz w:val="20"/>
          <w:szCs w:val="20"/>
          <w:lang w:val="es-CO"/>
        </w:rPr>
        <w:footnoteReference w:id="116"/>
      </w:r>
      <w:r w:rsidRPr="008D65EE">
        <w:rPr>
          <w:rFonts w:cstheme="majorHAnsi"/>
          <w:bCs/>
          <w:sz w:val="20"/>
          <w:szCs w:val="20"/>
          <w:lang w:val="es-CO"/>
        </w:rPr>
        <w:t>. En el presente caso</w:t>
      </w:r>
      <w:r w:rsidR="00244B80" w:rsidRPr="008D65EE">
        <w:rPr>
          <w:rFonts w:cstheme="majorHAnsi"/>
          <w:bCs/>
          <w:sz w:val="20"/>
          <w:szCs w:val="20"/>
          <w:lang w:val="es-CO"/>
        </w:rPr>
        <w:t>,</w:t>
      </w:r>
      <w:r w:rsidRPr="008D65EE">
        <w:rPr>
          <w:rFonts w:cstheme="majorHAnsi"/>
          <w:bCs/>
          <w:sz w:val="20"/>
          <w:szCs w:val="20"/>
          <w:lang w:val="es-CO"/>
        </w:rPr>
        <w:t xml:space="preserve"> esta claro que el servicio médico del INOF no contaba con el personal y los insumos médicos necesarios</w:t>
      </w:r>
      <w:r w:rsidR="00244B80" w:rsidRPr="008D65EE">
        <w:rPr>
          <w:rFonts w:cstheme="majorHAnsi"/>
          <w:bCs/>
          <w:sz w:val="20"/>
          <w:szCs w:val="20"/>
          <w:lang w:val="es-CO"/>
        </w:rPr>
        <w:t>. S</w:t>
      </w:r>
      <w:r w:rsidRPr="008D65EE">
        <w:rPr>
          <w:rFonts w:cstheme="majorHAnsi"/>
          <w:bCs/>
          <w:sz w:val="20"/>
          <w:szCs w:val="20"/>
          <w:lang w:val="es-CO"/>
        </w:rPr>
        <w:t>in embargo</w:t>
      </w:r>
      <w:r w:rsidR="00EA6D81" w:rsidRPr="008D65EE">
        <w:rPr>
          <w:rFonts w:cstheme="majorHAnsi"/>
          <w:bCs/>
          <w:sz w:val="20"/>
          <w:szCs w:val="20"/>
          <w:lang w:val="es-CO"/>
        </w:rPr>
        <w:t>,</w:t>
      </w:r>
      <w:r w:rsidRPr="008D65EE">
        <w:rPr>
          <w:rFonts w:cstheme="majorHAnsi"/>
          <w:bCs/>
          <w:sz w:val="20"/>
          <w:szCs w:val="20"/>
          <w:lang w:val="es-CO"/>
        </w:rPr>
        <w:t xml:space="preserve"> no se tomó ninguna medida para garantizar la salud, integridad persona</w:t>
      </w:r>
      <w:r w:rsidR="009207C2" w:rsidRPr="008D65EE">
        <w:rPr>
          <w:rFonts w:cstheme="majorHAnsi"/>
          <w:bCs/>
          <w:sz w:val="20"/>
          <w:szCs w:val="20"/>
          <w:lang w:val="es-CO"/>
        </w:rPr>
        <w:t>l</w:t>
      </w:r>
      <w:r w:rsidRPr="008D65EE">
        <w:rPr>
          <w:rFonts w:cstheme="majorHAnsi"/>
          <w:bCs/>
          <w:sz w:val="20"/>
          <w:szCs w:val="20"/>
          <w:lang w:val="es-CO"/>
        </w:rPr>
        <w:t xml:space="preserve"> y </w:t>
      </w:r>
      <w:r w:rsidR="009207C2" w:rsidRPr="008D65EE">
        <w:rPr>
          <w:rFonts w:cstheme="majorHAnsi"/>
          <w:bCs/>
          <w:sz w:val="20"/>
          <w:szCs w:val="20"/>
          <w:lang w:val="es-CO"/>
        </w:rPr>
        <w:t xml:space="preserve">la </w:t>
      </w:r>
      <w:r w:rsidRPr="008D65EE">
        <w:rPr>
          <w:rFonts w:cstheme="majorHAnsi"/>
          <w:bCs/>
          <w:sz w:val="20"/>
          <w:szCs w:val="20"/>
          <w:lang w:val="es-CO"/>
        </w:rPr>
        <w:t>vida de Sarah Langton.</w:t>
      </w:r>
    </w:p>
    <w:p w14:paraId="61A79CFB" w14:textId="77777777" w:rsidR="00207601" w:rsidRPr="008D65EE" w:rsidRDefault="00207601" w:rsidP="00207601">
      <w:pPr>
        <w:jc w:val="both"/>
        <w:rPr>
          <w:rFonts w:ascii="Cambria" w:hAnsi="Cambria"/>
          <w:sz w:val="20"/>
          <w:szCs w:val="20"/>
          <w:lang w:val="es-CO"/>
        </w:rPr>
      </w:pPr>
    </w:p>
    <w:p w14:paraId="3625C29C" w14:textId="5180438C" w:rsidR="00207601" w:rsidRPr="008D65EE" w:rsidRDefault="00207601" w:rsidP="00550322">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b/>
          <w:sz w:val="20"/>
          <w:szCs w:val="20"/>
          <w:lang w:val="es-CO"/>
        </w:rPr>
      </w:pPr>
      <w:r w:rsidRPr="008D65EE">
        <w:rPr>
          <w:b/>
          <w:sz w:val="20"/>
          <w:szCs w:val="20"/>
          <w:lang w:val="es-CO"/>
        </w:rPr>
        <w:t>Conclusión</w:t>
      </w:r>
    </w:p>
    <w:p w14:paraId="1DBDFB40" w14:textId="77777777" w:rsidR="00244B80" w:rsidRPr="008D65EE" w:rsidRDefault="00244B80" w:rsidP="009C06F8">
      <w:pPr>
        <w:jc w:val="both"/>
        <w:rPr>
          <w:sz w:val="20"/>
          <w:szCs w:val="20"/>
          <w:lang w:val="es-CO"/>
        </w:rPr>
      </w:pPr>
    </w:p>
    <w:p w14:paraId="5D09AE0C" w14:textId="27184F15" w:rsidR="00EA6555" w:rsidRPr="008D65EE" w:rsidRDefault="00207601" w:rsidP="00EA6555">
      <w:pPr>
        <w:pStyle w:val="ListParagraph"/>
        <w:numPr>
          <w:ilvl w:val="0"/>
          <w:numId w:val="51"/>
        </w:numPr>
        <w:ind w:left="0" w:firstLine="567"/>
        <w:jc w:val="both"/>
        <w:rPr>
          <w:sz w:val="20"/>
          <w:szCs w:val="20"/>
          <w:lang w:val="es-CO"/>
        </w:rPr>
      </w:pPr>
      <w:r w:rsidRPr="008D65EE">
        <w:rPr>
          <w:sz w:val="20"/>
          <w:szCs w:val="20"/>
          <w:lang w:val="es-CO"/>
        </w:rPr>
        <w:t>L</w:t>
      </w:r>
      <w:r w:rsidR="009C06F8" w:rsidRPr="008D65EE">
        <w:rPr>
          <w:sz w:val="20"/>
          <w:szCs w:val="20"/>
          <w:lang w:val="es-CO"/>
        </w:rPr>
        <w:t xml:space="preserve">a Comisión observa que </w:t>
      </w:r>
      <w:r w:rsidR="00AF04B7" w:rsidRPr="008D65EE">
        <w:rPr>
          <w:sz w:val="20"/>
          <w:szCs w:val="20"/>
          <w:lang w:val="es-CO"/>
        </w:rPr>
        <w:t>el Estado no asegur</w:t>
      </w:r>
      <w:r w:rsidR="009207C2" w:rsidRPr="008D65EE">
        <w:rPr>
          <w:sz w:val="20"/>
          <w:szCs w:val="20"/>
          <w:lang w:val="es-CO"/>
        </w:rPr>
        <w:t>ó</w:t>
      </w:r>
      <w:r w:rsidR="00AF04B7" w:rsidRPr="008D65EE">
        <w:rPr>
          <w:sz w:val="20"/>
          <w:szCs w:val="20"/>
          <w:lang w:val="es-CO"/>
        </w:rPr>
        <w:t xml:space="preserve"> que, dada su condición de salud, Sarah contara con atención médica periódica</w:t>
      </w:r>
      <w:r w:rsidR="00EA6D81" w:rsidRPr="008D65EE">
        <w:rPr>
          <w:sz w:val="20"/>
          <w:szCs w:val="20"/>
          <w:lang w:val="es-CO"/>
        </w:rPr>
        <w:t xml:space="preserve"> y </w:t>
      </w:r>
      <w:r w:rsidR="00AF04B7" w:rsidRPr="008D65EE">
        <w:rPr>
          <w:sz w:val="20"/>
          <w:szCs w:val="20"/>
          <w:lang w:val="es-CO"/>
        </w:rPr>
        <w:t xml:space="preserve">adecuada dirigida al tratamiento de su enfermedad </w:t>
      </w:r>
      <w:r w:rsidR="00EA6D81" w:rsidRPr="008D65EE">
        <w:rPr>
          <w:sz w:val="20"/>
          <w:szCs w:val="20"/>
          <w:lang w:val="es-CO"/>
        </w:rPr>
        <w:t xml:space="preserve">crónica de diabetes </w:t>
      </w:r>
      <w:r w:rsidR="00AF04B7" w:rsidRPr="008D65EE">
        <w:rPr>
          <w:sz w:val="20"/>
          <w:szCs w:val="20"/>
          <w:lang w:val="es-CO"/>
        </w:rPr>
        <w:t xml:space="preserve">para prevenir su </w:t>
      </w:r>
      <w:r w:rsidR="00CD7891" w:rsidRPr="008D65EE">
        <w:rPr>
          <w:sz w:val="20"/>
          <w:szCs w:val="20"/>
          <w:lang w:val="es-CO"/>
        </w:rPr>
        <w:t>agravamiento</w:t>
      </w:r>
      <w:r w:rsidR="00AF04B7" w:rsidRPr="008D65EE">
        <w:rPr>
          <w:sz w:val="20"/>
          <w:szCs w:val="20"/>
          <w:lang w:val="es-CO"/>
        </w:rPr>
        <w:t xml:space="preserve">, a pesar de la reiterada preocupación por parte de sus padres, médico familiar y autoridades </w:t>
      </w:r>
      <w:r w:rsidR="00CD7891" w:rsidRPr="008D65EE">
        <w:rPr>
          <w:sz w:val="20"/>
          <w:szCs w:val="20"/>
          <w:lang w:val="es-CO"/>
        </w:rPr>
        <w:t>británicas</w:t>
      </w:r>
      <w:r w:rsidR="00AF04B7" w:rsidRPr="008D65EE">
        <w:rPr>
          <w:sz w:val="20"/>
          <w:szCs w:val="20"/>
          <w:lang w:val="es-CO"/>
        </w:rPr>
        <w:t xml:space="preserve">. Mas </w:t>
      </w:r>
      <w:r w:rsidR="00CD7891" w:rsidRPr="008D65EE">
        <w:rPr>
          <w:sz w:val="20"/>
          <w:szCs w:val="20"/>
          <w:lang w:val="es-CO"/>
        </w:rPr>
        <w:t>allá</w:t>
      </w:r>
      <w:r w:rsidR="00AF04B7" w:rsidRPr="008D65EE">
        <w:rPr>
          <w:sz w:val="20"/>
          <w:szCs w:val="20"/>
          <w:lang w:val="es-CO"/>
        </w:rPr>
        <w:t xml:space="preserve"> de esto, cuando su situación se </w:t>
      </w:r>
      <w:r w:rsidR="00CD7891" w:rsidRPr="008D65EE">
        <w:rPr>
          <w:sz w:val="20"/>
          <w:szCs w:val="20"/>
          <w:lang w:val="es-CO"/>
        </w:rPr>
        <w:t>agravó</w:t>
      </w:r>
      <w:r w:rsidR="00EA6D81" w:rsidRPr="008D65EE">
        <w:rPr>
          <w:sz w:val="20"/>
          <w:szCs w:val="20"/>
          <w:lang w:val="es-CO"/>
        </w:rPr>
        <w:t>,</w:t>
      </w:r>
      <w:r w:rsidR="00AF04B7" w:rsidRPr="008D65EE">
        <w:rPr>
          <w:sz w:val="20"/>
          <w:szCs w:val="20"/>
          <w:lang w:val="es-CO"/>
        </w:rPr>
        <w:t xml:space="preserve"> no había personal médico para brindarle atención de emergencia por lo cual se perdieron horas valiosas antes de que pudiese ser trasladada y atendida en el instituto médico. Asimismo, el Estado no garantizó que una vez llegó al hospital Sarah fuese atendida con la inmediatez que requería su situación. Por el contrario, no existía espacio suficiente en la unidad de cuidados intensivos</w:t>
      </w:r>
      <w:r w:rsidR="009C06F8" w:rsidRPr="008D65EE">
        <w:rPr>
          <w:sz w:val="20"/>
          <w:szCs w:val="20"/>
          <w:lang w:val="es-CO"/>
        </w:rPr>
        <w:t xml:space="preserve">, lo que a la postre derivó en la muerte de la presunta víctima. </w:t>
      </w:r>
    </w:p>
    <w:p w14:paraId="3C672546" w14:textId="77777777" w:rsidR="009C06F8" w:rsidRPr="008D65EE" w:rsidRDefault="009C06F8" w:rsidP="009C06F8">
      <w:pPr>
        <w:jc w:val="both"/>
        <w:rPr>
          <w:sz w:val="20"/>
          <w:szCs w:val="20"/>
          <w:lang w:val="es-CO"/>
        </w:rPr>
      </w:pPr>
    </w:p>
    <w:p w14:paraId="3DF788D9" w14:textId="198CAA84" w:rsidR="005B6E17" w:rsidRPr="008D65EE" w:rsidRDefault="00AF04B7" w:rsidP="01AF1628">
      <w:pPr>
        <w:pStyle w:val="ListParagraph"/>
        <w:numPr>
          <w:ilvl w:val="0"/>
          <w:numId w:val="51"/>
        </w:numPr>
        <w:ind w:left="0" w:firstLine="567"/>
        <w:jc w:val="both"/>
        <w:rPr>
          <w:sz w:val="20"/>
          <w:szCs w:val="20"/>
          <w:lang w:val="es-CO"/>
        </w:rPr>
      </w:pPr>
      <w:r w:rsidRPr="008D65EE">
        <w:rPr>
          <w:sz w:val="20"/>
          <w:szCs w:val="20"/>
          <w:lang w:val="es-CO"/>
        </w:rPr>
        <w:t>Por las razones anteriores, la Comisión considera que el Estado no cumplió con sus obligaciones internacionales de garantizar los derechos a la integridad personal, a la vida y a la salud de Sarah Lyn Langton durante el tiempo que permaneció privada de libertad en el INOF. Por lo tanto</w:t>
      </w:r>
      <w:r w:rsidR="00096787" w:rsidRPr="008D65EE">
        <w:rPr>
          <w:sz w:val="20"/>
          <w:szCs w:val="20"/>
          <w:lang w:val="es-CO"/>
        </w:rPr>
        <w:t>,</w:t>
      </w:r>
      <w:r w:rsidRPr="008D65EE">
        <w:rPr>
          <w:sz w:val="20"/>
          <w:szCs w:val="20"/>
          <w:lang w:val="es-CO"/>
        </w:rPr>
        <w:t xml:space="preserve"> la Comisión concluye que el Estado venezolano es responsable por la violación de los derechos a la vida establecido en el artículo 4, a la integridad personal establecido en </w:t>
      </w:r>
      <w:r w:rsidR="00C036A5" w:rsidRPr="008D65EE">
        <w:rPr>
          <w:sz w:val="20"/>
          <w:szCs w:val="20"/>
          <w:lang w:val="es-CO"/>
        </w:rPr>
        <w:t xml:space="preserve">el </w:t>
      </w:r>
      <w:r w:rsidRPr="008D65EE">
        <w:rPr>
          <w:sz w:val="20"/>
          <w:szCs w:val="20"/>
          <w:lang w:val="es-CO"/>
        </w:rPr>
        <w:t>artículo 5</w:t>
      </w:r>
      <w:r w:rsidR="00C036A5" w:rsidRPr="008D65EE">
        <w:rPr>
          <w:sz w:val="20"/>
          <w:szCs w:val="20"/>
          <w:lang w:val="es-CO"/>
        </w:rPr>
        <w:t xml:space="preserve">.1 </w:t>
      </w:r>
      <w:r w:rsidRPr="008D65EE">
        <w:rPr>
          <w:sz w:val="20"/>
          <w:szCs w:val="20"/>
          <w:lang w:val="es-CO"/>
        </w:rPr>
        <w:t xml:space="preserve">y del artículo 26, todos de la Convención </w:t>
      </w:r>
      <w:r w:rsidRPr="008D65EE">
        <w:rPr>
          <w:sz w:val="20"/>
          <w:szCs w:val="20"/>
          <w:lang w:val="es-CO"/>
        </w:rPr>
        <w:lastRenderedPageBreak/>
        <w:t xml:space="preserve">Americana, en relación con las obligaciones establecidas en los artículos 1.1 del mismo instrumento en perjuicio de Sarah Lyn Langton.   </w:t>
      </w:r>
    </w:p>
    <w:p w14:paraId="21DC9FC2" w14:textId="00F6B0D4" w:rsidR="002A6B05" w:rsidRPr="008D65EE" w:rsidRDefault="002A6B05" w:rsidP="002A6B05">
      <w:pPr>
        <w:pStyle w:val="ListParagraph"/>
        <w:ind w:left="567"/>
        <w:jc w:val="both"/>
        <w:rPr>
          <w:color w:val="auto"/>
          <w:sz w:val="20"/>
          <w:szCs w:val="20"/>
          <w:lang w:val="es-CO"/>
        </w:rPr>
      </w:pPr>
      <w:r w:rsidRPr="008D65EE">
        <w:rPr>
          <w:sz w:val="20"/>
          <w:szCs w:val="20"/>
          <w:lang w:val="es-CO"/>
        </w:rPr>
        <w:t xml:space="preserve">  </w:t>
      </w:r>
    </w:p>
    <w:p w14:paraId="235C2568" w14:textId="759330F6" w:rsidR="002A6B05" w:rsidRPr="008D65EE" w:rsidRDefault="002A6B05" w:rsidP="00550322">
      <w:pPr>
        <w:pStyle w:val="Heading2"/>
        <w:numPr>
          <w:ilvl w:val="0"/>
          <w:numId w:val="53"/>
        </w:numPr>
        <w:jc w:val="both"/>
        <w:rPr>
          <w:rFonts w:ascii="Cambria" w:hAnsi="Cambria"/>
          <w:i w:val="0"/>
          <w:iCs w:val="0"/>
          <w:sz w:val="20"/>
          <w:szCs w:val="20"/>
          <w:u w:val="single"/>
          <w:lang w:val="es-CO"/>
        </w:rPr>
      </w:pPr>
      <w:bookmarkStart w:id="29" w:name="_Toc217309322"/>
      <w:r w:rsidRPr="008D65EE">
        <w:rPr>
          <w:rFonts w:ascii="Cambria" w:hAnsi="Cambria"/>
          <w:i w:val="0"/>
          <w:iCs w:val="0"/>
          <w:sz w:val="20"/>
          <w:szCs w:val="20"/>
          <w:lang w:val="es-CO"/>
        </w:rPr>
        <w:t>Derechos a las garantías judiciales (artículo 8)</w:t>
      </w:r>
      <w:r w:rsidRPr="008D65EE">
        <w:rPr>
          <w:rStyle w:val="FootnoteReference"/>
          <w:rFonts w:ascii="Cambria" w:hAnsi="Cambria"/>
          <w:i w:val="0"/>
          <w:iCs w:val="0"/>
          <w:sz w:val="20"/>
          <w:szCs w:val="20"/>
          <w:lang w:val="es-CO"/>
        </w:rPr>
        <w:footnoteReference w:id="117"/>
      </w:r>
      <w:r w:rsidR="005B6E17" w:rsidRPr="008D65EE">
        <w:rPr>
          <w:rFonts w:ascii="Cambria" w:hAnsi="Cambria"/>
          <w:i w:val="0"/>
          <w:iCs w:val="0"/>
          <w:sz w:val="20"/>
          <w:szCs w:val="20"/>
          <w:lang w:val="es-CO"/>
        </w:rPr>
        <w:t xml:space="preserve"> y</w:t>
      </w:r>
      <w:r w:rsidRPr="008D65EE">
        <w:rPr>
          <w:rFonts w:ascii="Cambria" w:hAnsi="Cambria"/>
          <w:i w:val="0"/>
          <w:iCs w:val="0"/>
          <w:sz w:val="20"/>
          <w:szCs w:val="20"/>
          <w:lang w:val="es-CO"/>
        </w:rPr>
        <w:t xml:space="preserve"> protección judicial (artículo 25)</w:t>
      </w:r>
      <w:r w:rsidRPr="008D65EE">
        <w:rPr>
          <w:rStyle w:val="FootnoteReference"/>
          <w:rFonts w:ascii="Cambria" w:hAnsi="Cambria"/>
          <w:i w:val="0"/>
          <w:iCs w:val="0"/>
          <w:sz w:val="20"/>
          <w:szCs w:val="20"/>
          <w:lang w:val="es-CO"/>
        </w:rPr>
        <w:footnoteReference w:id="118"/>
      </w:r>
      <w:r w:rsidRPr="008D65EE">
        <w:rPr>
          <w:rFonts w:ascii="Cambria" w:hAnsi="Cambria"/>
          <w:i w:val="0"/>
          <w:iCs w:val="0"/>
          <w:sz w:val="20"/>
          <w:szCs w:val="20"/>
          <w:lang w:val="es-CO"/>
        </w:rPr>
        <w:t xml:space="preserve"> en relación con </w:t>
      </w:r>
      <w:r w:rsidR="00860ACA" w:rsidRPr="008D65EE">
        <w:rPr>
          <w:rFonts w:ascii="Cambria" w:hAnsi="Cambria"/>
          <w:i w:val="0"/>
          <w:iCs w:val="0"/>
          <w:sz w:val="20"/>
          <w:szCs w:val="20"/>
          <w:lang w:val="es-CO"/>
        </w:rPr>
        <w:t>el</w:t>
      </w:r>
      <w:r w:rsidR="005B6E17" w:rsidRPr="008D65EE">
        <w:rPr>
          <w:rFonts w:ascii="Cambria" w:hAnsi="Cambria"/>
          <w:i w:val="0"/>
          <w:iCs w:val="0"/>
          <w:sz w:val="20"/>
          <w:szCs w:val="20"/>
          <w:lang w:val="es-CO"/>
        </w:rPr>
        <w:t xml:space="preserve"> artículo</w:t>
      </w:r>
      <w:r w:rsidRPr="008D65EE">
        <w:rPr>
          <w:rFonts w:ascii="Cambria" w:hAnsi="Cambria"/>
          <w:i w:val="0"/>
          <w:iCs w:val="0"/>
          <w:sz w:val="20"/>
          <w:szCs w:val="20"/>
          <w:lang w:val="es-CO"/>
        </w:rPr>
        <w:t xml:space="preserve"> 1.1</w:t>
      </w:r>
      <w:r w:rsidR="005B6E17" w:rsidRPr="008D65EE">
        <w:rPr>
          <w:rFonts w:ascii="Cambria" w:hAnsi="Cambria"/>
          <w:i w:val="0"/>
          <w:iCs w:val="0"/>
          <w:sz w:val="20"/>
          <w:szCs w:val="20"/>
          <w:lang w:val="es-CO"/>
        </w:rPr>
        <w:t xml:space="preserve"> </w:t>
      </w:r>
      <w:r w:rsidRPr="008D65EE">
        <w:rPr>
          <w:rFonts w:ascii="Cambria" w:hAnsi="Cambria"/>
          <w:i w:val="0"/>
          <w:iCs w:val="0"/>
          <w:sz w:val="20"/>
          <w:szCs w:val="20"/>
          <w:lang w:val="es-CO"/>
        </w:rPr>
        <w:t>de la Convención Americana</w:t>
      </w:r>
      <w:bookmarkEnd w:id="29"/>
    </w:p>
    <w:p w14:paraId="2113D66F" w14:textId="77777777" w:rsidR="002A6B05" w:rsidRPr="008D65EE" w:rsidRDefault="002A6B05" w:rsidP="00550322">
      <w:pPr>
        <w:pStyle w:val="Heading3"/>
        <w:numPr>
          <w:ilvl w:val="0"/>
          <w:numId w:val="57"/>
        </w:numPr>
        <w:ind w:left="1440" w:hanging="630"/>
        <w:rPr>
          <w:rFonts w:ascii="Cambria" w:hAnsi="Cambria"/>
          <w:sz w:val="20"/>
          <w:szCs w:val="20"/>
          <w:lang w:val="es-CO"/>
        </w:rPr>
      </w:pPr>
      <w:bookmarkStart w:id="30" w:name="_Toc83852720"/>
      <w:bookmarkStart w:id="31" w:name="_Toc217309323"/>
      <w:r w:rsidRPr="008D65EE">
        <w:rPr>
          <w:rFonts w:ascii="Cambria" w:hAnsi="Cambria"/>
          <w:sz w:val="20"/>
          <w:szCs w:val="20"/>
          <w:lang w:val="es-CO"/>
        </w:rPr>
        <w:t>Consideraciones generales</w:t>
      </w:r>
      <w:bookmarkEnd w:id="30"/>
      <w:bookmarkEnd w:id="31"/>
    </w:p>
    <w:p w14:paraId="11161706" w14:textId="77777777" w:rsidR="002A6B05" w:rsidRPr="008D65EE" w:rsidRDefault="002A6B05" w:rsidP="002A6B05">
      <w:pPr>
        <w:rPr>
          <w:rFonts w:ascii="Cambria" w:hAnsi="Cambria"/>
          <w:sz w:val="20"/>
          <w:szCs w:val="20"/>
          <w:lang w:val="es-CO"/>
        </w:rPr>
      </w:pPr>
    </w:p>
    <w:p w14:paraId="4FD661F3" w14:textId="5D9BFC71" w:rsidR="00587F9E" w:rsidRPr="008D65EE" w:rsidRDefault="002A6B05"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b/>
          <w:color w:val="000000"/>
          <w:sz w:val="20"/>
          <w:szCs w:val="20"/>
          <w:u w:color="000000"/>
          <w:lang w:val="es-CO" w:eastAsia="es-ES"/>
        </w:rPr>
      </w:pPr>
      <w:r w:rsidRPr="008D65EE">
        <w:rPr>
          <w:rFonts w:ascii="Cambria" w:eastAsia="Cambria" w:hAnsi="Cambria" w:cs="Cambria"/>
          <w:color w:val="000000"/>
          <w:sz w:val="20"/>
          <w:szCs w:val="20"/>
          <w:u w:color="000000"/>
          <w:lang w:val="es-CO" w:eastAsia="es-ES"/>
        </w:rPr>
        <w:t>La Corte Interamericana ha establecido que “en virtud de la protección otorgada por los artículos 8 y 25 de la Convención, los Estados están obligados a suministrar recursos judiciales efectivos a las víctimas de violaciones de los derechos humanos, que deben ser sustanciados de conformidad con las reglas del debido proceso legal”</w:t>
      </w:r>
      <w:r w:rsidRPr="008D65EE">
        <w:rPr>
          <w:rFonts w:ascii="Cambria" w:eastAsia="Cambria" w:hAnsi="Cambria" w:cs="Cambria"/>
          <w:color w:val="000000"/>
          <w:sz w:val="20"/>
          <w:szCs w:val="20"/>
          <w:u w:color="000000"/>
          <w:vertAlign w:val="superscript"/>
          <w:lang w:val="es-CO" w:eastAsia="es-ES"/>
        </w:rPr>
        <w:footnoteReference w:id="119"/>
      </w:r>
      <w:r w:rsidRPr="008D65EE">
        <w:rPr>
          <w:rFonts w:ascii="Cambria" w:eastAsia="Cambria" w:hAnsi="Cambria" w:cs="Cambria"/>
          <w:color w:val="000000"/>
          <w:sz w:val="20"/>
          <w:szCs w:val="20"/>
          <w:u w:color="000000"/>
          <w:lang w:val="es-CO" w:eastAsia="es-ES"/>
        </w:rPr>
        <w:t xml:space="preserve">. </w:t>
      </w:r>
      <w:r w:rsidR="00587F9E" w:rsidRPr="008D65EE">
        <w:rPr>
          <w:rFonts w:ascii="Cambria" w:eastAsia="Cambria" w:hAnsi="Cambria" w:cs="Cambria"/>
          <w:bCs/>
          <w:color w:val="000000"/>
          <w:sz w:val="20"/>
          <w:szCs w:val="20"/>
          <w:u w:color="000000"/>
          <w:lang w:val="es-CO" w:eastAsia="es-ES"/>
        </w:rPr>
        <w:t xml:space="preserve">Esta obligación surge </w:t>
      </w:r>
      <w:r w:rsidRPr="008D65EE">
        <w:rPr>
          <w:rFonts w:ascii="Cambria" w:eastAsia="Cambria" w:hAnsi="Cambria" w:cs="Cambria"/>
          <w:color w:val="000000"/>
          <w:sz w:val="20"/>
          <w:szCs w:val="20"/>
          <w:u w:color="000000"/>
          <w:lang w:val="es-CO" w:eastAsia="es-ES"/>
        </w:rPr>
        <w:t>una vez</w:t>
      </w:r>
      <w:r w:rsidR="00587F9E" w:rsidRPr="008D65EE">
        <w:rPr>
          <w:rFonts w:ascii="Cambria" w:eastAsia="Cambria" w:hAnsi="Cambria" w:cs="Cambria"/>
          <w:color w:val="000000"/>
          <w:sz w:val="20"/>
          <w:szCs w:val="20"/>
          <w:u w:color="000000"/>
          <w:lang w:val="es-CO" w:eastAsia="es-ES"/>
        </w:rPr>
        <w:t xml:space="preserve"> el Estado</w:t>
      </w:r>
      <w:r w:rsidRPr="008D65EE">
        <w:rPr>
          <w:rFonts w:ascii="Cambria" w:eastAsia="Cambria" w:hAnsi="Cambria" w:cs="Cambria"/>
          <w:color w:val="000000"/>
          <w:sz w:val="20"/>
          <w:szCs w:val="20"/>
          <w:u w:color="000000"/>
          <w:lang w:val="es-CO" w:eastAsia="es-ES"/>
        </w:rPr>
        <w:t xml:space="preserve"> tenga conocimiento de una violación de derechos humanos, en particular de los derechos a la vida, integridad personal y libertad personal</w:t>
      </w:r>
      <w:r w:rsidRPr="008D65EE">
        <w:rPr>
          <w:rFonts w:ascii="Cambria" w:eastAsia="Cambria" w:hAnsi="Cambria" w:cs="Cambria"/>
          <w:color w:val="000000"/>
          <w:sz w:val="20"/>
          <w:szCs w:val="20"/>
          <w:u w:color="000000"/>
          <w:vertAlign w:val="superscript"/>
          <w:lang w:val="es-CO" w:eastAsia="es-ES"/>
        </w:rPr>
        <w:footnoteReference w:id="120"/>
      </w:r>
      <w:r w:rsidRPr="008D65EE">
        <w:rPr>
          <w:rFonts w:ascii="Cambria" w:eastAsia="Cambria" w:hAnsi="Cambria" w:cs="Cambria"/>
          <w:color w:val="000000"/>
          <w:sz w:val="20"/>
          <w:szCs w:val="20"/>
          <w:u w:color="000000"/>
          <w:lang w:val="es-CO" w:eastAsia="es-ES"/>
        </w:rPr>
        <w:t>,</w:t>
      </w:r>
      <w:r w:rsidR="00587F9E" w:rsidRPr="008D65EE">
        <w:rPr>
          <w:rFonts w:ascii="Cambria" w:eastAsia="Cambria" w:hAnsi="Cambria" w:cs="Cambria"/>
          <w:color w:val="000000"/>
          <w:sz w:val="20"/>
          <w:szCs w:val="20"/>
          <w:u w:color="000000"/>
          <w:lang w:val="es-CO" w:eastAsia="es-ES"/>
        </w:rPr>
        <w:t xml:space="preserve"> momento en el cual debe</w:t>
      </w:r>
      <w:r w:rsidRPr="008D65EE">
        <w:rPr>
          <w:rFonts w:ascii="Cambria" w:eastAsia="Cambria" w:hAnsi="Cambria" w:cs="Cambria"/>
          <w:color w:val="000000"/>
          <w:sz w:val="20"/>
          <w:szCs w:val="20"/>
          <w:u w:color="000000"/>
          <w:lang w:val="es-CO" w:eastAsia="es-ES"/>
        </w:rPr>
        <w:t xml:space="preserve"> iniciar </w:t>
      </w:r>
      <w:r w:rsidRPr="008D65EE">
        <w:rPr>
          <w:rFonts w:ascii="Cambria" w:eastAsia="Cambria" w:hAnsi="Cambria" w:cs="Cambria"/>
          <w:i/>
          <w:color w:val="000000"/>
          <w:sz w:val="20"/>
          <w:szCs w:val="20"/>
          <w:u w:color="000000"/>
          <w:lang w:val="es-CO" w:eastAsia="es-ES"/>
        </w:rPr>
        <w:t>ex officio</w:t>
      </w:r>
      <w:r w:rsidRPr="008D65EE">
        <w:rPr>
          <w:rFonts w:ascii="Cambria" w:eastAsia="Cambria" w:hAnsi="Cambria" w:cs="Cambria"/>
          <w:color w:val="000000"/>
          <w:sz w:val="20"/>
          <w:szCs w:val="20"/>
          <w:u w:color="000000"/>
          <w:lang w:val="es-CO" w:eastAsia="es-ES"/>
        </w:rPr>
        <w:t xml:space="preserve"> y sin dilación, una investigación seria, imparcial y efectiva</w:t>
      </w:r>
      <w:r w:rsidRPr="008D65EE">
        <w:rPr>
          <w:rFonts w:ascii="Cambria" w:eastAsia="Cambria" w:hAnsi="Cambria" w:cs="Cambria"/>
          <w:color w:val="000000"/>
          <w:sz w:val="20"/>
          <w:szCs w:val="20"/>
          <w:u w:color="000000"/>
          <w:vertAlign w:val="superscript"/>
          <w:lang w:val="es-CO" w:eastAsia="es-ES"/>
        </w:rPr>
        <w:footnoteReference w:id="121"/>
      </w:r>
      <w:r w:rsidRPr="008D65EE">
        <w:rPr>
          <w:rFonts w:ascii="Cambria" w:eastAsia="Cambria" w:hAnsi="Cambria" w:cs="Cambria"/>
          <w:color w:val="000000"/>
          <w:sz w:val="20"/>
          <w:szCs w:val="20"/>
          <w:u w:color="000000"/>
          <w:lang w:val="es-CO" w:eastAsia="es-ES"/>
        </w:rPr>
        <w:t>, la cual debe llevarse a cabo en un plazo razonable</w:t>
      </w:r>
      <w:r w:rsidRPr="008D65EE">
        <w:rPr>
          <w:rFonts w:ascii="Cambria" w:eastAsia="Cambria" w:hAnsi="Cambria" w:cs="Cambria"/>
          <w:color w:val="000000"/>
          <w:sz w:val="20"/>
          <w:szCs w:val="20"/>
          <w:u w:color="000000"/>
          <w:vertAlign w:val="superscript"/>
          <w:lang w:val="es-CO" w:eastAsia="es-ES"/>
        </w:rPr>
        <w:footnoteReference w:id="122"/>
      </w:r>
      <w:r w:rsidR="00C55EB2" w:rsidRPr="008D65EE">
        <w:rPr>
          <w:rFonts w:ascii="Cambria" w:eastAsia="Cambria" w:hAnsi="Cambria" w:cs="Cambria"/>
          <w:color w:val="000000"/>
          <w:sz w:val="20"/>
          <w:szCs w:val="20"/>
          <w:u w:color="000000"/>
          <w:lang w:val="es-CO" w:eastAsia="es-ES"/>
        </w:rPr>
        <w:t>.</w:t>
      </w:r>
    </w:p>
    <w:p w14:paraId="26F65CEC" w14:textId="77777777" w:rsidR="00EA6555" w:rsidRPr="008D65EE" w:rsidRDefault="00EA6555"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Cambria" w:hAnsi="Cambria" w:cs="Cambria"/>
          <w:b/>
          <w:color w:val="000000"/>
          <w:sz w:val="20"/>
          <w:szCs w:val="20"/>
          <w:u w:color="000000"/>
          <w:lang w:val="es-CO" w:eastAsia="es-ES"/>
        </w:rPr>
      </w:pPr>
    </w:p>
    <w:p w14:paraId="10DA12C5" w14:textId="22D1298E" w:rsidR="002A6B05" w:rsidRPr="008D65EE" w:rsidRDefault="002A6B05" w:rsidP="00DC363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b/>
          <w:color w:val="000000"/>
          <w:sz w:val="20"/>
          <w:szCs w:val="20"/>
          <w:u w:color="000000"/>
          <w:lang w:val="es-CO" w:eastAsia="es-ES"/>
        </w:rPr>
      </w:pPr>
      <w:r w:rsidRPr="008D65EE">
        <w:rPr>
          <w:rFonts w:ascii="Cambria" w:eastAsia="Cambria" w:hAnsi="Cambria" w:cs="Cambria"/>
          <w:sz w:val="20"/>
          <w:szCs w:val="20"/>
          <w:u w:color="000000"/>
          <w:lang w:val="es-CO" w:eastAsia="es-ES"/>
        </w:rPr>
        <w:t>Esto implica el derecho de las víctimas y sus familiares a que las autoridades estatales inicien un proceso contra los presuntos responsables de estos ilícitos; en su caso, se les impongan las sanciones pertinentes, y se reparen los daños y perjuicios que se hayan sufrido</w:t>
      </w:r>
      <w:r w:rsidRPr="008D65EE">
        <w:rPr>
          <w:rFonts w:ascii="Cambria" w:eastAsia="Cambria" w:hAnsi="Cambria" w:cs="Cambria"/>
          <w:sz w:val="20"/>
          <w:szCs w:val="20"/>
          <w:u w:color="000000"/>
          <w:vertAlign w:val="superscript"/>
          <w:lang w:val="es-CO" w:eastAsia="es-ES"/>
        </w:rPr>
        <w:footnoteReference w:id="123"/>
      </w:r>
      <w:r w:rsidRPr="008D65EE">
        <w:rPr>
          <w:rFonts w:ascii="Cambria" w:eastAsia="Cambria" w:hAnsi="Cambria" w:cs="Cambria"/>
          <w:sz w:val="20"/>
          <w:szCs w:val="20"/>
          <w:u w:color="000000"/>
          <w:lang w:val="es-CO" w:eastAsia="es-ES"/>
        </w:rPr>
        <w:t xml:space="preserve">. </w:t>
      </w:r>
      <w:r w:rsidRPr="008D65EE">
        <w:rPr>
          <w:rFonts w:ascii="Cambria" w:hAnsi="Cambria"/>
          <w:sz w:val="20"/>
          <w:szCs w:val="20"/>
          <w:lang w:val="es-CO"/>
        </w:rPr>
        <w:t>Si bien la obligación de investigar es una obligación de medios y no de resultado, ésta debe ser asumida por el Estado como un deber jurídico propio y no como una simple formalidad condenada de antemano a ser infructuosa</w:t>
      </w:r>
      <w:r w:rsidRPr="008D65EE">
        <w:rPr>
          <w:rFonts w:ascii="Cambria" w:hAnsi="Cambria"/>
          <w:sz w:val="20"/>
          <w:szCs w:val="20"/>
          <w:vertAlign w:val="superscript"/>
          <w:lang w:val="es-CO"/>
        </w:rPr>
        <w:footnoteReference w:id="124"/>
      </w:r>
      <w:r w:rsidRPr="008D65EE">
        <w:rPr>
          <w:rFonts w:ascii="Cambria" w:hAnsi="Cambria"/>
          <w:sz w:val="20"/>
          <w:szCs w:val="20"/>
          <w:lang w:val="es-CO"/>
        </w:rPr>
        <w:t>, o como una mera gestión de intereses particulares, que dependa de la iniciativa procesal de las víctimas o de sus familiares o de la aportación privada de elementos probatorios</w:t>
      </w:r>
      <w:r w:rsidRPr="008D65EE">
        <w:rPr>
          <w:rFonts w:ascii="Cambria" w:hAnsi="Cambria"/>
          <w:sz w:val="20"/>
          <w:szCs w:val="20"/>
          <w:vertAlign w:val="superscript"/>
          <w:lang w:val="es-CO"/>
        </w:rPr>
        <w:footnoteReference w:id="125"/>
      </w:r>
      <w:r w:rsidRPr="008D65EE">
        <w:rPr>
          <w:rFonts w:ascii="Cambria" w:hAnsi="Cambria"/>
          <w:sz w:val="20"/>
          <w:szCs w:val="20"/>
          <w:lang w:val="es-CO"/>
        </w:rPr>
        <w:t xml:space="preserve">. </w:t>
      </w:r>
    </w:p>
    <w:p w14:paraId="190ECDE9" w14:textId="77777777" w:rsidR="002A6B05" w:rsidRPr="008D65EE" w:rsidRDefault="002A6B05" w:rsidP="002A6B05">
      <w:pPr>
        <w:pStyle w:val="ListParagraph"/>
        <w:ind w:left="0" w:firstLine="567"/>
        <w:rPr>
          <w:sz w:val="20"/>
          <w:szCs w:val="20"/>
          <w:lang w:val="es-CO"/>
        </w:rPr>
      </w:pPr>
    </w:p>
    <w:p w14:paraId="67FE1BEA" w14:textId="5AFB3CF5" w:rsidR="002A6B05" w:rsidRPr="008D65EE" w:rsidRDefault="002A6B05"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b/>
          <w:sz w:val="20"/>
          <w:szCs w:val="20"/>
          <w:u w:color="000000"/>
          <w:lang w:val="es-CO" w:eastAsia="es-ES"/>
        </w:rPr>
      </w:pPr>
      <w:r w:rsidRPr="008D65EE">
        <w:rPr>
          <w:rFonts w:ascii="Cambria" w:hAnsi="Cambria"/>
          <w:sz w:val="20"/>
          <w:szCs w:val="20"/>
          <w:u w:color="000000"/>
          <w:lang w:val="es-CO"/>
        </w:rPr>
        <w:t xml:space="preserve">La Corte, en este sentido, ha indicado que el deber de investigar con la debida diligencia implica que las averiguaciones deben ser realizadas por todos los medios legales disponibles </w:t>
      </w:r>
      <w:r w:rsidRPr="008D65EE">
        <w:rPr>
          <w:rFonts w:ascii="Cambria" w:hAnsi="Cambria"/>
          <w:color w:val="000000"/>
          <w:sz w:val="20"/>
          <w:szCs w:val="20"/>
          <w:u w:color="000000"/>
          <w:lang w:val="es-CO"/>
        </w:rPr>
        <w:t xml:space="preserve">y deben estar </w:t>
      </w:r>
      <w:r w:rsidRPr="008D65EE">
        <w:rPr>
          <w:rFonts w:ascii="Cambria" w:hAnsi="Cambria"/>
          <w:color w:val="000000"/>
          <w:sz w:val="20"/>
          <w:szCs w:val="20"/>
          <w:u w:color="000000"/>
          <w:lang w:val="es-CO"/>
        </w:rPr>
        <w:lastRenderedPageBreak/>
        <w:t>orientadas a la determinación de la verdad</w:t>
      </w:r>
      <w:r w:rsidRPr="008D65EE">
        <w:rPr>
          <w:rFonts w:ascii="Cambria" w:hAnsi="Cambria"/>
          <w:color w:val="000000"/>
          <w:sz w:val="20"/>
          <w:szCs w:val="20"/>
          <w:u w:color="000000"/>
          <w:vertAlign w:val="superscript"/>
          <w:lang w:val="es-CO"/>
        </w:rPr>
        <w:footnoteReference w:id="126"/>
      </w:r>
      <w:r w:rsidRPr="008D65EE">
        <w:rPr>
          <w:rFonts w:ascii="Cambria" w:hAnsi="Cambria"/>
          <w:color w:val="000000"/>
          <w:sz w:val="20"/>
          <w:szCs w:val="20"/>
          <w:u w:color="000000"/>
          <w:lang w:val="es-CO"/>
        </w:rPr>
        <w:t xml:space="preserve">.  Asimismo, </w:t>
      </w:r>
      <w:r w:rsidRPr="008D65EE">
        <w:rPr>
          <w:rFonts w:ascii="Cambria" w:hAnsi="Cambria"/>
          <w:sz w:val="20"/>
          <w:szCs w:val="20"/>
          <w:lang w:val="es-CO"/>
        </w:rPr>
        <w:t>la Comisión ha señalado que la investigación “debe conducir al resultado o respuestas con el fin previsto, que es evitar la consolidación de una situación injusta”</w:t>
      </w:r>
      <w:r w:rsidRPr="008D65EE">
        <w:rPr>
          <w:rStyle w:val="FootnoteReference"/>
          <w:rFonts w:ascii="Cambria" w:hAnsi="Cambria"/>
          <w:sz w:val="20"/>
          <w:szCs w:val="20"/>
          <w:lang w:val="es-CO"/>
        </w:rPr>
        <w:footnoteReference w:id="127"/>
      </w:r>
      <w:r w:rsidRPr="008D65EE">
        <w:rPr>
          <w:rFonts w:ascii="Cambria" w:hAnsi="Cambria"/>
          <w:sz w:val="20"/>
          <w:szCs w:val="20"/>
          <w:lang w:val="es-CO"/>
        </w:rPr>
        <w:t>.</w:t>
      </w:r>
    </w:p>
    <w:p w14:paraId="44EA360A" w14:textId="77777777" w:rsidR="00BD72FF" w:rsidRPr="008D65EE" w:rsidRDefault="00BD72FF" w:rsidP="00BD72FF">
      <w:pPr>
        <w:pStyle w:val="ListParagraph"/>
        <w:rPr>
          <w:b/>
          <w:sz w:val="20"/>
          <w:szCs w:val="20"/>
          <w:lang w:val="es-CO"/>
        </w:rPr>
      </w:pPr>
    </w:p>
    <w:p w14:paraId="6827F96B" w14:textId="77777777" w:rsidR="00BD72FF" w:rsidRPr="008D65EE" w:rsidRDefault="00BD72FF" w:rsidP="00BD72F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sz w:val="20"/>
          <w:szCs w:val="20"/>
          <w:lang w:val="es-CO"/>
        </w:rPr>
      </w:pPr>
      <w:r w:rsidRPr="008D65EE">
        <w:rPr>
          <w:rFonts w:ascii="Cambria" w:hAnsi="Cambria"/>
          <w:sz w:val="20"/>
          <w:szCs w:val="20"/>
          <w:lang w:val="es-CO"/>
        </w:rPr>
        <w:t>Si bien la obligación de investigar no se incumple solamente porque no exista una persona condenada en la causa o por la circunstancia de que, pese a los esfuerzos realizados, sea imposible la acreditación de los hechos, para establecer en forma convincente y creíble que este resultado no ha sido producto de la ejecución mecánica de ciertas formalidades procesales sin que el Estado busque efectivamente la verdad, éste debe demostrar que ha realizado una investigación inmediata, exhaustiva, seria e imparcial</w:t>
      </w:r>
      <w:r w:rsidRPr="008D65EE">
        <w:rPr>
          <w:rStyle w:val="FootnoteReference"/>
          <w:rFonts w:ascii="Cambria" w:hAnsi="Cambria"/>
          <w:sz w:val="20"/>
          <w:szCs w:val="20"/>
          <w:lang w:val="es-CO"/>
        </w:rPr>
        <w:footnoteReference w:id="128"/>
      </w:r>
      <w:r w:rsidRPr="008D65EE">
        <w:rPr>
          <w:rFonts w:ascii="Cambria" w:hAnsi="Cambria"/>
          <w:sz w:val="20"/>
          <w:szCs w:val="20"/>
          <w:lang w:val="es-CO"/>
        </w:rPr>
        <w:t xml:space="preserve"> </w:t>
      </w:r>
    </w:p>
    <w:p w14:paraId="60986B44" w14:textId="77777777" w:rsidR="00BD72FF" w:rsidRPr="008D65EE" w:rsidRDefault="00BD72FF" w:rsidP="00BD72FF">
      <w:pPr>
        <w:pStyle w:val="BodyTextIndent"/>
        <w:ind w:firstLine="0"/>
        <w:rPr>
          <w:rFonts w:ascii="Cambria" w:hAnsi="Cambria"/>
          <w:sz w:val="20"/>
          <w:szCs w:val="20"/>
          <w:lang w:val="es-CO"/>
        </w:rPr>
      </w:pPr>
    </w:p>
    <w:p w14:paraId="5257F109" w14:textId="77777777" w:rsidR="00BD72FF" w:rsidRPr="008D65EE" w:rsidRDefault="00BD72FF" w:rsidP="00BD72F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cs="Verdana"/>
          <w:bCs/>
          <w:sz w:val="20"/>
          <w:szCs w:val="20"/>
          <w:lang w:val="es-CO"/>
        </w:rPr>
      </w:pPr>
      <w:r w:rsidRPr="008D65EE">
        <w:rPr>
          <w:rFonts w:ascii="Cambria" w:hAnsi="Cambria"/>
          <w:sz w:val="20"/>
          <w:szCs w:val="20"/>
          <w:lang w:val="es-CO"/>
        </w:rPr>
        <w:t xml:space="preserve">De especial relevancia resulta el caso </w:t>
      </w:r>
      <w:r w:rsidRPr="008D65EE">
        <w:rPr>
          <w:rFonts w:ascii="Cambria" w:hAnsi="Cambria"/>
          <w:i/>
          <w:sz w:val="20"/>
          <w:szCs w:val="20"/>
          <w:lang w:val="es-CO"/>
        </w:rPr>
        <w:t>Mendoza y otros vs. Argentina,</w:t>
      </w:r>
      <w:r w:rsidRPr="008D65EE">
        <w:rPr>
          <w:rFonts w:ascii="Cambria" w:hAnsi="Cambria"/>
          <w:sz w:val="20"/>
          <w:szCs w:val="20"/>
          <w:lang w:val="es-CO"/>
        </w:rPr>
        <w:t xml:space="preserve"> en el cual</w:t>
      </w:r>
      <w:r w:rsidRPr="008D65EE">
        <w:rPr>
          <w:rFonts w:ascii="Cambria" w:hAnsi="Cambria"/>
          <w:i/>
          <w:sz w:val="20"/>
          <w:szCs w:val="20"/>
          <w:lang w:val="es-CO"/>
        </w:rPr>
        <w:t xml:space="preserve"> </w:t>
      </w:r>
      <w:r w:rsidRPr="008D65EE">
        <w:rPr>
          <w:rFonts w:ascii="Cambria" w:hAnsi="Cambria"/>
          <w:sz w:val="20"/>
          <w:szCs w:val="20"/>
          <w:lang w:val="es-CO"/>
        </w:rPr>
        <w:t xml:space="preserve">la Corte tomó conocimiento sobre la muerte de una persona en custodia del Estado. La Corte </w:t>
      </w:r>
      <w:r w:rsidRPr="008D65EE">
        <w:rPr>
          <w:rFonts w:ascii="Cambria" w:hAnsi="Cambria" w:cs="Verdana"/>
          <w:bCs/>
          <w:sz w:val="20"/>
          <w:szCs w:val="20"/>
          <w:lang w:val="es-CO"/>
        </w:rPr>
        <w:t>indicó que “</w:t>
      </w:r>
      <w:r w:rsidRPr="008D65EE">
        <w:rPr>
          <w:rFonts w:ascii="Cambria" w:hAnsi="Cambria" w:cs="Arial"/>
          <w:sz w:val="20"/>
          <w:szCs w:val="20"/>
          <w:lang w:val="es-CO"/>
        </w:rPr>
        <w:t>las autoridades del Estado estaban bajo la obligación de seguir una línea lógica de investigación dirigida a la determinación de las posibles responsabilidades del personal penitenciario por la muerte de Ricardo Videla, en tanto que las omisiones vinculadas con las condiciones de detención en las cuales se encontraba y/o su estado de depresión, pudieron contribuir a este hecho”. La Corte puntualizó que era “obligación de desvirtuar la posibilidad de la responsabilidad de sus agentes, tomando en cuenta las medidas que debieron adoptar a fin de salvaguardar los derechos de una persona que se encontraba bajo su custodia” así como “de recaudar las pruebas que ello implicara</w:t>
      </w:r>
      <w:r w:rsidRPr="008D65EE">
        <w:rPr>
          <w:rStyle w:val="FootnoteReference"/>
          <w:rFonts w:ascii="Cambria" w:hAnsi="Cambria"/>
          <w:sz w:val="20"/>
          <w:szCs w:val="20"/>
          <w:lang w:val="es-CO"/>
        </w:rPr>
        <w:footnoteReference w:id="129"/>
      </w:r>
      <w:r w:rsidRPr="008D65EE">
        <w:rPr>
          <w:rFonts w:ascii="Cambria" w:hAnsi="Cambria" w:cs="Arial"/>
          <w:sz w:val="20"/>
          <w:szCs w:val="20"/>
          <w:lang w:val="es-CO"/>
        </w:rPr>
        <w:t>.</w:t>
      </w:r>
    </w:p>
    <w:p w14:paraId="7A5736DD" w14:textId="77777777" w:rsidR="00744A80" w:rsidRPr="008D65EE" w:rsidRDefault="00744A80" w:rsidP="00BD72FF">
      <w:pPr>
        <w:rPr>
          <w:rFonts w:ascii="Cambria" w:hAnsi="Cambria"/>
          <w:sz w:val="20"/>
          <w:szCs w:val="20"/>
          <w:lang w:val="es-CO"/>
        </w:rPr>
      </w:pPr>
    </w:p>
    <w:p w14:paraId="05C829F8" w14:textId="7B31FE3F" w:rsidR="00207601" w:rsidRPr="008D65EE" w:rsidRDefault="006373B9" w:rsidP="0020760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sz w:val="20"/>
          <w:szCs w:val="20"/>
          <w:lang w:val="es-CO"/>
        </w:rPr>
      </w:pPr>
      <w:r w:rsidRPr="008D65EE">
        <w:rPr>
          <w:rFonts w:ascii="Cambria" w:hAnsi="Cambria"/>
          <w:sz w:val="20"/>
          <w:szCs w:val="20"/>
          <w:lang w:val="es-CO"/>
        </w:rPr>
        <w:t xml:space="preserve">Finalmente, en cuanto al plazo razonable </w:t>
      </w:r>
      <w:r w:rsidR="00F3095B" w:rsidRPr="008D65EE">
        <w:rPr>
          <w:rFonts w:ascii="Cambria" w:hAnsi="Cambria"/>
          <w:sz w:val="20"/>
          <w:szCs w:val="20"/>
          <w:lang w:val="es-CO"/>
        </w:rPr>
        <w:t>contenido en el artículo 8.1 de la CADH</w:t>
      </w:r>
      <w:r w:rsidRPr="008D65EE">
        <w:rPr>
          <w:rFonts w:ascii="Cambria" w:hAnsi="Cambria"/>
          <w:sz w:val="20"/>
          <w:szCs w:val="20"/>
          <w:lang w:val="es-CO"/>
        </w:rPr>
        <w:t>, l</w:t>
      </w:r>
      <w:r w:rsidR="00744A80" w:rsidRPr="008D65EE">
        <w:rPr>
          <w:rFonts w:ascii="Cambria" w:hAnsi="Cambria"/>
          <w:sz w:val="20"/>
          <w:szCs w:val="20"/>
          <w:lang w:val="es-CO"/>
        </w:rPr>
        <w:t xml:space="preserve">a jurisprudencia </w:t>
      </w:r>
      <w:r w:rsidR="00F3095B" w:rsidRPr="008D65EE">
        <w:rPr>
          <w:rFonts w:ascii="Cambria" w:hAnsi="Cambria"/>
          <w:sz w:val="20"/>
          <w:szCs w:val="20"/>
          <w:lang w:val="es-CO"/>
        </w:rPr>
        <w:t xml:space="preserve">tanto de la Comisión como de la Corte </w:t>
      </w:r>
      <w:r w:rsidR="00744A80" w:rsidRPr="008D65EE">
        <w:rPr>
          <w:rFonts w:ascii="Cambria" w:hAnsi="Cambria"/>
          <w:sz w:val="20"/>
          <w:szCs w:val="20"/>
          <w:lang w:val="es-CO"/>
        </w:rPr>
        <w:t xml:space="preserve">el Sistema Interamericano </w:t>
      </w:r>
      <w:r w:rsidR="00F3095B" w:rsidRPr="008D65EE">
        <w:rPr>
          <w:rFonts w:ascii="Cambria" w:hAnsi="Cambria"/>
          <w:sz w:val="20"/>
          <w:szCs w:val="20"/>
          <w:lang w:val="es-CO"/>
        </w:rPr>
        <w:t xml:space="preserve">ha reiterado </w:t>
      </w:r>
      <w:r w:rsidR="00744A80" w:rsidRPr="008D65EE">
        <w:rPr>
          <w:rFonts w:ascii="Cambria" w:hAnsi="Cambria"/>
          <w:sz w:val="20"/>
          <w:szCs w:val="20"/>
          <w:lang w:val="es-CO"/>
        </w:rPr>
        <w:t xml:space="preserve">que </w:t>
      </w:r>
      <w:r w:rsidRPr="008D65EE">
        <w:rPr>
          <w:rFonts w:ascii="Cambria" w:hAnsi="Cambria"/>
          <w:sz w:val="20"/>
          <w:szCs w:val="20"/>
          <w:lang w:val="es-CO"/>
        </w:rPr>
        <w:t xml:space="preserve">su valoración </w:t>
      </w:r>
      <w:r w:rsidR="00744A80" w:rsidRPr="008D65EE">
        <w:rPr>
          <w:rFonts w:ascii="Cambria" w:hAnsi="Cambria"/>
          <w:sz w:val="20"/>
          <w:szCs w:val="20"/>
          <w:lang w:val="es-CO"/>
        </w:rPr>
        <w:t xml:space="preserve">debe realizarse en cada caso en concreto, considerando cuatro elementos principales para determinar el cumplimiento de </w:t>
      </w:r>
      <w:r w:rsidR="00F3095B" w:rsidRPr="008D65EE">
        <w:rPr>
          <w:rFonts w:ascii="Cambria" w:hAnsi="Cambria"/>
          <w:sz w:val="20"/>
          <w:szCs w:val="20"/>
          <w:lang w:val="es-CO"/>
        </w:rPr>
        <w:t xml:space="preserve">esta </w:t>
      </w:r>
      <w:r w:rsidR="00744A80" w:rsidRPr="008D65EE">
        <w:rPr>
          <w:rFonts w:ascii="Cambria" w:hAnsi="Cambria"/>
          <w:sz w:val="20"/>
          <w:szCs w:val="20"/>
          <w:lang w:val="es-CO"/>
        </w:rPr>
        <w:t>garantía, a saber: (i) la complejidad del asunto, (ii) la actividad procesal del interesado, (iii) la conducta de las autoridades judiciales, y (iv) la afectación generada en la situación jurídica de la presunta víctima</w:t>
      </w:r>
      <w:r w:rsidR="00744A80" w:rsidRPr="008D65EE">
        <w:rPr>
          <w:rStyle w:val="FootnoteReference"/>
          <w:rFonts w:ascii="Cambria" w:hAnsi="Cambria"/>
          <w:sz w:val="20"/>
          <w:szCs w:val="20"/>
          <w:lang w:val="es-CO"/>
        </w:rPr>
        <w:footnoteReference w:id="130"/>
      </w:r>
      <w:r w:rsidR="00744A80" w:rsidRPr="008D65EE">
        <w:rPr>
          <w:rFonts w:ascii="Cambria" w:hAnsi="Cambria"/>
          <w:sz w:val="20"/>
          <w:szCs w:val="20"/>
          <w:lang w:val="es-CO"/>
        </w:rPr>
        <w:t xml:space="preserve">. </w:t>
      </w:r>
      <w:r w:rsidR="0029113A" w:rsidRPr="008D65EE">
        <w:rPr>
          <w:rFonts w:ascii="Cambria" w:hAnsi="Cambria"/>
          <w:sz w:val="20"/>
          <w:szCs w:val="20"/>
          <w:lang w:val="es-CO"/>
        </w:rPr>
        <w:t>La razonabilidad del plazo se debe apreciar en relación con la duración total del procedimiento penal</w:t>
      </w:r>
      <w:r w:rsidR="0029113A" w:rsidRPr="008D65EE">
        <w:rPr>
          <w:rStyle w:val="FootnoteReference"/>
          <w:rFonts w:ascii="Cambria" w:hAnsi="Cambria"/>
          <w:sz w:val="20"/>
          <w:szCs w:val="20"/>
          <w:lang w:val="es-CO"/>
        </w:rPr>
        <w:footnoteReference w:id="131"/>
      </w:r>
      <w:r w:rsidR="0029113A" w:rsidRPr="008D65EE">
        <w:rPr>
          <w:rFonts w:ascii="Cambria" w:hAnsi="Cambria"/>
          <w:sz w:val="20"/>
          <w:szCs w:val="20"/>
          <w:lang w:val="es-CO"/>
        </w:rPr>
        <w:t>.</w:t>
      </w:r>
    </w:p>
    <w:p w14:paraId="2D190141" w14:textId="7890329C" w:rsidR="002A6B05" w:rsidRPr="008D65EE" w:rsidRDefault="002A6B05" w:rsidP="00207601">
      <w:pPr>
        <w:pStyle w:val="Heading3"/>
        <w:ind w:left="1440" w:hanging="810"/>
        <w:rPr>
          <w:rFonts w:ascii="Cambria" w:hAnsi="Cambria"/>
          <w:sz w:val="20"/>
          <w:szCs w:val="20"/>
          <w:lang w:val="es-CO"/>
        </w:rPr>
      </w:pPr>
      <w:bookmarkStart w:id="32" w:name="_Toc83852721"/>
      <w:bookmarkStart w:id="33" w:name="_Toc217309324"/>
      <w:r w:rsidRPr="008D65EE">
        <w:rPr>
          <w:rFonts w:ascii="Cambria" w:hAnsi="Cambria"/>
          <w:sz w:val="20"/>
          <w:szCs w:val="20"/>
          <w:lang w:val="es-CO"/>
        </w:rPr>
        <w:t xml:space="preserve">2. </w:t>
      </w:r>
      <w:bookmarkStart w:id="34" w:name="_Toc528245383"/>
      <w:bookmarkStart w:id="35" w:name="_Toc75698640"/>
      <w:bookmarkStart w:id="36" w:name="_Toc75710762"/>
      <w:bookmarkStart w:id="37" w:name="_Toc75710875"/>
      <w:r w:rsidRPr="008D65EE">
        <w:rPr>
          <w:rFonts w:ascii="Cambria" w:hAnsi="Cambria"/>
          <w:sz w:val="20"/>
          <w:szCs w:val="20"/>
          <w:lang w:val="es-CO"/>
        </w:rPr>
        <w:t>Análisis del caso</w:t>
      </w:r>
      <w:bookmarkEnd w:id="32"/>
      <w:bookmarkEnd w:id="33"/>
      <w:bookmarkEnd w:id="34"/>
      <w:bookmarkEnd w:id="35"/>
      <w:bookmarkEnd w:id="36"/>
      <w:bookmarkEnd w:id="37"/>
    </w:p>
    <w:p w14:paraId="4EDA622B" w14:textId="77777777" w:rsidR="006373B9" w:rsidRPr="008D65EE" w:rsidRDefault="006373B9" w:rsidP="00D31FA1">
      <w:pPr>
        <w:jc w:val="both"/>
        <w:rPr>
          <w:sz w:val="20"/>
          <w:szCs w:val="20"/>
          <w:lang w:val="es-CO"/>
        </w:rPr>
      </w:pPr>
    </w:p>
    <w:p w14:paraId="455CE506" w14:textId="743FB1EC" w:rsidR="006373B9" w:rsidRPr="008D65EE" w:rsidRDefault="006373B9" w:rsidP="006373B9">
      <w:pPr>
        <w:pStyle w:val="ListParagraph"/>
        <w:numPr>
          <w:ilvl w:val="0"/>
          <w:numId w:val="51"/>
        </w:numPr>
        <w:ind w:left="0" w:firstLine="567"/>
        <w:jc w:val="both"/>
        <w:rPr>
          <w:sz w:val="20"/>
          <w:szCs w:val="20"/>
          <w:lang w:val="es-CO"/>
        </w:rPr>
      </w:pPr>
      <w:r w:rsidRPr="008D65EE">
        <w:rPr>
          <w:sz w:val="20"/>
          <w:szCs w:val="20"/>
          <w:lang w:val="es-CO"/>
        </w:rPr>
        <w:t xml:space="preserve">La Comisión nota que la investigación no inició de manera oficiosa. </w:t>
      </w:r>
      <w:r w:rsidRPr="008D65EE">
        <w:rPr>
          <w:rFonts w:cstheme="majorHAnsi"/>
          <w:bCs/>
          <w:sz w:val="20"/>
          <w:szCs w:val="20"/>
          <w:lang w:val="es-CO"/>
        </w:rPr>
        <w:t>Del expediente se desprende que tanto la embajada del Reino Unido en Venezuela como los padres de Sarah solicitaron a las autoridades venezolanas realizar una investigación de los hechos</w:t>
      </w:r>
      <w:r w:rsidR="00D31FA1" w:rsidRPr="008D65EE">
        <w:rPr>
          <w:rFonts w:cstheme="majorHAnsi"/>
          <w:bCs/>
          <w:sz w:val="20"/>
          <w:szCs w:val="20"/>
          <w:lang w:val="es-CO"/>
        </w:rPr>
        <w:t>,</w:t>
      </w:r>
      <w:r w:rsidRPr="008D65EE">
        <w:rPr>
          <w:rFonts w:cstheme="majorHAnsi"/>
          <w:bCs/>
          <w:sz w:val="20"/>
          <w:szCs w:val="20"/>
          <w:lang w:val="es-CO"/>
        </w:rPr>
        <w:t xml:space="preserve"> así como información sobre el progreso de la investigación y el proceso judicial.  Asimismo</w:t>
      </w:r>
      <w:r w:rsidR="00244B80" w:rsidRPr="008D65EE">
        <w:rPr>
          <w:rFonts w:cstheme="majorHAnsi"/>
          <w:bCs/>
          <w:sz w:val="20"/>
          <w:szCs w:val="20"/>
          <w:lang w:val="es-CO"/>
        </w:rPr>
        <w:t>,</w:t>
      </w:r>
      <w:r w:rsidRPr="008D65EE">
        <w:rPr>
          <w:rFonts w:cstheme="majorHAnsi"/>
          <w:bCs/>
          <w:sz w:val="20"/>
          <w:szCs w:val="20"/>
          <w:lang w:val="es-CO"/>
        </w:rPr>
        <w:t xml:space="preserve"> </w:t>
      </w:r>
      <w:r w:rsidR="00D31FA1" w:rsidRPr="008D65EE">
        <w:rPr>
          <w:rFonts w:cstheme="majorHAnsi"/>
          <w:bCs/>
          <w:sz w:val="20"/>
          <w:szCs w:val="20"/>
          <w:lang w:val="es-CO"/>
        </w:rPr>
        <w:t xml:space="preserve">consta </w:t>
      </w:r>
      <w:r w:rsidRPr="008D65EE">
        <w:rPr>
          <w:rFonts w:cstheme="majorHAnsi"/>
          <w:bCs/>
          <w:sz w:val="20"/>
          <w:szCs w:val="20"/>
          <w:lang w:val="es-CO"/>
        </w:rPr>
        <w:t xml:space="preserve">que </w:t>
      </w:r>
      <w:r w:rsidRPr="008D65EE">
        <w:rPr>
          <w:sz w:val="20"/>
          <w:szCs w:val="20"/>
          <w:lang w:val="es-CO"/>
        </w:rPr>
        <w:t xml:space="preserve">el Fiscal General de la República, Julián Isaías Rodríguez, el consulado del Reino Unido en Venezuela y Terry y Lyn Langton intercambiaron varias correspondencias entre el 2002 y el 2008 con respecto a los hechos. </w:t>
      </w:r>
    </w:p>
    <w:p w14:paraId="4A99AF22" w14:textId="77777777" w:rsidR="001B1D6A" w:rsidRPr="008D65EE" w:rsidRDefault="001B1D6A" w:rsidP="001B1D6A">
      <w:pPr>
        <w:pStyle w:val="ListParagraph"/>
        <w:ind w:left="567"/>
        <w:jc w:val="both"/>
        <w:rPr>
          <w:sz w:val="20"/>
          <w:szCs w:val="20"/>
          <w:lang w:val="es-CO"/>
        </w:rPr>
      </w:pPr>
    </w:p>
    <w:p w14:paraId="5D3DA573" w14:textId="507D08EA" w:rsidR="00D31FA1" w:rsidRPr="008D65EE" w:rsidRDefault="00D31FA1" w:rsidP="00D31FA1">
      <w:pPr>
        <w:pStyle w:val="ListParagraph"/>
        <w:numPr>
          <w:ilvl w:val="0"/>
          <w:numId w:val="51"/>
        </w:numPr>
        <w:ind w:left="0" w:firstLine="567"/>
        <w:jc w:val="both"/>
        <w:rPr>
          <w:sz w:val="20"/>
          <w:szCs w:val="20"/>
          <w:lang w:val="es-CO"/>
        </w:rPr>
      </w:pPr>
      <w:r w:rsidRPr="008D65EE">
        <w:rPr>
          <w:sz w:val="20"/>
          <w:szCs w:val="20"/>
          <w:lang w:val="es-CO"/>
        </w:rPr>
        <w:t xml:space="preserve">Dado que el Estado de Venezuela no ha aportado información sobre la situación de la investigación o proceso penal, o bien, respecto las diligencias realizadas, la Comisión no cuenta </w:t>
      </w:r>
      <w:r w:rsidR="00127C99" w:rsidRPr="008D65EE">
        <w:rPr>
          <w:sz w:val="20"/>
          <w:szCs w:val="20"/>
          <w:lang w:val="es-CO"/>
        </w:rPr>
        <w:t>c</w:t>
      </w:r>
      <w:r w:rsidRPr="008D65EE">
        <w:rPr>
          <w:sz w:val="20"/>
          <w:szCs w:val="20"/>
          <w:lang w:val="es-CO"/>
        </w:rPr>
        <w:t xml:space="preserve">on información que acredita que ha cumplido con la debida diligencia de las investigaciones. Lo anterior, pese a que la muerte de la presunta víctima habría ocurrido como una consecuencia de acciones u omisiones de personal médico y penitenciario mientras se encontraba bajo su custodia. </w:t>
      </w:r>
    </w:p>
    <w:p w14:paraId="4BA64975" w14:textId="77777777" w:rsidR="006373B9" w:rsidRPr="008D65EE" w:rsidRDefault="006373B9" w:rsidP="006373B9">
      <w:pPr>
        <w:jc w:val="both"/>
        <w:rPr>
          <w:sz w:val="20"/>
          <w:szCs w:val="20"/>
          <w:lang w:val="es-CO"/>
        </w:rPr>
      </w:pPr>
    </w:p>
    <w:p w14:paraId="6C55F9B5" w14:textId="6FED6075" w:rsidR="00D31FA1" w:rsidRPr="008D65EE" w:rsidRDefault="00D31FA1" w:rsidP="01AF1628">
      <w:pPr>
        <w:pStyle w:val="ListParagraph"/>
        <w:numPr>
          <w:ilvl w:val="0"/>
          <w:numId w:val="51"/>
        </w:numPr>
        <w:ind w:left="0" w:firstLine="567"/>
        <w:jc w:val="both"/>
        <w:rPr>
          <w:sz w:val="20"/>
          <w:szCs w:val="20"/>
          <w:lang w:val="es-CO"/>
        </w:rPr>
      </w:pPr>
      <w:r w:rsidRPr="008D65EE">
        <w:rPr>
          <w:sz w:val="20"/>
          <w:szCs w:val="20"/>
          <w:lang w:val="es-CO"/>
        </w:rPr>
        <w:t xml:space="preserve">En lo que se refiere a la razonabilidad del plazo de la investigación, </w:t>
      </w:r>
      <w:r w:rsidR="00E026D7" w:rsidRPr="008D65EE">
        <w:rPr>
          <w:sz w:val="20"/>
          <w:szCs w:val="20"/>
          <w:lang w:val="es-CO"/>
        </w:rPr>
        <w:t>con respecto a la</w:t>
      </w:r>
      <w:r w:rsidR="008E778C" w:rsidRPr="008D65EE">
        <w:rPr>
          <w:sz w:val="20"/>
          <w:szCs w:val="20"/>
          <w:lang w:val="es-CO"/>
        </w:rPr>
        <w:t xml:space="preserve"> complejidad del asunto, </w:t>
      </w:r>
      <w:r w:rsidRPr="008D65EE">
        <w:rPr>
          <w:sz w:val="20"/>
          <w:szCs w:val="20"/>
          <w:lang w:val="es-CO"/>
        </w:rPr>
        <w:t xml:space="preserve">la Comisión advierte que </w:t>
      </w:r>
      <w:r w:rsidR="008E778C" w:rsidRPr="008D65EE">
        <w:rPr>
          <w:sz w:val="20"/>
          <w:szCs w:val="20"/>
          <w:lang w:val="es-CO"/>
        </w:rPr>
        <w:t xml:space="preserve">el presente caso no presentaba gran complejidad dado que </w:t>
      </w:r>
      <w:r w:rsidR="008E778C" w:rsidRPr="008D65EE">
        <w:rPr>
          <w:sz w:val="20"/>
          <w:szCs w:val="20"/>
          <w:lang w:val="es-CO"/>
        </w:rPr>
        <w:lastRenderedPageBreak/>
        <w:t>se trataba de una sola víctima, que se encontraba privada de libertad y en todo momento bajo la custodia del Estado. Aunado a esto, los posibles responsables habían sido plenamente identificados desde el primer momento</w:t>
      </w:r>
      <w:r w:rsidRPr="008D65EE">
        <w:rPr>
          <w:sz w:val="20"/>
          <w:szCs w:val="20"/>
          <w:lang w:val="es-CO"/>
        </w:rPr>
        <w:t xml:space="preserve"> al haber ocurrido los hechos en un lugar y momento específicos</w:t>
      </w:r>
      <w:r w:rsidR="008E778C" w:rsidRPr="008D65EE">
        <w:rPr>
          <w:sz w:val="20"/>
          <w:szCs w:val="20"/>
          <w:lang w:val="es-CO"/>
        </w:rPr>
        <w:t>.</w:t>
      </w:r>
      <w:r w:rsidR="00324064" w:rsidRPr="008D65EE">
        <w:rPr>
          <w:sz w:val="20"/>
          <w:szCs w:val="20"/>
          <w:lang w:val="es-CO"/>
        </w:rPr>
        <w:t xml:space="preserve"> </w:t>
      </w:r>
      <w:r w:rsidR="008E778C" w:rsidRPr="008D65EE">
        <w:rPr>
          <w:sz w:val="20"/>
          <w:szCs w:val="20"/>
          <w:lang w:val="es-CO"/>
        </w:rPr>
        <w:t xml:space="preserve"> </w:t>
      </w:r>
    </w:p>
    <w:p w14:paraId="39597D34" w14:textId="77777777" w:rsidR="00D31FA1" w:rsidRPr="008D65EE" w:rsidRDefault="00D31FA1" w:rsidP="00D31FA1">
      <w:pPr>
        <w:pStyle w:val="ListParagraph"/>
        <w:rPr>
          <w:sz w:val="20"/>
          <w:szCs w:val="20"/>
          <w:lang w:val="es-CO"/>
        </w:rPr>
      </w:pPr>
    </w:p>
    <w:p w14:paraId="4B8BB552" w14:textId="63B8445C" w:rsidR="008E778C" w:rsidRPr="008D65EE" w:rsidRDefault="00324064" w:rsidP="00D31FA1">
      <w:pPr>
        <w:pStyle w:val="ListParagraph"/>
        <w:numPr>
          <w:ilvl w:val="0"/>
          <w:numId w:val="51"/>
        </w:numPr>
        <w:ind w:left="0" w:firstLine="567"/>
        <w:jc w:val="both"/>
        <w:rPr>
          <w:sz w:val="20"/>
          <w:szCs w:val="20"/>
          <w:lang w:val="es-CO"/>
        </w:rPr>
      </w:pPr>
      <w:r w:rsidRPr="008D65EE">
        <w:rPr>
          <w:sz w:val="20"/>
          <w:szCs w:val="20"/>
          <w:lang w:val="es-CO"/>
        </w:rPr>
        <w:t xml:space="preserve">En </w:t>
      </w:r>
      <w:r w:rsidR="00D31FA1" w:rsidRPr="008D65EE">
        <w:rPr>
          <w:sz w:val="20"/>
          <w:szCs w:val="20"/>
          <w:lang w:val="es-CO"/>
        </w:rPr>
        <w:t>cuando a la actuación de las autoridades, la Comisión nota que existieron demoras significativas durante varias fases del proceso. U</w:t>
      </w:r>
      <w:r w:rsidRPr="008D65EE">
        <w:rPr>
          <w:sz w:val="20"/>
          <w:szCs w:val="20"/>
          <w:lang w:val="es-CO"/>
        </w:rPr>
        <w:t xml:space="preserve">na correspondencia de julio de 2004 el propio Fiscal General había afirmado </w:t>
      </w:r>
      <w:r w:rsidR="00DC3634" w:rsidRPr="008D65EE">
        <w:rPr>
          <w:sz w:val="20"/>
          <w:szCs w:val="20"/>
          <w:lang w:val="es-CO"/>
        </w:rPr>
        <w:t xml:space="preserve">que </w:t>
      </w:r>
      <w:r w:rsidRPr="008D65EE">
        <w:rPr>
          <w:sz w:val="20"/>
          <w:szCs w:val="20"/>
          <w:lang w:val="es-CO"/>
        </w:rPr>
        <w:t xml:space="preserve">de una investigación inicial se había concluido que Sarah requería de vigilancia permanente pero no había sido evaluada por </w:t>
      </w:r>
      <w:r w:rsidR="006B0D42" w:rsidRPr="008D65EE">
        <w:rPr>
          <w:sz w:val="20"/>
          <w:szCs w:val="20"/>
          <w:lang w:val="es-CO"/>
        </w:rPr>
        <w:t>más</w:t>
      </w:r>
      <w:r w:rsidRPr="008D65EE">
        <w:rPr>
          <w:sz w:val="20"/>
          <w:szCs w:val="20"/>
          <w:lang w:val="es-CO"/>
        </w:rPr>
        <w:t xml:space="preserve"> de 60 días; que “el Servicio Médico de adultos del INOF carec</w:t>
      </w:r>
      <w:r w:rsidR="00D31FA1" w:rsidRPr="008D65EE">
        <w:rPr>
          <w:sz w:val="20"/>
          <w:szCs w:val="20"/>
          <w:lang w:val="es-CO"/>
        </w:rPr>
        <w:t>ía</w:t>
      </w:r>
      <w:r w:rsidRPr="008D65EE">
        <w:rPr>
          <w:sz w:val="20"/>
          <w:szCs w:val="20"/>
          <w:lang w:val="es-CO"/>
        </w:rPr>
        <w:t xml:space="preserve"> de personal médico suficiente para cumplir con los roles de guardia” por lo que “la población reclusa quedaba desasistida de un servicio de vital importancia” y que</w:t>
      </w:r>
      <w:r w:rsidR="00D31FA1" w:rsidRPr="008D65EE">
        <w:rPr>
          <w:sz w:val="20"/>
          <w:szCs w:val="20"/>
          <w:lang w:val="es-CO"/>
        </w:rPr>
        <w:t>,</w:t>
      </w:r>
      <w:r w:rsidRPr="008D65EE">
        <w:rPr>
          <w:sz w:val="20"/>
          <w:szCs w:val="20"/>
          <w:lang w:val="es-CO"/>
        </w:rPr>
        <w:t xml:space="preserve"> “a la referida ciudadana no se le prestó el auxilio inmediato que requirió por parte de los médicos presentes en el [INOF] (área de pediatría) quienes fueron informados de la situación de emergencia que se presentó con la mencionada ciudadana”</w:t>
      </w:r>
      <w:r w:rsidRPr="008D65EE">
        <w:rPr>
          <w:rStyle w:val="FootnoteReference"/>
          <w:rFonts w:cstheme="majorHAnsi"/>
          <w:bCs/>
          <w:sz w:val="20"/>
          <w:szCs w:val="20"/>
          <w:lang w:val="es-CO"/>
        </w:rPr>
        <w:footnoteReference w:id="132"/>
      </w:r>
      <w:r w:rsidRPr="008D65EE">
        <w:rPr>
          <w:sz w:val="20"/>
          <w:szCs w:val="20"/>
          <w:lang w:val="es-CO"/>
        </w:rPr>
        <w:t xml:space="preserve">. Sin embargo, pasaron 4 años desde este momento hasta que la fiscalía presentara una acusación formal. </w:t>
      </w:r>
      <w:r w:rsidR="00D31FA1" w:rsidRPr="008D65EE">
        <w:rPr>
          <w:sz w:val="20"/>
          <w:szCs w:val="20"/>
          <w:lang w:val="es-CO"/>
        </w:rPr>
        <w:t>Con posterioridad trascurrieron 7 años para que se presentara la acusación fiscal y más de nueve años para celebrar la Audiencia Preliminar del caso.</w:t>
      </w:r>
    </w:p>
    <w:p w14:paraId="3700BB6D" w14:textId="77777777" w:rsidR="00D31FA1" w:rsidRPr="008D65EE" w:rsidRDefault="00D31FA1" w:rsidP="00D31FA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567"/>
        <w:jc w:val="both"/>
        <w:rPr>
          <w:rFonts w:ascii="Cambria" w:hAnsi="Cambria"/>
          <w:b/>
          <w:sz w:val="20"/>
          <w:szCs w:val="20"/>
          <w:lang w:val="es-CO"/>
        </w:rPr>
      </w:pPr>
    </w:p>
    <w:p w14:paraId="6709733A" w14:textId="7185D9C8" w:rsidR="008E778C" w:rsidRPr="008D65EE" w:rsidRDefault="00D75C84" w:rsidP="008E778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color w:val="000000"/>
          <w:sz w:val="20"/>
          <w:szCs w:val="20"/>
          <w:u w:color="000000"/>
          <w:lang w:val="es-CO" w:eastAsia="es-ES"/>
        </w:rPr>
      </w:pPr>
      <w:r w:rsidRPr="008D65EE">
        <w:rPr>
          <w:rFonts w:ascii="Cambria" w:hAnsi="Cambria"/>
          <w:sz w:val="20"/>
          <w:szCs w:val="20"/>
          <w:lang w:val="es-CO"/>
        </w:rPr>
        <w:t xml:space="preserve">Al </w:t>
      </w:r>
      <w:r w:rsidRPr="008D65EE">
        <w:rPr>
          <w:rFonts w:ascii="Cambria" w:eastAsia="Cambria" w:hAnsi="Cambria" w:cs="Cambria"/>
          <w:color w:val="000000"/>
          <w:sz w:val="20"/>
          <w:szCs w:val="20"/>
          <w:u w:color="000000"/>
          <w:lang w:val="es-CO" w:eastAsia="es-ES"/>
        </w:rPr>
        <w:t xml:space="preserve">evaluar </w:t>
      </w:r>
      <w:r w:rsidR="008E778C" w:rsidRPr="008D65EE">
        <w:rPr>
          <w:rFonts w:ascii="Cambria" w:eastAsia="Cambria" w:hAnsi="Cambria" w:cs="Cambria"/>
          <w:color w:val="000000"/>
          <w:sz w:val="20"/>
          <w:szCs w:val="20"/>
          <w:u w:color="000000"/>
          <w:lang w:val="es-CO" w:eastAsia="es-ES"/>
        </w:rPr>
        <w:t xml:space="preserve">la actividad procesal del interesado, </w:t>
      </w:r>
      <w:r w:rsidR="00324064" w:rsidRPr="008D65EE">
        <w:rPr>
          <w:rFonts w:ascii="Cambria" w:eastAsia="Cambria" w:hAnsi="Cambria" w:cs="Cambria"/>
          <w:color w:val="000000"/>
          <w:sz w:val="20"/>
          <w:szCs w:val="20"/>
          <w:u w:color="000000"/>
          <w:lang w:val="es-CO" w:eastAsia="es-ES"/>
        </w:rPr>
        <w:t xml:space="preserve">se desprende del expediente que los padres de Sarah y las autoridades británicas enviaron numerosas comunicaciones a las autoridades venezolanas, incluyendo al ministerio público y que estuvieron representados en el proceso por su abogado. </w:t>
      </w:r>
    </w:p>
    <w:p w14:paraId="5A3AC15C" w14:textId="77777777" w:rsidR="00EA6555" w:rsidRPr="008D65EE" w:rsidRDefault="00EA6555"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Cambria" w:hAnsi="Cambria" w:cs="Cambria"/>
          <w:color w:val="000000"/>
          <w:sz w:val="20"/>
          <w:szCs w:val="20"/>
          <w:u w:color="000000"/>
          <w:lang w:val="es-CO" w:eastAsia="es-ES"/>
        </w:rPr>
      </w:pPr>
    </w:p>
    <w:p w14:paraId="5636CCA9" w14:textId="3DA022AF" w:rsidR="00D31FA1" w:rsidRPr="008D65EE" w:rsidRDefault="00A64A10" w:rsidP="00D31FA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eastAsia="Cambria" w:hAnsi="Cambria" w:cs="Cambria"/>
          <w:color w:val="000000"/>
          <w:sz w:val="20"/>
          <w:szCs w:val="20"/>
          <w:u w:color="000000"/>
          <w:lang w:val="es-CO" w:eastAsia="es-ES"/>
        </w:rPr>
      </w:pPr>
      <w:r w:rsidRPr="008D65EE">
        <w:rPr>
          <w:rFonts w:ascii="Cambria" w:eastAsia="Cambria" w:hAnsi="Cambria" w:cs="Cambria"/>
          <w:color w:val="000000"/>
          <w:sz w:val="20"/>
          <w:szCs w:val="20"/>
          <w:u w:color="000000"/>
          <w:lang w:val="es-CO" w:eastAsia="es-ES"/>
        </w:rPr>
        <w:t xml:space="preserve">Por último, con relación a </w:t>
      </w:r>
      <w:r w:rsidR="008E778C" w:rsidRPr="008D65EE">
        <w:rPr>
          <w:rFonts w:ascii="Cambria" w:eastAsia="Cambria" w:hAnsi="Cambria" w:cs="Cambria"/>
          <w:color w:val="000000"/>
          <w:sz w:val="20"/>
          <w:szCs w:val="20"/>
          <w:u w:color="000000"/>
          <w:lang w:val="es-CO" w:eastAsia="es-ES"/>
        </w:rPr>
        <w:t>la afectación generada en la situación jurídica de la persona involucrada en el proceso,</w:t>
      </w:r>
      <w:r w:rsidRPr="008D65EE">
        <w:rPr>
          <w:rFonts w:ascii="Cambria" w:eastAsia="Cambria" w:hAnsi="Cambria" w:cs="Cambria"/>
          <w:color w:val="000000"/>
          <w:sz w:val="20"/>
          <w:szCs w:val="20"/>
          <w:u w:color="000000"/>
          <w:lang w:val="es-CO" w:eastAsia="es-ES"/>
        </w:rPr>
        <w:t xml:space="preserve"> la Comisión observa que </w:t>
      </w:r>
      <w:r w:rsidR="00D31FA1" w:rsidRPr="008D65EE">
        <w:rPr>
          <w:rFonts w:ascii="Cambria" w:eastAsia="Cambria" w:hAnsi="Cambria" w:cs="Cambria"/>
          <w:color w:val="000000"/>
          <w:sz w:val="20"/>
          <w:szCs w:val="20"/>
          <w:u w:color="000000"/>
          <w:lang w:val="es-CO" w:eastAsia="es-ES"/>
        </w:rPr>
        <w:t>el paso del tiempo tuvo una gravedad significativa, no sólo por la angustia que ocasionó a los padres de Sarah sino también porque generó la aplicación de la prescripción y el sobreseimiento del proceso. La CIDH observa que en la aplicación de la prescripción no se tomó en cuenta la demoras y falta de debida diligencia de las propias autoridades que finalmente posibilitaron que operara, de tal manera que su aplicación fue producto del plazo irrazonable con que se extendió la investigación y el proceso penal.</w:t>
      </w:r>
    </w:p>
    <w:p w14:paraId="0F565F7E" w14:textId="77777777" w:rsidR="00D31FA1" w:rsidRPr="008D65EE" w:rsidRDefault="00D31FA1" w:rsidP="00D31FA1">
      <w:pPr>
        <w:pStyle w:val="ListParagraph"/>
        <w:rPr>
          <w:sz w:val="20"/>
          <w:szCs w:val="20"/>
          <w:lang w:val="es-CO"/>
        </w:rPr>
      </w:pPr>
    </w:p>
    <w:p w14:paraId="68CC8DD5" w14:textId="7C0DBD88" w:rsidR="007B22CD" w:rsidRPr="008D65EE" w:rsidRDefault="007B22CD"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b/>
          <w:sz w:val="20"/>
          <w:szCs w:val="20"/>
          <w:lang w:val="es-CO"/>
        </w:rPr>
      </w:pPr>
      <w:r w:rsidRPr="008D65EE">
        <w:rPr>
          <w:rFonts w:ascii="Cambria" w:hAnsi="Cambria"/>
          <w:sz w:val="20"/>
          <w:szCs w:val="20"/>
          <w:lang w:val="es-CO"/>
        </w:rPr>
        <w:t>Por las consideraciones anteriores</w:t>
      </w:r>
      <w:r w:rsidR="00144FC0" w:rsidRPr="008D65EE">
        <w:rPr>
          <w:rFonts w:ascii="Cambria" w:hAnsi="Cambria"/>
          <w:sz w:val="20"/>
          <w:szCs w:val="20"/>
          <w:lang w:val="es-CO"/>
        </w:rPr>
        <w:t xml:space="preserve">, </w:t>
      </w:r>
      <w:r w:rsidRPr="008D65EE">
        <w:rPr>
          <w:rFonts w:ascii="Cambria" w:hAnsi="Cambria"/>
          <w:sz w:val="20"/>
          <w:szCs w:val="20"/>
          <w:lang w:val="es-CO"/>
        </w:rPr>
        <w:t>la Comisión concluye que el Estado no cumplió con</w:t>
      </w:r>
      <w:r w:rsidR="00DC3634" w:rsidRPr="008D65EE">
        <w:rPr>
          <w:rFonts w:ascii="Cambria" w:hAnsi="Cambria"/>
          <w:sz w:val="20"/>
          <w:szCs w:val="20"/>
          <w:lang w:val="es-CO"/>
        </w:rPr>
        <w:t xml:space="preserve"> la obligación de</w:t>
      </w:r>
      <w:r w:rsidRPr="008D65EE">
        <w:rPr>
          <w:rFonts w:ascii="Cambria" w:hAnsi="Cambria"/>
          <w:sz w:val="20"/>
          <w:szCs w:val="20"/>
          <w:lang w:val="es-CO"/>
        </w:rPr>
        <w:t xml:space="preserve"> garantizarle a las </w:t>
      </w:r>
      <w:r w:rsidR="006B0D42" w:rsidRPr="008D65EE">
        <w:rPr>
          <w:rFonts w:ascii="Cambria" w:hAnsi="Cambria"/>
          <w:sz w:val="20"/>
          <w:szCs w:val="20"/>
          <w:lang w:val="es-CO"/>
        </w:rPr>
        <w:t>víctimas</w:t>
      </w:r>
      <w:r w:rsidRPr="008D65EE">
        <w:rPr>
          <w:rFonts w:ascii="Cambria" w:hAnsi="Cambria"/>
          <w:sz w:val="20"/>
          <w:szCs w:val="20"/>
          <w:lang w:val="es-CO"/>
        </w:rPr>
        <w:t xml:space="preserve"> del presente caso el acceso a un recurso adecuado en el plazo razonable lo cual tuvo la grave consecuencia de que las autoridades venezolanas aplicaran la prescripción y no se determinara la responsabilidad individual de ninguno de los involucrados en la muerte de Sarah. </w:t>
      </w:r>
    </w:p>
    <w:p w14:paraId="47C8DB76" w14:textId="79E70086" w:rsidR="00B35D9C" w:rsidRPr="008D65EE" w:rsidRDefault="00B35D9C" w:rsidP="005418C0">
      <w:pPr>
        <w:jc w:val="both"/>
        <w:rPr>
          <w:sz w:val="20"/>
          <w:szCs w:val="20"/>
          <w:lang w:val="es-CO"/>
        </w:rPr>
      </w:pPr>
    </w:p>
    <w:p w14:paraId="45AD1F86" w14:textId="5BC7316A" w:rsidR="002A6B05" w:rsidRPr="008D65EE" w:rsidRDefault="002A6B05" w:rsidP="00EA6555">
      <w:pPr>
        <w:pStyle w:val="ListParagraph"/>
        <w:numPr>
          <w:ilvl w:val="0"/>
          <w:numId w:val="51"/>
        </w:numPr>
        <w:ind w:left="0" w:firstLine="567"/>
        <w:jc w:val="both"/>
        <w:rPr>
          <w:sz w:val="20"/>
          <w:szCs w:val="20"/>
          <w:lang w:val="es-CO"/>
        </w:rPr>
      </w:pPr>
      <w:r w:rsidRPr="008D65EE">
        <w:rPr>
          <w:sz w:val="20"/>
          <w:szCs w:val="20"/>
          <w:lang w:val="es-CO"/>
        </w:rPr>
        <w:t>En virtud de las anteriores consideraciones, la Comisión concluye que el Estado no proveyó a las víctimas</w:t>
      </w:r>
      <w:r w:rsidR="005418C0" w:rsidRPr="008D65EE">
        <w:rPr>
          <w:sz w:val="20"/>
          <w:szCs w:val="20"/>
          <w:lang w:val="es-CO"/>
        </w:rPr>
        <w:t xml:space="preserve"> </w:t>
      </w:r>
      <w:r w:rsidRPr="008D65EE">
        <w:rPr>
          <w:sz w:val="20"/>
          <w:szCs w:val="20"/>
          <w:lang w:val="es-CO"/>
        </w:rPr>
        <w:t>de un recurso efectivo para esclarecer lo sucedido y establecer las responsabilidades correspondientes, en violación de los derechos consagrados en los artículos</w:t>
      </w:r>
      <w:r w:rsidR="0043666C" w:rsidRPr="008D65EE">
        <w:rPr>
          <w:sz w:val="20"/>
          <w:szCs w:val="20"/>
          <w:lang w:val="es-CO"/>
        </w:rPr>
        <w:t xml:space="preserve"> 8.1,</w:t>
      </w:r>
      <w:r w:rsidRPr="008D65EE">
        <w:rPr>
          <w:sz w:val="20"/>
          <w:szCs w:val="20"/>
          <w:lang w:val="es-CO"/>
        </w:rPr>
        <w:t xml:space="preserve"> 8.</w:t>
      </w:r>
      <w:r w:rsidR="00A64A10" w:rsidRPr="008D65EE">
        <w:rPr>
          <w:sz w:val="20"/>
          <w:szCs w:val="20"/>
          <w:lang w:val="es-CO"/>
        </w:rPr>
        <w:t>2</w:t>
      </w:r>
      <w:r w:rsidR="0043666C" w:rsidRPr="008D65EE">
        <w:rPr>
          <w:sz w:val="20"/>
          <w:szCs w:val="20"/>
          <w:lang w:val="es-CO"/>
        </w:rPr>
        <w:t xml:space="preserve"> y</w:t>
      </w:r>
      <w:r w:rsidRPr="008D65EE">
        <w:rPr>
          <w:sz w:val="20"/>
          <w:szCs w:val="20"/>
          <w:lang w:val="es-CO"/>
        </w:rPr>
        <w:t xml:space="preserve"> 25.1 de la Convención Americana en relación con el artículo 1.1 del mismo instrumento </w:t>
      </w:r>
      <w:r w:rsidR="00A64A10" w:rsidRPr="008D65EE">
        <w:rPr>
          <w:sz w:val="20"/>
          <w:szCs w:val="20"/>
          <w:lang w:val="es-CO"/>
        </w:rPr>
        <w:t>en perjuicio de Terry Langton y Lyn Langton</w:t>
      </w:r>
      <w:r w:rsidRPr="008D65EE">
        <w:rPr>
          <w:sz w:val="20"/>
          <w:szCs w:val="20"/>
          <w:lang w:val="es-CO"/>
        </w:rPr>
        <w:t xml:space="preserve">. </w:t>
      </w:r>
    </w:p>
    <w:p w14:paraId="1B8227CF" w14:textId="4C4D20FD" w:rsidR="006C41EE" w:rsidRPr="008D65EE" w:rsidRDefault="006C41EE" w:rsidP="006C41EE">
      <w:pPr>
        <w:jc w:val="both"/>
        <w:rPr>
          <w:rFonts w:ascii="Cambria" w:hAnsi="Cambria"/>
          <w:sz w:val="20"/>
          <w:szCs w:val="20"/>
          <w:lang w:val="es-CO"/>
        </w:rPr>
      </w:pPr>
    </w:p>
    <w:p w14:paraId="5715D476" w14:textId="00147B1C" w:rsidR="006C41EE" w:rsidRPr="008D65EE" w:rsidRDefault="006C41EE" w:rsidP="00550322">
      <w:pPr>
        <w:pStyle w:val="Heading2"/>
        <w:numPr>
          <w:ilvl w:val="0"/>
          <w:numId w:val="53"/>
        </w:numPr>
        <w:jc w:val="both"/>
        <w:rPr>
          <w:rFonts w:ascii="Cambria" w:hAnsi="Cambria"/>
          <w:i w:val="0"/>
          <w:iCs w:val="0"/>
          <w:sz w:val="20"/>
          <w:szCs w:val="20"/>
          <w:lang w:val="es-CO"/>
        </w:rPr>
      </w:pPr>
      <w:bookmarkStart w:id="38" w:name="_Toc217309325"/>
      <w:r w:rsidRPr="008D65EE">
        <w:rPr>
          <w:rFonts w:ascii="Cambria" w:hAnsi="Cambria"/>
          <w:i w:val="0"/>
          <w:iCs w:val="0"/>
          <w:sz w:val="20"/>
          <w:szCs w:val="20"/>
          <w:lang w:val="es-CO"/>
        </w:rPr>
        <w:t>Derecho a la integridad personal (artículos 5.1)</w:t>
      </w:r>
      <w:r w:rsidRPr="008D65EE">
        <w:rPr>
          <w:rStyle w:val="FootnoteReference"/>
          <w:rFonts w:ascii="Cambria" w:hAnsi="Cambria"/>
          <w:i w:val="0"/>
          <w:iCs w:val="0"/>
          <w:sz w:val="20"/>
          <w:szCs w:val="20"/>
          <w:lang w:val="es-CO"/>
        </w:rPr>
        <w:footnoteReference w:id="133"/>
      </w:r>
      <w:r w:rsidRPr="008D65EE">
        <w:rPr>
          <w:rFonts w:ascii="Cambria" w:hAnsi="Cambria"/>
          <w:i w:val="0"/>
          <w:iCs w:val="0"/>
          <w:sz w:val="20"/>
          <w:szCs w:val="20"/>
          <w:lang w:val="es-CO"/>
        </w:rPr>
        <w:t xml:space="preserve"> en relación con el artículo 1.1</w:t>
      </w:r>
      <w:r w:rsidRPr="008D65EE">
        <w:rPr>
          <w:rStyle w:val="FootnoteReference"/>
          <w:rFonts w:ascii="Cambria" w:hAnsi="Cambria"/>
          <w:i w:val="0"/>
          <w:iCs w:val="0"/>
          <w:sz w:val="20"/>
          <w:szCs w:val="20"/>
          <w:lang w:val="es-CO"/>
        </w:rPr>
        <w:footnoteReference w:id="134"/>
      </w:r>
      <w:r w:rsidRPr="008D65EE">
        <w:rPr>
          <w:rFonts w:ascii="Cambria" w:hAnsi="Cambria"/>
          <w:i w:val="0"/>
          <w:iCs w:val="0"/>
          <w:sz w:val="20"/>
          <w:szCs w:val="20"/>
          <w:lang w:val="es-CO"/>
        </w:rPr>
        <w:t>de la Convención Americana de Terry Langton y Lyn Langton</w:t>
      </w:r>
      <w:bookmarkEnd w:id="38"/>
    </w:p>
    <w:p w14:paraId="2CC380DE" w14:textId="77777777" w:rsidR="006C41EE" w:rsidRPr="008D65EE" w:rsidRDefault="006C41EE" w:rsidP="006C41EE">
      <w:pPr>
        <w:rPr>
          <w:rFonts w:ascii="Cambria" w:hAnsi="Cambria"/>
          <w:sz w:val="20"/>
          <w:szCs w:val="20"/>
          <w:lang w:val="es-CO"/>
        </w:rPr>
      </w:pPr>
    </w:p>
    <w:p w14:paraId="06AC6B3A" w14:textId="0D8EE6B1" w:rsidR="00DC3634" w:rsidRPr="008D65EE" w:rsidRDefault="004D125C"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426"/>
        <w:jc w:val="both"/>
        <w:rPr>
          <w:rFonts w:ascii="Cambria" w:hAnsi="Cambria"/>
          <w:bCs/>
          <w:sz w:val="20"/>
          <w:szCs w:val="20"/>
          <w:lang w:val="es-CO"/>
        </w:rPr>
      </w:pPr>
      <w:r w:rsidRPr="008D65EE">
        <w:rPr>
          <w:rFonts w:ascii="Cambria" w:hAnsi="Cambria"/>
          <w:bCs/>
          <w:sz w:val="20"/>
          <w:szCs w:val="20"/>
          <w:lang w:val="es-CO"/>
        </w:rPr>
        <w:t xml:space="preserve">             </w:t>
      </w:r>
      <w:r w:rsidR="00F46077" w:rsidRPr="008D65EE">
        <w:rPr>
          <w:rFonts w:ascii="Cambria" w:hAnsi="Cambria"/>
          <w:bCs/>
          <w:sz w:val="20"/>
          <w:szCs w:val="20"/>
          <w:lang w:val="es-CO"/>
        </w:rPr>
        <w:t xml:space="preserve">Con respecto </w:t>
      </w:r>
      <w:r w:rsidR="0043666C" w:rsidRPr="008D65EE">
        <w:rPr>
          <w:rFonts w:ascii="Cambria" w:hAnsi="Cambria"/>
          <w:bCs/>
          <w:sz w:val="20"/>
          <w:szCs w:val="20"/>
          <w:lang w:val="es-CO"/>
        </w:rPr>
        <w:t>a</w:t>
      </w:r>
      <w:r w:rsidR="00F46077" w:rsidRPr="008D65EE">
        <w:rPr>
          <w:rFonts w:ascii="Cambria" w:hAnsi="Cambria"/>
          <w:bCs/>
          <w:sz w:val="20"/>
          <w:szCs w:val="20"/>
          <w:lang w:val="es-CO"/>
        </w:rPr>
        <w:t xml:space="preserve"> los familiares de víctimas de ciertas violaciones de derechos humanos, la Comisión y la Corte Interamericana han indicado que </w:t>
      </w:r>
      <w:r w:rsidR="00DC3634" w:rsidRPr="008D65EE">
        <w:rPr>
          <w:rFonts w:ascii="Cambria" w:hAnsi="Cambria"/>
          <w:bCs/>
          <w:sz w:val="20"/>
          <w:szCs w:val="20"/>
          <w:lang w:val="es-CO"/>
        </w:rPr>
        <w:t>e</w:t>
      </w:r>
      <w:r w:rsidR="00F46077" w:rsidRPr="008D65EE">
        <w:rPr>
          <w:rFonts w:ascii="Cambria" w:hAnsi="Cambria"/>
          <w:bCs/>
          <w:sz w:val="20"/>
          <w:szCs w:val="20"/>
          <w:lang w:val="es-CO"/>
        </w:rPr>
        <w:t>stos pueden ser considerados, a su vez, como víctimas</w:t>
      </w:r>
      <w:r w:rsidR="00F46077" w:rsidRPr="008D65EE">
        <w:rPr>
          <w:rFonts w:ascii="Cambria" w:hAnsi="Cambria"/>
          <w:bCs/>
          <w:sz w:val="20"/>
          <w:szCs w:val="20"/>
          <w:vertAlign w:val="superscript"/>
          <w:lang w:val="es-CO"/>
        </w:rPr>
        <w:footnoteReference w:id="135"/>
      </w:r>
      <w:r w:rsidR="00F46077" w:rsidRPr="008D65EE">
        <w:rPr>
          <w:rFonts w:ascii="Cambria" w:hAnsi="Cambria"/>
          <w:bCs/>
          <w:sz w:val="20"/>
          <w:szCs w:val="20"/>
          <w:lang w:val="es-CO"/>
        </w:rPr>
        <w:t xml:space="preserve">. Al respecto, la Corte ha dispuesto que pueden verse afectados en su integridad psíquica y moral como </w:t>
      </w:r>
      <w:r w:rsidR="00F46077" w:rsidRPr="008D65EE">
        <w:rPr>
          <w:rFonts w:ascii="Cambria" w:hAnsi="Cambria"/>
          <w:bCs/>
          <w:sz w:val="20"/>
          <w:szCs w:val="20"/>
          <w:lang w:val="es-CO"/>
        </w:rPr>
        <w:lastRenderedPageBreak/>
        <w:t>consecuencia de las situaciones particulares que padecieron las víctimas, así como de las posteriores actuaciones u omisiones de las autoridades internas frente a estos hechos</w:t>
      </w:r>
      <w:r w:rsidR="00F46077" w:rsidRPr="008D65EE">
        <w:rPr>
          <w:rFonts w:ascii="Cambria" w:hAnsi="Cambria"/>
          <w:bCs/>
          <w:sz w:val="20"/>
          <w:szCs w:val="20"/>
          <w:vertAlign w:val="superscript"/>
          <w:lang w:val="es-CO"/>
        </w:rPr>
        <w:footnoteReference w:id="136"/>
      </w:r>
      <w:r w:rsidR="00F46077" w:rsidRPr="008D65EE">
        <w:rPr>
          <w:rFonts w:ascii="Cambria" w:hAnsi="Cambria"/>
          <w:bCs/>
          <w:sz w:val="20"/>
          <w:szCs w:val="20"/>
          <w:lang w:val="es-CO"/>
        </w:rPr>
        <w:t xml:space="preserve">. </w:t>
      </w:r>
    </w:p>
    <w:p w14:paraId="3CDEAD4E" w14:textId="77777777" w:rsidR="0036484A" w:rsidRPr="008D65EE" w:rsidRDefault="0036484A" w:rsidP="003648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426"/>
        <w:jc w:val="both"/>
        <w:rPr>
          <w:rFonts w:ascii="Cambria" w:hAnsi="Cambria"/>
          <w:bCs/>
          <w:sz w:val="20"/>
          <w:szCs w:val="20"/>
          <w:lang w:val="es-CO"/>
        </w:rPr>
      </w:pPr>
    </w:p>
    <w:p w14:paraId="442626EE" w14:textId="6290793E" w:rsidR="00F46077" w:rsidRPr="008D65EE" w:rsidRDefault="004D125C" w:rsidP="004D125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426"/>
        <w:jc w:val="both"/>
        <w:rPr>
          <w:rFonts w:ascii="Cambria" w:hAnsi="Cambria"/>
          <w:bCs/>
          <w:sz w:val="20"/>
          <w:szCs w:val="20"/>
          <w:lang w:val="es-CO"/>
        </w:rPr>
      </w:pPr>
      <w:r w:rsidRPr="008D65EE">
        <w:rPr>
          <w:rFonts w:ascii="Cambria" w:hAnsi="Cambria"/>
          <w:bCs/>
          <w:sz w:val="20"/>
          <w:szCs w:val="20"/>
          <w:lang w:val="es-CO"/>
        </w:rPr>
        <w:t xml:space="preserve">              </w:t>
      </w:r>
      <w:r w:rsidR="00F46077" w:rsidRPr="008D65EE">
        <w:rPr>
          <w:rFonts w:ascii="Cambria" w:hAnsi="Cambria"/>
          <w:bCs/>
          <w:sz w:val="20"/>
          <w:szCs w:val="20"/>
          <w:lang w:val="es-CO"/>
        </w:rPr>
        <w:t>En el presente caso, la Comisión dio por establecido que las autoridades venezolanas</w:t>
      </w:r>
      <w:r w:rsidR="007948F5" w:rsidRPr="008D65EE">
        <w:rPr>
          <w:rFonts w:ascii="Cambria" w:hAnsi="Cambria"/>
          <w:bCs/>
          <w:sz w:val="20"/>
          <w:szCs w:val="20"/>
          <w:lang w:val="es-CO"/>
        </w:rPr>
        <w:t xml:space="preserve"> no le proporcionaron servicios de salud adecuada a </w:t>
      </w:r>
      <w:r w:rsidR="00F46077" w:rsidRPr="008D65EE">
        <w:rPr>
          <w:rFonts w:ascii="Cambria" w:hAnsi="Cambria"/>
          <w:bCs/>
          <w:sz w:val="20"/>
          <w:szCs w:val="20"/>
          <w:lang w:val="es-CO"/>
        </w:rPr>
        <w:t>Sarah Lyn Langton</w:t>
      </w:r>
      <w:r w:rsidR="007948F5" w:rsidRPr="008D65EE">
        <w:rPr>
          <w:rFonts w:ascii="Cambria" w:hAnsi="Cambria"/>
          <w:bCs/>
          <w:sz w:val="20"/>
          <w:szCs w:val="20"/>
          <w:lang w:val="es-CO"/>
        </w:rPr>
        <w:t xml:space="preserve"> durante su privación de libertad en el INOF y</w:t>
      </w:r>
      <w:r w:rsidR="004C5EEE" w:rsidRPr="008D65EE">
        <w:rPr>
          <w:rFonts w:ascii="Cambria" w:hAnsi="Cambria"/>
          <w:bCs/>
          <w:sz w:val="20"/>
          <w:szCs w:val="20"/>
          <w:lang w:val="es-CO"/>
        </w:rPr>
        <w:t>,</w:t>
      </w:r>
      <w:r w:rsidR="007948F5" w:rsidRPr="008D65EE">
        <w:rPr>
          <w:rFonts w:ascii="Cambria" w:hAnsi="Cambria"/>
          <w:bCs/>
          <w:sz w:val="20"/>
          <w:szCs w:val="20"/>
          <w:lang w:val="es-CO"/>
        </w:rPr>
        <w:t xml:space="preserve"> en especial</w:t>
      </w:r>
      <w:r w:rsidR="004C5EEE" w:rsidRPr="008D65EE">
        <w:rPr>
          <w:rFonts w:ascii="Cambria" w:hAnsi="Cambria"/>
          <w:bCs/>
          <w:sz w:val="20"/>
          <w:szCs w:val="20"/>
          <w:lang w:val="es-CO"/>
        </w:rPr>
        <w:t>,</w:t>
      </w:r>
      <w:r w:rsidR="007948F5" w:rsidRPr="008D65EE">
        <w:rPr>
          <w:rFonts w:ascii="Cambria" w:hAnsi="Cambria"/>
          <w:bCs/>
          <w:sz w:val="20"/>
          <w:szCs w:val="20"/>
          <w:lang w:val="es-CO"/>
        </w:rPr>
        <w:t xml:space="preserve"> durante el agravamiento de su situación de salud entre el 7 y 13 de marzo de 2001, lo cual culminó con su muerte. Asimismo, se estableció que los padres de Sarah vivieron estos meses con angustia y </w:t>
      </w:r>
      <w:r w:rsidR="00CD7891" w:rsidRPr="008D65EE">
        <w:rPr>
          <w:rFonts w:ascii="Cambria" w:hAnsi="Cambria"/>
          <w:bCs/>
          <w:sz w:val="20"/>
          <w:szCs w:val="20"/>
          <w:lang w:val="es-CO"/>
        </w:rPr>
        <w:t>preocupación</w:t>
      </w:r>
      <w:r w:rsidR="007948F5" w:rsidRPr="008D65EE">
        <w:rPr>
          <w:rFonts w:ascii="Cambria" w:hAnsi="Cambria"/>
          <w:bCs/>
          <w:sz w:val="20"/>
          <w:szCs w:val="20"/>
          <w:lang w:val="es-CO"/>
        </w:rPr>
        <w:t xml:space="preserve"> dado que sabían que no se le estaba brindado a su hija el control médico adecuado</w:t>
      </w:r>
      <w:r w:rsidR="00DC3634" w:rsidRPr="008D65EE">
        <w:rPr>
          <w:rFonts w:ascii="Cambria" w:hAnsi="Cambria"/>
          <w:bCs/>
          <w:sz w:val="20"/>
          <w:szCs w:val="20"/>
          <w:lang w:val="es-CO"/>
        </w:rPr>
        <w:t>. Ademá</w:t>
      </w:r>
      <w:r w:rsidR="004C5EEE" w:rsidRPr="008D65EE">
        <w:rPr>
          <w:rFonts w:ascii="Cambria" w:hAnsi="Cambria"/>
          <w:bCs/>
          <w:sz w:val="20"/>
          <w:szCs w:val="20"/>
          <w:lang w:val="es-CO"/>
        </w:rPr>
        <w:t>s</w:t>
      </w:r>
      <w:r w:rsidR="00DC3634" w:rsidRPr="008D65EE">
        <w:rPr>
          <w:rFonts w:ascii="Cambria" w:hAnsi="Cambria"/>
          <w:bCs/>
          <w:sz w:val="20"/>
          <w:szCs w:val="20"/>
          <w:lang w:val="es-CO"/>
        </w:rPr>
        <w:t xml:space="preserve"> de esto,</w:t>
      </w:r>
      <w:r w:rsidR="007948F5" w:rsidRPr="008D65EE">
        <w:rPr>
          <w:rFonts w:ascii="Cambria" w:hAnsi="Cambria"/>
          <w:bCs/>
          <w:sz w:val="20"/>
          <w:szCs w:val="20"/>
          <w:lang w:val="es-CO"/>
        </w:rPr>
        <w:t xml:space="preserve"> tuvieron que manejar el traslado de su hija del hospital a un </w:t>
      </w:r>
      <w:r w:rsidR="00CD7891" w:rsidRPr="008D65EE">
        <w:rPr>
          <w:rFonts w:ascii="Cambria" w:hAnsi="Cambria"/>
          <w:bCs/>
          <w:sz w:val="20"/>
          <w:szCs w:val="20"/>
          <w:lang w:val="es-CO"/>
        </w:rPr>
        <w:t>instituto</w:t>
      </w:r>
      <w:r w:rsidR="007948F5" w:rsidRPr="008D65EE">
        <w:rPr>
          <w:rFonts w:ascii="Cambria" w:hAnsi="Cambria"/>
          <w:bCs/>
          <w:sz w:val="20"/>
          <w:szCs w:val="20"/>
          <w:lang w:val="es-CO"/>
        </w:rPr>
        <w:t xml:space="preserve"> privado y realizar todos los trámites para garantizar el pago. Todo este proceso tuvo un mayor impacto en </w:t>
      </w:r>
      <w:r w:rsidR="004C5EEE" w:rsidRPr="008D65EE">
        <w:rPr>
          <w:rFonts w:ascii="Cambria" w:hAnsi="Cambria"/>
          <w:bCs/>
          <w:sz w:val="20"/>
          <w:szCs w:val="20"/>
          <w:lang w:val="es-CO"/>
        </w:rPr>
        <w:t xml:space="preserve">su familia </w:t>
      </w:r>
      <w:r w:rsidR="007948F5" w:rsidRPr="008D65EE">
        <w:rPr>
          <w:rFonts w:ascii="Cambria" w:hAnsi="Cambria"/>
          <w:bCs/>
          <w:sz w:val="20"/>
          <w:szCs w:val="20"/>
          <w:lang w:val="es-CO"/>
        </w:rPr>
        <w:t xml:space="preserve">dado que se encontraban en el Reino Unido y al final tuvieron que trasladarse a Venezuela para poder ver a su hija en condición crítica. La Comisión </w:t>
      </w:r>
      <w:r w:rsidR="00CD7891" w:rsidRPr="008D65EE">
        <w:rPr>
          <w:rFonts w:ascii="Cambria" w:hAnsi="Cambria"/>
          <w:bCs/>
          <w:sz w:val="20"/>
          <w:szCs w:val="20"/>
          <w:lang w:val="es-CO"/>
        </w:rPr>
        <w:t>también</w:t>
      </w:r>
      <w:r w:rsidR="007948F5" w:rsidRPr="008D65EE">
        <w:rPr>
          <w:rFonts w:ascii="Cambria" w:hAnsi="Cambria"/>
          <w:bCs/>
          <w:sz w:val="20"/>
          <w:szCs w:val="20"/>
          <w:lang w:val="es-CO"/>
        </w:rPr>
        <w:t xml:space="preserve"> nota que Terry y Lyn Langton no pudieron hablar ni despedirse de su hija dado no recobró la consciencia luego de que ellos llegaran a Venezuela</w:t>
      </w:r>
      <w:r w:rsidR="00EA6555" w:rsidRPr="008D65EE">
        <w:rPr>
          <w:rFonts w:ascii="Cambria" w:hAnsi="Cambria"/>
          <w:bCs/>
          <w:sz w:val="20"/>
          <w:szCs w:val="20"/>
          <w:lang w:val="es-CO"/>
        </w:rPr>
        <w:t>.</w:t>
      </w:r>
    </w:p>
    <w:p w14:paraId="3B15A48A" w14:textId="77777777" w:rsidR="00EA6555" w:rsidRPr="008D65EE" w:rsidRDefault="00EA6555"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firstLine="567"/>
        <w:jc w:val="both"/>
        <w:rPr>
          <w:rFonts w:ascii="Cambria" w:hAnsi="Cambria"/>
          <w:bCs/>
          <w:sz w:val="20"/>
          <w:szCs w:val="20"/>
          <w:lang w:val="es-CO"/>
        </w:rPr>
      </w:pPr>
    </w:p>
    <w:p w14:paraId="06B054B4" w14:textId="2FBC90B9" w:rsidR="00F46077" w:rsidRPr="008D65EE" w:rsidRDefault="00F46077" w:rsidP="00EA655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sz w:val="20"/>
          <w:szCs w:val="20"/>
          <w:lang w:val="es-CO"/>
        </w:rPr>
      </w:pPr>
      <w:r w:rsidRPr="008D65EE">
        <w:rPr>
          <w:rFonts w:ascii="Cambria" w:hAnsi="Cambria"/>
          <w:sz w:val="20"/>
          <w:szCs w:val="20"/>
          <w:lang w:val="es-CO"/>
        </w:rPr>
        <w:t xml:space="preserve"> Además de estas circunstancias que constituyen en sí mismas una fuente de sufrimiento e impotencia, la Comisión observa que en el presente caso no existió una investigación </w:t>
      </w:r>
      <w:r w:rsidRPr="008D65EE">
        <w:rPr>
          <w:rFonts w:ascii="Cambria" w:hAnsi="Cambria"/>
          <w:bCs/>
          <w:sz w:val="20"/>
          <w:szCs w:val="20"/>
          <w:lang w:val="es-CO"/>
        </w:rPr>
        <w:t>realizada</w:t>
      </w:r>
      <w:r w:rsidRPr="008D65EE">
        <w:rPr>
          <w:rFonts w:ascii="Cambria" w:hAnsi="Cambria"/>
          <w:sz w:val="20"/>
          <w:szCs w:val="20"/>
          <w:lang w:val="es-CO"/>
        </w:rPr>
        <w:t xml:space="preserve"> con debida diligencia</w:t>
      </w:r>
      <w:r w:rsidR="007948F5" w:rsidRPr="008D65EE">
        <w:rPr>
          <w:rFonts w:ascii="Cambria" w:hAnsi="Cambria"/>
          <w:sz w:val="20"/>
          <w:szCs w:val="20"/>
          <w:lang w:val="es-CO"/>
        </w:rPr>
        <w:t xml:space="preserve"> y en un plazo razonable lo cual ocasionó que se dictara el sobreseimiento para todos los presuntos </w:t>
      </w:r>
      <w:r w:rsidR="00CD7891" w:rsidRPr="008D65EE">
        <w:rPr>
          <w:rFonts w:ascii="Cambria" w:hAnsi="Cambria"/>
          <w:sz w:val="20"/>
          <w:szCs w:val="20"/>
          <w:lang w:val="es-CO"/>
        </w:rPr>
        <w:t>responsables</w:t>
      </w:r>
      <w:r w:rsidR="007948F5" w:rsidRPr="008D65EE">
        <w:rPr>
          <w:rFonts w:ascii="Cambria" w:hAnsi="Cambria"/>
          <w:sz w:val="20"/>
          <w:szCs w:val="20"/>
          <w:lang w:val="es-CO"/>
        </w:rPr>
        <w:t xml:space="preserve"> por prescripción</w:t>
      </w:r>
      <w:r w:rsidRPr="008D65EE">
        <w:rPr>
          <w:rFonts w:ascii="Cambria" w:hAnsi="Cambria"/>
          <w:sz w:val="20"/>
          <w:szCs w:val="20"/>
          <w:lang w:val="es-CO"/>
        </w:rPr>
        <w:t>. En ese tipo de circunstancias, la Corte ha indicado que la falta de investigación “constituye una fuente de sufrimiento y angustia adicional para las víctimas y sus familiares, quienes tienen el derecho de conocer la verdad de lo ocurrido. Dicho derecho a la verdad exige la determinación procesal de la más completa verdad histórica posible, lo cual incluye la determinación judicial de los patrones de actuación conjunta y de todas las personas que de diversas formas participaron en dichas violaciones y sus correspondientes responsabilidades”</w:t>
      </w:r>
      <w:r w:rsidRPr="008D65EE">
        <w:rPr>
          <w:rFonts w:ascii="Cambria" w:hAnsi="Cambria"/>
          <w:sz w:val="20"/>
          <w:szCs w:val="20"/>
          <w:vertAlign w:val="superscript"/>
          <w:lang w:val="es-CO"/>
        </w:rPr>
        <w:footnoteReference w:id="137"/>
      </w:r>
      <w:r w:rsidRPr="008D65EE">
        <w:rPr>
          <w:rFonts w:ascii="Cambria" w:hAnsi="Cambria"/>
          <w:sz w:val="20"/>
          <w:szCs w:val="20"/>
          <w:lang w:val="es-CO"/>
        </w:rPr>
        <w:t xml:space="preserve">. De esta forma, la Comisión tiene en cuenta que el dolor y sufrimiento de los </w:t>
      </w:r>
      <w:r w:rsidR="0043666C" w:rsidRPr="008D65EE">
        <w:rPr>
          <w:rFonts w:ascii="Cambria" w:hAnsi="Cambria"/>
          <w:sz w:val="20"/>
          <w:szCs w:val="20"/>
          <w:lang w:val="es-CO"/>
        </w:rPr>
        <w:t>padres de Sarah</w:t>
      </w:r>
      <w:r w:rsidRPr="008D65EE">
        <w:rPr>
          <w:rFonts w:ascii="Cambria" w:hAnsi="Cambria"/>
          <w:sz w:val="20"/>
          <w:szCs w:val="20"/>
          <w:lang w:val="es-CO"/>
        </w:rPr>
        <w:t xml:space="preserve"> se ha visto incrementado por la falta de respuesta</w:t>
      </w:r>
      <w:r w:rsidR="007948F5" w:rsidRPr="008D65EE">
        <w:rPr>
          <w:rFonts w:ascii="Cambria" w:hAnsi="Cambria"/>
          <w:sz w:val="20"/>
          <w:szCs w:val="20"/>
          <w:lang w:val="es-CO"/>
        </w:rPr>
        <w:t xml:space="preserve"> de los órganos judiciales</w:t>
      </w:r>
      <w:r w:rsidRPr="008D65EE">
        <w:rPr>
          <w:rFonts w:ascii="Cambria" w:hAnsi="Cambria"/>
          <w:sz w:val="20"/>
          <w:szCs w:val="20"/>
          <w:lang w:val="es-CO"/>
        </w:rPr>
        <w:t xml:space="preserve">. </w:t>
      </w:r>
    </w:p>
    <w:p w14:paraId="35AE2182" w14:textId="77777777" w:rsidR="00F46077" w:rsidRPr="008D65EE" w:rsidRDefault="00F46077" w:rsidP="00EA655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firstLine="567"/>
        <w:jc w:val="both"/>
        <w:rPr>
          <w:rFonts w:ascii="Cambria" w:hAnsi="Cambria"/>
          <w:b/>
          <w:sz w:val="20"/>
          <w:szCs w:val="20"/>
          <w:lang w:val="es-CO"/>
        </w:rPr>
      </w:pPr>
    </w:p>
    <w:p w14:paraId="37AA363B" w14:textId="72829480" w:rsidR="00D1763D" w:rsidRPr="008D65EE" w:rsidRDefault="00F46077" w:rsidP="007A4DD3">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b/>
          <w:sz w:val="20"/>
          <w:szCs w:val="20"/>
          <w:lang w:val="es-CO"/>
        </w:rPr>
      </w:pPr>
      <w:r w:rsidRPr="008D65EE">
        <w:rPr>
          <w:rFonts w:ascii="Cambria" w:hAnsi="Cambria"/>
          <w:sz w:val="20"/>
          <w:szCs w:val="20"/>
          <w:lang w:val="es-CO"/>
        </w:rPr>
        <w:t>De acuerdo a lo anterior, la Comisión considera que la pérdida de su</w:t>
      </w:r>
      <w:r w:rsidR="007948F5" w:rsidRPr="008D65EE">
        <w:rPr>
          <w:rFonts w:ascii="Cambria" w:hAnsi="Cambria"/>
          <w:sz w:val="20"/>
          <w:szCs w:val="20"/>
          <w:lang w:val="es-CO"/>
        </w:rPr>
        <w:t xml:space="preserve"> hija</w:t>
      </w:r>
      <w:r w:rsidRPr="008D65EE">
        <w:rPr>
          <w:rFonts w:ascii="Cambria" w:hAnsi="Cambria"/>
          <w:sz w:val="20"/>
          <w:szCs w:val="20"/>
          <w:lang w:val="es-CO"/>
        </w:rPr>
        <w:t xml:space="preserve"> en circunstancias como las descritas en el presente informe, así como la ausencia de verdad y justicia, ocasionaron sufrimiento y angustia en perjuicio de </w:t>
      </w:r>
      <w:r w:rsidR="007948F5" w:rsidRPr="008D65EE">
        <w:rPr>
          <w:rFonts w:ascii="Cambria" w:hAnsi="Cambria"/>
          <w:sz w:val="20"/>
          <w:szCs w:val="20"/>
          <w:lang w:val="es-CO"/>
        </w:rPr>
        <w:t>Terry y Lyn Langton</w:t>
      </w:r>
      <w:r w:rsidRPr="008D65EE">
        <w:rPr>
          <w:rFonts w:ascii="Cambria" w:hAnsi="Cambria"/>
          <w:sz w:val="20"/>
          <w:szCs w:val="20"/>
          <w:lang w:val="es-CO"/>
        </w:rPr>
        <w:t xml:space="preserve">, en violación de su derecho a la integridad psíquica y moral establecido en el artículo 5.1 de la Convención Americana en relación con las obligaciones contenidas en el artículo 1.1 del mismo instrumento. </w:t>
      </w:r>
    </w:p>
    <w:p w14:paraId="446E3A18" w14:textId="77777777" w:rsidR="002A6B05" w:rsidRPr="008D65EE" w:rsidRDefault="002A6B05" w:rsidP="00190D0E">
      <w:pPr>
        <w:pStyle w:val="ListParagraph"/>
        <w:ind w:left="567"/>
        <w:jc w:val="both"/>
        <w:rPr>
          <w:sz w:val="20"/>
          <w:szCs w:val="20"/>
          <w:lang w:val="es-CO"/>
        </w:rPr>
      </w:pPr>
      <w:bookmarkStart w:id="39" w:name="_Hlk216444894"/>
    </w:p>
    <w:p w14:paraId="3BA1DA34" w14:textId="442E8363" w:rsidR="00570ECB" w:rsidRPr="009E5D45" w:rsidRDefault="00DB33E5" w:rsidP="00190D0E">
      <w:pPr>
        <w:pStyle w:val="Heading1"/>
        <w:spacing w:before="0"/>
        <w:rPr>
          <w:rFonts w:ascii="Cambria" w:hAnsi="Cambria"/>
          <w:color w:val="000000" w:themeColor="text1"/>
          <w:sz w:val="20"/>
          <w:szCs w:val="20"/>
          <w:lang w:val="es-CO"/>
        </w:rPr>
      </w:pPr>
      <w:bookmarkStart w:id="40" w:name="_Toc217309326"/>
      <w:r w:rsidRPr="009E5D45">
        <w:rPr>
          <w:rFonts w:ascii="Cambria" w:hAnsi="Cambria"/>
          <w:color w:val="000000" w:themeColor="text1"/>
          <w:sz w:val="20"/>
          <w:szCs w:val="20"/>
          <w:lang w:val="es-CO"/>
        </w:rPr>
        <w:t xml:space="preserve">INFORME </w:t>
      </w:r>
      <w:r w:rsidR="0051074D" w:rsidRPr="009E5D45">
        <w:rPr>
          <w:rFonts w:ascii="Cambria" w:hAnsi="Cambria"/>
          <w:color w:val="000000" w:themeColor="text1"/>
          <w:sz w:val="20"/>
          <w:szCs w:val="20"/>
          <w:lang w:val="es-CO"/>
        </w:rPr>
        <w:t>389/21</w:t>
      </w:r>
      <w:r w:rsidR="00A856B5" w:rsidRPr="009E5D45">
        <w:rPr>
          <w:rFonts w:ascii="Cambria" w:hAnsi="Cambria"/>
          <w:color w:val="000000" w:themeColor="text1"/>
          <w:sz w:val="20"/>
          <w:szCs w:val="20"/>
          <w:lang w:val="es-CO"/>
        </w:rPr>
        <w:t xml:space="preserve"> E INFORMACIÓN SOBRE EL CUMPLIMIENTO</w:t>
      </w:r>
      <w:bookmarkEnd w:id="40"/>
    </w:p>
    <w:p w14:paraId="03E0DEA7" w14:textId="77777777" w:rsidR="00576846" w:rsidRPr="009E5D45" w:rsidRDefault="00576846" w:rsidP="00190D0E">
      <w:pPr>
        <w:rPr>
          <w:lang w:val="es-CO"/>
        </w:rPr>
      </w:pPr>
    </w:p>
    <w:p w14:paraId="1D6F8FFB" w14:textId="3EAB420F" w:rsidR="006C6719" w:rsidRPr="009E5D45" w:rsidRDefault="00576846" w:rsidP="00E353F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sz w:val="20"/>
          <w:szCs w:val="20"/>
          <w:lang w:val="es-CO"/>
        </w:rPr>
      </w:pPr>
      <w:r w:rsidRPr="009E5D45">
        <w:rPr>
          <w:rFonts w:ascii="Cambria" w:hAnsi="Cambria"/>
          <w:sz w:val="20"/>
          <w:szCs w:val="20"/>
          <w:lang w:val="es-CO"/>
        </w:rPr>
        <w:t xml:space="preserve">La Comisión </w:t>
      </w:r>
      <w:r w:rsidR="00A84574" w:rsidRPr="009E5D45">
        <w:rPr>
          <w:rFonts w:ascii="Cambria" w:hAnsi="Cambria"/>
          <w:sz w:val="20"/>
          <w:szCs w:val="20"/>
          <w:lang w:val="es-CO"/>
        </w:rPr>
        <w:t xml:space="preserve">adoptó </w:t>
      </w:r>
      <w:r w:rsidRPr="009E5D45">
        <w:rPr>
          <w:rFonts w:ascii="Cambria" w:hAnsi="Cambria"/>
          <w:sz w:val="20"/>
          <w:szCs w:val="20"/>
          <w:lang w:val="es-CO"/>
        </w:rPr>
        <w:t xml:space="preserve">el </w:t>
      </w:r>
      <w:r w:rsidR="00051B94" w:rsidRPr="009E5D45">
        <w:rPr>
          <w:rFonts w:ascii="Cambria" w:hAnsi="Cambria"/>
          <w:sz w:val="20"/>
          <w:szCs w:val="20"/>
          <w:lang w:val="es-CO"/>
        </w:rPr>
        <w:t>I</w:t>
      </w:r>
      <w:r w:rsidRPr="009E5D45">
        <w:rPr>
          <w:rFonts w:ascii="Cambria" w:hAnsi="Cambria"/>
          <w:sz w:val="20"/>
          <w:szCs w:val="20"/>
          <w:lang w:val="es-CO"/>
        </w:rPr>
        <w:t xml:space="preserve">nforme de </w:t>
      </w:r>
      <w:r w:rsidR="00051B94" w:rsidRPr="009E5D45">
        <w:rPr>
          <w:rFonts w:ascii="Cambria" w:hAnsi="Cambria"/>
          <w:sz w:val="20"/>
          <w:szCs w:val="20"/>
          <w:lang w:val="es-CO"/>
        </w:rPr>
        <w:t>F</w:t>
      </w:r>
      <w:r w:rsidRPr="009E5D45">
        <w:rPr>
          <w:rFonts w:ascii="Cambria" w:hAnsi="Cambria"/>
          <w:sz w:val="20"/>
          <w:szCs w:val="20"/>
          <w:lang w:val="es-CO"/>
        </w:rPr>
        <w:t xml:space="preserve">ondo No. </w:t>
      </w:r>
      <w:r w:rsidR="006C6719" w:rsidRPr="009E5D45">
        <w:rPr>
          <w:rFonts w:ascii="Cambria" w:hAnsi="Cambria"/>
          <w:sz w:val="20"/>
          <w:szCs w:val="20"/>
          <w:lang w:val="es-CO"/>
        </w:rPr>
        <w:t xml:space="preserve">389/21 el </w:t>
      </w:r>
      <w:r w:rsidR="00A84574" w:rsidRPr="009E5D45">
        <w:rPr>
          <w:rFonts w:ascii="Cambria" w:hAnsi="Cambria"/>
          <w:sz w:val="20"/>
          <w:szCs w:val="20"/>
          <w:lang w:val="es-CO"/>
        </w:rPr>
        <w:t xml:space="preserve">10 de diciembre de 2021 </w:t>
      </w:r>
      <w:r w:rsidR="006C6719" w:rsidRPr="009E5D45">
        <w:rPr>
          <w:rFonts w:ascii="Cambria" w:hAnsi="Cambria"/>
          <w:sz w:val="20"/>
          <w:szCs w:val="20"/>
          <w:lang w:val="es-CO"/>
        </w:rPr>
        <w:t xml:space="preserve">y lo transmitió al Estado el </w:t>
      </w:r>
      <w:r w:rsidR="00A84574" w:rsidRPr="009E5D45">
        <w:rPr>
          <w:rFonts w:ascii="Cambria" w:hAnsi="Cambria"/>
          <w:sz w:val="20"/>
          <w:szCs w:val="20"/>
          <w:lang w:val="es-CO"/>
        </w:rPr>
        <w:t>9 de marzo de 2022</w:t>
      </w:r>
      <w:r w:rsidR="006C6719" w:rsidRPr="009E5D45">
        <w:rPr>
          <w:rFonts w:ascii="Cambria" w:hAnsi="Cambria"/>
          <w:sz w:val="20"/>
          <w:szCs w:val="20"/>
          <w:lang w:val="es-CO"/>
        </w:rPr>
        <w:t xml:space="preserve">. </w:t>
      </w:r>
      <w:r w:rsidR="00A01036" w:rsidRPr="009E5D45">
        <w:rPr>
          <w:rFonts w:ascii="Cambria" w:hAnsi="Cambria"/>
          <w:sz w:val="20"/>
          <w:szCs w:val="20"/>
          <w:lang w:val="es-CO"/>
        </w:rPr>
        <w:t xml:space="preserve">En esa misma fecha, la Comisión notificó a la parte peticionaria la aprobación del informe y le solicitó que informara su posición </w:t>
      </w:r>
      <w:r w:rsidR="00DA68B7" w:rsidRPr="009E5D45">
        <w:rPr>
          <w:rFonts w:ascii="Cambria" w:hAnsi="Cambria"/>
          <w:sz w:val="20"/>
          <w:szCs w:val="20"/>
          <w:lang w:val="es-CO"/>
        </w:rPr>
        <w:t>respecto del sometimiento del caso a la Corte Interamericana de Derechos Humanos</w:t>
      </w:r>
      <w:r w:rsidR="00A01036" w:rsidRPr="009E5D45">
        <w:rPr>
          <w:rFonts w:ascii="Cambria" w:hAnsi="Cambria"/>
          <w:sz w:val="20"/>
          <w:szCs w:val="20"/>
          <w:lang w:val="es-CO"/>
        </w:rPr>
        <w:t>.</w:t>
      </w:r>
      <w:r w:rsidR="00051B94" w:rsidRPr="009E5D45">
        <w:rPr>
          <w:rFonts w:ascii="Cambria" w:hAnsi="Cambria"/>
          <w:sz w:val="20"/>
          <w:szCs w:val="20"/>
          <w:lang w:val="es-CO"/>
        </w:rPr>
        <w:t xml:space="preserve"> </w:t>
      </w:r>
      <w:r w:rsidR="006C6719" w:rsidRPr="009E5D45">
        <w:rPr>
          <w:rFonts w:ascii="Cambria" w:hAnsi="Cambria"/>
          <w:sz w:val="20"/>
          <w:szCs w:val="20"/>
          <w:lang w:val="es-CO"/>
        </w:rPr>
        <w:t>En dicho informe la Comisión recomendó:</w:t>
      </w:r>
    </w:p>
    <w:p w14:paraId="269822A9" w14:textId="77777777" w:rsidR="0070679B" w:rsidRPr="009E5D45" w:rsidRDefault="0070679B" w:rsidP="0070679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567"/>
        <w:jc w:val="both"/>
        <w:rPr>
          <w:rFonts w:ascii="Cambria" w:hAnsi="Cambria"/>
          <w:sz w:val="20"/>
          <w:szCs w:val="20"/>
          <w:lang w:val="es-CO"/>
        </w:rPr>
      </w:pPr>
    </w:p>
    <w:p w14:paraId="6CA207D5" w14:textId="77777777" w:rsidR="0070679B" w:rsidRPr="009E5D45" w:rsidRDefault="0070679B" w:rsidP="0070679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9E5D45">
        <w:rPr>
          <w:rFonts w:eastAsia="Times New Roman" w:cs="Tahoma"/>
          <w:sz w:val="20"/>
          <w:szCs w:val="20"/>
          <w:bdr w:val="none" w:sz="0" w:space="0" w:color="auto"/>
          <w:lang w:val="es-CO"/>
        </w:rPr>
        <w:t xml:space="preserve">Reparar integralmente las violaciones de derechos humanos declaradas en el presente informe tanto en el aspecto material como inmaterial. El Estado deberá adoptar las medidas de compensación económica y satisfacción. </w:t>
      </w:r>
    </w:p>
    <w:p w14:paraId="1F135CCF" w14:textId="77777777" w:rsidR="0070679B" w:rsidRPr="009E5D45" w:rsidRDefault="0070679B" w:rsidP="0070679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25"/>
        <w:jc w:val="both"/>
        <w:rPr>
          <w:rFonts w:eastAsia="Times New Roman" w:cs="Tahoma"/>
          <w:sz w:val="20"/>
          <w:szCs w:val="20"/>
          <w:bdr w:val="none" w:sz="0" w:space="0" w:color="auto"/>
          <w:lang w:val="es-CO"/>
        </w:rPr>
      </w:pPr>
    </w:p>
    <w:p w14:paraId="44DC305D" w14:textId="77777777" w:rsidR="0070679B" w:rsidRPr="009E5D45" w:rsidRDefault="0070679B" w:rsidP="0070679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9E5D45">
        <w:rPr>
          <w:rFonts w:eastAsia="Times New Roman" w:cs="Tahoma"/>
          <w:color w:val="000000" w:themeColor="text1"/>
          <w:sz w:val="20"/>
          <w:szCs w:val="20"/>
          <w:bdr w:val="none" w:sz="0" w:space="0" w:color="auto"/>
          <w:lang w:val="es-CO"/>
        </w:rPr>
        <w:t>Disponer</w:t>
      </w:r>
      <w:r w:rsidRPr="009E5D45">
        <w:rPr>
          <w:sz w:val="20"/>
          <w:szCs w:val="20"/>
          <w:bdr w:val="none" w:sz="0" w:space="0" w:color="auto"/>
          <w:lang w:val="es-CO"/>
        </w:rPr>
        <w:t xml:space="preserve"> las medidas de atención en salud física y mental necesarias para la rehabilitación de los familiares de Sarah Lyn Langton, de ser su voluntad y de manera concertada.</w:t>
      </w:r>
    </w:p>
    <w:p w14:paraId="4E383E58" w14:textId="77777777" w:rsidR="0070679B" w:rsidRPr="009E5D45" w:rsidRDefault="0070679B" w:rsidP="0070679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25"/>
        <w:jc w:val="both"/>
        <w:rPr>
          <w:rFonts w:eastAsia="Times New Roman" w:cs="Tahoma"/>
          <w:sz w:val="20"/>
          <w:szCs w:val="20"/>
          <w:bdr w:val="none" w:sz="0" w:space="0" w:color="auto"/>
          <w:lang w:val="es-CO"/>
        </w:rPr>
      </w:pPr>
      <w:r w:rsidRPr="009E5D45">
        <w:rPr>
          <w:rFonts w:eastAsia="Times New Roman" w:cs="Tahoma"/>
          <w:sz w:val="20"/>
          <w:szCs w:val="20"/>
          <w:bdr w:val="none" w:sz="0" w:space="0" w:color="auto"/>
          <w:lang w:val="es-CO"/>
        </w:rPr>
        <w:t xml:space="preserve"> </w:t>
      </w:r>
    </w:p>
    <w:p w14:paraId="5EBC98A6" w14:textId="77777777" w:rsidR="0070679B" w:rsidRPr="009E5D45" w:rsidRDefault="0070679B" w:rsidP="0070679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9E5D45">
        <w:rPr>
          <w:rFonts w:eastAsia="Times New Roman" w:cs="Tahoma"/>
          <w:sz w:val="20"/>
          <w:szCs w:val="20"/>
          <w:bdr w:val="none" w:sz="0" w:space="0" w:color="auto"/>
          <w:lang w:val="es-CO"/>
        </w:rPr>
        <w:t xml:space="preserve">Adoptar las medidas necesarias para investigar efectivamente los hechos del presente caso y sancionar, en un plazo razonable, a los operadores de justicia cuya conducta haya resultado </w:t>
      </w:r>
      <w:r w:rsidRPr="009E5D45">
        <w:rPr>
          <w:rFonts w:eastAsia="Times New Roman" w:cs="Tahoma"/>
          <w:sz w:val="20"/>
          <w:szCs w:val="20"/>
          <w:bdr w:val="none" w:sz="0" w:space="0" w:color="auto"/>
          <w:lang w:val="es-CO"/>
        </w:rPr>
        <w:lastRenderedPageBreak/>
        <w:t>en la demora excesiva en la tramitación del proceso penal y la consecuente falta de acceso a la justicia para las víctimas;</w:t>
      </w:r>
    </w:p>
    <w:p w14:paraId="0438FA9D" w14:textId="77777777" w:rsidR="0070679B" w:rsidRPr="009E5D45" w:rsidRDefault="0070679B" w:rsidP="0070679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25"/>
        <w:jc w:val="both"/>
        <w:rPr>
          <w:rFonts w:eastAsia="Times New Roman" w:cs="Tahoma"/>
          <w:sz w:val="20"/>
          <w:szCs w:val="20"/>
          <w:bdr w:val="none" w:sz="0" w:space="0" w:color="auto"/>
          <w:lang w:val="es-CO"/>
        </w:rPr>
      </w:pPr>
    </w:p>
    <w:p w14:paraId="18F31881" w14:textId="77777777" w:rsidR="0070679B" w:rsidRPr="009E5D45" w:rsidRDefault="0070679B" w:rsidP="0070679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9E5D45">
        <w:rPr>
          <w:rFonts w:eastAsia="Times New Roman" w:cs="Tahoma"/>
          <w:sz w:val="20"/>
          <w:szCs w:val="20"/>
          <w:bdr w:val="none" w:sz="0" w:space="0" w:color="auto"/>
          <w:lang w:val="es-CO"/>
        </w:rPr>
        <w:t>Disponer mecanismos de no repetición que incluyan todas las medidas necesarias para asegurar la disponibilidad, accesibilidad, calidad y aceptabilidad del acceso a servicios de salud permanentes a las personas privadas de libertad en el INOF, desde una perspectiva de género, en especial las siguientes:</w:t>
      </w:r>
    </w:p>
    <w:p w14:paraId="40FFBA92" w14:textId="77777777" w:rsidR="0070679B" w:rsidRPr="009E5D45" w:rsidRDefault="0070679B" w:rsidP="0070679B">
      <w:pPr>
        <w:pStyle w:val="ListParagraph"/>
        <w:rPr>
          <w:rFonts w:eastAsia="Times New Roman" w:cs="Tahoma"/>
          <w:sz w:val="20"/>
          <w:szCs w:val="20"/>
          <w:bdr w:val="none" w:sz="0" w:space="0" w:color="auto"/>
          <w:lang w:val="es-CO"/>
        </w:rPr>
      </w:pPr>
    </w:p>
    <w:p w14:paraId="2DA5453D" w14:textId="77777777" w:rsidR="0070679B" w:rsidRPr="009E5D45" w:rsidRDefault="0070679B" w:rsidP="0070679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9E5D45">
        <w:rPr>
          <w:rFonts w:eastAsia="Times New Roman" w:cs="Tahoma"/>
          <w:sz w:val="20"/>
          <w:szCs w:val="20"/>
          <w:bdr w:val="none" w:sz="0" w:space="0" w:color="auto"/>
          <w:lang w:val="es-CO"/>
        </w:rPr>
        <w:t>Supervisar la prestación de servicios médicos en salud mental y para enfermedades crónicas en el INOF;</w:t>
      </w:r>
    </w:p>
    <w:p w14:paraId="385DF29A" w14:textId="77777777" w:rsidR="0070679B" w:rsidRPr="009E5D45" w:rsidRDefault="0070679B" w:rsidP="0070679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9E5D45">
        <w:rPr>
          <w:rFonts w:eastAsia="Times New Roman" w:cs="Tahoma"/>
          <w:sz w:val="20"/>
          <w:szCs w:val="20"/>
          <w:bdr w:val="none" w:sz="0" w:space="0" w:color="auto"/>
          <w:lang w:val="es-CO"/>
        </w:rPr>
        <w:t>Elaborar protocolos de emergencia para la atención de urgencias médicas en el INOF.</w:t>
      </w:r>
    </w:p>
    <w:p w14:paraId="0730D5B1" w14:textId="77777777" w:rsidR="0070679B" w:rsidRPr="009E5D45" w:rsidRDefault="0070679B" w:rsidP="0070679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9E5D45">
        <w:rPr>
          <w:rFonts w:eastAsia="Times New Roman" w:cs="Tahoma"/>
          <w:sz w:val="20"/>
          <w:szCs w:val="20"/>
          <w:bdr w:val="none" w:sz="0" w:space="0" w:color="auto"/>
          <w:lang w:val="es-CO"/>
        </w:rPr>
        <w:t xml:space="preserve">Asegurar la disponibilidad de personal médico en el servicio médico del INOF incluyendo personal de guardia y garantizar el traslado inmediato a centros externos cuando la situación lo amerite. </w:t>
      </w:r>
    </w:p>
    <w:p w14:paraId="1F7D104D" w14:textId="77777777" w:rsidR="006C6719" w:rsidRPr="009E5D45" w:rsidRDefault="006C6719" w:rsidP="0070679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567"/>
        <w:jc w:val="both"/>
        <w:rPr>
          <w:rFonts w:ascii="Cambria" w:hAnsi="Cambria"/>
          <w:sz w:val="20"/>
          <w:szCs w:val="20"/>
          <w:lang w:val="es-CO"/>
        </w:rPr>
      </w:pPr>
    </w:p>
    <w:p w14:paraId="59C6DC1B" w14:textId="0D26F202" w:rsidR="000C3668" w:rsidRPr="009E5D45" w:rsidRDefault="00DA68B7" w:rsidP="00E353F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ind w:left="0" w:firstLine="567"/>
        <w:jc w:val="both"/>
        <w:rPr>
          <w:rFonts w:ascii="Cambria" w:hAnsi="Cambria"/>
          <w:sz w:val="20"/>
          <w:szCs w:val="20"/>
          <w:lang w:val="es-CO"/>
        </w:rPr>
      </w:pPr>
      <w:r w:rsidRPr="009E5D45">
        <w:rPr>
          <w:rFonts w:ascii="Cambria" w:hAnsi="Cambria"/>
          <w:sz w:val="20"/>
          <w:szCs w:val="20"/>
          <w:lang w:val="es-CO"/>
        </w:rPr>
        <w:t xml:space="preserve">El </w:t>
      </w:r>
      <w:r w:rsidR="009D606E" w:rsidRPr="009E5D45">
        <w:rPr>
          <w:rFonts w:ascii="Cambria" w:hAnsi="Cambria"/>
          <w:sz w:val="20"/>
          <w:szCs w:val="20"/>
          <w:lang w:val="es-CO"/>
        </w:rPr>
        <w:t>22</w:t>
      </w:r>
      <w:r w:rsidR="0044435F" w:rsidRPr="009E5D45">
        <w:rPr>
          <w:rFonts w:ascii="Cambria" w:hAnsi="Cambria"/>
          <w:sz w:val="20"/>
          <w:szCs w:val="20"/>
          <w:lang w:val="es-CO"/>
        </w:rPr>
        <w:t xml:space="preserve"> de abril de 2022, la parte peticionaria informó a la Comisión que </w:t>
      </w:r>
      <w:r w:rsidR="00395D38" w:rsidRPr="009E5D45">
        <w:rPr>
          <w:rFonts w:ascii="Cambria" w:hAnsi="Cambria"/>
          <w:sz w:val="20"/>
          <w:szCs w:val="20"/>
          <w:lang w:val="es-CO"/>
        </w:rPr>
        <w:t>las víctimas no deseaban que su caso fuese sometido a la Corte Interamericana de Derechos Humanos y que expresaron su deseo de que la CI</w:t>
      </w:r>
      <w:r w:rsidR="000C3668" w:rsidRPr="009E5D45">
        <w:rPr>
          <w:rFonts w:ascii="Cambria" w:hAnsi="Cambria"/>
          <w:sz w:val="20"/>
          <w:szCs w:val="20"/>
          <w:lang w:val="es-CO"/>
        </w:rPr>
        <w:t>DH haga el seguimiento al cumplimiento de las recomendaciones. El 9 de junio de 2022, la Comisión notificó a las pa</w:t>
      </w:r>
      <w:r w:rsidR="00D4137C" w:rsidRPr="009E5D45">
        <w:rPr>
          <w:rFonts w:ascii="Cambria" w:hAnsi="Cambria"/>
          <w:sz w:val="20"/>
          <w:szCs w:val="20"/>
          <w:lang w:val="es-CO"/>
        </w:rPr>
        <w:t xml:space="preserve">rtes su decisión de no enviar el caso a </w:t>
      </w:r>
      <w:r w:rsidR="0088402F" w:rsidRPr="009E5D45">
        <w:rPr>
          <w:rFonts w:ascii="Cambria" w:hAnsi="Cambria"/>
          <w:sz w:val="20"/>
          <w:szCs w:val="20"/>
          <w:lang w:val="es-CO"/>
        </w:rPr>
        <w:t xml:space="preserve">la </w:t>
      </w:r>
      <w:r w:rsidR="00D4137C" w:rsidRPr="009E5D45">
        <w:rPr>
          <w:rFonts w:ascii="Cambria" w:hAnsi="Cambria"/>
          <w:sz w:val="20"/>
          <w:szCs w:val="20"/>
          <w:lang w:val="es-CO"/>
        </w:rPr>
        <w:t>Corte, en consideración a la voluntad manifestada por la parte peticionaria</w:t>
      </w:r>
      <w:r w:rsidR="00F37DBC" w:rsidRPr="009E5D45">
        <w:rPr>
          <w:rFonts w:ascii="Cambria" w:hAnsi="Cambria"/>
          <w:sz w:val="20"/>
          <w:szCs w:val="20"/>
          <w:lang w:val="es-CO"/>
        </w:rPr>
        <w:t xml:space="preserve">. </w:t>
      </w:r>
      <w:r w:rsidR="00C01BF1" w:rsidRPr="009E5D45">
        <w:rPr>
          <w:rFonts w:ascii="Cambria" w:hAnsi="Cambria"/>
          <w:sz w:val="20"/>
          <w:szCs w:val="20"/>
          <w:lang w:val="es-CO"/>
        </w:rPr>
        <w:t>Hasta la fecha la Comisión no ha recibido respuesta del Estado de Venezuela con respecto al cumplimiento del Informe</w:t>
      </w:r>
      <w:r w:rsidR="001D3BD0" w:rsidRPr="009E5D45">
        <w:rPr>
          <w:rFonts w:ascii="Cambria" w:hAnsi="Cambria"/>
          <w:sz w:val="20"/>
          <w:szCs w:val="20"/>
          <w:lang w:val="es-CO"/>
        </w:rPr>
        <w:t xml:space="preserve"> No. 389/21</w:t>
      </w:r>
      <w:r w:rsidR="00C01BF1" w:rsidRPr="009E5D45">
        <w:rPr>
          <w:rFonts w:ascii="Cambria" w:hAnsi="Cambria"/>
          <w:sz w:val="20"/>
          <w:szCs w:val="20"/>
          <w:lang w:val="es-CO"/>
        </w:rPr>
        <w:t>.</w:t>
      </w:r>
      <w:r w:rsidR="001D3BD0" w:rsidRPr="009E5D45">
        <w:rPr>
          <w:rFonts w:ascii="Cambria" w:hAnsi="Cambria"/>
          <w:sz w:val="20"/>
          <w:szCs w:val="20"/>
          <w:lang w:val="es-CO"/>
        </w:rPr>
        <w:t xml:space="preserve"> En este sentido, la Comisión entiende que el Estado no ha dado cumplimiento a ninguna de las recomendaciones. </w:t>
      </w:r>
      <w:r w:rsidR="00C01BF1" w:rsidRPr="009E5D45">
        <w:rPr>
          <w:rFonts w:ascii="Cambria" w:hAnsi="Cambria"/>
          <w:sz w:val="20"/>
          <w:szCs w:val="20"/>
          <w:lang w:val="es-CO"/>
        </w:rPr>
        <w:t xml:space="preserve"> </w:t>
      </w:r>
    </w:p>
    <w:p w14:paraId="058ED6D5" w14:textId="77777777" w:rsidR="002776C6" w:rsidRPr="008D65EE" w:rsidRDefault="002776C6" w:rsidP="002776C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9360"/>
        </w:tabs>
        <w:jc w:val="both"/>
        <w:rPr>
          <w:rFonts w:ascii="Cambria" w:hAnsi="Cambria"/>
          <w:sz w:val="20"/>
          <w:szCs w:val="20"/>
          <w:lang w:val="es-CO"/>
        </w:rPr>
      </w:pPr>
    </w:p>
    <w:p w14:paraId="2B24D5C1" w14:textId="2F2BEB72" w:rsidR="00BA375F" w:rsidRPr="005C6B71" w:rsidRDefault="00BA375F" w:rsidP="00BA375F">
      <w:pPr>
        <w:pStyle w:val="Heading1"/>
        <w:spacing w:before="0"/>
        <w:ind w:left="993"/>
        <w:jc w:val="both"/>
        <w:rPr>
          <w:rFonts w:ascii="Cambria" w:hAnsi="Cambria"/>
          <w:color w:val="auto"/>
          <w:sz w:val="20"/>
          <w:szCs w:val="20"/>
          <w:lang w:val="es-CO"/>
        </w:rPr>
      </w:pPr>
      <w:bookmarkStart w:id="41" w:name="_Toc217309327"/>
      <w:bookmarkStart w:id="42" w:name="_Toc477355364"/>
      <w:bookmarkStart w:id="43" w:name="_Toc480897210"/>
      <w:bookmarkStart w:id="44" w:name="_Toc75710763"/>
      <w:r w:rsidRPr="005C6B71">
        <w:rPr>
          <w:rFonts w:ascii="Cambria" w:hAnsi="Cambria"/>
          <w:color w:val="auto"/>
          <w:sz w:val="20"/>
          <w:szCs w:val="20"/>
          <w:lang w:val="es-CO"/>
        </w:rPr>
        <w:t>ACTUACIONES POSTERIORES AL INFORME No. 42/25 E INFORMACIÓN SOBRE CUMPLIMIENTO</w:t>
      </w:r>
      <w:bookmarkEnd w:id="41"/>
    </w:p>
    <w:p w14:paraId="61A824D9" w14:textId="77777777" w:rsidR="00E511D6" w:rsidRPr="005C6B71" w:rsidRDefault="00E511D6" w:rsidP="00E511D6">
      <w:pPr>
        <w:pStyle w:val="BodyTextIndent"/>
        <w:ind w:left="720" w:firstLine="0"/>
        <w:jc w:val="both"/>
        <w:rPr>
          <w:rFonts w:ascii="Cambria" w:hAnsi="Cambria"/>
          <w:sz w:val="20"/>
          <w:szCs w:val="20"/>
          <w:lang w:val="es-CO"/>
        </w:rPr>
      </w:pPr>
    </w:p>
    <w:p w14:paraId="21D875C1" w14:textId="744FDF02" w:rsidR="0035127F" w:rsidRPr="005C6B71" w:rsidRDefault="00E511D6" w:rsidP="0035127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530"/>
        </w:tabs>
        <w:ind w:left="0" w:firstLine="630"/>
        <w:jc w:val="both"/>
        <w:rPr>
          <w:rFonts w:ascii="Cambria" w:hAnsi="Cambria" w:cs="Verdana"/>
          <w:sz w:val="20"/>
          <w:szCs w:val="20"/>
          <w:lang w:val="es-CO" w:bidi="en-US"/>
        </w:rPr>
      </w:pPr>
      <w:r w:rsidRPr="005C6B71">
        <w:rPr>
          <w:rFonts w:ascii="Cambria" w:hAnsi="Cambria"/>
          <w:sz w:val="20"/>
          <w:szCs w:val="20"/>
          <w:lang w:val="es-CO"/>
        </w:rPr>
        <w:t>El</w:t>
      </w:r>
      <w:r w:rsidRPr="005C6B71">
        <w:rPr>
          <w:rFonts w:ascii="Cambria" w:hAnsi="Cambria" w:cs="Verdana"/>
          <w:sz w:val="20"/>
          <w:szCs w:val="20"/>
          <w:lang w:val="es-CO" w:bidi="en-US"/>
        </w:rPr>
        <w:t xml:space="preserve"> 27 de marzo de 2025 </w:t>
      </w:r>
      <w:r w:rsidRPr="005C6B71">
        <w:rPr>
          <w:rFonts w:ascii="Cambria" w:hAnsi="Cambria"/>
          <w:sz w:val="20"/>
          <w:szCs w:val="20"/>
          <w:lang w:val="es-CO"/>
        </w:rPr>
        <w:t>la</w:t>
      </w:r>
      <w:r w:rsidRPr="005C6B71">
        <w:rPr>
          <w:rFonts w:ascii="Cambria" w:hAnsi="Cambria" w:cs="Verdana"/>
          <w:sz w:val="20"/>
          <w:szCs w:val="20"/>
          <w:lang w:val="es-CO" w:bidi="en-US"/>
        </w:rPr>
        <w:t xml:space="preserve"> Comisión adoptó el Informe </w:t>
      </w:r>
      <w:r w:rsidRPr="005C6B71">
        <w:rPr>
          <w:rFonts w:ascii="Cambria" w:hAnsi="Cambria"/>
          <w:color w:val="000000"/>
          <w:sz w:val="20"/>
          <w:szCs w:val="20"/>
          <w:lang w:val="es-CO"/>
        </w:rPr>
        <w:t>de Fondo</w:t>
      </w:r>
      <w:r w:rsidR="009E5D45" w:rsidRPr="005C6B71">
        <w:rPr>
          <w:rFonts w:ascii="Cambria" w:hAnsi="Cambria"/>
          <w:color w:val="000000"/>
          <w:sz w:val="20"/>
          <w:szCs w:val="20"/>
          <w:lang w:val="es-CO"/>
        </w:rPr>
        <w:t xml:space="preserve"> (Final)</w:t>
      </w:r>
      <w:r w:rsidRPr="005C6B71">
        <w:rPr>
          <w:rFonts w:ascii="Cambria" w:hAnsi="Cambria"/>
          <w:color w:val="000000"/>
          <w:sz w:val="20"/>
          <w:szCs w:val="20"/>
          <w:lang w:val="es-CO"/>
        </w:rPr>
        <w:t xml:space="preserve"> No. 42/25 que incluye los párrafos 1 a </w:t>
      </w:r>
      <w:r w:rsidR="009E5D45" w:rsidRPr="005C6B71">
        <w:rPr>
          <w:rFonts w:ascii="Cambria" w:hAnsi="Cambria"/>
          <w:color w:val="000000"/>
          <w:sz w:val="20"/>
          <w:szCs w:val="20"/>
          <w:lang w:val="es-CO"/>
        </w:rPr>
        <w:t>90</w:t>
      </w:r>
      <w:r w:rsidRPr="005C6B71">
        <w:rPr>
          <w:rFonts w:ascii="Cambria" w:hAnsi="Cambria"/>
          <w:color w:val="000000"/>
          <w:sz w:val="20"/>
          <w:szCs w:val="20"/>
          <w:lang w:val="es-CO"/>
        </w:rPr>
        <w:t xml:space="preserve"> </w:t>
      </w:r>
      <w:r w:rsidRPr="005C6B71">
        <w:rPr>
          <w:rFonts w:ascii="Cambria" w:hAnsi="Cambria"/>
          <w:i/>
          <w:iCs/>
          <w:color w:val="000000"/>
          <w:sz w:val="20"/>
          <w:szCs w:val="20"/>
          <w:lang w:val="es-CO"/>
        </w:rPr>
        <w:t>supra</w:t>
      </w:r>
      <w:r w:rsidRPr="005C6B71">
        <w:rPr>
          <w:rFonts w:ascii="Cambria" w:hAnsi="Cambria"/>
          <w:color w:val="000000"/>
          <w:sz w:val="20"/>
          <w:szCs w:val="20"/>
          <w:lang w:val="es-CO"/>
        </w:rPr>
        <w:t>, y emitió sus conclusiones y recomendaciones finales al Estado. El 25 de abril de mismo año</w:t>
      </w:r>
      <w:r w:rsidRPr="005C6B71">
        <w:rPr>
          <w:rFonts w:ascii="Cambria" w:hAnsi="Cambria" w:cs="Verdana"/>
          <w:sz w:val="20"/>
          <w:szCs w:val="20"/>
          <w:lang w:val="es-CO" w:bidi="en-US"/>
        </w:rPr>
        <w:t xml:space="preserve"> lo transmitió al Estado y a la parte peticionaria otorgándoles el plazo de un mes para informar a la CIDH sobre las medidas adoptadas para el cumplimiento de sus recomendaciones. El 24 de junio de 2025, la parte peticionaria informó que contactaron a los padres de Sarah Langton, quienes confirmaron que no han recibido ninguna comunicación ni avance de parte del Estado venezolano, así como que ellos como representantes tampoco habían recibido ninguna comunicación estatal. Adicionalmente, la parte peticionaria indicó que se han comunicado con miembros de la sociedad civil venezolana, que también confirman que el Estado no ha cumplido con las recomendaciones del informe de fondo de la CIDH. Por lo tanto, señalaron que consideran que las violaciones del caso Langton siguen teniendo lugar en la actualidad y se dan de manera sistemática en los centros de detención de Venezuela.</w:t>
      </w:r>
    </w:p>
    <w:p w14:paraId="5442263E" w14:textId="77777777" w:rsidR="0035127F" w:rsidRPr="005C6B71" w:rsidRDefault="0035127F" w:rsidP="0035127F">
      <w:pPr>
        <w:pBdr>
          <w:top w:val="none" w:sz="0" w:space="0" w:color="auto"/>
          <w:left w:val="none" w:sz="0" w:space="0" w:color="auto"/>
          <w:bottom w:val="none" w:sz="0" w:space="0" w:color="auto"/>
          <w:right w:val="none" w:sz="0" w:space="0" w:color="auto"/>
          <w:between w:val="none" w:sz="0" w:space="0" w:color="auto"/>
          <w:bar w:val="none" w:sz="0" w:color="auto"/>
        </w:pBdr>
        <w:tabs>
          <w:tab w:val="left" w:pos="1530"/>
        </w:tabs>
        <w:ind w:left="630"/>
        <w:jc w:val="both"/>
        <w:rPr>
          <w:rFonts w:ascii="Cambria" w:hAnsi="Cambria" w:cs="Verdana"/>
          <w:sz w:val="20"/>
          <w:szCs w:val="20"/>
          <w:lang w:val="es-CO" w:bidi="en-US"/>
        </w:rPr>
      </w:pPr>
    </w:p>
    <w:p w14:paraId="0A9A9178" w14:textId="1C8E4AD7" w:rsidR="00E511D6" w:rsidRPr="005C6B71" w:rsidRDefault="00E511D6" w:rsidP="0035127F">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1530"/>
        </w:tabs>
        <w:ind w:left="0" w:firstLine="630"/>
        <w:jc w:val="both"/>
        <w:rPr>
          <w:rFonts w:ascii="Cambria" w:hAnsi="Cambria" w:cs="Verdana"/>
          <w:sz w:val="20"/>
          <w:szCs w:val="20"/>
          <w:lang w:val="es-CO" w:bidi="en-US"/>
        </w:rPr>
      </w:pPr>
      <w:r w:rsidRPr="005C6B71">
        <w:rPr>
          <w:rFonts w:ascii="Cambria" w:hAnsi="Cambria" w:cs="Verdana"/>
          <w:sz w:val="20"/>
          <w:szCs w:val="20"/>
          <w:lang w:val="es-CO" w:bidi="en-US"/>
        </w:rPr>
        <w:t xml:space="preserve">Hasta la fecha la Comisión no ha recibido respuesta del Estado </w:t>
      </w:r>
      <w:r w:rsidR="00D43B73" w:rsidRPr="005C6B71">
        <w:rPr>
          <w:rFonts w:ascii="Cambria" w:hAnsi="Cambria" w:cs="Verdana"/>
          <w:sz w:val="20"/>
          <w:szCs w:val="20"/>
          <w:lang w:val="es-CO" w:bidi="en-US"/>
        </w:rPr>
        <w:t>venezolano</w:t>
      </w:r>
      <w:r w:rsidRPr="005C6B71">
        <w:rPr>
          <w:rFonts w:ascii="Cambria" w:hAnsi="Cambria" w:cs="Verdana"/>
          <w:sz w:val="20"/>
          <w:szCs w:val="20"/>
          <w:lang w:val="es-CO" w:bidi="en-US"/>
        </w:rPr>
        <w:t xml:space="preserve"> con respecto al Informe No. 42/25.</w:t>
      </w:r>
    </w:p>
    <w:p w14:paraId="50B046CB" w14:textId="77777777" w:rsidR="00E511D6" w:rsidRPr="005C6B71" w:rsidRDefault="00E511D6" w:rsidP="00BA375F">
      <w:pPr>
        <w:rPr>
          <w:lang w:val="es-CO"/>
        </w:rPr>
      </w:pPr>
    </w:p>
    <w:p w14:paraId="2DF9AAB5" w14:textId="32456447" w:rsidR="002776C6" w:rsidRPr="005C6B71" w:rsidRDefault="002776C6" w:rsidP="002776C6">
      <w:pPr>
        <w:pStyle w:val="Heading1"/>
        <w:spacing w:before="0"/>
        <w:ind w:left="993"/>
        <w:rPr>
          <w:rFonts w:ascii="Cambria" w:hAnsi="Cambria"/>
          <w:color w:val="auto"/>
          <w:sz w:val="20"/>
          <w:szCs w:val="20"/>
          <w:lang w:val="es-CO"/>
        </w:rPr>
      </w:pPr>
      <w:bookmarkStart w:id="45" w:name="_Toc217309328"/>
      <w:r w:rsidRPr="005C6B71">
        <w:rPr>
          <w:rFonts w:ascii="Cambria" w:hAnsi="Cambria"/>
          <w:color w:val="auto"/>
          <w:sz w:val="20"/>
          <w:szCs w:val="20"/>
          <w:lang w:val="es-CO"/>
        </w:rPr>
        <w:t>CONCLUSIONES</w:t>
      </w:r>
      <w:bookmarkEnd w:id="42"/>
      <w:bookmarkEnd w:id="43"/>
      <w:r w:rsidRPr="005C6B71">
        <w:rPr>
          <w:rFonts w:ascii="Cambria" w:hAnsi="Cambria"/>
          <w:color w:val="auto"/>
          <w:sz w:val="20"/>
          <w:szCs w:val="20"/>
          <w:lang w:val="es-CO"/>
        </w:rPr>
        <w:t xml:space="preserve"> Y RECOMENDACIONES</w:t>
      </w:r>
      <w:bookmarkEnd w:id="44"/>
      <w:r w:rsidRPr="005C6B71">
        <w:rPr>
          <w:rFonts w:ascii="Cambria" w:hAnsi="Cambria"/>
          <w:color w:val="auto"/>
          <w:sz w:val="20"/>
          <w:szCs w:val="20"/>
          <w:lang w:val="es-CO"/>
        </w:rPr>
        <w:t xml:space="preserve"> </w:t>
      </w:r>
      <w:r w:rsidR="0095450C" w:rsidRPr="005C6B71">
        <w:rPr>
          <w:rFonts w:ascii="Cambria" w:hAnsi="Cambria"/>
          <w:color w:val="auto"/>
          <w:sz w:val="20"/>
          <w:szCs w:val="20"/>
          <w:lang w:val="es-CO"/>
        </w:rPr>
        <w:t>FINALES</w:t>
      </w:r>
      <w:bookmarkEnd w:id="45"/>
    </w:p>
    <w:p w14:paraId="5E16A9C2" w14:textId="77777777" w:rsidR="002776C6" w:rsidRPr="005C6B71" w:rsidRDefault="002776C6" w:rsidP="002776C6">
      <w:pPr>
        <w:ind w:left="720"/>
        <w:jc w:val="both"/>
        <w:rPr>
          <w:rFonts w:ascii="Cambria" w:eastAsia="Times New Roman" w:hAnsi="Cambria"/>
          <w:sz w:val="20"/>
          <w:szCs w:val="20"/>
          <w:lang w:val="es-CO"/>
        </w:rPr>
      </w:pPr>
    </w:p>
    <w:p w14:paraId="70AACC67" w14:textId="272E41D3" w:rsidR="001D3BD0" w:rsidRPr="005C6B71" w:rsidRDefault="0035127F" w:rsidP="001D3BD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color w:val="000000" w:themeColor="text1"/>
          <w:sz w:val="20"/>
          <w:szCs w:val="20"/>
          <w:lang w:val="es-CO"/>
        </w:rPr>
      </w:pPr>
      <w:r w:rsidRPr="005C6B71">
        <w:rPr>
          <w:rFonts w:ascii="Cambria" w:hAnsi="Cambria"/>
          <w:color w:val="000000"/>
          <w:sz w:val="20"/>
          <w:szCs w:val="20"/>
          <w:lang w:val="es-CO"/>
        </w:rPr>
        <w:t>L</w:t>
      </w:r>
      <w:r w:rsidR="002776C6" w:rsidRPr="005C6B71">
        <w:rPr>
          <w:rFonts w:ascii="Cambria" w:hAnsi="Cambria"/>
          <w:color w:val="000000"/>
          <w:sz w:val="20"/>
          <w:szCs w:val="20"/>
          <w:lang w:val="es-CO"/>
        </w:rPr>
        <w:t>a Comisión Interamericana concluye que el Estado es responsable por la violación de los artículos 4.1 (vida), 5.1 y 5.2 (integridad personal) y 26 (</w:t>
      </w:r>
      <w:r w:rsidR="00904F81" w:rsidRPr="005C6B71">
        <w:rPr>
          <w:rFonts w:ascii="Cambria" w:hAnsi="Cambria"/>
          <w:color w:val="000000"/>
          <w:sz w:val="20"/>
          <w:szCs w:val="20"/>
          <w:lang w:val="es-CO"/>
        </w:rPr>
        <w:t>salud</w:t>
      </w:r>
      <w:r w:rsidR="002776C6" w:rsidRPr="005C6B71">
        <w:rPr>
          <w:rFonts w:ascii="Cambria" w:hAnsi="Cambria"/>
          <w:color w:val="000000"/>
          <w:sz w:val="20"/>
          <w:szCs w:val="20"/>
          <w:lang w:val="es-CO"/>
        </w:rPr>
        <w:t xml:space="preserve">) de la Convención Americana sobre Derechos Humanos, en relación con las obligaciones establecidas en </w:t>
      </w:r>
      <w:r w:rsidR="005D238F" w:rsidRPr="005C6B71">
        <w:rPr>
          <w:rFonts w:ascii="Cambria" w:hAnsi="Cambria"/>
          <w:color w:val="000000"/>
          <w:sz w:val="20"/>
          <w:szCs w:val="20"/>
          <w:lang w:val="es-CO"/>
        </w:rPr>
        <w:t>los</w:t>
      </w:r>
      <w:r w:rsidR="002776C6" w:rsidRPr="005C6B71">
        <w:rPr>
          <w:rFonts w:ascii="Cambria" w:hAnsi="Cambria"/>
          <w:color w:val="000000"/>
          <w:sz w:val="20"/>
          <w:szCs w:val="20"/>
          <w:lang w:val="es-CO"/>
        </w:rPr>
        <w:t xml:space="preserve"> </w:t>
      </w:r>
      <w:r w:rsidR="002776C6" w:rsidRPr="005C6B71">
        <w:rPr>
          <w:rFonts w:ascii="Cambria" w:hAnsi="Cambria"/>
          <w:sz w:val="20"/>
          <w:szCs w:val="20"/>
          <w:lang w:val="es-CO"/>
        </w:rPr>
        <w:t>artículo</w:t>
      </w:r>
      <w:r w:rsidR="005D238F" w:rsidRPr="005C6B71">
        <w:rPr>
          <w:rFonts w:ascii="Cambria" w:hAnsi="Cambria"/>
          <w:sz w:val="20"/>
          <w:szCs w:val="20"/>
          <w:lang w:val="es-CO"/>
        </w:rPr>
        <w:t>s</w:t>
      </w:r>
      <w:r w:rsidR="002776C6" w:rsidRPr="005C6B71">
        <w:rPr>
          <w:rFonts w:ascii="Cambria" w:hAnsi="Cambria"/>
          <w:sz w:val="20"/>
          <w:szCs w:val="20"/>
          <w:lang w:val="es-CO"/>
        </w:rPr>
        <w:t xml:space="preserve"> 1.1</w:t>
      </w:r>
      <w:r w:rsidR="005D238F" w:rsidRPr="005C6B71">
        <w:rPr>
          <w:rFonts w:ascii="Cambria" w:hAnsi="Cambria"/>
          <w:sz w:val="20"/>
          <w:szCs w:val="20"/>
          <w:lang w:val="es-CO"/>
        </w:rPr>
        <w:t xml:space="preserve"> y 2</w:t>
      </w:r>
      <w:r w:rsidR="002776C6" w:rsidRPr="005C6B71">
        <w:rPr>
          <w:rFonts w:ascii="Cambria" w:hAnsi="Cambria"/>
          <w:sz w:val="20"/>
          <w:szCs w:val="20"/>
          <w:lang w:val="es-CO"/>
        </w:rPr>
        <w:t xml:space="preserve"> del </w:t>
      </w:r>
      <w:r w:rsidR="002776C6" w:rsidRPr="005C6B71">
        <w:rPr>
          <w:rFonts w:ascii="Cambria" w:hAnsi="Cambria"/>
          <w:color w:val="000000"/>
          <w:sz w:val="20"/>
          <w:szCs w:val="20"/>
          <w:lang w:val="es-CO"/>
        </w:rPr>
        <w:t>mismo instrumento en perjuicio de Sarah Lyn Langton. Asimismo, el Estado es responsable por la violación de los artículos 5.1 (integridad personal), 8 (garantías judiciales)</w:t>
      </w:r>
      <w:r w:rsidR="006B29FA" w:rsidRPr="005C6B71">
        <w:rPr>
          <w:rFonts w:ascii="Cambria" w:hAnsi="Cambria"/>
          <w:color w:val="000000"/>
          <w:sz w:val="20"/>
          <w:szCs w:val="20"/>
          <w:lang w:val="es-CO"/>
        </w:rPr>
        <w:t xml:space="preserve"> y</w:t>
      </w:r>
      <w:r w:rsidR="002776C6" w:rsidRPr="005C6B71">
        <w:rPr>
          <w:rFonts w:ascii="Cambria" w:hAnsi="Cambria"/>
          <w:color w:val="000000"/>
          <w:sz w:val="20"/>
          <w:szCs w:val="20"/>
          <w:lang w:val="es-CO"/>
        </w:rPr>
        <w:t xml:space="preserve"> 25.1 (protección judicial) de la Convención Americana sobre Derechos Humanos, en relación con las obligaciones establecidas en </w:t>
      </w:r>
      <w:r w:rsidR="006B29FA" w:rsidRPr="005C6B71">
        <w:rPr>
          <w:rFonts w:ascii="Cambria" w:hAnsi="Cambria"/>
          <w:color w:val="000000"/>
          <w:sz w:val="20"/>
          <w:szCs w:val="20"/>
          <w:lang w:val="es-CO"/>
        </w:rPr>
        <w:t xml:space="preserve">el </w:t>
      </w:r>
      <w:r w:rsidR="002776C6" w:rsidRPr="005C6B71">
        <w:rPr>
          <w:rFonts w:ascii="Cambria" w:hAnsi="Cambria"/>
          <w:sz w:val="20"/>
          <w:szCs w:val="20"/>
          <w:lang w:val="es-CO"/>
        </w:rPr>
        <w:t>artículo 1.</w:t>
      </w:r>
      <w:r w:rsidR="002776C6" w:rsidRPr="005C6B71">
        <w:rPr>
          <w:rFonts w:ascii="Cambria" w:hAnsi="Cambria"/>
          <w:color w:val="000000" w:themeColor="text1"/>
          <w:sz w:val="20"/>
          <w:szCs w:val="20"/>
          <w:lang w:val="es-CO"/>
        </w:rPr>
        <w:t>1 del mismo instrumento en perjuicio de Terry Langton y Lyn Langton, en los términos explicados a lo largo del presente informe.</w:t>
      </w:r>
    </w:p>
    <w:p w14:paraId="36E4224E" w14:textId="77777777" w:rsidR="001D3BD0" w:rsidRPr="005C6B71" w:rsidRDefault="001D3BD0" w:rsidP="001D3BD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567"/>
        <w:jc w:val="both"/>
        <w:rPr>
          <w:rFonts w:ascii="Cambria" w:hAnsi="Cambria"/>
          <w:color w:val="000000" w:themeColor="text1"/>
          <w:sz w:val="20"/>
          <w:szCs w:val="20"/>
          <w:lang w:val="es-CO"/>
        </w:rPr>
      </w:pPr>
    </w:p>
    <w:p w14:paraId="39AE581B" w14:textId="6C7FBC32" w:rsidR="001D3BD0" w:rsidRPr="005C6B71" w:rsidRDefault="001D3BD0" w:rsidP="001D3BD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567"/>
        <w:jc w:val="both"/>
        <w:rPr>
          <w:rFonts w:ascii="Cambria" w:hAnsi="Cambria"/>
          <w:color w:val="000000" w:themeColor="text1"/>
          <w:sz w:val="20"/>
          <w:szCs w:val="20"/>
          <w:lang w:val="es-CO"/>
        </w:rPr>
      </w:pPr>
      <w:r w:rsidRPr="005C6B71">
        <w:rPr>
          <w:rFonts w:ascii="Cambria" w:hAnsi="Cambria"/>
          <w:color w:val="000000" w:themeColor="text1"/>
          <w:sz w:val="20"/>
          <w:szCs w:val="20"/>
          <w:lang w:val="es-CO"/>
        </w:rPr>
        <w:t xml:space="preserve">Con fundamento en el análisis y las conclusiones del presente informe, </w:t>
      </w:r>
    </w:p>
    <w:p w14:paraId="7D243553" w14:textId="77777777" w:rsidR="002776C6" w:rsidRPr="005C6B71" w:rsidRDefault="002776C6" w:rsidP="002776C6">
      <w:pPr>
        <w:rPr>
          <w:rFonts w:ascii="Cambria" w:hAnsi="Cambria"/>
          <w:b/>
          <w:sz w:val="20"/>
          <w:szCs w:val="20"/>
          <w:lang w:val="es-CO"/>
        </w:rPr>
      </w:pPr>
    </w:p>
    <w:p w14:paraId="728D3BBC" w14:textId="77777777" w:rsidR="009E5D45" w:rsidRPr="005C6B71" w:rsidRDefault="009E5D45" w:rsidP="002776C6">
      <w:pPr>
        <w:rPr>
          <w:rFonts w:ascii="Cambria" w:hAnsi="Cambria"/>
          <w:b/>
          <w:sz w:val="20"/>
          <w:szCs w:val="20"/>
          <w:lang w:val="es-CO"/>
        </w:rPr>
      </w:pPr>
    </w:p>
    <w:p w14:paraId="4F011B67" w14:textId="77777777" w:rsidR="009E5D45" w:rsidRPr="005C6B71" w:rsidRDefault="009E5D45" w:rsidP="002776C6">
      <w:pPr>
        <w:rPr>
          <w:rFonts w:ascii="Cambria" w:hAnsi="Cambria"/>
          <w:b/>
          <w:sz w:val="20"/>
          <w:szCs w:val="20"/>
          <w:lang w:val="es-CO"/>
        </w:rPr>
      </w:pPr>
    </w:p>
    <w:p w14:paraId="3A0A5B5A" w14:textId="078F3811" w:rsidR="001D3BD0" w:rsidRPr="005C6B71" w:rsidRDefault="002776C6" w:rsidP="001D3BD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center"/>
        <w:rPr>
          <w:rFonts w:ascii="Cambria" w:hAnsi="Cambria"/>
          <w:b/>
          <w:sz w:val="20"/>
          <w:szCs w:val="20"/>
          <w:lang w:val="es-CO"/>
        </w:rPr>
      </w:pPr>
      <w:r w:rsidRPr="005C6B71">
        <w:rPr>
          <w:rFonts w:ascii="Cambria" w:hAnsi="Cambria"/>
          <w:b/>
          <w:sz w:val="20"/>
          <w:szCs w:val="20"/>
          <w:lang w:val="es-CO"/>
        </w:rPr>
        <w:lastRenderedPageBreak/>
        <w:t>LA COMISIÓN INTERAMERICANA DE DERECHOS HUMANOS</w:t>
      </w:r>
    </w:p>
    <w:p w14:paraId="711EB540" w14:textId="15671FD5" w:rsidR="002776C6" w:rsidRPr="005C6B71" w:rsidRDefault="001D3BD0" w:rsidP="001D3BD0">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630"/>
        <w:jc w:val="center"/>
        <w:rPr>
          <w:rFonts w:ascii="Cambria" w:hAnsi="Cambria" w:cs="Verdana"/>
          <w:sz w:val="20"/>
          <w:szCs w:val="20"/>
          <w:lang w:val="es-CO"/>
        </w:rPr>
      </w:pPr>
      <w:r w:rsidRPr="005C6B71">
        <w:rPr>
          <w:rFonts w:ascii="Cambria" w:hAnsi="Cambria"/>
          <w:b/>
          <w:sz w:val="20"/>
          <w:szCs w:val="20"/>
          <w:lang w:val="es-CO"/>
        </w:rPr>
        <w:t xml:space="preserve">REITERA </w:t>
      </w:r>
      <w:r w:rsidR="002776C6" w:rsidRPr="005C6B71">
        <w:rPr>
          <w:rFonts w:ascii="Cambria" w:hAnsi="Cambria"/>
          <w:b/>
          <w:sz w:val="20"/>
          <w:szCs w:val="20"/>
          <w:lang w:val="es-CO"/>
        </w:rPr>
        <w:t>AL ESTADO DE VENEZUELA,</w:t>
      </w:r>
    </w:p>
    <w:p w14:paraId="421C3B15" w14:textId="77777777" w:rsidR="002776C6" w:rsidRPr="005C6B71" w:rsidRDefault="002776C6" w:rsidP="001D3B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666666"/>
          <w:sz w:val="20"/>
          <w:szCs w:val="20"/>
          <w:bdr w:val="none" w:sz="0" w:space="0" w:color="auto"/>
          <w:lang w:val="es-CO"/>
        </w:rPr>
      </w:pPr>
    </w:p>
    <w:p w14:paraId="50135E95" w14:textId="77777777" w:rsidR="002776C6" w:rsidRPr="005C6B71" w:rsidRDefault="002776C6" w:rsidP="002776C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5C6B71">
        <w:rPr>
          <w:rFonts w:eastAsia="Times New Roman" w:cs="Tahoma"/>
          <w:sz w:val="20"/>
          <w:szCs w:val="20"/>
          <w:bdr w:val="none" w:sz="0" w:space="0" w:color="auto"/>
          <w:lang w:val="es-CO"/>
        </w:rPr>
        <w:t xml:space="preserve">Reparar integralmente las violaciones de derechos humanos declaradas en el presente informe tanto en el aspecto material como inmaterial. El Estado deberá adoptar las medidas de compensación económica y satisfacción. </w:t>
      </w:r>
    </w:p>
    <w:p w14:paraId="12205EB0" w14:textId="77777777" w:rsidR="002776C6" w:rsidRPr="005C6B71" w:rsidRDefault="002776C6" w:rsidP="002776C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25"/>
        <w:jc w:val="both"/>
        <w:rPr>
          <w:rFonts w:eastAsia="Times New Roman" w:cs="Tahoma"/>
          <w:sz w:val="20"/>
          <w:szCs w:val="20"/>
          <w:bdr w:val="none" w:sz="0" w:space="0" w:color="auto"/>
          <w:lang w:val="es-CO"/>
        </w:rPr>
      </w:pPr>
    </w:p>
    <w:p w14:paraId="7EDD3045" w14:textId="77777777" w:rsidR="002776C6" w:rsidRPr="005C6B71" w:rsidRDefault="002776C6" w:rsidP="002776C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5C6B71">
        <w:rPr>
          <w:rFonts w:eastAsia="Times New Roman" w:cs="Tahoma"/>
          <w:color w:val="000000" w:themeColor="text1"/>
          <w:sz w:val="20"/>
          <w:szCs w:val="20"/>
          <w:bdr w:val="none" w:sz="0" w:space="0" w:color="auto"/>
          <w:lang w:val="es-CO"/>
        </w:rPr>
        <w:t>Disponer</w:t>
      </w:r>
      <w:r w:rsidRPr="005C6B71">
        <w:rPr>
          <w:sz w:val="20"/>
          <w:szCs w:val="20"/>
          <w:bdr w:val="none" w:sz="0" w:space="0" w:color="auto"/>
          <w:lang w:val="es-CO"/>
        </w:rPr>
        <w:t xml:space="preserve"> las medidas de atención en salud física y mental necesarias para la rehabilitación de los familiares de Sarah Lyn Langton, de ser su voluntad y de manera concertada.</w:t>
      </w:r>
    </w:p>
    <w:p w14:paraId="0691B8F6" w14:textId="77777777" w:rsidR="002776C6" w:rsidRPr="005C6B71" w:rsidRDefault="002776C6" w:rsidP="002776C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25"/>
        <w:jc w:val="both"/>
        <w:rPr>
          <w:rFonts w:eastAsia="Times New Roman" w:cs="Tahoma"/>
          <w:sz w:val="20"/>
          <w:szCs w:val="20"/>
          <w:bdr w:val="none" w:sz="0" w:space="0" w:color="auto"/>
          <w:lang w:val="es-CO"/>
        </w:rPr>
      </w:pPr>
      <w:r w:rsidRPr="005C6B71">
        <w:rPr>
          <w:rFonts w:eastAsia="Times New Roman" w:cs="Tahoma"/>
          <w:sz w:val="20"/>
          <w:szCs w:val="20"/>
          <w:bdr w:val="none" w:sz="0" w:space="0" w:color="auto"/>
          <w:lang w:val="es-CO"/>
        </w:rPr>
        <w:t xml:space="preserve"> </w:t>
      </w:r>
    </w:p>
    <w:p w14:paraId="1F716C71" w14:textId="77777777" w:rsidR="002776C6" w:rsidRPr="005C6B71" w:rsidRDefault="002776C6" w:rsidP="002776C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5C6B71">
        <w:rPr>
          <w:rFonts w:eastAsia="Times New Roman" w:cs="Tahoma"/>
          <w:sz w:val="20"/>
          <w:szCs w:val="20"/>
          <w:bdr w:val="none" w:sz="0" w:space="0" w:color="auto"/>
          <w:lang w:val="es-CO"/>
        </w:rPr>
        <w:t>Adoptar las medidas necesarias para investigar efectivamente los hechos del presente caso y sancionar, en un plazo razonable, a los operadores de justicia cuya conducta haya resultado en la demora excesiva en la tramitación del proceso penal y la consecuente falta de acceso a la justicia para las víctimas;</w:t>
      </w:r>
    </w:p>
    <w:p w14:paraId="5D59F1EE" w14:textId="77777777" w:rsidR="002776C6" w:rsidRPr="005C6B71" w:rsidRDefault="002776C6" w:rsidP="002776C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25"/>
        <w:jc w:val="both"/>
        <w:rPr>
          <w:rFonts w:eastAsia="Times New Roman" w:cs="Tahoma"/>
          <w:sz w:val="20"/>
          <w:szCs w:val="20"/>
          <w:bdr w:val="none" w:sz="0" w:space="0" w:color="auto"/>
          <w:lang w:val="es-CO"/>
        </w:rPr>
      </w:pPr>
    </w:p>
    <w:p w14:paraId="5EA33138" w14:textId="77777777" w:rsidR="002776C6" w:rsidRPr="005C6B71" w:rsidRDefault="002776C6" w:rsidP="002776C6">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5C6B71">
        <w:rPr>
          <w:rFonts w:eastAsia="Times New Roman" w:cs="Tahoma"/>
          <w:sz w:val="20"/>
          <w:szCs w:val="20"/>
          <w:bdr w:val="none" w:sz="0" w:space="0" w:color="auto"/>
          <w:lang w:val="es-CO"/>
        </w:rPr>
        <w:t>Disponer mecanismos de no repetición que incluyan todas las medidas necesarias para asegurar la disponibilidad, accesibilidad, calidad y aceptabilidad del acceso a servicios de salud permanentes a las personas privadas de libertad en el INOF, desde una perspectiva de género, en especial las siguientes:</w:t>
      </w:r>
    </w:p>
    <w:p w14:paraId="35A4118D" w14:textId="77777777" w:rsidR="002776C6" w:rsidRPr="005C6B71" w:rsidRDefault="002776C6" w:rsidP="002776C6">
      <w:pPr>
        <w:pStyle w:val="ListParagraph"/>
        <w:rPr>
          <w:rFonts w:eastAsia="Times New Roman" w:cs="Tahoma"/>
          <w:sz w:val="20"/>
          <w:szCs w:val="20"/>
          <w:bdr w:val="none" w:sz="0" w:space="0" w:color="auto"/>
          <w:lang w:val="es-CO"/>
        </w:rPr>
      </w:pPr>
    </w:p>
    <w:p w14:paraId="724230C0" w14:textId="77777777" w:rsidR="002776C6" w:rsidRPr="005C6B71" w:rsidRDefault="002776C6" w:rsidP="003736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5C6B71">
        <w:rPr>
          <w:rFonts w:eastAsia="Times New Roman" w:cs="Tahoma"/>
          <w:sz w:val="20"/>
          <w:szCs w:val="20"/>
          <w:bdr w:val="none" w:sz="0" w:space="0" w:color="auto"/>
          <w:lang w:val="es-CO"/>
        </w:rPr>
        <w:t>Supervisar la prestación de servicios médicos en salud mental y para enfermedades crónicas en el INOF;</w:t>
      </w:r>
    </w:p>
    <w:p w14:paraId="7055307B" w14:textId="77777777" w:rsidR="002776C6" w:rsidRPr="005C6B71" w:rsidRDefault="002776C6" w:rsidP="003736F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5C6B71">
        <w:rPr>
          <w:rFonts w:eastAsia="Times New Roman" w:cs="Tahoma"/>
          <w:sz w:val="20"/>
          <w:szCs w:val="20"/>
          <w:bdr w:val="none" w:sz="0" w:space="0" w:color="auto"/>
          <w:lang w:val="es-CO"/>
        </w:rPr>
        <w:t>Elaborar protocolos de emergencia para la atención de urgencias médicas en el INOF.</w:t>
      </w:r>
    </w:p>
    <w:p w14:paraId="6B56ADBB" w14:textId="5090BCA7" w:rsidR="003B2D1C" w:rsidRPr="005C6B71" w:rsidRDefault="002776C6" w:rsidP="0035127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ahoma"/>
          <w:sz w:val="20"/>
          <w:szCs w:val="20"/>
          <w:bdr w:val="none" w:sz="0" w:space="0" w:color="auto"/>
          <w:lang w:val="es-CO"/>
        </w:rPr>
      </w:pPr>
      <w:r w:rsidRPr="005C6B71">
        <w:rPr>
          <w:rFonts w:eastAsia="Times New Roman" w:cs="Tahoma"/>
          <w:sz w:val="20"/>
          <w:szCs w:val="20"/>
          <w:bdr w:val="none" w:sz="0" w:space="0" w:color="auto"/>
          <w:lang w:val="es-CO"/>
        </w:rPr>
        <w:t xml:space="preserve">Asegurar la disponibilidad de personal médico en el servicio médico del INOF incluyendo personal de guardia y garantizar el traslado inmediato a centros externos cuando la situación lo amerite. </w:t>
      </w:r>
    </w:p>
    <w:p w14:paraId="39583E1E" w14:textId="77777777" w:rsidR="0035127F" w:rsidRPr="005C6B71" w:rsidRDefault="0035127F" w:rsidP="0035127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785"/>
        <w:jc w:val="both"/>
        <w:rPr>
          <w:rFonts w:eastAsia="Times New Roman" w:cs="Tahoma"/>
          <w:sz w:val="20"/>
          <w:szCs w:val="20"/>
          <w:bdr w:val="none" w:sz="0" w:space="0" w:color="auto"/>
          <w:lang w:val="es-CO"/>
        </w:rPr>
      </w:pPr>
    </w:p>
    <w:p w14:paraId="2BE4B8AC" w14:textId="3BBE2F9D" w:rsidR="0035127F" w:rsidRPr="005C6B71" w:rsidRDefault="0035127F" w:rsidP="0035127F">
      <w:pPr>
        <w:pStyle w:val="Heading1"/>
        <w:spacing w:before="0"/>
        <w:rPr>
          <w:rFonts w:ascii="Cambria" w:hAnsi="Cambria"/>
          <w:color w:val="000000" w:themeColor="text1"/>
          <w:sz w:val="20"/>
          <w:szCs w:val="20"/>
          <w:lang w:val="es-CO"/>
        </w:rPr>
      </w:pPr>
      <w:bookmarkStart w:id="46" w:name="_Toc217309329"/>
      <w:r w:rsidRPr="005C6B71">
        <w:rPr>
          <w:rFonts w:ascii="Cambria" w:hAnsi="Cambria"/>
          <w:color w:val="000000" w:themeColor="text1"/>
          <w:sz w:val="20"/>
          <w:szCs w:val="20"/>
          <w:lang w:val="es-CO"/>
        </w:rPr>
        <w:t>PUBLICACIÓN</w:t>
      </w:r>
      <w:bookmarkEnd w:id="46"/>
      <w:r w:rsidRPr="005C6B71">
        <w:rPr>
          <w:rFonts w:ascii="Cambria" w:hAnsi="Cambria"/>
          <w:color w:val="000000" w:themeColor="text1"/>
          <w:sz w:val="20"/>
          <w:szCs w:val="20"/>
          <w:lang w:val="es-CO"/>
        </w:rPr>
        <w:t xml:space="preserve"> </w:t>
      </w:r>
    </w:p>
    <w:p w14:paraId="4A217277" w14:textId="77777777" w:rsidR="00190D0E" w:rsidRPr="005C6B71" w:rsidRDefault="00190D0E" w:rsidP="0035127F">
      <w:pPr>
        <w:ind w:firstLine="630"/>
        <w:rPr>
          <w:rFonts w:ascii="Cambria" w:hAnsi="Cambria"/>
          <w:sz w:val="20"/>
          <w:szCs w:val="20"/>
          <w:lang w:val="es-CO"/>
        </w:rPr>
      </w:pPr>
    </w:p>
    <w:p w14:paraId="42C1CB93" w14:textId="398F8EBC" w:rsidR="0035127F" w:rsidRDefault="0035127F" w:rsidP="0035127F">
      <w:pPr>
        <w:pStyle w:val="parrafos"/>
        <w:numPr>
          <w:ilvl w:val="0"/>
          <w:numId w:val="51"/>
        </w:numPr>
        <w:tabs>
          <w:tab w:val="clear" w:pos="360"/>
          <w:tab w:val="left" w:pos="426"/>
          <w:tab w:val="left" w:pos="709"/>
        </w:tabs>
        <w:ind w:left="0" w:firstLine="630"/>
        <w:rPr>
          <w:lang w:val="es-CO"/>
        </w:rPr>
      </w:pPr>
      <w:r w:rsidRPr="005C6B71">
        <w:rPr>
          <w:lang w:val="es-CO"/>
        </w:rPr>
        <w:t>De acuerdo con lo señalado y de conformidad con lo dispuesto en el artículo 51.3 de la Convención Americana, la Comisión Interamericana de Derechos Humanos decide publicar este informe e incluirlo en su Informe Anual a la Asamblea General de la Organización de Estados Americanos. La Comisión Interamericana, de acuerdo con las normas establecidas en los instrumentos que regulan su mandato, continuará evaluando que el Estado de Venezuela repare integralmente a las víctimas de acuerdo con lo establecido en las recomendaciones arriba señaladas, hasta que determine que se les ha dado un total cumplimiento.</w:t>
      </w:r>
    </w:p>
    <w:p w14:paraId="15DC1D38" w14:textId="77777777" w:rsidR="00A76A92" w:rsidRPr="005C6B71" w:rsidRDefault="00A76A92" w:rsidP="00A76A92">
      <w:pPr>
        <w:pStyle w:val="parrafos"/>
        <w:tabs>
          <w:tab w:val="clear" w:pos="360"/>
          <w:tab w:val="left" w:pos="426"/>
          <w:tab w:val="left" w:pos="709"/>
        </w:tabs>
        <w:ind w:left="630"/>
        <w:rPr>
          <w:lang w:val="es-CO"/>
        </w:rPr>
      </w:pPr>
    </w:p>
    <w:p w14:paraId="3EB54CAF" w14:textId="0073DCD8" w:rsidR="00A76A92" w:rsidRPr="00A76A92" w:rsidRDefault="00A76A92" w:rsidP="00133135">
      <w:pPr>
        <w:ind w:firstLine="630"/>
        <w:jc w:val="both"/>
        <w:rPr>
          <w:sz w:val="20"/>
          <w:szCs w:val="20"/>
          <w:lang w:val="es-VE"/>
        </w:rPr>
      </w:pPr>
      <w:r w:rsidRPr="00A76A92">
        <w:rPr>
          <w:sz w:val="20"/>
          <w:szCs w:val="20"/>
          <w:lang w:val="es-VE"/>
        </w:rPr>
        <w:t>Aprobado por la Comisión Interamericana de Derechos Humanos a los 1</w:t>
      </w:r>
      <w:r w:rsidR="00133135">
        <w:rPr>
          <w:sz w:val="20"/>
          <w:szCs w:val="20"/>
          <w:lang w:val="es-VE"/>
        </w:rPr>
        <w:t>9</w:t>
      </w:r>
      <w:r w:rsidRPr="00A76A92">
        <w:rPr>
          <w:sz w:val="20"/>
          <w:szCs w:val="20"/>
          <w:lang w:val="es-VE"/>
        </w:rPr>
        <w:t xml:space="preserve"> días del mes de </w:t>
      </w:r>
      <w:r w:rsidR="00133135">
        <w:rPr>
          <w:sz w:val="20"/>
          <w:szCs w:val="20"/>
          <w:lang w:val="es-VE"/>
        </w:rPr>
        <w:t>diciembre</w:t>
      </w:r>
      <w:r w:rsidRPr="00A76A92">
        <w:rPr>
          <w:sz w:val="20"/>
          <w:szCs w:val="20"/>
          <w:lang w:val="es-VE"/>
        </w:rPr>
        <w:t xml:space="preserve"> de 2025. (Firmado): José Luis Caballero Ochoa, Presidente, </w:t>
      </w:r>
      <w:r w:rsidR="004929F7">
        <w:rPr>
          <w:sz w:val="20"/>
          <w:szCs w:val="20"/>
          <w:lang w:val="es-VE"/>
        </w:rPr>
        <w:t>Andrea Pochak, Primera Vicepresidenta;</w:t>
      </w:r>
      <w:r w:rsidRPr="00A76A92">
        <w:rPr>
          <w:sz w:val="20"/>
          <w:szCs w:val="20"/>
          <w:lang w:val="es-VE"/>
        </w:rPr>
        <w:t xml:space="preserve"> Roberta Clarke; Carlos Bernal Pulido</w:t>
      </w:r>
      <w:r w:rsidR="00281C8E">
        <w:rPr>
          <w:sz w:val="20"/>
          <w:szCs w:val="20"/>
          <w:lang w:val="es-VE"/>
        </w:rPr>
        <w:t xml:space="preserve"> y Gloria De Mees</w:t>
      </w:r>
      <w:r w:rsidRPr="00A76A92">
        <w:rPr>
          <w:sz w:val="20"/>
          <w:szCs w:val="20"/>
          <w:lang w:val="es-VE"/>
        </w:rPr>
        <w:t>, Miembros de la Comisión.</w:t>
      </w:r>
    </w:p>
    <w:p w14:paraId="4C4BBD6D" w14:textId="77777777" w:rsidR="00A76A92" w:rsidRPr="00A76A92" w:rsidRDefault="00A76A92" w:rsidP="00133135">
      <w:pPr>
        <w:pStyle w:val="ListParagraph"/>
        <w:ind w:left="1170"/>
        <w:jc w:val="both"/>
        <w:rPr>
          <w:sz w:val="20"/>
          <w:szCs w:val="20"/>
          <w:lang w:val="es-VE"/>
        </w:rPr>
      </w:pPr>
    </w:p>
    <w:p w14:paraId="47EEB418" w14:textId="4A172516" w:rsidR="00BA375F" w:rsidRPr="007F24F0" w:rsidRDefault="00BA375F" w:rsidP="00715121">
      <w:pPr>
        <w:pStyle w:val="parrafos"/>
      </w:pPr>
    </w:p>
    <w:bookmarkEnd w:id="39"/>
    <w:p w14:paraId="3BA69EAB" w14:textId="6953069D" w:rsidR="00E353F8" w:rsidRPr="008D65EE" w:rsidRDefault="00E353F8" w:rsidP="00F60A32">
      <w:pPr>
        <w:jc w:val="center"/>
        <w:rPr>
          <w:lang w:val="es-CO"/>
        </w:rPr>
      </w:pPr>
    </w:p>
    <w:sectPr w:rsidR="00E353F8" w:rsidRPr="008D65EE" w:rsidSect="002A6B05">
      <w:headerReference w:type="even" r:id="rId13"/>
      <w:headerReference w:type="default" r:id="rId14"/>
      <w:footerReference w:type="default" r:id="rId15"/>
      <w:headerReference w:type="first" r:id="rId16"/>
      <w:footerReference w:type="first" r:id="rId17"/>
      <w:pgSz w:w="12240" w:h="15840"/>
      <w:pgMar w:top="1440" w:right="1440" w:bottom="126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BC60" w14:textId="77777777" w:rsidR="00070915" w:rsidRDefault="00070915" w:rsidP="002A6B05">
      <w:r>
        <w:separator/>
      </w:r>
    </w:p>
  </w:endnote>
  <w:endnote w:type="continuationSeparator" w:id="0">
    <w:p w14:paraId="3F7FF4E5" w14:textId="77777777" w:rsidR="00070915" w:rsidRDefault="00070915" w:rsidP="002A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dvPL">
    <w:panose1 w:val="00000000000000000000"/>
    <w:charset w:val="00"/>
    <w:family w:val="roman"/>
    <w:notTrueType/>
    <w:pitch w:val="default"/>
    <w:sig w:usb0="00000003" w:usb1="00000000" w:usb2="00000000" w:usb3="00000000" w:csb0="00000001" w:csb1="00000000"/>
  </w:font>
  <w:font w:name="AdvPLI">
    <w:panose1 w:val="00000000000000000000"/>
    <w:charset w:val="00"/>
    <w:family w:val="swiss"/>
    <w:notTrueType/>
    <w:pitch w:val="default"/>
    <w:sig w:usb0="00000003" w:usb1="00000000" w:usb2="00000000" w:usb3="00000000" w:csb0="00000001" w:csb1="00000000"/>
  </w:font>
  <w:font w:name="HelveticaNeue-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D4F7454" w14:textId="77777777" w:rsidR="00384416" w:rsidRPr="00934A2C" w:rsidRDefault="00384416">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Pr>
            <w:noProof/>
            <w:sz w:val="16"/>
            <w:szCs w:val="22"/>
          </w:rPr>
          <w:t>14</w:t>
        </w:r>
        <w:r w:rsidRPr="00934A2C">
          <w:rPr>
            <w:noProof/>
            <w:sz w:val="16"/>
            <w:szCs w:val="22"/>
          </w:rPr>
          <w:fldChar w:fldCharType="end"/>
        </w:r>
      </w:p>
    </w:sdtContent>
  </w:sdt>
  <w:p w14:paraId="4C2EA6F0" w14:textId="77777777" w:rsidR="00384416" w:rsidRDefault="00384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AD81" w14:textId="77777777" w:rsidR="00384416" w:rsidRPr="00934A2C" w:rsidRDefault="00384416">
    <w:pPr>
      <w:pStyle w:val="Footer"/>
      <w:jc w:val="center"/>
      <w:rPr>
        <w:sz w:val="16"/>
        <w:szCs w:val="22"/>
      </w:rPr>
    </w:pPr>
  </w:p>
  <w:p w14:paraId="2D58F220" w14:textId="77777777" w:rsidR="00384416" w:rsidRDefault="00384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B0E0" w14:textId="77777777" w:rsidR="00070915" w:rsidRDefault="00070915" w:rsidP="002A6B05">
      <w:r>
        <w:separator/>
      </w:r>
    </w:p>
  </w:footnote>
  <w:footnote w:type="continuationSeparator" w:id="0">
    <w:p w14:paraId="30A11B70" w14:textId="77777777" w:rsidR="00070915" w:rsidRDefault="00070915" w:rsidP="002A6B05">
      <w:r>
        <w:continuationSeparator/>
      </w:r>
    </w:p>
  </w:footnote>
  <w:footnote w:id="1">
    <w:p w14:paraId="5B3F7EAE"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PROVEA. Informe Anual 2002 – 2003. Derechos de las personas detenidas y encarcelada, pág. 409, disponible en: </w:t>
      </w:r>
      <w:hyperlink r:id="rId1" w:history="1">
        <w:r w:rsidRPr="0028728D">
          <w:rPr>
            <w:rStyle w:val="Hyperlink"/>
            <w:rFonts w:ascii="Cambria" w:hAnsi="Cambria"/>
            <w:color w:val="000000" w:themeColor="text1"/>
            <w:sz w:val="16"/>
            <w:szCs w:val="16"/>
            <w:lang w:val="es-ES"/>
          </w:rPr>
          <w:t>https://provea.org/wp-content/uploads/009_derecho_de_las_personas_detenidas_y_encarceladas-1.pdf</w:t>
        </w:r>
      </w:hyperlink>
      <w:r w:rsidRPr="0028728D">
        <w:rPr>
          <w:rFonts w:ascii="Cambria" w:hAnsi="Cambria"/>
          <w:color w:val="000000" w:themeColor="text1"/>
          <w:sz w:val="16"/>
          <w:szCs w:val="16"/>
          <w:lang w:val="es-ES"/>
        </w:rPr>
        <w:t xml:space="preserve"> </w:t>
      </w:r>
    </w:p>
  </w:footnote>
  <w:footnote w:id="2">
    <w:p w14:paraId="5DD875E2" w14:textId="7AC98EA5"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PROVEA. Informe Anual 2002 – 2003. Derechos de las personas detenidas y encarcelada, pág. 409, disponible en: </w:t>
      </w:r>
      <w:hyperlink r:id="rId2" w:history="1">
        <w:r w:rsidRPr="0028728D">
          <w:rPr>
            <w:rStyle w:val="Hyperlink"/>
            <w:rFonts w:ascii="Cambria" w:hAnsi="Cambria"/>
            <w:color w:val="000000" w:themeColor="text1"/>
            <w:sz w:val="16"/>
            <w:szCs w:val="16"/>
            <w:lang w:val="es-ES"/>
          </w:rPr>
          <w:t>https://provea.org/wp-content/uploads/009_derecho_de_las_personas_detenidas_y_encarceladas-1.pdf</w:t>
        </w:r>
      </w:hyperlink>
      <w:r w:rsidRPr="0028728D">
        <w:rPr>
          <w:rFonts w:ascii="Cambria" w:hAnsi="Cambria"/>
          <w:color w:val="000000" w:themeColor="text1"/>
          <w:sz w:val="16"/>
          <w:szCs w:val="16"/>
          <w:lang w:val="es-ES"/>
        </w:rPr>
        <w:t xml:space="preserve"> </w:t>
      </w:r>
    </w:p>
  </w:footnote>
  <w:footnote w:id="3">
    <w:p w14:paraId="6654760F" w14:textId="78D6F8FF"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Comité de Derechos Humanos, Observaciones finales del Comité de Derechos Humanos, 26 de abril 2001, CCPR/CO/71/VEN, párr. 11.0</w:t>
      </w:r>
    </w:p>
  </w:footnote>
  <w:footnote w:id="4">
    <w:p w14:paraId="3D06BB64" w14:textId="1BC7DA79" w:rsidR="00384416" w:rsidRPr="0028728D" w:rsidRDefault="00384416" w:rsidP="00B065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eastAsiaTheme="minorEastAsia" w:hAnsi="Cambria"/>
          <w:color w:val="000000" w:themeColor="text1"/>
          <w:sz w:val="16"/>
          <w:szCs w:val="16"/>
          <w:bdr w:val="none" w:sz="0" w:space="0" w:color="auto"/>
          <w:lang w:val="es-ES" w:eastAsia="ko-KR"/>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w:t>
      </w:r>
      <w:r w:rsidRPr="0028728D">
        <w:rPr>
          <w:rFonts w:ascii="Cambria" w:eastAsiaTheme="minorEastAsia" w:hAnsi="Cambria"/>
          <w:color w:val="000000" w:themeColor="text1"/>
          <w:sz w:val="16"/>
          <w:szCs w:val="16"/>
          <w:bdr w:val="none" w:sz="0" w:space="0" w:color="auto"/>
          <w:lang w:val="es-ES" w:eastAsia="ko-KR"/>
        </w:rPr>
        <w:t>CIDH. Informes Anuales de los años 2019 (paras 123-133), 2018 (paras 171-182), 2017 (paras 388-399), 2016 (paras 202-212), 2015 (paras 319-328), 2014 (paras 606-614), 2013 (paras 697-705), 2012 (paras 535-549), 2011 (paras 510-521), 2010 (paras 700-707), 2009 (paras 510-512), 2008 (paras 424-436), 2007 (paras 303-3011), 2006 (paras 190-204), 2005 (paras 316-322), y 2004 (paras 258-260).</w:t>
      </w:r>
    </w:p>
  </w:footnote>
  <w:footnote w:id="5">
    <w:p w14:paraId="2F1EEBA6" w14:textId="58F78A68"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CIDH. Informe de país: Institucionalidad democrática, estado de derecho y derechos humanos en Venezuela: Aprobado el 31 de diciembre de 2017.</w:t>
      </w:r>
    </w:p>
  </w:footnote>
  <w:footnote w:id="6">
    <w:p w14:paraId="69C10BDC"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26. Información pública referente a la situación actual del INOF. Una ventana a la libertad. “Presas del INOF solo reciben un tobo de agua cada 15 días”. 14 de septiembre de 2021. Disponible en: </w:t>
      </w:r>
      <w:hyperlink r:id="rId3" w:history="1">
        <w:r w:rsidRPr="0028728D">
          <w:rPr>
            <w:rStyle w:val="Hyperlink"/>
            <w:rFonts w:ascii="Cambria" w:hAnsi="Cambria"/>
            <w:color w:val="000000" w:themeColor="text1"/>
            <w:sz w:val="16"/>
            <w:szCs w:val="16"/>
            <w:lang w:val="es-ES"/>
          </w:rPr>
          <w:t>https://unaventanaalalibertad.org/alertas/presas-del-inof-solo-reciben-un-tobo-de-agua-cada-15-dias/</w:t>
        </w:r>
      </w:hyperlink>
      <w:r w:rsidRPr="0028728D">
        <w:rPr>
          <w:rFonts w:ascii="Cambria" w:hAnsi="Cambria"/>
          <w:color w:val="000000" w:themeColor="text1"/>
          <w:sz w:val="16"/>
          <w:szCs w:val="16"/>
          <w:lang w:val="es-ES"/>
        </w:rPr>
        <w:t xml:space="preserve">;  “Presas del INOF inician huelga al grito de ‘hambre y libertad”. 14 de enero de 2021. Disponible en: </w:t>
      </w:r>
      <w:hyperlink r:id="rId4" w:history="1">
        <w:r w:rsidRPr="0028728D">
          <w:rPr>
            <w:rStyle w:val="Hyperlink"/>
            <w:rFonts w:ascii="Cambria" w:hAnsi="Cambria"/>
            <w:color w:val="000000" w:themeColor="text1"/>
            <w:sz w:val="16"/>
            <w:szCs w:val="16"/>
            <w:lang w:val="es-ES"/>
          </w:rPr>
          <w:t>https://unaventanaalalibertad.org/alertas/presas-del-inof-inician-huelga-al-grito-de-hambre-y-libertad/</w:t>
        </w:r>
      </w:hyperlink>
      <w:r w:rsidRPr="0028728D">
        <w:rPr>
          <w:rFonts w:ascii="Cambria" w:hAnsi="Cambria"/>
          <w:color w:val="000000" w:themeColor="text1"/>
          <w:sz w:val="16"/>
          <w:szCs w:val="16"/>
          <w:lang w:val="es-ES"/>
        </w:rPr>
        <w:t xml:space="preserve">; “Presa del INOF con cáncer de seno no ha recibido atención médica”. 16 de octubre de 2020. Disponible en: </w:t>
      </w:r>
      <w:hyperlink r:id="rId5" w:history="1">
        <w:r w:rsidRPr="0028728D">
          <w:rPr>
            <w:rStyle w:val="Hyperlink"/>
            <w:rFonts w:ascii="Cambria" w:hAnsi="Cambria"/>
            <w:color w:val="000000" w:themeColor="text1"/>
            <w:sz w:val="16"/>
            <w:szCs w:val="16"/>
            <w:lang w:val="es-ES"/>
          </w:rPr>
          <w:t>https://unaventanaalalibertad.org/alertas/presa-del-inof-con-cancer-de-seno-no-ha-recibido-atencion-medica/</w:t>
        </w:r>
      </w:hyperlink>
      <w:r w:rsidRPr="0028728D">
        <w:rPr>
          <w:rFonts w:ascii="Cambria" w:hAnsi="Cambria"/>
          <w:color w:val="000000" w:themeColor="text1"/>
          <w:sz w:val="16"/>
          <w:szCs w:val="16"/>
          <w:lang w:val="es-ES"/>
        </w:rPr>
        <w:t xml:space="preserve">. “Presas del INOF no son atendidas por dolencias médicas”. 17 de septiembre de 2020. Disponible en: </w:t>
      </w:r>
      <w:hyperlink r:id="rId6" w:history="1">
        <w:r w:rsidRPr="0028728D">
          <w:rPr>
            <w:rStyle w:val="Hyperlink"/>
            <w:rFonts w:ascii="Cambria" w:hAnsi="Cambria"/>
            <w:color w:val="000000" w:themeColor="text1"/>
            <w:sz w:val="16"/>
            <w:szCs w:val="16"/>
            <w:lang w:val="es-ES"/>
          </w:rPr>
          <w:t>https://unaventanaalalibertad.org/alertas/presas-del-inof-no-son-atendidas-por-dolencias-medicas/</w:t>
        </w:r>
      </w:hyperlink>
      <w:r w:rsidRPr="0028728D">
        <w:rPr>
          <w:rFonts w:ascii="Cambria" w:hAnsi="Cambria"/>
          <w:color w:val="000000" w:themeColor="text1"/>
          <w:sz w:val="16"/>
          <w:szCs w:val="16"/>
          <w:lang w:val="es-ES"/>
        </w:rPr>
        <w:t xml:space="preserve">; y “Miranda: Denuncian maltrato a internas del INOF en celda de castigo”. 30 de junio de 2020. Disponible en: </w:t>
      </w:r>
      <w:hyperlink r:id="rId7" w:history="1">
        <w:r w:rsidRPr="0028728D">
          <w:rPr>
            <w:rStyle w:val="Hyperlink"/>
            <w:rFonts w:ascii="Cambria" w:hAnsi="Cambria"/>
            <w:color w:val="000000" w:themeColor="text1"/>
            <w:sz w:val="16"/>
            <w:szCs w:val="16"/>
            <w:lang w:val="es-ES"/>
          </w:rPr>
          <w:t>https://unaventanaalalibertad.org/alertas/miranda-denuncian-maltrato-a-internas-del-inof-en-celda-de-castigo/</w:t>
        </w:r>
      </w:hyperlink>
      <w:r w:rsidRPr="0028728D">
        <w:rPr>
          <w:rFonts w:ascii="Cambria" w:hAnsi="Cambria"/>
          <w:color w:val="000000" w:themeColor="text1"/>
          <w:sz w:val="16"/>
          <w:szCs w:val="16"/>
          <w:lang w:val="es-ES"/>
        </w:rPr>
        <w:t>.</w:t>
      </w:r>
    </w:p>
  </w:footnote>
  <w:footnote w:id="7">
    <w:p w14:paraId="27C00653" w14:textId="737564CA"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Observatorio Venezolano de Prisiones. Mujeres Privadas de Libertad en Venezuela – Las voces detrás de las rejas. 2021, pág. 10, disponible en: </w:t>
      </w:r>
      <w:hyperlink r:id="rId8" w:anchor="flipbook-df_6531/9/" w:history="1">
        <w:r w:rsidRPr="0028728D">
          <w:rPr>
            <w:rStyle w:val="Hyperlink"/>
            <w:rFonts w:ascii="Cambria" w:hAnsi="Cambria" w:cs="Times New Roman"/>
            <w:color w:val="000000" w:themeColor="text1"/>
            <w:sz w:val="16"/>
            <w:szCs w:val="16"/>
            <w:lang w:val="es-ES"/>
          </w:rPr>
          <w:t>https://oveprisiones.com/informes/#flipbook-df_6531/9/</w:t>
        </w:r>
      </w:hyperlink>
      <w:r w:rsidRPr="0028728D">
        <w:rPr>
          <w:rFonts w:ascii="Cambria" w:hAnsi="Cambria" w:cs="Times New Roman"/>
          <w:color w:val="000000" w:themeColor="text1"/>
          <w:sz w:val="16"/>
          <w:szCs w:val="16"/>
          <w:lang w:val="es-ES"/>
        </w:rPr>
        <w:t xml:space="preserve">. </w:t>
      </w:r>
    </w:p>
  </w:footnote>
  <w:footnote w:id="8">
    <w:p w14:paraId="0CBF790B" w14:textId="4F468BB6"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Observatorio Venezolano de Prisiones. Mujeres Privadas de Libertad en Venezuela – Las voces detrás de las rejas. 2021, pág. 47. </w:t>
      </w:r>
    </w:p>
  </w:footnote>
  <w:footnote w:id="9">
    <w:p w14:paraId="28935B23" w14:textId="3351E3C2"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Observatorio Venezolano de Prisiones. Mujeres Privadas de Libertad en Venezuela – Las voces detrás de las rejas. 2021, pág. 47. </w:t>
      </w:r>
    </w:p>
  </w:footnote>
  <w:footnote w:id="10">
    <w:p w14:paraId="18B216D9" w14:textId="2ED52E29"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w:t>
      </w:r>
    </w:p>
  </w:footnote>
  <w:footnote w:id="11">
    <w:p w14:paraId="73FDE6BF"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w:t>
      </w:r>
    </w:p>
  </w:footnote>
  <w:footnote w:id="12">
    <w:p w14:paraId="377C1784"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8. Informes médicos y comunicaciones referente a la salud física y psicológica de Sarah Langton durante el año 2000. Anexo 8(a) a la petición.</w:t>
      </w:r>
    </w:p>
  </w:footnote>
  <w:footnote w:id="13">
    <w:p w14:paraId="7840B513"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8. Informes médicos y comunicaciones referente a la salud física y psicológica de Sarah Langton durante el año 2000. Anexo 8(a) a la petición.</w:t>
      </w:r>
    </w:p>
  </w:footnote>
  <w:footnote w:id="14">
    <w:p w14:paraId="3D0EA925" w14:textId="01EB0284"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8. Informes médicos y comunicaciones referente a la salud física y psicológica de Sarah Langton durante el año 2000. Anexo 8(a) a la petición.</w:t>
      </w:r>
    </w:p>
  </w:footnote>
  <w:footnote w:id="15">
    <w:p w14:paraId="5A97FBBF"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11. Carta de Terry Langton al Charge de Affairs de la Embajada de Venezuela en Reino Unido del 21 de febrero de 2001. Anexo 12 al Escrito de Observaciones.</w:t>
      </w:r>
    </w:p>
  </w:footnote>
  <w:footnote w:id="16">
    <w:p w14:paraId="0384BD6B" w14:textId="454C0A0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11. Carta de Terry Langton al Charge de Affairs de la Embajada de Venezuela en Reino Unido del 21 de febrero de 2001. Anexo 12 al Escrito de Observaciones.</w:t>
      </w:r>
    </w:p>
  </w:footnote>
  <w:footnote w:id="17">
    <w:p w14:paraId="67B3EC68"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18">
    <w:p w14:paraId="6BEBBCFB"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19">
    <w:p w14:paraId="7AD712E2"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20">
    <w:p w14:paraId="182A02D4"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21">
    <w:p w14:paraId="171C8B45"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22">
    <w:p w14:paraId="5FD50720"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11. Carta de Terry Langton al Charge de Affairs de la Embajada de Venezuela en Reino Unido del 21 de febrero de 2001. Anexo 12 al Escrito de Observaciones.</w:t>
      </w:r>
    </w:p>
  </w:footnote>
  <w:footnote w:id="23">
    <w:p w14:paraId="52EF57B2" w14:textId="00979DE1"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8. Informes médicos y comunicaciones referente a la salud física y psicológica de Sarah Langton durante el año 2000. Anexo 8(c) a la petición.</w:t>
      </w:r>
    </w:p>
  </w:footnote>
  <w:footnote w:id="24">
    <w:p w14:paraId="27707F62" w14:textId="0CEF9B28"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8. Informes médicos y comunicaciones referente a la salud física y psicológica de Sarah Langton durante el año 2000. Anexo 8(d) a la petición.</w:t>
      </w:r>
    </w:p>
  </w:footnote>
  <w:footnote w:id="25">
    <w:p w14:paraId="572A416C" w14:textId="6737433B"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8. Informes médicos y comunicaciones referente a la salud física y psicológica de Sarah Langton durante el año 2000. Anexo 8(e) a la petición.</w:t>
      </w:r>
    </w:p>
  </w:footnote>
  <w:footnote w:id="26">
    <w:p w14:paraId="7EA84BA9" w14:textId="5C5ABB65"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8. Informes médicos y comunicaciones referente a la salud física y psicológica de Sarah Langton durante el año 2000. Anexo 8(b) a la petición.</w:t>
      </w:r>
    </w:p>
  </w:footnote>
  <w:footnote w:id="27">
    <w:p w14:paraId="43AC629B"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25. Correo de la División Consular del Foreign and Commonwealth Office del 7 de septiembre de 2000. Anexo 11 al Escrito de Observaciones.  </w:t>
      </w:r>
    </w:p>
  </w:footnote>
  <w:footnote w:id="28">
    <w:p w14:paraId="38DC96A8" w14:textId="3C436680"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25. Correo de la División Consular del Foreign and Commonwealth Office del 7 de septiembre de 2000. Anexo 11 al Escrito de Observaciones.  </w:t>
      </w:r>
    </w:p>
  </w:footnote>
  <w:footnote w:id="29">
    <w:p w14:paraId="62319008"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30">
    <w:p w14:paraId="2613492E" w14:textId="54BA2BFA"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31">
    <w:p w14:paraId="3E0A7191"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32">
    <w:p w14:paraId="7871087D" w14:textId="5B3756AF"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4. Comunicado de la División Consular del Ministerio del Exterior de la Mancomunidad del Reino Unido del 12 de julio de 2002. Anexo 4 a la petición.</w:t>
      </w:r>
    </w:p>
  </w:footnote>
  <w:footnote w:id="33">
    <w:p w14:paraId="18F637F7"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4. Comunicado de la División Consular del Ministerio del Exterior de la Mancomunidad del Reino Unido del 12 de julio de 2002. Anexo 4 a la petición.</w:t>
      </w:r>
    </w:p>
  </w:footnote>
  <w:footnote w:id="34">
    <w:p w14:paraId="7D5A206D"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4. Comunicado de la División Consular del Ministerio del Exterior de la Mancomunidad del Reino Unido del 12 de julio de 2002. Anexo 4 a la petición.</w:t>
      </w:r>
    </w:p>
  </w:footnote>
  <w:footnote w:id="35">
    <w:p w14:paraId="541D2E0D"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36">
    <w:p w14:paraId="091DF6E5"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37">
    <w:p w14:paraId="19BB31C5"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38">
    <w:p w14:paraId="244988C6"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39">
    <w:p w14:paraId="7EA9F26E"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40">
    <w:p w14:paraId="2536F1F3"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41">
    <w:p w14:paraId="64A3AE40"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42">
    <w:p w14:paraId="3339A6FC"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43">
    <w:p w14:paraId="58E5B95B"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44">
    <w:p w14:paraId="2C2F245E" w14:textId="6EFA9878"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2. Nota informativa emitida por la Dirección General de Custodia y Rehabilitación del Recluso al Viceministro de Seguridad Ciudadana el 11 de marzo de 2001.  Anexo 2 a la petición. </w:t>
      </w:r>
    </w:p>
  </w:footnote>
  <w:footnote w:id="45">
    <w:p w14:paraId="0BC8525F" w14:textId="1F0CCE25"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3. Declaraciones de Terry Langton del 15 de marzo de 2001 y el 21 de marzo de 2001. Anexo 3 a la petición.</w:t>
      </w:r>
    </w:p>
  </w:footnote>
  <w:footnote w:id="46">
    <w:p w14:paraId="5467633D" w14:textId="4C986F31"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Anexo 3. Declaraciones de Terry Langton del 15 de marzo de 2001 y el 21 de marzo de 2001. Anexo 3 a la petición.</w:t>
      </w:r>
    </w:p>
  </w:footnote>
  <w:footnote w:id="47">
    <w:p w14:paraId="5CF77F27"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48">
    <w:p w14:paraId="6AA6AC32" w14:textId="1DB747B1"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 Anexo 17. Certificado de Defunción de Sarah Lyn Langton. Anexo 19 al Escrito de Observaciones. </w:t>
      </w:r>
    </w:p>
  </w:footnote>
  <w:footnote w:id="49">
    <w:p w14:paraId="06BD16C0" w14:textId="61602781"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18. Autopsia No. 97900 de Sarah Lyn Langton, 20 de abril de 2001. Anexo 21 al Escrito de Observaciones. </w:t>
      </w:r>
    </w:p>
  </w:footnote>
  <w:footnote w:id="50">
    <w:p w14:paraId="7F5945D8" w14:textId="33412E21"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14. Correo de Sharon Campbell de la Embajada del Reino Unido en Venezuela del 9 de marzo de 2001. Anexo 16 al Escrito de Observaciones; Anexo 3. Declaraciones de Terry Langton del 15 de marzo de 2001 y el 21 de marzo de 2001. Anexo 3 a la petición.</w:t>
      </w:r>
    </w:p>
  </w:footnote>
  <w:footnote w:id="51">
    <w:p w14:paraId="3BE64954" w14:textId="41B6E1A4"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3. Declaraciones de Terry Langton del 15 de marzo de 2001 y el 21 de marzo de 2001. Anexo 3 a la petición.</w:t>
      </w:r>
    </w:p>
  </w:footnote>
  <w:footnote w:id="52">
    <w:p w14:paraId="70B7CDE9"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23. Testimonio escrito de Terry Langton y Lyn Langton del 30 de abril de 2020. Anexo 25 al Escrito de Observaciones.</w:t>
      </w:r>
    </w:p>
  </w:footnote>
  <w:footnote w:id="53">
    <w:p w14:paraId="1FBBB5E3"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  </w:t>
      </w:r>
    </w:p>
  </w:footnote>
  <w:footnote w:id="54">
    <w:p w14:paraId="7F3D8C6B"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Anexo 5. Correspondencia entre la familia Langton y las autoridades venezolanas. Anexo 5(c) a la petición.  </w:t>
      </w:r>
    </w:p>
  </w:footnote>
  <w:footnote w:id="55">
    <w:p w14:paraId="1563E84A"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56">
    <w:p w14:paraId="7740E598"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  </w:t>
      </w:r>
    </w:p>
  </w:footnote>
  <w:footnote w:id="57">
    <w:p w14:paraId="0FB4FAD2"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58">
    <w:p w14:paraId="2D0714D8"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  </w:t>
      </w:r>
    </w:p>
  </w:footnote>
  <w:footnote w:id="59">
    <w:p w14:paraId="03B7720C"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60">
    <w:p w14:paraId="2F9EE617"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61">
    <w:p w14:paraId="1AB06562" w14:textId="7E89F4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5(a)-5(n) a la petición; Anexo 7. Oficio No. 1803-02 del Juzgado Primero de Primera Instancia en lo Penal en Funciones de Ejecución del 19 de julio de 2002 y folios adjuntos. Anexo 7 a la petición; Anexo 13. Correo del Embajador del Reino Unido en Caracas del 9 de marzo de 2011. Anexo 15 al Escrito de Observaciones; Anexo 20. Carta de la Embajada del Reino Unido en Venezuela a la Directora General de Custodia y Rehabilitación del Recluso del 3 de enero de 2002. Anexo 23 al Escrito de Observaciones.</w:t>
      </w:r>
    </w:p>
  </w:footnote>
  <w:footnote w:id="62">
    <w:p w14:paraId="611D2A37" w14:textId="374013CB"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2. Nota informativa emitida por la Dirección General de Custodia y Rehabilitación del Recluso al Viceministro de Seguridad Ciudadana el 11 de marzo de 2001.  Anexo 2 a la petición.</w:t>
      </w:r>
    </w:p>
  </w:footnote>
  <w:footnote w:id="63">
    <w:p w14:paraId="415C823D"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64">
    <w:p w14:paraId="546A8A5A" w14:textId="3A90E9DD"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Anexo 5. Correspondencia entre la familia Langton y las autoridades venezolanas. Anexo 5(a)-5(n) a la petición. </w:t>
      </w:r>
    </w:p>
  </w:footnote>
  <w:footnote w:id="65">
    <w:p w14:paraId="74FE7B2A" w14:textId="03D8053B"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5(k) a la petición.  </w:t>
      </w:r>
    </w:p>
  </w:footnote>
  <w:footnote w:id="66">
    <w:p w14:paraId="0AB60176"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67">
    <w:p w14:paraId="48F99BC6"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68">
    <w:p w14:paraId="33AD2F75"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69">
    <w:p w14:paraId="7B9DB0BE"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70">
    <w:p w14:paraId="341D9185"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71">
    <w:p w14:paraId="1ABFBDA0"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72">
    <w:p w14:paraId="4452A556"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73">
    <w:p w14:paraId="4D54A50E"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74">
    <w:p w14:paraId="57602159"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75">
    <w:p w14:paraId="74FD6E3F"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 Sentencia del Tribunal de Primera Instancia en Funciones de Control No. 03 del 29 de octubre de 2010. Anexo 1 a la petición. </w:t>
      </w:r>
    </w:p>
  </w:footnote>
  <w:footnote w:id="76">
    <w:p w14:paraId="584902A0" w14:textId="6AA60FC4"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4.1 establece: “Toda persona tiene derecho a que se respete su vida. Este derecho estará́ protegido por la ley y, en general, a partir del momento de la concepción. Nadie puede ser privado de la vida arbitrariamente”.</w:t>
      </w:r>
    </w:p>
  </w:footnote>
  <w:footnote w:id="77">
    <w:p w14:paraId="0E5771B0" w14:textId="4050EF22" w:rsidR="00384416" w:rsidRPr="0028728D" w:rsidRDefault="00384416" w:rsidP="00B06579">
      <w:pPr>
        <w:shd w:val="clear" w:color="auto" w:fill="FFFFFF"/>
        <w:tabs>
          <w:tab w:val="num" w:pos="720"/>
          <w:tab w:val="left" w:pos="1440"/>
          <w:tab w:val="num" w:pos="204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5 establece en lo pertinente: “1. Toda persona tiene derecho a que se respete su integridad física, psíquica y moral. 2. Nadie debe ser sometido a torturas ni a penas o tratos crueles, inhumanos o degradantes. Toda persona privada de libertad será tratada con el respeto debido a la dignidad inherente al ser humano.</w:t>
      </w:r>
    </w:p>
  </w:footnote>
  <w:footnote w:id="78">
    <w:p w14:paraId="26F5EB5E" w14:textId="2B2CFAB0"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26 establece: “Los Estados partes se comprometen a adoptar providencias, tanto a nivel interno como mediante la cooperación internacional, especialmente económica y técnica, para lograr progresivamente la plena efectividad de los derechos que se derivan de las normas económicas, sociales y sobre educación, ciencia y cultura, contenidas en la Carta de la Organización de los Estados Americanos, reformada por el Protocolo de Buenos Aires, en la medida de los recursos disponibles, por vía legislativa u otros medios apropiados”.</w:t>
      </w:r>
    </w:p>
  </w:footnote>
  <w:footnote w:id="79">
    <w:p w14:paraId="343AEB1D" w14:textId="77777777" w:rsidR="00384416" w:rsidRPr="0028728D" w:rsidRDefault="00384416" w:rsidP="00B06579">
      <w:pPr>
        <w:shd w:val="clear" w:color="auto" w:fill="FFFFFF"/>
        <w:tabs>
          <w:tab w:val="num" w:pos="720"/>
          <w:tab w:val="left" w:pos="1440"/>
          <w:tab w:val="num" w:pos="204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1.1 establece en lo pertinente: 1. “Los Estados Partes […] se comprometen a respetar los derechos y libertades reconocidos en ella y a garantizar su libre y pleno ejercicio a toda persona que esté sujeta a su jurisdicción, sin discriminación alguna […]”.</w:t>
      </w:r>
    </w:p>
  </w:footnote>
  <w:footnote w:id="80">
    <w:p w14:paraId="62AD5029" w14:textId="09FD9713" w:rsidR="00384416" w:rsidRPr="0028728D" w:rsidRDefault="00384416" w:rsidP="00B06579">
      <w:pPr>
        <w:pStyle w:val="FootnoteText"/>
        <w:jc w:val="both"/>
        <w:rPr>
          <w:rFonts w:ascii="Cambria" w:hAnsi="Cambria"/>
          <w:sz w:val="16"/>
          <w:szCs w:val="16"/>
          <w:lang w:val="es-ES"/>
        </w:rPr>
      </w:pPr>
      <w:r w:rsidRPr="0028728D">
        <w:rPr>
          <w:rStyle w:val="FootnoteReference"/>
          <w:rFonts w:ascii="Cambria" w:hAnsi="Cambria"/>
          <w:sz w:val="16"/>
          <w:szCs w:val="16"/>
          <w:lang w:val="es-ES"/>
        </w:rPr>
        <w:footnoteRef/>
      </w:r>
      <w:r w:rsidRPr="0028728D">
        <w:rPr>
          <w:rFonts w:ascii="Cambria" w:hAnsi="Cambria"/>
          <w:sz w:val="16"/>
          <w:szCs w:val="16"/>
          <w:lang w:val="es-ES"/>
        </w:rPr>
        <w:t xml:space="preserve"> El artículo 2 establece: “Si el ejercicio de los derechos y libertades mencionados en el artículo 1 no estuviere ya garantizado por disposiciones legislativas o de otro carácter, los Estados partes se comprometen a adoptar, con arreglo a sus procedimientos constitucionales y a las disposiciones de esta Convención, las medidas legislativas o de otro carácter que fueren necesarias para hacer efectivos tales derechos y libertades”.</w:t>
      </w:r>
    </w:p>
  </w:footnote>
  <w:footnote w:id="81">
    <w:p w14:paraId="7EB1C5A3" w14:textId="7BF2D3F3" w:rsidR="00384416" w:rsidRPr="0028728D" w:rsidRDefault="00384416" w:rsidP="00B06579">
      <w:pPr>
        <w:pStyle w:val="FootnoteText"/>
        <w:tabs>
          <w:tab w:val="left" w:pos="720"/>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CIDH. Informe No. 117/18. Caso 12.829. Fondo. Olimpiades González y otros. Venezuela. 5 de octubre de 2018, párr. 97; CIDH. Caso 12.270. Informe No. 2/15. Fondo. Johan Alexis Ortiz Hernández. Venezuela. 29 de enero de 2015, párr. 185.</w:t>
      </w:r>
    </w:p>
  </w:footnote>
  <w:footnote w:id="82">
    <w:p w14:paraId="04F8011E" w14:textId="77777777" w:rsidR="00384416" w:rsidRPr="0028728D" w:rsidRDefault="00384416" w:rsidP="00B06579">
      <w:pPr>
        <w:pStyle w:val="FootnoteText"/>
        <w:tabs>
          <w:tab w:val="left" w:pos="720"/>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w:t>
      </w:r>
      <w:r w:rsidRPr="0028728D">
        <w:rPr>
          <w:rFonts w:ascii="Cambria" w:hAnsi="Cambria"/>
          <w:bCs/>
          <w:color w:val="000000" w:themeColor="text1"/>
          <w:sz w:val="16"/>
          <w:szCs w:val="16"/>
          <w:lang w:val="es-ES"/>
        </w:rPr>
        <w:t xml:space="preserve">Caso Zambrano Vélez y otros vs. Ecuador. </w:t>
      </w:r>
      <w:r w:rsidRPr="0028728D">
        <w:rPr>
          <w:rFonts w:ascii="Cambria" w:hAnsi="Cambria"/>
          <w:color w:val="000000" w:themeColor="text1"/>
          <w:sz w:val="16"/>
          <w:szCs w:val="16"/>
          <w:lang w:val="es-ES"/>
        </w:rPr>
        <w:t xml:space="preserve">Fondo, Reparaciones y Costas. Sentencia de 4 de julio de 2007. Serie C No. 166, párr. 80. </w:t>
      </w:r>
    </w:p>
  </w:footnote>
  <w:footnote w:id="83">
    <w:p w14:paraId="6AD09F2C"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CIDH. Caso 12.738. Informe No. 64/18. Fondo. Opario Lemoth Morris y otros (Buzos Miskitos). Honduras. 8 de mayo de 2018, párr. 188.</w:t>
      </w:r>
    </w:p>
  </w:footnote>
  <w:footnote w:id="84">
    <w:p w14:paraId="02364294" w14:textId="6C7AD20B"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CIDH. Informe de fondo No. 380/20. Caso 13.193. Thomas Scot Cochran. Costa Rica. 15 de diciembre de 2020, párr. 96; Ver también Corte IDH. Caso Gonzales Lluy y otros Vs. Ecuador. Excepciones Preliminares, Fondo, Reparaciones y Costas. Sentencia de 1 de septiembre de 2015. Serie C No. 298, párr. 171.</w:t>
      </w:r>
    </w:p>
  </w:footnote>
  <w:footnote w:id="85">
    <w:p w14:paraId="20BAF37B" w14:textId="5D5CA9FD" w:rsidR="00384416" w:rsidRPr="00526C42" w:rsidRDefault="00384416" w:rsidP="00B06579">
      <w:pPr>
        <w:pStyle w:val="FootnoteText"/>
        <w:jc w:val="both"/>
        <w:rPr>
          <w:rFonts w:ascii="Cambria" w:hAnsi="Cambria"/>
          <w:sz w:val="16"/>
          <w:szCs w:val="16"/>
          <w:lang w:val="es-MX"/>
        </w:rPr>
      </w:pPr>
      <w:r w:rsidRPr="00526C42">
        <w:rPr>
          <w:rStyle w:val="FootnoteReference"/>
          <w:rFonts w:ascii="Cambria" w:hAnsi="Cambria"/>
          <w:sz w:val="16"/>
          <w:szCs w:val="16"/>
        </w:rPr>
        <w:footnoteRef/>
      </w:r>
      <w:r w:rsidRPr="00526C42">
        <w:rPr>
          <w:rFonts w:ascii="Cambria" w:hAnsi="Cambria"/>
          <w:sz w:val="16"/>
          <w:szCs w:val="16"/>
          <w:lang w:val="es-MX"/>
        </w:rPr>
        <w:t xml:space="preserve"> Corte IDH. Caso Chinchilla Sandoval y otros Vs. Guatemala. Excepción Preliminar, Fondo, Reparaciones y Costas. Sentencia de 29 de febrero de 2016. Serie C No. 312, párr. 170</w:t>
      </w:r>
      <w:r>
        <w:rPr>
          <w:rFonts w:ascii="Cambria" w:hAnsi="Cambria"/>
          <w:sz w:val="16"/>
          <w:szCs w:val="16"/>
          <w:lang w:val="es-MX"/>
        </w:rPr>
        <w:t>.</w:t>
      </w:r>
    </w:p>
  </w:footnote>
  <w:footnote w:id="86">
    <w:p w14:paraId="76A4CA3B" w14:textId="0BBE35E9"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CIDH. Informe de fondo No. 380/20. Caso 13.193. Thomas Scot Cochran. Costa Rica. 15 de diciembre de 2020, párr. 96; Corte IDH. Caso Poblete Vilches y otros Vs. Chile. Fondo, Reparaciones y Costas. Sentencia de 8 de marzo de 2018. Serie C No. 349, paras. 100 y ss.; CorteIDH. Caso Cuscul Piraval y otros vs. Guatemala. Excepción preliminar, Fondo, Reparaciones y Costas. Sentencia de 23 de agosto de 2018. Serie C No. 359, paras 98 y ss.</w:t>
      </w:r>
    </w:p>
  </w:footnote>
  <w:footnote w:id="87">
    <w:p w14:paraId="2AEF288E" w14:textId="1B26EE42"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CIDH. Informe de fondo No. 236/19. Caso 13.002. Cristina Britez Arce y Familia, Argentina. 6 de diciembre de 2019, párr. 64.</w:t>
      </w:r>
    </w:p>
  </w:footnote>
  <w:footnote w:id="88">
    <w:p w14:paraId="33F3A861"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Hernández Vs. Argentina. Excepción Preliminar, Fondo, Reparaciones y Costas. Sentencia de 22 de noviembre de 2019. Serie C No. 395, párr. 96. </w:t>
      </w:r>
    </w:p>
  </w:footnote>
  <w:footnote w:id="89">
    <w:p w14:paraId="222849CB" w14:textId="77777777" w:rsidR="00384416" w:rsidRPr="0028728D" w:rsidRDefault="00384416" w:rsidP="00B06579">
      <w:pPr>
        <w:pStyle w:val="FootnoteText"/>
        <w:rPr>
          <w:rFonts w:ascii="Cambria" w:hAnsi="Cambria"/>
          <w:color w:val="auto"/>
          <w:sz w:val="16"/>
          <w:szCs w:val="16"/>
          <w:lang w:val="es-ES"/>
        </w:rPr>
      </w:pPr>
      <w:r w:rsidRPr="0028728D">
        <w:rPr>
          <w:rStyle w:val="FootnoteReference"/>
          <w:rFonts w:ascii="Cambria" w:hAnsi="Cambria"/>
          <w:color w:val="auto"/>
          <w:sz w:val="16"/>
          <w:szCs w:val="16"/>
        </w:rPr>
        <w:footnoteRef/>
      </w:r>
      <w:r w:rsidRPr="0028728D">
        <w:rPr>
          <w:rFonts w:ascii="Cambria" w:hAnsi="Cambria"/>
          <w:color w:val="auto"/>
          <w:sz w:val="16"/>
          <w:szCs w:val="16"/>
          <w:lang w:val="es-ES"/>
        </w:rPr>
        <w:t xml:space="preserve"> Corte IDH. Caso Cuscul Pivaral y otros vs</w:t>
      </w:r>
      <w:r w:rsidRPr="0028728D">
        <w:rPr>
          <w:rFonts w:ascii="Cambria" w:hAnsi="Cambria"/>
          <w:i/>
          <w:iCs/>
          <w:color w:val="auto"/>
          <w:sz w:val="16"/>
          <w:szCs w:val="16"/>
          <w:lang w:val="es-ES"/>
        </w:rPr>
        <w:t>. Guatemala</w:t>
      </w:r>
      <w:r w:rsidRPr="0028728D">
        <w:rPr>
          <w:rFonts w:ascii="Cambria" w:hAnsi="Cambria"/>
          <w:color w:val="auto"/>
          <w:sz w:val="16"/>
          <w:szCs w:val="16"/>
          <w:lang w:val="es-ES"/>
        </w:rPr>
        <w:t>. Excepción Preliminar, Fondo, Reparaciones y Costas. Sentencia de 23 de agosto de 2018. Serie C No. 359. Párr. 105.</w:t>
      </w:r>
    </w:p>
  </w:footnote>
  <w:footnote w:id="90">
    <w:p w14:paraId="7EA3B394" w14:textId="77777777" w:rsidR="00384416" w:rsidRPr="0028728D" w:rsidRDefault="00384416" w:rsidP="00B06579">
      <w:pPr>
        <w:pStyle w:val="FootnoteText"/>
        <w:rPr>
          <w:rFonts w:ascii="Cambria" w:hAnsi="Cambria"/>
          <w:color w:val="auto"/>
          <w:sz w:val="16"/>
          <w:szCs w:val="16"/>
          <w:lang w:val="es-ES"/>
        </w:rPr>
      </w:pPr>
      <w:r w:rsidRPr="0028728D">
        <w:rPr>
          <w:rStyle w:val="FootnoteReference"/>
          <w:rFonts w:ascii="Cambria" w:hAnsi="Cambria"/>
          <w:color w:val="auto"/>
          <w:sz w:val="16"/>
          <w:szCs w:val="16"/>
        </w:rPr>
        <w:footnoteRef/>
      </w:r>
      <w:r w:rsidRPr="0028728D">
        <w:rPr>
          <w:rFonts w:ascii="Cambria" w:hAnsi="Cambria"/>
          <w:color w:val="auto"/>
          <w:sz w:val="16"/>
          <w:szCs w:val="16"/>
          <w:lang w:val="es-ES"/>
        </w:rPr>
        <w:t xml:space="preserve"> Corte IDH. Caso Suárez Peralta vs. Ecuador</w:t>
      </w:r>
      <w:r w:rsidRPr="0028728D">
        <w:rPr>
          <w:rFonts w:ascii="Cambria" w:hAnsi="Cambria"/>
          <w:i/>
          <w:iCs/>
          <w:color w:val="auto"/>
          <w:sz w:val="16"/>
          <w:szCs w:val="16"/>
          <w:lang w:val="es-ES"/>
        </w:rPr>
        <w:t xml:space="preserve">. </w:t>
      </w:r>
      <w:r w:rsidRPr="0028728D">
        <w:rPr>
          <w:rFonts w:ascii="Cambria" w:hAnsi="Cambria"/>
          <w:color w:val="auto"/>
          <w:sz w:val="16"/>
          <w:szCs w:val="16"/>
          <w:lang w:val="es-ES"/>
        </w:rPr>
        <w:t>Excepciones Preliminares, Fondo, Reparaciones y Costas. Sentencia de 21 de mayo de 2013. Serie C No. 261.</w:t>
      </w:r>
    </w:p>
  </w:footnote>
  <w:footnote w:id="91">
    <w:p w14:paraId="59AD4A49" w14:textId="77777777" w:rsidR="00384416" w:rsidRPr="0028728D" w:rsidRDefault="00384416" w:rsidP="00B06579">
      <w:pPr>
        <w:pStyle w:val="FootnoteText"/>
        <w:rPr>
          <w:rFonts w:ascii="Cambria" w:hAnsi="Cambria"/>
          <w:color w:val="auto"/>
          <w:sz w:val="16"/>
          <w:szCs w:val="16"/>
          <w:lang w:val="es-ES"/>
        </w:rPr>
      </w:pPr>
      <w:r w:rsidRPr="0028728D">
        <w:rPr>
          <w:rStyle w:val="FootnoteReference"/>
          <w:rFonts w:ascii="Cambria" w:hAnsi="Cambria"/>
          <w:color w:val="auto"/>
          <w:sz w:val="16"/>
          <w:szCs w:val="16"/>
        </w:rPr>
        <w:footnoteRef/>
      </w:r>
      <w:r w:rsidRPr="0028728D">
        <w:rPr>
          <w:rFonts w:ascii="Cambria" w:hAnsi="Cambria"/>
          <w:color w:val="auto"/>
          <w:sz w:val="16"/>
          <w:szCs w:val="16"/>
          <w:lang w:val="es-ES"/>
        </w:rPr>
        <w:t xml:space="preserve"> Corte IDH. Caso Vera Vera y otra Vs. Ecuador. Excepción Preliminar, Fondo, Reparaciones y Costas. Sentencia de 19 de mayo de 2011. Serie C No. 226, párr. 44. </w:t>
      </w:r>
    </w:p>
  </w:footnote>
  <w:footnote w:id="92">
    <w:p w14:paraId="6807BD4A" w14:textId="77777777" w:rsidR="00384416" w:rsidRPr="0028728D" w:rsidRDefault="00384416" w:rsidP="00B06579">
      <w:pPr>
        <w:pStyle w:val="FootnoteText"/>
        <w:rPr>
          <w:rFonts w:ascii="Cambria" w:hAnsi="Cambria"/>
          <w:color w:val="auto"/>
          <w:sz w:val="16"/>
          <w:szCs w:val="16"/>
          <w:lang w:val="es-ES"/>
        </w:rPr>
      </w:pPr>
      <w:r w:rsidRPr="0028728D">
        <w:rPr>
          <w:rStyle w:val="FootnoteReference"/>
          <w:rFonts w:ascii="Cambria" w:hAnsi="Cambria"/>
          <w:color w:val="auto"/>
          <w:sz w:val="16"/>
          <w:szCs w:val="16"/>
        </w:rPr>
        <w:footnoteRef/>
      </w:r>
      <w:r w:rsidRPr="0028728D">
        <w:rPr>
          <w:rFonts w:ascii="Cambria" w:hAnsi="Cambria"/>
          <w:color w:val="auto"/>
          <w:sz w:val="16"/>
          <w:szCs w:val="16"/>
          <w:lang w:val="es-ES"/>
        </w:rPr>
        <w:t xml:space="preserve"> Corte IDH. Caso Hernández Vs. Argentina. Excepción Preliminar, Fondo, Reparaciones y Costas. </w:t>
      </w:r>
      <w:r w:rsidRPr="0028728D">
        <w:rPr>
          <w:rFonts w:ascii="Cambria" w:hAnsi="Cambria"/>
          <w:color w:val="auto"/>
          <w:sz w:val="16"/>
          <w:szCs w:val="16"/>
          <w:lang w:val="es-US"/>
        </w:rPr>
        <w:t>Sentencia de 22 de noviembre de 2019. Serie C No. 395.</w:t>
      </w:r>
    </w:p>
  </w:footnote>
  <w:footnote w:id="93">
    <w:p w14:paraId="0592045B" w14:textId="5A721ED2"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“Instituto de Reeducación del Menor” v. Paraguay. Sentencia de 2 de septiembre de 2004, párr. 152; Caso Mendoza v. Argentina. Sentencia de 14 de mayo de 2013, párr. 188; véase también Caso Caesar v. Trinidad y Tobago. Sentencia 11 de marzo 2005, párr. 97; Caso Fermín Ramírez v. Guatemala. Sentencia de 20 de junio de 2005, párr. 118.</w:t>
      </w:r>
    </w:p>
  </w:footnote>
  <w:footnote w:id="94">
    <w:p w14:paraId="3BEB4986" w14:textId="77777777" w:rsidR="00384416" w:rsidRPr="0028728D" w:rsidRDefault="00384416" w:rsidP="00B06579">
      <w:pPr>
        <w:pStyle w:val="FootnoteText"/>
        <w:rPr>
          <w:rFonts w:ascii="Cambria" w:hAnsi="Cambria"/>
          <w:color w:val="auto"/>
          <w:sz w:val="16"/>
          <w:szCs w:val="16"/>
          <w:lang w:val="es-ES"/>
        </w:rPr>
      </w:pPr>
      <w:r w:rsidRPr="0028728D">
        <w:rPr>
          <w:rStyle w:val="FootnoteReference"/>
          <w:rFonts w:ascii="Cambria" w:hAnsi="Cambria"/>
          <w:color w:val="auto"/>
          <w:sz w:val="16"/>
          <w:szCs w:val="16"/>
        </w:rPr>
        <w:footnoteRef/>
      </w:r>
      <w:r w:rsidRPr="0028728D">
        <w:rPr>
          <w:rFonts w:ascii="Cambria" w:hAnsi="Cambria"/>
          <w:color w:val="auto"/>
          <w:sz w:val="16"/>
          <w:szCs w:val="16"/>
          <w:lang w:val="es-ES"/>
        </w:rPr>
        <w:t xml:space="preserve"> Corte IDH. Caso Mendoza vs. Argentina. Sentencia de 14 de mayo de 2013, párr. 203. </w:t>
      </w:r>
    </w:p>
  </w:footnote>
  <w:footnote w:id="95">
    <w:p w14:paraId="4C706CED" w14:textId="77777777" w:rsidR="00384416" w:rsidRPr="0028728D" w:rsidRDefault="00384416" w:rsidP="00B06579">
      <w:pPr>
        <w:pStyle w:val="FootnoteText"/>
        <w:rPr>
          <w:rFonts w:ascii="Cambria" w:hAnsi="Cambria"/>
          <w:color w:val="auto"/>
          <w:sz w:val="16"/>
          <w:szCs w:val="16"/>
          <w:lang w:val="es-ES"/>
        </w:rPr>
      </w:pPr>
      <w:r w:rsidRPr="0028728D">
        <w:rPr>
          <w:rStyle w:val="FootnoteReference"/>
          <w:rFonts w:ascii="Cambria" w:hAnsi="Cambria"/>
          <w:color w:val="auto"/>
          <w:sz w:val="16"/>
          <w:szCs w:val="16"/>
        </w:rPr>
        <w:footnoteRef/>
      </w:r>
      <w:r w:rsidRPr="0028728D">
        <w:rPr>
          <w:rFonts w:ascii="Cambria" w:hAnsi="Cambria"/>
          <w:color w:val="auto"/>
          <w:sz w:val="16"/>
          <w:szCs w:val="16"/>
          <w:lang w:val="es-ES"/>
        </w:rPr>
        <w:t xml:space="preserve"> Corte IDH. Caso Mendoza vs. Argentina. Sentencia de 14 de mayo de 2013, párr. 203. CIDH. Informe No. 119/18. Caso 12.814. Fondo. Orlando Edgardo Olivares Muñoz y otros (Muertes en la Cárcel de Vista Hermosa). Venezuela. 5 de octubre de 2018. párr. 65</w:t>
      </w:r>
    </w:p>
  </w:footnote>
  <w:footnote w:id="96">
    <w:p w14:paraId="137DE0AA"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Díaz Peña Vs. Venezuela. Excepción Preliminar, Fondo, Reparaciones y Costas. Sentencia de 26 de junio de 2012. Serie C No. 244, para. 135; Caso J. Vs. Perú. Excepción Preliminar, Fondo, Reparaciones y Costas. Sentencia de 27 de noviembre de 2013, párr. 372.</w:t>
      </w:r>
    </w:p>
  </w:footnote>
  <w:footnote w:id="97">
    <w:p w14:paraId="5F208BF5"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Pacheco Teruel y otros Vs. Honduras. Fondo, Reparaciones y Costas. Sentencia de 27 de abril de 2012. Serie C No. 241, para. 67.</w:t>
      </w:r>
    </w:p>
  </w:footnote>
  <w:footnote w:id="98">
    <w:p w14:paraId="129CFCC9" w14:textId="6A5EB6FE"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Vera Vera y otra Vs. Ecuador. Excepción Preliminar, Fondo, Reparaciones y Costas. Sentencia de 19 de mayo de 2011. Serie C No. 226, párr. 50; Corte IDH. Caso Mendoza y otros Vs. Argentina. Excepciones Preliminares, Fondo y Reparaciones. Sentencia de 14 de mayo de 2013 Serie C No. 260, párr. 189; CIDH. Informe No. 7/14. Caso 12.739. Fondo. María Inés Chinchilla Sandoval y otros. Guatemala. 2 de abril de 2014, párr. 127.</w:t>
      </w:r>
    </w:p>
  </w:footnote>
  <w:footnote w:id="99">
    <w:p w14:paraId="7F2717E3" w14:textId="73A79CEC"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w:t>
      </w:r>
      <w:r w:rsidRPr="0028728D">
        <w:rPr>
          <w:rFonts w:ascii="Cambria" w:eastAsia="Times New Roman" w:hAnsi="Cambria" w:cs="Arial"/>
          <w:color w:val="000000" w:themeColor="text1"/>
          <w:sz w:val="16"/>
          <w:szCs w:val="16"/>
          <w:shd w:val="clear" w:color="auto" w:fill="FFFFFF"/>
          <w:lang w:val="es-ES" w:eastAsia="ko-KR"/>
        </w:rPr>
        <w:t>Corte IDH. Caso Vera Vera y otra Vs. Ecuador. Excepción Preliminar, Fondo, Reparaciones y Costas. Sentencia de 19 de mayo de 2011. Serie C No. 226, párr. 50.</w:t>
      </w:r>
    </w:p>
  </w:footnote>
  <w:footnote w:id="100">
    <w:p w14:paraId="19CC6B22" w14:textId="095FC16F"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w:t>
      </w:r>
      <w:r w:rsidRPr="0028728D">
        <w:rPr>
          <w:rFonts w:ascii="Cambria" w:eastAsia="Times New Roman" w:hAnsi="Cambria" w:cs="Arial"/>
          <w:color w:val="000000" w:themeColor="text1"/>
          <w:sz w:val="16"/>
          <w:szCs w:val="16"/>
          <w:shd w:val="clear" w:color="auto" w:fill="FFFFFF"/>
          <w:lang w:val="es-ES" w:eastAsia="ko-KR"/>
        </w:rPr>
        <w:t>Corte IDH. Caso Vera Vera y otra Vs. Ecuador. Excepción Preliminar, Fondo, Reparaciones y Costas. Sentencia de 19 de mayo de 2011. Serie C No. 226, párr. 51</w:t>
      </w:r>
      <w:r w:rsidRPr="0028728D">
        <w:rPr>
          <w:rFonts w:ascii="Cambria" w:hAnsi="Cambria" w:cs="Arial"/>
          <w:color w:val="000000" w:themeColor="text1"/>
          <w:sz w:val="16"/>
          <w:szCs w:val="16"/>
          <w:lang w:val="es-ES"/>
        </w:rPr>
        <w:t>.</w:t>
      </w:r>
    </w:p>
  </w:footnote>
  <w:footnote w:id="101">
    <w:p w14:paraId="239247FC" w14:textId="392FC6AF"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CIDH. Informe de fondo No. 380/20. Caso 13.193. Thomas Scot Cochran. Costa Rica. 15 de diciembre de 2020, párr. 97; Comité Europeo para la Prevención de la Tortura y Tratos Inhumanos Crueles y Degradantes, Tercer Informe General de Actividades durante el período de 1 de </w:t>
      </w:r>
      <w:r w:rsidR="00B06579">
        <w:rPr>
          <w:rFonts w:ascii="Cambria" w:hAnsi="Cambria" w:cs="Times New Roman"/>
          <w:color w:val="000000" w:themeColor="text1"/>
          <w:sz w:val="16"/>
          <w:szCs w:val="16"/>
          <w:lang w:val="es-ES"/>
        </w:rPr>
        <w:t>E</w:t>
      </w:r>
      <w:r w:rsidRPr="0028728D">
        <w:rPr>
          <w:rFonts w:ascii="Cambria" w:hAnsi="Cambria" w:cs="Times New Roman"/>
          <w:color w:val="000000" w:themeColor="text1"/>
          <w:sz w:val="16"/>
          <w:szCs w:val="16"/>
          <w:lang w:val="es-ES"/>
        </w:rPr>
        <w:t>nero a Diciembre de 1992. Ref.: CPT/Inf (93)12 publicado el 4 de junio de1993, párr. 38.</w:t>
      </w:r>
    </w:p>
  </w:footnote>
  <w:footnote w:id="102">
    <w:p w14:paraId="3DE05B6C" w14:textId="641B4975"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CIDH. Informe de fondo No. 380/20. Caso 13.193. Thomas Scot Cochran. Costa Rica. 15 de diciembre de 2020, párr. 97; CIDH. Informe No. 7/14. Caso 12.739. Informe de Fondo. María Inés Chinchilla Sandoval y otros. Guatemala. OEA/Ser.L/V/II.150. Doc. 11. 2 abril 2014. </w:t>
      </w:r>
    </w:p>
  </w:footnote>
  <w:footnote w:id="103">
    <w:p w14:paraId="63202602" w14:textId="681032B3" w:rsidR="00384416" w:rsidRPr="0028728D" w:rsidRDefault="00384416" w:rsidP="00B06579">
      <w:pPr>
        <w:pStyle w:val="FootnoteText"/>
        <w:jc w:val="both"/>
        <w:rPr>
          <w:rFonts w:ascii="Cambria" w:hAnsi="Cambria" w:cs="Times New Roman"/>
          <w:color w:val="000000" w:themeColor="text1"/>
          <w:sz w:val="16"/>
          <w:szCs w:val="16"/>
          <w:lang w:val="es-ES"/>
        </w:rPr>
      </w:pPr>
      <w:r w:rsidRPr="0028728D">
        <w:rPr>
          <w:rStyle w:val="FootnoteReference"/>
          <w:rFonts w:ascii="Cambria" w:hAnsi="Cambria" w:cs="Times New Roman"/>
          <w:color w:val="000000" w:themeColor="text1"/>
          <w:sz w:val="16"/>
          <w:szCs w:val="16"/>
          <w:lang w:val="es-ES"/>
        </w:rPr>
        <w:footnoteRef/>
      </w:r>
      <w:r w:rsidRPr="0028728D">
        <w:rPr>
          <w:rFonts w:ascii="Cambria" w:hAnsi="Cambria" w:cs="Times New Roman"/>
          <w:color w:val="000000" w:themeColor="text1"/>
          <w:sz w:val="16"/>
          <w:szCs w:val="16"/>
          <w:lang w:val="es-ES"/>
        </w:rPr>
        <w:t xml:space="preserve"> Corte IDH, Caso Chinchilla Sandoval y otros Vs. Guatemala. Excepción Preliminar, Fondo, Reparaciones y Costas. Sentencia de 29 de febrero de 2016. Serie C No. 312, paras. 189 y 216. </w:t>
      </w:r>
    </w:p>
  </w:footnote>
  <w:footnote w:id="104">
    <w:p w14:paraId="03B490D0" w14:textId="2EF06774"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Chinchilla Sandoval y otros Vs. Guatemala. Excepción Preliminar, Fondo, Reparaciones y Costas. Sentencia de 29 de febrero de 2016. Serie C No. 312, párr. 189. Comité Europeo para la Prevención de la Tortura y Tratos Inhumanos Crueles y Degradantes, Tercer Informe General de Actividades durante el período de 1 de Enero a Diciembre de 1992. Ref.: CPT/Inf (93) 12, publicado el 4 de junio de1993, párr. 38. </w:t>
      </w:r>
    </w:p>
  </w:footnote>
  <w:footnote w:id="105">
    <w:p w14:paraId="41243EA0" w14:textId="03EC9625" w:rsidR="00384416" w:rsidRPr="0028728D" w:rsidRDefault="00384416" w:rsidP="00B06579">
      <w:pPr>
        <w:jc w:val="both"/>
        <w:rPr>
          <w:rFonts w:ascii="Cambria" w:hAnsi="Cambria"/>
          <w:color w:val="000000" w:themeColor="text1"/>
          <w:sz w:val="16"/>
          <w:szCs w:val="16"/>
          <w:lang w:val="es-ES"/>
        </w:rPr>
      </w:pPr>
      <w:r w:rsidRPr="0028728D">
        <w:rPr>
          <w:rStyle w:val="FootnoteReference"/>
          <w:rFonts w:ascii="Cambria" w:eastAsia="Times" w:hAnsi="Cambria"/>
          <w:color w:val="000000" w:themeColor="text1"/>
          <w:sz w:val="16"/>
          <w:szCs w:val="16"/>
          <w:lang w:val="es-ES" w:eastAsia="x-none"/>
        </w:rPr>
        <w:footnoteRef/>
      </w:r>
      <w:r w:rsidRPr="0028728D">
        <w:rPr>
          <w:rFonts w:ascii="Cambria" w:hAnsi="Cambria"/>
          <w:color w:val="000000" w:themeColor="text1"/>
          <w:sz w:val="16"/>
          <w:szCs w:val="16"/>
          <w:lang w:val="es-ES"/>
        </w:rPr>
        <w:t xml:space="preserve"> Corte IDH. Caso Chinchilla Sandoval y otros Vs. Guatemala. Excepción Preliminar, Fondo, Reparaciones y Costas. Sentencia de 29 de febrero de 2016. Serie C No. 312, párr. 189; TEDH, </w:t>
      </w:r>
      <w:r w:rsidRPr="0028728D">
        <w:rPr>
          <w:rFonts w:ascii="Cambria" w:hAnsi="Cambria" w:cs="AdvPLI"/>
          <w:color w:val="000000" w:themeColor="text1"/>
          <w:sz w:val="16"/>
          <w:szCs w:val="16"/>
          <w:lang w:val="es-ES"/>
        </w:rPr>
        <w:t xml:space="preserve">Tarariyeva v. Rusia. Aplicación </w:t>
      </w:r>
      <w:r w:rsidRPr="0028728D">
        <w:rPr>
          <w:rFonts w:ascii="Cambria" w:hAnsi="Cambria" w:cs="AdvPL"/>
          <w:color w:val="000000" w:themeColor="text1"/>
          <w:sz w:val="16"/>
          <w:szCs w:val="16"/>
          <w:lang w:val="es-ES"/>
        </w:rPr>
        <w:t xml:space="preserve">No. 4353/03. Sentencia de 14 de Diciembre de 2006, párr.87; </w:t>
      </w:r>
      <w:r w:rsidRPr="0028728D">
        <w:rPr>
          <w:rFonts w:ascii="Cambria" w:hAnsi="Cambria"/>
          <w:color w:val="000000" w:themeColor="text1"/>
          <w:sz w:val="16"/>
          <w:szCs w:val="16"/>
          <w:lang w:val="es-ES"/>
        </w:rPr>
        <w:t>TEDH, Sarban Vs. Moldova. Aplicación No. 3456/05. Sentencia de 4 de octubre de 2005. Final, 4 de enero de 2006, paras 75 y 76. TEDH. Paladi Vs. Moldova. Aplicación No. 39806/05. Sentencia de 10 de marzo de 2009.</w:t>
      </w:r>
    </w:p>
  </w:footnote>
  <w:footnote w:id="106">
    <w:p w14:paraId="2644669D"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Chinchilla Sandoval y otros Vs. Guatemala. Excepción Preliminar, Fondo, Reparaciones y Costas. Sentencia de 29 de febrero de 2016. Serie C No. 312, párr. 188. </w:t>
      </w:r>
    </w:p>
  </w:footnote>
  <w:footnote w:id="107">
    <w:p w14:paraId="58CFBE37"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Chinchilla Sandoval y otros Vs. Guatemala. Excepción Preliminar, Fondo, Reparaciones y Costas. Sentencia de 29 de febrero de 2016. Serie C No. 312, párr. 188. </w:t>
      </w:r>
    </w:p>
  </w:footnote>
  <w:footnote w:id="108">
    <w:p w14:paraId="2091B16D" w14:textId="2648A910"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Chinchilla Sandoval y otros Vs. Guatemala. Excepción Preliminar, Fondo, Reparaciones y Costas. Sentencia de 29 de febrero de 2016. Serie C No. 312, párr. 189. </w:t>
      </w:r>
    </w:p>
  </w:footnote>
  <w:footnote w:id="109">
    <w:p w14:paraId="564E34DD" w14:textId="641A26D8"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Hernández Vs. Argentina. Excepción Preliminar, Fondo, Reparaciones y Costas. Sentencia de 22 de noviembre de 2019. Serie C No. 395, párr. 88. </w:t>
      </w:r>
    </w:p>
  </w:footnote>
  <w:footnote w:id="110">
    <w:p w14:paraId="701A063E" w14:textId="2BF65993" w:rsidR="00384416" w:rsidRPr="003D7D4D" w:rsidRDefault="00384416" w:rsidP="00B06579">
      <w:pPr>
        <w:pStyle w:val="FootnoteText"/>
        <w:jc w:val="both"/>
        <w:rPr>
          <w:rFonts w:ascii="Cambria" w:hAnsi="Cambria"/>
          <w:sz w:val="16"/>
          <w:szCs w:val="16"/>
          <w:lang w:val="es-MX"/>
        </w:rPr>
      </w:pPr>
      <w:r w:rsidRPr="003D7D4D">
        <w:rPr>
          <w:rStyle w:val="FootnoteReference"/>
          <w:rFonts w:ascii="Cambria" w:hAnsi="Cambria"/>
          <w:sz w:val="16"/>
          <w:szCs w:val="16"/>
        </w:rPr>
        <w:footnoteRef/>
      </w:r>
      <w:r w:rsidRPr="003D7D4D">
        <w:rPr>
          <w:rFonts w:ascii="Cambria" w:hAnsi="Cambria"/>
          <w:sz w:val="16"/>
          <w:szCs w:val="16"/>
          <w:lang w:val="es-MX"/>
        </w:rPr>
        <w:t xml:space="preserve"> Corte IDH. Caso Chinchilla Sandoval y otros Vs. Guatemala. Excepción Preliminar, Fondo, Reparaciones y Costas. Sentencia de 29 de febrero de 2016. Serie C No. 312, párr. 188</w:t>
      </w:r>
      <w:r>
        <w:rPr>
          <w:rFonts w:ascii="Cambria" w:hAnsi="Cambria"/>
          <w:sz w:val="16"/>
          <w:szCs w:val="16"/>
          <w:lang w:val="es-MX"/>
        </w:rPr>
        <w:t>.</w:t>
      </w:r>
    </w:p>
  </w:footnote>
  <w:footnote w:id="111">
    <w:p w14:paraId="4BAB7ED0" w14:textId="77777777" w:rsidR="00384416" w:rsidRPr="0028728D" w:rsidRDefault="00384416" w:rsidP="00B06579">
      <w:pPr>
        <w:pStyle w:val="FootnoteText"/>
        <w:jc w:val="both"/>
        <w:rPr>
          <w:rFonts w:ascii="Cambria" w:hAnsi="Cambria"/>
          <w:sz w:val="16"/>
          <w:szCs w:val="16"/>
          <w:lang w:val="es-US"/>
        </w:rPr>
      </w:pPr>
      <w:r w:rsidRPr="0028728D">
        <w:rPr>
          <w:rStyle w:val="FootnoteReference"/>
          <w:rFonts w:ascii="Cambria" w:hAnsi="Cambria"/>
          <w:sz w:val="16"/>
          <w:szCs w:val="16"/>
        </w:rPr>
        <w:footnoteRef/>
      </w:r>
      <w:r w:rsidRPr="0028728D">
        <w:rPr>
          <w:rFonts w:ascii="Cambria" w:hAnsi="Cambria"/>
          <w:sz w:val="16"/>
          <w:szCs w:val="16"/>
          <w:lang w:val="es-US"/>
        </w:rPr>
        <w:t xml:space="preserve"> La cual ha indicado </w:t>
      </w:r>
      <w:r w:rsidRPr="0028728D">
        <w:rPr>
          <w:rFonts w:ascii="Cambria" w:hAnsi="Cambria"/>
          <w:sz w:val="16"/>
          <w:szCs w:val="16"/>
          <w:shd w:val="clear" w:color="auto" w:fill="FFFFFF"/>
          <w:lang w:val="es-US"/>
        </w:rPr>
        <w:t>es una enfermedad crónica que aparece cuando el páncreas no produce insulina suficiente o cuando el organismo no utiliza eficazmente la insulina que produce.</w:t>
      </w:r>
      <w:r w:rsidRPr="0028728D">
        <w:rPr>
          <w:rFonts w:ascii="Cambria" w:hAnsi="Cambria"/>
          <w:sz w:val="16"/>
          <w:szCs w:val="16"/>
          <w:lang w:val="es-US"/>
        </w:rPr>
        <w:t xml:space="preserve"> Organización Mundial de la Salud, </w:t>
      </w:r>
      <w:r w:rsidRPr="0028728D">
        <w:rPr>
          <w:rFonts w:ascii="Cambria" w:hAnsi="Cambria"/>
          <w:i/>
          <w:sz w:val="16"/>
          <w:szCs w:val="16"/>
          <w:lang w:val="es-US"/>
        </w:rPr>
        <w:t xml:space="preserve">Dieta, nutrición y prevención de enfermedades crónicas. Informe de una Consulta de Expertos OMS/FAO. </w:t>
      </w:r>
      <w:r w:rsidRPr="0028728D">
        <w:rPr>
          <w:rFonts w:ascii="Cambria" w:hAnsi="Cambria"/>
          <w:sz w:val="16"/>
          <w:szCs w:val="16"/>
          <w:lang w:val="es-US"/>
        </w:rPr>
        <w:t xml:space="preserve">OMS, Serie de Informes técnicos 916. Ginebra 2003, pág. 79.  Disponible en: </w:t>
      </w:r>
      <w:hyperlink r:id="rId9" w:history="1">
        <w:r w:rsidRPr="0028728D">
          <w:rPr>
            <w:rStyle w:val="Hyperlink"/>
            <w:rFonts w:ascii="Cambria" w:hAnsi="Cambria"/>
            <w:color w:val="auto"/>
            <w:sz w:val="16"/>
            <w:szCs w:val="16"/>
            <w:lang w:val="es-US"/>
          </w:rPr>
          <w:t>http://www.who.int/nutrition/publications/obesity/WHO_TRS_916_spa.pdf</w:t>
        </w:r>
      </w:hyperlink>
    </w:p>
  </w:footnote>
  <w:footnote w:id="112">
    <w:p w14:paraId="0D2CDA9E" w14:textId="77777777" w:rsidR="00384416" w:rsidRPr="0028728D" w:rsidRDefault="00384416" w:rsidP="00B06579">
      <w:pPr>
        <w:pStyle w:val="FootnoteText"/>
        <w:jc w:val="both"/>
        <w:rPr>
          <w:rFonts w:ascii="Cambria" w:hAnsi="Cambria"/>
          <w:sz w:val="16"/>
          <w:szCs w:val="16"/>
          <w:lang w:val="es-US"/>
        </w:rPr>
      </w:pPr>
      <w:r w:rsidRPr="0028728D">
        <w:rPr>
          <w:rStyle w:val="FootnoteReference"/>
          <w:rFonts w:ascii="Cambria" w:hAnsi="Cambria"/>
          <w:sz w:val="16"/>
          <w:szCs w:val="16"/>
        </w:rPr>
        <w:footnoteRef/>
      </w:r>
      <w:r w:rsidRPr="0028728D">
        <w:rPr>
          <w:rFonts w:ascii="Cambria" w:hAnsi="Cambria"/>
          <w:sz w:val="16"/>
          <w:szCs w:val="16"/>
          <w:lang w:val="es-US"/>
        </w:rPr>
        <w:t xml:space="preserve">Organización Mundial de la Salud, </w:t>
      </w:r>
      <w:r w:rsidRPr="0028728D">
        <w:rPr>
          <w:rFonts w:ascii="Cambria" w:hAnsi="Cambria"/>
          <w:i/>
          <w:sz w:val="16"/>
          <w:szCs w:val="16"/>
          <w:lang w:val="es-US"/>
        </w:rPr>
        <w:t xml:space="preserve">Dieta, nutrición y prevención de enfermedades crónicas. Informe de una Consulta de Expertos OMS/FAO. </w:t>
      </w:r>
      <w:r w:rsidRPr="0028728D">
        <w:rPr>
          <w:rFonts w:ascii="Cambria" w:hAnsi="Cambria"/>
          <w:sz w:val="16"/>
          <w:szCs w:val="16"/>
          <w:lang w:val="es-US"/>
        </w:rPr>
        <w:t xml:space="preserve">OMS, Serie de Informes técnicos 916. Ginebra 2003, pág. 79.  Disponible en: </w:t>
      </w:r>
      <w:hyperlink r:id="rId10" w:history="1">
        <w:r w:rsidRPr="0028728D">
          <w:rPr>
            <w:rStyle w:val="Hyperlink"/>
            <w:rFonts w:ascii="Cambria" w:hAnsi="Cambria"/>
            <w:color w:val="auto"/>
            <w:sz w:val="16"/>
            <w:szCs w:val="16"/>
            <w:lang w:val="es-US"/>
          </w:rPr>
          <w:t>http://www.who.int/nutrition/publications/obesity/WHO_TRS_916_spa.pdf</w:t>
        </w:r>
      </w:hyperlink>
    </w:p>
  </w:footnote>
  <w:footnote w:id="113">
    <w:p w14:paraId="0CCB85D7" w14:textId="77777777" w:rsidR="00384416" w:rsidRPr="00981BF7" w:rsidRDefault="00384416" w:rsidP="00B06579">
      <w:pPr>
        <w:pStyle w:val="FootnoteText"/>
        <w:jc w:val="both"/>
        <w:rPr>
          <w:rFonts w:ascii="Cambria" w:hAnsi="Cambria"/>
          <w:sz w:val="16"/>
          <w:szCs w:val="16"/>
          <w:lang w:val="es-US"/>
        </w:rPr>
      </w:pPr>
      <w:r w:rsidRPr="0028728D">
        <w:rPr>
          <w:rStyle w:val="FootnoteReference"/>
          <w:rFonts w:ascii="Cambria" w:hAnsi="Cambria"/>
          <w:sz w:val="16"/>
          <w:szCs w:val="16"/>
        </w:rPr>
        <w:footnoteRef/>
      </w:r>
      <w:r w:rsidRPr="0028728D">
        <w:rPr>
          <w:rFonts w:ascii="Cambria" w:hAnsi="Cambria"/>
          <w:sz w:val="16"/>
          <w:szCs w:val="16"/>
          <w:lang w:val="es-MX"/>
        </w:rPr>
        <w:t>Entre las recomendaciones señaladas por la OMS para las personas que padecen diabetes se encuentran la i) práctica de una actividad física de resistencia de intensidad entre moderada y alta (por  ejemplo, caminar a paso ligero) durante al menos una hora diaria la mayoría de los días de la semana; ii) garantizar que la ingesta de grasas saturadas no supere el 10% del total de energía y,  para los grupos de alto riesgo, que la ingesta de grasas sea inferior al 7% de la energía  total. Lograr una ingesta adecuada de PNA –Polisacáridos no amiláceos- mediante el consumo regular de cereales integrales, leguminosos, frutas y verduras.  Se recomienda una ingesta diaria mínima de 20 g</w:t>
      </w:r>
      <w:r w:rsidRPr="0028728D">
        <w:rPr>
          <w:rStyle w:val="FootnoteReference"/>
          <w:rFonts w:ascii="Cambria" w:hAnsi="Cambria"/>
          <w:sz w:val="16"/>
          <w:szCs w:val="16"/>
          <w:lang w:val="es-MX"/>
        </w:rPr>
        <w:t xml:space="preserve"> </w:t>
      </w:r>
      <w:r w:rsidRPr="0028728D">
        <w:rPr>
          <w:rFonts w:ascii="Cambria" w:hAnsi="Cambria"/>
          <w:sz w:val="16"/>
          <w:szCs w:val="16"/>
          <w:lang w:val="es-US"/>
        </w:rPr>
        <w:t xml:space="preserve">Organización Mundial de la Salud, </w:t>
      </w:r>
      <w:r w:rsidRPr="0028728D">
        <w:rPr>
          <w:rFonts w:ascii="Cambria" w:hAnsi="Cambria"/>
          <w:i/>
          <w:sz w:val="16"/>
          <w:szCs w:val="16"/>
          <w:lang w:val="es-US"/>
        </w:rPr>
        <w:t xml:space="preserve">Dieta, nutrición y prevención de enfermedades crónicas. </w:t>
      </w:r>
      <w:r w:rsidRPr="00981BF7">
        <w:rPr>
          <w:rFonts w:ascii="Cambria" w:hAnsi="Cambria"/>
          <w:i/>
          <w:sz w:val="16"/>
          <w:szCs w:val="16"/>
          <w:lang w:val="es-US"/>
        </w:rPr>
        <w:t xml:space="preserve">Informe de una Consulta de Expertos OMS/FAO. </w:t>
      </w:r>
      <w:r w:rsidRPr="00981BF7">
        <w:rPr>
          <w:rFonts w:ascii="Cambria" w:hAnsi="Cambria"/>
          <w:sz w:val="16"/>
          <w:szCs w:val="16"/>
          <w:lang w:val="es-US"/>
        </w:rPr>
        <w:t xml:space="preserve">OMS, Serie de Informes técnicos 916. Ginebra 2003, pág. 84.  </w:t>
      </w:r>
    </w:p>
  </w:footnote>
  <w:footnote w:id="114">
    <w:p w14:paraId="46CDA572"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11. Carta de Terry Langton al Charge de Affairs de la Embajada de Venezuela en Reino Unido del 21 de febrero de 2001. Anexo 12 al Escrito de Observaciones.</w:t>
      </w:r>
    </w:p>
  </w:footnote>
  <w:footnote w:id="115">
    <w:p w14:paraId="191A1E3F"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116">
    <w:p w14:paraId="214E4102"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w:t>
      </w:r>
      <w:r w:rsidRPr="0028728D">
        <w:rPr>
          <w:rFonts w:ascii="Cambria" w:hAnsi="Cambria" w:cs="Times New Roman"/>
          <w:color w:val="000000" w:themeColor="text1"/>
          <w:sz w:val="16"/>
          <w:szCs w:val="16"/>
          <w:lang w:val="es-ES"/>
        </w:rPr>
        <w:t xml:space="preserve">Corte IDH, Caso Chinchilla Sandoval y otros Vs. Guatemala. Excepción Preliminar, Fondo, Reparaciones y Costas. Sentencia de 29 de febrero de 2016. Serie C No. 312, párr. 184. </w:t>
      </w:r>
    </w:p>
  </w:footnote>
  <w:footnote w:id="117">
    <w:p w14:paraId="6CF8104C" w14:textId="77777777" w:rsidR="00384416" w:rsidRPr="0028728D" w:rsidRDefault="00384416" w:rsidP="00B06579">
      <w:pPr>
        <w:shd w:val="clear" w:color="auto" w:fill="FFFFFF"/>
        <w:tabs>
          <w:tab w:val="num" w:pos="720"/>
          <w:tab w:val="left" w:pos="1440"/>
          <w:tab w:val="num" w:pos="204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8.1 de la Convención Americana establece: 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footnote>
  <w:footnote w:id="118">
    <w:p w14:paraId="03962727" w14:textId="77777777" w:rsidR="00384416" w:rsidRPr="0028728D" w:rsidRDefault="00384416" w:rsidP="00B06579">
      <w:pPr>
        <w:shd w:val="clear" w:color="auto" w:fill="FFFFFF"/>
        <w:tabs>
          <w:tab w:val="num" w:pos="720"/>
          <w:tab w:val="left" w:pos="1440"/>
          <w:tab w:val="num" w:pos="204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25 de la Convención Americana establece, en lo pertinente: 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footnote>
  <w:footnote w:id="119">
    <w:p w14:paraId="0537BEA2" w14:textId="41593F32" w:rsidR="00384416" w:rsidRPr="0028728D" w:rsidRDefault="00384416" w:rsidP="00B06579">
      <w:pPr>
        <w:tabs>
          <w:tab w:val="left" w:pos="360"/>
          <w:tab w:val="left" w:pos="900"/>
          <w:tab w:val="left" w:pos="1080"/>
        </w:tabs>
        <w:jc w:val="both"/>
        <w:rPr>
          <w:rFonts w:ascii="Cambria" w:eastAsia="Cambria" w:hAnsi="Cambria" w:cs="Cambria"/>
          <w:color w:val="000000" w:themeColor="text1"/>
          <w:sz w:val="16"/>
          <w:szCs w:val="16"/>
          <w:lang w:val="es-ES"/>
        </w:rPr>
      </w:pPr>
      <w:r w:rsidRPr="0028728D">
        <w:rPr>
          <w:rFonts w:ascii="Cambria" w:hAnsi="Cambria"/>
          <w:color w:val="000000" w:themeColor="text1"/>
          <w:sz w:val="16"/>
          <w:szCs w:val="16"/>
          <w:vertAlign w:val="superscript"/>
          <w:lang w:val="es-ES"/>
        </w:rPr>
        <w:footnoteRef/>
      </w:r>
      <w:r w:rsidRPr="0028728D">
        <w:rPr>
          <w:rFonts w:ascii="Cambria" w:eastAsia="Cambria" w:hAnsi="Cambria" w:cs="Cambria"/>
          <w:color w:val="000000" w:themeColor="text1"/>
          <w:sz w:val="16"/>
          <w:szCs w:val="16"/>
          <w:lang w:val="es-ES"/>
        </w:rPr>
        <w:t xml:space="preserve"> CIDH. Informe No. 118/18. Caso 12.890. Fondo. José Gregorio Mota Abarullo y Otros (Muertes en la Cárcel de San Félix). Venezuela. 5 de octubre de 2018, párr. 80; Corte IDH. Caso Cantoral Huamaní y García Santa Cruz. Sentencia de 10 de julio de 2007, párr. 124; CorteIDH. Caso de la Masacre de la Rochela.  Sentencia de 11 de mayo de 2007, párr. 145; CorteIDH. Caso del Penal Miguel Castro Castro. Sentencia de 25 de noviembre de 2006, párr. 381 y CorteIDH. Caso Trabajadores Cesados del Congreso (Aguado Alfaro y otros). Sentencia de 24 de noviembre de 2006, párr. 106.</w:t>
      </w:r>
    </w:p>
  </w:footnote>
  <w:footnote w:id="120">
    <w:p w14:paraId="46990FFD" w14:textId="754D2407" w:rsidR="00384416" w:rsidRPr="0028728D" w:rsidRDefault="00384416" w:rsidP="00B06579">
      <w:pPr>
        <w:tabs>
          <w:tab w:val="left" w:pos="360"/>
          <w:tab w:val="left" w:pos="720"/>
          <w:tab w:val="left" w:pos="900"/>
          <w:tab w:val="left" w:pos="1080"/>
        </w:tabs>
        <w:jc w:val="both"/>
        <w:rPr>
          <w:rFonts w:ascii="Cambria" w:eastAsia="Cambria" w:hAnsi="Cambria" w:cs="Cambria"/>
          <w:color w:val="000000" w:themeColor="text1"/>
          <w:sz w:val="16"/>
          <w:szCs w:val="16"/>
          <w:lang w:val="es-ES"/>
        </w:rPr>
      </w:pPr>
      <w:r w:rsidRPr="0028728D">
        <w:rPr>
          <w:rFonts w:ascii="Cambria" w:hAnsi="Cambria"/>
          <w:color w:val="000000" w:themeColor="text1"/>
          <w:sz w:val="16"/>
          <w:szCs w:val="16"/>
          <w:vertAlign w:val="superscript"/>
          <w:lang w:val="es-ES"/>
        </w:rPr>
        <w:footnoteRef/>
      </w:r>
      <w:r w:rsidRPr="0028728D">
        <w:rPr>
          <w:rFonts w:ascii="Cambria" w:eastAsia="Cambria" w:hAnsi="Cambria" w:cs="Cambria"/>
          <w:color w:val="000000" w:themeColor="text1"/>
          <w:sz w:val="16"/>
          <w:szCs w:val="16"/>
          <w:lang w:val="es-ES"/>
        </w:rPr>
        <w:t xml:space="preserve"> CIDH. Informe No. 118/18. Caso 12.890. Fondo. José Gregorio Mota Abarullo y Otros (Muertes en la Cárcel de San Félix). Venezuela. 5 de octubre de 2018, párr. 81; Corte IDH. Caso Cantoral Huamaní y García Santa Cruz. Sentencia de 10 de julio de 2007, párr. 100.</w:t>
      </w:r>
    </w:p>
  </w:footnote>
  <w:footnote w:id="121">
    <w:p w14:paraId="79072D28" w14:textId="6E92CCBC" w:rsidR="00384416" w:rsidRPr="0028728D" w:rsidRDefault="00384416" w:rsidP="00B06579">
      <w:pPr>
        <w:tabs>
          <w:tab w:val="left" w:pos="360"/>
          <w:tab w:val="left" w:pos="720"/>
          <w:tab w:val="left" w:pos="900"/>
          <w:tab w:val="left" w:pos="1080"/>
        </w:tabs>
        <w:jc w:val="both"/>
        <w:rPr>
          <w:rFonts w:ascii="Cambria" w:eastAsia="Cambria" w:hAnsi="Cambria" w:cs="Cambria"/>
          <w:color w:val="000000" w:themeColor="text1"/>
          <w:sz w:val="16"/>
          <w:szCs w:val="16"/>
          <w:lang w:val="es-ES"/>
        </w:rPr>
      </w:pPr>
      <w:r w:rsidRPr="0028728D">
        <w:rPr>
          <w:rFonts w:ascii="Cambria" w:hAnsi="Cambria"/>
          <w:color w:val="000000" w:themeColor="text1"/>
          <w:sz w:val="16"/>
          <w:szCs w:val="16"/>
          <w:vertAlign w:val="superscript"/>
          <w:lang w:val="es-ES"/>
        </w:rPr>
        <w:footnoteRef/>
      </w:r>
      <w:r w:rsidRPr="0028728D">
        <w:rPr>
          <w:rFonts w:ascii="Cambria" w:eastAsia="Cambria" w:hAnsi="Cambria" w:cs="Cambria"/>
          <w:color w:val="000000" w:themeColor="text1"/>
          <w:sz w:val="16"/>
          <w:szCs w:val="16"/>
          <w:lang w:val="es-ES"/>
        </w:rPr>
        <w:t xml:space="preserve"> CIDH. Informe No. 118/18. Caso 12.890. Fondo. José Gregorio Mota Abarullo y Otros (Muertes en la Cárcel de San Félix). Venezuela. 5 de octubre de 2018, párr. 81; Corte IDH. Caso García Prieto y otros. Sentencia de 20 de noviembre de 2007, párr. 101; Caso de los Hermanos Gómez Paquiyauri. Sentencia de 8 de julio de 2004, párr. 146; Caso Cantoral Huamaní y García Santa Cruz, Sentencia de 10 de julio de 2007, párr. 130. </w:t>
      </w:r>
    </w:p>
  </w:footnote>
  <w:footnote w:id="122">
    <w:p w14:paraId="235C45FA" w14:textId="78B5281D" w:rsidR="00384416" w:rsidRPr="0028728D" w:rsidRDefault="00384416" w:rsidP="00B06579">
      <w:pPr>
        <w:tabs>
          <w:tab w:val="left" w:pos="360"/>
          <w:tab w:val="left" w:pos="900"/>
          <w:tab w:val="left" w:pos="1080"/>
        </w:tabs>
        <w:jc w:val="both"/>
        <w:rPr>
          <w:rFonts w:ascii="Cambria" w:eastAsia="Cambria" w:hAnsi="Cambria" w:cs="Cambria"/>
          <w:color w:val="000000" w:themeColor="text1"/>
          <w:sz w:val="16"/>
          <w:szCs w:val="16"/>
          <w:lang w:val="es-ES"/>
        </w:rPr>
      </w:pPr>
      <w:r w:rsidRPr="0028728D">
        <w:rPr>
          <w:rFonts w:ascii="Cambria" w:hAnsi="Cambria"/>
          <w:color w:val="000000" w:themeColor="text1"/>
          <w:sz w:val="16"/>
          <w:szCs w:val="16"/>
          <w:vertAlign w:val="superscript"/>
          <w:lang w:val="es-ES"/>
        </w:rPr>
        <w:footnoteRef/>
      </w:r>
      <w:r w:rsidRPr="0028728D">
        <w:rPr>
          <w:rFonts w:ascii="Cambria" w:eastAsia="Cambria" w:hAnsi="Cambria" w:cs="Cambria"/>
          <w:color w:val="000000" w:themeColor="text1"/>
          <w:sz w:val="16"/>
          <w:szCs w:val="16"/>
          <w:lang w:val="es-ES"/>
        </w:rPr>
        <w:t xml:space="preserve"> CIDH. Informe No. 118/18. Caso 12.890. Fondo. José Gregorio Mota Abarullo y Otros (Muertes en la Cárcel de San Félix). Venezuela. 5 de octubre de 2018, párr. 81; Corte IDH. Caso Bulacio v. Argentina. Sentencia de 18 de septiembre de 2003, párr. 114; Caso de la Masacre de la Rochela. Sentencia de 11 de mayo de 2007, párr. 146; Caso del Penal Miguel Castro Castro. Sentencia de 25 de noviembre de 2006, párr. 382.</w:t>
      </w:r>
    </w:p>
  </w:footnote>
  <w:footnote w:id="123">
    <w:p w14:paraId="25F557C5" w14:textId="0A125701" w:rsidR="00384416" w:rsidRPr="0028728D" w:rsidRDefault="00384416" w:rsidP="00B06579">
      <w:pPr>
        <w:tabs>
          <w:tab w:val="left" w:pos="360"/>
          <w:tab w:val="left" w:pos="720"/>
          <w:tab w:val="left" w:pos="900"/>
          <w:tab w:val="left" w:pos="1080"/>
        </w:tabs>
        <w:jc w:val="both"/>
        <w:rPr>
          <w:rFonts w:ascii="Cambria" w:eastAsia="Cambria" w:hAnsi="Cambria" w:cs="Cambria"/>
          <w:color w:val="000000" w:themeColor="text1"/>
          <w:sz w:val="16"/>
          <w:szCs w:val="16"/>
          <w:lang w:val="es-ES"/>
        </w:rPr>
      </w:pPr>
      <w:r w:rsidRPr="0028728D">
        <w:rPr>
          <w:rFonts w:ascii="Cambria" w:hAnsi="Cambria"/>
          <w:color w:val="000000" w:themeColor="text1"/>
          <w:sz w:val="16"/>
          <w:szCs w:val="16"/>
          <w:vertAlign w:val="superscript"/>
          <w:lang w:val="es-ES"/>
        </w:rPr>
        <w:footnoteRef/>
      </w:r>
      <w:r w:rsidRPr="0028728D">
        <w:rPr>
          <w:rFonts w:ascii="Cambria" w:eastAsia="Cambria" w:hAnsi="Cambria" w:cs="Cambria"/>
          <w:color w:val="000000" w:themeColor="text1"/>
          <w:sz w:val="16"/>
          <w:szCs w:val="16"/>
          <w:lang w:val="es-ES"/>
        </w:rPr>
        <w:t xml:space="preserve"> CIDH. Informe No. 118/18. Caso 12.890. Fondo. José Gregorio Mota Abarullo y Otros (Muertes en la Cárcel de San Félix). Venezuela. 5 de octubre de 2018, párr. 81; Corte IDH. Caso García Prieto y otros. Sentencia de 20 de noviembre de 2007, párr. 103; Caso Bulacio v. Argentina. Sentencia de 18 de Septiembre de 2003, párr. 114; y Caso del Penal Miguel Castro Castro. Sentencia de 25 de noviembre de 2006, párr. 382.</w:t>
      </w:r>
    </w:p>
  </w:footnote>
  <w:footnote w:id="124">
    <w:p w14:paraId="5034F323" w14:textId="185737DD" w:rsidR="00384416" w:rsidRPr="0028728D" w:rsidRDefault="00384416" w:rsidP="00B06579">
      <w:pPr>
        <w:pStyle w:val="FootnoteText"/>
        <w:tabs>
          <w:tab w:val="left" w:pos="360"/>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w:t>
      </w:r>
      <w:r w:rsidRPr="0028728D">
        <w:rPr>
          <w:rFonts w:ascii="Cambria" w:eastAsia="Cambria" w:hAnsi="Cambria" w:cs="Cambria"/>
          <w:color w:val="000000" w:themeColor="text1"/>
          <w:sz w:val="16"/>
          <w:szCs w:val="16"/>
          <w:lang w:val="es-ES"/>
        </w:rPr>
        <w:t xml:space="preserve">CIDH. Informe No. 118/18. Caso 12.890. Fondo. José Gregorio Mota Abarullo y Otros (Muertes en la Cárcel de San Félix). Venezuela. 5 de octubre de 2018, párr. 82; </w:t>
      </w:r>
      <w:r w:rsidRPr="0028728D">
        <w:rPr>
          <w:rFonts w:ascii="Cambria" w:hAnsi="Cambria"/>
          <w:color w:val="000000" w:themeColor="text1"/>
          <w:sz w:val="16"/>
          <w:szCs w:val="16"/>
          <w:lang w:val="es-ES"/>
        </w:rPr>
        <w:t xml:space="preserve">Corte IDH. Caso Velásquez Rodríguez vs. Honduras. Sentencia de 29 de julio de 1988, párr. 177; </w:t>
      </w:r>
      <w:r w:rsidRPr="0028728D">
        <w:rPr>
          <w:rFonts w:ascii="Cambria" w:hAnsi="Cambria"/>
          <w:bCs/>
          <w:color w:val="000000" w:themeColor="text1"/>
          <w:sz w:val="16"/>
          <w:szCs w:val="16"/>
          <w:lang w:val="es-ES"/>
        </w:rPr>
        <w:t xml:space="preserve">Caso Cantoral Huamaní y García Santa Cruz. </w:t>
      </w:r>
      <w:r w:rsidRPr="0028728D">
        <w:rPr>
          <w:rFonts w:ascii="Cambria" w:hAnsi="Cambria"/>
          <w:color w:val="000000" w:themeColor="text1"/>
          <w:sz w:val="16"/>
          <w:szCs w:val="16"/>
          <w:lang w:val="es-ES"/>
        </w:rPr>
        <w:t xml:space="preserve">Sentencia de 10 de julio de 2007, párr. 131; </w:t>
      </w:r>
      <w:r w:rsidRPr="0028728D">
        <w:rPr>
          <w:rFonts w:ascii="Cambria" w:hAnsi="Cambria"/>
          <w:bCs/>
          <w:color w:val="000000" w:themeColor="text1"/>
          <w:sz w:val="16"/>
          <w:szCs w:val="16"/>
          <w:lang w:val="es-ES"/>
        </w:rPr>
        <w:t xml:space="preserve">Caso Zambrano Vélez y otros. </w:t>
      </w:r>
      <w:r w:rsidRPr="0028728D">
        <w:rPr>
          <w:rFonts w:ascii="Cambria" w:hAnsi="Cambria"/>
          <w:color w:val="000000" w:themeColor="text1"/>
          <w:sz w:val="16"/>
          <w:szCs w:val="16"/>
          <w:lang w:val="es-ES"/>
        </w:rPr>
        <w:t xml:space="preserve">Sentencia de 4 de julio de 2007, párr. 120. </w:t>
      </w:r>
    </w:p>
  </w:footnote>
  <w:footnote w:id="125">
    <w:p w14:paraId="1A606600" w14:textId="460E8EEA" w:rsidR="00384416" w:rsidRPr="0028728D" w:rsidRDefault="00384416" w:rsidP="00B06579">
      <w:pPr>
        <w:tabs>
          <w:tab w:val="left" w:pos="360"/>
          <w:tab w:val="left" w:pos="720"/>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w:t>
      </w:r>
      <w:r w:rsidRPr="0028728D">
        <w:rPr>
          <w:rFonts w:ascii="Cambria" w:eastAsia="Cambria" w:hAnsi="Cambria" w:cs="Cambria"/>
          <w:color w:val="000000" w:themeColor="text1"/>
          <w:sz w:val="16"/>
          <w:szCs w:val="16"/>
          <w:lang w:val="es-ES"/>
        </w:rPr>
        <w:t xml:space="preserve">CIDH. Informe No. 118/18. Caso 12.890. Fondo. José Gregorio Mota Abarullo y Otros (Muertes en la Cárcel de San Félix). Venezuela. 5 de octubre de 2018, párr. 82; </w:t>
      </w:r>
      <w:r w:rsidRPr="0028728D">
        <w:rPr>
          <w:rFonts w:ascii="Cambria" w:hAnsi="Cambria"/>
          <w:color w:val="000000" w:themeColor="text1"/>
          <w:sz w:val="16"/>
          <w:szCs w:val="16"/>
          <w:lang w:val="es-ES"/>
        </w:rPr>
        <w:t xml:space="preserve">Corte IDH. Caso Velásquez Rodríguez. Sentencia de 29 de julio de 1988, párr. 177; </w:t>
      </w:r>
      <w:r w:rsidRPr="0028728D">
        <w:rPr>
          <w:rFonts w:ascii="Cambria" w:hAnsi="Cambria"/>
          <w:bCs/>
          <w:color w:val="000000" w:themeColor="text1"/>
          <w:sz w:val="16"/>
          <w:szCs w:val="16"/>
          <w:lang w:val="es-ES"/>
        </w:rPr>
        <w:t xml:space="preserve">Caso Zambrano Vélez y otros. </w:t>
      </w:r>
      <w:r w:rsidRPr="0028728D">
        <w:rPr>
          <w:rFonts w:ascii="Cambria" w:hAnsi="Cambria"/>
          <w:color w:val="000000" w:themeColor="text1"/>
          <w:sz w:val="16"/>
          <w:szCs w:val="16"/>
          <w:lang w:val="es-ES"/>
        </w:rPr>
        <w:t>Sentencia de 4 de julio de 2007, párr. 120.</w:t>
      </w:r>
    </w:p>
  </w:footnote>
  <w:footnote w:id="126">
    <w:p w14:paraId="7F35D122" w14:textId="6211FEBA" w:rsidR="00384416" w:rsidRPr="0028728D" w:rsidRDefault="00384416" w:rsidP="00B06579">
      <w:pPr>
        <w:tabs>
          <w:tab w:val="left" w:pos="360"/>
          <w:tab w:val="left" w:pos="720"/>
          <w:tab w:val="left" w:pos="900"/>
          <w:tab w:val="left" w:pos="1080"/>
        </w:tabs>
        <w:jc w:val="both"/>
        <w:rPr>
          <w:rFonts w:ascii="Cambria" w:eastAsia="Cambria" w:hAnsi="Cambria" w:cs="Cambria"/>
          <w:color w:val="000000" w:themeColor="text1"/>
          <w:sz w:val="16"/>
          <w:szCs w:val="16"/>
          <w:lang w:val="es-ES"/>
        </w:rPr>
      </w:pPr>
      <w:r w:rsidRPr="0028728D">
        <w:rPr>
          <w:rFonts w:ascii="Cambria" w:hAnsi="Cambria"/>
          <w:color w:val="000000" w:themeColor="text1"/>
          <w:sz w:val="16"/>
          <w:szCs w:val="16"/>
          <w:vertAlign w:val="superscript"/>
          <w:lang w:val="es-ES"/>
        </w:rPr>
        <w:footnoteRef/>
      </w:r>
      <w:r w:rsidRPr="0028728D">
        <w:rPr>
          <w:rFonts w:ascii="Cambria" w:eastAsia="Cambria" w:hAnsi="Cambria" w:cs="Cambria"/>
          <w:color w:val="000000" w:themeColor="text1"/>
          <w:sz w:val="16"/>
          <w:szCs w:val="16"/>
          <w:lang w:val="es-ES"/>
        </w:rPr>
        <w:t xml:space="preserve"> CIDH. Informe No. 118/18. Caso 12.890. Fondo. José Gregorio Mota Abarullo y Otros (Muertes en la Cárcel de San Félix). Venezuela. 5 de octubre de 2018, párr. 83; </w:t>
      </w:r>
      <w:r w:rsidRPr="0028728D">
        <w:rPr>
          <w:rFonts w:ascii="Cambria" w:hAnsi="Cambria"/>
          <w:color w:val="000000" w:themeColor="text1"/>
          <w:sz w:val="16"/>
          <w:szCs w:val="16"/>
          <w:lang w:val="es-ES"/>
        </w:rPr>
        <w:t xml:space="preserve">Corte IDH. </w:t>
      </w:r>
      <w:r w:rsidRPr="0028728D">
        <w:rPr>
          <w:rFonts w:ascii="Cambria" w:eastAsia="Cambria" w:hAnsi="Cambria" w:cs="Cambria"/>
          <w:color w:val="000000" w:themeColor="text1"/>
          <w:sz w:val="16"/>
          <w:szCs w:val="16"/>
          <w:lang w:val="es-ES"/>
        </w:rPr>
        <w:t xml:space="preserve">Caso García Prieto y otros. Sentencia de 20 de noviembre de 2007, párr. 101.  </w:t>
      </w:r>
    </w:p>
  </w:footnote>
  <w:footnote w:id="127">
    <w:p w14:paraId="4EA4FBF6" w14:textId="493B2F04"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Pr>
          <w:rFonts w:ascii="Cambria" w:hAnsi="Cambria"/>
          <w:color w:val="000000" w:themeColor="text1"/>
          <w:sz w:val="16"/>
          <w:szCs w:val="16"/>
          <w:lang w:val="es-ES"/>
        </w:rPr>
        <w:t xml:space="preserve"> </w:t>
      </w:r>
      <w:r w:rsidRPr="0028728D">
        <w:rPr>
          <w:rFonts w:ascii="Cambria" w:hAnsi="Cambria"/>
          <w:color w:val="000000" w:themeColor="text1"/>
          <w:sz w:val="16"/>
          <w:szCs w:val="16"/>
          <w:lang w:val="es-ES"/>
        </w:rPr>
        <w:t xml:space="preserve">CIDH. Informe 53/13. Caso 12.864, Iván Teleguz vs. Estados Unidos. 15 de julio de 2013, párr. 102. </w:t>
      </w:r>
    </w:p>
  </w:footnote>
  <w:footnote w:id="128">
    <w:p w14:paraId="6D7CE713" w14:textId="0203C6AB" w:rsidR="00384416" w:rsidRPr="00E657BD" w:rsidRDefault="00384416" w:rsidP="00B06579">
      <w:pPr>
        <w:pStyle w:val="FootnoteText"/>
        <w:shd w:val="clear" w:color="auto" w:fill="FFFFFF"/>
        <w:jc w:val="both"/>
        <w:rPr>
          <w:sz w:val="18"/>
          <w:szCs w:val="18"/>
          <w:lang w:val="es-ES"/>
        </w:rPr>
      </w:pPr>
      <w:r w:rsidRPr="00D74E3E">
        <w:rPr>
          <w:rStyle w:val="FootnoteReference"/>
          <w:rFonts w:ascii="Cambria" w:hAnsi="Cambria"/>
          <w:sz w:val="16"/>
          <w:szCs w:val="16"/>
        </w:rPr>
        <w:footnoteRef/>
      </w:r>
      <w:r w:rsidRPr="00CD3C64">
        <w:rPr>
          <w:sz w:val="18"/>
          <w:szCs w:val="18"/>
          <w:lang w:val="es-ES_tradnl"/>
        </w:rPr>
        <w:t xml:space="preserve"> </w:t>
      </w:r>
      <w:r w:rsidRPr="00D74E3E">
        <w:rPr>
          <w:rFonts w:ascii="Cambria" w:hAnsi="Cambria"/>
          <w:color w:val="000000" w:themeColor="text1"/>
          <w:sz w:val="16"/>
          <w:szCs w:val="16"/>
          <w:lang w:val="es-ES"/>
        </w:rPr>
        <w:t>CIDH, Informe Anual 1997, Informe N° 55/97, Caso 11.137 (Juan Carlos Abella y otros), Argentina, párr.</w:t>
      </w:r>
      <w:r w:rsidRPr="00E657BD">
        <w:rPr>
          <w:rFonts w:ascii="Cambria" w:hAnsi="Cambria"/>
          <w:color w:val="000000" w:themeColor="text1"/>
          <w:sz w:val="16"/>
          <w:szCs w:val="16"/>
          <w:lang w:val="es-ES"/>
        </w:rPr>
        <w:t xml:space="preserve"> </w:t>
      </w:r>
      <w:r w:rsidRPr="00854F13">
        <w:rPr>
          <w:rFonts w:ascii="Cambria" w:hAnsi="Cambria"/>
          <w:color w:val="000000" w:themeColor="text1"/>
          <w:sz w:val="16"/>
          <w:szCs w:val="16"/>
          <w:lang w:val="pt-BR"/>
        </w:rPr>
        <w:t xml:space="preserve">412. Sobre el mismo tema, véase también: CIDH, Informe Anual 1997, Informe N° 52/97, Caso 11.218 (Arges Sequeira Mangas), Nicaragua, párr. </w:t>
      </w:r>
      <w:r w:rsidRPr="00D74E3E">
        <w:rPr>
          <w:rFonts w:ascii="Cambria" w:hAnsi="Cambria"/>
          <w:color w:val="000000" w:themeColor="text1"/>
          <w:sz w:val="16"/>
          <w:szCs w:val="16"/>
          <w:lang w:val="es-ES"/>
        </w:rPr>
        <w:t>96 y 97.</w:t>
      </w:r>
    </w:p>
  </w:footnote>
  <w:footnote w:id="129">
    <w:p w14:paraId="6BB9B797" w14:textId="5DD64370" w:rsidR="00384416" w:rsidRPr="00D74E3E" w:rsidRDefault="00384416" w:rsidP="00B06579">
      <w:pPr>
        <w:pStyle w:val="FootnoteText"/>
        <w:shd w:val="clear" w:color="auto" w:fill="FFFFFF"/>
        <w:jc w:val="both"/>
        <w:rPr>
          <w:rFonts w:ascii="Cambria" w:hAnsi="Cambria"/>
          <w:color w:val="000000" w:themeColor="text1"/>
          <w:sz w:val="16"/>
          <w:szCs w:val="16"/>
          <w:lang w:val="es-ES"/>
        </w:rPr>
      </w:pPr>
      <w:r w:rsidRPr="00D74E3E">
        <w:rPr>
          <w:rStyle w:val="FootnoteReference"/>
          <w:rFonts w:ascii="Cambria" w:hAnsi="Cambria"/>
          <w:sz w:val="16"/>
          <w:szCs w:val="16"/>
        </w:rPr>
        <w:footnoteRef/>
      </w:r>
      <w:r>
        <w:rPr>
          <w:rFonts w:ascii="Cambria" w:hAnsi="Cambria"/>
          <w:color w:val="000000" w:themeColor="text1"/>
          <w:sz w:val="16"/>
          <w:szCs w:val="16"/>
          <w:lang w:val="es-ES"/>
        </w:rPr>
        <w:t xml:space="preserve"> </w:t>
      </w:r>
      <w:r w:rsidRPr="00D74E3E">
        <w:rPr>
          <w:rFonts w:ascii="Cambria" w:hAnsi="Cambria"/>
          <w:color w:val="000000" w:themeColor="text1"/>
          <w:sz w:val="16"/>
          <w:szCs w:val="16"/>
          <w:lang w:val="es-ES"/>
        </w:rPr>
        <w:t xml:space="preserve">Corte IDH. Caso Mendoza y otros Vs. Argentina. Excepciones Preliminares, Fondo y Reparaciones. Sentencia de 14 de mayo de 2013 Serie C No. 260, párr. 218.  </w:t>
      </w:r>
    </w:p>
  </w:footnote>
  <w:footnote w:id="130">
    <w:p w14:paraId="3E17A307" w14:textId="54B98CBC" w:rsidR="00384416" w:rsidRPr="0028728D" w:rsidRDefault="00384416" w:rsidP="00B06579">
      <w:pPr>
        <w:pStyle w:val="FootnoteText"/>
        <w:shd w:val="clear" w:color="auto" w:fill="FFFFFF"/>
        <w:jc w:val="both"/>
        <w:rPr>
          <w:rFonts w:ascii="Cambria" w:hAnsi="Cambria"/>
          <w:color w:val="000000" w:themeColor="text1"/>
          <w:sz w:val="16"/>
          <w:szCs w:val="16"/>
          <w:lang w:val="es-ES"/>
        </w:rPr>
      </w:pPr>
      <w:r w:rsidRPr="00D74E3E">
        <w:rPr>
          <w:rFonts w:ascii="Cambria" w:hAnsi="Cambria"/>
          <w:sz w:val="16"/>
          <w:szCs w:val="16"/>
          <w:vertAlign w:val="superscript"/>
        </w:rPr>
        <w:footnoteRef/>
      </w:r>
      <w:r w:rsidRPr="00D74E3E">
        <w:rPr>
          <w:rFonts w:ascii="Cambria" w:hAnsi="Cambria"/>
          <w:color w:val="000000" w:themeColor="text1"/>
          <w:sz w:val="16"/>
          <w:szCs w:val="16"/>
          <w:lang w:val="es-ES"/>
        </w:rPr>
        <w:t xml:space="preserve"> Corte IDH</w:t>
      </w:r>
      <w:r w:rsidRPr="00981BF7">
        <w:rPr>
          <w:rFonts w:ascii="Cambria" w:hAnsi="Cambria"/>
          <w:color w:val="000000" w:themeColor="text1"/>
          <w:sz w:val="16"/>
          <w:szCs w:val="16"/>
          <w:shd w:val="clear" w:color="auto" w:fill="FFFFFF"/>
          <w:lang w:val="es-US"/>
        </w:rPr>
        <w:t xml:space="preserve">. Caso Moya Solís Vs. </w:t>
      </w:r>
      <w:r w:rsidRPr="0028728D">
        <w:rPr>
          <w:rFonts w:ascii="Cambria" w:hAnsi="Cambria"/>
          <w:color w:val="000000" w:themeColor="text1"/>
          <w:sz w:val="16"/>
          <w:szCs w:val="16"/>
          <w:shd w:val="clear" w:color="auto" w:fill="FFFFFF"/>
          <w:lang w:val="es-ES"/>
        </w:rPr>
        <w:t xml:space="preserve">Perú. Excepciones Preliminares, Fondo, Reparaciones y Costas. Sentencia de 3 de junio de 2021. Serie C No. 425; párr. 98; </w:t>
      </w:r>
      <w:r w:rsidRPr="0028728D">
        <w:rPr>
          <w:rFonts w:ascii="Cambria" w:hAnsi="Cambria"/>
          <w:color w:val="000000" w:themeColor="text1"/>
          <w:sz w:val="16"/>
          <w:szCs w:val="16"/>
          <w:lang w:val="es-ES"/>
        </w:rPr>
        <w:t xml:space="preserve">Caso Anzualdo Castro Vs. Perú. Excepción Preliminar, Fondo, Reparaciones y Costas. Sentencia de 22 de septiembre de 2009. Serie C No. 202; párr. 156; y </w:t>
      </w:r>
      <w:r w:rsidRPr="0028728D">
        <w:rPr>
          <w:rFonts w:ascii="Cambria" w:hAnsi="Cambria"/>
          <w:color w:val="000000" w:themeColor="text1"/>
          <w:sz w:val="16"/>
          <w:szCs w:val="16"/>
          <w:lang w:val="es-ES" w:eastAsia="es-VE"/>
        </w:rPr>
        <w:t xml:space="preserve">CIDH. Vicente Aníbal Grijalva Bueno, Ecuador. </w:t>
      </w:r>
      <w:r w:rsidRPr="0028728D">
        <w:rPr>
          <w:rFonts w:ascii="Cambria" w:hAnsi="Cambria"/>
          <w:color w:val="000000" w:themeColor="text1"/>
          <w:sz w:val="16"/>
          <w:szCs w:val="16"/>
          <w:lang w:val="es-ES"/>
        </w:rPr>
        <w:t xml:space="preserve">Informe de Fondo. </w:t>
      </w:r>
      <w:r w:rsidRPr="0028728D">
        <w:rPr>
          <w:rFonts w:ascii="Cambria" w:hAnsi="Cambria"/>
          <w:color w:val="000000" w:themeColor="text1"/>
          <w:sz w:val="16"/>
          <w:szCs w:val="16"/>
          <w:lang w:val="es-ES" w:eastAsia="es-VE"/>
        </w:rPr>
        <w:t>Caso 12.405. 7 de diciembre de 2018; párr. 87.</w:t>
      </w:r>
    </w:p>
  </w:footnote>
  <w:footnote w:id="131">
    <w:p w14:paraId="438202FA" w14:textId="4A45362C"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CIDH. Informe No. 77/02. Caso 11.506. Fondo. </w:t>
      </w:r>
      <w:r w:rsidRPr="00854F13">
        <w:rPr>
          <w:rFonts w:ascii="Cambria" w:hAnsi="Cambria"/>
          <w:color w:val="000000" w:themeColor="text1"/>
          <w:sz w:val="16"/>
          <w:szCs w:val="16"/>
          <w:lang w:val="pt-BR"/>
        </w:rPr>
        <w:t xml:space="preserve">Waldemar Gerónimo Pinheiro y José Víctor dos Santos. </w:t>
      </w:r>
      <w:r w:rsidRPr="0028728D">
        <w:rPr>
          <w:rFonts w:ascii="Cambria" w:hAnsi="Cambria"/>
          <w:color w:val="000000" w:themeColor="text1"/>
          <w:sz w:val="16"/>
          <w:szCs w:val="16"/>
          <w:lang w:val="es-ES"/>
        </w:rPr>
        <w:t xml:space="preserve">Paraguay. 27 de diciembre de 2002, párr. 76; CIDH. Vicente Aníbal Grijalva Bueno, Ecuador. Informe de Fondo. Caso 12.405. 7 de diciembre de 2018; párr. 87. </w:t>
      </w:r>
    </w:p>
  </w:footnote>
  <w:footnote w:id="132">
    <w:p w14:paraId="249AA056" w14:textId="77777777" w:rsidR="00384416" w:rsidRPr="0028728D" w:rsidRDefault="00384416" w:rsidP="00B06579">
      <w:pPr>
        <w:pStyle w:val="FootnoteText"/>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Anexo 5. Correspondencia entre la familia Langton y las autoridades venezolanas. Anexo 5(c) a la petición.</w:t>
      </w:r>
    </w:p>
  </w:footnote>
  <w:footnote w:id="133">
    <w:p w14:paraId="298F30FA" w14:textId="77777777" w:rsidR="00384416" w:rsidRPr="0028728D" w:rsidRDefault="00384416" w:rsidP="00B06579">
      <w:pPr>
        <w:shd w:val="clear" w:color="auto" w:fill="FFFFFF"/>
        <w:tabs>
          <w:tab w:val="num" w:pos="720"/>
          <w:tab w:val="left" w:pos="1440"/>
          <w:tab w:val="num" w:pos="204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5 establece en lo pertinente: “1. Toda persona tiene derecho a que se respete su integridad física, psíquica y moral. […] 4. Los procesados deben estar separados de los condenados, salvo en circunstancias excepcionales, y serán sometidos a un tratamiento adecuado a su condición de personas no condenadas. 5. Cuando los menores puedan ser procesados, deben ser separados de los adultos y llevados ante tribunales especializados, con la mayor celeridad posible, para su tratamiento. 6. Las penas privativas de la libertad tendrán como finalidad esencial la reforma y la readaptación social de los condenados”.</w:t>
      </w:r>
    </w:p>
  </w:footnote>
  <w:footnote w:id="134">
    <w:p w14:paraId="187B0F7D" w14:textId="77777777" w:rsidR="00384416" w:rsidRPr="0028728D" w:rsidRDefault="00384416" w:rsidP="00B06579">
      <w:pPr>
        <w:shd w:val="clear" w:color="auto" w:fill="FFFFFF"/>
        <w:tabs>
          <w:tab w:val="num" w:pos="720"/>
          <w:tab w:val="left" w:pos="1440"/>
          <w:tab w:val="num" w:pos="204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El artículo 1.1 establece en lo pertinente: 1. “Los Estados Partes […] se comprometen a respetar los derechos y libertades reconocidos en ella y a garantizar su libre y pleno ejercicio a toda persona que esté sujeta a su jurisdicción, sin discriminación alguna […]”.</w:t>
      </w:r>
    </w:p>
  </w:footnote>
  <w:footnote w:id="135">
    <w:p w14:paraId="12EC0598" w14:textId="10C4B841" w:rsidR="00384416" w:rsidRPr="0028728D" w:rsidRDefault="00384416" w:rsidP="00B06579">
      <w:pPr>
        <w:tabs>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s="Arial"/>
          <w:color w:val="000000" w:themeColor="text1"/>
          <w:sz w:val="16"/>
          <w:szCs w:val="16"/>
          <w:lang w:val="es-ES"/>
        </w:rPr>
        <w:footnoteRef/>
      </w:r>
      <w:r w:rsidRPr="0028728D">
        <w:rPr>
          <w:rFonts w:ascii="Cambria" w:hAnsi="Cambria" w:cs="Arial"/>
          <w:color w:val="000000" w:themeColor="text1"/>
          <w:sz w:val="16"/>
          <w:szCs w:val="16"/>
          <w:lang w:val="es-ES"/>
        </w:rPr>
        <w:t xml:space="preserve"> Corte IDH. </w:t>
      </w:r>
      <w:r w:rsidRPr="0028728D">
        <w:rPr>
          <w:rFonts w:ascii="Cambria" w:hAnsi="Cambria" w:cs="Arial"/>
          <w:bCs/>
          <w:color w:val="000000" w:themeColor="text1"/>
          <w:sz w:val="16"/>
          <w:szCs w:val="16"/>
          <w:lang w:val="es-ES"/>
        </w:rPr>
        <w:t xml:space="preserve">Caso Cantoral Huamaní y García Santa Cruz Vs. Perú. </w:t>
      </w:r>
      <w:r w:rsidRPr="0028728D">
        <w:rPr>
          <w:rFonts w:ascii="Cambria" w:hAnsi="Cambria" w:cs="Arial"/>
          <w:color w:val="000000" w:themeColor="text1"/>
          <w:sz w:val="16"/>
          <w:szCs w:val="16"/>
          <w:lang w:val="es-ES"/>
        </w:rPr>
        <w:t xml:space="preserve">Excepción Preliminar, Fondo, Reparaciones y Costas. Sentencia de 10 de julio de 2007. Serie C No. 167, párr. 112; y Caso Bueno Alves Vs. Argentina. Fondo, Reparaciones y Costas. Sentencia de 11 de mayo de 2007. Serie C. No. 164, párr. 102. Ver también: </w:t>
      </w:r>
      <w:r w:rsidRPr="0028728D">
        <w:rPr>
          <w:rFonts w:ascii="Cambria" w:hAnsi="Cambria"/>
          <w:color w:val="000000" w:themeColor="text1"/>
          <w:sz w:val="16"/>
          <w:szCs w:val="16"/>
          <w:lang w:val="es-ES"/>
        </w:rPr>
        <w:t xml:space="preserve">CIDH. Informe No. 58/12. Caso 12.606. Fondo. Hermanos Landaeta Mejías. Venezuela. 21 de marzo de 2012, párr. </w:t>
      </w:r>
      <w:r w:rsidRPr="0028728D">
        <w:rPr>
          <w:rFonts w:ascii="Cambria" w:hAnsi="Cambria" w:cs="Arial"/>
          <w:color w:val="000000" w:themeColor="text1"/>
          <w:sz w:val="16"/>
          <w:szCs w:val="16"/>
          <w:lang w:val="es-ES"/>
        </w:rPr>
        <w:t xml:space="preserve">256. </w:t>
      </w:r>
    </w:p>
  </w:footnote>
  <w:footnote w:id="136">
    <w:p w14:paraId="039F665F" w14:textId="6E60B7F0" w:rsidR="00384416" w:rsidRPr="0028728D" w:rsidRDefault="00384416" w:rsidP="00B06579">
      <w:pPr>
        <w:tabs>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s="Arial"/>
          <w:color w:val="000000" w:themeColor="text1"/>
          <w:sz w:val="16"/>
          <w:szCs w:val="16"/>
          <w:lang w:val="es-ES"/>
        </w:rPr>
        <w:footnoteRef/>
      </w:r>
      <w:r w:rsidRPr="0028728D">
        <w:rPr>
          <w:rFonts w:ascii="Cambria" w:hAnsi="Cambria" w:cs="Arial"/>
          <w:color w:val="000000" w:themeColor="text1"/>
          <w:sz w:val="16"/>
          <w:szCs w:val="16"/>
          <w:lang w:val="es-ES"/>
        </w:rPr>
        <w:t xml:space="preserve"> Corte IDH. </w:t>
      </w:r>
      <w:r w:rsidRPr="0028728D">
        <w:rPr>
          <w:rFonts w:ascii="Cambria" w:hAnsi="Cambria" w:cs="Arial"/>
          <w:bCs/>
          <w:color w:val="000000" w:themeColor="text1"/>
          <w:sz w:val="16"/>
          <w:szCs w:val="16"/>
          <w:lang w:val="es-ES"/>
        </w:rPr>
        <w:t xml:space="preserve">Caso Cantoral Huamaní y García Santa Cruz Vs. Perú. </w:t>
      </w:r>
      <w:r w:rsidRPr="0028728D">
        <w:rPr>
          <w:rFonts w:ascii="Cambria" w:hAnsi="Cambria" w:cs="Arial"/>
          <w:color w:val="000000" w:themeColor="text1"/>
          <w:sz w:val="16"/>
          <w:szCs w:val="16"/>
          <w:lang w:val="es-ES"/>
        </w:rPr>
        <w:t>Excepción Preliminar, Fondo, Reparaciones y Costas. Sentencia de 10 de julio de 2007. Serie C No. 167. párr. 112; Caso Vargas Areco Vs. Paraguay. Sentencia de 26 de septiembre de 2006. Serie C No. 155. párr. 96 y CIDH. Informe No. 118/18. Caso 12.890. Fondo. José Gregorio Mota Abarullo y Otros (Muertes en la Cárcel de San Félix). Venezuela. 5 de octubre de 2018, párr. 93.</w:t>
      </w:r>
    </w:p>
  </w:footnote>
  <w:footnote w:id="137">
    <w:p w14:paraId="15270F4D" w14:textId="77777777" w:rsidR="00384416" w:rsidRPr="0028728D" w:rsidRDefault="00384416" w:rsidP="00B06579">
      <w:pPr>
        <w:pStyle w:val="FootnoteText"/>
        <w:tabs>
          <w:tab w:val="left" w:pos="720"/>
          <w:tab w:val="left" w:pos="900"/>
          <w:tab w:val="left" w:pos="1080"/>
        </w:tabs>
        <w:jc w:val="both"/>
        <w:rPr>
          <w:rFonts w:ascii="Cambria" w:hAnsi="Cambria"/>
          <w:color w:val="000000" w:themeColor="text1"/>
          <w:sz w:val="16"/>
          <w:szCs w:val="16"/>
          <w:lang w:val="es-ES"/>
        </w:rPr>
      </w:pPr>
      <w:r w:rsidRPr="0028728D">
        <w:rPr>
          <w:rStyle w:val="FootnoteReference"/>
          <w:rFonts w:ascii="Cambria" w:hAnsi="Cambria"/>
          <w:color w:val="000000" w:themeColor="text1"/>
          <w:sz w:val="16"/>
          <w:szCs w:val="16"/>
          <w:lang w:val="es-ES"/>
        </w:rPr>
        <w:footnoteRef/>
      </w:r>
      <w:r w:rsidRPr="0028728D">
        <w:rPr>
          <w:rFonts w:ascii="Cambria" w:hAnsi="Cambria"/>
          <w:color w:val="000000" w:themeColor="text1"/>
          <w:sz w:val="16"/>
          <w:szCs w:val="16"/>
          <w:lang w:val="es-ES"/>
        </w:rPr>
        <w:t xml:space="preserve"> Corte IDH. Caso Valle Jaramillo y otros Vs. Colombia. Fondo, Reparaciones y Costas. Sentencia de 27 de noviembre de 2008. Serie C No. 192, párr. 102; Caso de la Masacre de la Rochela Vs. Colombia. Fondo, Reparaciones y Costas. Sentencia de 11 de mayo de 2007, Serie C No. 163, párr. 195; y Caso Heliodoro Portugal Vs. Panamá. </w:t>
      </w:r>
      <w:hyperlink r:id="rId11" w:history="1">
        <w:r w:rsidRPr="0028728D">
          <w:rPr>
            <w:rFonts w:ascii="Cambria" w:hAnsi="Cambria"/>
            <w:color w:val="000000" w:themeColor="text1"/>
            <w:sz w:val="16"/>
            <w:szCs w:val="16"/>
            <w:lang w:val="es-ES"/>
          </w:rPr>
          <w:t>Excepciones Preliminares, Fondo, Reparaciones y Costas. Sentencia de 12 de agosto de 2008. Serie C No. 186</w:t>
        </w:r>
      </w:hyperlink>
      <w:r w:rsidRPr="0028728D">
        <w:rPr>
          <w:rFonts w:ascii="Cambria" w:hAnsi="Cambria"/>
          <w:color w:val="000000" w:themeColor="text1"/>
          <w:sz w:val="16"/>
          <w:szCs w:val="16"/>
          <w:lang w:val="es-ES"/>
        </w:rPr>
        <w:t>, párr.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4E25" w14:textId="77777777" w:rsidR="00384416" w:rsidRDefault="00384416" w:rsidP="002A6B05">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42BC82B" w14:textId="77777777" w:rsidR="00384416" w:rsidRDefault="00384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E598" w14:textId="77777777" w:rsidR="00384416" w:rsidRDefault="00384416" w:rsidP="002A6B05">
    <w:pPr>
      <w:pStyle w:val="Header"/>
      <w:tabs>
        <w:tab w:val="clear" w:pos="4320"/>
        <w:tab w:val="clear" w:pos="8640"/>
      </w:tabs>
      <w:jc w:val="center"/>
      <w:rPr>
        <w:sz w:val="22"/>
        <w:szCs w:val="22"/>
      </w:rPr>
    </w:pPr>
    <w:r>
      <w:rPr>
        <w:noProof/>
        <w:sz w:val="22"/>
        <w:szCs w:val="22"/>
      </w:rPr>
      <w:drawing>
        <wp:inline distT="0" distB="0" distL="0" distR="0" wp14:anchorId="5F805CB0" wp14:editId="5A70C7B8">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68F606F4" w14:textId="77777777" w:rsidR="00384416" w:rsidRPr="00EC7D62" w:rsidRDefault="00384416" w:rsidP="002A6B05">
    <w:pPr>
      <w:pStyle w:val="Header"/>
      <w:tabs>
        <w:tab w:val="clear" w:pos="4320"/>
        <w:tab w:val="clear" w:pos="864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CC35" w14:textId="77777777" w:rsidR="00384416" w:rsidRPr="00EC7D62" w:rsidRDefault="00756083" w:rsidP="002A6B05">
    <w:pPr>
      <w:pStyle w:val="Header"/>
      <w:tabs>
        <w:tab w:val="clear" w:pos="4320"/>
        <w:tab w:val="clear" w:pos="8640"/>
      </w:tabs>
      <w:jc w:val="center"/>
      <w:rPr>
        <w:sz w:val="22"/>
        <w:szCs w:val="22"/>
      </w:rPr>
    </w:pPr>
    <w:r>
      <w:pict w14:anchorId="29A26EC3">
        <v:rect id="Horizontal Line 1" o:spid="_x0000_s1025" alt="" style="width:468pt;height:.0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w10:wrap type="non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4CE"/>
    <w:multiLevelType w:val="hybridMultilevel"/>
    <w:tmpl w:val="2978452C"/>
    <w:lvl w:ilvl="0" w:tplc="4634C52E">
      <w:start w:val="1"/>
      <w:numFmt w:val="bullet"/>
      <w:lvlText w:val="-"/>
      <w:lvlJc w:val="left"/>
      <w:pPr>
        <w:ind w:left="927" w:hanging="360"/>
      </w:pPr>
      <w:rPr>
        <w:rFonts w:ascii="Cambria" w:eastAsia="Cambria" w:hAnsi="Cambria" w:cs="Cambri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0E13D5"/>
    <w:multiLevelType w:val="hybridMultilevel"/>
    <w:tmpl w:val="DB8E95C6"/>
    <w:lvl w:ilvl="0" w:tplc="16B68AC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3"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3125243"/>
    <w:multiLevelType w:val="hybridMultilevel"/>
    <w:tmpl w:val="F8903562"/>
    <w:lvl w:ilvl="0" w:tplc="FFFFFFFF">
      <w:start w:val="1"/>
      <w:numFmt w:val="lowerLetter"/>
      <w:lvlText w:val="%1)"/>
      <w:lvlJc w:val="left"/>
      <w:pPr>
        <w:ind w:left="1785" w:hanging="360"/>
      </w:pPr>
      <w:rPr>
        <w:rFonts w:hint="default"/>
        <w:sz w:val="20"/>
        <w:szCs w:val="20"/>
      </w:r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8" w15:restartNumberingAfterBreak="0">
    <w:nsid w:val="140127D8"/>
    <w:multiLevelType w:val="hybridMultilevel"/>
    <w:tmpl w:val="D98C889A"/>
    <w:lvl w:ilvl="0" w:tplc="02F84FD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1"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04F3D13"/>
    <w:multiLevelType w:val="hybridMultilevel"/>
    <w:tmpl w:val="4F409B36"/>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241E77"/>
    <w:multiLevelType w:val="hybridMultilevel"/>
    <w:tmpl w:val="D5D26A5C"/>
    <w:lvl w:ilvl="0" w:tplc="74987950">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CF32696"/>
    <w:multiLevelType w:val="hybridMultilevel"/>
    <w:tmpl w:val="F8903562"/>
    <w:lvl w:ilvl="0" w:tplc="08090017">
      <w:start w:val="1"/>
      <w:numFmt w:val="lowerLetter"/>
      <w:lvlText w:val="%1)"/>
      <w:lvlJc w:val="left"/>
      <w:pPr>
        <w:ind w:left="1785" w:hanging="360"/>
      </w:pPr>
      <w:rPr>
        <w:rFonts w:hint="default"/>
        <w:sz w:val="20"/>
        <w:szCs w:val="2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4"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BEF0D0D"/>
    <w:multiLevelType w:val="hybridMultilevel"/>
    <w:tmpl w:val="D71E487E"/>
    <w:lvl w:ilvl="0" w:tplc="998072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C430424"/>
    <w:multiLevelType w:val="hybridMultilevel"/>
    <w:tmpl w:val="28EC4CF0"/>
    <w:lvl w:ilvl="0" w:tplc="16B68AC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138436A"/>
    <w:multiLevelType w:val="hybridMultilevel"/>
    <w:tmpl w:val="1C5C3C54"/>
    <w:lvl w:ilvl="0" w:tplc="FFFFFFFF">
      <w:start w:val="1"/>
      <w:numFmt w:val="decimal"/>
      <w:lvlText w:val="%1."/>
      <w:lvlJc w:val="left"/>
      <w:pPr>
        <w:ind w:left="1425" w:hanging="705"/>
      </w:pPr>
      <w:rPr>
        <w:rFonts w:ascii="Cambria" w:eastAsia="Times New Roman" w:hAnsi="Cambria" w:cs="Tahoma"/>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A681F10"/>
    <w:multiLevelType w:val="hybridMultilevel"/>
    <w:tmpl w:val="1C5C3C54"/>
    <w:lvl w:ilvl="0" w:tplc="C84485B6">
      <w:start w:val="1"/>
      <w:numFmt w:val="decimal"/>
      <w:lvlText w:val="%1."/>
      <w:lvlJc w:val="left"/>
      <w:pPr>
        <w:ind w:left="1425" w:hanging="705"/>
      </w:pPr>
      <w:rPr>
        <w:rFonts w:ascii="Cambria" w:eastAsia="Times New Roman" w:hAnsi="Cambria" w:cs="Tahoma"/>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D7D4B9D"/>
    <w:multiLevelType w:val="hybridMultilevel"/>
    <w:tmpl w:val="1DEC6828"/>
    <w:lvl w:ilvl="0" w:tplc="C57A5634">
      <w:start w:val="1"/>
      <w:numFmt w:val="decimal"/>
      <w:lvlText w:val="%1."/>
      <w:lvlJc w:val="left"/>
      <w:pPr>
        <w:ind w:left="1170" w:hanging="360"/>
      </w:pPr>
      <w:rPr>
        <w:rFonts w:ascii="Cambria" w:hAnsi="Cambria" w:hint="default"/>
        <w:b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F54C1E42"/>
    <w:lvl w:ilvl="0" w:tplc="548600FA">
      <w:start w:val="1"/>
      <w:numFmt w:val="upperRoman"/>
      <w:pStyle w:val="Heading1"/>
      <w:lvlText w:val="%1."/>
      <w:lvlJc w:val="left"/>
      <w:pPr>
        <w:ind w:left="720" w:hanging="360"/>
      </w:pPr>
      <w:rPr>
        <w:rFonts w:hint="default"/>
        <w:lang w:val="es-VE"/>
      </w:rPr>
    </w:lvl>
    <w:lvl w:ilvl="1" w:tplc="5D9A6BAE">
      <w:start w:val="4"/>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C26FCF"/>
    <w:multiLevelType w:val="multilevel"/>
    <w:tmpl w:val="2FCAD168"/>
    <w:styleLink w:val="List3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311758">
    <w:abstractNumId w:val="5"/>
  </w:num>
  <w:num w:numId="2" w16cid:durableId="1315064289">
    <w:abstractNumId w:val="6"/>
  </w:num>
  <w:num w:numId="3" w16cid:durableId="2054303624">
    <w:abstractNumId w:val="56"/>
  </w:num>
  <w:num w:numId="4" w16cid:durableId="441077147">
    <w:abstractNumId w:val="25"/>
  </w:num>
  <w:num w:numId="5" w16cid:durableId="655911728">
    <w:abstractNumId w:val="51"/>
  </w:num>
  <w:num w:numId="6" w16cid:durableId="1212234301">
    <w:abstractNumId w:val="30"/>
  </w:num>
  <w:num w:numId="7" w16cid:durableId="1596014455">
    <w:abstractNumId w:val="9"/>
  </w:num>
  <w:num w:numId="8" w16cid:durableId="1272592463">
    <w:abstractNumId w:val="20"/>
  </w:num>
  <w:num w:numId="9" w16cid:durableId="53892003">
    <w:abstractNumId w:val="46"/>
  </w:num>
  <w:num w:numId="10" w16cid:durableId="1554852869">
    <w:abstractNumId w:val="2"/>
  </w:num>
  <w:num w:numId="11" w16cid:durableId="1868135953">
    <w:abstractNumId w:val="42"/>
  </w:num>
  <w:num w:numId="12" w16cid:durableId="1080104324">
    <w:abstractNumId w:val="43"/>
  </w:num>
  <w:num w:numId="13" w16cid:durableId="154107040">
    <w:abstractNumId w:val="48"/>
  </w:num>
  <w:num w:numId="14" w16cid:durableId="1712922416">
    <w:abstractNumId w:val="3"/>
  </w:num>
  <w:num w:numId="15" w16cid:durableId="1674454533">
    <w:abstractNumId w:val="4"/>
  </w:num>
  <w:num w:numId="16" w16cid:durableId="1533569147">
    <w:abstractNumId w:val="10"/>
  </w:num>
  <w:num w:numId="17" w16cid:durableId="503668056">
    <w:abstractNumId w:val="11"/>
  </w:num>
  <w:num w:numId="18" w16cid:durableId="476802463">
    <w:abstractNumId w:val="12"/>
  </w:num>
  <w:num w:numId="19" w16cid:durableId="1602378292">
    <w:abstractNumId w:val="13"/>
  </w:num>
  <w:num w:numId="20" w16cid:durableId="705300036">
    <w:abstractNumId w:val="14"/>
  </w:num>
  <w:num w:numId="21" w16cid:durableId="201603291">
    <w:abstractNumId w:val="16"/>
  </w:num>
  <w:num w:numId="22" w16cid:durableId="776561419">
    <w:abstractNumId w:val="17"/>
  </w:num>
  <w:num w:numId="23" w16cid:durableId="1035540997">
    <w:abstractNumId w:val="18"/>
  </w:num>
  <w:num w:numId="24" w16cid:durableId="1743873389">
    <w:abstractNumId w:val="19"/>
  </w:num>
  <w:num w:numId="25" w16cid:durableId="680859105">
    <w:abstractNumId w:val="22"/>
  </w:num>
  <w:num w:numId="26" w16cid:durableId="1415278561">
    <w:abstractNumId w:val="24"/>
  </w:num>
  <w:num w:numId="27" w16cid:durableId="1988625474">
    <w:abstractNumId w:val="26"/>
  </w:num>
  <w:num w:numId="28" w16cid:durableId="1673020248">
    <w:abstractNumId w:val="27"/>
  </w:num>
  <w:num w:numId="29" w16cid:durableId="1971863362">
    <w:abstractNumId w:val="28"/>
  </w:num>
  <w:num w:numId="30" w16cid:durableId="576600121">
    <w:abstractNumId w:val="29"/>
  </w:num>
  <w:num w:numId="31" w16cid:durableId="1783106471">
    <w:abstractNumId w:val="31"/>
  </w:num>
  <w:num w:numId="32" w16cid:durableId="534660336">
    <w:abstractNumId w:val="34"/>
  </w:num>
  <w:num w:numId="33" w16cid:durableId="1773209546">
    <w:abstractNumId w:val="36"/>
  </w:num>
  <w:num w:numId="34" w16cid:durableId="96293784">
    <w:abstractNumId w:val="37"/>
  </w:num>
  <w:num w:numId="35" w16cid:durableId="1612542085">
    <w:abstractNumId w:val="38"/>
  </w:num>
  <w:num w:numId="36" w16cid:durableId="399251647">
    <w:abstractNumId w:val="39"/>
  </w:num>
  <w:num w:numId="37" w16cid:durableId="1808280402">
    <w:abstractNumId w:val="40"/>
  </w:num>
  <w:num w:numId="38" w16cid:durableId="1005014283">
    <w:abstractNumId w:val="41"/>
  </w:num>
  <w:num w:numId="39" w16cid:durableId="511533704">
    <w:abstractNumId w:val="44"/>
  </w:num>
  <w:num w:numId="40" w16cid:durableId="1488667140">
    <w:abstractNumId w:val="45"/>
  </w:num>
  <w:num w:numId="41" w16cid:durableId="429156593">
    <w:abstractNumId w:val="50"/>
  </w:num>
  <w:num w:numId="42" w16cid:durableId="2147310549">
    <w:abstractNumId w:val="52"/>
  </w:num>
  <w:num w:numId="43" w16cid:durableId="127165829">
    <w:abstractNumId w:val="53"/>
  </w:num>
  <w:num w:numId="44" w16cid:durableId="1641232515">
    <w:abstractNumId w:val="55"/>
  </w:num>
  <w:num w:numId="45" w16cid:durableId="532616835">
    <w:abstractNumId w:val="57"/>
  </w:num>
  <w:num w:numId="46" w16cid:durableId="58016273">
    <w:abstractNumId w:val="58"/>
  </w:num>
  <w:num w:numId="47" w16cid:durableId="1929072551">
    <w:abstractNumId w:val="59"/>
  </w:num>
  <w:num w:numId="48" w16cid:durableId="309677475">
    <w:abstractNumId w:val="60"/>
  </w:num>
  <w:num w:numId="49" w16cid:durableId="1974671397">
    <w:abstractNumId w:val="61"/>
  </w:num>
  <w:num w:numId="50" w16cid:durableId="1414661526">
    <w:abstractNumId w:val="54"/>
  </w:num>
  <w:num w:numId="51" w16cid:durableId="187450908">
    <w:abstractNumId w:val="49"/>
  </w:num>
  <w:num w:numId="52" w16cid:durableId="632177072">
    <w:abstractNumId w:val="33"/>
  </w:num>
  <w:num w:numId="53" w16cid:durableId="1690837403">
    <w:abstractNumId w:val="8"/>
  </w:num>
  <w:num w:numId="54" w16cid:durableId="1880045691">
    <w:abstractNumId w:val="1"/>
  </w:num>
  <w:num w:numId="55" w16cid:durableId="136150498">
    <w:abstractNumId w:val="32"/>
  </w:num>
  <w:num w:numId="56" w16cid:durableId="1341274893">
    <w:abstractNumId w:val="47"/>
  </w:num>
  <w:num w:numId="57" w16cid:durableId="124936317">
    <w:abstractNumId w:val="15"/>
  </w:num>
  <w:num w:numId="58" w16cid:durableId="1837648353">
    <w:abstractNumId w:val="23"/>
  </w:num>
  <w:num w:numId="59" w16cid:durableId="1600602399">
    <w:abstractNumId w:val="0"/>
  </w:num>
  <w:num w:numId="60" w16cid:durableId="2114082128">
    <w:abstractNumId w:val="35"/>
  </w:num>
  <w:num w:numId="61" w16cid:durableId="510337132">
    <w:abstractNumId w:val="7"/>
  </w:num>
  <w:num w:numId="62" w16cid:durableId="566843068">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05"/>
    <w:rsid w:val="00000805"/>
    <w:rsid w:val="00000E79"/>
    <w:rsid w:val="00007F8F"/>
    <w:rsid w:val="00012E36"/>
    <w:rsid w:val="000214DC"/>
    <w:rsid w:val="00024CE4"/>
    <w:rsid w:val="00035AA6"/>
    <w:rsid w:val="000410E4"/>
    <w:rsid w:val="00051B94"/>
    <w:rsid w:val="00056B4E"/>
    <w:rsid w:val="00064CBE"/>
    <w:rsid w:val="00070915"/>
    <w:rsid w:val="0007198E"/>
    <w:rsid w:val="00073640"/>
    <w:rsid w:val="00086CD0"/>
    <w:rsid w:val="00087705"/>
    <w:rsid w:val="00096787"/>
    <w:rsid w:val="000968CB"/>
    <w:rsid w:val="000B5086"/>
    <w:rsid w:val="000B5D85"/>
    <w:rsid w:val="000C3668"/>
    <w:rsid w:val="000D5036"/>
    <w:rsid w:val="000E1C22"/>
    <w:rsid w:val="000F0DC4"/>
    <w:rsid w:val="0010220B"/>
    <w:rsid w:val="0010654D"/>
    <w:rsid w:val="00115F51"/>
    <w:rsid w:val="00127C99"/>
    <w:rsid w:val="00133135"/>
    <w:rsid w:val="00144FC0"/>
    <w:rsid w:val="0014609B"/>
    <w:rsid w:val="0015116D"/>
    <w:rsid w:val="001550F5"/>
    <w:rsid w:val="00172AE5"/>
    <w:rsid w:val="001849BE"/>
    <w:rsid w:val="00190D0E"/>
    <w:rsid w:val="00193F03"/>
    <w:rsid w:val="001A1C63"/>
    <w:rsid w:val="001A2148"/>
    <w:rsid w:val="001A3C33"/>
    <w:rsid w:val="001B1D6A"/>
    <w:rsid w:val="001C2AEB"/>
    <w:rsid w:val="001C690B"/>
    <w:rsid w:val="001D3BD0"/>
    <w:rsid w:val="001D6567"/>
    <w:rsid w:val="001E54BC"/>
    <w:rsid w:val="001F742A"/>
    <w:rsid w:val="00207601"/>
    <w:rsid w:val="002163B5"/>
    <w:rsid w:val="002409D7"/>
    <w:rsid w:val="00244B80"/>
    <w:rsid w:val="00256DC4"/>
    <w:rsid w:val="0026741F"/>
    <w:rsid w:val="002715A9"/>
    <w:rsid w:val="002776C6"/>
    <w:rsid w:val="00281C8E"/>
    <w:rsid w:val="002829C1"/>
    <w:rsid w:val="0028728D"/>
    <w:rsid w:val="0029100F"/>
    <w:rsid w:val="0029113A"/>
    <w:rsid w:val="002A0697"/>
    <w:rsid w:val="002A6B05"/>
    <w:rsid w:val="002C3106"/>
    <w:rsid w:val="002E3EC1"/>
    <w:rsid w:val="002F364A"/>
    <w:rsid w:val="003122C3"/>
    <w:rsid w:val="00324064"/>
    <w:rsid w:val="0033269E"/>
    <w:rsid w:val="00345C8C"/>
    <w:rsid w:val="0035127F"/>
    <w:rsid w:val="0036484A"/>
    <w:rsid w:val="003736FC"/>
    <w:rsid w:val="00377668"/>
    <w:rsid w:val="00380E8D"/>
    <w:rsid w:val="00384416"/>
    <w:rsid w:val="00386049"/>
    <w:rsid w:val="0039204B"/>
    <w:rsid w:val="00393649"/>
    <w:rsid w:val="00395D38"/>
    <w:rsid w:val="003B2D1C"/>
    <w:rsid w:val="003C5334"/>
    <w:rsid w:val="003C6ADB"/>
    <w:rsid w:val="003D2A74"/>
    <w:rsid w:val="003E1217"/>
    <w:rsid w:val="003F6E57"/>
    <w:rsid w:val="00401F00"/>
    <w:rsid w:val="00406AAF"/>
    <w:rsid w:val="00412B02"/>
    <w:rsid w:val="00414C7A"/>
    <w:rsid w:val="004228A6"/>
    <w:rsid w:val="00426564"/>
    <w:rsid w:val="0043666C"/>
    <w:rsid w:val="0044435F"/>
    <w:rsid w:val="00455292"/>
    <w:rsid w:val="00455909"/>
    <w:rsid w:val="00466396"/>
    <w:rsid w:val="00473895"/>
    <w:rsid w:val="004929F7"/>
    <w:rsid w:val="004A5870"/>
    <w:rsid w:val="004C405D"/>
    <w:rsid w:val="004C5EEE"/>
    <w:rsid w:val="004D125C"/>
    <w:rsid w:val="0051074D"/>
    <w:rsid w:val="005144B1"/>
    <w:rsid w:val="005202CD"/>
    <w:rsid w:val="005251FB"/>
    <w:rsid w:val="0052612C"/>
    <w:rsid w:val="005304B2"/>
    <w:rsid w:val="00531E2A"/>
    <w:rsid w:val="00534047"/>
    <w:rsid w:val="005356AD"/>
    <w:rsid w:val="005418C0"/>
    <w:rsid w:val="005475CF"/>
    <w:rsid w:val="00550322"/>
    <w:rsid w:val="00556634"/>
    <w:rsid w:val="00557DBC"/>
    <w:rsid w:val="00570ECB"/>
    <w:rsid w:val="005717C9"/>
    <w:rsid w:val="00576846"/>
    <w:rsid w:val="00587F9E"/>
    <w:rsid w:val="00594476"/>
    <w:rsid w:val="005A2E8A"/>
    <w:rsid w:val="005A3412"/>
    <w:rsid w:val="005B6E17"/>
    <w:rsid w:val="005C41D3"/>
    <w:rsid w:val="005C5B85"/>
    <w:rsid w:val="005C6B71"/>
    <w:rsid w:val="005D238F"/>
    <w:rsid w:val="005E5EEF"/>
    <w:rsid w:val="00605CFA"/>
    <w:rsid w:val="006143B4"/>
    <w:rsid w:val="006327D7"/>
    <w:rsid w:val="006373B9"/>
    <w:rsid w:val="00643323"/>
    <w:rsid w:val="006526C8"/>
    <w:rsid w:val="00686404"/>
    <w:rsid w:val="006918A1"/>
    <w:rsid w:val="006919FA"/>
    <w:rsid w:val="006A0010"/>
    <w:rsid w:val="006A1FA2"/>
    <w:rsid w:val="006A38F9"/>
    <w:rsid w:val="006B06CA"/>
    <w:rsid w:val="006B0D42"/>
    <w:rsid w:val="006B29FA"/>
    <w:rsid w:val="006C19F3"/>
    <w:rsid w:val="006C41EE"/>
    <w:rsid w:val="006C6719"/>
    <w:rsid w:val="006D136E"/>
    <w:rsid w:val="006E27F4"/>
    <w:rsid w:val="006E7340"/>
    <w:rsid w:val="006E7C5B"/>
    <w:rsid w:val="006F76A1"/>
    <w:rsid w:val="006F7CB4"/>
    <w:rsid w:val="00702E57"/>
    <w:rsid w:val="0070679B"/>
    <w:rsid w:val="00714F11"/>
    <w:rsid w:val="00715121"/>
    <w:rsid w:val="00715452"/>
    <w:rsid w:val="00716ECF"/>
    <w:rsid w:val="007227F9"/>
    <w:rsid w:val="0072590B"/>
    <w:rsid w:val="007361B0"/>
    <w:rsid w:val="00744A80"/>
    <w:rsid w:val="00750586"/>
    <w:rsid w:val="0075255F"/>
    <w:rsid w:val="007540ED"/>
    <w:rsid w:val="00756083"/>
    <w:rsid w:val="0075684F"/>
    <w:rsid w:val="00780551"/>
    <w:rsid w:val="00790221"/>
    <w:rsid w:val="00790E24"/>
    <w:rsid w:val="007929A7"/>
    <w:rsid w:val="007948F5"/>
    <w:rsid w:val="007A267C"/>
    <w:rsid w:val="007A4DD3"/>
    <w:rsid w:val="007A69A5"/>
    <w:rsid w:val="007A77F8"/>
    <w:rsid w:val="007B22CD"/>
    <w:rsid w:val="007B7C71"/>
    <w:rsid w:val="007C39A6"/>
    <w:rsid w:val="007C7460"/>
    <w:rsid w:val="007C7828"/>
    <w:rsid w:val="007D12F4"/>
    <w:rsid w:val="007E19B1"/>
    <w:rsid w:val="007E4383"/>
    <w:rsid w:val="007F24F0"/>
    <w:rsid w:val="007F35AE"/>
    <w:rsid w:val="008316A9"/>
    <w:rsid w:val="0083532C"/>
    <w:rsid w:val="0084043E"/>
    <w:rsid w:val="00852E1F"/>
    <w:rsid w:val="00854F13"/>
    <w:rsid w:val="00860ACA"/>
    <w:rsid w:val="00866305"/>
    <w:rsid w:val="0088402F"/>
    <w:rsid w:val="0089741E"/>
    <w:rsid w:val="008A4A41"/>
    <w:rsid w:val="008D65EE"/>
    <w:rsid w:val="008D67C8"/>
    <w:rsid w:val="008E0F38"/>
    <w:rsid w:val="008E4E61"/>
    <w:rsid w:val="008E778C"/>
    <w:rsid w:val="00904F81"/>
    <w:rsid w:val="00913B80"/>
    <w:rsid w:val="009207C2"/>
    <w:rsid w:val="00927742"/>
    <w:rsid w:val="00936CFE"/>
    <w:rsid w:val="00944A2D"/>
    <w:rsid w:val="0095450C"/>
    <w:rsid w:val="00962B35"/>
    <w:rsid w:val="00967F96"/>
    <w:rsid w:val="00980619"/>
    <w:rsid w:val="00981274"/>
    <w:rsid w:val="00981BF7"/>
    <w:rsid w:val="009962AF"/>
    <w:rsid w:val="009A42B2"/>
    <w:rsid w:val="009A4711"/>
    <w:rsid w:val="009A48AD"/>
    <w:rsid w:val="009A63E3"/>
    <w:rsid w:val="009C06F8"/>
    <w:rsid w:val="009D002B"/>
    <w:rsid w:val="009D13A5"/>
    <w:rsid w:val="009D2FB5"/>
    <w:rsid w:val="009D606E"/>
    <w:rsid w:val="009E5D45"/>
    <w:rsid w:val="00A01036"/>
    <w:rsid w:val="00A16D37"/>
    <w:rsid w:val="00A27761"/>
    <w:rsid w:val="00A308CB"/>
    <w:rsid w:val="00A33FB8"/>
    <w:rsid w:val="00A437B1"/>
    <w:rsid w:val="00A4436D"/>
    <w:rsid w:val="00A452E5"/>
    <w:rsid w:val="00A46294"/>
    <w:rsid w:val="00A56D7F"/>
    <w:rsid w:val="00A57D22"/>
    <w:rsid w:val="00A6344C"/>
    <w:rsid w:val="00A64A10"/>
    <w:rsid w:val="00A64C99"/>
    <w:rsid w:val="00A7063D"/>
    <w:rsid w:val="00A726D4"/>
    <w:rsid w:val="00A76A92"/>
    <w:rsid w:val="00A76B66"/>
    <w:rsid w:val="00A834F0"/>
    <w:rsid w:val="00A84574"/>
    <w:rsid w:val="00A856B5"/>
    <w:rsid w:val="00A863A2"/>
    <w:rsid w:val="00A87368"/>
    <w:rsid w:val="00A90B1B"/>
    <w:rsid w:val="00AC4529"/>
    <w:rsid w:val="00AF04B7"/>
    <w:rsid w:val="00B06579"/>
    <w:rsid w:val="00B14AA9"/>
    <w:rsid w:val="00B150F5"/>
    <w:rsid w:val="00B24E80"/>
    <w:rsid w:val="00B31FE5"/>
    <w:rsid w:val="00B35D9C"/>
    <w:rsid w:val="00B364AE"/>
    <w:rsid w:val="00B50F83"/>
    <w:rsid w:val="00B612ED"/>
    <w:rsid w:val="00B7324E"/>
    <w:rsid w:val="00B86DAC"/>
    <w:rsid w:val="00B9532D"/>
    <w:rsid w:val="00BA375F"/>
    <w:rsid w:val="00BA67B6"/>
    <w:rsid w:val="00BB5E7C"/>
    <w:rsid w:val="00BD0D53"/>
    <w:rsid w:val="00BD72FF"/>
    <w:rsid w:val="00BF2830"/>
    <w:rsid w:val="00BF4B3F"/>
    <w:rsid w:val="00C01BF1"/>
    <w:rsid w:val="00C036A5"/>
    <w:rsid w:val="00C36237"/>
    <w:rsid w:val="00C509EC"/>
    <w:rsid w:val="00C55EB2"/>
    <w:rsid w:val="00C61D0D"/>
    <w:rsid w:val="00C6756B"/>
    <w:rsid w:val="00C9025B"/>
    <w:rsid w:val="00C95F67"/>
    <w:rsid w:val="00CB13FA"/>
    <w:rsid w:val="00CC0F9A"/>
    <w:rsid w:val="00CC71C5"/>
    <w:rsid w:val="00CD4CD6"/>
    <w:rsid w:val="00CD7891"/>
    <w:rsid w:val="00CF13B0"/>
    <w:rsid w:val="00CF5E9A"/>
    <w:rsid w:val="00D138CF"/>
    <w:rsid w:val="00D1763D"/>
    <w:rsid w:val="00D31FA1"/>
    <w:rsid w:val="00D4137C"/>
    <w:rsid w:val="00D41CD4"/>
    <w:rsid w:val="00D43B73"/>
    <w:rsid w:val="00D458A5"/>
    <w:rsid w:val="00D647F5"/>
    <w:rsid w:val="00D74E3E"/>
    <w:rsid w:val="00D75C84"/>
    <w:rsid w:val="00D8110A"/>
    <w:rsid w:val="00D825C9"/>
    <w:rsid w:val="00D829CF"/>
    <w:rsid w:val="00D83CEB"/>
    <w:rsid w:val="00DA4806"/>
    <w:rsid w:val="00DA68B7"/>
    <w:rsid w:val="00DB33E5"/>
    <w:rsid w:val="00DC3634"/>
    <w:rsid w:val="00DD7638"/>
    <w:rsid w:val="00DF23DC"/>
    <w:rsid w:val="00DF2653"/>
    <w:rsid w:val="00E026D7"/>
    <w:rsid w:val="00E12E11"/>
    <w:rsid w:val="00E13722"/>
    <w:rsid w:val="00E17464"/>
    <w:rsid w:val="00E23205"/>
    <w:rsid w:val="00E233C9"/>
    <w:rsid w:val="00E34389"/>
    <w:rsid w:val="00E353F8"/>
    <w:rsid w:val="00E437A7"/>
    <w:rsid w:val="00E511D6"/>
    <w:rsid w:val="00E64B1F"/>
    <w:rsid w:val="00E657BD"/>
    <w:rsid w:val="00E818F2"/>
    <w:rsid w:val="00E821C5"/>
    <w:rsid w:val="00E95825"/>
    <w:rsid w:val="00EA6555"/>
    <w:rsid w:val="00EA6D81"/>
    <w:rsid w:val="00EB0764"/>
    <w:rsid w:val="00EB0F19"/>
    <w:rsid w:val="00EB265C"/>
    <w:rsid w:val="00EC7995"/>
    <w:rsid w:val="00ED4DF8"/>
    <w:rsid w:val="00ED4F6B"/>
    <w:rsid w:val="00EE4B9B"/>
    <w:rsid w:val="00EF16F1"/>
    <w:rsid w:val="00EF26C7"/>
    <w:rsid w:val="00F1241C"/>
    <w:rsid w:val="00F13336"/>
    <w:rsid w:val="00F25690"/>
    <w:rsid w:val="00F2657E"/>
    <w:rsid w:val="00F3095B"/>
    <w:rsid w:val="00F332A9"/>
    <w:rsid w:val="00F35CC4"/>
    <w:rsid w:val="00F37DBC"/>
    <w:rsid w:val="00F44C18"/>
    <w:rsid w:val="00F46077"/>
    <w:rsid w:val="00F564F0"/>
    <w:rsid w:val="00F60A32"/>
    <w:rsid w:val="00F84780"/>
    <w:rsid w:val="00F909AD"/>
    <w:rsid w:val="00FC66CA"/>
    <w:rsid w:val="00FC760F"/>
    <w:rsid w:val="00FD16CE"/>
    <w:rsid w:val="00FE0CF1"/>
    <w:rsid w:val="01AF1628"/>
    <w:rsid w:val="25AEE3AE"/>
    <w:rsid w:val="74C6822C"/>
    <w:rsid w:val="7B13309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6E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ko-K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6B05"/>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Heading1">
    <w:name w:val="heading 1"/>
    <w:basedOn w:val="Normal"/>
    <w:next w:val="Normal"/>
    <w:link w:val="Heading1Char"/>
    <w:uiPriority w:val="99"/>
    <w:qFormat/>
    <w:rsid w:val="002A6B05"/>
    <w:pPr>
      <w:keepNext/>
      <w:keepLines/>
      <w:numPr>
        <w:numId w:val="50"/>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2A6B05"/>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uiPriority w:val="99"/>
    <w:qFormat/>
    <w:rsid w:val="002A6B05"/>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9"/>
    <w:qFormat/>
    <w:rsid w:val="00BD72F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MS ??" w:hAnsi="Calibri"/>
      <w:b/>
      <w:sz w:val="28"/>
      <w:szCs w:val="20"/>
      <w:bdr w:val="none" w:sz="0" w:space="0" w:color="auto"/>
      <w:lang w:val="es-SV"/>
    </w:rPr>
  </w:style>
  <w:style w:type="paragraph" w:styleId="Heading5">
    <w:name w:val="heading 5"/>
    <w:basedOn w:val="Normal"/>
    <w:next w:val="Normal"/>
    <w:link w:val="Heading5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MS ??" w:hAnsi="Calibri"/>
      <w:b/>
      <w:i/>
      <w:sz w:val="26"/>
      <w:szCs w:val="20"/>
      <w:bdr w:val="none" w:sz="0" w:space="0" w:color="auto"/>
      <w:lang w:val="es-SV"/>
    </w:rPr>
  </w:style>
  <w:style w:type="paragraph" w:styleId="Heading6">
    <w:name w:val="heading 6"/>
    <w:basedOn w:val="Normal"/>
    <w:next w:val="Normal"/>
    <w:link w:val="Heading6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ascii="Calibri" w:eastAsia="MS ??" w:hAnsi="Calibri"/>
      <w:b/>
      <w:sz w:val="20"/>
      <w:szCs w:val="20"/>
      <w:bdr w:val="none" w:sz="0" w:space="0" w:color="auto"/>
      <w:lang w:val="es-SV"/>
    </w:rPr>
  </w:style>
  <w:style w:type="paragraph" w:styleId="Heading7">
    <w:name w:val="heading 7"/>
    <w:basedOn w:val="Normal"/>
    <w:next w:val="Normal"/>
    <w:link w:val="Heading7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Calibri" w:eastAsia="MS ??" w:hAnsi="Calibri"/>
      <w:szCs w:val="20"/>
      <w:bdr w:val="none" w:sz="0" w:space="0" w:color="auto"/>
      <w:lang w:val="es-SV"/>
    </w:rPr>
  </w:style>
  <w:style w:type="paragraph" w:styleId="Heading8">
    <w:name w:val="heading 8"/>
    <w:basedOn w:val="Normal"/>
    <w:next w:val="Normal"/>
    <w:link w:val="Heading8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MS ??" w:hAnsi="Calibri"/>
      <w:i/>
      <w:szCs w:val="20"/>
      <w:bdr w:val="none" w:sz="0" w:space="0" w:color="auto"/>
      <w:lang w:val="es-SV"/>
    </w:rPr>
  </w:style>
  <w:style w:type="paragraph" w:styleId="Heading9">
    <w:name w:val="heading 9"/>
    <w:basedOn w:val="Normal"/>
    <w:next w:val="Normal"/>
    <w:link w:val="Heading9Char"/>
    <w:uiPriority w:val="99"/>
    <w:qFormat/>
    <w:rsid w:val="00BD72FF"/>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Cambria" w:eastAsia="MS ????" w:hAnsi="Cambria"/>
      <w:sz w:val="20"/>
      <w:szCs w:val="20"/>
      <w:bdr w:val="none" w:sz="0" w:space="0" w:color="auto"/>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6B05"/>
    <w:rPr>
      <w:rFonts w:asciiTheme="majorHAnsi" w:eastAsiaTheme="majorEastAsia" w:hAnsiTheme="majorHAnsi" w:cstheme="majorBidi"/>
      <w:b/>
      <w:bCs/>
      <w:color w:val="2F5496" w:themeColor="accent1" w:themeShade="BF"/>
      <w:sz w:val="28"/>
      <w:szCs w:val="28"/>
      <w:bdr w:val="nil"/>
      <w:lang w:val="en-US" w:eastAsia="en-US"/>
    </w:rPr>
  </w:style>
  <w:style w:type="character" w:customStyle="1" w:styleId="Heading2Char">
    <w:name w:val="Heading 2 Char"/>
    <w:basedOn w:val="DefaultParagraphFont"/>
    <w:link w:val="Heading2"/>
    <w:rsid w:val="002A6B05"/>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rsid w:val="002A6B05"/>
    <w:rPr>
      <w:rFonts w:ascii="Arial" w:eastAsia="Times New Roman" w:hAnsi="Arial" w:cs="Arial"/>
      <w:b/>
      <w:bCs/>
      <w:sz w:val="26"/>
      <w:szCs w:val="26"/>
      <w:lang w:val="en-US" w:eastAsia="en-US"/>
    </w:rPr>
  </w:style>
  <w:style w:type="character" w:styleId="Hyperlink">
    <w:name w:val="Hyperlink"/>
    <w:uiPriority w:val="99"/>
    <w:rsid w:val="002A6B05"/>
    <w:rPr>
      <w:u w:val="single"/>
    </w:rPr>
  </w:style>
  <w:style w:type="paragraph" w:customStyle="1" w:styleId="Cabeceraypie">
    <w:name w:val="Cabecera y pie"/>
    <w:rsid w:val="002A6B05"/>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s-ES" w:eastAsia="es-ES"/>
    </w:rPr>
  </w:style>
  <w:style w:type="paragraph" w:styleId="Footer">
    <w:name w:val="footer"/>
    <w:link w:val="FooterChar"/>
    <w:uiPriority w:val="99"/>
    <w:rsid w:val="002A6B05"/>
    <w:pPr>
      <w:pBdr>
        <w:top w:val="nil"/>
        <w:left w:val="nil"/>
        <w:bottom w:val="nil"/>
        <w:right w:val="nil"/>
        <w:between w:val="nil"/>
        <w:bar w:val="nil"/>
      </w:pBdr>
      <w:tabs>
        <w:tab w:val="center" w:pos="4513"/>
        <w:tab w:val="right" w:pos="9026"/>
      </w:tabs>
    </w:pPr>
    <w:rPr>
      <w:rFonts w:ascii="Cambria" w:eastAsia="Cambria" w:hAnsi="Cambria" w:cs="Cambria"/>
      <w:color w:val="000000"/>
      <w:u w:color="000000"/>
      <w:bdr w:val="nil"/>
      <w:lang w:val="en-US" w:eastAsia="es-ES"/>
    </w:rPr>
  </w:style>
  <w:style w:type="character" w:customStyle="1" w:styleId="FooterChar">
    <w:name w:val="Footer Char"/>
    <w:basedOn w:val="DefaultParagraphFont"/>
    <w:link w:val="Footer"/>
    <w:uiPriority w:val="99"/>
    <w:rsid w:val="002A6B05"/>
    <w:rPr>
      <w:rFonts w:ascii="Cambria" w:eastAsia="Cambria" w:hAnsi="Cambria" w:cs="Cambria"/>
      <w:color w:val="000000"/>
      <w:u w:color="000000"/>
      <w:bdr w:val="nil"/>
      <w:lang w:val="en-US" w:eastAsia="es-ES"/>
    </w:rPr>
  </w:style>
  <w:style w:type="paragraph" w:customStyle="1" w:styleId="Cuerpo">
    <w:name w:val="Cuerpo"/>
    <w:rsid w:val="002A6B05"/>
    <w:pPr>
      <w:pBdr>
        <w:top w:val="nil"/>
        <w:left w:val="nil"/>
        <w:bottom w:val="nil"/>
        <w:right w:val="nil"/>
        <w:between w:val="nil"/>
        <w:bar w:val="nil"/>
      </w:pBdr>
    </w:pPr>
    <w:rPr>
      <w:rFonts w:ascii="Cambria" w:eastAsia="Cambria" w:hAnsi="Cambria" w:cs="Cambria"/>
      <w:color w:val="000000"/>
      <w:u w:color="000000"/>
      <w:bdr w:val="nil"/>
      <w:lang w:val="es-ES" w:eastAsia="es-ES"/>
    </w:rPr>
  </w:style>
  <w:style w:type="paragraph" w:styleId="BodyTextIndent">
    <w:name w:val="Body Text Indent"/>
    <w:link w:val="BodyTextIndentChar"/>
    <w:rsid w:val="002A6B05"/>
    <w:pPr>
      <w:pBdr>
        <w:top w:val="nil"/>
        <w:left w:val="nil"/>
        <w:bottom w:val="nil"/>
        <w:right w:val="nil"/>
        <w:between w:val="nil"/>
        <w:bar w:val="nil"/>
      </w:pBdr>
      <w:ind w:left="2160" w:hanging="720"/>
    </w:pPr>
    <w:rPr>
      <w:rFonts w:ascii="Times New Roman" w:eastAsia="Times New Roman" w:hAnsi="Times New Roman" w:cs="Times New Roman"/>
      <w:color w:val="000000"/>
      <w:u w:color="000000"/>
      <w:bdr w:val="nil"/>
      <w:lang w:val="es-ES_tradnl" w:eastAsia="es-ES"/>
    </w:rPr>
  </w:style>
  <w:style w:type="character" w:customStyle="1" w:styleId="BodyTextIndentChar">
    <w:name w:val="Body Text Indent Char"/>
    <w:basedOn w:val="DefaultParagraphFont"/>
    <w:link w:val="BodyTextIndent"/>
    <w:rsid w:val="002A6B05"/>
    <w:rPr>
      <w:rFonts w:ascii="Times New Roman" w:eastAsia="Times New Roman" w:hAnsi="Times New Roman" w:cs="Times New Roman"/>
      <w:color w:val="000000"/>
      <w:u w:color="000000"/>
      <w:bdr w:val="nil"/>
      <w:lang w:val="es-ES_tradnl" w:eastAsia="es-ES"/>
    </w:rPr>
  </w:style>
  <w:style w:type="paragraph" w:styleId="ListParagraph">
    <w:name w:val="List Paragraph"/>
    <w:aliases w:val="Párrafo de lista1,List Paragraph1,List Paragraph11,List Paragraph2,Lista vistosa - Énfasis 11,Colorful List - Accent 12,Subtle Emphasis1,Footnote1,Parrafos"/>
    <w:link w:val="ListParagraphChar"/>
    <w:qFormat/>
    <w:rsid w:val="002A6B05"/>
    <w:pPr>
      <w:pBdr>
        <w:top w:val="nil"/>
        <w:left w:val="nil"/>
        <w:bottom w:val="nil"/>
        <w:right w:val="nil"/>
        <w:between w:val="nil"/>
        <w:bar w:val="nil"/>
      </w:pBdr>
      <w:ind w:left="720"/>
    </w:pPr>
    <w:rPr>
      <w:rFonts w:ascii="Cambria" w:eastAsia="Cambria" w:hAnsi="Cambria" w:cs="Cambria"/>
      <w:color w:val="000000"/>
      <w:u w:color="000000"/>
      <w:bdr w:val="nil"/>
      <w:lang w:val="en-US" w:eastAsia="es-ES"/>
    </w:rPr>
  </w:style>
  <w:style w:type="numbering" w:customStyle="1" w:styleId="List0">
    <w:name w:val="List 0"/>
    <w:basedOn w:val="Estiloimportado1"/>
    <w:rsid w:val="002A6B05"/>
    <w:pPr>
      <w:numPr>
        <w:numId w:val="31"/>
      </w:numPr>
    </w:pPr>
  </w:style>
  <w:style w:type="numbering" w:customStyle="1" w:styleId="Estiloimportado1">
    <w:name w:val="Estilo importado 1"/>
    <w:rsid w:val="002A6B05"/>
  </w:style>
  <w:style w:type="numbering" w:customStyle="1" w:styleId="List1">
    <w:name w:val="List 1"/>
    <w:basedOn w:val="Estiloimportado2"/>
    <w:rsid w:val="002A6B05"/>
    <w:pPr>
      <w:numPr>
        <w:numId w:val="1"/>
      </w:numPr>
    </w:pPr>
  </w:style>
  <w:style w:type="numbering" w:customStyle="1" w:styleId="Estiloimportado2">
    <w:name w:val="Estilo importado 2"/>
    <w:rsid w:val="002A6B05"/>
  </w:style>
  <w:style w:type="numbering" w:customStyle="1" w:styleId="List21">
    <w:name w:val="List 21"/>
    <w:basedOn w:val="Estiloimportado3"/>
    <w:rsid w:val="002A6B05"/>
    <w:pPr>
      <w:numPr>
        <w:numId w:val="38"/>
      </w:numPr>
    </w:pPr>
  </w:style>
  <w:style w:type="numbering" w:customStyle="1" w:styleId="Estiloimportado3">
    <w:name w:val="Estilo importado 3"/>
    <w:rsid w:val="002A6B05"/>
  </w:style>
  <w:style w:type="numbering" w:customStyle="1" w:styleId="List31">
    <w:name w:val="List 31"/>
    <w:basedOn w:val="Estiloimportado4"/>
    <w:rsid w:val="002A6B05"/>
    <w:pPr>
      <w:numPr>
        <w:numId w:val="44"/>
      </w:numPr>
    </w:pPr>
  </w:style>
  <w:style w:type="numbering" w:customStyle="1" w:styleId="Estiloimportado4">
    <w:name w:val="Estilo importado 4"/>
    <w:rsid w:val="002A6B05"/>
  </w:style>
  <w:style w:type="numbering" w:customStyle="1" w:styleId="List41">
    <w:name w:val="List 41"/>
    <w:basedOn w:val="Estiloimportado5"/>
    <w:rsid w:val="002A6B05"/>
    <w:pPr>
      <w:numPr>
        <w:numId w:val="2"/>
      </w:numPr>
    </w:pPr>
  </w:style>
  <w:style w:type="numbering" w:customStyle="1" w:styleId="Estiloimportado5">
    <w:name w:val="Estilo importado 5"/>
    <w:rsid w:val="002A6B05"/>
  </w:style>
  <w:style w:type="numbering" w:customStyle="1" w:styleId="List51">
    <w:name w:val="List 51"/>
    <w:basedOn w:val="Estiloimportado6"/>
    <w:rsid w:val="002A6B05"/>
    <w:pPr>
      <w:numPr>
        <w:numId w:val="33"/>
      </w:numPr>
    </w:pPr>
  </w:style>
  <w:style w:type="numbering" w:customStyle="1" w:styleId="Estiloimportado6">
    <w:name w:val="Estilo importado 6"/>
    <w:rsid w:val="002A6B05"/>
  </w:style>
  <w:style w:type="numbering" w:customStyle="1" w:styleId="List6">
    <w:name w:val="List 6"/>
    <w:basedOn w:val="Estiloimportado7"/>
    <w:rsid w:val="002A6B05"/>
    <w:pPr>
      <w:numPr>
        <w:numId w:val="3"/>
      </w:numPr>
    </w:pPr>
  </w:style>
  <w:style w:type="numbering" w:customStyle="1" w:styleId="Estiloimportado7">
    <w:name w:val="Estilo importado 7"/>
    <w:rsid w:val="002A6B05"/>
  </w:style>
  <w:style w:type="numbering" w:customStyle="1" w:styleId="List7">
    <w:name w:val="List 7"/>
    <w:basedOn w:val="Estiloimportado8"/>
    <w:rsid w:val="002A6B05"/>
    <w:pPr>
      <w:numPr>
        <w:numId w:val="4"/>
      </w:numPr>
    </w:pPr>
  </w:style>
  <w:style w:type="numbering" w:customStyle="1" w:styleId="Estiloimportado8">
    <w:name w:val="Estilo importado 8"/>
    <w:rsid w:val="002A6B05"/>
  </w:style>
  <w:style w:type="numbering" w:customStyle="1" w:styleId="List8">
    <w:name w:val="List 8"/>
    <w:basedOn w:val="Estiloimportado9"/>
    <w:rsid w:val="002A6B05"/>
    <w:pPr>
      <w:numPr>
        <w:numId w:val="5"/>
      </w:numPr>
    </w:pPr>
  </w:style>
  <w:style w:type="numbering" w:customStyle="1" w:styleId="Estiloimportado9">
    <w:name w:val="Estilo importado 9"/>
    <w:rsid w:val="002A6B05"/>
  </w:style>
  <w:style w:type="numbering" w:customStyle="1" w:styleId="List9">
    <w:name w:val="List 9"/>
    <w:basedOn w:val="Estiloimportado10"/>
    <w:rsid w:val="002A6B05"/>
    <w:pPr>
      <w:numPr>
        <w:numId w:val="22"/>
      </w:numPr>
    </w:pPr>
  </w:style>
  <w:style w:type="numbering" w:customStyle="1" w:styleId="Estiloimportado10">
    <w:name w:val="Estilo importado 10"/>
    <w:rsid w:val="002A6B05"/>
  </w:style>
  <w:style w:type="numbering" w:customStyle="1" w:styleId="List10">
    <w:name w:val="List 10"/>
    <w:basedOn w:val="Estiloimportado11"/>
    <w:rsid w:val="002A6B05"/>
    <w:pPr>
      <w:numPr>
        <w:numId w:val="6"/>
      </w:numPr>
    </w:pPr>
  </w:style>
  <w:style w:type="numbering" w:customStyle="1" w:styleId="Estiloimportado11">
    <w:name w:val="Estilo importado 11"/>
    <w:rsid w:val="002A6B05"/>
  </w:style>
  <w:style w:type="numbering" w:customStyle="1" w:styleId="List11">
    <w:name w:val="List 11"/>
    <w:basedOn w:val="Estiloimportado12"/>
    <w:rsid w:val="002A6B05"/>
    <w:pPr>
      <w:numPr>
        <w:numId w:val="7"/>
      </w:numPr>
    </w:pPr>
  </w:style>
  <w:style w:type="numbering" w:customStyle="1" w:styleId="Estiloimportado12">
    <w:name w:val="Estilo importado 12"/>
    <w:rsid w:val="002A6B05"/>
  </w:style>
  <w:style w:type="numbering" w:customStyle="1" w:styleId="List12">
    <w:name w:val="List 12"/>
    <w:basedOn w:val="Estiloimportado13"/>
    <w:rsid w:val="002A6B05"/>
    <w:pPr>
      <w:numPr>
        <w:numId w:val="36"/>
      </w:numPr>
    </w:pPr>
  </w:style>
  <w:style w:type="numbering" w:customStyle="1" w:styleId="Estiloimportado13">
    <w:name w:val="Estilo importado 13"/>
    <w:rsid w:val="002A6B05"/>
  </w:style>
  <w:style w:type="numbering" w:customStyle="1" w:styleId="List13">
    <w:name w:val="List 13"/>
    <w:basedOn w:val="Estiloimportado14"/>
    <w:rsid w:val="002A6B05"/>
    <w:pPr>
      <w:numPr>
        <w:numId w:val="42"/>
      </w:numPr>
    </w:pPr>
  </w:style>
  <w:style w:type="numbering" w:customStyle="1" w:styleId="Estiloimportado14">
    <w:name w:val="Estilo importado 14"/>
    <w:rsid w:val="002A6B05"/>
  </w:style>
  <w:style w:type="numbering" w:customStyle="1" w:styleId="List14">
    <w:name w:val="List 14"/>
    <w:basedOn w:val="Estiloimportado15"/>
    <w:rsid w:val="002A6B05"/>
    <w:pPr>
      <w:numPr>
        <w:numId w:val="17"/>
      </w:numPr>
    </w:pPr>
  </w:style>
  <w:style w:type="numbering" w:customStyle="1" w:styleId="Estiloimportado15">
    <w:name w:val="Estilo importado 15"/>
    <w:rsid w:val="002A6B05"/>
  </w:style>
  <w:style w:type="numbering" w:customStyle="1" w:styleId="List15">
    <w:name w:val="List 15"/>
    <w:basedOn w:val="Estiloimportado16"/>
    <w:rsid w:val="002A6B05"/>
    <w:pPr>
      <w:numPr>
        <w:numId w:val="16"/>
      </w:numPr>
    </w:pPr>
  </w:style>
  <w:style w:type="numbering" w:customStyle="1" w:styleId="Estiloimportado16">
    <w:name w:val="Estilo importado 16"/>
    <w:rsid w:val="002A6B05"/>
  </w:style>
  <w:style w:type="numbering" w:customStyle="1" w:styleId="List16">
    <w:name w:val="List 16"/>
    <w:basedOn w:val="Estiloimportado16"/>
    <w:rsid w:val="002A6B05"/>
    <w:pPr>
      <w:numPr>
        <w:numId w:val="10"/>
      </w:numPr>
    </w:pPr>
  </w:style>
  <w:style w:type="numbering" w:customStyle="1" w:styleId="List17">
    <w:name w:val="List 17"/>
    <w:basedOn w:val="Estiloimportado17"/>
    <w:rsid w:val="002A6B05"/>
    <w:pPr>
      <w:numPr>
        <w:numId w:val="25"/>
      </w:numPr>
    </w:pPr>
  </w:style>
  <w:style w:type="numbering" w:customStyle="1" w:styleId="Estiloimportado17">
    <w:name w:val="Estilo importado 17"/>
    <w:rsid w:val="002A6B05"/>
  </w:style>
  <w:style w:type="numbering" w:customStyle="1" w:styleId="List18">
    <w:name w:val="List 18"/>
    <w:basedOn w:val="Estiloimportado18"/>
    <w:rsid w:val="002A6B05"/>
    <w:pPr>
      <w:numPr>
        <w:numId w:val="27"/>
      </w:numPr>
    </w:pPr>
  </w:style>
  <w:style w:type="numbering" w:customStyle="1" w:styleId="Estiloimportado18">
    <w:name w:val="Estilo importado 18"/>
    <w:rsid w:val="002A6B05"/>
  </w:style>
  <w:style w:type="numbering" w:customStyle="1" w:styleId="List19">
    <w:name w:val="List 19"/>
    <w:basedOn w:val="Estiloimportado10"/>
    <w:rsid w:val="002A6B05"/>
    <w:pPr>
      <w:numPr>
        <w:numId w:val="19"/>
      </w:numPr>
    </w:pPr>
  </w:style>
  <w:style w:type="numbering" w:customStyle="1" w:styleId="List20">
    <w:name w:val="List 20"/>
    <w:basedOn w:val="Estiloimportado12"/>
    <w:rsid w:val="002A6B05"/>
    <w:pPr>
      <w:numPr>
        <w:numId w:val="43"/>
      </w:numPr>
    </w:pPr>
  </w:style>
  <w:style w:type="numbering" w:customStyle="1" w:styleId="Estiloimportado19">
    <w:name w:val="Estilo importado 19"/>
    <w:rsid w:val="002A6B05"/>
  </w:style>
  <w:style w:type="numbering" w:customStyle="1" w:styleId="List22">
    <w:name w:val="List 22"/>
    <w:basedOn w:val="Estiloimportado19"/>
    <w:rsid w:val="002A6B05"/>
    <w:pPr>
      <w:numPr>
        <w:numId w:val="28"/>
      </w:numPr>
    </w:pPr>
  </w:style>
  <w:style w:type="numbering" w:customStyle="1" w:styleId="List23">
    <w:name w:val="List 23"/>
    <w:basedOn w:val="Estiloimportado19"/>
    <w:rsid w:val="002A6B05"/>
    <w:pPr>
      <w:numPr>
        <w:numId w:val="18"/>
      </w:numPr>
    </w:pPr>
  </w:style>
  <w:style w:type="numbering" w:customStyle="1" w:styleId="List24">
    <w:name w:val="List 24"/>
    <w:basedOn w:val="Estiloimportado20"/>
    <w:rsid w:val="002A6B05"/>
    <w:pPr>
      <w:numPr>
        <w:numId w:val="13"/>
      </w:numPr>
    </w:pPr>
  </w:style>
  <w:style w:type="numbering" w:customStyle="1" w:styleId="Estiloimportado20">
    <w:name w:val="Estilo importado 20"/>
    <w:rsid w:val="002A6B05"/>
  </w:style>
  <w:style w:type="numbering" w:customStyle="1" w:styleId="List25">
    <w:name w:val="List 25"/>
    <w:basedOn w:val="Estiloimportado21"/>
    <w:rsid w:val="002A6B05"/>
    <w:pPr>
      <w:numPr>
        <w:numId w:val="15"/>
      </w:numPr>
    </w:pPr>
  </w:style>
  <w:style w:type="numbering" w:customStyle="1" w:styleId="Estiloimportado21">
    <w:name w:val="Estilo importado 21"/>
    <w:rsid w:val="002A6B05"/>
  </w:style>
  <w:style w:type="numbering" w:customStyle="1" w:styleId="List26">
    <w:name w:val="List 26"/>
    <w:basedOn w:val="Estiloimportado22"/>
    <w:rsid w:val="002A6B05"/>
    <w:pPr>
      <w:numPr>
        <w:numId w:val="48"/>
      </w:numPr>
    </w:pPr>
  </w:style>
  <w:style w:type="numbering" w:customStyle="1" w:styleId="Estiloimportado22">
    <w:name w:val="Estilo importado 22"/>
    <w:rsid w:val="002A6B05"/>
  </w:style>
  <w:style w:type="numbering" w:customStyle="1" w:styleId="List27">
    <w:name w:val="List 27"/>
    <w:basedOn w:val="Estiloimportado23"/>
    <w:rsid w:val="002A6B05"/>
    <w:pPr>
      <w:numPr>
        <w:numId w:val="41"/>
      </w:numPr>
    </w:pPr>
  </w:style>
  <w:style w:type="numbering" w:customStyle="1" w:styleId="Estiloimportado23">
    <w:name w:val="Estilo importado 23"/>
    <w:rsid w:val="002A6B05"/>
  </w:style>
  <w:style w:type="numbering" w:customStyle="1" w:styleId="List28">
    <w:name w:val="List 28"/>
    <w:basedOn w:val="Estiloimportado24"/>
    <w:rsid w:val="002A6B05"/>
    <w:pPr>
      <w:numPr>
        <w:numId w:val="30"/>
      </w:numPr>
    </w:pPr>
  </w:style>
  <w:style w:type="numbering" w:customStyle="1" w:styleId="Estiloimportado24">
    <w:name w:val="Estilo importado 24"/>
    <w:rsid w:val="002A6B05"/>
  </w:style>
  <w:style w:type="numbering" w:customStyle="1" w:styleId="List29">
    <w:name w:val="List 29"/>
    <w:basedOn w:val="Estiloimportado25"/>
    <w:rsid w:val="002A6B05"/>
    <w:pPr>
      <w:numPr>
        <w:numId w:val="34"/>
      </w:numPr>
    </w:pPr>
  </w:style>
  <w:style w:type="numbering" w:customStyle="1" w:styleId="Estiloimportado25">
    <w:name w:val="Estilo importado 25"/>
    <w:rsid w:val="002A6B05"/>
  </w:style>
  <w:style w:type="numbering" w:customStyle="1" w:styleId="List30">
    <w:name w:val="List 30"/>
    <w:basedOn w:val="Estiloimportado26"/>
    <w:rsid w:val="002A6B05"/>
    <w:pPr>
      <w:numPr>
        <w:numId w:val="32"/>
      </w:numPr>
    </w:pPr>
  </w:style>
  <w:style w:type="numbering" w:customStyle="1" w:styleId="Estiloimportado26">
    <w:name w:val="Estilo importado 26"/>
    <w:rsid w:val="002A6B05"/>
  </w:style>
  <w:style w:type="numbering" w:customStyle="1" w:styleId="Estiloimportado27">
    <w:name w:val="Estilo importado 27"/>
    <w:rsid w:val="002A6B05"/>
  </w:style>
  <w:style w:type="numbering" w:customStyle="1" w:styleId="List32">
    <w:name w:val="List 32"/>
    <w:basedOn w:val="Estiloimportado28"/>
    <w:rsid w:val="002A6B05"/>
    <w:pPr>
      <w:numPr>
        <w:numId w:val="47"/>
      </w:numPr>
    </w:pPr>
  </w:style>
  <w:style w:type="numbering" w:customStyle="1" w:styleId="Estiloimportado28">
    <w:name w:val="Estilo importado 28"/>
    <w:rsid w:val="002A6B05"/>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sid w:val="002A6B05"/>
    <w:pPr>
      <w:pBdr>
        <w:top w:val="nil"/>
        <w:left w:val="nil"/>
        <w:bottom w:val="nil"/>
        <w:right w:val="nil"/>
        <w:between w:val="nil"/>
        <w:bar w:val="nil"/>
      </w:pBdr>
    </w:pPr>
    <w:rPr>
      <w:rFonts w:ascii="Calibri" w:eastAsia="Calibri" w:hAnsi="Calibri" w:cs="Calibri"/>
      <w:color w:val="000000"/>
      <w:sz w:val="20"/>
      <w:szCs w:val="20"/>
      <w:u w:color="000000"/>
      <w:bdr w:val="nil"/>
      <w:lang w:val="en-US" w:eastAsia="es-E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qFormat/>
    <w:rsid w:val="002A6B05"/>
    <w:rPr>
      <w:rFonts w:ascii="Calibri" w:eastAsia="Calibri" w:hAnsi="Calibri" w:cs="Calibri"/>
      <w:color w:val="000000"/>
      <w:sz w:val="20"/>
      <w:szCs w:val="20"/>
      <w:u w:color="000000"/>
      <w:bdr w:val="nil"/>
      <w:lang w:val="en-US" w:eastAsia="es-ES"/>
    </w:rPr>
  </w:style>
  <w:style w:type="numbering" w:customStyle="1" w:styleId="List33">
    <w:name w:val="List 33"/>
    <w:basedOn w:val="Estiloimportado29"/>
    <w:rsid w:val="002A6B05"/>
    <w:pPr>
      <w:numPr>
        <w:numId w:val="26"/>
      </w:numPr>
    </w:pPr>
  </w:style>
  <w:style w:type="numbering" w:customStyle="1" w:styleId="Estiloimportado29">
    <w:name w:val="Estilo importado 29"/>
    <w:rsid w:val="002A6B05"/>
  </w:style>
  <w:style w:type="numbering" w:customStyle="1" w:styleId="List34">
    <w:name w:val="List 34"/>
    <w:basedOn w:val="Estiloimportado30"/>
    <w:rsid w:val="002A6B05"/>
    <w:pPr>
      <w:numPr>
        <w:numId w:val="11"/>
      </w:numPr>
    </w:pPr>
  </w:style>
  <w:style w:type="numbering" w:customStyle="1" w:styleId="Estiloimportado30">
    <w:name w:val="Estilo importado 30"/>
    <w:rsid w:val="002A6B05"/>
  </w:style>
  <w:style w:type="numbering" w:customStyle="1" w:styleId="List35">
    <w:name w:val="List 35"/>
    <w:basedOn w:val="Estiloimportado31"/>
    <w:rsid w:val="002A6B05"/>
    <w:pPr>
      <w:numPr>
        <w:numId w:val="8"/>
      </w:numPr>
    </w:pPr>
  </w:style>
  <w:style w:type="numbering" w:customStyle="1" w:styleId="Estiloimportado31">
    <w:name w:val="Estilo importado 31"/>
    <w:rsid w:val="002A6B05"/>
  </w:style>
  <w:style w:type="numbering" w:customStyle="1" w:styleId="List36">
    <w:name w:val="List 36"/>
    <w:basedOn w:val="Estiloimportado32"/>
    <w:rsid w:val="002A6B05"/>
    <w:pPr>
      <w:numPr>
        <w:numId w:val="14"/>
      </w:numPr>
    </w:pPr>
  </w:style>
  <w:style w:type="numbering" w:customStyle="1" w:styleId="Estiloimportado32">
    <w:name w:val="Estilo importado 32"/>
    <w:rsid w:val="002A6B05"/>
  </w:style>
  <w:style w:type="numbering" w:customStyle="1" w:styleId="List37">
    <w:name w:val="List 37"/>
    <w:basedOn w:val="Estiloimportado33"/>
    <w:rsid w:val="002A6B05"/>
    <w:pPr>
      <w:numPr>
        <w:numId w:val="46"/>
      </w:numPr>
    </w:pPr>
  </w:style>
  <w:style w:type="numbering" w:customStyle="1" w:styleId="Estiloimportado33">
    <w:name w:val="Estilo importado 33"/>
    <w:rsid w:val="002A6B05"/>
  </w:style>
  <w:style w:type="numbering" w:customStyle="1" w:styleId="List38">
    <w:name w:val="List 38"/>
    <w:basedOn w:val="Estiloimportado34"/>
    <w:rsid w:val="002A6B05"/>
    <w:pPr>
      <w:numPr>
        <w:numId w:val="35"/>
      </w:numPr>
    </w:pPr>
  </w:style>
  <w:style w:type="numbering" w:customStyle="1" w:styleId="Estiloimportado34">
    <w:name w:val="Estilo importado 34"/>
    <w:rsid w:val="002A6B05"/>
  </w:style>
  <w:style w:type="numbering" w:customStyle="1" w:styleId="List39">
    <w:name w:val="List 39"/>
    <w:basedOn w:val="Estiloimportado35"/>
    <w:rsid w:val="002A6B05"/>
    <w:pPr>
      <w:numPr>
        <w:numId w:val="45"/>
      </w:numPr>
    </w:pPr>
  </w:style>
  <w:style w:type="numbering" w:customStyle="1" w:styleId="Estiloimportado35">
    <w:name w:val="Estilo importado 35"/>
    <w:rsid w:val="002A6B05"/>
  </w:style>
  <w:style w:type="numbering" w:customStyle="1" w:styleId="List40">
    <w:name w:val="List 40"/>
    <w:basedOn w:val="Estiloimportado36"/>
    <w:rsid w:val="002A6B05"/>
    <w:pPr>
      <w:numPr>
        <w:numId w:val="21"/>
      </w:numPr>
    </w:pPr>
  </w:style>
  <w:style w:type="numbering" w:customStyle="1" w:styleId="Estiloimportado36">
    <w:name w:val="Estilo importado 36"/>
    <w:rsid w:val="002A6B05"/>
  </w:style>
  <w:style w:type="numbering" w:customStyle="1" w:styleId="Estiloimportado37">
    <w:name w:val="Estilo importado 37"/>
    <w:rsid w:val="002A6B05"/>
  </w:style>
  <w:style w:type="numbering" w:customStyle="1" w:styleId="List42">
    <w:name w:val="List 42"/>
    <w:basedOn w:val="Estiloimportado12"/>
    <w:rsid w:val="002A6B05"/>
    <w:pPr>
      <w:numPr>
        <w:numId w:val="12"/>
      </w:numPr>
    </w:pPr>
  </w:style>
  <w:style w:type="numbering" w:customStyle="1" w:styleId="List43">
    <w:name w:val="List 43"/>
    <w:basedOn w:val="Estiloimportado38"/>
    <w:rsid w:val="002A6B05"/>
    <w:pPr>
      <w:numPr>
        <w:numId w:val="23"/>
      </w:numPr>
    </w:pPr>
  </w:style>
  <w:style w:type="numbering" w:customStyle="1" w:styleId="Estiloimportado38">
    <w:name w:val="Estilo importado 38"/>
    <w:rsid w:val="002A6B05"/>
  </w:style>
  <w:style w:type="numbering" w:customStyle="1" w:styleId="List44">
    <w:name w:val="List 44"/>
    <w:basedOn w:val="Estiloimportado39"/>
    <w:rsid w:val="002A6B05"/>
    <w:pPr>
      <w:numPr>
        <w:numId w:val="40"/>
      </w:numPr>
    </w:pPr>
  </w:style>
  <w:style w:type="numbering" w:customStyle="1" w:styleId="Estiloimportado39">
    <w:name w:val="Estilo importado 39"/>
    <w:rsid w:val="002A6B05"/>
  </w:style>
  <w:style w:type="numbering" w:customStyle="1" w:styleId="List45">
    <w:name w:val="List 45"/>
    <w:basedOn w:val="Estiloimportado40"/>
    <w:rsid w:val="002A6B05"/>
    <w:pPr>
      <w:numPr>
        <w:numId w:val="20"/>
      </w:numPr>
    </w:pPr>
  </w:style>
  <w:style w:type="numbering" w:customStyle="1" w:styleId="Estiloimportado40">
    <w:name w:val="Estilo importado 40"/>
    <w:rsid w:val="002A6B05"/>
  </w:style>
  <w:style w:type="numbering" w:customStyle="1" w:styleId="List46">
    <w:name w:val="List 46"/>
    <w:basedOn w:val="Estiloimportado41"/>
    <w:rsid w:val="002A6B05"/>
    <w:pPr>
      <w:numPr>
        <w:numId w:val="24"/>
      </w:numPr>
    </w:pPr>
  </w:style>
  <w:style w:type="numbering" w:customStyle="1" w:styleId="Estiloimportado41">
    <w:name w:val="Estilo importado 41"/>
    <w:rsid w:val="002A6B05"/>
  </w:style>
  <w:style w:type="numbering" w:customStyle="1" w:styleId="List47">
    <w:name w:val="List 47"/>
    <w:basedOn w:val="Estiloimportado42"/>
    <w:rsid w:val="002A6B05"/>
    <w:pPr>
      <w:numPr>
        <w:numId w:val="29"/>
      </w:numPr>
    </w:pPr>
  </w:style>
  <w:style w:type="numbering" w:customStyle="1" w:styleId="Estiloimportado42">
    <w:name w:val="Estilo importado 42"/>
    <w:rsid w:val="002A6B05"/>
  </w:style>
  <w:style w:type="numbering" w:customStyle="1" w:styleId="List48">
    <w:name w:val="List 48"/>
    <w:basedOn w:val="Estiloimportado43"/>
    <w:rsid w:val="002A6B05"/>
    <w:pPr>
      <w:numPr>
        <w:numId w:val="49"/>
      </w:numPr>
    </w:pPr>
  </w:style>
  <w:style w:type="numbering" w:customStyle="1" w:styleId="Estiloimportado43">
    <w:name w:val="Estilo importado 43"/>
    <w:rsid w:val="002A6B05"/>
  </w:style>
  <w:style w:type="numbering" w:customStyle="1" w:styleId="List49">
    <w:name w:val="List 49"/>
    <w:basedOn w:val="Estiloimportado44"/>
    <w:rsid w:val="002A6B05"/>
    <w:pPr>
      <w:numPr>
        <w:numId w:val="39"/>
      </w:numPr>
    </w:pPr>
  </w:style>
  <w:style w:type="numbering" w:customStyle="1" w:styleId="Estiloimportado44">
    <w:name w:val="Estilo importado 44"/>
    <w:rsid w:val="002A6B05"/>
  </w:style>
  <w:style w:type="numbering" w:customStyle="1" w:styleId="List50">
    <w:name w:val="List 50"/>
    <w:basedOn w:val="Estiloimportado45"/>
    <w:rsid w:val="002A6B05"/>
    <w:pPr>
      <w:numPr>
        <w:numId w:val="37"/>
      </w:numPr>
    </w:pPr>
  </w:style>
  <w:style w:type="numbering" w:customStyle="1" w:styleId="Estiloimportado45">
    <w:name w:val="Estilo importado 45"/>
    <w:rsid w:val="002A6B05"/>
  </w:style>
  <w:style w:type="numbering" w:customStyle="1" w:styleId="Estiloimportado46">
    <w:name w:val="Estilo importado 46"/>
    <w:rsid w:val="002A6B05"/>
  </w:style>
  <w:style w:type="numbering" w:customStyle="1" w:styleId="List52">
    <w:name w:val="List 52"/>
    <w:basedOn w:val="Estiloimportado1"/>
    <w:rsid w:val="002A6B05"/>
    <w:pPr>
      <w:numPr>
        <w:numId w:val="9"/>
      </w:numPr>
    </w:pPr>
  </w:style>
  <w:style w:type="paragraph" w:styleId="BalloonText">
    <w:name w:val="Balloon Text"/>
    <w:basedOn w:val="Normal"/>
    <w:link w:val="BalloonTextChar"/>
    <w:uiPriority w:val="99"/>
    <w:semiHidden/>
    <w:unhideWhenUsed/>
    <w:rsid w:val="002A6B05"/>
    <w:rPr>
      <w:rFonts w:ascii="Tahoma" w:hAnsi="Tahoma" w:cs="Tahoma"/>
      <w:sz w:val="16"/>
      <w:szCs w:val="16"/>
    </w:rPr>
  </w:style>
  <w:style w:type="character" w:customStyle="1" w:styleId="BalloonTextChar">
    <w:name w:val="Balloon Text Char"/>
    <w:basedOn w:val="DefaultParagraphFont"/>
    <w:link w:val="BalloonText"/>
    <w:uiPriority w:val="99"/>
    <w:semiHidden/>
    <w:rsid w:val="002A6B05"/>
    <w:rPr>
      <w:rFonts w:ascii="Tahoma" w:eastAsia="Arial Unicode MS" w:hAnsi="Tahoma" w:cs="Tahoma"/>
      <w:sz w:val="16"/>
      <w:szCs w:val="16"/>
      <w:bdr w:val="nil"/>
      <w:lang w:val="en-US" w:eastAsia="en-US"/>
    </w:rPr>
  </w:style>
  <w:style w:type="paragraph" w:styleId="Header">
    <w:name w:val="header"/>
    <w:aliases w:val="encabezado"/>
    <w:basedOn w:val="Normal"/>
    <w:link w:val="HeaderChar"/>
    <w:rsid w:val="002A6B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2A6B05"/>
    <w:rPr>
      <w:rFonts w:ascii="Univers" w:eastAsia="Times New Roman" w:hAnsi="Univers" w:cs="Univers"/>
      <w:lang w:val="en-US" w:eastAsia="en-US"/>
    </w:rPr>
  </w:style>
  <w:style w:type="table" w:styleId="MediumShading1-Accent1">
    <w:name w:val="Medium Shading 1 Accent 1"/>
    <w:basedOn w:val="TableNormal"/>
    <w:uiPriority w:val="63"/>
    <w:rsid w:val="002A6B05"/>
    <w:pPr>
      <w:pBdr>
        <w:top w:val="nil"/>
        <w:left w:val="nil"/>
        <w:bottom w:val="nil"/>
        <w:right w:val="nil"/>
        <w:between w:val="nil"/>
        <w:bar w:val="nil"/>
      </w:pBdr>
    </w:pPr>
    <w:rPr>
      <w:rFonts w:ascii="Times New Roman" w:eastAsia="Arial Unicode MS" w:hAnsi="Times New Roman" w:cs="Times New Roman"/>
      <w:sz w:val="20"/>
      <w:szCs w:val="20"/>
      <w:bdr w:val="nil"/>
      <w:lang w:val="es-ES" w:eastAsia="es-E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2A6B05"/>
    <w:pPr>
      <w:tabs>
        <w:tab w:val="left" w:pos="1440"/>
        <w:tab w:val="right" w:leader="dot" w:pos="9350"/>
      </w:tabs>
      <w:spacing w:after="100"/>
      <w:ind w:left="1440" w:hanging="720"/>
      <w:jc w:val="both"/>
    </w:pPr>
    <w:rPr>
      <w:rFonts w:ascii="Cambria" w:eastAsia="Cambria" w:hAnsi="Cambria"/>
      <w:noProof/>
      <w:sz w:val="20"/>
      <w:szCs w:val="20"/>
      <w:u w:color="000000"/>
      <w:lang w:val="es-ES_tradnl" w:eastAsia="es-ES"/>
    </w:rPr>
  </w:style>
  <w:style w:type="paragraph" w:styleId="TOC1">
    <w:name w:val="toc 1"/>
    <w:basedOn w:val="Normal"/>
    <w:next w:val="Normal"/>
    <w:autoRedefine/>
    <w:uiPriority w:val="39"/>
    <w:unhideWhenUsed/>
    <w:rsid w:val="00A87368"/>
    <w:pPr>
      <w:tabs>
        <w:tab w:val="left" w:pos="1350"/>
        <w:tab w:val="left" w:pos="1440"/>
        <w:tab w:val="right" w:leader="dot" w:pos="9360"/>
      </w:tabs>
      <w:spacing w:after="100"/>
      <w:ind w:left="720" w:hanging="720"/>
    </w:pPr>
    <w:rPr>
      <w:rFonts w:ascii="Cambria" w:eastAsia="Yu Gothic Light" w:hAnsi="Cambria"/>
      <w:b/>
      <w:bCs/>
      <w:noProof/>
      <w:sz w:val="20"/>
      <w:szCs w:val="20"/>
      <w:lang w:val="es-VE"/>
    </w:rPr>
  </w:style>
  <w:style w:type="paragraph" w:styleId="TOC3">
    <w:name w:val="toc 3"/>
    <w:basedOn w:val="Normal"/>
    <w:next w:val="Normal"/>
    <w:autoRedefine/>
    <w:uiPriority w:val="39"/>
    <w:unhideWhenUsed/>
    <w:rsid w:val="0015116D"/>
    <w:pPr>
      <w:tabs>
        <w:tab w:val="left" w:pos="880"/>
        <w:tab w:val="right" w:leader="dot" w:pos="9350"/>
      </w:tabs>
      <w:spacing w:after="100"/>
      <w:ind w:left="1620" w:hanging="180"/>
    </w:pPr>
  </w:style>
  <w:style w:type="paragraph" w:styleId="TOC4">
    <w:name w:val="toc 4"/>
    <w:basedOn w:val="Normal"/>
    <w:next w:val="Normal"/>
    <w:autoRedefine/>
    <w:uiPriority w:val="39"/>
    <w:unhideWhenUsed/>
    <w:rsid w:val="002A6B05"/>
    <w:pPr>
      <w:spacing w:after="100"/>
      <w:ind w:left="720"/>
    </w:pPr>
  </w:style>
  <w:style w:type="character" w:styleId="PageNumber">
    <w:name w:val="page number"/>
    <w:basedOn w:val="DefaultParagraphFont"/>
    <w:rsid w:val="002A6B05"/>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 de nota al pi,Ref,R"/>
    <w:basedOn w:val="DefaultParagraphFont"/>
    <w:link w:val="1"/>
    <w:uiPriority w:val="99"/>
    <w:unhideWhenUsed/>
    <w:qFormat/>
    <w:rsid w:val="002A6B05"/>
    <w:rPr>
      <w:vertAlign w:val="superscript"/>
    </w:rPr>
  </w:style>
  <w:style w:type="paragraph" w:styleId="BodyTextIndent2">
    <w:name w:val="Body Text Indent 2"/>
    <w:basedOn w:val="Normal"/>
    <w:link w:val="BodyTextIndent2Char"/>
    <w:uiPriority w:val="99"/>
    <w:semiHidden/>
    <w:unhideWhenUsed/>
    <w:rsid w:val="002A6B05"/>
    <w:pPr>
      <w:spacing w:after="120" w:line="480" w:lineRule="auto"/>
      <w:ind w:left="360"/>
    </w:pPr>
  </w:style>
  <w:style w:type="character" w:customStyle="1" w:styleId="BodyTextIndent2Char">
    <w:name w:val="Body Text Indent 2 Char"/>
    <w:basedOn w:val="DefaultParagraphFont"/>
    <w:link w:val="BodyTextIndent2"/>
    <w:uiPriority w:val="99"/>
    <w:semiHidden/>
    <w:rsid w:val="002A6B05"/>
    <w:rPr>
      <w:rFonts w:ascii="Times New Roman" w:eastAsia="Arial Unicode MS" w:hAnsi="Times New Roman" w:cs="Times New Roman"/>
      <w:bdr w:val="nil"/>
      <w:lang w:val="en-US" w:eastAsia="en-US"/>
    </w:rPr>
  </w:style>
  <w:style w:type="paragraph" w:styleId="BodyText">
    <w:name w:val="Body Text"/>
    <w:basedOn w:val="Normal"/>
    <w:link w:val="BodyTextChar"/>
    <w:uiPriority w:val="99"/>
    <w:semiHidden/>
    <w:unhideWhenUsed/>
    <w:rsid w:val="002A6B05"/>
    <w:pPr>
      <w:spacing w:after="120"/>
    </w:pPr>
  </w:style>
  <w:style w:type="character" w:customStyle="1" w:styleId="BodyTextChar">
    <w:name w:val="Body Text Char"/>
    <w:basedOn w:val="DefaultParagraphFont"/>
    <w:link w:val="BodyText"/>
    <w:uiPriority w:val="99"/>
    <w:semiHidden/>
    <w:rsid w:val="002A6B05"/>
    <w:rPr>
      <w:rFonts w:ascii="Times New Roman" w:eastAsia="Arial Unicode MS" w:hAnsi="Times New Roman" w:cs="Times New Roman"/>
      <w:bdr w:val="nil"/>
      <w:lang w:val="en-US" w:eastAsia="en-US"/>
    </w:rPr>
  </w:style>
  <w:style w:type="paragraph" w:customStyle="1" w:styleId="Default">
    <w:name w:val="Default"/>
    <w:link w:val="DefaultChar"/>
    <w:rsid w:val="002A6B05"/>
    <w:pPr>
      <w:autoSpaceDE w:val="0"/>
      <w:autoSpaceDN w:val="0"/>
      <w:adjustRightInd w:val="0"/>
    </w:pPr>
    <w:rPr>
      <w:rFonts w:ascii="Times New Roman" w:eastAsia="Times New Roman" w:hAnsi="Times New Roman" w:cs="Times New Roman"/>
      <w:color w:val="000000"/>
      <w:lang w:val="en-US" w:eastAsia="en-US"/>
    </w:rPr>
  </w:style>
  <w:style w:type="paragraph" w:styleId="EndnoteText">
    <w:name w:val="endnote text"/>
    <w:basedOn w:val="Normal"/>
    <w:link w:val="EndnoteTextChar"/>
    <w:rsid w:val="002A6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2A6B05"/>
    <w:rPr>
      <w:rFonts w:ascii="Times New Roman" w:eastAsia="Times New Roman" w:hAnsi="Times New Roman" w:cs="Times New Roman"/>
      <w:lang w:val="en-US" w:eastAsia="en-US"/>
    </w:rPr>
  </w:style>
  <w:style w:type="character" w:customStyle="1" w:styleId="DefaultChar">
    <w:name w:val="Default Char"/>
    <w:link w:val="Default"/>
    <w:rsid w:val="002A6B05"/>
    <w:rPr>
      <w:rFonts w:ascii="Times New Roman" w:eastAsia="Times New Roman" w:hAnsi="Times New Roman" w:cs="Times New Roman"/>
      <w:color w:val="000000"/>
      <w:lang w:val="en-US" w:eastAsia="en-US"/>
    </w:rPr>
  </w:style>
  <w:style w:type="paragraph" w:styleId="TOCHeading">
    <w:name w:val="TOC Heading"/>
    <w:basedOn w:val="Heading1"/>
    <w:next w:val="Normal"/>
    <w:uiPriority w:val="39"/>
    <w:unhideWhenUsed/>
    <w:qFormat/>
    <w:rsid w:val="002A6B05"/>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character" w:customStyle="1" w:styleId="ListParagraphChar">
    <w:name w:val="List Paragraph Char"/>
    <w:aliases w:val="Párrafo de lista1 Char,List Paragraph1 Char,List Paragraph11 Char,List Paragraph2 Char,Lista vistosa - Énfasis 11 Char,Colorful List - Accent 12 Char,Subtle Emphasis1 Char,Footnote1 Char,Parrafos Char"/>
    <w:link w:val="ListParagraph"/>
    <w:locked/>
    <w:rsid w:val="002A6B05"/>
    <w:rPr>
      <w:rFonts w:ascii="Cambria" w:eastAsia="Cambria" w:hAnsi="Cambria" w:cs="Cambria"/>
      <w:color w:val="000000"/>
      <w:u w:color="000000"/>
      <w:bdr w:val="nil"/>
      <w:lang w:val="en-US" w:eastAsia="es-ES"/>
    </w:rPr>
  </w:style>
  <w:style w:type="character" w:styleId="Strong">
    <w:name w:val="Strong"/>
    <w:uiPriority w:val="22"/>
    <w:qFormat/>
    <w:rsid w:val="002A6B05"/>
    <w:rPr>
      <w:b/>
      <w:bCs/>
    </w:rPr>
  </w:style>
  <w:style w:type="paragraph" w:customStyle="1" w:styleId="ColorfulList-Accent11">
    <w:name w:val="Colorful List - Accent 11"/>
    <w:link w:val="ColorfulList-Accent1Char"/>
    <w:uiPriority w:val="34"/>
    <w:qFormat/>
    <w:rsid w:val="002A6B05"/>
    <w:pPr>
      <w:pBdr>
        <w:top w:val="nil"/>
        <w:left w:val="nil"/>
        <w:bottom w:val="nil"/>
        <w:right w:val="nil"/>
        <w:between w:val="nil"/>
        <w:bar w:val="nil"/>
      </w:pBdr>
      <w:ind w:left="720"/>
    </w:pPr>
    <w:rPr>
      <w:rFonts w:ascii="Cambria" w:eastAsia="Cambria" w:hAnsi="Cambria" w:cs="Cambria"/>
      <w:color w:val="000000"/>
      <w:u w:color="000000"/>
      <w:bdr w:val="nil"/>
      <w:lang w:val="en-US" w:eastAsia="es-ES"/>
    </w:rPr>
  </w:style>
  <w:style w:type="character" w:customStyle="1" w:styleId="ColorfulList-Accent1Char">
    <w:name w:val="Colorful List - Accent 1 Char"/>
    <w:link w:val="ColorfulList-Accent11"/>
    <w:uiPriority w:val="34"/>
    <w:locked/>
    <w:rsid w:val="002A6B05"/>
    <w:rPr>
      <w:rFonts w:ascii="Cambria" w:eastAsia="Cambria" w:hAnsi="Cambria" w:cs="Cambria"/>
      <w:color w:val="000000"/>
      <w:u w:color="000000"/>
      <w:bdr w:val="nil"/>
      <w:lang w:val="en-US" w:eastAsia="es-ES"/>
    </w:rPr>
  </w:style>
  <w:style w:type="character" w:customStyle="1" w:styleId="apple-style-span">
    <w:name w:val="apple-style-span"/>
    <w:rsid w:val="002A6B05"/>
  </w:style>
  <w:style w:type="paragraph" w:customStyle="1" w:styleId="1">
    <w:name w:val="1"/>
    <w:basedOn w:val="Normal"/>
    <w:link w:val="FootnoteReference"/>
    <w:uiPriority w:val="99"/>
    <w:rsid w:val="002A6B0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EastAsia" w:hAnsiTheme="minorHAnsi" w:cstheme="minorBidi"/>
      <w:bdr w:val="none" w:sz="0" w:space="0" w:color="auto"/>
      <w:vertAlign w:val="superscript"/>
      <w:lang w:val="en-GB" w:eastAsia="ko-KR"/>
    </w:rPr>
  </w:style>
  <w:style w:type="character" w:customStyle="1" w:styleId="apple-converted-space">
    <w:name w:val="apple-converted-space"/>
    <w:basedOn w:val="DefaultParagraphFont"/>
    <w:rsid w:val="002A6B05"/>
  </w:style>
  <w:style w:type="character" w:styleId="CommentReference">
    <w:name w:val="annotation reference"/>
    <w:basedOn w:val="DefaultParagraphFont"/>
    <w:uiPriority w:val="99"/>
    <w:semiHidden/>
    <w:unhideWhenUsed/>
    <w:rsid w:val="002A6B05"/>
    <w:rPr>
      <w:sz w:val="16"/>
      <w:szCs w:val="16"/>
    </w:rPr>
  </w:style>
  <w:style w:type="paragraph" w:styleId="CommentText">
    <w:name w:val="annotation text"/>
    <w:basedOn w:val="Normal"/>
    <w:link w:val="CommentTextChar"/>
    <w:uiPriority w:val="99"/>
    <w:unhideWhenUsed/>
    <w:rsid w:val="002A6B05"/>
    <w:rPr>
      <w:sz w:val="20"/>
      <w:szCs w:val="20"/>
    </w:rPr>
  </w:style>
  <w:style w:type="character" w:customStyle="1" w:styleId="CommentTextChar">
    <w:name w:val="Comment Text Char"/>
    <w:basedOn w:val="DefaultParagraphFont"/>
    <w:link w:val="CommentText"/>
    <w:uiPriority w:val="99"/>
    <w:rsid w:val="002A6B05"/>
    <w:rPr>
      <w:rFonts w:ascii="Times New Roman" w:eastAsia="Arial Unicode MS" w:hAnsi="Times New Roman" w:cs="Times New Roman"/>
      <w:sz w:val="20"/>
      <w:szCs w:val="20"/>
      <w:bdr w:val="nil"/>
      <w:lang w:val="en-US" w:eastAsia="en-US"/>
    </w:rPr>
  </w:style>
  <w:style w:type="paragraph" w:styleId="CommentSubject">
    <w:name w:val="annotation subject"/>
    <w:basedOn w:val="CommentText"/>
    <w:next w:val="CommentText"/>
    <w:link w:val="CommentSubjectChar"/>
    <w:uiPriority w:val="99"/>
    <w:semiHidden/>
    <w:unhideWhenUsed/>
    <w:rsid w:val="002A6B05"/>
    <w:rPr>
      <w:b/>
      <w:bCs/>
    </w:rPr>
  </w:style>
  <w:style w:type="character" w:customStyle="1" w:styleId="CommentSubjectChar">
    <w:name w:val="Comment Subject Char"/>
    <w:basedOn w:val="CommentTextChar"/>
    <w:link w:val="CommentSubject"/>
    <w:uiPriority w:val="99"/>
    <w:semiHidden/>
    <w:rsid w:val="002A6B05"/>
    <w:rPr>
      <w:rFonts w:ascii="Times New Roman" w:eastAsia="Arial Unicode MS" w:hAnsi="Times New Roman" w:cs="Times New Roman"/>
      <w:b/>
      <w:bCs/>
      <w:sz w:val="20"/>
      <w:szCs w:val="20"/>
      <w:bdr w:val="nil"/>
      <w:lang w:val="en-US" w:eastAsia="en-U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rsid w:val="002A6B05"/>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vertAlign w:val="superscript"/>
      <w:lang w:val="es-ES" w:eastAsia="es-ES"/>
    </w:rPr>
  </w:style>
  <w:style w:type="paragraph" w:styleId="NormalWeb">
    <w:name w:val="Normal (Web)"/>
    <w:basedOn w:val="Normal"/>
    <w:uiPriority w:val="99"/>
    <w:semiHidden/>
    <w:unhideWhenUsed/>
    <w:rsid w:val="002A6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HAnsi" w:hAnsi="Times"/>
      <w:sz w:val="20"/>
      <w:szCs w:val="20"/>
      <w:bdr w:val="none" w:sz="0" w:space="0" w:color="auto"/>
    </w:rPr>
  </w:style>
  <w:style w:type="paragraph" w:styleId="NoSpacing">
    <w:name w:val="No Spacing"/>
    <w:uiPriority w:val="1"/>
    <w:qFormat/>
    <w:rsid w:val="002A6B05"/>
    <w:rPr>
      <w:rFonts w:ascii="Calibri" w:eastAsia="Calibri" w:hAnsi="Calibri" w:cs="Times New Roman"/>
      <w:sz w:val="22"/>
      <w:szCs w:val="22"/>
      <w:lang w:val="en-US" w:eastAsia="en-US"/>
    </w:rPr>
  </w:style>
  <w:style w:type="paragraph" w:styleId="BodyTextIndent3">
    <w:name w:val="Body Text Indent 3"/>
    <w:basedOn w:val="Normal"/>
    <w:link w:val="BodyTextIndent3Char"/>
    <w:uiPriority w:val="99"/>
    <w:unhideWhenUsed/>
    <w:rsid w:val="002A6B05"/>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MS Mincho"/>
      <w:sz w:val="16"/>
      <w:szCs w:val="16"/>
      <w:bdr w:val="none" w:sz="0" w:space="0" w:color="auto"/>
    </w:rPr>
  </w:style>
  <w:style w:type="character" w:customStyle="1" w:styleId="BodyTextIndent3Char">
    <w:name w:val="Body Text Indent 3 Char"/>
    <w:basedOn w:val="DefaultParagraphFont"/>
    <w:link w:val="BodyTextIndent3"/>
    <w:uiPriority w:val="99"/>
    <w:rsid w:val="002A6B05"/>
    <w:rPr>
      <w:rFonts w:ascii="Times New Roman" w:eastAsia="MS Mincho" w:hAnsi="Times New Roman" w:cs="Times New Roman"/>
      <w:sz w:val="16"/>
      <w:szCs w:val="16"/>
      <w:lang w:val="en-US" w:eastAsia="en-US"/>
    </w:rPr>
  </w:style>
  <w:style w:type="character" w:customStyle="1" w:styleId="ListParagraphChar1">
    <w:name w:val="List Paragraph Char1"/>
    <w:aliases w:val="Párrafo de lista1 Char1"/>
    <w:uiPriority w:val="34"/>
    <w:locked/>
    <w:rsid w:val="002A6B05"/>
    <w:rPr>
      <w:sz w:val="24"/>
      <w:szCs w:val="24"/>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2A6B0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Calibri" w:eastAsia="Calibri" w:hAnsi="Calibri"/>
      <w:sz w:val="20"/>
      <w:szCs w:val="20"/>
      <w:bdr w:val="none" w:sz="0" w:space="0" w:color="auto"/>
      <w:vertAlign w:val="superscript"/>
    </w:rPr>
  </w:style>
  <w:style w:type="character" w:styleId="FollowedHyperlink">
    <w:name w:val="FollowedHyperlink"/>
    <w:basedOn w:val="DefaultParagraphFont"/>
    <w:uiPriority w:val="99"/>
    <w:semiHidden/>
    <w:unhideWhenUsed/>
    <w:rsid w:val="002A6B05"/>
    <w:rPr>
      <w:color w:val="954F72" w:themeColor="followedHyperlink"/>
      <w:u w:val="single"/>
    </w:rPr>
  </w:style>
  <w:style w:type="character" w:styleId="PlaceholderText">
    <w:name w:val="Placeholder Text"/>
    <w:basedOn w:val="DefaultParagraphFont"/>
    <w:uiPriority w:val="99"/>
    <w:semiHidden/>
    <w:rsid w:val="002A6B05"/>
    <w:rPr>
      <w:color w:val="808080"/>
    </w:rPr>
  </w:style>
  <w:style w:type="paragraph" w:styleId="Revision">
    <w:name w:val="Revision"/>
    <w:hidden/>
    <w:uiPriority w:val="99"/>
    <w:semiHidden/>
    <w:rsid w:val="002A6B05"/>
    <w:rPr>
      <w:rFonts w:ascii="Times New Roman" w:eastAsia="Arial Unicode MS" w:hAnsi="Times New Roman" w:cs="Times New Roman"/>
      <w:bdr w:val="nil"/>
      <w:lang w:val="en-US" w:eastAsia="en-US"/>
    </w:rPr>
  </w:style>
  <w:style w:type="character" w:styleId="UnresolvedMention">
    <w:name w:val="Unresolved Mention"/>
    <w:basedOn w:val="DefaultParagraphFont"/>
    <w:uiPriority w:val="99"/>
    <w:semiHidden/>
    <w:unhideWhenUsed/>
    <w:rsid w:val="002A6B05"/>
    <w:rPr>
      <w:color w:val="605E5C"/>
      <w:shd w:val="clear" w:color="auto" w:fill="E1DFDD"/>
    </w:rPr>
  </w:style>
  <w:style w:type="character" w:customStyle="1" w:styleId="InternetLink">
    <w:name w:val="Internet Link"/>
    <w:rsid w:val="005356AD"/>
    <w:rPr>
      <w:color w:val="0000FF"/>
      <w:u w:val="single"/>
    </w:rPr>
  </w:style>
  <w:style w:type="character" w:customStyle="1" w:styleId="FootnoteAnchor">
    <w:name w:val="Footnote Anchor"/>
    <w:rsid w:val="005356A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6143B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bdr w:val="none" w:sz="0" w:space="0" w:color="auto"/>
      <w:vertAlign w:val="superscript"/>
      <w:lang w:val="es-US"/>
    </w:rPr>
  </w:style>
  <w:style w:type="paragraph" w:customStyle="1" w:styleId="parrafos">
    <w:name w:val="parrafos"/>
    <w:basedOn w:val="Normal"/>
    <w:link w:val="parrafosChar"/>
    <w:qFormat/>
    <w:rsid w:val="00913B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Cambria" w:hAnsi="Cambria"/>
      <w:color w:val="000000"/>
      <w:sz w:val="20"/>
      <w:szCs w:val="20"/>
      <w:lang w:val="es-VE"/>
    </w:rPr>
  </w:style>
  <w:style w:type="character" w:customStyle="1" w:styleId="parrafosChar">
    <w:name w:val="parrafos Char"/>
    <w:link w:val="parrafos"/>
    <w:rsid w:val="00913B80"/>
    <w:rPr>
      <w:rFonts w:ascii="Cambria" w:eastAsia="Arial Unicode MS" w:hAnsi="Cambria" w:cs="Times New Roman"/>
      <w:color w:val="000000"/>
      <w:sz w:val="20"/>
      <w:szCs w:val="20"/>
      <w:bdr w:val="nil"/>
      <w:lang w:val="es-VE" w:eastAsia="en-US"/>
    </w:rPr>
  </w:style>
  <w:style w:type="character" w:customStyle="1" w:styleId="Heading4Char">
    <w:name w:val="Heading 4 Char"/>
    <w:basedOn w:val="DefaultParagraphFont"/>
    <w:link w:val="Heading4"/>
    <w:uiPriority w:val="99"/>
    <w:rsid w:val="00BD72FF"/>
    <w:rPr>
      <w:rFonts w:ascii="Calibri" w:eastAsia="MS ??" w:hAnsi="Calibri" w:cs="Times New Roman"/>
      <w:b/>
      <w:sz w:val="28"/>
      <w:szCs w:val="20"/>
      <w:lang w:val="es-SV" w:eastAsia="en-US"/>
    </w:rPr>
  </w:style>
  <w:style w:type="character" w:customStyle="1" w:styleId="Heading5Char">
    <w:name w:val="Heading 5 Char"/>
    <w:basedOn w:val="DefaultParagraphFont"/>
    <w:link w:val="Heading5"/>
    <w:uiPriority w:val="99"/>
    <w:rsid w:val="00BD72FF"/>
    <w:rPr>
      <w:rFonts w:ascii="Calibri" w:eastAsia="MS ??" w:hAnsi="Calibri" w:cs="Times New Roman"/>
      <w:b/>
      <w:i/>
      <w:sz w:val="26"/>
      <w:szCs w:val="20"/>
      <w:lang w:val="es-SV" w:eastAsia="en-US"/>
    </w:rPr>
  </w:style>
  <w:style w:type="character" w:customStyle="1" w:styleId="Heading6Char">
    <w:name w:val="Heading 6 Char"/>
    <w:basedOn w:val="DefaultParagraphFont"/>
    <w:link w:val="Heading6"/>
    <w:uiPriority w:val="99"/>
    <w:rsid w:val="00BD72FF"/>
    <w:rPr>
      <w:rFonts w:ascii="Calibri" w:eastAsia="MS ??" w:hAnsi="Calibri" w:cs="Times New Roman"/>
      <w:b/>
      <w:sz w:val="20"/>
      <w:szCs w:val="20"/>
      <w:lang w:val="es-SV" w:eastAsia="en-US"/>
    </w:rPr>
  </w:style>
  <w:style w:type="character" w:customStyle="1" w:styleId="Heading7Char">
    <w:name w:val="Heading 7 Char"/>
    <w:basedOn w:val="DefaultParagraphFont"/>
    <w:link w:val="Heading7"/>
    <w:uiPriority w:val="99"/>
    <w:rsid w:val="00BD72FF"/>
    <w:rPr>
      <w:rFonts w:ascii="Calibri" w:eastAsia="MS ??" w:hAnsi="Calibri" w:cs="Times New Roman"/>
      <w:szCs w:val="20"/>
      <w:lang w:val="es-SV" w:eastAsia="en-US"/>
    </w:rPr>
  </w:style>
  <w:style w:type="character" w:customStyle="1" w:styleId="Heading8Char">
    <w:name w:val="Heading 8 Char"/>
    <w:basedOn w:val="DefaultParagraphFont"/>
    <w:link w:val="Heading8"/>
    <w:uiPriority w:val="99"/>
    <w:rsid w:val="00BD72FF"/>
    <w:rPr>
      <w:rFonts w:ascii="Calibri" w:eastAsia="MS ??" w:hAnsi="Calibri" w:cs="Times New Roman"/>
      <w:i/>
      <w:szCs w:val="20"/>
      <w:lang w:val="es-SV" w:eastAsia="en-US"/>
    </w:rPr>
  </w:style>
  <w:style w:type="character" w:customStyle="1" w:styleId="Heading9Char">
    <w:name w:val="Heading 9 Char"/>
    <w:basedOn w:val="DefaultParagraphFont"/>
    <w:link w:val="Heading9"/>
    <w:uiPriority w:val="99"/>
    <w:rsid w:val="00BD72FF"/>
    <w:rPr>
      <w:rFonts w:ascii="Cambria" w:eastAsia="MS ????" w:hAnsi="Cambria" w:cs="Times New Roman"/>
      <w:sz w:val="20"/>
      <w:szCs w:val="20"/>
      <w:lang w:val="es-SV" w:eastAsia="en-US"/>
    </w:rPr>
  </w:style>
  <w:style w:type="paragraph" w:customStyle="1" w:styleId="xmsonormal">
    <w:name w:val="x_msonormal"/>
    <w:basedOn w:val="Normal"/>
    <w:rsid w:val="00570E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US" w:eastAsia="zh-CN"/>
    </w:rPr>
  </w:style>
  <w:style w:type="paragraph" w:customStyle="1" w:styleId="xparrafos">
    <w:name w:val="x_parrafos"/>
    <w:basedOn w:val="Normal"/>
    <w:rsid w:val="00570E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oveprisiones.com/informes/" TargetMode="External"/><Relationship Id="rId3" Type="http://schemas.openxmlformats.org/officeDocument/2006/relationships/hyperlink" Target="https://unaventanaalalibertad.org/alertas/presas-del-inof-solo-reciben-un-tobo-de-agua-cada-15-dias/" TargetMode="External"/><Relationship Id="rId7" Type="http://schemas.openxmlformats.org/officeDocument/2006/relationships/hyperlink" Target="https://unaventanaalalibertad.org/alertas/miranda-denuncian-maltrato-a-internas-del-inof-en-celda-de-castigo/" TargetMode="External"/><Relationship Id="rId2" Type="http://schemas.openxmlformats.org/officeDocument/2006/relationships/hyperlink" Target="https://provea.org/wp-content/uploads/009_derecho_de_las_personas_detenidas_y_encarceladas-1.pdf" TargetMode="External"/><Relationship Id="rId1" Type="http://schemas.openxmlformats.org/officeDocument/2006/relationships/hyperlink" Target="https://provea.org/wp-content/uploads/009_derecho_de_las_personas_detenidas_y_encarceladas-1.pdf" TargetMode="External"/><Relationship Id="rId6" Type="http://schemas.openxmlformats.org/officeDocument/2006/relationships/hyperlink" Target="https://unaventanaalalibertad.org/alertas/presas-del-inof-no-son-atendidas-por-dolencias-medicas/" TargetMode="External"/><Relationship Id="rId11" Type="http://schemas.openxmlformats.org/officeDocument/2006/relationships/hyperlink" Target="http://joomla.corteidh.or.cr:8080/joomla/es/casos-contenciosos/38-jurisprudencia/772-corte-idh-caso-heliodoro-portugal-vs-panama-excepciones-preliminares-fondo-reparaciones-y-costas-sentencia-de-12-de-agosto-de-2008-serie-c-no-186" TargetMode="External"/><Relationship Id="rId5" Type="http://schemas.openxmlformats.org/officeDocument/2006/relationships/hyperlink" Target="https://unaventanaalalibertad.org/alertas/presa-del-inof-con-cancer-de-seno-no-ha-recibido-atencion-medica/" TargetMode="External"/><Relationship Id="rId10" Type="http://schemas.openxmlformats.org/officeDocument/2006/relationships/hyperlink" Target="http://www.who.int/nutrition/publications/obesity/WHO_TRS_916_spa.pdf" TargetMode="External"/><Relationship Id="rId4" Type="http://schemas.openxmlformats.org/officeDocument/2006/relationships/hyperlink" Target="https://unaventanaalalibertad.org/alertas/presas-del-inof-inician-huelga-al-grito-de-hambre-y-libertad/" TargetMode="External"/><Relationship Id="rId9" Type="http://schemas.openxmlformats.org/officeDocument/2006/relationships/hyperlink" Target="http://www.who.int/nutrition/publications/obesity/WHO_TRS_916_sp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8" ma:contentTypeDescription="Create a new document." ma:contentTypeScope="" ma:versionID="b011329b4c056286b3de6a941ee5e92f">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b6f789f3e518669cab2ff4c7c2990819"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ADC9385F-64AE-4FFD-A68F-8A75BB467E47}">
  <ds:schemaRefs>
    <ds:schemaRef ds:uri="http://schemas.microsoft.com/sharepoint/v3/contenttype/forms"/>
  </ds:schemaRefs>
</ds:datastoreItem>
</file>

<file path=customXml/itemProps2.xml><?xml version="1.0" encoding="utf-8"?>
<ds:datastoreItem xmlns:ds="http://schemas.openxmlformats.org/officeDocument/2006/customXml" ds:itemID="{D65B70EC-4341-4BE7-BB1E-3D52BF5F3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E81F7-E645-3847-B8C7-A0F62882D5D5}">
  <ds:schemaRefs>
    <ds:schemaRef ds:uri="http://schemas.openxmlformats.org/officeDocument/2006/bibliography"/>
  </ds:schemaRefs>
</ds:datastoreItem>
</file>

<file path=customXml/itemProps4.xml><?xml version="1.0" encoding="utf-8"?>
<ds:datastoreItem xmlns:ds="http://schemas.openxmlformats.org/officeDocument/2006/customXml" ds:itemID="{A33ED2C1-427D-411E-8E6F-D90720D0DF7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10246</Words>
  <Characters>58408</Characters>
  <Application>Microsoft Office Word</Application>
  <DocSecurity>0</DocSecurity>
  <Lines>486</Lines>
  <Paragraphs>137</Paragraphs>
  <ScaleCrop>false</ScaleCrop>
  <Company/>
  <LinksUpToDate>false</LinksUpToDate>
  <CharactersWithSpaces>68517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2025-12-29T20:13:00Z</dcterms:created>
  <dcterms:modified xsi:type="dcterms:W3CDTF">2025-12-29T20:13:00Z</dcterms:modified>
</cp:coreProperties>
</file>