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34C35" w14:textId="77777777" w:rsidR="00040C3A" w:rsidRPr="00707B68" w:rsidRDefault="00D306D1" w:rsidP="00627C9F">
      <w:pPr>
        <w:jc w:val="both"/>
        <w:rPr>
          <w:rFonts w:asciiTheme="majorHAnsi" w:hAnsiTheme="majorHAnsi" w:cs="Univers"/>
          <w:b/>
          <w:bCs/>
          <w:sz w:val="22"/>
          <w:szCs w:val="22"/>
        </w:rPr>
      </w:pPr>
      <w:r w:rsidRPr="00707B68">
        <w:rPr>
          <w:rFonts w:asciiTheme="majorHAnsi" w:hAnsiTheme="majorHAnsi"/>
          <w:noProof/>
          <w:sz w:val="22"/>
          <w:szCs w:val="22"/>
          <w:lang w:val="en-US"/>
        </w:rPr>
        <mc:AlternateContent>
          <mc:Choice Requires="wps">
            <w:drawing>
              <wp:anchor distT="0" distB="0" distL="114300" distR="114300" simplePos="0" relativeHeight="251661311" behindDoc="0" locked="0" layoutInCell="1" allowOverlap="1" wp14:anchorId="3FC6F14D" wp14:editId="4E23EEF0">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82764"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707B68">
        <w:rPr>
          <w:rFonts w:asciiTheme="majorHAnsi" w:hAnsiTheme="majorHAnsi"/>
          <w:noProof/>
          <w:sz w:val="22"/>
          <w:szCs w:val="22"/>
          <w:lang w:val="en-US"/>
        </w:rPr>
        <mc:AlternateContent>
          <mc:Choice Requires="wps">
            <w:drawing>
              <wp:anchor distT="0" distB="0" distL="114300" distR="114300" simplePos="0" relativeHeight="251673600" behindDoc="0" locked="0" layoutInCell="1" allowOverlap="1" wp14:anchorId="53925077" wp14:editId="2F25D8EC">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165C0" w14:textId="77777777" w:rsidR="00475A99" w:rsidRDefault="00475A99" w:rsidP="00AE5488">
                            <w:r>
                              <w:rPr>
                                <w:noProof/>
                                <w:lang w:val="en-US"/>
                              </w:rPr>
                              <w:drawing>
                                <wp:inline distT="0" distB="0" distL="0" distR="0" wp14:anchorId="0D184FDC" wp14:editId="78BC5EFE">
                                  <wp:extent cx="2647666" cy="509676"/>
                                  <wp:effectExtent l="0" t="0" r="635" b="5080"/>
                                  <wp:docPr id="2" name="Picture 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25077"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59C165C0" w14:textId="77777777" w:rsidR="00475A99" w:rsidRDefault="00475A99" w:rsidP="00AE5488">
                      <w:r>
                        <w:rPr>
                          <w:noProof/>
                          <w:lang w:val="en-US"/>
                        </w:rPr>
                        <w:drawing>
                          <wp:inline distT="0" distB="0" distL="0" distR="0" wp14:anchorId="0D184FDC" wp14:editId="78BC5EFE">
                            <wp:extent cx="2647666" cy="509676"/>
                            <wp:effectExtent l="0" t="0" r="635" b="5080"/>
                            <wp:docPr id="2" name="Picture 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v:textbox>
              </v:shape>
            </w:pict>
          </mc:Fallback>
        </mc:AlternateContent>
      </w:r>
    </w:p>
    <w:p w14:paraId="333F4EBE" w14:textId="77777777" w:rsidR="00040C3A" w:rsidRPr="00707B68" w:rsidRDefault="00040C3A" w:rsidP="00040C3A">
      <w:pPr>
        <w:tabs>
          <w:tab w:val="center" w:pos="5400"/>
        </w:tabs>
        <w:suppressAutoHyphens/>
        <w:jc w:val="both"/>
        <w:rPr>
          <w:rFonts w:asciiTheme="majorHAnsi" w:hAnsiTheme="majorHAnsi"/>
          <w:sz w:val="22"/>
          <w:szCs w:val="22"/>
          <w:lang w:val="es-ES"/>
        </w:rPr>
      </w:pPr>
    </w:p>
    <w:p w14:paraId="1EBC9F6D" w14:textId="77777777" w:rsidR="00040C3A" w:rsidRPr="00707B68" w:rsidRDefault="00040C3A" w:rsidP="00040C3A">
      <w:pPr>
        <w:tabs>
          <w:tab w:val="center" w:pos="5400"/>
        </w:tabs>
        <w:suppressAutoHyphens/>
        <w:jc w:val="both"/>
        <w:rPr>
          <w:rFonts w:asciiTheme="majorHAnsi" w:hAnsiTheme="majorHAnsi"/>
          <w:sz w:val="22"/>
          <w:szCs w:val="22"/>
          <w:lang w:val="es-ES"/>
        </w:rPr>
      </w:pPr>
    </w:p>
    <w:p w14:paraId="453CC841" w14:textId="77777777" w:rsidR="005128E4" w:rsidRPr="00707B68" w:rsidRDefault="005128E4" w:rsidP="00040C3A">
      <w:pPr>
        <w:tabs>
          <w:tab w:val="center" w:pos="5400"/>
        </w:tabs>
        <w:suppressAutoHyphens/>
        <w:rPr>
          <w:rFonts w:asciiTheme="majorHAnsi" w:hAnsiTheme="majorHAnsi"/>
          <w:sz w:val="22"/>
          <w:szCs w:val="22"/>
        </w:rPr>
      </w:pPr>
    </w:p>
    <w:p w14:paraId="47DB2D2B" w14:textId="77777777" w:rsidR="005128E4" w:rsidRPr="00707B68" w:rsidRDefault="005128E4" w:rsidP="00040C3A">
      <w:pPr>
        <w:tabs>
          <w:tab w:val="center" w:pos="5400"/>
        </w:tabs>
        <w:suppressAutoHyphens/>
        <w:rPr>
          <w:rFonts w:asciiTheme="majorHAnsi" w:hAnsiTheme="majorHAnsi"/>
          <w:sz w:val="22"/>
          <w:szCs w:val="22"/>
        </w:rPr>
      </w:pPr>
    </w:p>
    <w:p w14:paraId="3E60B65E" w14:textId="77777777" w:rsidR="005128E4" w:rsidRPr="00707B68" w:rsidRDefault="005128E4" w:rsidP="00040C3A">
      <w:pPr>
        <w:tabs>
          <w:tab w:val="center" w:pos="5400"/>
        </w:tabs>
        <w:suppressAutoHyphens/>
        <w:rPr>
          <w:rFonts w:asciiTheme="majorHAnsi" w:hAnsiTheme="majorHAnsi"/>
          <w:sz w:val="22"/>
          <w:szCs w:val="22"/>
        </w:rPr>
      </w:pPr>
    </w:p>
    <w:p w14:paraId="1F4115A2" w14:textId="77777777" w:rsidR="00040C3A" w:rsidRPr="00707B68" w:rsidRDefault="00040C3A" w:rsidP="005128E4">
      <w:pPr>
        <w:tabs>
          <w:tab w:val="center" w:pos="5400"/>
        </w:tabs>
        <w:suppressAutoHyphens/>
        <w:jc w:val="center"/>
        <w:rPr>
          <w:rFonts w:asciiTheme="majorHAnsi" w:hAnsiTheme="majorHAnsi"/>
          <w:sz w:val="22"/>
          <w:szCs w:val="22"/>
        </w:rPr>
      </w:pPr>
    </w:p>
    <w:p w14:paraId="1EE7A765" w14:textId="77777777" w:rsidR="00040C3A" w:rsidRPr="00707B68" w:rsidRDefault="00040C3A" w:rsidP="005128E4">
      <w:pPr>
        <w:tabs>
          <w:tab w:val="center" w:pos="5400"/>
        </w:tabs>
        <w:suppressAutoHyphens/>
        <w:jc w:val="center"/>
        <w:rPr>
          <w:rFonts w:asciiTheme="majorHAnsi" w:hAnsiTheme="majorHAnsi"/>
          <w:sz w:val="22"/>
          <w:szCs w:val="22"/>
        </w:rPr>
      </w:pPr>
    </w:p>
    <w:p w14:paraId="380D825E" w14:textId="77777777" w:rsidR="005B52B0" w:rsidRPr="00707B68" w:rsidRDefault="005B52B0" w:rsidP="005128E4">
      <w:pPr>
        <w:tabs>
          <w:tab w:val="center" w:pos="5400"/>
        </w:tabs>
        <w:suppressAutoHyphens/>
        <w:jc w:val="center"/>
        <w:rPr>
          <w:rFonts w:asciiTheme="majorHAnsi" w:hAnsiTheme="majorHAnsi"/>
          <w:sz w:val="22"/>
          <w:szCs w:val="22"/>
        </w:rPr>
      </w:pPr>
    </w:p>
    <w:p w14:paraId="794F1E38" w14:textId="77777777" w:rsidR="005B52B0" w:rsidRPr="00707B68" w:rsidRDefault="005B52B0" w:rsidP="005128E4">
      <w:pPr>
        <w:tabs>
          <w:tab w:val="center" w:pos="5400"/>
        </w:tabs>
        <w:suppressAutoHyphens/>
        <w:jc w:val="center"/>
        <w:rPr>
          <w:rFonts w:asciiTheme="majorHAnsi" w:hAnsiTheme="majorHAnsi"/>
          <w:sz w:val="22"/>
          <w:szCs w:val="22"/>
        </w:rPr>
      </w:pPr>
    </w:p>
    <w:p w14:paraId="6B4754E2" w14:textId="77777777" w:rsidR="005B52B0" w:rsidRPr="00707B68" w:rsidRDefault="005B52B0" w:rsidP="005128E4">
      <w:pPr>
        <w:tabs>
          <w:tab w:val="center" w:pos="5400"/>
        </w:tabs>
        <w:suppressAutoHyphens/>
        <w:jc w:val="center"/>
        <w:rPr>
          <w:rFonts w:asciiTheme="majorHAnsi" w:hAnsiTheme="majorHAnsi"/>
          <w:sz w:val="22"/>
          <w:szCs w:val="22"/>
        </w:rPr>
      </w:pPr>
    </w:p>
    <w:p w14:paraId="2A905CC3" w14:textId="77777777" w:rsidR="00040C3A" w:rsidRPr="00707B68" w:rsidRDefault="00040C3A" w:rsidP="00040C3A">
      <w:pPr>
        <w:tabs>
          <w:tab w:val="center" w:pos="5400"/>
        </w:tabs>
        <w:suppressAutoHyphens/>
        <w:jc w:val="center"/>
        <w:rPr>
          <w:rFonts w:asciiTheme="majorHAnsi" w:hAnsiTheme="majorHAnsi"/>
          <w:sz w:val="22"/>
          <w:szCs w:val="22"/>
        </w:rPr>
      </w:pPr>
    </w:p>
    <w:p w14:paraId="7F4365A6" w14:textId="77777777" w:rsidR="00040C3A" w:rsidRPr="00707B68" w:rsidRDefault="00040C3A" w:rsidP="00040C3A">
      <w:pPr>
        <w:tabs>
          <w:tab w:val="center" w:pos="5400"/>
        </w:tabs>
        <w:suppressAutoHyphens/>
        <w:jc w:val="center"/>
        <w:rPr>
          <w:rFonts w:asciiTheme="majorHAnsi" w:hAnsiTheme="majorHAnsi"/>
          <w:sz w:val="22"/>
          <w:szCs w:val="22"/>
        </w:rPr>
      </w:pPr>
    </w:p>
    <w:p w14:paraId="579F9614" w14:textId="77777777" w:rsidR="00040C3A" w:rsidRPr="00707B68" w:rsidRDefault="003D3BC2" w:rsidP="00040C3A">
      <w:pPr>
        <w:tabs>
          <w:tab w:val="center" w:pos="5400"/>
        </w:tabs>
        <w:suppressAutoHyphens/>
        <w:jc w:val="center"/>
        <w:rPr>
          <w:rFonts w:asciiTheme="majorHAnsi" w:hAnsiTheme="majorHAnsi"/>
          <w:sz w:val="22"/>
          <w:szCs w:val="22"/>
        </w:rPr>
      </w:pPr>
      <w:r w:rsidRPr="00707B68">
        <w:rPr>
          <w:rFonts w:asciiTheme="majorHAnsi" w:hAnsiTheme="majorHAnsi"/>
          <w:noProof/>
          <w:sz w:val="22"/>
          <w:szCs w:val="22"/>
          <w:lang w:val="en-US"/>
        </w:rPr>
        <mc:AlternateContent>
          <mc:Choice Requires="wps">
            <w:drawing>
              <wp:anchor distT="0" distB="0" distL="114300" distR="114300" simplePos="0" relativeHeight="251669504" behindDoc="0" locked="0" layoutInCell="1" allowOverlap="1" wp14:anchorId="59FF9A98" wp14:editId="3DDA9049">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E92FA5" w14:textId="61E9EB8B" w:rsidR="00475A99" w:rsidRPr="008F3C40" w:rsidRDefault="00475A99" w:rsidP="00997BC5">
                            <w:pPr>
                              <w:spacing w:line="276" w:lineRule="auto"/>
                              <w:rPr>
                                <w:rFonts w:asciiTheme="majorHAnsi" w:hAnsiTheme="majorHAnsi" w:cs="Arial"/>
                                <w:b/>
                                <w:bCs/>
                                <w:color w:val="0D0D0D" w:themeColor="text1" w:themeTint="F2"/>
                                <w:sz w:val="36"/>
                                <w:szCs w:val="22"/>
                                <w:lang w:val="pt-BR"/>
                              </w:rPr>
                            </w:pPr>
                            <w:r w:rsidRPr="008F3C40">
                              <w:rPr>
                                <w:rFonts w:asciiTheme="majorHAnsi" w:hAnsiTheme="majorHAnsi" w:cs="Arial"/>
                                <w:b/>
                                <w:bCs/>
                                <w:color w:val="0D0D0D" w:themeColor="text1" w:themeTint="F2"/>
                                <w:sz w:val="36"/>
                                <w:szCs w:val="22"/>
                                <w:lang w:val="pt-BR"/>
                              </w:rPr>
                              <w:t xml:space="preserve">INFORME </w:t>
                            </w:r>
                            <w:r w:rsidRPr="008F3C40">
                              <w:rPr>
                                <w:rFonts w:asciiTheme="majorHAnsi" w:hAnsiTheme="majorHAnsi" w:cs="Arial"/>
                                <w:b/>
                                <w:bCs/>
                                <w:color w:val="0D0D0D" w:themeColor="text1" w:themeTint="F2"/>
                                <w:sz w:val="36"/>
                                <w:szCs w:val="40"/>
                                <w:lang w:val="pt-BR"/>
                              </w:rPr>
                              <w:t>No.</w:t>
                            </w:r>
                            <w:r w:rsidRPr="008F3C40">
                              <w:rPr>
                                <w:rFonts w:asciiTheme="majorHAnsi" w:hAnsiTheme="majorHAnsi" w:cs="Arial"/>
                                <w:b/>
                                <w:bCs/>
                                <w:color w:val="0D0D0D" w:themeColor="text1" w:themeTint="F2"/>
                                <w:sz w:val="36"/>
                                <w:szCs w:val="22"/>
                                <w:lang w:val="pt-BR"/>
                              </w:rPr>
                              <w:t xml:space="preserve"> </w:t>
                            </w:r>
                            <w:r>
                              <w:rPr>
                                <w:rFonts w:asciiTheme="majorHAnsi" w:hAnsiTheme="majorHAnsi" w:cs="Arial"/>
                                <w:b/>
                                <w:bCs/>
                                <w:color w:val="0D0D0D" w:themeColor="text1" w:themeTint="F2"/>
                                <w:sz w:val="36"/>
                                <w:szCs w:val="22"/>
                                <w:lang w:val="pt-BR"/>
                              </w:rPr>
                              <w:t>299</w:t>
                            </w:r>
                            <w:r w:rsidRPr="008F3C40">
                              <w:rPr>
                                <w:rFonts w:asciiTheme="majorHAnsi" w:hAnsiTheme="majorHAnsi" w:cs="Arial"/>
                                <w:b/>
                                <w:bCs/>
                                <w:color w:val="0D0D0D" w:themeColor="text1" w:themeTint="F2"/>
                                <w:sz w:val="36"/>
                                <w:szCs w:val="22"/>
                                <w:lang w:val="pt-BR"/>
                              </w:rPr>
                              <w:t>/</w:t>
                            </w:r>
                            <w:r>
                              <w:rPr>
                                <w:rFonts w:asciiTheme="majorHAnsi" w:hAnsiTheme="majorHAnsi" w:cs="Arial"/>
                                <w:b/>
                                <w:bCs/>
                                <w:color w:val="0D0D0D" w:themeColor="text1" w:themeTint="F2"/>
                                <w:sz w:val="36"/>
                                <w:szCs w:val="22"/>
                                <w:lang w:val="pt-BR"/>
                              </w:rPr>
                              <w:t>20</w:t>
                            </w:r>
                          </w:p>
                          <w:p w14:paraId="63D5B278" w14:textId="77777777" w:rsidR="00475A99" w:rsidRPr="008F3C40" w:rsidRDefault="00475A99" w:rsidP="00997BC5">
                            <w:pPr>
                              <w:spacing w:line="276" w:lineRule="auto"/>
                              <w:rPr>
                                <w:rFonts w:asciiTheme="majorHAnsi" w:hAnsiTheme="majorHAnsi" w:cs="Arial"/>
                                <w:b/>
                                <w:color w:val="0D0D0D" w:themeColor="text1" w:themeTint="F2"/>
                                <w:sz w:val="36"/>
                                <w:szCs w:val="22"/>
                                <w:lang w:val="pt-BR"/>
                              </w:rPr>
                            </w:pPr>
                            <w:r w:rsidRPr="008F3C40">
                              <w:rPr>
                                <w:rFonts w:asciiTheme="majorHAnsi" w:hAnsiTheme="majorHAnsi" w:cs="Arial"/>
                                <w:b/>
                                <w:color w:val="0D0D0D" w:themeColor="text1" w:themeTint="F2"/>
                                <w:sz w:val="36"/>
                                <w:szCs w:val="22"/>
                                <w:lang w:val="pt-BR"/>
                              </w:rPr>
                              <w:t>CASO 12.295</w:t>
                            </w:r>
                          </w:p>
                          <w:p w14:paraId="182C8428" w14:textId="77777777" w:rsidR="00475A99" w:rsidRPr="008F3C40" w:rsidRDefault="00475A99" w:rsidP="000158FD">
                            <w:pPr>
                              <w:spacing w:line="276" w:lineRule="auto"/>
                              <w:rPr>
                                <w:rFonts w:asciiTheme="majorHAnsi" w:hAnsiTheme="majorHAnsi" w:cs="Arial"/>
                                <w:szCs w:val="22"/>
                                <w:lang w:val="pt-BR"/>
                              </w:rPr>
                            </w:pPr>
                            <w:r w:rsidRPr="00C86B09">
                              <w:rPr>
                                <w:rFonts w:asciiTheme="majorHAnsi" w:hAnsiTheme="majorHAnsi" w:cs="Arial"/>
                                <w:szCs w:val="22"/>
                                <w:lang w:val="pt-BR"/>
                              </w:rPr>
                              <w:t>INFORME DE FONDO</w:t>
                            </w:r>
                            <w:r w:rsidRPr="008F3C40">
                              <w:rPr>
                                <w:rFonts w:asciiTheme="majorHAnsi" w:hAnsiTheme="majorHAnsi" w:cs="Arial"/>
                                <w:szCs w:val="22"/>
                                <w:lang w:val="pt-BR"/>
                              </w:rPr>
                              <w:t xml:space="preserve"> </w:t>
                            </w:r>
                          </w:p>
                          <w:p w14:paraId="7ED6AED8" w14:textId="77777777" w:rsidR="00475A99" w:rsidRPr="008F3C40" w:rsidRDefault="00475A99" w:rsidP="00997BC5">
                            <w:pPr>
                              <w:spacing w:line="276" w:lineRule="auto"/>
                              <w:rPr>
                                <w:rFonts w:asciiTheme="majorHAnsi" w:hAnsiTheme="majorHAnsi" w:cs="Arial"/>
                                <w:color w:val="0D0D0D" w:themeColor="text1" w:themeTint="F2"/>
                                <w:szCs w:val="22"/>
                                <w:lang w:val="pt-BR"/>
                              </w:rPr>
                            </w:pPr>
                            <w:bookmarkStart w:id="0" w:name="_ftnref1"/>
                          </w:p>
                          <w:p w14:paraId="0CFE9D24" w14:textId="77777777" w:rsidR="00475A99" w:rsidRPr="008F3C40" w:rsidRDefault="00475A99" w:rsidP="00997BC5">
                            <w:pPr>
                              <w:spacing w:line="276" w:lineRule="auto"/>
                              <w:rPr>
                                <w:rFonts w:asciiTheme="majorHAnsi" w:hAnsiTheme="majorHAnsi" w:cs="Arial"/>
                                <w:color w:val="0D0D0D" w:themeColor="text1" w:themeTint="F2"/>
                                <w:szCs w:val="22"/>
                                <w:lang w:val="pt-BR"/>
                              </w:rPr>
                            </w:pPr>
                            <w:r w:rsidRPr="008F3C40">
                              <w:rPr>
                                <w:rFonts w:asciiTheme="majorHAnsi" w:hAnsiTheme="majorHAnsi" w:cs="Arial"/>
                                <w:color w:val="0D0D0D" w:themeColor="text1" w:themeTint="F2"/>
                                <w:szCs w:val="22"/>
                                <w:lang w:val="pt-BR"/>
                              </w:rPr>
                              <w:t>JESÚS RAMIRO ZAPATA</w:t>
                            </w:r>
                          </w:p>
                          <w:bookmarkEnd w:id="0"/>
                          <w:p w14:paraId="1EDF2D8B" w14:textId="77777777" w:rsidR="00475A99" w:rsidRPr="0010736F" w:rsidRDefault="00475A99" w:rsidP="00997BC5">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rPr>
                              <w:t>COLOMBIA</w:t>
                            </w:r>
                          </w:p>
                          <w:p w14:paraId="72E30190" w14:textId="77777777" w:rsidR="00475A99" w:rsidRPr="00AE5488" w:rsidRDefault="00475A99" w:rsidP="007A5817">
                            <w:pPr>
                              <w:rPr>
                                <w:color w:val="0D0D0D" w:themeColor="text1" w:themeTint="F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F9A98"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3E92FA5" w14:textId="61E9EB8B" w:rsidR="00475A99" w:rsidRPr="008F3C40" w:rsidRDefault="00475A99" w:rsidP="00997BC5">
                      <w:pPr>
                        <w:spacing w:line="276" w:lineRule="auto"/>
                        <w:rPr>
                          <w:rFonts w:asciiTheme="majorHAnsi" w:hAnsiTheme="majorHAnsi" w:cs="Arial"/>
                          <w:b/>
                          <w:bCs/>
                          <w:color w:val="0D0D0D" w:themeColor="text1" w:themeTint="F2"/>
                          <w:sz w:val="36"/>
                          <w:szCs w:val="22"/>
                          <w:lang w:val="pt-BR"/>
                        </w:rPr>
                      </w:pPr>
                      <w:r w:rsidRPr="008F3C40">
                        <w:rPr>
                          <w:rFonts w:asciiTheme="majorHAnsi" w:hAnsiTheme="majorHAnsi" w:cs="Arial"/>
                          <w:b/>
                          <w:bCs/>
                          <w:color w:val="0D0D0D" w:themeColor="text1" w:themeTint="F2"/>
                          <w:sz w:val="36"/>
                          <w:szCs w:val="22"/>
                          <w:lang w:val="pt-BR"/>
                        </w:rPr>
                        <w:t xml:space="preserve">INFORME </w:t>
                      </w:r>
                      <w:r w:rsidRPr="008F3C40">
                        <w:rPr>
                          <w:rFonts w:asciiTheme="majorHAnsi" w:hAnsiTheme="majorHAnsi" w:cs="Arial"/>
                          <w:b/>
                          <w:bCs/>
                          <w:color w:val="0D0D0D" w:themeColor="text1" w:themeTint="F2"/>
                          <w:sz w:val="36"/>
                          <w:szCs w:val="40"/>
                          <w:lang w:val="pt-BR"/>
                        </w:rPr>
                        <w:t>No.</w:t>
                      </w:r>
                      <w:r w:rsidRPr="008F3C40">
                        <w:rPr>
                          <w:rFonts w:asciiTheme="majorHAnsi" w:hAnsiTheme="majorHAnsi" w:cs="Arial"/>
                          <w:b/>
                          <w:bCs/>
                          <w:color w:val="0D0D0D" w:themeColor="text1" w:themeTint="F2"/>
                          <w:sz w:val="36"/>
                          <w:szCs w:val="22"/>
                          <w:lang w:val="pt-BR"/>
                        </w:rPr>
                        <w:t xml:space="preserve"> </w:t>
                      </w:r>
                      <w:r>
                        <w:rPr>
                          <w:rFonts w:asciiTheme="majorHAnsi" w:hAnsiTheme="majorHAnsi" w:cs="Arial"/>
                          <w:b/>
                          <w:bCs/>
                          <w:color w:val="0D0D0D" w:themeColor="text1" w:themeTint="F2"/>
                          <w:sz w:val="36"/>
                          <w:szCs w:val="22"/>
                          <w:lang w:val="pt-BR"/>
                        </w:rPr>
                        <w:t>299</w:t>
                      </w:r>
                      <w:r w:rsidRPr="008F3C40">
                        <w:rPr>
                          <w:rFonts w:asciiTheme="majorHAnsi" w:hAnsiTheme="majorHAnsi" w:cs="Arial"/>
                          <w:b/>
                          <w:bCs/>
                          <w:color w:val="0D0D0D" w:themeColor="text1" w:themeTint="F2"/>
                          <w:sz w:val="36"/>
                          <w:szCs w:val="22"/>
                          <w:lang w:val="pt-BR"/>
                        </w:rPr>
                        <w:t>/</w:t>
                      </w:r>
                      <w:r>
                        <w:rPr>
                          <w:rFonts w:asciiTheme="majorHAnsi" w:hAnsiTheme="majorHAnsi" w:cs="Arial"/>
                          <w:b/>
                          <w:bCs/>
                          <w:color w:val="0D0D0D" w:themeColor="text1" w:themeTint="F2"/>
                          <w:sz w:val="36"/>
                          <w:szCs w:val="22"/>
                          <w:lang w:val="pt-BR"/>
                        </w:rPr>
                        <w:t>20</w:t>
                      </w:r>
                    </w:p>
                    <w:p w14:paraId="63D5B278" w14:textId="77777777" w:rsidR="00475A99" w:rsidRPr="008F3C40" w:rsidRDefault="00475A99" w:rsidP="00997BC5">
                      <w:pPr>
                        <w:spacing w:line="276" w:lineRule="auto"/>
                        <w:rPr>
                          <w:rFonts w:asciiTheme="majorHAnsi" w:hAnsiTheme="majorHAnsi" w:cs="Arial"/>
                          <w:b/>
                          <w:color w:val="0D0D0D" w:themeColor="text1" w:themeTint="F2"/>
                          <w:sz w:val="36"/>
                          <w:szCs w:val="22"/>
                          <w:lang w:val="pt-BR"/>
                        </w:rPr>
                      </w:pPr>
                      <w:r w:rsidRPr="008F3C40">
                        <w:rPr>
                          <w:rFonts w:asciiTheme="majorHAnsi" w:hAnsiTheme="majorHAnsi" w:cs="Arial"/>
                          <w:b/>
                          <w:color w:val="0D0D0D" w:themeColor="text1" w:themeTint="F2"/>
                          <w:sz w:val="36"/>
                          <w:szCs w:val="22"/>
                          <w:lang w:val="pt-BR"/>
                        </w:rPr>
                        <w:t>CASO 12.295</w:t>
                      </w:r>
                    </w:p>
                    <w:p w14:paraId="182C8428" w14:textId="77777777" w:rsidR="00475A99" w:rsidRPr="008F3C40" w:rsidRDefault="00475A99" w:rsidP="000158FD">
                      <w:pPr>
                        <w:spacing w:line="276" w:lineRule="auto"/>
                        <w:rPr>
                          <w:rFonts w:asciiTheme="majorHAnsi" w:hAnsiTheme="majorHAnsi" w:cs="Arial"/>
                          <w:szCs w:val="22"/>
                          <w:lang w:val="pt-BR"/>
                        </w:rPr>
                      </w:pPr>
                      <w:r w:rsidRPr="00C86B09">
                        <w:rPr>
                          <w:rFonts w:asciiTheme="majorHAnsi" w:hAnsiTheme="majorHAnsi" w:cs="Arial"/>
                          <w:szCs w:val="22"/>
                          <w:lang w:val="pt-BR"/>
                        </w:rPr>
                        <w:t>INFORME DE FONDO</w:t>
                      </w:r>
                      <w:r w:rsidRPr="008F3C40">
                        <w:rPr>
                          <w:rFonts w:asciiTheme="majorHAnsi" w:hAnsiTheme="majorHAnsi" w:cs="Arial"/>
                          <w:szCs w:val="22"/>
                          <w:lang w:val="pt-BR"/>
                        </w:rPr>
                        <w:t xml:space="preserve"> </w:t>
                      </w:r>
                    </w:p>
                    <w:p w14:paraId="7ED6AED8" w14:textId="77777777" w:rsidR="00475A99" w:rsidRPr="008F3C40" w:rsidRDefault="00475A99" w:rsidP="00997BC5">
                      <w:pPr>
                        <w:spacing w:line="276" w:lineRule="auto"/>
                        <w:rPr>
                          <w:rFonts w:asciiTheme="majorHAnsi" w:hAnsiTheme="majorHAnsi" w:cs="Arial"/>
                          <w:color w:val="0D0D0D" w:themeColor="text1" w:themeTint="F2"/>
                          <w:szCs w:val="22"/>
                          <w:lang w:val="pt-BR"/>
                        </w:rPr>
                      </w:pPr>
                      <w:bookmarkStart w:id="1" w:name="_ftnref1"/>
                    </w:p>
                    <w:p w14:paraId="0CFE9D24" w14:textId="77777777" w:rsidR="00475A99" w:rsidRPr="008F3C40" w:rsidRDefault="00475A99" w:rsidP="00997BC5">
                      <w:pPr>
                        <w:spacing w:line="276" w:lineRule="auto"/>
                        <w:rPr>
                          <w:rFonts w:asciiTheme="majorHAnsi" w:hAnsiTheme="majorHAnsi" w:cs="Arial"/>
                          <w:color w:val="0D0D0D" w:themeColor="text1" w:themeTint="F2"/>
                          <w:szCs w:val="22"/>
                          <w:lang w:val="pt-BR"/>
                        </w:rPr>
                      </w:pPr>
                      <w:r w:rsidRPr="008F3C40">
                        <w:rPr>
                          <w:rFonts w:asciiTheme="majorHAnsi" w:hAnsiTheme="majorHAnsi" w:cs="Arial"/>
                          <w:color w:val="0D0D0D" w:themeColor="text1" w:themeTint="F2"/>
                          <w:szCs w:val="22"/>
                          <w:lang w:val="pt-BR"/>
                        </w:rPr>
                        <w:t>JESÚS RAMIRO ZAPATA</w:t>
                      </w:r>
                    </w:p>
                    <w:bookmarkEnd w:id="1"/>
                    <w:p w14:paraId="1EDF2D8B" w14:textId="77777777" w:rsidR="00475A99" w:rsidRPr="0010736F" w:rsidRDefault="00475A99" w:rsidP="00997BC5">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rPr>
                        <w:t>COLOMBIA</w:t>
                      </w:r>
                    </w:p>
                    <w:p w14:paraId="72E30190" w14:textId="77777777" w:rsidR="00475A99" w:rsidRPr="00AE5488" w:rsidRDefault="00475A99" w:rsidP="007A5817">
                      <w:pPr>
                        <w:rPr>
                          <w:color w:val="0D0D0D" w:themeColor="text1" w:themeTint="F2"/>
                        </w:rPr>
                      </w:pPr>
                    </w:p>
                  </w:txbxContent>
                </v:textbox>
              </v:shape>
            </w:pict>
          </mc:Fallback>
        </mc:AlternateContent>
      </w:r>
      <w:r w:rsidR="004E2649" w:rsidRPr="00707B68">
        <w:rPr>
          <w:rFonts w:asciiTheme="majorHAnsi" w:hAnsiTheme="majorHAnsi"/>
          <w:noProof/>
          <w:sz w:val="22"/>
          <w:szCs w:val="22"/>
          <w:lang w:val="en-US"/>
        </w:rPr>
        <mc:AlternateContent>
          <mc:Choice Requires="wps">
            <w:drawing>
              <wp:anchor distT="0" distB="0" distL="114300" distR="114300" simplePos="0" relativeHeight="251671552" behindDoc="0" locked="0" layoutInCell="1" allowOverlap="1" wp14:anchorId="04DE1CE9" wp14:editId="5807C8B2">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7BF3E5" w14:textId="71DE0692" w:rsidR="00475A99" w:rsidRPr="00512D0D" w:rsidRDefault="00BB16DC" w:rsidP="007A5817">
                            <w:pPr>
                              <w:spacing w:line="276" w:lineRule="auto"/>
                              <w:jc w:val="right"/>
                              <w:rPr>
                                <w:rFonts w:asciiTheme="minorHAnsi" w:hAnsiTheme="minorHAnsi"/>
                                <w:color w:val="FFFFFF" w:themeColor="background1"/>
                                <w:sz w:val="22"/>
                                <w:lang w:val="es-US"/>
                              </w:rPr>
                            </w:pPr>
                            <w:r w:rsidRPr="00512D0D">
                              <w:rPr>
                                <w:rFonts w:asciiTheme="minorHAnsi" w:hAnsiTheme="minorHAnsi"/>
                                <w:color w:val="FFFFFF" w:themeColor="background1"/>
                                <w:sz w:val="22"/>
                                <w:lang w:val="es-US"/>
                              </w:rPr>
                              <w:t>OEA/Ser.L/V/II</w:t>
                            </w:r>
                          </w:p>
                          <w:p w14:paraId="0848508B" w14:textId="23406F76" w:rsidR="00475A99" w:rsidRPr="00512D0D" w:rsidRDefault="00475A99" w:rsidP="007A5817">
                            <w:pPr>
                              <w:spacing w:line="276" w:lineRule="auto"/>
                              <w:jc w:val="right"/>
                              <w:rPr>
                                <w:rFonts w:asciiTheme="minorHAnsi" w:hAnsiTheme="minorHAnsi"/>
                                <w:color w:val="FFFFFF" w:themeColor="background1"/>
                                <w:sz w:val="22"/>
                                <w:lang w:val="es-US"/>
                              </w:rPr>
                            </w:pPr>
                            <w:r w:rsidRPr="00512D0D">
                              <w:rPr>
                                <w:rFonts w:asciiTheme="minorHAnsi" w:hAnsiTheme="minorHAnsi"/>
                                <w:color w:val="FFFFFF" w:themeColor="background1"/>
                                <w:sz w:val="22"/>
                                <w:lang w:val="es-US"/>
                              </w:rPr>
                              <w:t>Doc. 316</w:t>
                            </w:r>
                          </w:p>
                          <w:p w14:paraId="59468863" w14:textId="5B5E2FA2" w:rsidR="00475A99" w:rsidRPr="007C756A" w:rsidRDefault="00475A99" w:rsidP="007A5817">
                            <w:pPr>
                              <w:spacing w:line="276" w:lineRule="auto"/>
                              <w:jc w:val="right"/>
                              <w:rPr>
                                <w:rFonts w:asciiTheme="minorHAnsi" w:hAnsiTheme="minorHAnsi"/>
                                <w:color w:val="FFFFFF" w:themeColor="background1"/>
                                <w:sz w:val="22"/>
                                <w:lang w:val="es-US"/>
                              </w:rPr>
                            </w:pPr>
                            <w:r>
                              <w:rPr>
                                <w:rFonts w:asciiTheme="minorHAnsi" w:hAnsiTheme="minorHAnsi"/>
                                <w:color w:val="FFFFFF" w:themeColor="background1"/>
                                <w:sz w:val="22"/>
                                <w:lang w:val="es-US"/>
                              </w:rPr>
                              <w:t>29</w:t>
                            </w:r>
                            <w:r w:rsidRPr="007C756A">
                              <w:rPr>
                                <w:rFonts w:asciiTheme="minorHAnsi" w:hAnsiTheme="minorHAnsi"/>
                                <w:color w:val="FFFFFF" w:themeColor="background1"/>
                                <w:sz w:val="22"/>
                                <w:lang w:val="es-US"/>
                              </w:rPr>
                              <w:t xml:space="preserve"> </w:t>
                            </w:r>
                            <w:r>
                              <w:rPr>
                                <w:rFonts w:asciiTheme="minorHAnsi" w:hAnsiTheme="minorHAnsi"/>
                                <w:color w:val="FFFFFF" w:themeColor="background1"/>
                                <w:sz w:val="22"/>
                                <w:lang w:val="es-US"/>
                              </w:rPr>
                              <w:t>octubre</w:t>
                            </w:r>
                            <w:r w:rsidRPr="007C756A">
                              <w:rPr>
                                <w:rFonts w:asciiTheme="minorHAnsi" w:hAnsiTheme="minorHAnsi"/>
                                <w:color w:val="FFFFFF" w:themeColor="background1"/>
                                <w:sz w:val="22"/>
                                <w:lang w:val="es-US"/>
                              </w:rPr>
                              <w:t xml:space="preserve"> 20</w:t>
                            </w:r>
                            <w:r>
                              <w:rPr>
                                <w:rFonts w:asciiTheme="minorHAnsi" w:hAnsiTheme="minorHAnsi"/>
                                <w:color w:val="FFFFFF" w:themeColor="background1"/>
                                <w:sz w:val="22"/>
                                <w:lang w:val="es-US"/>
                              </w:rPr>
                              <w:t>20</w:t>
                            </w:r>
                          </w:p>
                          <w:p w14:paraId="01EB1808" w14:textId="77777777" w:rsidR="00475A99" w:rsidRPr="007C756A" w:rsidRDefault="00475A99" w:rsidP="007A5817">
                            <w:pPr>
                              <w:spacing w:line="276" w:lineRule="auto"/>
                              <w:jc w:val="right"/>
                              <w:rPr>
                                <w:rFonts w:asciiTheme="minorHAnsi" w:hAnsiTheme="minorHAnsi"/>
                                <w:color w:val="FFFFFF" w:themeColor="background1"/>
                                <w:sz w:val="22"/>
                                <w:lang w:val="es-US"/>
                              </w:rPr>
                            </w:pPr>
                            <w:r w:rsidRPr="007C756A">
                              <w:rPr>
                                <w:rFonts w:asciiTheme="minorHAnsi" w:hAnsiTheme="minorHAnsi"/>
                                <w:color w:val="FFFFFF" w:themeColor="background1"/>
                                <w:sz w:val="22"/>
                                <w:lang w:val="es-US"/>
                              </w:rPr>
                              <w:t>Original: español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E1CE9"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227BF3E5" w14:textId="71DE0692" w:rsidR="00475A99" w:rsidRPr="00512D0D" w:rsidRDefault="00BB16DC" w:rsidP="007A5817">
                      <w:pPr>
                        <w:spacing w:line="276" w:lineRule="auto"/>
                        <w:jc w:val="right"/>
                        <w:rPr>
                          <w:rFonts w:asciiTheme="minorHAnsi" w:hAnsiTheme="minorHAnsi"/>
                          <w:color w:val="FFFFFF" w:themeColor="background1"/>
                          <w:sz w:val="22"/>
                          <w:lang w:val="es-US"/>
                        </w:rPr>
                      </w:pPr>
                      <w:r w:rsidRPr="00512D0D">
                        <w:rPr>
                          <w:rFonts w:asciiTheme="minorHAnsi" w:hAnsiTheme="minorHAnsi"/>
                          <w:color w:val="FFFFFF" w:themeColor="background1"/>
                          <w:sz w:val="22"/>
                          <w:lang w:val="es-US"/>
                        </w:rPr>
                        <w:t>OEA/Ser.L/V/II</w:t>
                      </w:r>
                    </w:p>
                    <w:p w14:paraId="0848508B" w14:textId="23406F76" w:rsidR="00475A99" w:rsidRPr="00512D0D" w:rsidRDefault="00475A99" w:rsidP="007A5817">
                      <w:pPr>
                        <w:spacing w:line="276" w:lineRule="auto"/>
                        <w:jc w:val="right"/>
                        <w:rPr>
                          <w:rFonts w:asciiTheme="minorHAnsi" w:hAnsiTheme="minorHAnsi"/>
                          <w:color w:val="FFFFFF" w:themeColor="background1"/>
                          <w:sz w:val="22"/>
                          <w:lang w:val="es-US"/>
                        </w:rPr>
                      </w:pPr>
                      <w:r w:rsidRPr="00512D0D">
                        <w:rPr>
                          <w:rFonts w:asciiTheme="minorHAnsi" w:hAnsiTheme="minorHAnsi"/>
                          <w:color w:val="FFFFFF" w:themeColor="background1"/>
                          <w:sz w:val="22"/>
                          <w:lang w:val="es-US"/>
                        </w:rPr>
                        <w:t>Doc. 316</w:t>
                      </w:r>
                    </w:p>
                    <w:p w14:paraId="59468863" w14:textId="5B5E2FA2" w:rsidR="00475A99" w:rsidRPr="007C756A" w:rsidRDefault="00475A99" w:rsidP="007A5817">
                      <w:pPr>
                        <w:spacing w:line="276" w:lineRule="auto"/>
                        <w:jc w:val="right"/>
                        <w:rPr>
                          <w:rFonts w:asciiTheme="minorHAnsi" w:hAnsiTheme="minorHAnsi"/>
                          <w:color w:val="FFFFFF" w:themeColor="background1"/>
                          <w:sz w:val="22"/>
                          <w:lang w:val="es-US"/>
                        </w:rPr>
                      </w:pPr>
                      <w:r>
                        <w:rPr>
                          <w:rFonts w:asciiTheme="minorHAnsi" w:hAnsiTheme="minorHAnsi"/>
                          <w:color w:val="FFFFFF" w:themeColor="background1"/>
                          <w:sz w:val="22"/>
                          <w:lang w:val="es-US"/>
                        </w:rPr>
                        <w:t>29</w:t>
                      </w:r>
                      <w:r w:rsidRPr="007C756A">
                        <w:rPr>
                          <w:rFonts w:asciiTheme="minorHAnsi" w:hAnsiTheme="minorHAnsi"/>
                          <w:color w:val="FFFFFF" w:themeColor="background1"/>
                          <w:sz w:val="22"/>
                          <w:lang w:val="es-US"/>
                        </w:rPr>
                        <w:t xml:space="preserve"> </w:t>
                      </w:r>
                      <w:r>
                        <w:rPr>
                          <w:rFonts w:asciiTheme="minorHAnsi" w:hAnsiTheme="minorHAnsi"/>
                          <w:color w:val="FFFFFF" w:themeColor="background1"/>
                          <w:sz w:val="22"/>
                          <w:lang w:val="es-US"/>
                        </w:rPr>
                        <w:t>octubre</w:t>
                      </w:r>
                      <w:r w:rsidRPr="007C756A">
                        <w:rPr>
                          <w:rFonts w:asciiTheme="minorHAnsi" w:hAnsiTheme="minorHAnsi"/>
                          <w:color w:val="FFFFFF" w:themeColor="background1"/>
                          <w:sz w:val="22"/>
                          <w:lang w:val="es-US"/>
                        </w:rPr>
                        <w:t xml:space="preserve"> 20</w:t>
                      </w:r>
                      <w:r>
                        <w:rPr>
                          <w:rFonts w:asciiTheme="minorHAnsi" w:hAnsiTheme="minorHAnsi"/>
                          <w:color w:val="FFFFFF" w:themeColor="background1"/>
                          <w:sz w:val="22"/>
                          <w:lang w:val="es-US"/>
                        </w:rPr>
                        <w:t>20</w:t>
                      </w:r>
                    </w:p>
                    <w:p w14:paraId="01EB1808" w14:textId="77777777" w:rsidR="00475A99" w:rsidRPr="007C756A" w:rsidRDefault="00475A99" w:rsidP="007A5817">
                      <w:pPr>
                        <w:spacing w:line="276" w:lineRule="auto"/>
                        <w:jc w:val="right"/>
                        <w:rPr>
                          <w:rFonts w:asciiTheme="minorHAnsi" w:hAnsiTheme="minorHAnsi"/>
                          <w:color w:val="FFFFFF" w:themeColor="background1"/>
                          <w:sz w:val="22"/>
                          <w:lang w:val="es-US"/>
                        </w:rPr>
                      </w:pPr>
                      <w:r w:rsidRPr="007C756A">
                        <w:rPr>
                          <w:rFonts w:asciiTheme="minorHAnsi" w:hAnsiTheme="minorHAnsi"/>
                          <w:color w:val="FFFFFF" w:themeColor="background1"/>
                          <w:sz w:val="22"/>
                          <w:lang w:val="es-US"/>
                        </w:rPr>
                        <w:t>Original: español</w:t>
                      </w:r>
                    </w:p>
                  </w:txbxContent>
                </v:textbox>
              </v:shape>
            </w:pict>
          </mc:Fallback>
        </mc:AlternateContent>
      </w:r>
    </w:p>
    <w:p w14:paraId="204D5203" w14:textId="77777777" w:rsidR="00040C3A" w:rsidRPr="00707B68" w:rsidRDefault="00040C3A" w:rsidP="00040C3A">
      <w:pPr>
        <w:tabs>
          <w:tab w:val="center" w:pos="5400"/>
        </w:tabs>
        <w:suppressAutoHyphens/>
        <w:jc w:val="center"/>
        <w:rPr>
          <w:rFonts w:asciiTheme="majorHAnsi" w:hAnsiTheme="majorHAnsi"/>
          <w:sz w:val="22"/>
          <w:szCs w:val="22"/>
        </w:rPr>
      </w:pPr>
    </w:p>
    <w:p w14:paraId="51500146" w14:textId="77777777" w:rsidR="00040C3A" w:rsidRPr="00707B68" w:rsidRDefault="00040C3A" w:rsidP="00040C3A">
      <w:pPr>
        <w:tabs>
          <w:tab w:val="center" w:pos="5400"/>
        </w:tabs>
        <w:suppressAutoHyphens/>
        <w:jc w:val="center"/>
        <w:rPr>
          <w:rFonts w:asciiTheme="majorHAnsi" w:hAnsiTheme="majorHAnsi"/>
          <w:sz w:val="22"/>
          <w:szCs w:val="22"/>
        </w:rPr>
      </w:pPr>
    </w:p>
    <w:p w14:paraId="054DBF83" w14:textId="77777777" w:rsidR="00040C3A" w:rsidRPr="00707B68" w:rsidRDefault="00040C3A" w:rsidP="00040C3A">
      <w:pPr>
        <w:tabs>
          <w:tab w:val="center" w:pos="5400"/>
        </w:tabs>
        <w:suppressAutoHyphens/>
        <w:jc w:val="center"/>
        <w:rPr>
          <w:rFonts w:asciiTheme="majorHAnsi" w:hAnsiTheme="majorHAnsi" w:cs="Arial"/>
          <w:sz w:val="22"/>
          <w:szCs w:val="22"/>
        </w:rPr>
      </w:pPr>
    </w:p>
    <w:p w14:paraId="12B8B958" w14:textId="77777777" w:rsidR="00040C3A" w:rsidRPr="00707B68" w:rsidRDefault="00040C3A" w:rsidP="00040C3A">
      <w:pPr>
        <w:tabs>
          <w:tab w:val="center" w:pos="5400"/>
        </w:tabs>
        <w:suppressAutoHyphens/>
        <w:jc w:val="center"/>
        <w:rPr>
          <w:rFonts w:asciiTheme="majorHAnsi" w:hAnsiTheme="majorHAnsi"/>
          <w:sz w:val="22"/>
          <w:szCs w:val="22"/>
        </w:rPr>
      </w:pPr>
    </w:p>
    <w:p w14:paraId="53AB13A6" w14:textId="77777777" w:rsidR="00040C3A" w:rsidRPr="00707B68" w:rsidRDefault="00040C3A" w:rsidP="00040C3A">
      <w:pPr>
        <w:tabs>
          <w:tab w:val="center" w:pos="5400"/>
        </w:tabs>
        <w:suppressAutoHyphens/>
        <w:jc w:val="center"/>
        <w:rPr>
          <w:rFonts w:asciiTheme="majorHAnsi" w:hAnsiTheme="majorHAnsi"/>
          <w:sz w:val="22"/>
          <w:szCs w:val="22"/>
        </w:rPr>
      </w:pPr>
    </w:p>
    <w:p w14:paraId="651DA75C" w14:textId="77777777" w:rsidR="00040C3A" w:rsidRPr="00707B68" w:rsidRDefault="00040C3A" w:rsidP="00040C3A">
      <w:pPr>
        <w:tabs>
          <w:tab w:val="center" w:pos="5400"/>
        </w:tabs>
        <w:suppressAutoHyphens/>
        <w:jc w:val="center"/>
        <w:rPr>
          <w:rFonts w:asciiTheme="majorHAnsi" w:hAnsiTheme="majorHAnsi"/>
          <w:sz w:val="22"/>
          <w:szCs w:val="22"/>
        </w:rPr>
      </w:pPr>
    </w:p>
    <w:p w14:paraId="3DAA6F61" w14:textId="77777777" w:rsidR="00040C3A" w:rsidRPr="00707B68" w:rsidRDefault="00040C3A" w:rsidP="00040C3A">
      <w:pPr>
        <w:tabs>
          <w:tab w:val="center" w:pos="5400"/>
        </w:tabs>
        <w:suppressAutoHyphens/>
        <w:jc w:val="center"/>
        <w:rPr>
          <w:rFonts w:asciiTheme="majorHAnsi" w:hAnsiTheme="majorHAnsi"/>
          <w:sz w:val="22"/>
          <w:szCs w:val="22"/>
        </w:rPr>
      </w:pPr>
    </w:p>
    <w:p w14:paraId="4E7FB8D9" w14:textId="77777777" w:rsidR="005128E4" w:rsidRPr="00707B68" w:rsidRDefault="005128E4" w:rsidP="00040C3A">
      <w:pPr>
        <w:tabs>
          <w:tab w:val="center" w:pos="5400"/>
        </w:tabs>
        <w:suppressAutoHyphens/>
        <w:jc w:val="center"/>
        <w:rPr>
          <w:rFonts w:asciiTheme="majorHAnsi" w:hAnsiTheme="majorHAnsi"/>
          <w:sz w:val="22"/>
          <w:szCs w:val="22"/>
        </w:rPr>
      </w:pPr>
    </w:p>
    <w:p w14:paraId="14E34A28" w14:textId="77777777" w:rsidR="00040C3A" w:rsidRPr="00707B68" w:rsidRDefault="00040C3A" w:rsidP="00040C3A">
      <w:pPr>
        <w:tabs>
          <w:tab w:val="center" w:pos="5400"/>
        </w:tabs>
        <w:suppressAutoHyphens/>
        <w:jc w:val="center"/>
        <w:rPr>
          <w:rFonts w:asciiTheme="majorHAnsi" w:hAnsiTheme="majorHAnsi"/>
          <w:sz w:val="22"/>
          <w:szCs w:val="22"/>
        </w:rPr>
      </w:pPr>
    </w:p>
    <w:p w14:paraId="6EA09487" w14:textId="77777777" w:rsidR="005128E4" w:rsidRPr="00707B68" w:rsidRDefault="005128E4" w:rsidP="00040C3A">
      <w:pPr>
        <w:tabs>
          <w:tab w:val="center" w:pos="5400"/>
        </w:tabs>
        <w:suppressAutoHyphens/>
        <w:jc w:val="center"/>
        <w:rPr>
          <w:rFonts w:asciiTheme="majorHAnsi" w:hAnsiTheme="majorHAnsi"/>
          <w:sz w:val="22"/>
          <w:szCs w:val="22"/>
        </w:rPr>
      </w:pPr>
    </w:p>
    <w:p w14:paraId="216F017F" w14:textId="77777777" w:rsidR="005128E4" w:rsidRPr="00707B68" w:rsidRDefault="005128E4" w:rsidP="00040C3A">
      <w:pPr>
        <w:tabs>
          <w:tab w:val="center" w:pos="5400"/>
        </w:tabs>
        <w:suppressAutoHyphens/>
        <w:jc w:val="center"/>
        <w:rPr>
          <w:rFonts w:asciiTheme="majorHAnsi" w:hAnsiTheme="majorHAnsi"/>
          <w:sz w:val="22"/>
          <w:szCs w:val="22"/>
        </w:rPr>
      </w:pPr>
    </w:p>
    <w:p w14:paraId="3A9921C1" w14:textId="77777777" w:rsidR="005128E4" w:rsidRPr="00707B68" w:rsidRDefault="005128E4" w:rsidP="00040C3A">
      <w:pPr>
        <w:tabs>
          <w:tab w:val="center" w:pos="5400"/>
        </w:tabs>
        <w:suppressAutoHyphens/>
        <w:jc w:val="center"/>
        <w:rPr>
          <w:rFonts w:asciiTheme="majorHAnsi" w:hAnsiTheme="majorHAnsi"/>
          <w:sz w:val="22"/>
          <w:szCs w:val="22"/>
        </w:rPr>
      </w:pPr>
    </w:p>
    <w:p w14:paraId="1FB0C0EE" w14:textId="77777777" w:rsidR="00040C3A" w:rsidRPr="00707B68" w:rsidRDefault="00040C3A" w:rsidP="00040C3A">
      <w:pPr>
        <w:tabs>
          <w:tab w:val="center" w:pos="5400"/>
        </w:tabs>
        <w:suppressAutoHyphens/>
        <w:jc w:val="center"/>
        <w:rPr>
          <w:rFonts w:asciiTheme="majorHAnsi" w:hAnsiTheme="majorHAnsi"/>
          <w:sz w:val="22"/>
          <w:szCs w:val="22"/>
        </w:rPr>
      </w:pPr>
    </w:p>
    <w:p w14:paraId="5AE63FCE" w14:textId="77777777" w:rsidR="00040C3A" w:rsidRPr="00707B68" w:rsidRDefault="00040C3A" w:rsidP="00040C3A">
      <w:pPr>
        <w:tabs>
          <w:tab w:val="center" w:pos="5400"/>
        </w:tabs>
        <w:suppressAutoHyphens/>
        <w:jc w:val="center"/>
        <w:rPr>
          <w:rFonts w:asciiTheme="majorHAnsi" w:hAnsiTheme="majorHAnsi"/>
          <w:sz w:val="22"/>
          <w:szCs w:val="22"/>
        </w:rPr>
      </w:pPr>
    </w:p>
    <w:p w14:paraId="4E2A9767" w14:textId="77777777" w:rsidR="00A50FCF" w:rsidRPr="00707B68" w:rsidRDefault="00A50FCF" w:rsidP="00040C3A">
      <w:pPr>
        <w:tabs>
          <w:tab w:val="center" w:pos="5400"/>
        </w:tabs>
        <w:suppressAutoHyphens/>
        <w:jc w:val="center"/>
        <w:rPr>
          <w:rFonts w:asciiTheme="majorHAnsi" w:hAnsiTheme="majorHAnsi"/>
          <w:sz w:val="18"/>
          <w:szCs w:val="22"/>
        </w:rPr>
      </w:pPr>
    </w:p>
    <w:p w14:paraId="52FF34E4" w14:textId="77777777" w:rsidR="00A50FCF" w:rsidRPr="00707B68" w:rsidRDefault="00A50FCF" w:rsidP="00040C3A">
      <w:pPr>
        <w:tabs>
          <w:tab w:val="center" w:pos="5400"/>
        </w:tabs>
        <w:suppressAutoHyphens/>
        <w:jc w:val="center"/>
        <w:rPr>
          <w:rFonts w:asciiTheme="majorHAnsi" w:hAnsiTheme="majorHAnsi"/>
          <w:sz w:val="18"/>
          <w:szCs w:val="22"/>
        </w:rPr>
      </w:pPr>
    </w:p>
    <w:p w14:paraId="239CECF1" w14:textId="77777777" w:rsidR="00A50FCF" w:rsidRPr="00707B68" w:rsidRDefault="00A50FCF" w:rsidP="00040C3A">
      <w:pPr>
        <w:tabs>
          <w:tab w:val="center" w:pos="5400"/>
        </w:tabs>
        <w:suppressAutoHyphens/>
        <w:jc w:val="center"/>
        <w:rPr>
          <w:rFonts w:asciiTheme="majorHAnsi" w:hAnsiTheme="majorHAnsi"/>
          <w:sz w:val="18"/>
          <w:szCs w:val="22"/>
        </w:rPr>
      </w:pPr>
    </w:p>
    <w:p w14:paraId="563A926C" w14:textId="77777777" w:rsidR="00A50FCF" w:rsidRPr="00707B68" w:rsidRDefault="00A50FCF" w:rsidP="00040C3A">
      <w:pPr>
        <w:tabs>
          <w:tab w:val="center" w:pos="5400"/>
        </w:tabs>
        <w:suppressAutoHyphens/>
        <w:jc w:val="center"/>
        <w:rPr>
          <w:rFonts w:asciiTheme="majorHAnsi" w:hAnsiTheme="majorHAnsi"/>
          <w:sz w:val="18"/>
          <w:szCs w:val="22"/>
        </w:rPr>
      </w:pPr>
    </w:p>
    <w:p w14:paraId="20100DE8" w14:textId="77777777" w:rsidR="00A50FCF" w:rsidRPr="00707B68" w:rsidRDefault="00A50FCF" w:rsidP="00040C3A">
      <w:pPr>
        <w:tabs>
          <w:tab w:val="center" w:pos="5400"/>
        </w:tabs>
        <w:suppressAutoHyphens/>
        <w:jc w:val="center"/>
        <w:rPr>
          <w:rFonts w:asciiTheme="majorHAnsi" w:hAnsiTheme="majorHAnsi"/>
          <w:sz w:val="18"/>
          <w:szCs w:val="22"/>
        </w:rPr>
      </w:pPr>
    </w:p>
    <w:p w14:paraId="22F23A80" w14:textId="77777777" w:rsidR="00A50FCF" w:rsidRPr="00707B68" w:rsidRDefault="00A50FCF" w:rsidP="00040C3A">
      <w:pPr>
        <w:tabs>
          <w:tab w:val="center" w:pos="5400"/>
        </w:tabs>
        <w:suppressAutoHyphens/>
        <w:jc w:val="center"/>
        <w:rPr>
          <w:rFonts w:asciiTheme="majorHAnsi" w:hAnsiTheme="majorHAnsi"/>
          <w:sz w:val="18"/>
          <w:szCs w:val="22"/>
        </w:rPr>
      </w:pPr>
    </w:p>
    <w:p w14:paraId="41BB0356" w14:textId="77777777" w:rsidR="00A50FCF" w:rsidRPr="00707B68" w:rsidRDefault="00A50FCF" w:rsidP="00040C3A">
      <w:pPr>
        <w:tabs>
          <w:tab w:val="center" w:pos="5400"/>
        </w:tabs>
        <w:suppressAutoHyphens/>
        <w:jc w:val="center"/>
        <w:rPr>
          <w:rFonts w:asciiTheme="majorHAnsi" w:hAnsiTheme="majorHAnsi"/>
          <w:sz w:val="18"/>
          <w:szCs w:val="22"/>
        </w:rPr>
      </w:pPr>
    </w:p>
    <w:p w14:paraId="3E7BD4FB" w14:textId="77777777" w:rsidR="00A50FCF" w:rsidRPr="00707B68" w:rsidRDefault="00A50FCF" w:rsidP="00040C3A">
      <w:pPr>
        <w:tabs>
          <w:tab w:val="center" w:pos="5400"/>
        </w:tabs>
        <w:suppressAutoHyphens/>
        <w:jc w:val="center"/>
        <w:rPr>
          <w:rFonts w:asciiTheme="majorHAnsi" w:hAnsiTheme="majorHAnsi"/>
          <w:sz w:val="18"/>
          <w:szCs w:val="22"/>
        </w:rPr>
      </w:pPr>
    </w:p>
    <w:p w14:paraId="2FA679C0" w14:textId="77777777" w:rsidR="00A50FCF" w:rsidRPr="00707B68" w:rsidRDefault="00A50FCF" w:rsidP="00040C3A">
      <w:pPr>
        <w:tabs>
          <w:tab w:val="center" w:pos="5400"/>
        </w:tabs>
        <w:suppressAutoHyphens/>
        <w:jc w:val="center"/>
        <w:rPr>
          <w:rFonts w:asciiTheme="majorHAnsi" w:hAnsiTheme="majorHAnsi"/>
          <w:sz w:val="18"/>
          <w:szCs w:val="22"/>
        </w:rPr>
      </w:pPr>
    </w:p>
    <w:p w14:paraId="2099890D" w14:textId="77777777" w:rsidR="00A50FCF" w:rsidRPr="00707B68" w:rsidRDefault="00A50FCF" w:rsidP="00040C3A">
      <w:pPr>
        <w:tabs>
          <w:tab w:val="center" w:pos="5400"/>
        </w:tabs>
        <w:suppressAutoHyphens/>
        <w:jc w:val="center"/>
        <w:rPr>
          <w:rFonts w:asciiTheme="majorHAnsi" w:hAnsiTheme="majorHAnsi"/>
          <w:sz w:val="18"/>
          <w:szCs w:val="22"/>
        </w:rPr>
      </w:pPr>
    </w:p>
    <w:p w14:paraId="3D2B8A72" w14:textId="77777777" w:rsidR="00A50FCF" w:rsidRPr="00707B68" w:rsidRDefault="00A50FCF" w:rsidP="00040C3A">
      <w:pPr>
        <w:tabs>
          <w:tab w:val="center" w:pos="5400"/>
        </w:tabs>
        <w:suppressAutoHyphens/>
        <w:jc w:val="center"/>
        <w:rPr>
          <w:rFonts w:asciiTheme="majorHAnsi" w:hAnsiTheme="majorHAnsi"/>
          <w:sz w:val="18"/>
          <w:szCs w:val="22"/>
        </w:rPr>
      </w:pPr>
    </w:p>
    <w:p w14:paraId="4A6AFF45" w14:textId="77777777" w:rsidR="00A50FCF" w:rsidRPr="00707B68" w:rsidRDefault="00A50FCF" w:rsidP="00040C3A">
      <w:pPr>
        <w:tabs>
          <w:tab w:val="center" w:pos="5400"/>
        </w:tabs>
        <w:suppressAutoHyphens/>
        <w:jc w:val="center"/>
        <w:rPr>
          <w:rFonts w:asciiTheme="majorHAnsi" w:hAnsiTheme="majorHAnsi"/>
          <w:sz w:val="18"/>
          <w:szCs w:val="22"/>
        </w:rPr>
      </w:pPr>
    </w:p>
    <w:p w14:paraId="05CFDB54" w14:textId="77777777" w:rsidR="00A50FCF" w:rsidRPr="00707B68" w:rsidRDefault="00A50FCF" w:rsidP="00040C3A">
      <w:pPr>
        <w:tabs>
          <w:tab w:val="center" w:pos="5400"/>
        </w:tabs>
        <w:suppressAutoHyphens/>
        <w:jc w:val="center"/>
        <w:rPr>
          <w:rFonts w:asciiTheme="majorHAnsi" w:hAnsiTheme="majorHAnsi"/>
          <w:sz w:val="18"/>
          <w:szCs w:val="22"/>
        </w:rPr>
      </w:pPr>
    </w:p>
    <w:p w14:paraId="121DD027" w14:textId="77777777" w:rsidR="00A50FCF" w:rsidRPr="00707B68" w:rsidRDefault="00A50FCF" w:rsidP="00040C3A">
      <w:pPr>
        <w:tabs>
          <w:tab w:val="center" w:pos="5400"/>
        </w:tabs>
        <w:suppressAutoHyphens/>
        <w:jc w:val="center"/>
        <w:rPr>
          <w:rFonts w:asciiTheme="majorHAnsi" w:hAnsiTheme="majorHAnsi"/>
          <w:sz w:val="18"/>
          <w:szCs w:val="22"/>
        </w:rPr>
      </w:pPr>
    </w:p>
    <w:p w14:paraId="1CC72935" w14:textId="77777777" w:rsidR="00A50FCF" w:rsidRPr="00707B68" w:rsidRDefault="0090270B" w:rsidP="00040C3A">
      <w:pPr>
        <w:tabs>
          <w:tab w:val="center" w:pos="5400"/>
        </w:tabs>
        <w:suppressAutoHyphens/>
        <w:jc w:val="center"/>
        <w:rPr>
          <w:rFonts w:asciiTheme="majorHAnsi" w:hAnsiTheme="majorHAnsi"/>
          <w:sz w:val="18"/>
          <w:szCs w:val="22"/>
        </w:rPr>
      </w:pPr>
      <w:r w:rsidRPr="00707B68">
        <w:rPr>
          <w:rFonts w:asciiTheme="majorHAnsi" w:hAnsiTheme="majorHAnsi"/>
          <w:noProof/>
          <w:sz w:val="22"/>
          <w:szCs w:val="22"/>
          <w:lang w:val="en-US"/>
        </w:rPr>
        <mc:AlternateContent>
          <mc:Choice Requires="wps">
            <w:drawing>
              <wp:anchor distT="0" distB="0" distL="114300" distR="114300" simplePos="0" relativeHeight="251670528" behindDoc="0" locked="0" layoutInCell="1" allowOverlap="1" wp14:anchorId="3DAB3B64" wp14:editId="6D12464A">
                <wp:simplePos x="0" y="0"/>
                <wp:positionH relativeFrom="column">
                  <wp:posOffset>1371600</wp:posOffset>
                </wp:positionH>
                <wp:positionV relativeFrom="paragraph">
                  <wp:posOffset>53340</wp:posOffset>
                </wp:positionV>
                <wp:extent cx="4933950" cy="664845"/>
                <wp:effectExtent l="0" t="0" r="0" b="0"/>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829149" w14:textId="03429E19" w:rsidR="00475A99" w:rsidRPr="00027A6B" w:rsidRDefault="00475A99" w:rsidP="0059191A">
                            <w:pPr>
                              <w:tabs>
                                <w:tab w:val="center" w:pos="5400"/>
                              </w:tabs>
                              <w:suppressAutoHyphens/>
                              <w:spacing w:before="60"/>
                              <w:rPr>
                                <w:rFonts w:asciiTheme="majorHAnsi" w:hAnsiTheme="majorHAnsi" w:cs="Univers"/>
                                <w:color w:val="0D0D0D" w:themeColor="text1" w:themeTint="F2"/>
                                <w:sz w:val="18"/>
                                <w:szCs w:val="20"/>
                              </w:rPr>
                            </w:pPr>
                            <w:r w:rsidRPr="00890650">
                              <w:rPr>
                                <w:rFonts w:asciiTheme="majorHAnsi" w:hAnsiTheme="majorHAnsi"/>
                                <w:color w:val="0D0D0D" w:themeColor="text1" w:themeTint="F2"/>
                                <w:sz w:val="18"/>
                                <w:szCs w:val="20"/>
                                <w:lang w:val="es-ES"/>
                              </w:rPr>
                              <w:t>Aprobado por la Comisión en su sesión N</w:t>
                            </w:r>
                            <w:r>
                              <w:rPr>
                                <w:rFonts w:asciiTheme="majorHAnsi" w:hAnsiTheme="majorHAnsi"/>
                                <w:color w:val="0D0D0D" w:themeColor="text1" w:themeTint="F2"/>
                                <w:sz w:val="18"/>
                                <w:szCs w:val="20"/>
                                <w:lang w:val="es-ES"/>
                              </w:rPr>
                              <w:t>o.</w:t>
                            </w:r>
                            <w:r w:rsidRPr="00890650">
                              <w:rPr>
                                <w:rFonts w:asciiTheme="majorHAnsi" w:hAnsiTheme="majorHAnsi"/>
                                <w:color w:val="0D0D0D" w:themeColor="text1" w:themeTint="F2"/>
                                <w:sz w:val="18"/>
                                <w:szCs w:val="20"/>
                                <w:lang w:val="es-ES"/>
                              </w:rPr>
                              <w:t xml:space="preserve"> </w:t>
                            </w:r>
                            <w:r>
                              <w:rPr>
                                <w:rFonts w:asciiTheme="majorHAnsi" w:hAnsiTheme="majorHAnsi"/>
                                <w:color w:val="0D0D0D" w:themeColor="text1" w:themeTint="F2"/>
                                <w:sz w:val="18"/>
                                <w:szCs w:val="20"/>
                                <w:lang w:val="es-ES"/>
                              </w:rPr>
                              <w:t>2190</w:t>
                            </w:r>
                            <w:r w:rsidRPr="00890650">
                              <w:rPr>
                                <w:rFonts w:asciiTheme="majorHAnsi" w:hAnsiTheme="majorHAnsi"/>
                                <w:color w:val="0D0D0D" w:themeColor="text1" w:themeTint="F2"/>
                                <w:sz w:val="18"/>
                                <w:szCs w:val="20"/>
                                <w:lang w:val="es-ES"/>
                              </w:rPr>
                              <w:t xml:space="preserve"> c</w:t>
                            </w:r>
                            <w:r>
                              <w:rPr>
                                <w:rFonts w:asciiTheme="majorHAnsi" w:hAnsiTheme="majorHAnsi"/>
                                <w:color w:val="0D0D0D" w:themeColor="text1" w:themeTint="F2"/>
                                <w:sz w:val="18"/>
                                <w:szCs w:val="20"/>
                                <w:lang w:val="es-ES"/>
                              </w:rPr>
                              <w:t>elebrada el 29 de octubre</w:t>
                            </w:r>
                            <w:r w:rsidRPr="00890650">
                              <w:rPr>
                                <w:rFonts w:asciiTheme="majorHAnsi" w:hAnsiTheme="majorHAnsi"/>
                                <w:color w:val="0D0D0D" w:themeColor="text1" w:themeTint="F2"/>
                                <w:sz w:val="18"/>
                                <w:szCs w:val="20"/>
                                <w:lang w:val="es-ES"/>
                              </w:rPr>
                              <w:t xml:space="preserve"> de 20</w:t>
                            </w:r>
                            <w:r>
                              <w:rPr>
                                <w:rFonts w:asciiTheme="majorHAnsi" w:hAnsiTheme="majorHAnsi"/>
                                <w:color w:val="0D0D0D" w:themeColor="text1" w:themeTint="F2"/>
                                <w:sz w:val="18"/>
                                <w:szCs w:val="20"/>
                                <w:lang w:val="es-ES"/>
                              </w:rPr>
                              <w:t>20</w:t>
                            </w:r>
                            <w:r w:rsidRPr="00890650">
                              <w:rPr>
                                <w:rFonts w:asciiTheme="majorHAnsi" w:hAnsiTheme="majorHAnsi"/>
                                <w:color w:val="0D0D0D" w:themeColor="text1" w:themeTint="F2"/>
                                <w:sz w:val="18"/>
                                <w:szCs w:val="20"/>
                                <w:lang w:val="es-E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B3B64" id="Text Box 7" o:spid="_x0000_s1029" type="#_x0000_t202" style="position:absolute;left:0;text-align:left;margin-left:108pt;margin-top:4.2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" filled="f" stroked="f" strokeweight=".5pt">
                <v:textbox>
                  <w:txbxContent>
                    <w:p w14:paraId="7B829149" w14:textId="03429E19" w:rsidR="00475A99" w:rsidRPr="00027A6B" w:rsidRDefault="00475A99" w:rsidP="0059191A">
                      <w:pPr>
                        <w:tabs>
                          <w:tab w:val="center" w:pos="5400"/>
                        </w:tabs>
                        <w:suppressAutoHyphens/>
                        <w:spacing w:before="60"/>
                        <w:rPr>
                          <w:rFonts w:asciiTheme="majorHAnsi" w:hAnsiTheme="majorHAnsi" w:cs="Univers"/>
                          <w:color w:val="0D0D0D" w:themeColor="text1" w:themeTint="F2"/>
                          <w:sz w:val="18"/>
                          <w:szCs w:val="20"/>
                        </w:rPr>
                      </w:pPr>
                      <w:r w:rsidRPr="00890650">
                        <w:rPr>
                          <w:rFonts w:asciiTheme="majorHAnsi" w:hAnsiTheme="majorHAnsi"/>
                          <w:color w:val="0D0D0D" w:themeColor="text1" w:themeTint="F2"/>
                          <w:sz w:val="18"/>
                          <w:szCs w:val="20"/>
                          <w:lang w:val="es-ES"/>
                        </w:rPr>
                        <w:t>Aprobado por la Comisión en su sesión N</w:t>
                      </w:r>
                      <w:r>
                        <w:rPr>
                          <w:rFonts w:asciiTheme="majorHAnsi" w:hAnsiTheme="majorHAnsi"/>
                          <w:color w:val="0D0D0D" w:themeColor="text1" w:themeTint="F2"/>
                          <w:sz w:val="18"/>
                          <w:szCs w:val="20"/>
                          <w:lang w:val="es-ES"/>
                        </w:rPr>
                        <w:t>o.</w:t>
                      </w:r>
                      <w:r w:rsidRPr="00890650">
                        <w:rPr>
                          <w:rFonts w:asciiTheme="majorHAnsi" w:hAnsiTheme="majorHAnsi"/>
                          <w:color w:val="0D0D0D" w:themeColor="text1" w:themeTint="F2"/>
                          <w:sz w:val="18"/>
                          <w:szCs w:val="20"/>
                          <w:lang w:val="es-ES"/>
                        </w:rPr>
                        <w:t xml:space="preserve"> </w:t>
                      </w:r>
                      <w:r>
                        <w:rPr>
                          <w:rFonts w:asciiTheme="majorHAnsi" w:hAnsiTheme="majorHAnsi"/>
                          <w:color w:val="0D0D0D" w:themeColor="text1" w:themeTint="F2"/>
                          <w:sz w:val="18"/>
                          <w:szCs w:val="20"/>
                          <w:lang w:val="es-ES"/>
                        </w:rPr>
                        <w:t>2190</w:t>
                      </w:r>
                      <w:r w:rsidRPr="00890650">
                        <w:rPr>
                          <w:rFonts w:asciiTheme="majorHAnsi" w:hAnsiTheme="majorHAnsi"/>
                          <w:color w:val="0D0D0D" w:themeColor="text1" w:themeTint="F2"/>
                          <w:sz w:val="18"/>
                          <w:szCs w:val="20"/>
                          <w:lang w:val="es-ES"/>
                        </w:rPr>
                        <w:t xml:space="preserve"> c</w:t>
                      </w:r>
                      <w:r>
                        <w:rPr>
                          <w:rFonts w:asciiTheme="majorHAnsi" w:hAnsiTheme="majorHAnsi"/>
                          <w:color w:val="0D0D0D" w:themeColor="text1" w:themeTint="F2"/>
                          <w:sz w:val="18"/>
                          <w:szCs w:val="20"/>
                          <w:lang w:val="es-ES"/>
                        </w:rPr>
                        <w:t>elebrada el 29 de octubre</w:t>
                      </w:r>
                      <w:r w:rsidRPr="00890650">
                        <w:rPr>
                          <w:rFonts w:asciiTheme="majorHAnsi" w:hAnsiTheme="majorHAnsi"/>
                          <w:color w:val="0D0D0D" w:themeColor="text1" w:themeTint="F2"/>
                          <w:sz w:val="18"/>
                          <w:szCs w:val="20"/>
                          <w:lang w:val="es-ES"/>
                        </w:rPr>
                        <w:t xml:space="preserve"> de 20</w:t>
                      </w:r>
                      <w:r>
                        <w:rPr>
                          <w:rFonts w:asciiTheme="majorHAnsi" w:hAnsiTheme="majorHAnsi"/>
                          <w:color w:val="0D0D0D" w:themeColor="text1" w:themeTint="F2"/>
                          <w:sz w:val="18"/>
                          <w:szCs w:val="20"/>
                          <w:lang w:val="es-ES"/>
                        </w:rPr>
                        <w:t>20</w:t>
                      </w:r>
                      <w:r w:rsidRPr="00890650">
                        <w:rPr>
                          <w:rFonts w:asciiTheme="majorHAnsi" w:hAnsiTheme="majorHAnsi"/>
                          <w:color w:val="0D0D0D" w:themeColor="text1" w:themeTint="F2"/>
                          <w:sz w:val="18"/>
                          <w:szCs w:val="20"/>
                          <w:lang w:val="es-ES"/>
                        </w:rPr>
                        <w:br/>
                      </w:r>
                    </w:p>
                  </w:txbxContent>
                </v:textbox>
              </v:shape>
            </w:pict>
          </mc:Fallback>
        </mc:AlternateContent>
      </w:r>
    </w:p>
    <w:p w14:paraId="1F84A335" w14:textId="77777777" w:rsidR="00A50FCF" w:rsidRPr="00707B68" w:rsidRDefault="00A50FCF" w:rsidP="00040C3A">
      <w:pPr>
        <w:tabs>
          <w:tab w:val="center" w:pos="5400"/>
        </w:tabs>
        <w:suppressAutoHyphens/>
        <w:jc w:val="center"/>
        <w:rPr>
          <w:rFonts w:asciiTheme="majorHAnsi" w:hAnsiTheme="majorHAnsi"/>
          <w:sz w:val="18"/>
          <w:szCs w:val="22"/>
        </w:rPr>
      </w:pPr>
    </w:p>
    <w:p w14:paraId="3E75F0A3" w14:textId="77777777" w:rsidR="00A50FCF" w:rsidRPr="00707B68" w:rsidRDefault="00A50FCF" w:rsidP="00040C3A">
      <w:pPr>
        <w:tabs>
          <w:tab w:val="center" w:pos="5400"/>
        </w:tabs>
        <w:suppressAutoHyphens/>
        <w:jc w:val="center"/>
        <w:rPr>
          <w:rFonts w:asciiTheme="majorHAnsi" w:hAnsiTheme="majorHAnsi"/>
          <w:sz w:val="18"/>
          <w:szCs w:val="22"/>
        </w:rPr>
      </w:pPr>
    </w:p>
    <w:p w14:paraId="4D9D6286" w14:textId="77777777" w:rsidR="00A50FCF" w:rsidRPr="00707B68" w:rsidRDefault="00A50FCF" w:rsidP="00040C3A">
      <w:pPr>
        <w:tabs>
          <w:tab w:val="center" w:pos="5400"/>
        </w:tabs>
        <w:suppressAutoHyphens/>
        <w:jc w:val="center"/>
        <w:rPr>
          <w:rFonts w:asciiTheme="majorHAnsi" w:hAnsiTheme="majorHAnsi"/>
          <w:sz w:val="18"/>
          <w:szCs w:val="22"/>
        </w:rPr>
      </w:pPr>
    </w:p>
    <w:p w14:paraId="29D98932" w14:textId="77777777" w:rsidR="00A50FCF" w:rsidRPr="00707B68" w:rsidRDefault="00A50FCF" w:rsidP="00040C3A">
      <w:pPr>
        <w:tabs>
          <w:tab w:val="center" w:pos="5400"/>
        </w:tabs>
        <w:suppressAutoHyphens/>
        <w:jc w:val="center"/>
        <w:rPr>
          <w:rFonts w:asciiTheme="majorHAnsi" w:hAnsiTheme="majorHAnsi"/>
          <w:sz w:val="18"/>
          <w:szCs w:val="22"/>
        </w:rPr>
      </w:pPr>
    </w:p>
    <w:p w14:paraId="197106D4" w14:textId="77777777" w:rsidR="00A50FCF" w:rsidRPr="00707B68" w:rsidRDefault="0090270B" w:rsidP="00040C3A">
      <w:pPr>
        <w:tabs>
          <w:tab w:val="center" w:pos="5400"/>
        </w:tabs>
        <w:suppressAutoHyphens/>
        <w:jc w:val="center"/>
        <w:rPr>
          <w:rFonts w:asciiTheme="majorHAnsi" w:hAnsiTheme="majorHAnsi"/>
          <w:sz w:val="18"/>
          <w:szCs w:val="22"/>
        </w:rPr>
      </w:pPr>
      <w:r w:rsidRPr="00707B68">
        <w:rPr>
          <w:rFonts w:asciiTheme="majorHAnsi" w:hAnsiTheme="majorHAnsi"/>
          <w:noProof/>
          <w:sz w:val="18"/>
          <w:szCs w:val="22"/>
          <w:lang w:val="en-US"/>
        </w:rPr>
        <mc:AlternateContent>
          <mc:Choice Requires="wps">
            <w:drawing>
              <wp:anchor distT="0" distB="0" distL="114300" distR="114300" simplePos="0" relativeHeight="251678720" behindDoc="0" locked="0" layoutInCell="1" allowOverlap="1" wp14:anchorId="711F725A" wp14:editId="5E72CF12">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EB9E6F" w14:textId="1136ED84" w:rsidR="00475A99" w:rsidRPr="007C756A" w:rsidRDefault="00475A99" w:rsidP="00113F73">
                            <w:pPr>
                              <w:spacing w:line="276" w:lineRule="auto"/>
                              <w:rPr>
                                <w:rFonts w:asciiTheme="majorHAnsi" w:hAnsiTheme="majorHAnsi"/>
                                <w:color w:val="595959" w:themeColor="text1" w:themeTint="A6"/>
                                <w:sz w:val="18"/>
                                <w:szCs w:val="18"/>
                                <w:lang w:val="es-US"/>
                              </w:rPr>
                            </w:pPr>
                            <w:r w:rsidRPr="00C86B09">
                              <w:rPr>
                                <w:rFonts w:asciiTheme="majorHAnsi" w:hAnsiTheme="majorHAnsi"/>
                                <w:b/>
                                <w:color w:val="595959" w:themeColor="text1" w:themeTint="A6"/>
                                <w:sz w:val="18"/>
                                <w:szCs w:val="18"/>
                                <w:lang w:val="pt-BR"/>
                              </w:rPr>
                              <w:t>Citar como:</w:t>
                            </w:r>
                            <w:r w:rsidRPr="00C86B09">
                              <w:rPr>
                                <w:rFonts w:asciiTheme="majorHAnsi" w:hAnsiTheme="majorHAnsi"/>
                                <w:color w:val="595959" w:themeColor="text1" w:themeTint="A6"/>
                                <w:sz w:val="18"/>
                                <w:szCs w:val="18"/>
                                <w:lang w:val="pt-BR"/>
                              </w:rPr>
                              <w:t xml:space="preserve"> CIDH. Informe No.</w:t>
                            </w:r>
                            <w:r>
                              <w:rPr>
                                <w:rFonts w:asciiTheme="majorHAnsi" w:hAnsiTheme="majorHAnsi"/>
                                <w:color w:val="595959" w:themeColor="text1" w:themeTint="A6"/>
                                <w:sz w:val="18"/>
                                <w:szCs w:val="18"/>
                                <w:lang w:val="pt-BR"/>
                              </w:rPr>
                              <w:t xml:space="preserve"> 299</w:t>
                            </w:r>
                            <w:r w:rsidRPr="00C86B09">
                              <w:rPr>
                                <w:rFonts w:asciiTheme="majorHAnsi" w:hAnsiTheme="majorHAnsi"/>
                                <w:color w:val="595959" w:themeColor="text1" w:themeTint="A6"/>
                                <w:sz w:val="18"/>
                                <w:szCs w:val="18"/>
                                <w:lang w:val="pt-BR"/>
                              </w:rPr>
                              <w:t>/</w:t>
                            </w:r>
                            <w:r>
                              <w:rPr>
                                <w:rFonts w:asciiTheme="majorHAnsi" w:hAnsiTheme="majorHAnsi"/>
                                <w:color w:val="595959" w:themeColor="text1" w:themeTint="A6"/>
                                <w:sz w:val="18"/>
                                <w:szCs w:val="18"/>
                                <w:lang w:val="pt-BR"/>
                              </w:rPr>
                              <w:t>20</w:t>
                            </w:r>
                            <w:r w:rsidRPr="00C86B09">
                              <w:rPr>
                                <w:rFonts w:asciiTheme="majorHAnsi" w:hAnsiTheme="majorHAnsi"/>
                                <w:color w:val="595959" w:themeColor="text1" w:themeTint="A6"/>
                                <w:sz w:val="18"/>
                                <w:szCs w:val="18"/>
                                <w:lang w:val="pt-BR"/>
                              </w:rPr>
                              <w:t xml:space="preserve">. Caso 12.295. Fondo. Jesús Ramiro Zapata. </w:t>
                            </w:r>
                            <w:r w:rsidRPr="00C86B09">
                              <w:rPr>
                                <w:rFonts w:asciiTheme="majorHAnsi" w:hAnsiTheme="majorHAnsi"/>
                                <w:color w:val="595959" w:themeColor="text1" w:themeTint="A6"/>
                                <w:sz w:val="18"/>
                                <w:szCs w:val="18"/>
                              </w:rPr>
                              <w:t xml:space="preserve">Colombia. </w:t>
                            </w:r>
                            <w:r>
                              <w:rPr>
                                <w:rFonts w:asciiTheme="majorHAnsi" w:hAnsiTheme="majorHAnsi"/>
                                <w:color w:val="595959" w:themeColor="text1" w:themeTint="A6"/>
                                <w:sz w:val="18"/>
                                <w:szCs w:val="18"/>
                                <w:lang w:val="es-US"/>
                              </w:rPr>
                              <w:t xml:space="preserve">29 de octubre de 2020.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F725A"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0FEB9E6F" w14:textId="1136ED84" w:rsidR="00475A99" w:rsidRPr="007C756A" w:rsidRDefault="00475A99" w:rsidP="00113F73">
                      <w:pPr>
                        <w:spacing w:line="276" w:lineRule="auto"/>
                        <w:rPr>
                          <w:rFonts w:asciiTheme="majorHAnsi" w:hAnsiTheme="majorHAnsi"/>
                          <w:color w:val="595959" w:themeColor="text1" w:themeTint="A6"/>
                          <w:sz w:val="18"/>
                          <w:szCs w:val="18"/>
                          <w:lang w:val="es-US"/>
                        </w:rPr>
                      </w:pPr>
                      <w:r w:rsidRPr="00C86B09">
                        <w:rPr>
                          <w:rFonts w:asciiTheme="majorHAnsi" w:hAnsiTheme="majorHAnsi"/>
                          <w:b/>
                          <w:color w:val="595959" w:themeColor="text1" w:themeTint="A6"/>
                          <w:sz w:val="18"/>
                          <w:szCs w:val="18"/>
                          <w:lang w:val="pt-BR"/>
                        </w:rPr>
                        <w:t>Citar como:</w:t>
                      </w:r>
                      <w:r w:rsidRPr="00C86B09">
                        <w:rPr>
                          <w:rFonts w:asciiTheme="majorHAnsi" w:hAnsiTheme="majorHAnsi"/>
                          <w:color w:val="595959" w:themeColor="text1" w:themeTint="A6"/>
                          <w:sz w:val="18"/>
                          <w:szCs w:val="18"/>
                          <w:lang w:val="pt-BR"/>
                        </w:rPr>
                        <w:t xml:space="preserve"> CIDH. Informe No.</w:t>
                      </w:r>
                      <w:r>
                        <w:rPr>
                          <w:rFonts w:asciiTheme="majorHAnsi" w:hAnsiTheme="majorHAnsi"/>
                          <w:color w:val="595959" w:themeColor="text1" w:themeTint="A6"/>
                          <w:sz w:val="18"/>
                          <w:szCs w:val="18"/>
                          <w:lang w:val="pt-BR"/>
                        </w:rPr>
                        <w:t xml:space="preserve"> 299</w:t>
                      </w:r>
                      <w:r w:rsidRPr="00C86B09">
                        <w:rPr>
                          <w:rFonts w:asciiTheme="majorHAnsi" w:hAnsiTheme="majorHAnsi"/>
                          <w:color w:val="595959" w:themeColor="text1" w:themeTint="A6"/>
                          <w:sz w:val="18"/>
                          <w:szCs w:val="18"/>
                          <w:lang w:val="pt-BR"/>
                        </w:rPr>
                        <w:t>/</w:t>
                      </w:r>
                      <w:r>
                        <w:rPr>
                          <w:rFonts w:asciiTheme="majorHAnsi" w:hAnsiTheme="majorHAnsi"/>
                          <w:color w:val="595959" w:themeColor="text1" w:themeTint="A6"/>
                          <w:sz w:val="18"/>
                          <w:szCs w:val="18"/>
                          <w:lang w:val="pt-BR"/>
                        </w:rPr>
                        <w:t>20</w:t>
                      </w:r>
                      <w:r w:rsidRPr="00C86B09">
                        <w:rPr>
                          <w:rFonts w:asciiTheme="majorHAnsi" w:hAnsiTheme="majorHAnsi"/>
                          <w:color w:val="595959" w:themeColor="text1" w:themeTint="A6"/>
                          <w:sz w:val="18"/>
                          <w:szCs w:val="18"/>
                          <w:lang w:val="pt-BR"/>
                        </w:rPr>
                        <w:t xml:space="preserve">. Caso 12.295. Fondo. Jesús Ramiro Zapata. </w:t>
                      </w:r>
                      <w:r w:rsidRPr="00C86B09">
                        <w:rPr>
                          <w:rFonts w:asciiTheme="majorHAnsi" w:hAnsiTheme="majorHAnsi"/>
                          <w:color w:val="595959" w:themeColor="text1" w:themeTint="A6"/>
                          <w:sz w:val="18"/>
                          <w:szCs w:val="18"/>
                        </w:rPr>
                        <w:t xml:space="preserve">Colombia. </w:t>
                      </w:r>
                      <w:r>
                        <w:rPr>
                          <w:rFonts w:asciiTheme="majorHAnsi" w:hAnsiTheme="majorHAnsi"/>
                          <w:color w:val="595959" w:themeColor="text1" w:themeTint="A6"/>
                          <w:sz w:val="18"/>
                          <w:szCs w:val="18"/>
                          <w:lang w:val="es-US"/>
                        </w:rPr>
                        <w:t xml:space="preserve">29 de octubre de 2020. </w:t>
                      </w:r>
                    </w:p>
                  </w:txbxContent>
                </v:textbox>
              </v:shape>
            </w:pict>
          </mc:Fallback>
        </mc:AlternateContent>
      </w:r>
    </w:p>
    <w:p w14:paraId="201FA751" w14:textId="77777777" w:rsidR="00A50FCF" w:rsidRPr="00707B68" w:rsidRDefault="00A50FCF" w:rsidP="00040C3A">
      <w:pPr>
        <w:tabs>
          <w:tab w:val="center" w:pos="5400"/>
        </w:tabs>
        <w:suppressAutoHyphens/>
        <w:jc w:val="center"/>
        <w:rPr>
          <w:rFonts w:asciiTheme="majorHAnsi" w:hAnsiTheme="majorHAnsi"/>
          <w:sz w:val="18"/>
          <w:szCs w:val="22"/>
        </w:rPr>
      </w:pPr>
    </w:p>
    <w:p w14:paraId="7962A005" w14:textId="77777777" w:rsidR="0090270B" w:rsidRPr="00707B68" w:rsidRDefault="00D306D1" w:rsidP="005516A1">
      <w:pPr>
        <w:tabs>
          <w:tab w:val="center" w:pos="5400"/>
        </w:tabs>
        <w:suppressAutoHyphens/>
        <w:jc w:val="center"/>
        <w:rPr>
          <w:rFonts w:asciiTheme="majorHAnsi" w:hAnsiTheme="majorHAnsi"/>
          <w:b/>
          <w:sz w:val="20"/>
        </w:rPr>
      </w:pPr>
      <w:r w:rsidRPr="00707B68">
        <w:rPr>
          <w:rFonts w:asciiTheme="majorHAnsi" w:hAnsiTheme="majorHAnsi"/>
          <w:noProof/>
          <w:sz w:val="18"/>
          <w:szCs w:val="22"/>
          <w:lang w:val="en-US"/>
        </w:rPr>
        <mc:AlternateContent>
          <mc:Choice Requires="wps">
            <w:drawing>
              <wp:anchor distT="0" distB="0" distL="114300" distR="114300" simplePos="0" relativeHeight="251680768" behindDoc="0" locked="0" layoutInCell="1" allowOverlap="1" wp14:anchorId="757EC06D" wp14:editId="1AA8FC1A">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74FDDC" w14:textId="77777777" w:rsidR="00475A99" w:rsidRPr="00D72DC6" w:rsidRDefault="00475A99" w:rsidP="00F02AD1">
                            <w:pPr>
                              <w:rPr>
                                <w:color w:val="FFFFFF" w:themeColor="background1"/>
                                <w14:textFill>
                                  <w14:noFill/>
                                </w14:textFill>
                              </w:rPr>
                            </w:pPr>
                            <w:r w:rsidRPr="00D72DC6">
                              <w:rPr>
                                <w:noProof/>
                                <w:color w:val="FFFFFF" w:themeColor="background1"/>
                                <w:lang w:val="en-US"/>
                                <w14:textFill>
                                  <w14:noFill/>
                                </w14:textFill>
                              </w:rPr>
                              <w:drawing>
                                <wp:inline distT="0" distB="0" distL="0" distR="0" wp14:anchorId="6D953FB1" wp14:editId="11B9483D">
                                  <wp:extent cx="1338942" cy="390525"/>
                                  <wp:effectExtent l="0" t="0" r="0" b="0"/>
                                  <wp:docPr id="6" name="Picture 6" descr="C:\Users\mfontana\Documents\Eva Fontana\GRAFICA CIDH\cartas\logos\oe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fontana\Documents\Eva Fontana\GRAFICA CIDH\cartas\logos\oea-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83" cy="4000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EC06D" id="Text Box 9" o:spid="_x0000_s1031"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2774FDDC" w14:textId="77777777" w:rsidR="00475A99" w:rsidRPr="00D72DC6" w:rsidRDefault="00475A99" w:rsidP="00F02AD1">
                      <w:pPr>
                        <w:rPr>
                          <w:color w:val="FFFFFF" w:themeColor="background1"/>
                          <w14:textFill>
                            <w14:noFill/>
                          </w14:textFill>
                        </w:rPr>
                      </w:pPr>
                      <w:r w:rsidRPr="00D72DC6">
                        <w:rPr>
                          <w:noProof/>
                          <w:color w:val="FFFFFF" w:themeColor="background1"/>
                          <w:lang w:val="en-US"/>
                          <w14:textFill>
                            <w14:noFill/>
                          </w14:textFill>
                        </w:rPr>
                        <w:drawing>
                          <wp:inline distT="0" distB="0" distL="0" distR="0" wp14:anchorId="6D953FB1" wp14:editId="11B9483D">
                            <wp:extent cx="1338942" cy="390525"/>
                            <wp:effectExtent l="0" t="0" r="0" b="0"/>
                            <wp:docPr id="6" name="Picture 6" descr="C:\Users\mfontana\Documents\Eva Fontana\GRAFICA CIDH\cartas\logos\oe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fontana\Documents\Eva Fontana\GRAFICA CIDH\cartas\logos\oea-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83" cy="400074"/>
                                    </a:xfrm>
                                    <a:prstGeom prst="rect">
                                      <a:avLst/>
                                    </a:prstGeom>
                                    <a:noFill/>
                                    <a:ln>
                                      <a:noFill/>
                                    </a:ln>
                                  </pic:spPr>
                                </pic:pic>
                              </a:graphicData>
                            </a:graphic>
                          </wp:inline>
                        </w:drawing>
                      </w:r>
                    </w:p>
                  </w:txbxContent>
                </v:textbox>
              </v:shape>
            </w:pict>
          </mc:Fallback>
        </mc:AlternateContent>
      </w:r>
      <w:r w:rsidRPr="00707B68">
        <w:rPr>
          <w:rFonts w:asciiTheme="majorHAnsi" w:hAnsiTheme="majorHAnsi"/>
          <w:noProof/>
          <w:sz w:val="22"/>
          <w:szCs w:val="22"/>
          <w:lang w:val="en-US"/>
        </w:rPr>
        <mc:AlternateContent>
          <mc:Choice Requires="wps">
            <w:drawing>
              <wp:anchor distT="0" distB="0" distL="114300" distR="114300" simplePos="0" relativeHeight="251682816" behindDoc="0" locked="0" layoutInCell="1" allowOverlap="1" wp14:anchorId="5FDC3780" wp14:editId="1E4A2356">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932963" w14:textId="77777777" w:rsidR="00475A99" w:rsidRPr="004B7EB6" w:rsidRDefault="00475A99"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C3780"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60932963" w14:textId="77777777" w:rsidR="00475A99" w:rsidRPr="004B7EB6" w:rsidRDefault="00475A99"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57A1D89A" w14:textId="77777777" w:rsidR="0070697F" w:rsidRPr="00707B68" w:rsidRDefault="0070697F" w:rsidP="005516A1">
      <w:pPr>
        <w:tabs>
          <w:tab w:val="center" w:pos="5400"/>
        </w:tabs>
        <w:suppressAutoHyphens/>
        <w:jc w:val="center"/>
        <w:rPr>
          <w:rFonts w:asciiTheme="majorHAnsi" w:hAnsiTheme="majorHAnsi"/>
          <w:b/>
          <w:sz w:val="20"/>
        </w:rPr>
        <w:sectPr w:rsidR="0070697F" w:rsidRPr="00707B68" w:rsidSect="00C054DF">
          <w:headerReference w:type="even" r:id="rId10"/>
          <w:headerReference w:type="default" r:id="rId11"/>
          <w:footerReference w:type="default" r:id="rId12"/>
          <w:footerReference w:type="first" r:id="rId13"/>
          <w:type w:val="oddPage"/>
          <w:pgSz w:w="12240" w:h="15840"/>
          <w:pgMar w:top="1440" w:right="1440" w:bottom="1440" w:left="1440" w:header="720" w:footer="720" w:gutter="0"/>
          <w:pgNumType w:start="0"/>
          <w:cols w:space="720"/>
          <w:titlePg/>
          <w:docGrid w:linePitch="326"/>
        </w:sectPr>
      </w:pPr>
    </w:p>
    <w:p w14:paraId="76FF5E4A" w14:textId="77777777" w:rsidR="00722C9F" w:rsidRPr="00707B68" w:rsidRDefault="00722C9F" w:rsidP="00722C9F">
      <w:pPr>
        <w:tabs>
          <w:tab w:val="center" w:pos="5400"/>
        </w:tabs>
        <w:suppressAutoHyphens/>
        <w:spacing w:line="276" w:lineRule="auto"/>
        <w:jc w:val="center"/>
        <w:rPr>
          <w:rFonts w:asciiTheme="majorHAnsi" w:hAnsiTheme="majorHAnsi"/>
          <w:b/>
          <w:sz w:val="20"/>
          <w:szCs w:val="20"/>
        </w:rPr>
      </w:pPr>
      <w:r w:rsidRPr="00707B68">
        <w:rPr>
          <w:rFonts w:asciiTheme="majorHAnsi" w:hAnsiTheme="majorHAnsi"/>
          <w:b/>
          <w:sz w:val="20"/>
          <w:szCs w:val="20"/>
        </w:rPr>
        <w:lastRenderedPageBreak/>
        <w:t>ÍNDICE</w:t>
      </w:r>
    </w:p>
    <w:p w14:paraId="3DD12EA0" w14:textId="77777777" w:rsidR="008D768D" w:rsidRPr="00707B68" w:rsidRDefault="008D768D" w:rsidP="006125C3">
      <w:pPr>
        <w:tabs>
          <w:tab w:val="center" w:pos="5400"/>
        </w:tabs>
        <w:suppressAutoHyphens/>
        <w:spacing w:line="276" w:lineRule="auto"/>
        <w:rPr>
          <w:rFonts w:asciiTheme="majorHAnsi" w:hAnsiTheme="majorHAnsi"/>
          <w:sz w:val="20"/>
          <w:szCs w:val="20"/>
        </w:rPr>
      </w:pPr>
    </w:p>
    <w:p w14:paraId="1CF67FC7" w14:textId="77777777" w:rsidR="00E909AA" w:rsidRPr="00707B68" w:rsidRDefault="00E909AA" w:rsidP="00E909AA">
      <w:pPr>
        <w:suppressAutoHyphens/>
        <w:rPr>
          <w:rFonts w:ascii="Cambria" w:hAnsi="Cambria"/>
          <w:b/>
          <w:sz w:val="20"/>
          <w:szCs w:val="20"/>
        </w:rPr>
      </w:pPr>
    </w:p>
    <w:p w14:paraId="666EDA19" w14:textId="55EDA937" w:rsidR="0077278C" w:rsidRPr="00707B68" w:rsidRDefault="0077278C" w:rsidP="0077278C">
      <w:pPr>
        <w:pStyle w:val="TOC1"/>
        <w:rPr>
          <w:rFonts w:ascii="Cambria" w:eastAsiaTheme="minorEastAsia" w:hAnsi="Cambria" w:cstheme="minorBidi"/>
          <w:noProof/>
          <w:sz w:val="20"/>
          <w:szCs w:val="20"/>
          <w:bdr w:val="none" w:sz="0" w:space="0" w:color="auto"/>
          <w:lang w:val="es-US" w:eastAsia="ja-JP"/>
        </w:rPr>
      </w:pPr>
      <w:r w:rsidRPr="00707B68">
        <w:rPr>
          <w:rFonts w:ascii="Cambria" w:hAnsi="Cambria"/>
          <w:b/>
          <w:sz w:val="20"/>
          <w:szCs w:val="20"/>
        </w:rPr>
        <w:fldChar w:fldCharType="begin"/>
      </w:r>
      <w:r w:rsidRPr="00707B68">
        <w:rPr>
          <w:rFonts w:ascii="Cambria" w:hAnsi="Cambria"/>
          <w:b/>
          <w:sz w:val="20"/>
          <w:szCs w:val="20"/>
        </w:rPr>
        <w:instrText xml:space="preserve"> TOC \o "1-2" </w:instrText>
      </w:r>
      <w:r w:rsidRPr="00707B68">
        <w:rPr>
          <w:rFonts w:ascii="Cambria" w:hAnsi="Cambria"/>
          <w:b/>
          <w:sz w:val="20"/>
          <w:szCs w:val="20"/>
        </w:rPr>
        <w:fldChar w:fldCharType="separate"/>
      </w:r>
      <w:r w:rsidRPr="00707B68">
        <w:rPr>
          <w:rFonts w:ascii="Cambria" w:hAnsi="Cambria"/>
          <w:noProof/>
          <w:sz w:val="20"/>
          <w:szCs w:val="20"/>
        </w:rPr>
        <w:t>I.</w:t>
      </w:r>
      <w:r w:rsidRPr="00707B68">
        <w:rPr>
          <w:rFonts w:ascii="Cambria" w:eastAsiaTheme="minorEastAsia" w:hAnsi="Cambria" w:cstheme="minorBidi"/>
          <w:noProof/>
          <w:sz w:val="20"/>
          <w:szCs w:val="20"/>
          <w:bdr w:val="none" w:sz="0" w:space="0" w:color="auto"/>
          <w:lang w:val="es-US" w:eastAsia="ja-JP"/>
        </w:rPr>
        <w:tab/>
      </w:r>
      <w:r w:rsidRPr="00707B68">
        <w:rPr>
          <w:rFonts w:ascii="Cambria" w:hAnsi="Cambria"/>
          <w:noProof/>
          <w:sz w:val="20"/>
          <w:szCs w:val="20"/>
        </w:rPr>
        <w:t>INTRODUCCIÓN</w:t>
      </w:r>
      <w:r w:rsidRPr="00707B68">
        <w:rPr>
          <w:rFonts w:ascii="Cambria" w:hAnsi="Cambria"/>
          <w:noProof/>
          <w:sz w:val="20"/>
          <w:szCs w:val="20"/>
        </w:rPr>
        <w:tab/>
      </w:r>
      <w:r w:rsidRPr="00707B68">
        <w:rPr>
          <w:rFonts w:ascii="Cambria" w:hAnsi="Cambria"/>
          <w:noProof/>
          <w:sz w:val="20"/>
          <w:szCs w:val="20"/>
        </w:rPr>
        <w:fldChar w:fldCharType="begin"/>
      </w:r>
      <w:r w:rsidRPr="00707B68">
        <w:rPr>
          <w:rFonts w:ascii="Cambria" w:hAnsi="Cambria"/>
          <w:noProof/>
          <w:sz w:val="20"/>
          <w:szCs w:val="20"/>
        </w:rPr>
        <w:instrText xml:space="preserve"> PAGEREF _Toc456358855 \h </w:instrText>
      </w:r>
      <w:r w:rsidRPr="00707B68">
        <w:rPr>
          <w:rFonts w:ascii="Cambria" w:hAnsi="Cambria"/>
          <w:noProof/>
          <w:sz w:val="20"/>
          <w:szCs w:val="20"/>
        </w:rPr>
      </w:r>
      <w:r w:rsidRPr="00707B68">
        <w:rPr>
          <w:rFonts w:ascii="Cambria" w:hAnsi="Cambria"/>
          <w:noProof/>
          <w:sz w:val="20"/>
          <w:szCs w:val="20"/>
        </w:rPr>
        <w:fldChar w:fldCharType="separate"/>
      </w:r>
      <w:r w:rsidR="0066762C">
        <w:rPr>
          <w:rFonts w:ascii="Cambria" w:hAnsi="Cambria"/>
          <w:noProof/>
          <w:sz w:val="20"/>
          <w:szCs w:val="20"/>
        </w:rPr>
        <w:t>2</w:t>
      </w:r>
      <w:r w:rsidRPr="00707B68">
        <w:rPr>
          <w:rFonts w:ascii="Cambria" w:hAnsi="Cambria"/>
          <w:noProof/>
          <w:sz w:val="20"/>
          <w:szCs w:val="20"/>
        </w:rPr>
        <w:fldChar w:fldCharType="end"/>
      </w:r>
    </w:p>
    <w:p w14:paraId="0F132CFE" w14:textId="77777777" w:rsidR="00B23088" w:rsidRPr="00707B68" w:rsidRDefault="00B23088" w:rsidP="0077278C">
      <w:pPr>
        <w:pStyle w:val="TOC1"/>
        <w:rPr>
          <w:rFonts w:ascii="Cambria" w:hAnsi="Cambria"/>
          <w:noProof/>
          <w:sz w:val="20"/>
          <w:szCs w:val="20"/>
        </w:rPr>
      </w:pPr>
    </w:p>
    <w:p w14:paraId="45B1D722" w14:textId="19C91D01" w:rsidR="0077278C" w:rsidRPr="00707B68" w:rsidRDefault="0077278C" w:rsidP="0077278C">
      <w:pPr>
        <w:pStyle w:val="TOC1"/>
        <w:rPr>
          <w:rFonts w:ascii="Cambria" w:eastAsiaTheme="minorEastAsia" w:hAnsi="Cambria" w:cstheme="minorBidi"/>
          <w:noProof/>
          <w:sz w:val="20"/>
          <w:szCs w:val="20"/>
          <w:bdr w:val="none" w:sz="0" w:space="0" w:color="auto"/>
          <w:lang w:val="es-US" w:eastAsia="ja-JP"/>
        </w:rPr>
      </w:pPr>
      <w:r w:rsidRPr="00707B68">
        <w:rPr>
          <w:rFonts w:ascii="Cambria" w:hAnsi="Cambria"/>
          <w:noProof/>
          <w:sz w:val="20"/>
          <w:szCs w:val="20"/>
        </w:rPr>
        <w:t>II.</w:t>
      </w:r>
      <w:r w:rsidRPr="00707B68">
        <w:rPr>
          <w:rFonts w:ascii="Cambria" w:eastAsiaTheme="minorEastAsia" w:hAnsi="Cambria" w:cstheme="minorBidi"/>
          <w:noProof/>
          <w:sz w:val="20"/>
          <w:szCs w:val="20"/>
          <w:bdr w:val="none" w:sz="0" w:space="0" w:color="auto"/>
          <w:lang w:val="es-US" w:eastAsia="ja-JP"/>
        </w:rPr>
        <w:tab/>
      </w:r>
      <w:r w:rsidRPr="00707B68">
        <w:rPr>
          <w:rFonts w:ascii="Cambria" w:hAnsi="Cambria"/>
          <w:noProof/>
          <w:sz w:val="20"/>
          <w:szCs w:val="20"/>
        </w:rPr>
        <w:t>ALEGATOS DE LAS PARTES</w:t>
      </w:r>
      <w:r w:rsidRPr="00707B68">
        <w:rPr>
          <w:rFonts w:ascii="Cambria" w:hAnsi="Cambria"/>
          <w:noProof/>
          <w:sz w:val="20"/>
          <w:szCs w:val="20"/>
        </w:rPr>
        <w:tab/>
      </w:r>
      <w:r w:rsidRPr="00707B68">
        <w:rPr>
          <w:rFonts w:ascii="Cambria" w:hAnsi="Cambria"/>
          <w:noProof/>
          <w:sz w:val="20"/>
          <w:szCs w:val="20"/>
        </w:rPr>
        <w:fldChar w:fldCharType="begin"/>
      </w:r>
      <w:r w:rsidRPr="00707B68">
        <w:rPr>
          <w:rFonts w:ascii="Cambria" w:hAnsi="Cambria"/>
          <w:noProof/>
          <w:sz w:val="20"/>
          <w:szCs w:val="20"/>
        </w:rPr>
        <w:instrText xml:space="preserve"> PAGEREF _Toc456358856 \h </w:instrText>
      </w:r>
      <w:r w:rsidRPr="00707B68">
        <w:rPr>
          <w:rFonts w:ascii="Cambria" w:hAnsi="Cambria"/>
          <w:noProof/>
          <w:sz w:val="20"/>
          <w:szCs w:val="20"/>
        </w:rPr>
      </w:r>
      <w:r w:rsidRPr="00707B68">
        <w:rPr>
          <w:rFonts w:ascii="Cambria" w:hAnsi="Cambria"/>
          <w:noProof/>
          <w:sz w:val="20"/>
          <w:szCs w:val="20"/>
        </w:rPr>
        <w:fldChar w:fldCharType="separate"/>
      </w:r>
      <w:r w:rsidR="0066762C">
        <w:rPr>
          <w:rFonts w:ascii="Cambria" w:hAnsi="Cambria"/>
          <w:noProof/>
          <w:sz w:val="20"/>
          <w:szCs w:val="20"/>
        </w:rPr>
        <w:t>2</w:t>
      </w:r>
      <w:r w:rsidRPr="00707B68">
        <w:rPr>
          <w:rFonts w:ascii="Cambria" w:hAnsi="Cambria"/>
          <w:noProof/>
          <w:sz w:val="20"/>
          <w:szCs w:val="20"/>
        </w:rPr>
        <w:fldChar w:fldCharType="end"/>
      </w:r>
    </w:p>
    <w:p w14:paraId="52971C53" w14:textId="34D732D6" w:rsidR="0077278C" w:rsidRPr="00707B68" w:rsidRDefault="0077278C" w:rsidP="0077278C">
      <w:pPr>
        <w:pStyle w:val="TOC2"/>
        <w:rPr>
          <w:rFonts w:ascii="Cambria" w:eastAsiaTheme="minorEastAsia" w:hAnsi="Cambria" w:cstheme="minorBidi"/>
          <w:noProof/>
          <w:sz w:val="20"/>
          <w:szCs w:val="20"/>
          <w:bdr w:val="none" w:sz="0" w:space="0" w:color="auto"/>
          <w:lang w:val="es-US" w:eastAsia="ja-JP"/>
        </w:rPr>
      </w:pPr>
      <w:r w:rsidRPr="00707B68">
        <w:rPr>
          <w:rFonts w:ascii="Cambria" w:hAnsi="Cambria"/>
          <w:noProof/>
          <w:sz w:val="20"/>
          <w:szCs w:val="20"/>
        </w:rPr>
        <w:t>A.</w:t>
      </w:r>
      <w:r w:rsidRPr="00707B68">
        <w:rPr>
          <w:rFonts w:ascii="Cambria" w:eastAsiaTheme="minorEastAsia" w:hAnsi="Cambria" w:cstheme="minorBidi"/>
          <w:noProof/>
          <w:sz w:val="20"/>
          <w:szCs w:val="20"/>
          <w:bdr w:val="none" w:sz="0" w:space="0" w:color="auto"/>
          <w:lang w:val="es-US" w:eastAsia="ja-JP"/>
        </w:rPr>
        <w:tab/>
      </w:r>
      <w:r w:rsidRPr="00707B68">
        <w:rPr>
          <w:rFonts w:ascii="Cambria" w:hAnsi="Cambria"/>
          <w:noProof/>
          <w:sz w:val="20"/>
          <w:szCs w:val="20"/>
        </w:rPr>
        <w:t>Parte peticionaria</w:t>
      </w:r>
      <w:r w:rsidRPr="00707B68">
        <w:rPr>
          <w:rFonts w:ascii="Cambria" w:hAnsi="Cambria"/>
          <w:noProof/>
          <w:sz w:val="20"/>
          <w:szCs w:val="20"/>
        </w:rPr>
        <w:tab/>
      </w:r>
      <w:r w:rsidRPr="00707B68">
        <w:rPr>
          <w:rFonts w:ascii="Cambria" w:hAnsi="Cambria"/>
          <w:noProof/>
          <w:sz w:val="20"/>
          <w:szCs w:val="20"/>
        </w:rPr>
        <w:fldChar w:fldCharType="begin"/>
      </w:r>
      <w:r w:rsidRPr="00707B68">
        <w:rPr>
          <w:rFonts w:ascii="Cambria" w:hAnsi="Cambria"/>
          <w:noProof/>
          <w:sz w:val="20"/>
          <w:szCs w:val="20"/>
        </w:rPr>
        <w:instrText xml:space="preserve"> PAGEREF _Toc456358857 \h </w:instrText>
      </w:r>
      <w:r w:rsidRPr="00707B68">
        <w:rPr>
          <w:rFonts w:ascii="Cambria" w:hAnsi="Cambria"/>
          <w:noProof/>
          <w:sz w:val="20"/>
          <w:szCs w:val="20"/>
        </w:rPr>
      </w:r>
      <w:r w:rsidRPr="00707B68">
        <w:rPr>
          <w:rFonts w:ascii="Cambria" w:hAnsi="Cambria"/>
          <w:noProof/>
          <w:sz w:val="20"/>
          <w:szCs w:val="20"/>
        </w:rPr>
        <w:fldChar w:fldCharType="separate"/>
      </w:r>
      <w:r w:rsidR="0066762C">
        <w:rPr>
          <w:rFonts w:ascii="Cambria" w:hAnsi="Cambria"/>
          <w:noProof/>
          <w:sz w:val="20"/>
          <w:szCs w:val="20"/>
        </w:rPr>
        <w:t>2</w:t>
      </w:r>
      <w:r w:rsidRPr="00707B68">
        <w:rPr>
          <w:rFonts w:ascii="Cambria" w:hAnsi="Cambria"/>
          <w:noProof/>
          <w:sz w:val="20"/>
          <w:szCs w:val="20"/>
        </w:rPr>
        <w:fldChar w:fldCharType="end"/>
      </w:r>
    </w:p>
    <w:p w14:paraId="0A26885A" w14:textId="4FBB2C5C" w:rsidR="0077278C" w:rsidRPr="00707B68" w:rsidRDefault="0077278C" w:rsidP="0077278C">
      <w:pPr>
        <w:pStyle w:val="TOC2"/>
        <w:rPr>
          <w:rFonts w:ascii="Cambria" w:eastAsiaTheme="minorEastAsia" w:hAnsi="Cambria" w:cstheme="minorBidi"/>
          <w:noProof/>
          <w:sz w:val="20"/>
          <w:szCs w:val="20"/>
          <w:bdr w:val="none" w:sz="0" w:space="0" w:color="auto"/>
          <w:lang w:val="es-US" w:eastAsia="ja-JP"/>
        </w:rPr>
      </w:pPr>
      <w:r w:rsidRPr="00707B68">
        <w:rPr>
          <w:rFonts w:ascii="Cambria" w:hAnsi="Cambria"/>
          <w:noProof/>
          <w:sz w:val="20"/>
          <w:szCs w:val="20"/>
        </w:rPr>
        <w:t>B.</w:t>
      </w:r>
      <w:r w:rsidRPr="00707B68">
        <w:rPr>
          <w:rFonts w:ascii="Cambria" w:eastAsiaTheme="minorEastAsia" w:hAnsi="Cambria" w:cstheme="minorBidi"/>
          <w:noProof/>
          <w:sz w:val="20"/>
          <w:szCs w:val="20"/>
          <w:bdr w:val="none" w:sz="0" w:space="0" w:color="auto"/>
          <w:lang w:val="es-US" w:eastAsia="ja-JP"/>
        </w:rPr>
        <w:tab/>
      </w:r>
      <w:r w:rsidRPr="00707B68">
        <w:rPr>
          <w:rFonts w:ascii="Cambria" w:hAnsi="Cambria"/>
          <w:noProof/>
          <w:sz w:val="20"/>
          <w:szCs w:val="20"/>
        </w:rPr>
        <w:t>Estado</w:t>
      </w:r>
      <w:r w:rsidRPr="00707B68">
        <w:rPr>
          <w:rFonts w:ascii="Cambria" w:hAnsi="Cambria"/>
          <w:noProof/>
          <w:sz w:val="20"/>
          <w:szCs w:val="20"/>
        </w:rPr>
        <w:tab/>
      </w:r>
      <w:r w:rsidRPr="00707B68">
        <w:rPr>
          <w:rFonts w:ascii="Cambria" w:hAnsi="Cambria"/>
          <w:noProof/>
          <w:sz w:val="20"/>
          <w:szCs w:val="20"/>
        </w:rPr>
        <w:fldChar w:fldCharType="begin"/>
      </w:r>
      <w:r w:rsidRPr="00707B68">
        <w:rPr>
          <w:rFonts w:ascii="Cambria" w:hAnsi="Cambria"/>
          <w:noProof/>
          <w:sz w:val="20"/>
          <w:szCs w:val="20"/>
        </w:rPr>
        <w:instrText xml:space="preserve"> PAGEREF _Toc456358858 \h </w:instrText>
      </w:r>
      <w:r w:rsidRPr="00707B68">
        <w:rPr>
          <w:rFonts w:ascii="Cambria" w:hAnsi="Cambria"/>
          <w:noProof/>
          <w:sz w:val="20"/>
          <w:szCs w:val="20"/>
        </w:rPr>
      </w:r>
      <w:r w:rsidRPr="00707B68">
        <w:rPr>
          <w:rFonts w:ascii="Cambria" w:hAnsi="Cambria"/>
          <w:noProof/>
          <w:sz w:val="20"/>
          <w:szCs w:val="20"/>
        </w:rPr>
        <w:fldChar w:fldCharType="separate"/>
      </w:r>
      <w:r w:rsidR="0066762C">
        <w:rPr>
          <w:rFonts w:ascii="Cambria" w:hAnsi="Cambria"/>
          <w:noProof/>
          <w:sz w:val="20"/>
          <w:szCs w:val="20"/>
        </w:rPr>
        <w:t>3</w:t>
      </w:r>
      <w:r w:rsidRPr="00707B68">
        <w:rPr>
          <w:rFonts w:ascii="Cambria" w:hAnsi="Cambria"/>
          <w:noProof/>
          <w:sz w:val="20"/>
          <w:szCs w:val="20"/>
        </w:rPr>
        <w:fldChar w:fldCharType="end"/>
      </w:r>
    </w:p>
    <w:p w14:paraId="6DB1CA03" w14:textId="77777777" w:rsidR="00B23088" w:rsidRPr="00707B68" w:rsidRDefault="00B23088" w:rsidP="0077278C">
      <w:pPr>
        <w:pStyle w:val="TOC1"/>
        <w:rPr>
          <w:rFonts w:ascii="Cambria" w:hAnsi="Cambria"/>
          <w:noProof/>
          <w:sz w:val="20"/>
          <w:szCs w:val="20"/>
        </w:rPr>
      </w:pPr>
    </w:p>
    <w:p w14:paraId="0349A344" w14:textId="08E596CC" w:rsidR="0077278C" w:rsidRPr="00707B68" w:rsidRDefault="0077278C" w:rsidP="0077278C">
      <w:pPr>
        <w:pStyle w:val="TOC1"/>
        <w:rPr>
          <w:rFonts w:ascii="Cambria" w:eastAsiaTheme="minorEastAsia" w:hAnsi="Cambria" w:cstheme="minorBidi"/>
          <w:noProof/>
          <w:sz w:val="20"/>
          <w:szCs w:val="20"/>
          <w:bdr w:val="none" w:sz="0" w:space="0" w:color="auto"/>
          <w:lang w:val="es-US" w:eastAsia="ja-JP"/>
        </w:rPr>
      </w:pPr>
      <w:r w:rsidRPr="00707B68">
        <w:rPr>
          <w:rFonts w:ascii="Cambria" w:hAnsi="Cambria"/>
          <w:noProof/>
          <w:sz w:val="20"/>
          <w:szCs w:val="20"/>
        </w:rPr>
        <w:t>III.</w:t>
      </w:r>
      <w:r w:rsidRPr="00707B68">
        <w:rPr>
          <w:rFonts w:ascii="Cambria" w:eastAsiaTheme="minorEastAsia" w:hAnsi="Cambria" w:cstheme="minorBidi"/>
          <w:noProof/>
          <w:sz w:val="20"/>
          <w:szCs w:val="20"/>
          <w:bdr w:val="none" w:sz="0" w:space="0" w:color="auto"/>
          <w:lang w:val="es-US" w:eastAsia="ja-JP"/>
        </w:rPr>
        <w:tab/>
      </w:r>
      <w:r w:rsidRPr="00707B68">
        <w:rPr>
          <w:rFonts w:ascii="Cambria" w:hAnsi="Cambria"/>
          <w:noProof/>
          <w:sz w:val="20"/>
          <w:szCs w:val="20"/>
        </w:rPr>
        <w:t>DETERMINACIONES DE HECHO</w:t>
      </w:r>
      <w:r w:rsidRPr="00707B68">
        <w:rPr>
          <w:rFonts w:ascii="Cambria" w:hAnsi="Cambria"/>
          <w:noProof/>
          <w:sz w:val="20"/>
          <w:szCs w:val="20"/>
        </w:rPr>
        <w:tab/>
      </w:r>
      <w:r w:rsidRPr="00707B68">
        <w:rPr>
          <w:rFonts w:ascii="Cambria" w:hAnsi="Cambria"/>
          <w:noProof/>
          <w:sz w:val="20"/>
          <w:szCs w:val="20"/>
        </w:rPr>
        <w:fldChar w:fldCharType="begin"/>
      </w:r>
      <w:r w:rsidRPr="00707B68">
        <w:rPr>
          <w:rFonts w:ascii="Cambria" w:hAnsi="Cambria"/>
          <w:noProof/>
          <w:sz w:val="20"/>
          <w:szCs w:val="20"/>
        </w:rPr>
        <w:instrText xml:space="preserve"> PAGEREF _Toc456358859 \h </w:instrText>
      </w:r>
      <w:r w:rsidRPr="00707B68">
        <w:rPr>
          <w:rFonts w:ascii="Cambria" w:hAnsi="Cambria"/>
          <w:noProof/>
          <w:sz w:val="20"/>
          <w:szCs w:val="20"/>
        </w:rPr>
      </w:r>
      <w:r w:rsidRPr="00707B68">
        <w:rPr>
          <w:rFonts w:ascii="Cambria" w:hAnsi="Cambria"/>
          <w:noProof/>
          <w:sz w:val="20"/>
          <w:szCs w:val="20"/>
        </w:rPr>
        <w:fldChar w:fldCharType="separate"/>
      </w:r>
      <w:r w:rsidR="0066762C">
        <w:rPr>
          <w:rFonts w:ascii="Cambria" w:hAnsi="Cambria"/>
          <w:noProof/>
          <w:sz w:val="20"/>
          <w:szCs w:val="20"/>
        </w:rPr>
        <w:t>4</w:t>
      </w:r>
      <w:r w:rsidRPr="00707B68">
        <w:rPr>
          <w:rFonts w:ascii="Cambria" w:hAnsi="Cambria"/>
          <w:noProof/>
          <w:sz w:val="20"/>
          <w:szCs w:val="20"/>
        </w:rPr>
        <w:fldChar w:fldCharType="end"/>
      </w:r>
    </w:p>
    <w:p w14:paraId="3B090E84" w14:textId="49B01EF8" w:rsidR="0077278C" w:rsidRPr="00707B68" w:rsidRDefault="0077278C" w:rsidP="0077278C">
      <w:pPr>
        <w:pStyle w:val="TOC2"/>
        <w:rPr>
          <w:rFonts w:ascii="Cambria" w:eastAsiaTheme="minorEastAsia" w:hAnsi="Cambria" w:cstheme="minorBidi"/>
          <w:noProof/>
          <w:sz w:val="20"/>
          <w:szCs w:val="20"/>
          <w:bdr w:val="none" w:sz="0" w:space="0" w:color="auto"/>
          <w:lang w:val="es-US" w:eastAsia="ja-JP"/>
        </w:rPr>
      </w:pPr>
      <w:r w:rsidRPr="00707B68">
        <w:rPr>
          <w:rFonts w:ascii="Cambria" w:hAnsi="Cambria"/>
          <w:noProof/>
          <w:sz w:val="20"/>
          <w:szCs w:val="20"/>
        </w:rPr>
        <w:t>A.</w:t>
      </w:r>
      <w:r w:rsidRPr="00707B68">
        <w:rPr>
          <w:rFonts w:ascii="Cambria" w:eastAsiaTheme="minorEastAsia" w:hAnsi="Cambria" w:cstheme="minorBidi"/>
          <w:noProof/>
          <w:sz w:val="20"/>
          <w:szCs w:val="20"/>
          <w:bdr w:val="none" w:sz="0" w:space="0" w:color="auto"/>
          <w:lang w:val="es-US" w:eastAsia="ja-JP"/>
        </w:rPr>
        <w:tab/>
      </w:r>
      <w:r w:rsidRPr="00707B68">
        <w:rPr>
          <w:rFonts w:ascii="Cambria" w:hAnsi="Cambria"/>
          <w:noProof/>
          <w:sz w:val="20"/>
          <w:szCs w:val="20"/>
        </w:rPr>
        <w:t>Contexto</w:t>
      </w:r>
      <w:r w:rsidRPr="00707B68">
        <w:rPr>
          <w:rFonts w:ascii="Cambria" w:hAnsi="Cambria"/>
          <w:noProof/>
          <w:sz w:val="20"/>
          <w:szCs w:val="20"/>
        </w:rPr>
        <w:tab/>
      </w:r>
      <w:r w:rsidRPr="00707B68">
        <w:rPr>
          <w:rFonts w:ascii="Cambria" w:hAnsi="Cambria"/>
          <w:noProof/>
          <w:sz w:val="20"/>
          <w:szCs w:val="20"/>
        </w:rPr>
        <w:fldChar w:fldCharType="begin"/>
      </w:r>
      <w:r w:rsidRPr="00707B68">
        <w:rPr>
          <w:rFonts w:ascii="Cambria" w:hAnsi="Cambria"/>
          <w:noProof/>
          <w:sz w:val="20"/>
          <w:szCs w:val="20"/>
        </w:rPr>
        <w:instrText xml:space="preserve"> PAGEREF _Toc456358860 \h </w:instrText>
      </w:r>
      <w:r w:rsidRPr="00707B68">
        <w:rPr>
          <w:rFonts w:ascii="Cambria" w:hAnsi="Cambria"/>
          <w:noProof/>
          <w:sz w:val="20"/>
          <w:szCs w:val="20"/>
        </w:rPr>
      </w:r>
      <w:r w:rsidRPr="00707B68">
        <w:rPr>
          <w:rFonts w:ascii="Cambria" w:hAnsi="Cambria"/>
          <w:noProof/>
          <w:sz w:val="20"/>
          <w:szCs w:val="20"/>
        </w:rPr>
        <w:fldChar w:fldCharType="separate"/>
      </w:r>
      <w:r w:rsidR="0066762C">
        <w:rPr>
          <w:rFonts w:ascii="Cambria" w:hAnsi="Cambria"/>
          <w:noProof/>
          <w:sz w:val="20"/>
          <w:szCs w:val="20"/>
        </w:rPr>
        <w:t>4</w:t>
      </w:r>
      <w:r w:rsidRPr="00707B68">
        <w:rPr>
          <w:rFonts w:ascii="Cambria" w:hAnsi="Cambria"/>
          <w:noProof/>
          <w:sz w:val="20"/>
          <w:szCs w:val="20"/>
        </w:rPr>
        <w:fldChar w:fldCharType="end"/>
      </w:r>
    </w:p>
    <w:p w14:paraId="657EBB3D" w14:textId="2CB9C1CF" w:rsidR="0077278C" w:rsidRPr="00707B68" w:rsidRDefault="0077278C" w:rsidP="0077278C">
      <w:pPr>
        <w:pStyle w:val="TOC2"/>
        <w:rPr>
          <w:rFonts w:ascii="Cambria" w:eastAsiaTheme="minorEastAsia" w:hAnsi="Cambria" w:cstheme="minorBidi"/>
          <w:noProof/>
          <w:sz w:val="20"/>
          <w:szCs w:val="20"/>
          <w:bdr w:val="none" w:sz="0" w:space="0" w:color="auto"/>
          <w:lang w:val="es-US" w:eastAsia="ja-JP"/>
        </w:rPr>
      </w:pPr>
      <w:r w:rsidRPr="00707B68">
        <w:rPr>
          <w:rFonts w:ascii="Cambria" w:hAnsi="Cambria"/>
          <w:noProof/>
          <w:sz w:val="20"/>
          <w:szCs w:val="20"/>
        </w:rPr>
        <w:t>B.</w:t>
      </w:r>
      <w:r w:rsidRPr="00707B68">
        <w:rPr>
          <w:rFonts w:ascii="Cambria" w:eastAsiaTheme="minorEastAsia" w:hAnsi="Cambria" w:cstheme="minorBidi"/>
          <w:noProof/>
          <w:sz w:val="20"/>
          <w:szCs w:val="20"/>
          <w:bdr w:val="none" w:sz="0" w:space="0" w:color="auto"/>
          <w:lang w:val="es-US" w:eastAsia="ja-JP"/>
        </w:rPr>
        <w:tab/>
      </w:r>
      <w:r w:rsidRPr="00707B68">
        <w:rPr>
          <w:rFonts w:ascii="Cambria" w:hAnsi="Cambria"/>
          <w:noProof/>
          <w:sz w:val="20"/>
          <w:szCs w:val="20"/>
        </w:rPr>
        <w:t>Información disponible sobre el señor Zapata y sus familiares</w:t>
      </w:r>
      <w:r w:rsidRPr="00707B68">
        <w:rPr>
          <w:rFonts w:ascii="Cambria" w:hAnsi="Cambria"/>
          <w:noProof/>
          <w:sz w:val="20"/>
          <w:szCs w:val="20"/>
        </w:rPr>
        <w:tab/>
      </w:r>
      <w:r w:rsidRPr="00707B68">
        <w:rPr>
          <w:rFonts w:ascii="Cambria" w:hAnsi="Cambria"/>
          <w:noProof/>
          <w:sz w:val="20"/>
          <w:szCs w:val="20"/>
        </w:rPr>
        <w:fldChar w:fldCharType="begin"/>
      </w:r>
      <w:r w:rsidRPr="00707B68">
        <w:rPr>
          <w:rFonts w:ascii="Cambria" w:hAnsi="Cambria"/>
          <w:noProof/>
          <w:sz w:val="20"/>
          <w:szCs w:val="20"/>
        </w:rPr>
        <w:instrText xml:space="preserve"> PAGEREF _Toc456358861 \h </w:instrText>
      </w:r>
      <w:r w:rsidRPr="00707B68">
        <w:rPr>
          <w:rFonts w:ascii="Cambria" w:hAnsi="Cambria"/>
          <w:noProof/>
          <w:sz w:val="20"/>
          <w:szCs w:val="20"/>
        </w:rPr>
      </w:r>
      <w:r w:rsidRPr="00707B68">
        <w:rPr>
          <w:rFonts w:ascii="Cambria" w:hAnsi="Cambria"/>
          <w:noProof/>
          <w:sz w:val="20"/>
          <w:szCs w:val="20"/>
        </w:rPr>
        <w:fldChar w:fldCharType="separate"/>
      </w:r>
      <w:r w:rsidR="0066762C">
        <w:rPr>
          <w:rFonts w:ascii="Cambria" w:hAnsi="Cambria"/>
          <w:noProof/>
          <w:sz w:val="20"/>
          <w:szCs w:val="20"/>
        </w:rPr>
        <w:t>7</w:t>
      </w:r>
      <w:r w:rsidRPr="00707B68">
        <w:rPr>
          <w:rFonts w:ascii="Cambria" w:hAnsi="Cambria"/>
          <w:noProof/>
          <w:sz w:val="20"/>
          <w:szCs w:val="20"/>
        </w:rPr>
        <w:fldChar w:fldCharType="end"/>
      </w:r>
    </w:p>
    <w:p w14:paraId="49E20979" w14:textId="392F4E31" w:rsidR="0077278C" w:rsidRPr="00707B68" w:rsidRDefault="0077278C" w:rsidP="0077278C">
      <w:pPr>
        <w:pStyle w:val="TOC2"/>
        <w:rPr>
          <w:rFonts w:ascii="Cambria" w:eastAsiaTheme="minorEastAsia" w:hAnsi="Cambria" w:cstheme="minorBidi"/>
          <w:noProof/>
          <w:sz w:val="20"/>
          <w:szCs w:val="20"/>
          <w:bdr w:val="none" w:sz="0" w:space="0" w:color="auto"/>
          <w:lang w:val="es-US" w:eastAsia="ja-JP"/>
        </w:rPr>
      </w:pPr>
      <w:r w:rsidRPr="00707B68">
        <w:rPr>
          <w:rFonts w:ascii="Cambria" w:hAnsi="Cambria"/>
          <w:noProof/>
          <w:sz w:val="20"/>
          <w:szCs w:val="20"/>
        </w:rPr>
        <w:t>C.</w:t>
      </w:r>
      <w:r w:rsidRPr="00707B68">
        <w:rPr>
          <w:rFonts w:ascii="Cambria" w:eastAsiaTheme="minorEastAsia" w:hAnsi="Cambria" w:cstheme="minorBidi"/>
          <w:noProof/>
          <w:sz w:val="20"/>
          <w:szCs w:val="20"/>
          <w:bdr w:val="none" w:sz="0" w:space="0" w:color="auto"/>
          <w:lang w:val="es-US" w:eastAsia="ja-JP"/>
        </w:rPr>
        <w:tab/>
      </w:r>
      <w:r w:rsidRPr="00707B68">
        <w:rPr>
          <w:rFonts w:ascii="Cambria" w:hAnsi="Cambria"/>
          <w:noProof/>
          <w:sz w:val="20"/>
          <w:szCs w:val="20"/>
        </w:rPr>
        <w:t>Hechos del caso</w:t>
      </w:r>
      <w:r w:rsidRPr="00707B68">
        <w:rPr>
          <w:rFonts w:ascii="Cambria" w:hAnsi="Cambria"/>
          <w:noProof/>
          <w:sz w:val="20"/>
          <w:szCs w:val="20"/>
        </w:rPr>
        <w:tab/>
      </w:r>
      <w:r w:rsidRPr="00707B68">
        <w:rPr>
          <w:rFonts w:ascii="Cambria" w:hAnsi="Cambria"/>
          <w:noProof/>
          <w:sz w:val="20"/>
          <w:szCs w:val="20"/>
        </w:rPr>
        <w:fldChar w:fldCharType="begin"/>
      </w:r>
      <w:r w:rsidRPr="00707B68">
        <w:rPr>
          <w:rFonts w:ascii="Cambria" w:hAnsi="Cambria"/>
          <w:noProof/>
          <w:sz w:val="20"/>
          <w:szCs w:val="20"/>
        </w:rPr>
        <w:instrText xml:space="preserve"> PAGEREF _Toc456358862 \h </w:instrText>
      </w:r>
      <w:r w:rsidRPr="00707B68">
        <w:rPr>
          <w:rFonts w:ascii="Cambria" w:hAnsi="Cambria"/>
          <w:noProof/>
          <w:sz w:val="20"/>
          <w:szCs w:val="20"/>
        </w:rPr>
      </w:r>
      <w:r w:rsidRPr="00707B68">
        <w:rPr>
          <w:rFonts w:ascii="Cambria" w:hAnsi="Cambria"/>
          <w:noProof/>
          <w:sz w:val="20"/>
          <w:szCs w:val="20"/>
        </w:rPr>
        <w:fldChar w:fldCharType="separate"/>
      </w:r>
      <w:r w:rsidR="0066762C">
        <w:rPr>
          <w:rFonts w:ascii="Cambria" w:hAnsi="Cambria"/>
          <w:noProof/>
          <w:sz w:val="20"/>
          <w:szCs w:val="20"/>
        </w:rPr>
        <w:t>7</w:t>
      </w:r>
      <w:r w:rsidRPr="00707B68">
        <w:rPr>
          <w:rFonts w:ascii="Cambria" w:hAnsi="Cambria"/>
          <w:noProof/>
          <w:sz w:val="20"/>
          <w:szCs w:val="20"/>
        </w:rPr>
        <w:fldChar w:fldCharType="end"/>
      </w:r>
    </w:p>
    <w:p w14:paraId="589FC8B4" w14:textId="77777777" w:rsidR="00B23088" w:rsidRPr="00707B68" w:rsidRDefault="00B23088" w:rsidP="0077278C">
      <w:pPr>
        <w:pStyle w:val="TOC1"/>
        <w:rPr>
          <w:rFonts w:ascii="Cambria" w:hAnsi="Cambria"/>
          <w:noProof/>
          <w:sz w:val="20"/>
          <w:szCs w:val="20"/>
        </w:rPr>
      </w:pPr>
    </w:p>
    <w:p w14:paraId="7F923986" w14:textId="73258B26" w:rsidR="0077278C" w:rsidRPr="00707B68" w:rsidRDefault="0077278C" w:rsidP="0077278C">
      <w:pPr>
        <w:pStyle w:val="TOC1"/>
        <w:rPr>
          <w:rFonts w:ascii="Cambria" w:eastAsiaTheme="minorEastAsia" w:hAnsi="Cambria" w:cstheme="minorBidi"/>
          <w:noProof/>
          <w:sz w:val="20"/>
          <w:szCs w:val="20"/>
          <w:bdr w:val="none" w:sz="0" w:space="0" w:color="auto"/>
          <w:lang w:val="es-US" w:eastAsia="ja-JP"/>
        </w:rPr>
      </w:pPr>
      <w:r w:rsidRPr="00707B68">
        <w:rPr>
          <w:rFonts w:ascii="Cambria" w:hAnsi="Cambria"/>
          <w:noProof/>
          <w:sz w:val="20"/>
          <w:szCs w:val="20"/>
        </w:rPr>
        <w:t>IV.</w:t>
      </w:r>
      <w:r w:rsidRPr="00707B68">
        <w:rPr>
          <w:rFonts w:ascii="Cambria" w:eastAsiaTheme="minorEastAsia" w:hAnsi="Cambria" w:cstheme="minorBidi"/>
          <w:noProof/>
          <w:sz w:val="20"/>
          <w:szCs w:val="20"/>
          <w:bdr w:val="none" w:sz="0" w:space="0" w:color="auto"/>
          <w:lang w:val="es-US" w:eastAsia="ja-JP"/>
        </w:rPr>
        <w:tab/>
      </w:r>
      <w:r w:rsidRPr="00707B68">
        <w:rPr>
          <w:rFonts w:ascii="Cambria" w:hAnsi="Cambria"/>
          <w:noProof/>
          <w:sz w:val="20"/>
          <w:szCs w:val="20"/>
        </w:rPr>
        <w:t>ANÁLISIS DE DERECHO</w:t>
      </w:r>
      <w:r w:rsidRPr="00707B68">
        <w:rPr>
          <w:rFonts w:ascii="Cambria" w:hAnsi="Cambria"/>
          <w:noProof/>
          <w:sz w:val="20"/>
          <w:szCs w:val="20"/>
        </w:rPr>
        <w:tab/>
      </w:r>
      <w:r w:rsidRPr="00707B68">
        <w:rPr>
          <w:rFonts w:ascii="Cambria" w:hAnsi="Cambria"/>
          <w:noProof/>
          <w:sz w:val="20"/>
          <w:szCs w:val="20"/>
        </w:rPr>
        <w:fldChar w:fldCharType="begin"/>
      </w:r>
      <w:r w:rsidRPr="00707B68">
        <w:rPr>
          <w:rFonts w:ascii="Cambria" w:hAnsi="Cambria"/>
          <w:noProof/>
          <w:sz w:val="20"/>
          <w:szCs w:val="20"/>
        </w:rPr>
        <w:instrText xml:space="preserve"> PAGEREF _Toc456358863 \h </w:instrText>
      </w:r>
      <w:r w:rsidRPr="00707B68">
        <w:rPr>
          <w:rFonts w:ascii="Cambria" w:hAnsi="Cambria"/>
          <w:noProof/>
          <w:sz w:val="20"/>
          <w:szCs w:val="20"/>
        </w:rPr>
      </w:r>
      <w:r w:rsidRPr="00707B68">
        <w:rPr>
          <w:rFonts w:ascii="Cambria" w:hAnsi="Cambria"/>
          <w:noProof/>
          <w:sz w:val="20"/>
          <w:szCs w:val="20"/>
        </w:rPr>
        <w:fldChar w:fldCharType="separate"/>
      </w:r>
      <w:r w:rsidR="0066762C">
        <w:rPr>
          <w:rFonts w:ascii="Cambria" w:hAnsi="Cambria"/>
          <w:noProof/>
          <w:sz w:val="20"/>
          <w:szCs w:val="20"/>
        </w:rPr>
        <w:t>17</w:t>
      </w:r>
      <w:r w:rsidRPr="00707B68">
        <w:rPr>
          <w:rFonts w:ascii="Cambria" w:hAnsi="Cambria"/>
          <w:noProof/>
          <w:sz w:val="20"/>
          <w:szCs w:val="20"/>
        </w:rPr>
        <w:fldChar w:fldCharType="end"/>
      </w:r>
    </w:p>
    <w:p w14:paraId="27B5D054" w14:textId="0885D7B5" w:rsidR="0077278C" w:rsidRPr="00707B68" w:rsidRDefault="0077278C" w:rsidP="0077278C">
      <w:pPr>
        <w:pStyle w:val="TOC2"/>
        <w:rPr>
          <w:rFonts w:ascii="Cambria" w:eastAsiaTheme="minorEastAsia" w:hAnsi="Cambria" w:cstheme="minorBidi"/>
          <w:noProof/>
          <w:sz w:val="20"/>
          <w:szCs w:val="20"/>
          <w:bdr w:val="none" w:sz="0" w:space="0" w:color="auto"/>
          <w:lang w:val="es-US" w:eastAsia="ja-JP"/>
        </w:rPr>
      </w:pPr>
      <w:r w:rsidRPr="00707B68">
        <w:rPr>
          <w:rFonts w:ascii="Cambria" w:hAnsi="Cambria"/>
          <w:noProof/>
          <w:sz w:val="20"/>
          <w:szCs w:val="20"/>
        </w:rPr>
        <w:t>A.</w:t>
      </w:r>
      <w:r w:rsidRPr="00707B68">
        <w:rPr>
          <w:rFonts w:ascii="Cambria" w:eastAsiaTheme="minorEastAsia" w:hAnsi="Cambria" w:cstheme="minorBidi"/>
          <w:noProof/>
          <w:sz w:val="20"/>
          <w:szCs w:val="20"/>
          <w:bdr w:val="none" w:sz="0" w:space="0" w:color="auto"/>
          <w:lang w:val="es-US" w:eastAsia="ja-JP"/>
        </w:rPr>
        <w:tab/>
      </w:r>
      <w:r w:rsidRPr="00707B68">
        <w:rPr>
          <w:rFonts w:ascii="Cambria" w:hAnsi="Cambria"/>
          <w:noProof/>
          <w:sz w:val="20"/>
          <w:szCs w:val="20"/>
        </w:rPr>
        <w:t>Derecho a la vida (artículo 4 de la Convención Americana en relación con el artículo 1.1 del mismo instrumento)</w:t>
      </w:r>
      <w:r w:rsidRPr="00707B68">
        <w:rPr>
          <w:rFonts w:ascii="Cambria" w:hAnsi="Cambria"/>
          <w:noProof/>
          <w:sz w:val="20"/>
          <w:szCs w:val="20"/>
        </w:rPr>
        <w:tab/>
      </w:r>
      <w:r w:rsidRPr="00707B68">
        <w:rPr>
          <w:rFonts w:ascii="Cambria" w:hAnsi="Cambria"/>
          <w:noProof/>
          <w:sz w:val="20"/>
          <w:szCs w:val="20"/>
        </w:rPr>
        <w:fldChar w:fldCharType="begin"/>
      </w:r>
      <w:r w:rsidRPr="00707B68">
        <w:rPr>
          <w:rFonts w:ascii="Cambria" w:hAnsi="Cambria"/>
          <w:noProof/>
          <w:sz w:val="20"/>
          <w:szCs w:val="20"/>
        </w:rPr>
        <w:instrText xml:space="preserve"> PAGEREF _Toc456358864 \h </w:instrText>
      </w:r>
      <w:r w:rsidRPr="00707B68">
        <w:rPr>
          <w:rFonts w:ascii="Cambria" w:hAnsi="Cambria"/>
          <w:noProof/>
          <w:sz w:val="20"/>
          <w:szCs w:val="20"/>
        </w:rPr>
      </w:r>
      <w:r w:rsidRPr="00707B68">
        <w:rPr>
          <w:rFonts w:ascii="Cambria" w:hAnsi="Cambria"/>
          <w:noProof/>
          <w:sz w:val="20"/>
          <w:szCs w:val="20"/>
        </w:rPr>
        <w:fldChar w:fldCharType="separate"/>
      </w:r>
      <w:r w:rsidR="0066762C">
        <w:rPr>
          <w:rFonts w:ascii="Cambria" w:hAnsi="Cambria"/>
          <w:noProof/>
          <w:sz w:val="20"/>
          <w:szCs w:val="20"/>
        </w:rPr>
        <w:t>17</w:t>
      </w:r>
      <w:r w:rsidRPr="00707B68">
        <w:rPr>
          <w:rFonts w:ascii="Cambria" w:hAnsi="Cambria"/>
          <w:noProof/>
          <w:sz w:val="20"/>
          <w:szCs w:val="20"/>
        </w:rPr>
        <w:fldChar w:fldCharType="end"/>
      </w:r>
    </w:p>
    <w:p w14:paraId="0505E9BB" w14:textId="4B291C2D" w:rsidR="0077278C" w:rsidRPr="00707B68" w:rsidRDefault="0077278C" w:rsidP="008D04F1">
      <w:pPr>
        <w:pStyle w:val="TOC2"/>
        <w:jc w:val="both"/>
        <w:rPr>
          <w:rFonts w:ascii="Cambria" w:eastAsiaTheme="minorEastAsia" w:hAnsi="Cambria" w:cstheme="minorBidi"/>
          <w:noProof/>
          <w:sz w:val="20"/>
          <w:szCs w:val="20"/>
          <w:bdr w:val="none" w:sz="0" w:space="0" w:color="auto"/>
          <w:lang w:val="es-US" w:eastAsia="ja-JP"/>
        </w:rPr>
      </w:pPr>
      <w:r w:rsidRPr="00707B68">
        <w:rPr>
          <w:rFonts w:ascii="Cambria" w:hAnsi="Cambria"/>
          <w:noProof/>
          <w:sz w:val="20"/>
          <w:szCs w:val="20"/>
        </w:rPr>
        <w:t>B.</w:t>
      </w:r>
      <w:r w:rsidRPr="00707B68">
        <w:rPr>
          <w:rFonts w:ascii="Cambria" w:eastAsiaTheme="minorEastAsia" w:hAnsi="Cambria" w:cstheme="minorBidi"/>
          <w:noProof/>
          <w:sz w:val="20"/>
          <w:szCs w:val="20"/>
          <w:bdr w:val="none" w:sz="0" w:space="0" w:color="auto"/>
          <w:lang w:val="es-US" w:eastAsia="ja-JP"/>
        </w:rPr>
        <w:tab/>
      </w:r>
      <w:r w:rsidRPr="00707B68">
        <w:rPr>
          <w:rFonts w:ascii="Cambria" w:hAnsi="Cambria"/>
          <w:noProof/>
          <w:sz w:val="20"/>
          <w:szCs w:val="20"/>
        </w:rPr>
        <w:t>Derechos a la integridad</w:t>
      </w:r>
      <w:r w:rsidR="008D04F1" w:rsidRPr="00707B68">
        <w:rPr>
          <w:rFonts w:ascii="Cambria" w:hAnsi="Cambria"/>
          <w:noProof/>
          <w:sz w:val="20"/>
          <w:szCs w:val="20"/>
        </w:rPr>
        <w:t xml:space="preserve"> personal</w:t>
      </w:r>
      <w:r w:rsidRPr="00707B68">
        <w:rPr>
          <w:rFonts w:ascii="Cambria" w:hAnsi="Cambria"/>
          <w:noProof/>
          <w:sz w:val="20"/>
          <w:szCs w:val="20"/>
        </w:rPr>
        <w:t>, honra y dignidad, libertad de expresión, asociación</w:t>
      </w:r>
      <w:r w:rsidR="008D04F1" w:rsidRPr="00707B68">
        <w:rPr>
          <w:rFonts w:ascii="Cambria" w:hAnsi="Cambria"/>
          <w:noProof/>
          <w:sz w:val="20"/>
          <w:szCs w:val="20"/>
        </w:rPr>
        <w:t>,</w:t>
      </w:r>
      <w:r w:rsidRPr="00707B68">
        <w:rPr>
          <w:rFonts w:ascii="Cambria" w:hAnsi="Cambria"/>
          <w:noProof/>
          <w:sz w:val="20"/>
          <w:szCs w:val="20"/>
        </w:rPr>
        <w:t xml:space="preserve"> y circulación y residencia (artículos 5.1, 11.1, </w:t>
      </w:r>
      <w:r w:rsidRPr="00707B68">
        <w:rPr>
          <w:rFonts w:ascii="Cambria" w:hAnsi="Cambria"/>
          <w:noProof/>
          <w:sz w:val="20"/>
          <w:szCs w:val="20"/>
          <w:lang w:val="es-ES"/>
        </w:rPr>
        <w:t xml:space="preserve">13.1, 16.1 </w:t>
      </w:r>
      <w:r w:rsidRPr="00707B68">
        <w:rPr>
          <w:rFonts w:ascii="Cambria" w:hAnsi="Cambria"/>
          <w:noProof/>
          <w:sz w:val="20"/>
          <w:szCs w:val="20"/>
        </w:rPr>
        <w:t>y 22.1 de la Convención Americana en relación con el artículo 1.1 del mismo instrumento)</w:t>
      </w:r>
      <w:r w:rsidRPr="00707B68">
        <w:rPr>
          <w:rFonts w:ascii="Cambria" w:hAnsi="Cambria"/>
          <w:noProof/>
          <w:sz w:val="20"/>
          <w:szCs w:val="20"/>
        </w:rPr>
        <w:tab/>
      </w:r>
      <w:r w:rsidRPr="00707B68">
        <w:rPr>
          <w:rFonts w:ascii="Cambria" w:hAnsi="Cambria"/>
          <w:noProof/>
          <w:sz w:val="20"/>
          <w:szCs w:val="20"/>
        </w:rPr>
        <w:fldChar w:fldCharType="begin"/>
      </w:r>
      <w:r w:rsidRPr="00707B68">
        <w:rPr>
          <w:rFonts w:ascii="Cambria" w:hAnsi="Cambria"/>
          <w:noProof/>
          <w:sz w:val="20"/>
          <w:szCs w:val="20"/>
        </w:rPr>
        <w:instrText xml:space="preserve"> PAGEREF _Toc456358865 \h </w:instrText>
      </w:r>
      <w:r w:rsidRPr="00707B68">
        <w:rPr>
          <w:rFonts w:ascii="Cambria" w:hAnsi="Cambria"/>
          <w:noProof/>
          <w:sz w:val="20"/>
          <w:szCs w:val="20"/>
        </w:rPr>
      </w:r>
      <w:r w:rsidRPr="00707B68">
        <w:rPr>
          <w:rFonts w:ascii="Cambria" w:hAnsi="Cambria"/>
          <w:noProof/>
          <w:sz w:val="20"/>
          <w:szCs w:val="20"/>
        </w:rPr>
        <w:fldChar w:fldCharType="separate"/>
      </w:r>
      <w:r w:rsidR="0066762C">
        <w:rPr>
          <w:rFonts w:ascii="Cambria" w:hAnsi="Cambria"/>
          <w:noProof/>
          <w:sz w:val="20"/>
          <w:szCs w:val="20"/>
        </w:rPr>
        <w:t>21</w:t>
      </w:r>
      <w:r w:rsidRPr="00707B68">
        <w:rPr>
          <w:rFonts w:ascii="Cambria" w:hAnsi="Cambria"/>
          <w:noProof/>
          <w:sz w:val="20"/>
          <w:szCs w:val="20"/>
        </w:rPr>
        <w:fldChar w:fldCharType="end"/>
      </w:r>
    </w:p>
    <w:p w14:paraId="4EE45BC9" w14:textId="1D06CC5E" w:rsidR="0077278C" w:rsidRPr="00707B68" w:rsidRDefault="0077278C" w:rsidP="0077278C">
      <w:pPr>
        <w:pStyle w:val="TOC2"/>
        <w:rPr>
          <w:rFonts w:ascii="Cambria" w:eastAsiaTheme="minorEastAsia" w:hAnsi="Cambria" w:cstheme="minorBidi"/>
          <w:noProof/>
          <w:sz w:val="20"/>
          <w:szCs w:val="20"/>
          <w:bdr w:val="none" w:sz="0" w:space="0" w:color="auto"/>
          <w:lang w:val="es-US" w:eastAsia="ja-JP"/>
        </w:rPr>
      </w:pPr>
      <w:r w:rsidRPr="00707B68">
        <w:rPr>
          <w:rFonts w:ascii="Cambria" w:hAnsi="Cambria"/>
          <w:noProof/>
          <w:sz w:val="20"/>
          <w:szCs w:val="20"/>
          <w:lang w:val="es-ES"/>
        </w:rPr>
        <w:t>C.</w:t>
      </w:r>
      <w:r w:rsidRPr="00707B68">
        <w:rPr>
          <w:rFonts w:ascii="Cambria" w:eastAsiaTheme="minorEastAsia" w:hAnsi="Cambria" w:cstheme="minorBidi"/>
          <w:noProof/>
          <w:sz w:val="20"/>
          <w:szCs w:val="20"/>
          <w:bdr w:val="none" w:sz="0" w:space="0" w:color="auto"/>
          <w:lang w:val="es-US" w:eastAsia="ja-JP"/>
        </w:rPr>
        <w:tab/>
      </w:r>
      <w:r w:rsidRPr="00707B68">
        <w:rPr>
          <w:rFonts w:ascii="Cambria" w:hAnsi="Cambria"/>
          <w:noProof/>
          <w:sz w:val="20"/>
          <w:szCs w:val="20"/>
          <w:lang w:val="es-ES"/>
        </w:rPr>
        <w:t>Derecho a las garantías judiciales y la protección judicial (artículos 8.1</w:t>
      </w:r>
      <w:r w:rsidRPr="00707B68">
        <w:rPr>
          <w:rFonts w:ascii="Cambria" w:hAnsi="Cambria"/>
          <w:noProof/>
          <w:sz w:val="20"/>
          <w:szCs w:val="20"/>
          <w:vertAlign w:val="superscript"/>
          <w:lang w:val="es-ES"/>
        </w:rPr>
        <w:t xml:space="preserve"> </w:t>
      </w:r>
      <w:r w:rsidRPr="00707B68">
        <w:rPr>
          <w:rFonts w:ascii="Cambria" w:hAnsi="Cambria"/>
          <w:noProof/>
          <w:sz w:val="20"/>
          <w:szCs w:val="20"/>
          <w:lang w:val="es-ES"/>
        </w:rPr>
        <w:t>y  artículo 25.1 de la Convención Americana en relación con el artículo 1.1 del mismo instrumento)</w:t>
      </w:r>
      <w:r w:rsidRPr="00707B68">
        <w:rPr>
          <w:rFonts w:ascii="Cambria" w:hAnsi="Cambria"/>
          <w:noProof/>
          <w:sz w:val="20"/>
          <w:szCs w:val="20"/>
        </w:rPr>
        <w:tab/>
      </w:r>
      <w:r w:rsidRPr="00707B68">
        <w:rPr>
          <w:rFonts w:ascii="Cambria" w:hAnsi="Cambria"/>
          <w:noProof/>
          <w:sz w:val="20"/>
          <w:szCs w:val="20"/>
        </w:rPr>
        <w:fldChar w:fldCharType="begin"/>
      </w:r>
      <w:r w:rsidRPr="00707B68">
        <w:rPr>
          <w:rFonts w:ascii="Cambria" w:hAnsi="Cambria"/>
          <w:noProof/>
          <w:sz w:val="20"/>
          <w:szCs w:val="20"/>
        </w:rPr>
        <w:instrText xml:space="preserve"> PAGEREF _Toc456358866 \h </w:instrText>
      </w:r>
      <w:r w:rsidRPr="00707B68">
        <w:rPr>
          <w:rFonts w:ascii="Cambria" w:hAnsi="Cambria"/>
          <w:noProof/>
          <w:sz w:val="20"/>
          <w:szCs w:val="20"/>
        </w:rPr>
      </w:r>
      <w:r w:rsidRPr="00707B68">
        <w:rPr>
          <w:rFonts w:ascii="Cambria" w:hAnsi="Cambria"/>
          <w:noProof/>
          <w:sz w:val="20"/>
          <w:szCs w:val="20"/>
        </w:rPr>
        <w:fldChar w:fldCharType="separate"/>
      </w:r>
      <w:r w:rsidR="0066762C">
        <w:rPr>
          <w:rFonts w:ascii="Cambria" w:hAnsi="Cambria"/>
          <w:noProof/>
          <w:sz w:val="20"/>
          <w:szCs w:val="20"/>
        </w:rPr>
        <w:t>24</w:t>
      </w:r>
      <w:r w:rsidRPr="00707B68">
        <w:rPr>
          <w:rFonts w:ascii="Cambria" w:hAnsi="Cambria"/>
          <w:noProof/>
          <w:sz w:val="20"/>
          <w:szCs w:val="20"/>
        </w:rPr>
        <w:fldChar w:fldCharType="end"/>
      </w:r>
    </w:p>
    <w:p w14:paraId="29A21858" w14:textId="74C42477" w:rsidR="0077278C" w:rsidRPr="00707B68" w:rsidRDefault="0077278C" w:rsidP="0077278C">
      <w:pPr>
        <w:pStyle w:val="TOC2"/>
        <w:rPr>
          <w:rFonts w:ascii="Cambria" w:eastAsiaTheme="minorEastAsia" w:hAnsi="Cambria" w:cstheme="minorBidi"/>
          <w:noProof/>
          <w:sz w:val="20"/>
          <w:szCs w:val="20"/>
          <w:bdr w:val="none" w:sz="0" w:space="0" w:color="auto"/>
          <w:lang w:val="es-US" w:eastAsia="ja-JP"/>
        </w:rPr>
      </w:pPr>
      <w:r w:rsidRPr="00707B68">
        <w:rPr>
          <w:rFonts w:ascii="Cambria" w:hAnsi="Cambria"/>
          <w:noProof/>
          <w:sz w:val="20"/>
          <w:szCs w:val="20"/>
        </w:rPr>
        <w:t>D.</w:t>
      </w:r>
      <w:r w:rsidRPr="00707B68">
        <w:rPr>
          <w:rFonts w:ascii="Cambria" w:eastAsiaTheme="minorEastAsia" w:hAnsi="Cambria" w:cstheme="minorBidi"/>
          <w:noProof/>
          <w:sz w:val="20"/>
          <w:szCs w:val="20"/>
          <w:bdr w:val="none" w:sz="0" w:space="0" w:color="auto"/>
          <w:lang w:val="es-US" w:eastAsia="ja-JP"/>
        </w:rPr>
        <w:tab/>
      </w:r>
      <w:r w:rsidRPr="00707B68">
        <w:rPr>
          <w:rFonts w:ascii="Cambria" w:hAnsi="Cambria"/>
          <w:noProof/>
          <w:sz w:val="20"/>
          <w:szCs w:val="20"/>
        </w:rPr>
        <w:t>El derecho a la integridad personal de la familia de Jesús Ramiro Zapata (artículo 5.1 de la Convención Americana  en relación con el artículo 1.1 del mismo instrumento)</w:t>
      </w:r>
      <w:r w:rsidRPr="00707B68">
        <w:rPr>
          <w:rFonts w:ascii="Cambria" w:hAnsi="Cambria"/>
          <w:noProof/>
          <w:sz w:val="20"/>
          <w:szCs w:val="20"/>
        </w:rPr>
        <w:tab/>
      </w:r>
      <w:r w:rsidRPr="00707B68">
        <w:rPr>
          <w:rFonts w:ascii="Cambria" w:hAnsi="Cambria"/>
          <w:noProof/>
          <w:sz w:val="20"/>
          <w:szCs w:val="20"/>
        </w:rPr>
        <w:fldChar w:fldCharType="begin"/>
      </w:r>
      <w:r w:rsidRPr="00707B68">
        <w:rPr>
          <w:rFonts w:ascii="Cambria" w:hAnsi="Cambria"/>
          <w:noProof/>
          <w:sz w:val="20"/>
          <w:szCs w:val="20"/>
        </w:rPr>
        <w:instrText xml:space="preserve"> PAGEREF _Toc456358867 \h </w:instrText>
      </w:r>
      <w:r w:rsidRPr="00707B68">
        <w:rPr>
          <w:rFonts w:ascii="Cambria" w:hAnsi="Cambria"/>
          <w:noProof/>
          <w:sz w:val="20"/>
          <w:szCs w:val="20"/>
        </w:rPr>
      </w:r>
      <w:r w:rsidRPr="00707B68">
        <w:rPr>
          <w:rFonts w:ascii="Cambria" w:hAnsi="Cambria"/>
          <w:noProof/>
          <w:sz w:val="20"/>
          <w:szCs w:val="20"/>
        </w:rPr>
        <w:fldChar w:fldCharType="separate"/>
      </w:r>
      <w:r w:rsidR="0066762C">
        <w:rPr>
          <w:rFonts w:ascii="Cambria" w:hAnsi="Cambria"/>
          <w:noProof/>
          <w:sz w:val="20"/>
          <w:szCs w:val="20"/>
        </w:rPr>
        <w:t>27</w:t>
      </w:r>
      <w:r w:rsidRPr="00707B68">
        <w:rPr>
          <w:rFonts w:ascii="Cambria" w:hAnsi="Cambria"/>
          <w:noProof/>
          <w:sz w:val="20"/>
          <w:szCs w:val="20"/>
        </w:rPr>
        <w:fldChar w:fldCharType="end"/>
      </w:r>
    </w:p>
    <w:p w14:paraId="04E385B9" w14:textId="77777777" w:rsidR="00B23088" w:rsidRPr="00707B68" w:rsidRDefault="00B23088" w:rsidP="0077278C">
      <w:pPr>
        <w:pStyle w:val="TOC1"/>
        <w:rPr>
          <w:rFonts w:ascii="Cambria" w:hAnsi="Cambria"/>
          <w:noProof/>
          <w:sz w:val="20"/>
          <w:szCs w:val="20"/>
        </w:rPr>
      </w:pPr>
    </w:p>
    <w:p w14:paraId="4A8CB824" w14:textId="5E445E85" w:rsidR="0077278C" w:rsidRPr="00707B68" w:rsidRDefault="0077278C" w:rsidP="0077278C">
      <w:pPr>
        <w:pStyle w:val="TOC1"/>
        <w:rPr>
          <w:rFonts w:ascii="Cambria" w:eastAsiaTheme="minorEastAsia" w:hAnsi="Cambria" w:cstheme="minorBidi"/>
          <w:noProof/>
          <w:sz w:val="20"/>
          <w:szCs w:val="20"/>
          <w:bdr w:val="none" w:sz="0" w:space="0" w:color="auto"/>
          <w:lang w:val="en-US" w:eastAsia="ja-JP"/>
        </w:rPr>
      </w:pPr>
      <w:r w:rsidRPr="00707B68">
        <w:rPr>
          <w:rFonts w:ascii="Cambria" w:hAnsi="Cambria"/>
          <w:noProof/>
          <w:sz w:val="20"/>
          <w:szCs w:val="20"/>
        </w:rPr>
        <w:t>V.</w:t>
      </w:r>
      <w:r w:rsidRPr="00707B68">
        <w:rPr>
          <w:rFonts w:ascii="Cambria" w:eastAsiaTheme="minorEastAsia" w:hAnsi="Cambria" w:cstheme="minorBidi"/>
          <w:noProof/>
          <w:sz w:val="20"/>
          <w:szCs w:val="20"/>
          <w:bdr w:val="none" w:sz="0" w:space="0" w:color="auto"/>
          <w:lang w:val="en-US" w:eastAsia="ja-JP"/>
        </w:rPr>
        <w:tab/>
      </w:r>
      <w:r w:rsidRPr="00707B68">
        <w:rPr>
          <w:rFonts w:ascii="Cambria" w:hAnsi="Cambria"/>
          <w:noProof/>
          <w:sz w:val="20"/>
          <w:szCs w:val="20"/>
        </w:rPr>
        <w:t>CONCLUSIONES Y RECOMENDACIONES</w:t>
      </w:r>
      <w:r w:rsidRPr="00707B68">
        <w:rPr>
          <w:rFonts w:ascii="Cambria" w:hAnsi="Cambria"/>
          <w:noProof/>
          <w:sz w:val="20"/>
          <w:szCs w:val="20"/>
        </w:rPr>
        <w:tab/>
      </w:r>
      <w:r w:rsidRPr="00707B68">
        <w:rPr>
          <w:rFonts w:ascii="Cambria" w:hAnsi="Cambria"/>
          <w:noProof/>
          <w:sz w:val="20"/>
          <w:szCs w:val="20"/>
        </w:rPr>
        <w:fldChar w:fldCharType="begin"/>
      </w:r>
      <w:r w:rsidRPr="00707B68">
        <w:rPr>
          <w:rFonts w:ascii="Cambria" w:hAnsi="Cambria"/>
          <w:noProof/>
          <w:sz w:val="20"/>
          <w:szCs w:val="20"/>
        </w:rPr>
        <w:instrText xml:space="preserve"> PAGEREF _Toc456358868 \h </w:instrText>
      </w:r>
      <w:r w:rsidRPr="00707B68">
        <w:rPr>
          <w:rFonts w:ascii="Cambria" w:hAnsi="Cambria"/>
          <w:noProof/>
          <w:sz w:val="20"/>
          <w:szCs w:val="20"/>
        </w:rPr>
      </w:r>
      <w:r w:rsidRPr="00707B68">
        <w:rPr>
          <w:rFonts w:ascii="Cambria" w:hAnsi="Cambria"/>
          <w:noProof/>
          <w:sz w:val="20"/>
          <w:szCs w:val="20"/>
        </w:rPr>
        <w:fldChar w:fldCharType="separate"/>
      </w:r>
      <w:r w:rsidR="0066762C">
        <w:rPr>
          <w:rFonts w:ascii="Cambria" w:hAnsi="Cambria"/>
          <w:noProof/>
          <w:sz w:val="20"/>
          <w:szCs w:val="20"/>
        </w:rPr>
        <w:t>27</w:t>
      </w:r>
      <w:r w:rsidRPr="00707B68">
        <w:rPr>
          <w:rFonts w:ascii="Cambria" w:hAnsi="Cambria"/>
          <w:noProof/>
          <w:sz w:val="20"/>
          <w:szCs w:val="20"/>
        </w:rPr>
        <w:fldChar w:fldCharType="end"/>
      </w:r>
    </w:p>
    <w:p w14:paraId="0CD149DA" w14:textId="55D0A977" w:rsidR="008D768D" w:rsidRPr="00707B68" w:rsidRDefault="0077278C" w:rsidP="006125C3">
      <w:pPr>
        <w:tabs>
          <w:tab w:val="center" w:pos="5400"/>
        </w:tabs>
        <w:suppressAutoHyphens/>
        <w:spacing w:line="276" w:lineRule="auto"/>
        <w:rPr>
          <w:rFonts w:ascii="Cambria" w:hAnsi="Cambria"/>
          <w:sz w:val="20"/>
          <w:szCs w:val="20"/>
        </w:rPr>
      </w:pPr>
      <w:r w:rsidRPr="00707B68">
        <w:rPr>
          <w:rFonts w:ascii="Cambria" w:hAnsi="Cambria"/>
          <w:b/>
          <w:sz w:val="20"/>
          <w:szCs w:val="20"/>
        </w:rPr>
        <w:fldChar w:fldCharType="end"/>
      </w:r>
    </w:p>
    <w:p w14:paraId="540AE82A" w14:textId="77777777" w:rsidR="00722C9F" w:rsidRPr="00707B68" w:rsidRDefault="00722C9F">
      <w:pPr>
        <w:rPr>
          <w:rFonts w:ascii="Cambria" w:hAnsi="Cambria" w:cs="Calibri"/>
          <w:sz w:val="20"/>
          <w:szCs w:val="20"/>
          <w:lang w:val="es-ES"/>
        </w:rPr>
      </w:pPr>
      <w:r w:rsidRPr="00707B68">
        <w:rPr>
          <w:rFonts w:ascii="Cambria" w:hAnsi="Cambria" w:cs="Calibri"/>
          <w:sz w:val="20"/>
          <w:szCs w:val="20"/>
          <w:lang w:val="es-ES"/>
        </w:rPr>
        <w:br w:type="page"/>
      </w:r>
    </w:p>
    <w:p w14:paraId="41798766" w14:textId="51434427" w:rsidR="00D12193" w:rsidRPr="00707B68" w:rsidRDefault="00A03A30" w:rsidP="008E5267">
      <w:pPr>
        <w:pStyle w:val="Heading1"/>
      </w:pPr>
      <w:bookmarkStart w:id="2" w:name="_Toc456358855"/>
      <w:r w:rsidRPr="00707B68">
        <w:lastRenderedPageBreak/>
        <w:t>INTRODUCCIÓN</w:t>
      </w:r>
      <w:bookmarkEnd w:id="2"/>
    </w:p>
    <w:p w14:paraId="6E4C1C5C" w14:textId="77777777" w:rsidR="005C4CA5" w:rsidRPr="00707B68" w:rsidRDefault="005C4CA5" w:rsidP="00B46B6F">
      <w:pPr>
        <w:tabs>
          <w:tab w:val="left" w:pos="360"/>
        </w:tabs>
        <w:suppressAutoHyphens/>
        <w:rPr>
          <w:rFonts w:asciiTheme="majorHAnsi" w:hAnsiTheme="majorHAnsi"/>
          <w:b/>
          <w:sz w:val="20"/>
          <w:szCs w:val="20"/>
        </w:rPr>
      </w:pPr>
    </w:p>
    <w:p w14:paraId="78E8DA1F" w14:textId="14C89969" w:rsidR="00865597" w:rsidRPr="00707B68" w:rsidRDefault="005C4CA5" w:rsidP="00B46B6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 xml:space="preserve">El </w:t>
      </w:r>
      <w:r w:rsidR="008F7BEC" w:rsidRPr="00707B68">
        <w:rPr>
          <w:rFonts w:asciiTheme="majorHAnsi" w:hAnsiTheme="majorHAnsi"/>
          <w:color w:val="000000" w:themeColor="text1"/>
          <w:sz w:val="20"/>
          <w:szCs w:val="20"/>
          <w:lang w:val="es-VE"/>
        </w:rPr>
        <w:t>6</w:t>
      </w:r>
      <w:r w:rsidRPr="00707B68">
        <w:rPr>
          <w:rFonts w:asciiTheme="majorHAnsi" w:hAnsiTheme="majorHAnsi"/>
          <w:color w:val="000000" w:themeColor="text1"/>
          <w:sz w:val="20"/>
          <w:szCs w:val="20"/>
          <w:lang w:val="es-VE"/>
        </w:rPr>
        <w:t xml:space="preserve"> de </w:t>
      </w:r>
      <w:r w:rsidR="008F7BEC" w:rsidRPr="00707B68">
        <w:rPr>
          <w:rFonts w:asciiTheme="majorHAnsi" w:hAnsiTheme="majorHAnsi"/>
          <w:color w:val="000000" w:themeColor="text1"/>
          <w:sz w:val="20"/>
          <w:szCs w:val="20"/>
          <w:lang w:val="es-VE"/>
        </w:rPr>
        <w:t>junio</w:t>
      </w:r>
      <w:r w:rsidRPr="00707B68">
        <w:rPr>
          <w:rFonts w:asciiTheme="majorHAnsi" w:hAnsiTheme="majorHAnsi"/>
          <w:color w:val="000000" w:themeColor="text1"/>
          <w:sz w:val="20"/>
          <w:szCs w:val="20"/>
          <w:lang w:val="es-VE"/>
        </w:rPr>
        <w:t xml:space="preserve"> de </w:t>
      </w:r>
      <w:r w:rsidR="008F7BEC" w:rsidRPr="00707B68">
        <w:rPr>
          <w:rFonts w:asciiTheme="majorHAnsi" w:hAnsiTheme="majorHAnsi"/>
          <w:color w:val="000000" w:themeColor="text1"/>
          <w:sz w:val="20"/>
          <w:szCs w:val="20"/>
          <w:lang w:val="es-VE"/>
        </w:rPr>
        <w:t>2000</w:t>
      </w:r>
      <w:r w:rsidR="00F551E4" w:rsidRPr="00707B68">
        <w:rPr>
          <w:rFonts w:asciiTheme="majorHAnsi" w:hAnsiTheme="majorHAnsi"/>
          <w:color w:val="000000" w:themeColor="text1"/>
          <w:sz w:val="20"/>
          <w:szCs w:val="20"/>
          <w:lang w:val="es-VE"/>
        </w:rPr>
        <w:t xml:space="preserve"> </w:t>
      </w:r>
      <w:r w:rsidRPr="00707B68">
        <w:rPr>
          <w:rFonts w:asciiTheme="majorHAnsi" w:hAnsiTheme="majorHAnsi"/>
          <w:color w:val="000000" w:themeColor="text1"/>
          <w:sz w:val="20"/>
          <w:szCs w:val="20"/>
          <w:lang w:val="es-VE"/>
        </w:rPr>
        <w:t xml:space="preserve">la Comisión Interamericana de Derechos Humanos (en adelante “la Comisión Interamericana”, “la Comisión” o “la CIDH”) recibió una petición presentada por </w:t>
      </w:r>
      <w:r w:rsidR="003910EA" w:rsidRPr="00707B68">
        <w:rPr>
          <w:rFonts w:asciiTheme="majorHAnsi" w:hAnsiTheme="majorHAnsi"/>
          <w:color w:val="000000" w:themeColor="text1"/>
          <w:sz w:val="20"/>
          <w:szCs w:val="20"/>
          <w:lang w:val="es-VE"/>
        </w:rPr>
        <w:t xml:space="preserve">la Corporación Colectivo de Abogados José Alvear Restrepo </w:t>
      </w:r>
      <w:r w:rsidR="003910EA" w:rsidRPr="00707B68">
        <w:rPr>
          <w:rFonts w:asciiTheme="majorHAnsi" w:hAnsiTheme="majorHAnsi"/>
          <w:sz w:val="20"/>
          <w:szCs w:val="20"/>
          <w:lang w:val="es-VE"/>
        </w:rPr>
        <w:t xml:space="preserve">y el </w:t>
      </w:r>
      <w:r w:rsidR="008F7BEC" w:rsidRPr="00707B68">
        <w:rPr>
          <w:rFonts w:asciiTheme="majorHAnsi" w:hAnsiTheme="majorHAnsi"/>
          <w:color w:val="000000" w:themeColor="text1"/>
          <w:sz w:val="20"/>
          <w:szCs w:val="20"/>
          <w:lang w:val="es-VE"/>
        </w:rPr>
        <w:t>Centro por la Justicia y el Derecho Internacional</w:t>
      </w:r>
      <w:r w:rsidRPr="00707B68">
        <w:rPr>
          <w:rFonts w:asciiTheme="majorHAnsi" w:hAnsiTheme="majorHAnsi"/>
          <w:color w:val="000000" w:themeColor="text1"/>
          <w:sz w:val="20"/>
          <w:szCs w:val="20"/>
          <w:lang w:val="es-VE"/>
        </w:rPr>
        <w:t xml:space="preserve"> </w:t>
      </w:r>
      <w:r w:rsidR="008F7BEC" w:rsidRPr="00707B68">
        <w:rPr>
          <w:rFonts w:asciiTheme="majorHAnsi" w:hAnsiTheme="majorHAnsi"/>
          <w:color w:val="000000" w:themeColor="text1"/>
          <w:sz w:val="20"/>
          <w:szCs w:val="20"/>
          <w:lang w:val="es-VE"/>
        </w:rPr>
        <w:t>– CEJIL</w:t>
      </w:r>
      <w:r w:rsidR="008D7739" w:rsidRPr="00707B68">
        <w:rPr>
          <w:rFonts w:asciiTheme="majorHAnsi" w:hAnsiTheme="majorHAnsi"/>
          <w:color w:val="000000" w:themeColor="text1"/>
          <w:sz w:val="20"/>
          <w:szCs w:val="20"/>
          <w:lang w:val="es-VE"/>
        </w:rPr>
        <w:t xml:space="preserve"> (en adelante “la parte </w:t>
      </w:r>
      <w:r w:rsidR="008D7739" w:rsidRPr="00707B68">
        <w:rPr>
          <w:rFonts w:asciiTheme="majorHAnsi" w:hAnsiTheme="majorHAnsi"/>
          <w:sz w:val="20"/>
          <w:szCs w:val="20"/>
          <w:lang w:val="es-VE"/>
        </w:rPr>
        <w:t>peticionaria”)</w:t>
      </w:r>
      <w:r w:rsidR="008D7739" w:rsidRPr="00707B68">
        <w:rPr>
          <w:rStyle w:val="FootnoteReference"/>
          <w:rFonts w:asciiTheme="majorHAnsi" w:hAnsiTheme="majorHAnsi"/>
          <w:sz w:val="20"/>
          <w:szCs w:val="20"/>
          <w:lang w:val="es-VE"/>
        </w:rPr>
        <w:footnoteReference w:id="2"/>
      </w:r>
      <w:r w:rsidR="008D7739" w:rsidRPr="00707B68">
        <w:rPr>
          <w:rFonts w:asciiTheme="majorHAnsi" w:hAnsiTheme="majorHAnsi"/>
          <w:sz w:val="20"/>
          <w:szCs w:val="20"/>
          <w:lang w:val="es-VE"/>
        </w:rPr>
        <w:t xml:space="preserve"> </w:t>
      </w:r>
      <w:r w:rsidR="008F7BEC" w:rsidRPr="00707B68">
        <w:rPr>
          <w:rFonts w:asciiTheme="majorHAnsi" w:hAnsiTheme="majorHAnsi"/>
          <w:color w:val="000000" w:themeColor="text1"/>
          <w:sz w:val="20"/>
          <w:szCs w:val="20"/>
          <w:lang w:val="es-VE"/>
        </w:rPr>
        <w:t xml:space="preserve"> y </w:t>
      </w:r>
      <w:r w:rsidRPr="00707B68">
        <w:rPr>
          <w:rFonts w:asciiTheme="majorHAnsi" w:hAnsiTheme="majorHAnsi"/>
          <w:sz w:val="20"/>
          <w:szCs w:val="20"/>
          <w:lang w:val="es-VE"/>
        </w:rPr>
        <w:t xml:space="preserve">en la cual se alega la responsabilidad internacional de </w:t>
      </w:r>
      <w:r w:rsidR="00F40679" w:rsidRPr="00707B68">
        <w:rPr>
          <w:rFonts w:asciiTheme="majorHAnsi" w:hAnsiTheme="majorHAnsi"/>
          <w:sz w:val="20"/>
          <w:szCs w:val="20"/>
          <w:lang w:val="es-VE"/>
        </w:rPr>
        <w:t>la República de Colombia</w:t>
      </w:r>
      <w:r w:rsidRPr="00707B68">
        <w:rPr>
          <w:rFonts w:asciiTheme="majorHAnsi" w:hAnsiTheme="majorHAnsi"/>
          <w:sz w:val="20"/>
          <w:szCs w:val="20"/>
          <w:lang w:val="es-VE"/>
        </w:rPr>
        <w:t xml:space="preserve"> (en adelante “el Estado </w:t>
      </w:r>
      <w:r w:rsidR="00F40679" w:rsidRPr="00707B68">
        <w:rPr>
          <w:rFonts w:asciiTheme="majorHAnsi" w:hAnsiTheme="majorHAnsi"/>
          <w:sz w:val="20"/>
          <w:szCs w:val="20"/>
          <w:lang w:val="es-VE"/>
        </w:rPr>
        <w:t>colombiano</w:t>
      </w:r>
      <w:r w:rsidRPr="00707B68">
        <w:rPr>
          <w:rFonts w:asciiTheme="majorHAnsi" w:hAnsiTheme="majorHAnsi"/>
          <w:sz w:val="20"/>
          <w:szCs w:val="20"/>
          <w:lang w:val="es-VE"/>
        </w:rPr>
        <w:t>”, “el Estado” o “</w:t>
      </w:r>
      <w:r w:rsidR="00F40679" w:rsidRPr="00707B68">
        <w:rPr>
          <w:rFonts w:asciiTheme="majorHAnsi" w:hAnsiTheme="majorHAnsi"/>
          <w:sz w:val="20"/>
          <w:szCs w:val="20"/>
          <w:lang w:val="es-VE"/>
        </w:rPr>
        <w:t>Colombia</w:t>
      </w:r>
      <w:r w:rsidRPr="00707B68">
        <w:rPr>
          <w:rFonts w:asciiTheme="majorHAnsi" w:hAnsiTheme="majorHAnsi"/>
          <w:sz w:val="20"/>
          <w:szCs w:val="20"/>
          <w:lang w:val="es-VE"/>
        </w:rPr>
        <w:t xml:space="preserve">”) </w:t>
      </w:r>
      <w:r w:rsidR="000A02B5" w:rsidRPr="00707B68">
        <w:rPr>
          <w:rFonts w:asciiTheme="majorHAnsi" w:hAnsiTheme="majorHAnsi"/>
          <w:sz w:val="20"/>
          <w:szCs w:val="20"/>
          <w:lang w:val="es-VE"/>
        </w:rPr>
        <w:t xml:space="preserve">por </w:t>
      </w:r>
      <w:r w:rsidR="002A3114" w:rsidRPr="00707B68">
        <w:rPr>
          <w:rFonts w:asciiTheme="majorHAnsi" w:hAnsiTheme="majorHAnsi"/>
          <w:sz w:val="20"/>
          <w:szCs w:val="20"/>
          <w:lang w:val="es-VE"/>
        </w:rPr>
        <w:t>el asesinato</w:t>
      </w:r>
      <w:r w:rsidR="00BE7BCF" w:rsidRPr="00707B68">
        <w:rPr>
          <w:rFonts w:asciiTheme="majorHAnsi" w:hAnsiTheme="majorHAnsi"/>
          <w:sz w:val="20"/>
          <w:szCs w:val="20"/>
          <w:lang w:val="es-VE"/>
        </w:rPr>
        <w:t xml:space="preserve"> del defensor</w:t>
      </w:r>
      <w:r w:rsidR="00B46B6F" w:rsidRPr="00707B68">
        <w:rPr>
          <w:rFonts w:asciiTheme="majorHAnsi" w:hAnsiTheme="majorHAnsi"/>
          <w:sz w:val="20"/>
          <w:szCs w:val="20"/>
          <w:lang w:val="es-VE"/>
        </w:rPr>
        <w:t xml:space="preserve"> de derechos humanos</w:t>
      </w:r>
      <w:r w:rsidRPr="00707B68">
        <w:rPr>
          <w:rFonts w:asciiTheme="majorHAnsi" w:hAnsiTheme="majorHAnsi"/>
          <w:sz w:val="20"/>
          <w:szCs w:val="20"/>
          <w:lang w:val="es-VE"/>
        </w:rPr>
        <w:t xml:space="preserve"> </w:t>
      </w:r>
      <w:r w:rsidR="00F40679" w:rsidRPr="00707B68">
        <w:rPr>
          <w:rFonts w:asciiTheme="majorHAnsi" w:hAnsiTheme="majorHAnsi"/>
          <w:sz w:val="20"/>
          <w:szCs w:val="20"/>
          <w:lang w:val="es-VE"/>
        </w:rPr>
        <w:t>Jesús Ramiro Zapata</w:t>
      </w:r>
      <w:r w:rsidR="008F3C40" w:rsidRPr="00707B68">
        <w:rPr>
          <w:rStyle w:val="FootnoteReference"/>
          <w:rFonts w:asciiTheme="majorHAnsi" w:hAnsiTheme="majorHAnsi"/>
          <w:sz w:val="20"/>
          <w:szCs w:val="20"/>
          <w:lang w:val="es-VE"/>
        </w:rPr>
        <w:footnoteReference w:id="3"/>
      </w:r>
      <w:r w:rsidR="00BE7BCF" w:rsidRPr="00707B68">
        <w:rPr>
          <w:rFonts w:asciiTheme="majorHAnsi" w:hAnsiTheme="majorHAnsi"/>
          <w:sz w:val="20"/>
          <w:szCs w:val="20"/>
          <w:lang w:val="es-VE"/>
        </w:rPr>
        <w:t xml:space="preserve"> el 3 de mayo de 2000.</w:t>
      </w:r>
    </w:p>
    <w:p w14:paraId="1804DC43" w14:textId="77777777" w:rsidR="00865597" w:rsidRPr="00707B68" w:rsidRDefault="00865597" w:rsidP="00B46B6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630"/>
        <w:jc w:val="both"/>
        <w:rPr>
          <w:rFonts w:asciiTheme="majorHAnsi" w:hAnsiTheme="majorHAnsi"/>
          <w:color w:val="000000" w:themeColor="text1"/>
          <w:sz w:val="20"/>
          <w:szCs w:val="20"/>
          <w:lang w:val="es-VE"/>
        </w:rPr>
      </w:pPr>
    </w:p>
    <w:p w14:paraId="0D82B9B4" w14:textId="3574D30D" w:rsidR="00865597" w:rsidRPr="00707B68" w:rsidRDefault="00865597" w:rsidP="00B46B6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sz w:val="20"/>
          <w:szCs w:val="20"/>
          <w:lang w:val="es-VE"/>
        </w:rPr>
        <w:t xml:space="preserve">La Comisión </w:t>
      </w:r>
      <w:r w:rsidR="00E95FC5" w:rsidRPr="00707B68">
        <w:rPr>
          <w:rFonts w:asciiTheme="majorHAnsi" w:hAnsiTheme="majorHAnsi"/>
          <w:sz w:val="20"/>
          <w:szCs w:val="20"/>
          <w:lang w:val="es-VE"/>
        </w:rPr>
        <w:t xml:space="preserve">sostuvo una audiencia pública sobre el caso el 26 de febrero de 2001 </w:t>
      </w:r>
      <w:r w:rsidR="00443678" w:rsidRPr="00707B68">
        <w:rPr>
          <w:rFonts w:asciiTheme="majorHAnsi" w:hAnsiTheme="majorHAnsi"/>
          <w:sz w:val="20"/>
          <w:szCs w:val="20"/>
          <w:lang w:val="es-VE"/>
        </w:rPr>
        <w:t>durante su 110 P</w:t>
      </w:r>
      <w:r w:rsidR="00E95FC5" w:rsidRPr="00707B68">
        <w:rPr>
          <w:rFonts w:asciiTheme="majorHAnsi" w:hAnsiTheme="majorHAnsi"/>
          <w:sz w:val="20"/>
          <w:szCs w:val="20"/>
          <w:lang w:val="es-VE"/>
        </w:rPr>
        <w:t xml:space="preserve">eríodo </w:t>
      </w:r>
      <w:r w:rsidR="00443678" w:rsidRPr="00707B68">
        <w:rPr>
          <w:rFonts w:asciiTheme="majorHAnsi" w:hAnsiTheme="majorHAnsi"/>
          <w:sz w:val="20"/>
          <w:szCs w:val="20"/>
          <w:lang w:val="es-VE"/>
        </w:rPr>
        <w:t>de S</w:t>
      </w:r>
      <w:r w:rsidR="00E95FC5" w:rsidRPr="00707B68">
        <w:rPr>
          <w:rFonts w:asciiTheme="majorHAnsi" w:hAnsiTheme="majorHAnsi"/>
          <w:sz w:val="20"/>
          <w:szCs w:val="20"/>
          <w:lang w:val="es-VE"/>
        </w:rPr>
        <w:t xml:space="preserve">esiones. Asimismo, </w:t>
      </w:r>
      <w:r w:rsidR="00443678" w:rsidRPr="00707B68">
        <w:rPr>
          <w:rFonts w:asciiTheme="majorHAnsi" w:hAnsiTheme="majorHAnsi"/>
          <w:sz w:val="20"/>
          <w:szCs w:val="20"/>
          <w:lang w:val="es-VE"/>
        </w:rPr>
        <w:t>el 11 de julio de 2013 la CIDH aprobó el Informe de A</w:t>
      </w:r>
      <w:r w:rsidRPr="00707B68">
        <w:rPr>
          <w:rFonts w:asciiTheme="majorHAnsi" w:hAnsiTheme="majorHAnsi"/>
          <w:sz w:val="20"/>
          <w:szCs w:val="20"/>
          <w:lang w:val="es-VE"/>
        </w:rPr>
        <w:t xml:space="preserve">dmisibilidad No. </w:t>
      </w:r>
      <w:r w:rsidR="003910EA" w:rsidRPr="00707B68">
        <w:rPr>
          <w:rFonts w:asciiTheme="majorHAnsi" w:hAnsiTheme="majorHAnsi"/>
          <w:sz w:val="20"/>
          <w:szCs w:val="20"/>
          <w:lang w:val="es-VE"/>
        </w:rPr>
        <w:t>41</w:t>
      </w:r>
      <w:r w:rsidRPr="00707B68">
        <w:rPr>
          <w:rFonts w:asciiTheme="majorHAnsi" w:hAnsiTheme="majorHAnsi"/>
          <w:sz w:val="20"/>
          <w:szCs w:val="20"/>
          <w:lang w:val="es-VE"/>
        </w:rPr>
        <w:t>/</w:t>
      </w:r>
      <w:r w:rsidR="003910EA" w:rsidRPr="00707B68">
        <w:rPr>
          <w:rFonts w:asciiTheme="majorHAnsi" w:hAnsiTheme="majorHAnsi"/>
          <w:sz w:val="20"/>
          <w:szCs w:val="20"/>
          <w:lang w:val="es-VE"/>
        </w:rPr>
        <w:t>13</w:t>
      </w:r>
      <w:r w:rsidRPr="00707B68">
        <w:rPr>
          <w:rStyle w:val="FootnoteReference"/>
          <w:rFonts w:asciiTheme="majorHAnsi" w:hAnsiTheme="majorHAnsi"/>
          <w:sz w:val="20"/>
          <w:szCs w:val="20"/>
          <w:lang w:val="es-VE"/>
        </w:rPr>
        <w:footnoteReference w:id="4"/>
      </w:r>
      <w:r w:rsidRPr="00707B68">
        <w:rPr>
          <w:rFonts w:asciiTheme="majorHAnsi" w:hAnsiTheme="majorHAnsi"/>
          <w:sz w:val="20"/>
          <w:szCs w:val="20"/>
          <w:lang w:val="es-VE"/>
        </w:rPr>
        <w:t>. El</w:t>
      </w:r>
      <w:r w:rsidR="008C7015" w:rsidRPr="00707B68">
        <w:rPr>
          <w:rFonts w:asciiTheme="majorHAnsi" w:hAnsiTheme="majorHAnsi"/>
          <w:sz w:val="20"/>
          <w:szCs w:val="20"/>
          <w:lang w:val="es-VE"/>
        </w:rPr>
        <w:t xml:space="preserve"> </w:t>
      </w:r>
      <w:r w:rsidR="009358C1" w:rsidRPr="00707B68">
        <w:rPr>
          <w:rFonts w:asciiTheme="majorHAnsi" w:hAnsiTheme="majorHAnsi"/>
          <w:sz w:val="20"/>
          <w:szCs w:val="20"/>
          <w:lang w:val="es-VE"/>
        </w:rPr>
        <w:t>20</w:t>
      </w:r>
      <w:r w:rsidRPr="00707B68">
        <w:rPr>
          <w:rFonts w:asciiTheme="majorHAnsi" w:hAnsiTheme="majorHAnsi"/>
          <w:sz w:val="20"/>
          <w:szCs w:val="20"/>
          <w:lang w:val="es-VE"/>
        </w:rPr>
        <w:t xml:space="preserve"> de </w:t>
      </w:r>
      <w:r w:rsidR="009358C1" w:rsidRPr="00707B68">
        <w:rPr>
          <w:rFonts w:asciiTheme="majorHAnsi" w:hAnsiTheme="majorHAnsi"/>
          <w:sz w:val="20"/>
          <w:szCs w:val="20"/>
          <w:lang w:val="es-VE"/>
        </w:rPr>
        <w:t>agosto</w:t>
      </w:r>
      <w:r w:rsidRPr="00707B68">
        <w:rPr>
          <w:rFonts w:asciiTheme="majorHAnsi" w:hAnsiTheme="majorHAnsi"/>
          <w:sz w:val="20"/>
          <w:szCs w:val="20"/>
          <w:lang w:val="es-VE"/>
        </w:rPr>
        <w:t xml:space="preserve"> </w:t>
      </w:r>
      <w:r w:rsidR="00443678" w:rsidRPr="00707B68">
        <w:rPr>
          <w:rFonts w:asciiTheme="majorHAnsi" w:hAnsiTheme="majorHAnsi"/>
          <w:sz w:val="20"/>
          <w:szCs w:val="20"/>
          <w:lang w:val="es-VE"/>
        </w:rPr>
        <w:t>del mismo año</w:t>
      </w:r>
      <w:r w:rsidR="008C7015" w:rsidRPr="00707B68">
        <w:rPr>
          <w:rFonts w:asciiTheme="majorHAnsi" w:hAnsiTheme="majorHAnsi"/>
          <w:sz w:val="20"/>
          <w:szCs w:val="20"/>
          <w:lang w:val="es-VE"/>
        </w:rPr>
        <w:t xml:space="preserve"> </w:t>
      </w:r>
      <w:r w:rsidRPr="00707B68">
        <w:rPr>
          <w:rFonts w:asciiTheme="majorHAnsi" w:hAnsiTheme="majorHAnsi"/>
          <w:sz w:val="20"/>
          <w:szCs w:val="20"/>
          <w:lang w:val="es-VE"/>
        </w:rPr>
        <w:t xml:space="preserve">la Comisión notificó dicho informe a las partes y se puso a disposición a fin de llegar a una solución amistosa. Las </w:t>
      </w:r>
      <w:r w:rsidRPr="00707B68">
        <w:rPr>
          <w:rFonts w:asciiTheme="majorHAnsi" w:hAnsiTheme="majorHAnsi"/>
          <w:sz w:val="20"/>
          <w:szCs w:val="20"/>
        </w:rPr>
        <w:t>partes contaron con los plazos reglamentarios para presentar sus observaciones adicionales sobre el fondo. Toda la información recibida fue debidamente trasladada entre las partes.</w:t>
      </w:r>
    </w:p>
    <w:p w14:paraId="6B1AED2E" w14:textId="77777777" w:rsidR="00D60F41" w:rsidRPr="00707B68" w:rsidRDefault="00D60F41" w:rsidP="009014A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suppressAutoHyphens/>
        <w:jc w:val="both"/>
        <w:rPr>
          <w:rFonts w:asciiTheme="majorHAnsi" w:hAnsiTheme="majorHAnsi"/>
          <w:sz w:val="20"/>
          <w:szCs w:val="20"/>
          <w:lang w:val="es-VE"/>
        </w:rPr>
      </w:pPr>
    </w:p>
    <w:p w14:paraId="0309DFCC" w14:textId="77777777" w:rsidR="00D12193" w:rsidRPr="00707B68" w:rsidRDefault="00D12193" w:rsidP="008E5267">
      <w:pPr>
        <w:pStyle w:val="Heading1"/>
      </w:pPr>
      <w:bookmarkStart w:id="3" w:name="_Toc456358856"/>
      <w:r w:rsidRPr="00707B68">
        <w:t>ALEGATOS DE LAS PARTES</w:t>
      </w:r>
      <w:bookmarkEnd w:id="3"/>
    </w:p>
    <w:p w14:paraId="2CDB3FBF" w14:textId="77777777" w:rsidR="0008768F" w:rsidRPr="00707B68" w:rsidRDefault="0008768F" w:rsidP="00B46B6F">
      <w:pPr>
        <w:tabs>
          <w:tab w:val="left" w:pos="360"/>
        </w:tabs>
        <w:suppressAutoHyphens/>
        <w:rPr>
          <w:rFonts w:asciiTheme="majorHAnsi" w:hAnsiTheme="majorHAnsi"/>
          <w:sz w:val="20"/>
          <w:szCs w:val="20"/>
        </w:rPr>
      </w:pPr>
    </w:p>
    <w:p w14:paraId="7229436D" w14:textId="77777777" w:rsidR="00D12193" w:rsidRPr="00707B68" w:rsidRDefault="0022273F" w:rsidP="00147351">
      <w:pPr>
        <w:pStyle w:val="Heading2"/>
      </w:pPr>
      <w:bookmarkStart w:id="4" w:name="_Toc456358857"/>
      <w:r w:rsidRPr="00707B68">
        <w:t>Parte peticionaria</w:t>
      </w:r>
      <w:bookmarkEnd w:id="4"/>
      <w:r w:rsidRPr="00707B68">
        <w:t xml:space="preserve"> </w:t>
      </w:r>
    </w:p>
    <w:p w14:paraId="340C908E" w14:textId="77777777" w:rsidR="00361415" w:rsidRPr="00707B68" w:rsidRDefault="00361415" w:rsidP="00B46B6F">
      <w:pPr>
        <w:tabs>
          <w:tab w:val="left" w:pos="360"/>
        </w:tabs>
        <w:suppressAutoHyphens/>
        <w:rPr>
          <w:rFonts w:asciiTheme="majorHAnsi" w:hAnsiTheme="majorHAnsi"/>
          <w:sz w:val="20"/>
          <w:szCs w:val="20"/>
        </w:rPr>
      </w:pPr>
    </w:p>
    <w:p w14:paraId="6112570C" w14:textId="7EC4D4B5" w:rsidR="00784B7B" w:rsidRPr="00707B68" w:rsidRDefault="00B46B6F" w:rsidP="00B46B6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La parte peticionaria alega</w:t>
      </w:r>
      <w:r w:rsidR="00F05DC5" w:rsidRPr="00707B68">
        <w:rPr>
          <w:rFonts w:asciiTheme="majorHAnsi" w:hAnsiTheme="majorHAnsi"/>
          <w:color w:val="000000" w:themeColor="text1"/>
          <w:sz w:val="20"/>
          <w:szCs w:val="20"/>
          <w:lang w:val="es-VE"/>
        </w:rPr>
        <w:t xml:space="preserve"> que </w:t>
      </w:r>
      <w:r w:rsidRPr="00707B68">
        <w:rPr>
          <w:rFonts w:asciiTheme="majorHAnsi" w:hAnsiTheme="majorHAnsi"/>
          <w:color w:val="000000" w:themeColor="text1"/>
          <w:sz w:val="20"/>
          <w:szCs w:val="20"/>
          <w:lang w:val="es-VE"/>
        </w:rPr>
        <w:t xml:space="preserve">desde 1996 </w:t>
      </w:r>
      <w:r w:rsidR="00F05DC5" w:rsidRPr="00707B68">
        <w:rPr>
          <w:rFonts w:asciiTheme="majorHAnsi" w:hAnsiTheme="majorHAnsi"/>
          <w:color w:val="000000" w:themeColor="text1"/>
          <w:sz w:val="20"/>
          <w:szCs w:val="20"/>
          <w:lang w:val="es-VE"/>
        </w:rPr>
        <w:t>Jesús Ramiro Zapata fue vinculado</w:t>
      </w:r>
      <w:r w:rsidRPr="00707B68">
        <w:rPr>
          <w:rFonts w:asciiTheme="majorHAnsi" w:hAnsiTheme="majorHAnsi"/>
          <w:color w:val="000000" w:themeColor="text1"/>
          <w:sz w:val="20"/>
          <w:szCs w:val="20"/>
          <w:lang w:val="es-VE"/>
        </w:rPr>
        <w:t>,</w:t>
      </w:r>
      <w:r w:rsidR="00F05DC5" w:rsidRPr="00707B68">
        <w:rPr>
          <w:rFonts w:asciiTheme="majorHAnsi" w:hAnsiTheme="majorHAnsi"/>
          <w:color w:val="000000" w:themeColor="text1"/>
          <w:sz w:val="20"/>
          <w:szCs w:val="20"/>
          <w:lang w:val="es-VE"/>
        </w:rPr>
        <w:t xml:space="preserve"> </w:t>
      </w:r>
      <w:r w:rsidR="00BE7BCF" w:rsidRPr="00707B68">
        <w:rPr>
          <w:rFonts w:asciiTheme="majorHAnsi" w:hAnsiTheme="majorHAnsi"/>
          <w:color w:val="000000" w:themeColor="text1"/>
          <w:sz w:val="20"/>
          <w:szCs w:val="20"/>
          <w:lang w:val="es-VE"/>
        </w:rPr>
        <w:t>por agentes estatales</w:t>
      </w:r>
      <w:r w:rsidRPr="00707B68">
        <w:rPr>
          <w:rFonts w:asciiTheme="majorHAnsi" w:hAnsiTheme="majorHAnsi"/>
          <w:color w:val="000000" w:themeColor="text1"/>
          <w:sz w:val="20"/>
          <w:szCs w:val="20"/>
          <w:lang w:val="es-VE"/>
        </w:rPr>
        <w:t>,</w:t>
      </w:r>
      <w:r w:rsidR="00BE7BCF" w:rsidRPr="00707B68">
        <w:rPr>
          <w:rFonts w:asciiTheme="majorHAnsi" w:hAnsiTheme="majorHAnsi"/>
          <w:color w:val="000000" w:themeColor="text1"/>
          <w:sz w:val="20"/>
          <w:szCs w:val="20"/>
          <w:lang w:val="es-VE"/>
        </w:rPr>
        <w:t xml:space="preserve"> </w:t>
      </w:r>
      <w:r w:rsidR="00C73DC1" w:rsidRPr="00707B68">
        <w:rPr>
          <w:rFonts w:asciiTheme="majorHAnsi" w:hAnsiTheme="majorHAnsi"/>
          <w:color w:val="000000" w:themeColor="text1"/>
          <w:sz w:val="20"/>
          <w:szCs w:val="20"/>
          <w:lang w:val="es-VE"/>
        </w:rPr>
        <w:t>con</w:t>
      </w:r>
      <w:r w:rsidR="00F05DC5" w:rsidRPr="00707B68">
        <w:rPr>
          <w:rFonts w:asciiTheme="majorHAnsi" w:hAnsiTheme="majorHAnsi"/>
          <w:color w:val="000000" w:themeColor="text1"/>
          <w:sz w:val="20"/>
          <w:szCs w:val="20"/>
          <w:lang w:val="es-VE"/>
        </w:rPr>
        <w:t xml:space="preserve"> actividades subversivas</w:t>
      </w:r>
      <w:r w:rsidR="00784B7B" w:rsidRPr="00707B68">
        <w:rPr>
          <w:rFonts w:asciiTheme="majorHAnsi" w:hAnsiTheme="majorHAnsi"/>
          <w:color w:val="000000" w:themeColor="text1"/>
          <w:sz w:val="20"/>
          <w:szCs w:val="20"/>
          <w:lang w:val="es-VE"/>
        </w:rPr>
        <w:t xml:space="preserve"> del Ejército de Liberación Nacional (en adelante “el ELN”)</w:t>
      </w:r>
      <w:r w:rsidRPr="00707B68">
        <w:rPr>
          <w:rFonts w:asciiTheme="majorHAnsi" w:hAnsiTheme="majorHAnsi"/>
          <w:color w:val="000000" w:themeColor="text1"/>
          <w:sz w:val="20"/>
          <w:szCs w:val="20"/>
          <w:lang w:val="es-VE"/>
        </w:rPr>
        <w:t xml:space="preserve">. </w:t>
      </w:r>
      <w:r w:rsidR="0098040C" w:rsidRPr="00707B68">
        <w:rPr>
          <w:rFonts w:asciiTheme="majorHAnsi" w:hAnsiTheme="majorHAnsi"/>
          <w:color w:val="000000" w:themeColor="text1"/>
          <w:sz w:val="20"/>
          <w:szCs w:val="20"/>
          <w:lang w:val="es-VE"/>
        </w:rPr>
        <w:t>Sostiene que e</w:t>
      </w:r>
      <w:r w:rsidRPr="00707B68">
        <w:rPr>
          <w:rFonts w:asciiTheme="majorHAnsi" w:hAnsiTheme="majorHAnsi"/>
          <w:color w:val="000000" w:themeColor="text1"/>
          <w:sz w:val="20"/>
          <w:szCs w:val="20"/>
          <w:lang w:val="es-VE"/>
        </w:rPr>
        <w:t>llo</w:t>
      </w:r>
      <w:r w:rsidR="0098040C" w:rsidRPr="00707B68">
        <w:rPr>
          <w:rFonts w:asciiTheme="majorHAnsi" w:hAnsiTheme="majorHAnsi"/>
          <w:color w:val="000000" w:themeColor="text1"/>
          <w:sz w:val="20"/>
          <w:szCs w:val="20"/>
          <w:lang w:val="es-VE"/>
        </w:rPr>
        <w:t xml:space="preserve"> no tiene asider</w:t>
      </w:r>
      <w:r w:rsidR="00522093" w:rsidRPr="00707B68">
        <w:rPr>
          <w:rFonts w:asciiTheme="majorHAnsi" w:hAnsiTheme="majorHAnsi"/>
          <w:color w:val="000000" w:themeColor="text1"/>
          <w:sz w:val="20"/>
          <w:szCs w:val="20"/>
          <w:lang w:val="es-VE"/>
        </w:rPr>
        <w:t>o</w:t>
      </w:r>
      <w:r w:rsidR="0098040C" w:rsidRPr="00707B68">
        <w:rPr>
          <w:rFonts w:asciiTheme="majorHAnsi" w:hAnsiTheme="majorHAnsi"/>
          <w:color w:val="000000" w:themeColor="text1"/>
          <w:sz w:val="20"/>
          <w:szCs w:val="20"/>
          <w:lang w:val="es-VE"/>
        </w:rPr>
        <w:t xml:space="preserve"> y que dicha vinculación se debió</w:t>
      </w:r>
      <w:r w:rsidRPr="00707B68">
        <w:rPr>
          <w:rFonts w:asciiTheme="majorHAnsi" w:hAnsiTheme="majorHAnsi"/>
          <w:color w:val="000000" w:themeColor="text1"/>
          <w:sz w:val="20"/>
          <w:szCs w:val="20"/>
          <w:lang w:val="es-VE"/>
        </w:rPr>
        <w:t xml:space="preserve"> a</w:t>
      </w:r>
      <w:r w:rsidR="00F05DC5" w:rsidRPr="00707B68">
        <w:rPr>
          <w:rFonts w:asciiTheme="majorHAnsi" w:hAnsiTheme="majorHAnsi"/>
          <w:color w:val="000000" w:themeColor="text1"/>
          <w:sz w:val="20"/>
          <w:szCs w:val="20"/>
          <w:lang w:val="es-VE"/>
        </w:rPr>
        <w:t xml:space="preserve"> su l</w:t>
      </w:r>
      <w:r w:rsidR="00784B7B" w:rsidRPr="00707B68">
        <w:rPr>
          <w:rFonts w:asciiTheme="majorHAnsi" w:hAnsiTheme="majorHAnsi"/>
          <w:color w:val="000000" w:themeColor="text1"/>
          <w:sz w:val="20"/>
          <w:szCs w:val="20"/>
          <w:lang w:val="es-VE"/>
        </w:rPr>
        <w:t xml:space="preserve">abor de </w:t>
      </w:r>
      <w:r w:rsidR="00376E92" w:rsidRPr="00707B68">
        <w:rPr>
          <w:rFonts w:asciiTheme="majorHAnsi" w:hAnsiTheme="majorHAnsi"/>
          <w:color w:val="000000" w:themeColor="text1"/>
          <w:sz w:val="20"/>
          <w:szCs w:val="20"/>
          <w:lang w:val="es-VE"/>
        </w:rPr>
        <w:t xml:space="preserve">docente y de </w:t>
      </w:r>
      <w:r w:rsidR="00784B7B" w:rsidRPr="00707B68">
        <w:rPr>
          <w:rFonts w:asciiTheme="majorHAnsi" w:hAnsiTheme="majorHAnsi"/>
          <w:color w:val="000000" w:themeColor="text1"/>
          <w:sz w:val="20"/>
          <w:szCs w:val="20"/>
          <w:lang w:val="es-VE"/>
        </w:rPr>
        <w:t>defensa de los derechos humanos como miembro del Comité de Derechos Humanos del Nordeste Antioqueño (en adelante “el CDHNA”)</w:t>
      </w:r>
      <w:r w:rsidRPr="00707B68">
        <w:rPr>
          <w:rFonts w:asciiTheme="majorHAnsi" w:hAnsiTheme="majorHAnsi"/>
          <w:color w:val="000000" w:themeColor="text1"/>
          <w:sz w:val="20"/>
          <w:szCs w:val="20"/>
          <w:lang w:val="es-VE"/>
        </w:rPr>
        <w:t>. Indica que debido a esta situación</w:t>
      </w:r>
      <w:r w:rsidR="00784B7B" w:rsidRPr="00707B68">
        <w:rPr>
          <w:rFonts w:asciiTheme="majorHAnsi" w:hAnsiTheme="majorHAnsi"/>
          <w:color w:val="000000" w:themeColor="text1"/>
          <w:sz w:val="20"/>
          <w:szCs w:val="20"/>
          <w:lang w:val="es-VE"/>
        </w:rPr>
        <w:t xml:space="preserve"> fue inv</w:t>
      </w:r>
      <w:r w:rsidR="00574875" w:rsidRPr="00707B68">
        <w:rPr>
          <w:rFonts w:asciiTheme="majorHAnsi" w:hAnsiTheme="majorHAnsi"/>
          <w:color w:val="000000" w:themeColor="text1"/>
          <w:sz w:val="20"/>
          <w:szCs w:val="20"/>
          <w:lang w:val="es-VE"/>
        </w:rPr>
        <w:t>estigado</w:t>
      </w:r>
      <w:r w:rsidR="009209BE" w:rsidRPr="00707B68">
        <w:rPr>
          <w:rFonts w:asciiTheme="majorHAnsi" w:hAnsiTheme="majorHAnsi"/>
          <w:color w:val="000000" w:themeColor="text1"/>
          <w:sz w:val="20"/>
          <w:szCs w:val="20"/>
          <w:lang w:val="es-VE"/>
        </w:rPr>
        <w:t xml:space="preserve"> judicialmente</w:t>
      </w:r>
      <w:r w:rsidR="00574875" w:rsidRPr="00707B68">
        <w:rPr>
          <w:rFonts w:asciiTheme="majorHAnsi" w:hAnsiTheme="majorHAnsi"/>
          <w:color w:val="000000" w:themeColor="text1"/>
          <w:sz w:val="20"/>
          <w:szCs w:val="20"/>
          <w:lang w:val="es-VE"/>
        </w:rPr>
        <w:t xml:space="preserve">, hostigado y objeto de investigaciones de </w:t>
      </w:r>
      <w:r w:rsidR="00784B7B" w:rsidRPr="00707B68">
        <w:rPr>
          <w:rFonts w:asciiTheme="majorHAnsi" w:hAnsiTheme="majorHAnsi"/>
          <w:color w:val="000000" w:themeColor="text1"/>
          <w:sz w:val="20"/>
          <w:szCs w:val="20"/>
          <w:lang w:val="es-VE"/>
        </w:rPr>
        <w:t>inteligencia.</w:t>
      </w:r>
      <w:r w:rsidR="00BE7BCF" w:rsidRPr="00707B68">
        <w:rPr>
          <w:rFonts w:asciiTheme="majorHAnsi" w:hAnsiTheme="majorHAnsi"/>
          <w:color w:val="000000" w:themeColor="text1"/>
          <w:sz w:val="20"/>
          <w:szCs w:val="20"/>
          <w:lang w:val="es-VE"/>
        </w:rPr>
        <w:t xml:space="preserve"> </w:t>
      </w:r>
      <w:r w:rsidRPr="00707B68">
        <w:rPr>
          <w:rFonts w:asciiTheme="majorHAnsi" w:hAnsiTheme="majorHAnsi"/>
          <w:color w:val="000000" w:themeColor="text1"/>
          <w:sz w:val="20"/>
          <w:szCs w:val="20"/>
          <w:lang w:val="es-VE"/>
        </w:rPr>
        <w:t>Señala que</w:t>
      </w:r>
      <w:r w:rsidR="0053749E" w:rsidRPr="00707B68">
        <w:rPr>
          <w:rFonts w:asciiTheme="majorHAnsi" w:hAnsiTheme="majorHAnsi"/>
          <w:color w:val="000000" w:themeColor="text1"/>
          <w:sz w:val="20"/>
          <w:szCs w:val="20"/>
          <w:lang w:val="es-VE"/>
        </w:rPr>
        <w:t xml:space="preserve"> </w:t>
      </w:r>
      <w:r w:rsidR="00522093" w:rsidRPr="00707B68">
        <w:rPr>
          <w:rFonts w:asciiTheme="majorHAnsi" w:hAnsiTheme="majorHAnsi"/>
          <w:color w:val="000000" w:themeColor="text1"/>
          <w:sz w:val="20"/>
          <w:szCs w:val="20"/>
          <w:lang w:val="es-VE"/>
        </w:rPr>
        <w:t>lo anterior</w:t>
      </w:r>
      <w:r w:rsidR="0053749E" w:rsidRPr="00707B68">
        <w:rPr>
          <w:rFonts w:asciiTheme="majorHAnsi" w:hAnsiTheme="majorHAnsi"/>
          <w:color w:val="000000" w:themeColor="text1"/>
          <w:sz w:val="20"/>
          <w:szCs w:val="20"/>
          <w:lang w:val="es-VE"/>
        </w:rPr>
        <w:t xml:space="preserve">, </w:t>
      </w:r>
      <w:r w:rsidR="00522093" w:rsidRPr="00707B68">
        <w:rPr>
          <w:rFonts w:asciiTheme="majorHAnsi" w:hAnsiTheme="majorHAnsi"/>
          <w:color w:val="000000" w:themeColor="text1"/>
          <w:sz w:val="20"/>
          <w:szCs w:val="20"/>
          <w:lang w:val="es-VE"/>
        </w:rPr>
        <w:t xml:space="preserve"> </w:t>
      </w:r>
      <w:r w:rsidR="00C73DC1" w:rsidRPr="00707B68">
        <w:rPr>
          <w:rFonts w:asciiTheme="majorHAnsi" w:hAnsiTheme="majorHAnsi"/>
          <w:color w:val="000000" w:themeColor="text1"/>
          <w:sz w:val="20"/>
          <w:szCs w:val="20"/>
          <w:lang w:val="es-VE"/>
        </w:rPr>
        <w:t>fomentad</w:t>
      </w:r>
      <w:r w:rsidR="00522093" w:rsidRPr="00707B68">
        <w:rPr>
          <w:rFonts w:asciiTheme="majorHAnsi" w:hAnsiTheme="majorHAnsi"/>
          <w:color w:val="000000" w:themeColor="text1"/>
          <w:sz w:val="20"/>
          <w:szCs w:val="20"/>
          <w:lang w:val="es-VE"/>
        </w:rPr>
        <w:t>a</w:t>
      </w:r>
      <w:r w:rsidR="0053749E" w:rsidRPr="00707B68">
        <w:rPr>
          <w:rFonts w:asciiTheme="majorHAnsi" w:hAnsiTheme="majorHAnsi"/>
          <w:color w:val="000000" w:themeColor="text1"/>
          <w:sz w:val="20"/>
          <w:szCs w:val="20"/>
          <w:lang w:val="es-VE"/>
        </w:rPr>
        <w:t xml:space="preserve"> por propios agentes estatales, generó una situación de gran riesgo par</w:t>
      </w:r>
      <w:r w:rsidR="00C73DC1" w:rsidRPr="00707B68">
        <w:rPr>
          <w:rFonts w:asciiTheme="majorHAnsi" w:hAnsiTheme="majorHAnsi"/>
          <w:color w:val="000000" w:themeColor="text1"/>
          <w:sz w:val="20"/>
          <w:szCs w:val="20"/>
          <w:lang w:val="es-VE"/>
        </w:rPr>
        <w:t>a el señor Zapata</w:t>
      </w:r>
      <w:r w:rsidR="0053749E" w:rsidRPr="00707B68">
        <w:rPr>
          <w:rFonts w:asciiTheme="majorHAnsi" w:hAnsiTheme="majorHAnsi"/>
          <w:color w:val="000000" w:themeColor="text1"/>
          <w:sz w:val="20"/>
          <w:szCs w:val="20"/>
          <w:lang w:val="es-VE"/>
        </w:rPr>
        <w:t>, quien</w:t>
      </w:r>
      <w:r w:rsidRPr="00707B68">
        <w:rPr>
          <w:rFonts w:asciiTheme="majorHAnsi" w:hAnsiTheme="majorHAnsi"/>
          <w:color w:val="000000" w:themeColor="text1"/>
          <w:sz w:val="20"/>
          <w:szCs w:val="20"/>
          <w:lang w:val="es-VE"/>
        </w:rPr>
        <w:t xml:space="preserve"> el 3 de mayo de 2000 </w:t>
      </w:r>
      <w:r w:rsidR="0053749E" w:rsidRPr="00707B68">
        <w:rPr>
          <w:rFonts w:asciiTheme="majorHAnsi" w:hAnsiTheme="majorHAnsi"/>
          <w:color w:val="000000" w:themeColor="text1"/>
          <w:sz w:val="20"/>
          <w:szCs w:val="20"/>
          <w:lang w:val="es-VE"/>
        </w:rPr>
        <w:t>fue asesinado por personas no identificadas</w:t>
      </w:r>
      <w:r w:rsidRPr="00707B68">
        <w:rPr>
          <w:rFonts w:asciiTheme="majorHAnsi" w:hAnsiTheme="majorHAnsi"/>
          <w:color w:val="000000" w:themeColor="text1"/>
          <w:sz w:val="20"/>
          <w:szCs w:val="20"/>
          <w:lang w:val="es-VE"/>
        </w:rPr>
        <w:t xml:space="preserve">. Explica que estos hechos se enmarcan en un </w:t>
      </w:r>
      <w:r w:rsidR="00C57CE7" w:rsidRPr="00707B68">
        <w:rPr>
          <w:rFonts w:asciiTheme="majorHAnsi" w:hAnsiTheme="majorHAnsi"/>
          <w:color w:val="000000" w:themeColor="text1"/>
          <w:sz w:val="20"/>
          <w:szCs w:val="20"/>
          <w:lang w:val="es-VE"/>
        </w:rPr>
        <w:t>contexto de persecución contra los de</w:t>
      </w:r>
      <w:r w:rsidR="00522093" w:rsidRPr="00707B68">
        <w:rPr>
          <w:rFonts w:asciiTheme="majorHAnsi" w:hAnsiTheme="majorHAnsi"/>
          <w:color w:val="000000" w:themeColor="text1"/>
          <w:sz w:val="20"/>
          <w:szCs w:val="20"/>
          <w:lang w:val="es-VE"/>
        </w:rPr>
        <w:t>fensores de de</w:t>
      </w:r>
      <w:r w:rsidR="00C57CE7" w:rsidRPr="00707B68">
        <w:rPr>
          <w:rFonts w:asciiTheme="majorHAnsi" w:hAnsiTheme="majorHAnsi"/>
          <w:color w:val="000000" w:themeColor="text1"/>
          <w:sz w:val="20"/>
          <w:szCs w:val="20"/>
          <w:lang w:val="es-VE"/>
        </w:rPr>
        <w:t>rechos humanos en Colombia, que son personas en situación de vulnerabilidad, que coincide temporal y geogr</w:t>
      </w:r>
      <w:r w:rsidR="00083ABD" w:rsidRPr="00707B68">
        <w:rPr>
          <w:rFonts w:asciiTheme="majorHAnsi" w:hAnsiTheme="majorHAnsi"/>
          <w:color w:val="000000" w:themeColor="text1"/>
          <w:sz w:val="20"/>
          <w:szCs w:val="20"/>
          <w:lang w:val="es-VE"/>
        </w:rPr>
        <w:t>áficamente con los hechos del caso y la pr</w:t>
      </w:r>
      <w:r w:rsidR="00BE7BCF" w:rsidRPr="00707B68">
        <w:rPr>
          <w:rFonts w:asciiTheme="majorHAnsi" w:hAnsiTheme="majorHAnsi"/>
          <w:color w:val="000000" w:themeColor="text1"/>
          <w:sz w:val="20"/>
          <w:szCs w:val="20"/>
          <w:lang w:val="es-VE"/>
        </w:rPr>
        <w:t>esencia paramilitar en Segovia.</w:t>
      </w:r>
    </w:p>
    <w:p w14:paraId="17A261CC" w14:textId="77777777" w:rsidR="009209BE" w:rsidRPr="00707B68" w:rsidRDefault="009209BE" w:rsidP="00B46B6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color w:val="000000" w:themeColor="text1"/>
          <w:sz w:val="20"/>
          <w:szCs w:val="20"/>
          <w:lang w:val="es-VE"/>
        </w:rPr>
      </w:pPr>
    </w:p>
    <w:p w14:paraId="4B8E7AF1" w14:textId="05D7E899" w:rsidR="009209BE" w:rsidRPr="00707B68" w:rsidRDefault="009209BE" w:rsidP="00B46B6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 xml:space="preserve">La parte peticionaria </w:t>
      </w:r>
      <w:r w:rsidR="00B46B6F" w:rsidRPr="00707B68">
        <w:rPr>
          <w:rFonts w:asciiTheme="majorHAnsi" w:hAnsiTheme="majorHAnsi"/>
          <w:color w:val="000000" w:themeColor="text1"/>
          <w:sz w:val="20"/>
          <w:szCs w:val="20"/>
          <w:lang w:val="es-VE"/>
        </w:rPr>
        <w:t>alega</w:t>
      </w:r>
      <w:r w:rsidRPr="00707B68">
        <w:rPr>
          <w:rFonts w:asciiTheme="majorHAnsi" w:hAnsiTheme="majorHAnsi"/>
          <w:color w:val="000000" w:themeColor="text1"/>
          <w:sz w:val="20"/>
          <w:szCs w:val="20"/>
          <w:lang w:val="es-VE"/>
        </w:rPr>
        <w:t xml:space="preserve"> que el Estado no garantizó el derecho a la vida del señor Zapata dado que no previno su muerte al no brindar la protección adecuada y suficiente pese a que conocía formalmente de su situación de riesgo, a través de las denuncias formuladas y la medida cautelar otorgada</w:t>
      </w:r>
      <w:r w:rsidR="00BE7BCF" w:rsidRPr="00707B68">
        <w:rPr>
          <w:rFonts w:asciiTheme="majorHAnsi" w:hAnsiTheme="majorHAnsi"/>
          <w:color w:val="000000" w:themeColor="text1"/>
          <w:sz w:val="20"/>
          <w:szCs w:val="20"/>
          <w:lang w:val="es-VE"/>
        </w:rPr>
        <w:t xml:space="preserve"> por la CIDH</w:t>
      </w:r>
      <w:r w:rsidRPr="00707B68">
        <w:rPr>
          <w:rFonts w:asciiTheme="majorHAnsi" w:hAnsiTheme="majorHAnsi"/>
          <w:color w:val="000000" w:themeColor="text1"/>
          <w:sz w:val="20"/>
          <w:szCs w:val="20"/>
          <w:lang w:val="es-VE"/>
        </w:rPr>
        <w:t>. Señaló que no realizó el análisis del nivel de riesgo ni tomó en cuenta el contexto de persecución “contra aquellos que consideraban contrarios a los interes</w:t>
      </w:r>
      <w:r w:rsidR="0053749E" w:rsidRPr="00707B68">
        <w:rPr>
          <w:rFonts w:asciiTheme="majorHAnsi" w:hAnsiTheme="majorHAnsi"/>
          <w:color w:val="000000" w:themeColor="text1"/>
          <w:sz w:val="20"/>
          <w:szCs w:val="20"/>
          <w:lang w:val="es-VE"/>
        </w:rPr>
        <w:t>es del Estado”. Asimismo, señala</w:t>
      </w:r>
      <w:r w:rsidRPr="00707B68">
        <w:rPr>
          <w:rFonts w:asciiTheme="majorHAnsi" w:hAnsiTheme="majorHAnsi"/>
          <w:color w:val="000000" w:themeColor="text1"/>
          <w:sz w:val="20"/>
          <w:szCs w:val="20"/>
          <w:lang w:val="es-VE"/>
        </w:rPr>
        <w:t xml:space="preserve"> que incumplió su deber reforzado de protección por tratarse  de la vida e integridad de un defensor de derechos humanos.</w:t>
      </w:r>
    </w:p>
    <w:p w14:paraId="340F535B" w14:textId="77777777" w:rsidR="00784B7B" w:rsidRPr="00707B68" w:rsidRDefault="00784B7B" w:rsidP="00B46B6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color w:val="000000" w:themeColor="text1"/>
          <w:sz w:val="20"/>
          <w:szCs w:val="20"/>
          <w:lang w:val="es-VE"/>
        </w:rPr>
      </w:pPr>
    </w:p>
    <w:p w14:paraId="4AFDA1CD" w14:textId="79394126" w:rsidR="005C4FD7" w:rsidRPr="00707B68" w:rsidRDefault="005C4FD7" w:rsidP="00B46B6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La parte peticionaria indic</w:t>
      </w:r>
      <w:r w:rsidR="0053749E" w:rsidRPr="00707B68">
        <w:rPr>
          <w:rFonts w:asciiTheme="majorHAnsi" w:hAnsiTheme="majorHAnsi"/>
          <w:color w:val="000000" w:themeColor="text1"/>
          <w:sz w:val="20"/>
          <w:szCs w:val="20"/>
          <w:lang w:val="es-VE"/>
        </w:rPr>
        <w:t>a</w:t>
      </w:r>
      <w:r w:rsidR="00FA4217" w:rsidRPr="00707B68">
        <w:rPr>
          <w:rFonts w:asciiTheme="majorHAnsi" w:hAnsiTheme="majorHAnsi"/>
          <w:color w:val="000000" w:themeColor="text1"/>
          <w:sz w:val="20"/>
          <w:szCs w:val="20"/>
          <w:lang w:val="es-VE"/>
        </w:rPr>
        <w:t xml:space="preserve"> que dado</w:t>
      </w:r>
      <w:r w:rsidR="00166902" w:rsidRPr="00707B68">
        <w:rPr>
          <w:rFonts w:asciiTheme="majorHAnsi" w:hAnsiTheme="majorHAnsi"/>
          <w:color w:val="000000" w:themeColor="text1"/>
          <w:sz w:val="20"/>
          <w:szCs w:val="20"/>
          <w:lang w:val="es-VE"/>
        </w:rPr>
        <w:t>s</w:t>
      </w:r>
      <w:r w:rsidR="00FA4217" w:rsidRPr="00707B68">
        <w:rPr>
          <w:rFonts w:asciiTheme="majorHAnsi" w:hAnsiTheme="majorHAnsi"/>
          <w:color w:val="000000" w:themeColor="text1"/>
          <w:sz w:val="20"/>
          <w:szCs w:val="20"/>
          <w:lang w:val="es-VE"/>
        </w:rPr>
        <w:t xml:space="preserve"> los hostigamientos sufridos a través de denuncias falsas interpuestas </w:t>
      </w:r>
      <w:r w:rsidR="0027686C" w:rsidRPr="00707B68">
        <w:rPr>
          <w:rFonts w:asciiTheme="majorHAnsi" w:hAnsiTheme="majorHAnsi"/>
          <w:color w:val="000000" w:themeColor="text1"/>
          <w:sz w:val="20"/>
          <w:szCs w:val="20"/>
          <w:lang w:val="es-VE"/>
        </w:rPr>
        <w:t xml:space="preserve">por las propias autoridades </w:t>
      </w:r>
      <w:r w:rsidR="00FA4217" w:rsidRPr="00707B68">
        <w:rPr>
          <w:rFonts w:asciiTheme="majorHAnsi" w:hAnsiTheme="majorHAnsi"/>
          <w:color w:val="000000" w:themeColor="text1"/>
          <w:sz w:val="20"/>
          <w:szCs w:val="20"/>
          <w:lang w:val="es-VE"/>
        </w:rPr>
        <w:t>en su contra, el allanamiento a su vivienda, las denuncias en contra de otros miembros del Colectivo “Semillas de Libertad”</w:t>
      </w:r>
      <w:r w:rsidR="004D34B8" w:rsidRPr="00707B68">
        <w:rPr>
          <w:rFonts w:asciiTheme="majorHAnsi" w:hAnsiTheme="majorHAnsi"/>
          <w:color w:val="000000" w:themeColor="text1"/>
          <w:sz w:val="20"/>
          <w:szCs w:val="20"/>
          <w:lang w:val="es-VE"/>
        </w:rPr>
        <w:t xml:space="preserve"> (en adelante “el CODEHSEL”)</w:t>
      </w:r>
      <w:r w:rsidR="00FA4217" w:rsidRPr="00707B68">
        <w:rPr>
          <w:rFonts w:asciiTheme="majorHAnsi" w:hAnsiTheme="majorHAnsi"/>
          <w:color w:val="000000" w:themeColor="text1"/>
          <w:sz w:val="20"/>
          <w:szCs w:val="20"/>
          <w:lang w:val="es-VE"/>
        </w:rPr>
        <w:t xml:space="preserve">, y su </w:t>
      </w:r>
      <w:r w:rsidR="0027686C" w:rsidRPr="00707B68">
        <w:rPr>
          <w:rFonts w:asciiTheme="majorHAnsi" w:hAnsiTheme="majorHAnsi"/>
          <w:color w:val="000000" w:themeColor="text1"/>
          <w:sz w:val="20"/>
          <w:szCs w:val="20"/>
          <w:lang w:val="es-VE"/>
        </w:rPr>
        <w:t xml:space="preserve">fabricada </w:t>
      </w:r>
      <w:r w:rsidR="00FA4217" w:rsidRPr="00707B68">
        <w:rPr>
          <w:rFonts w:asciiTheme="majorHAnsi" w:hAnsiTheme="majorHAnsi"/>
          <w:color w:val="000000" w:themeColor="text1"/>
          <w:sz w:val="20"/>
          <w:szCs w:val="20"/>
          <w:lang w:val="es-VE"/>
        </w:rPr>
        <w:t xml:space="preserve">vinculación al ELN, el Estado vulneró el derecho </w:t>
      </w:r>
      <w:r w:rsidR="0027686C" w:rsidRPr="00707B68">
        <w:rPr>
          <w:rFonts w:asciiTheme="majorHAnsi" w:hAnsiTheme="majorHAnsi"/>
          <w:color w:val="000000" w:themeColor="text1"/>
          <w:sz w:val="20"/>
          <w:szCs w:val="20"/>
          <w:lang w:val="es-VE"/>
        </w:rPr>
        <w:t xml:space="preserve">a la integridad personal y la seguridad personal del señor </w:t>
      </w:r>
      <w:r w:rsidR="009F434D" w:rsidRPr="00707B68">
        <w:rPr>
          <w:rFonts w:asciiTheme="majorHAnsi" w:hAnsiTheme="majorHAnsi"/>
          <w:color w:val="000000" w:themeColor="text1"/>
          <w:sz w:val="20"/>
          <w:szCs w:val="20"/>
          <w:lang w:val="es-VE"/>
        </w:rPr>
        <w:t>Zapata</w:t>
      </w:r>
      <w:r w:rsidR="0027686C" w:rsidRPr="00707B68">
        <w:rPr>
          <w:rFonts w:asciiTheme="majorHAnsi" w:hAnsiTheme="majorHAnsi"/>
          <w:color w:val="000000" w:themeColor="text1"/>
          <w:sz w:val="20"/>
          <w:szCs w:val="20"/>
          <w:lang w:val="es-VE"/>
        </w:rPr>
        <w:t xml:space="preserve"> y sus familiares. </w:t>
      </w:r>
      <w:r w:rsidR="0053749E" w:rsidRPr="00707B68">
        <w:rPr>
          <w:rFonts w:asciiTheme="majorHAnsi" w:hAnsiTheme="majorHAnsi"/>
          <w:color w:val="000000" w:themeColor="text1"/>
          <w:sz w:val="20"/>
          <w:szCs w:val="20"/>
          <w:lang w:val="es-VE"/>
        </w:rPr>
        <w:t>Sostiene</w:t>
      </w:r>
      <w:r w:rsidR="0027686C" w:rsidRPr="00707B68">
        <w:rPr>
          <w:rFonts w:asciiTheme="majorHAnsi" w:hAnsiTheme="majorHAnsi"/>
          <w:color w:val="000000" w:themeColor="text1"/>
          <w:sz w:val="20"/>
          <w:szCs w:val="20"/>
          <w:lang w:val="es-VE"/>
        </w:rPr>
        <w:t xml:space="preserve"> también que esta situación de hostigamiento generó que él y su familia se desplazaran forzadamente vulnerándose también </w:t>
      </w:r>
      <w:r w:rsidR="003B4200" w:rsidRPr="00707B68">
        <w:rPr>
          <w:rFonts w:asciiTheme="majorHAnsi" w:hAnsiTheme="majorHAnsi"/>
          <w:color w:val="000000" w:themeColor="text1"/>
          <w:sz w:val="20"/>
          <w:szCs w:val="20"/>
          <w:lang w:val="es-VE"/>
        </w:rPr>
        <w:t xml:space="preserve">su </w:t>
      </w:r>
      <w:r w:rsidR="0027686C" w:rsidRPr="00707B68">
        <w:rPr>
          <w:rFonts w:asciiTheme="majorHAnsi" w:hAnsiTheme="majorHAnsi"/>
          <w:color w:val="000000" w:themeColor="text1"/>
          <w:sz w:val="20"/>
          <w:szCs w:val="20"/>
          <w:lang w:val="es-VE"/>
        </w:rPr>
        <w:t>libertad de circulación y residencia</w:t>
      </w:r>
      <w:r w:rsidR="003B4200" w:rsidRPr="00707B68">
        <w:rPr>
          <w:rFonts w:asciiTheme="majorHAnsi" w:hAnsiTheme="majorHAnsi"/>
          <w:color w:val="000000" w:themeColor="text1"/>
          <w:sz w:val="20"/>
          <w:szCs w:val="20"/>
          <w:lang w:val="es-VE"/>
        </w:rPr>
        <w:t xml:space="preserve"> y que su retorno, pese al peligro imperante, tuv</w:t>
      </w:r>
      <w:r w:rsidR="00367DEF" w:rsidRPr="00707B68">
        <w:rPr>
          <w:rFonts w:asciiTheme="majorHAnsi" w:hAnsiTheme="majorHAnsi"/>
          <w:color w:val="000000" w:themeColor="text1"/>
          <w:sz w:val="20"/>
          <w:szCs w:val="20"/>
          <w:lang w:val="es-VE"/>
        </w:rPr>
        <w:t>o</w:t>
      </w:r>
      <w:r w:rsidR="003B4200" w:rsidRPr="00707B68">
        <w:rPr>
          <w:rFonts w:asciiTheme="majorHAnsi" w:hAnsiTheme="majorHAnsi"/>
          <w:color w:val="000000" w:themeColor="text1"/>
          <w:sz w:val="20"/>
          <w:szCs w:val="20"/>
          <w:lang w:val="es-VE"/>
        </w:rPr>
        <w:t xml:space="preserve"> una motivación económica y laboral</w:t>
      </w:r>
      <w:r w:rsidR="00367DEF" w:rsidRPr="00707B68">
        <w:rPr>
          <w:rFonts w:asciiTheme="majorHAnsi" w:hAnsiTheme="majorHAnsi"/>
          <w:color w:val="000000" w:themeColor="text1"/>
          <w:sz w:val="20"/>
          <w:szCs w:val="20"/>
          <w:lang w:val="es-VE"/>
        </w:rPr>
        <w:t xml:space="preserve"> por la falta de condiciones en su reasentamiento en Medellín</w:t>
      </w:r>
      <w:r w:rsidR="0027686C" w:rsidRPr="00707B68">
        <w:rPr>
          <w:rFonts w:asciiTheme="majorHAnsi" w:hAnsiTheme="majorHAnsi"/>
          <w:color w:val="000000" w:themeColor="text1"/>
          <w:sz w:val="20"/>
          <w:szCs w:val="20"/>
          <w:lang w:val="es-VE"/>
        </w:rPr>
        <w:t xml:space="preserve">. </w:t>
      </w:r>
      <w:r w:rsidR="0053749E" w:rsidRPr="00707B68">
        <w:rPr>
          <w:rFonts w:asciiTheme="majorHAnsi" w:hAnsiTheme="majorHAnsi"/>
          <w:color w:val="000000" w:themeColor="text1"/>
          <w:sz w:val="20"/>
          <w:szCs w:val="20"/>
          <w:lang w:val="es-VE"/>
        </w:rPr>
        <w:t>En el caso de su</w:t>
      </w:r>
      <w:r w:rsidR="006D0861" w:rsidRPr="00707B68">
        <w:rPr>
          <w:rFonts w:asciiTheme="majorHAnsi" w:hAnsiTheme="majorHAnsi"/>
          <w:color w:val="000000" w:themeColor="text1"/>
          <w:sz w:val="20"/>
          <w:szCs w:val="20"/>
          <w:lang w:val="es-VE"/>
        </w:rPr>
        <w:t xml:space="preserve"> familia, la parte peticionaria también dedujo un sufrimiento atribuible al Estado por la falta de m</w:t>
      </w:r>
      <w:r w:rsidR="00BE7BCF" w:rsidRPr="00707B68">
        <w:rPr>
          <w:rFonts w:asciiTheme="majorHAnsi" w:hAnsiTheme="majorHAnsi"/>
          <w:color w:val="000000" w:themeColor="text1"/>
          <w:sz w:val="20"/>
          <w:szCs w:val="20"/>
          <w:lang w:val="es-VE"/>
        </w:rPr>
        <w:t>edidas de justicia y reparación.</w:t>
      </w:r>
    </w:p>
    <w:p w14:paraId="7F3503D8" w14:textId="77777777" w:rsidR="00BE7BCF" w:rsidRPr="00707B68" w:rsidRDefault="00BE7BCF" w:rsidP="00E86463"/>
    <w:p w14:paraId="2FE17586" w14:textId="602120CF" w:rsidR="006D0861" w:rsidRPr="00707B68" w:rsidRDefault="006D0861" w:rsidP="00B46B6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En relación con el derecho a la honra y digni</w:t>
      </w:r>
      <w:r w:rsidR="0053749E" w:rsidRPr="00707B68">
        <w:rPr>
          <w:rFonts w:asciiTheme="majorHAnsi" w:hAnsiTheme="majorHAnsi"/>
          <w:color w:val="000000" w:themeColor="text1"/>
          <w:sz w:val="20"/>
          <w:szCs w:val="20"/>
          <w:lang w:val="es-VE"/>
        </w:rPr>
        <w:t>dad, la parte peticionaria alega</w:t>
      </w:r>
      <w:r w:rsidRPr="00707B68">
        <w:rPr>
          <w:rFonts w:asciiTheme="majorHAnsi" w:hAnsiTheme="majorHAnsi"/>
          <w:color w:val="000000" w:themeColor="text1"/>
          <w:sz w:val="20"/>
          <w:szCs w:val="20"/>
          <w:lang w:val="es-VE"/>
        </w:rPr>
        <w:t xml:space="preserve"> que las investigaciones sobre su pertenencia a grupos armados al margen de la ley se trataron de calumnias</w:t>
      </w:r>
      <w:r w:rsidR="00C2519B" w:rsidRPr="00707B68">
        <w:rPr>
          <w:rFonts w:asciiTheme="majorHAnsi" w:hAnsiTheme="majorHAnsi"/>
          <w:color w:val="000000" w:themeColor="text1"/>
          <w:sz w:val="20"/>
          <w:szCs w:val="20"/>
          <w:lang w:val="es-VE"/>
        </w:rPr>
        <w:t>.</w:t>
      </w:r>
      <w:r w:rsidR="0053749E" w:rsidRPr="00707B68">
        <w:rPr>
          <w:rFonts w:asciiTheme="majorHAnsi" w:hAnsiTheme="majorHAnsi"/>
          <w:color w:val="000000" w:themeColor="text1"/>
          <w:sz w:val="20"/>
          <w:szCs w:val="20"/>
          <w:lang w:val="es-VE"/>
        </w:rPr>
        <w:t xml:space="preserve"> Agrega</w:t>
      </w:r>
      <w:r w:rsidRPr="00707B68">
        <w:rPr>
          <w:rFonts w:asciiTheme="majorHAnsi" w:hAnsiTheme="majorHAnsi"/>
          <w:color w:val="000000" w:themeColor="text1"/>
          <w:sz w:val="20"/>
          <w:szCs w:val="20"/>
          <w:lang w:val="es-VE"/>
        </w:rPr>
        <w:t xml:space="preserve"> que las actividades de inteligencia a las que estuvo expuesto causaron que al momento de su muerte, la imagen del señor Zapata estuviera “manchada con acusaciones”. </w:t>
      </w:r>
    </w:p>
    <w:p w14:paraId="7766597D" w14:textId="77777777" w:rsidR="008B30A3" w:rsidRPr="00707B68" w:rsidRDefault="008B30A3" w:rsidP="00B46B6F">
      <w:pPr>
        <w:tabs>
          <w:tab w:val="left" w:pos="360"/>
        </w:tabs>
        <w:rPr>
          <w:rFonts w:asciiTheme="majorHAnsi" w:hAnsiTheme="majorHAnsi"/>
          <w:color w:val="000000" w:themeColor="text1"/>
          <w:sz w:val="20"/>
          <w:szCs w:val="20"/>
          <w:lang w:val="es-VE"/>
        </w:rPr>
      </w:pPr>
    </w:p>
    <w:p w14:paraId="2C83F903" w14:textId="41A686B4" w:rsidR="002349F9" w:rsidRPr="00707B68" w:rsidRDefault="00D80149" w:rsidP="00B46B6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suppressAutoHyphens/>
        <w:ind w:left="0" w:firstLine="0"/>
        <w:jc w:val="both"/>
        <w:rPr>
          <w:rFonts w:asciiTheme="majorHAnsi" w:hAnsiTheme="majorHAnsi"/>
          <w:color w:val="548DD4" w:themeColor="text2" w:themeTint="99"/>
          <w:sz w:val="20"/>
          <w:szCs w:val="20"/>
          <w:lang w:val="es-VE"/>
        </w:rPr>
      </w:pPr>
      <w:r w:rsidRPr="00707B68">
        <w:rPr>
          <w:rFonts w:asciiTheme="majorHAnsi" w:hAnsiTheme="majorHAnsi"/>
          <w:color w:val="000000" w:themeColor="text1"/>
          <w:sz w:val="20"/>
          <w:szCs w:val="20"/>
          <w:lang w:val="es-VE"/>
        </w:rPr>
        <w:t xml:space="preserve">La parte peticionaria </w:t>
      </w:r>
      <w:r w:rsidR="00FC5158" w:rsidRPr="00707B68">
        <w:rPr>
          <w:rFonts w:asciiTheme="majorHAnsi" w:hAnsiTheme="majorHAnsi"/>
          <w:color w:val="000000" w:themeColor="text1"/>
          <w:sz w:val="20"/>
          <w:szCs w:val="20"/>
          <w:lang w:val="es-VE"/>
        </w:rPr>
        <w:t>alega que el Estado vulneró los derechos a las garantías judiciales, a la protección judicial y a la verdad de los familiares del señor Zapata. S</w:t>
      </w:r>
      <w:r w:rsidR="0053749E" w:rsidRPr="00707B68">
        <w:rPr>
          <w:rFonts w:asciiTheme="majorHAnsi" w:hAnsiTheme="majorHAnsi"/>
          <w:color w:val="000000" w:themeColor="text1"/>
          <w:sz w:val="20"/>
          <w:szCs w:val="20"/>
          <w:lang w:val="es-VE"/>
        </w:rPr>
        <w:t>eñala</w:t>
      </w:r>
      <w:r w:rsidR="00A922B1" w:rsidRPr="00707B68">
        <w:rPr>
          <w:rFonts w:asciiTheme="majorHAnsi" w:hAnsiTheme="majorHAnsi"/>
          <w:color w:val="000000" w:themeColor="text1"/>
          <w:sz w:val="20"/>
          <w:szCs w:val="20"/>
          <w:lang w:val="es-VE"/>
        </w:rPr>
        <w:t xml:space="preserve"> </w:t>
      </w:r>
      <w:r w:rsidRPr="00707B68">
        <w:rPr>
          <w:rFonts w:asciiTheme="majorHAnsi" w:hAnsiTheme="majorHAnsi"/>
          <w:color w:val="000000" w:themeColor="text1"/>
          <w:sz w:val="20"/>
          <w:szCs w:val="20"/>
          <w:lang w:val="es-VE"/>
        </w:rPr>
        <w:t xml:space="preserve">que el Estado incumplió su deber de investigar con la debida diligencia y en un plazo razonable la </w:t>
      </w:r>
      <w:r w:rsidR="00FC5158" w:rsidRPr="00707B68">
        <w:rPr>
          <w:rFonts w:asciiTheme="majorHAnsi" w:hAnsiTheme="majorHAnsi"/>
          <w:color w:val="000000" w:themeColor="text1"/>
          <w:sz w:val="20"/>
          <w:szCs w:val="20"/>
          <w:lang w:val="es-VE"/>
        </w:rPr>
        <w:t>muerte</w:t>
      </w:r>
      <w:r w:rsidRPr="00707B68">
        <w:rPr>
          <w:rFonts w:asciiTheme="majorHAnsi" w:hAnsiTheme="majorHAnsi"/>
          <w:color w:val="000000" w:themeColor="text1"/>
          <w:sz w:val="20"/>
          <w:szCs w:val="20"/>
          <w:lang w:val="es-VE"/>
        </w:rPr>
        <w:t xml:space="preserve"> del señor Zapata. </w:t>
      </w:r>
      <w:r w:rsidR="00FC5158" w:rsidRPr="00707B68">
        <w:rPr>
          <w:rFonts w:asciiTheme="majorHAnsi" w:hAnsiTheme="majorHAnsi"/>
          <w:color w:val="000000" w:themeColor="text1"/>
          <w:sz w:val="20"/>
          <w:szCs w:val="20"/>
          <w:lang w:val="es-VE"/>
        </w:rPr>
        <w:t>Explica que</w:t>
      </w:r>
      <w:r w:rsidRPr="00707B68">
        <w:rPr>
          <w:rFonts w:asciiTheme="majorHAnsi" w:hAnsiTheme="majorHAnsi"/>
          <w:color w:val="000000" w:themeColor="text1"/>
          <w:sz w:val="20"/>
          <w:szCs w:val="20"/>
          <w:lang w:val="es-VE"/>
        </w:rPr>
        <w:t xml:space="preserve"> el proceso ha enfrentado obstrucción probatoria, </w:t>
      </w:r>
      <w:r w:rsidR="00223A61" w:rsidRPr="00707B68">
        <w:rPr>
          <w:rFonts w:asciiTheme="majorHAnsi" w:hAnsiTheme="majorHAnsi"/>
          <w:color w:val="000000" w:themeColor="text1"/>
          <w:sz w:val="20"/>
          <w:szCs w:val="20"/>
          <w:lang w:val="es-VE"/>
        </w:rPr>
        <w:t xml:space="preserve">denegatoria de autoridades de práctica de diligencias necesarias en muertes violentas, no incorporación de líneas lógicas relacionada con su labor de defensa de derechos humanos ni estudio adecuado de los indicios de participación de agentes estatales en el asesinato. </w:t>
      </w:r>
    </w:p>
    <w:p w14:paraId="5DF4B171" w14:textId="77777777" w:rsidR="000A32AF" w:rsidRPr="00707B68" w:rsidRDefault="000A32AF" w:rsidP="00B46B6F">
      <w:pPr>
        <w:tabs>
          <w:tab w:val="left" w:pos="360"/>
        </w:tabs>
        <w:rPr>
          <w:rFonts w:asciiTheme="majorHAnsi" w:hAnsiTheme="majorHAnsi"/>
          <w:sz w:val="20"/>
        </w:rPr>
      </w:pPr>
    </w:p>
    <w:p w14:paraId="0F483596" w14:textId="5F769F06" w:rsidR="00361415" w:rsidRPr="00707B68" w:rsidRDefault="00FC5158" w:rsidP="00B46B6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suppressAutoHyphens/>
        <w:ind w:left="0" w:firstLine="0"/>
        <w:jc w:val="both"/>
        <w:rPr>
          <w:rFonts w:asciiTheme="majorHAnsi" w:hAnsiTheme="majorHAnsi"/>
          <w:sz w:val="20"/>
          <w:szCs w:val="20"/>
          <w:lang w:val="es-VE"/>
        </w:rPr>
      </w:pPr>
      <w:r w:rsidRPr="00707B68">
        <w:rPr>
          <w:rFonts w:asciiTheme="majorHAnsi" w:hAnsiTheme="majorHAnsi"/>
          <w:sz w:val="20"/>
          <w:szCs w:val="20"/>
          <w:lang w:val="es-VE"/>
        </w:rPr>
        <w:t>Finalmente, l</w:t>
      </w:r>
      <w:r w:rsidR="000A32AF" w:rsidRPr="00707B68">
        <w:rPr>
          <w:rFonts w:asciiTheme="majorHAnsi" w:hAnsiTheme="majorHAnsi"/>
          <w:sz w:val="20"/>
          <w:szCs w:val="20"/>
          <w:lang w:val="es-VE"/>
        </w:rPr>
        <w:t xml:space="preserve">a parte peticionaria </w:t>
      </w:r>
      <w:r w:rsidRPr="00707B68">
        <w:rPr>
          <w:rFonts w:asciiTheme="majorHAnsi" w:hAnsiTheme="majorHAnsi"/>
          <w:sz w:val="20"/>
          <w:szCs w:val="20"/>
          <w:lang w:val="es-VE"/>
        </w:rPr>
        <w:t>alega</w:t>
      </w:r>
      <w:r w:rsidR="000A32AF" w:rsidRPr="00707B68">
        <w:rPr>
          <w:rFonts w:asciiTheme="majorHAnsi" w:hAnsiTheme="majorHAnsi"/>
          <w:sz w:val="20"/>
          <w:szCs w:val="20"/>
          <w:lang w:val="es-VE"/>
        </w:rPr>
        <w:t xml:space="preserve"> </w:t>
      </w:r>
      <w:r w:rsidR="00F14F91" w:rsidRPr="00707B68">
        <w:rPr>
          <w:rFonts w:asciiTheme="majorHAnsi" w:hAnsiTheme="majorHAnsi"/>
          <w:sz w:val="20"/>
          <w:szCs w:val="20"/>
          <w:lang w:val="es-VE"/>
        </w:rPr>
        <w:t xml:space="preserve">que los hostigamientos de los que fue objeto y las amenazas sufridas tuvieron como objetivo la obstaculización del liderazgo social y la labor de defensa de los derechos humanos del señor Zapata, lo que </w:t>
      </w:r>
      <w:r w:rsidR="002B1233" w:rsidRPr="00707B68">
        <w:rPr>
          <w:rFonts w:asciiTheme="majorHAnsi" w:hAnsiTheme="majorHAnsi"/>
          <w:sz w:val="20"/>
          <w:szCs w:val="20"/>
          <w:lang w:val="es-VE"/>
        </w:rPr>
        <w:t xml:space="preserve">además </w:t>
      </w:r>
      <w:r w:rsidR="00F14F91" w:rsidRPr="00707B68">
        <w:rPr>
          <w:rFonts w:asciiTheme="majorHAnsi" w:hAnsiTheme="majorHAnsi"/>
          <w:sz w:val="20"/>
          <w:szCs w:val="20"/>
          <w:lang w:val="es-VE"/>
        </w:rPr>
        <w:t xml:space="preserve">tuvo un efecto amedrentador respecto de las demás personas defensoras de sus organizaciones. </w:t>
      </w:r>
      <w:r w:rsidRPr="00707B68">
        <w:rPr>
          <w:rFonts w:asciiTheme="majorHAnsi" w:hAnsiTheme="majorHAnsi"/>
          <w:sz w:val="20"/>
          <w:szCs w:val="20"/>
          <w:lang w:val="es-VE"/>
        </w:rPr>
        <w:t>Sostiene que debido a ello</w:t>
      </w:r>
      <w:r w:rsidR="00F14F91" w:rsidRPr="00707B68">
        <w:rPr>
          <w:rFonts w:asciiTheme="majorHAnsi" w:hAnsiTheme="majorHAnsi"/>
          <w:sz w:val="20"/>
          <w:szCs w:val="20"/>
          <w:lang w:val="es-VE"/>
        </w:rPr>
        <w:t xml:space="preserve"> que </w:t>
      </w:r>
      <w:r w:rsidR="000A32AF" w:rsidRPr="00707B68">
        <w:rPr>
          <w:rFonts w:asciiTheme="majorHAnsi" w:hAnsiTheme="majorHAnsi"/>
          <w:sz w:val="20"/>
          <w:szCs w:val="20"/>
          <w:lang w:val="es-VE"/>
        </w:rPr>
        <w:t xml:space="preserve">el Estado vulneró el derecho </w:t>
      </w:r>
      <w:r w:rsidR="00B475D4" w:rsidRPr="00707B68">
        <w:rPr>
          <w:rFonts w:asciiTheme="majorHAnsi" w:hAnsiTheme="majorHAnsi"/>
          <w:sz w:val="20"/>
          <w:szCs w:val="20"/>
          <w:lang w:val="es-VE"/>
        </w:rPr>
        <w:t>autónomo a</w:t>
      </w:r>
      <w:r w:rsidR="000A32AF" w:rsidRPr="00707B68">
        <w:rPr>
          <w:rFonts w:asciiTheme="majorHAnsi" w:hAnsiTheme="majorHAnsi"/>
          <w:sz w:val="20"/>
          <w:szCs w:val="20"/>
          <w:lang w:val="es-VE"/>
        </w:rPr>
        <w:t xml:space="preserve"> defend</w:t>
      </w:r>
      <w:r w:rsidR="00367DEF" w:rsidRPr="00707B68">
        <w:rPr>
          <w:rFonts w:asciiTheme="majorHAnsi" w:hAnsiTheme="majorHAnsi"/>
          <w:sz w:val="20"/>
          <w:szCs w:val="20"/>
          <w:lang w:val="es-VE"/>
        </w:rPr>
        <w:t>er derechos</w:t>
      </w:r>
      <w:r w:rsidR="00F14F91" w:rsidRPr="00707B68">
        <w:rPr>
          <w:rFonts w:asciiTheme="majorHAnsi" w:hAnsiTheme="majorHAnsi"/>
          <w:sz w:val="20"/>
          <w:szCs w:val="20"/>
          <w:lang w:val="es-VE"/>
        </w:rPr>
        <w:t xml:space="preserve">. </w:t>
      </w:r>
      <w:r w:rsidRPr="00707B68">
        <w:rPr>
          <w:rFonts w:asciiTheme="majorHAnsi" w:hAnsiTheme="majorHAnsi"/>
          <w:sz w:val="20"/>
          <w:szCs w:val="20"/>
          <w:lang w:val="es-VE"/>
        </w:rPr>
        <w:t>Explica que</w:t>
      </w:r>
      <w:r w:rsidR="00F14F91" w:rsidRPr="00707B68">
        <w:rPr>
          <w:rFonts w:asciiTheme="majorHAnsi" w:hAnsiTheme="majorHAnsi"/>
          <w:sz w:val="20"/>
          <w:szCs w:val="20"/>
          <w:lang w:val="es-VE"/>
        </w:rPr>
        <w:t xml:space="preserve"> dicho derecho </w:t>
      </w:r>
      <w:r w:rsidR="00367DEF" w:rsidRPr="00707B68">
        <w:rPr>
          <w:rFonts w:asciiTheme="majorHAnsi" w:hAnsiTheme="majorHAnsi"/>
          <w:sz w:val="20"/>
          <w:szCs w:val="20"/>
          <w:lang w:val="es-VE"/>
        </w:rPr>
        <w:t>deriva de</w:t>
      </w:r>
      <w:r w:rsidR="00863BAF" w:rsidRPr="00707B68">
        <w:rPr>
          <w:rFonts w:asciiTheme="majorHAnsi" w:hAnsiTheme="majorHAnsi"/>
          <w:sz w:val="20"/>
          <w:szCs w:val="20"/>
          <w:lang w:val="es-VE"/>
        </w:rPr>
        <w:t xml:space="preserve"> </w:t>
      </w:r>
      <w:r w:rsidR="00367DEF" w:rsidRPr="00707B68">
        <w:rPr>
          <w:rFonts w:asciiTheme="majorHAnsi" w:hAnsiTheme="majorHAnsi"/>
          <w:sz w:val="20"/>
          <w:szCs w:val="20"/>
          <w:lang w:val="es-VE"/>
        </w:rPr>
        <w:t>l</w:t>
      </w:r>
      <w:r w:rsidR="002B1233" w:rsidRPr="00707B68">
        <w:rPr>
          <w:rFonts w:asciiTheme="majorHAnsi" w:hAnsiTheme="majorHAnsi"/>
          <w:sz w:val="20"/>
          <w:szCs w:val="20"/>
          <w:lang w:val="es-VE"/>
        </w:rPr>
        <w:t>os</w:t>
      </w:r>
      <w:r w:rsidR="00367DEF" w:rsidRPr="00707B68">
        <w:rPr>
          <w:rFonts w:asciiTheme="majorHAnsi" w:hAnsiTheme="majorHAnsi"/>
          <w:sz w:val="20"/>
          <w:szCs w:val="20"/>
          <w:lang w:val="es-VE"/>
        </w:rPr>
        <w:t xml:space="preserve"> derecho</w:t>
      </w:r>
      <w:r w:rsidR="002B1233" w:rsidRPr="00707B68">
        <w:rPr>
          <w:rFonts w:asciiTheme="majorHAnsi" w:hAnsiTheme="majorHAnsi"/>
          <w:sz w:val="20"/>
          <w:szCs w:val="20"/>
          <w:lang w:val="es-VE"/>
        </w:rPr>
        <w:t>s</w:t>
      </w:r>
      <w:r w:rsidR="00367DEF" w:rsidRPr="00707B68">
        <w:rPr>
          <w:rFonts w:asciiTheme="majorHAnsi" w:hAnsiTheme="majorHAnsi"/>
          <w:sz w:val="20"/>
          <w:szCs w:val="20"/>
          <w:lang w:val="es-VE"/>
        </w:rPr>
        <w:t xml:space="preserve"> a la libertad de expresión, la libertad de asociación, el derecho de libertad y residencia, el derecho de participación política y la protecci</w:t>
      </w:r>
      <w:r w:rsidR="00F14F91" w:rsidRPr="00707B68">
        <w:rPr>
          <w:rFonts w:asciiTheme="majorHAnsi" w:hAnsiTheme="majorHAnsi"/>
          <w:sz w:val="20"/>
          <w:szCs w:val="20"/>
          <w:lang w:val="es-VE"/>
        </w:rPr>
        <w:t xml:space="preserve">ón judicial. </w:t>
      </w:r>
    </w:p>
    <w:p w14:paraId="603C86CB" w14:textId="77777777" w:rsidR="002B1233" w:rsidRPr="00707B68" w:rsidRDefault="002B1233" w:rsidP="002B1233">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suppressAutoHyphens/>
        <w:jc w:val="both"/>
        <w:rPr>
          <w:rFonts w:asciiTheme="majorHAnsi" w:hAnsiTheme="majorHAnsi"/>
          <w:color w:val="548DD4" w:themeColor="text2" w:themeTint="99"/>
          <w:sz w:val="20"/>
          <w:szCs w:val="20"/>
          <w:lang w:val="es-VE"/>
        </w:rPr>
      </w:pPr>
    </w:p>
    <w:p w14:paraId="0D0C08A5" w14:textId="77777777" w:rsidR="00D12193" w:rsidRPr="00707B68" w:rsidRDefault="0022273F" w:rsidP="00147351">
      <w:pPr>
        <w:pStyle w:val="Heading2"/>
      </w:pPr>
      <w:bookmarkStart w:id="5" w:name="_Toc456358858"/>
      <w:r w:rsidRPr="00707B68">
        <w:t>Estado</w:t>
      </w:r>
      <w:bookmarkEnd w:id="5"/>
      <w:r w:rsidR="00CC63CF" w:rsidRPr="00707B68">
        <w:t xml:space="preserve"> </w:t>
      </w:r>
    </w:p>
    <w:p w14:paraId="21B44ED3" w14:textId="77777777" w:rsidR="007C756A" w:rsidRPr="00707B68" w:rsidRDefault="007C756A" w:rsidP="00FC5158">
      <w:pPr>
        <w:tabs>
          <w:tab w:val="left" w:pos="360"/>
        </w:tabs>
        <w:suppressAutoHyphens/>
        <w:rPr>
          <w:rFonts w:asciiTheme="majorHAnsi" w:hAnsiTheme="majorHAnsi"/>
          <w:sz w:val="20"/>
          <w:szCs w:val="20"/>
        </w:rPr>
      </w:pPr>
    </w:p>
    <w:p w14:paraId="1D40C6ED" w14:textId="24855095" w:rsidR="00996A61" w:rsidRPr="00707B68" w:rsidRDefault="00376E92" w:rsidP="00FC515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 xml:space="preserve">El Estado </w:t>
      </w:r>
      <w:r w:rsidR="00AB6C66" w:rsidRPr="00707B68">
        <w:rPr>
          <w:rFonts w:asciiTheme="majorHAnsi" w:hAnsiTheme="majorHAnsi"/>
          <w:color w:val="000000" w:themeColor="text1"/>
          <w:sz w:val="20"/>
          <w:szCs w:val="20"/>
          <w:lang w:val="es-VE"/>
        </w:rPr>
        <w:t>alega que no tiene responsabilidad internacional</w:t>
      </w:r>
      <w:r w:rsidR="00A04042" w:rsidRPr="00707B68">
        <w:rPr>
          <w:rFonts w:asciiTheme="majorHAnsi" w:hAnsiTheme="majorHAnsi"/>
          <w:color w:val="000000" w:themeColor="text1"/>
          <w:sz w:val="20"/>
          <w:szCs w:val="20"/>
          <w:lang w:val="es-VE"/>
        </w:rPr>
        <w:t xml:space="preserve"> por la muerte del señor Zapata</w:t>
      </w:r>
      <w:r w:rsidR="00AB6C66" w:rsidRPr="00707B68">
        <w:rPr>
          <w:rFonts w:asciiTheme="majorHAnsi" w:hAnsiTheme="majorHAnsi"/>
          <w:color w:val="000000" w:themeColor="text1"/>
          <w:sz w:val="20"/>
          <w:szCs w:val="20"/>
          <w:lang w:val="es-VE"/>
        </w:rPr>
        <w:t>. Sostiene que su muerte no le resulta</w:t>
      </w:r>
      <w:r w:rsidR="00A922B1" w:rsidRPr="00707B68">
        <w:rPr>
          <w:rFonts w:asciiTheme="majorHAnsi" w:hAnsiTheme="majorHAnsi"/>
          <w:color w:val="000000" w:themeColor="text1"/>
          <w:sz w:val="20"/>
          <w:szCs w:val="20"/>
          <w:lang w:val="es-VE"/>
        </w:rPr>
        <w:t xml:space="preserve"> atribuible </w:t>
      </w:r>
      <w:r w:rsidR="00AB3058" w:rsidRPr="00707B68">
        <w:rPr>
          <w:rFonts w:asciiTheme="majorHAnsi" w:hAnsiTheme="majorHAnsi"/>
          <w:color w:val="000000" w:themeColor="text1"/>
          <w:sz w:val="20"/>
          <w:szCs w:val="20"/>
          <w:lang w:val="es-VE"/>
        </w:rPr>
        <w:t xml:space="preserve">dado que no existe evidencia que </w:t>
      </w:r>
      <w:r w:rsidR="00AB6C66" w:rsidRPr="00707B68">
        <w:rPr>
          <w:rFonts w:asciiTheme="majorHAnsi" w:hAnsiTheme="majorHAnsi"/>
          <w:color w:val="000000" w:themeColor="text1"/>
          <w:sz w:val="20"/>
          <w:szCs w:val="20"/>
          <w:lang w:val="es-VE"/>
        </w:rPr>
        <w:t xml:space="preserve">la </w:t>
      </w:r>
      <w:r w:rsidR="00AB3058" w:rsidRPr="00707B68">
        <w:rPr>
          <w:rFonts w:asciiTheme="majorHAnsi" w:hAnsiTheme="majorHAnsi"/>
          <w:color w:val="000000" w:themeColor="text1"/>
          <w:sz w:val="20"/>
          <w:szCs w:val="20"/>
          <w:lang w:val="es-VE"/>
        </w:rPr>
        <w:t xml:space="preserve">vincule </w:t>
      </w:r>
      <w:r w:rsidR="00AB6C66" w:rsidRPr="00707B68">
        <w:rPr>
          <w:rFonts w:asciiTheme="majorHAnsi" w:hAnsiTheme="majorHAnsi"/>
          <w:color w:val="000000" w:themeColor="text1"/>
          <w:sz w:val="20"/>
          <w:szCs w:val="20"/>
          <w:lang w:val="es-VE"/>
        </w:rPr>
        <w:t>con</w:t>
      </w:r>
      <w:r w:rsidR="00AB3058" w:rsidRPr="00707B68">
        <w:rPr>
          <w:rFonts w:asciiTheme="majorHAnsi" w:hAnsiTheme="majorHAnsi"/>
          <w:color w:val="000000" w:themeColor="text1"/>
          <w:sz w:val="20"/>
          <w:szCs w:val="20"/>
          <w:lang w:val="es-VE"/>
        </w:rPr>
        <w:t xml:space="preserve"> agentes del Estado, o terceras personas que pudieran haber actuado </w:t>
      </w:r>
      <w:r w:rsidR="00AB6C66" w:rsidRPr="00707B68">
        <w:rPr>
          <w:rFonts w:asciiTheme="majorHAnsi" w:hAnsiTheme="majorHAnsi"/>
          <w:color w:val="000000" w:themeColor="text1"/>
          <w:sz w:val="20"/>
          <w:szCs w:val="20"/>
          <w:lang w:val="es-VE"/>
        </w:rPr>
        <w:t>con su</w:t>
      </w:r>
      <w:r w:rsidR="00F871FF" w:rsidRPr="00707B68">
        <w:rPr>
          <w:rFonts w:asciiTheme="majorHAnsi" w:hAnsiTheme="majorHAnsi"/>
          <w:color w:val="000000" w:themeColor="text1"/>
          <w:sz w:val="20"/>
          <w:szCs w:val="20"/>
          <w:lang w:val="es-VE"/>
        </w:rPr>
        <w:t xml:space="preserve"> tolerancia, complicidad o </w:t>
      </w:r>
      <w:r w:rsidR="00C57CE7" w:rsidRPr="00707B68">
        <w:rPr>
          <w:rFonts w:asciiTheme="majorHAnsi" w:hAnsiTheme="majorHAnsi"/>
          <w:color w:val="000000" w:themeColor="text1"/>
          <w:sz w:val="20"/>
          <w:szCs w:val="20"/>
          <w:lang w:val="es-VE"/>
        </w:rPr>
        <w:t>aquiescencia</w:t>
      </w:r>
      <w:r w:rsidR="00AB3058" w:rsidRPr="00707B68">
        <w:rPr>
          <w:rFonts w:asciiTheme="majorHAnsi" w:hAnsiTheme="majorHAnsi"/>
          <w:color w:val="000000" w:themeColor="text1"/>
          <w:sz w:val="20"/>
          <w:szCs w:val="20"/>
          <w:lang w:val="es-VE"/>
        </w:rPr>
        <w:t xml:space="preserve">. </w:t>
      </w:r>
      <w:r w:rsidR="00AB6C66" w:rsidRPr="00707B68">
        <w:rPr>
          <w:rFonts w:asciiTheme="majorHAnsi" w:hAnsiTheme="majorHAnsi"/>
          <w:color w:val="000000" w:themeColor="text1"/>
          <w:sz w:val="20"/>
          <w:szCs w:val="20"/>
          <w:lang w:val="es-VE"/>
        </w:rPr>
        <w:t>Señala</w:t>
      </w:r>
      <w:r w:rsidR="00AB3058" w:rsidRPr="00707B68">
        <w:rPr>
          <w:rFonts w:asciiTheme="majorHAnsi" w:hAnsiTheme="majorHAnsi"/>
          <w:color w:val="000000" w:themeColor="text1"/>
          <w:sz w:val="20"/>
          <w:szCs w:val="20"/>
          <w:lang w:val="es-VE"/>
        </w:rPr>
        <w:t xml:space="preserve"> que desplegó el mayor de sus esfuerzos por proteger al señor Zapata de los riesgos conocidos en su contra mientras estos </w:t>
      </w:r>
      <w:r w:rsidR="00C57CE7" w:rsidRPr="00707B68">
        <w:rPr>
          <w:rFonts w:asciiTheme="majorHAnsi" w:hAnsiTheme="majorHAnsi"/>
          <w:color w:val="000000" w:themeColor="text1"/>
          <w:sz w:val="20"/>
          <w:szCs w:val="20"/>
          <w:lang w:val="es-VE"/>
        </w:rPr>
        <w:t>existieron.</w:t>
      </w:r>
      <w:r w:rsidR="0090555D" w:rsidRPr="00707B68">
        <w:rPr>
          <w:rFonts w:asciiTheme="majorHAnsi" w:hAnsiTheme="majorHAnsi"/>
          <w:color w:val="000000" w:themeColor="text1"/>
          <w:sz w:val="20"/>
          <w:szCs w:val="20"/>
          <w:lang w:val="es-VE"/>
        </w:rPr>
        <w:t xml:space="preserve"> El Estado </w:t>
      </w:r>
      <w:r w:rsidR="00A04042" w:rsidRPr="00707B68">
        <w:rPr>
          <w:rFonts w:asciiTheme="majorHAnsi" w:hAnsiTheme="majorHAnsi"/>
          <w:color w:val="000000" w:themeColor="text1"/>
          <w:sz w:val="20"/>
          <w:szCs w:val="20"/>
          <w:lang w:val="es-VE"/>
        </w:rPr>
        <w:t xml:space="preserve">resalta </w:t>
      </w:r>
      <w:r w:rsidR="0090555D" w:rsidRPr="00707B68">
        <w:rPr>
          <w:rFonts w:asciiTheme="majorHAnsi" w:hAnsiTheme="majorHAnsi"/>
          <w:color w:val="000000" w:themeColor="text1"/>
          <w:sz w:val="20"/>
          <w:szCs w:val="20"/>
          <w:lang w:val="es-VE"/>
        </w:rPr>
        <w:t xml:space="preserve">las políticas públicas adoptadas para la defensa de los derechos humanos de las personas defensoras de derechos humanos, destacando sus mecanismos de garantías, </w:t>
      </w:r>
      <w:r w:rsidR="0098040C" w:rsidRPr="00707B68">
        <w:rPr>
          <w:rFonts w:asciiTheme="majorHAnsi" w:hAnsiTheme="majorHAnsi"/>
          <w:color w:val="000000" w:themeColor="text1"/>
          <w:sz w:val="20"/>
          <w:szCs w:val="20"/>
          <w:lang w:val="es-VE"/>
        </w:rPr>
        <w:t xml:space="preserve">el </w:t>
      </w:r>
      <w:r w:rsidR="0090555D" w:rsidRPr="00707B68">
        <w:rPr>
          <w:rFonts w:asciiTheme="majorHAnsi" w:hAnsiTheme="majorHAnsi"/>
          <w:color w:val="000000" w:themeColor="text1"/>
          <w:sz w:val="20"/>
          <w:szCs w:val="20"/>
          <w:lang w:val="es-VE"/>
        </w:rPr>
        <w:t>comité de evaluación de riesgos, entre otros.</w:t>
      </w:r>
    </w:p>
    <w:p w14:paraId="591C3682" w14:textId="77777777" w:rsidR="00C57CE7" w:rsidRPr="00707B68" w:rsidRDefault="00C57CE7" w:rsidP="00FC5158">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color w:val="000000" w:themeColor="text1"/>
          <w:sz w:val="20"/>
          <w:szCs w:val="20"/>
          <w:lang w:val="es-VE"/>
        </w:rPr>
      </w:pPr>
    </w:p>
    <w:p w14:paraId="2A63ECD9" w14:textId="045C1CD2" w:rsidR="00C57CE7" w:rsidRPr="00707B68" w:rsidRDefault="00083ABD" w:rsidP="00FC515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En relación con el alegado contexto relacionado con el paramilitarismo en Segovia y la persecución a personas defensoras de derechos hum</w:t>
      </w:r>
      <w:r w:rsidR="00A04042" w:rsidRPr="00707B68">
        <w:rPr>
          <w:rFonts w:asciiTheme="majorHAnsi" w:hAnsiTheme="majorHAnsi"/>
          <w:color w:val="000000" w:themeColor="text1"/>
          <w:sz w:val="20"/>
          <w:szCs w:val="20"/>
          <w:lang w:val="es-VE"/>
        </w:rPr>
        <w:t>anos, indica</w:t>
      </w:r>
      <w:r w:rsidRPr="00707B68">
        <w:rPr>
          <w:rFonts w:asciiTheme="majorHAnsi" w:hAnsiTheme="majorHAnsi"/>
          <w:color w:val="000000" w:themeColor="text1"/>
          <w:sz w:val="20"/>
          <w:szCs w:val="20"/>
          <w:lang w:val="es-VE"/>
        </w:rPr>
        <w:t xml:space="preserve"> que el mismo pod</w:t>
      </w:r>
      <w:r w:rsidR="0098040C" w:rsidRPr="00707B68">
        <w:rPr>
          <w:rFonts w:asciiTheme="majorHAnsi" w:hAnsiTheme="majorHAnsi"/>
          <w:color w:val="000000" w:themeColor="text1"/>
          <w:sz w:val="20"/>
          <w:szCs w:val="20"/>
          <w:lang w:val="es-VE"/>
        </w:rPr>
        <w:t>r</w:t>
      </w:r>
      <w:r w:rsidRPr="00707B68">
        <w:rPr>
          <w:rFonts w:asciiTheme="majorHAnsi" w:hAnsiTheme="majorHAnsi"/>
          <w:color w:val="000000" w:themeColor="text1"/>
          <w:sz w:val="20"/>
          <w:szCs w:val="20"/>
          <w:lang w:val="es-VE"/>
        </w:rPr>
        <w:t xml:space="preserve">ía ser utilizado para entender mejor los hechos del caso, siempre </w:t>
      </w:r>
      <w:r w:rsidR="0090555D" w:rsidRPr="00707B68">
        <w:rPr>
          <w:rFonts w:asciiTheme="majorHAnsi" w:hAnsiTheme="majorHAnsi"/>
          <w:color w:val="000000" w:themeColor="text1"/>
          <w:sz w:val="20"/>
          <w:szCs w:val="20"/>
          <w:lang w:val="es-VE"/>
        </w:rPr>
        <w:t>que</w:t>
      </w:r>
      <w:r w:rsidR="0098040C" w:rsidRPr="00707B68">
        <w:rPr>
          <w:rFonts w:asciiTheme="majorHAnsi" w:hAnsiTheme="majorHAnsi"/>
          <w:color w:val="000000" w:themeColor="text1"/>
          <w:sz w:val="20"/>
          <w:szCs w:val="20"/>
          <w:lang w:val="es-VE"/>
        </w:rPr>
        <w:t xml:space="preserve"> éstos sean probados. Explica</w:t>
      </w:r>
      <w:r w:rsidR="00A04042" w:rsidRPr="00707B68">
        <w:rPr>
          <w:rFonts w:asciiTheme="majorHAnsi" w:hAnsiTheme="majorHAnsi"/>
          <w:color w:val="000000" w:themeColor="text1"/>
          <w:sz w:val="20"/>
          <w:szCs w:val="20"/>
          <w:lang w:val="es-VE"/>
        </w:rPr>
        <w:t xml:space="preserve"> que</w:t>
      </w:r>
      <w:r w:rsidR="0098040C" w:rsidRPr="00707B68">
        <w:rPr>
          <w:rFonts w:asciiTheme="majorHAnsi" w:hAnsiTheme="majorHAnsi"/>
          <w:color w:val="000000" w:themeColor="text1"/>
          <w:sz w:val="20"/>
          <w:szCs w:val="20"/>
          <w:lang w:val="es-VE"/>
        </w:rPr>
        <w:t xml:space="preserve"> sin perjuicio de ello</w:t>
      </w:r>
      <w:r w:rsidR="00A04042" w:rsidRPr="00707B68">
        <w:rPr>
          <w:rFonts w:asciiTheme="majorHAnsi" w:hAnsiTheme="majorHAnsi"/>
          <w:color w:val="000000" w:themeColor="text1"/>
          <w:sz w:val="20"/>
          <w:szCs w:val="20"/>
          <w:lang w:val="es-VE"/>
        </w:rPr>
        <w:t xml:space="preserve"> el contexto</w:t>
      </w:r>
      <w:r w:rsidRPr="00707B68">
        <w:rPr>
          <w:rFonts w:asciiTheme="majorHAnsi" w:hAnsiTheme="majorHAnsi"/>
          <w:color w:val="000000" w:themeColor="text1"/>
          <w:sz w:val="20"/>
          <w:szCs w:val="20"/>
          <w:lang w:val="es-VE"/>
        </w:rPr>
        <w:t xml:space="preserve"> </w:t>
      </w:r>
      <w:r w:rsidR="00F871FF" w:rsidRPr="00707B68">
        <w:rPr>
          <w:rFonts w:asciiTheme="majorHAnsi" w:hAnsiTheme="majorHAnsi"/>
          <w:color w:val="000000" w:themeColor="text1"/>
          <w:sz w:val="20"/>
          <w:szCs w:val="20"/>
          <w:lang w:val="es-VE"/>
        </w:rPr>
        <w:t xml:space="preserve">no </w:t>
      </w:r>
      <w:r w:rsidR="00A04042" w:rsidRPr="00707B68">
        <w:rPr>
          <w:rFonts w:asciiTheme="majorHAnsi" w:hAnsiTheme="majorHAnsi"/>
          <w:color w:val="000000" w:themeColor="text1"/>
          <w:sz w:val="20"/>
          <w:szCs w:val="20"/>
          <w:lang w:val="es-VE"/>
        </w:rPr>
        <w:t>genera</w:t>
      </w:r>
      <w:r w:rsidRPr="00707B68">
        <w:rPr>
          <w:rFonts w:asciiTheme="majorHAnsi" w:hAnsiTheme="majorHAnsi"/>
          <w:color w:val="000000" w:themeColor="text1"/>
          <w:sz w:val="20"/>
          <w:szCs w:val="20"/>
          <w:lang w:val="es-VE"/>
        </w:rPr>
        <w:t xml:space="preserve"> responsabilidad internacional</w:t>
      </w:r>
      <w:r w:rsidR="00F871FF" w:rsidRPr="00707B68">
        <w:rPr>
          <w:rFonts w:asciiTheme="majorHAnsi" w:hAnsiTheme="majorHAnsi"/>
          <w:color w:val="000000" w:themeColor="text1"/>
          <w:sz w:val="20"/>
          <w:szCs w:val="20"/>
          <w:lang w:val="es-VE"/>
        </w:rPr>
        <w:t xml:space="preserve"> autónomamente sino vinculaba directamente el actuar del Estado</w:t>
      </w:r>
      <w:r w:rsidRPr="00707B68">
        <w:rPr>
          <w:rFonts w:asciiTheme="majorHAnsi" w:hAnsiTheme="majorHAnsi"/>
          <w:color w:val="000000" w:themeColor="text1"/>
          <w:sz w:val="20"/>
          <w:szCs w:val="20"/>
          <w:lang w:val="es-VE"/>
        </w:rPr>
        <w:t xml:space="preserve">. </w:t>
      </w:r>
      <w:r w:rsidR="003C261C" w:rsidRPr="00707B68">
        <w:rPr>
          <w:rFonts w:asciiTheme="majorHAnsi" w:hAnsiTheme="majorHAnsi"/>
          <w:color w:val="000000" w:themeColor="text1"/>
          <w:sz w:val="20"/>
          <w:szCs w:val="20"/>
          <w:lang w:val="es-VE"/>
        </w:rPr>
        <w:t xml:space="preserve">Adicionalmente, </w:t>
      </w:r>
      <w:r w:rsidR="007C7C22" w:rsidRPr="00707B68">
        <w:rPr>
          <w:rFonts w:asciiTheme="majorHAnsi" w:hAnsiTheme="majorHAnsi"/>
          <w:color w:val="000000" w:themeColor="text1"/>
          <w:sz w:val="20"/>
          <w:szCs w:val="20"/>
          <w:lang w:val="es-VE"/>
        </w:rPr>
        <w:t>Colombia indica que rechaza</w:t>
      </w:r>
      <w:r w:rsidR="006E1292" w:rsidRPr="00707B68">
        <w:rPr>
          <w:rFonts w:asciiTheme="majorHAnsi" w:hAnsiTheme="majorHAnsi"/>
          <w:color w:val="000000" w:themeColor="text1"/>
          <w:sz w:val="20"/>
          <w:szCs w:val="20"/>
          <w:lang w:val="es-VE"/>
        </w:rPr>
        <w:t xml:space="preserve"> “cualquier actividad relacionada con amenazas, hostigamientos o injerencias arbitrarias en la labor de los defensores de derechos humanos”</w:t>
      </w:r>
      <w:r w:rsidR="007C7C22" w:rsidRPr="00707B68">
        <w:rPr>
          <w:rFonts w:asciiTheme="majorHAnsi" w:hAnsiTheme="majorHAnsi"/>
          <w:color w:val="000000" w:themeColor="text1"/>
          <w:sz w:val="20"/>
          <w:szCs w:val="20"/>
          <w:lang w:val="es-VE"/>
        </w:rPr>
        <w:t>. El Estado resalta que en este caso ha adoptado</w:t>
      </w:r>
      <w:r w:rsidR="00370221" w:rsidRPr="00707B68">
        <w:rPr>
          <w:rFonts w:asciiTheme="majorHAnsi" w:hAnsiTheme="majorHAnsi"/>
          <w:color w:val="000000" w:themeColor="text1"/>
          <w:sz w:val="20"/>
          <w:szCs w:val="20"/>
          <w:lang w:val="es-VE"/>
        </w:rPr>
        <w:t xml:space="preserve"> una serie de medidas adoptadas con el objetivo de prevenir los ataques</w:t>
      </w:r>
      <w:r w:rsidR="007C7C22" w:rsidRPr="00707B68">
        <w:rPr>
          <w:rFonts w:asciiTheme="majorHAnsi" w:hAnsiTheme="majorHAnsi"/>
          <w:color w:val="000000" w:themeColor="text1"/>
          <w:sz w:val="20"/>
          <w:szCs w:val="20"/>
          <w:lang w:val="es-VE"/>
        </w:rPr>
        <w:t xml:space="preserve"> al señor Zapata</w:t>
      </w:r>
      <w:r w:rsidR="00370221" w:rsidRPr="00707B68">
        <w:rPr>
          <w:rFonts w:asciiTheme="majorHAnsi" w:hAnsiTheme="majorHAnsi"/>
          <w:color w:val="000000" w:themeColor="text1"/>
          <w:sz w:val="20"/>
          <w:szCs w:val="20"/>
          <w:lang w:val="es-VE"/>
        </w:rPr>
        <w:t>, reconocer su aporte social y promover su “desestigmatización”.</w:t>
      </w:r>
    </w:p>
    <w:p w14:paraId="56820F95" w14:textId="77777777" w:rsidR="007006B7" w:rsidRPr="00707B68" w:rsidRDefault="007006B7" w:rsidP="00FC5158">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 xml:space="preserve"> </w:t>
      </w:r>
    </w:p>
    <w:p w14:paraId="569C9D4C" w14:textId="1677764F" w:rsidR="00CC63CF" w:rsidRPr="00707B68" w:rsidRDefault="007006B7" w:rsidP="00FC515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El Estado aleg</w:t>
      </w:r>
      <w:r w:rsidR="007C7C22" w:rsidRPr="00707B68">
        <w:rPr>
          <w:rFonts w:asciiTheme="majorHAnsi" w:hAnsiTheme="majorHAnsi"/>
          <w:color w:val="000000" w:themeColor="text1"/>
          <w:sz w:val="20"/>
          <w:szCs w:val="20"/>
          <w:lang w:val="es-VE"/>
        </w:rPr>
        <w:t>a</w:t>
      </w:r>
      <w:r w:rsidR="0096210A" w:rsidRPr="00707B68">
        <w:rPr>
          <w:rFonts w:asciiTheme="majorHAnsi" w:hAnsiTheme="majorHAnsi"/>
          <w:color w:val="000000" w:themeColor="text1"/>
          <w:sz w:val="20"/>
          <w:szCs w:val="20"/>
          <w:lang w:val="es-VE"/>
        </w:rPr>
        <w:t xml:space="preserve"> que en seguimiento a la</w:t>
      </w:r>
      <w:r w:rsidRPr="00707B68">
        <w:rPr>
          <w:rFonts w:asciiTheme="majorHAnsi" w:hAnsiTheme="majorHAnsi"/>
          <w:color w:val="000000" w:themeColor="text1"/>
          <w:sz w:val="20"/>
          <w:szCs w:val="20"/>
          <w:lang w:val="es-VE"/>
        </w:rPr>
        <w:t xml:space="preserve"> medida cautelar otorgada por la CIDH </w:t>
      </w:r>
      <w:r w:rsidR="00EE2447" w:rsidRPr="00707B68">
        <w:rPr>
          <w:rFonts w:asciiTheme="majorHAnsi" w:hAnsiTheme="majorHAnsi"/>
          <w:color w:val="000000" w:themeColor="text1"/>
          <w:sz w:val="20"/>
          <w:szCs w:val="20"/>
          <w:lang w:val="es-VE"/>
        </w:rPr>
        <w:t xml:space="preserve">el señor Zapata se entrevistó con las autoridades correspondientes para determinar sus situación de riesgo y seguridad. </w:t>
      </w:r>
      <w:r w:rsidR="0096210A" w:rsidRPr="00707B68">
        <w:rPr>
          <w:rFonts w:asciiTheme="majorHAnsi" w:hAnsiTheme="majorHAnsi"/>
          <w:color w:val="000000" w:themeColor="text1"/>
          <w:sz w:val="20"/>
          <w:szCs w:val="20"/>
          <w:lang w:val="es-VE"/>
        </w:rPr>
        <w:t>Señala que en</w:t>
      </w:r>
      <w:r w:rsidR="00EE2447" w:rsidRPr="00707B68">
        <w:rPr>
          <w:rFonts w:asciiTheme="majorHAnsi" w:hAnsiTheme="majorHAnsi"/>
          <w:color w:val="000000" w:themeColor="text1"/>
          <w:sz w:val="20"/>
          <w:szCs w:val="20"/>
          <w:lang w:val="es-VE"/>
        </w:rPr>
        <w:t xml:space="preserve"> marzo de 1998 el señor Zapata indicó que retornaría a Segovia dado que los peligros para su vida y seguridad hab</w:t>
      </w:r>
      <w:r w:rsidR="0096210A" w:rsidRPr="00707B68">
        <w:rPr>
          <w:rFonts w:asciiTheme="majorHAnsi" w:hAnsiTheme="majorHAnsi"/>
          <w:color w:val="000000" w:themeColor="text1"/>
          <w:sz w:val="20"/>
          <w:szCs w:val="20"/>
          <w:lang w:val="es-VE"/>
        </w:rPr>
        <w:t>r</w:t>
      </w:r>
      <w:r w:rsidR="00996A61" w:rsidRPr="00707B68">
        <w:rPr>
          <w:rFonts w:asciiTheme="majorHAnsi" w:hAnsiTheme="majorHAnsi"/>
          <w:color w:val="000000" w:themeColor="text1"/>
          <w:sz w:val="20"/>
          <w:szCs w:val="20"/>
          <w:lang w:val="es-VE"/>
        </w:rPr>
        <w:t xml:space="preserve">ían </w:t>
      </w:r>
      <w:r w:rsidR="0096210A" w:rsidRPr="00707B68">
        <w:rPr>
          <w:rFonts w:asciiTheme="majorHAnsi" w:hAnsiTheme="majorHAnsi"/>
          <w:color w:val="000000" w:themeColor="text1"/>
          <w:sz w:val="20"/>
          <w:szCs w:val="20"/>
          <w:lang w:val="es-VE"/>
        </w:rPr>
        <w:t>cesado. Asimismo, el Estado señala</w:t>
      </w:r>
      <w:r w:rsidR="00996A61" w:rsidRPr="00707B68">
        <w:rPr>
          <w:rFonts w:asciiTheme="majorHAnsi" w:hAnsiTheme="majorHAnsi"/>
          <w:color w:val="000000" w:themeColor="text1"/>
          <w:sz w:val="20"/>
          <w:szCs w:val="20"/>
          <w:lang w:val="es-VE"/>
        </w:rPr>
        <w:t xml:space="preserve"> que el señor Zapata decidió no incorporarse al programa de protección </w:t>
      </w:r>
      <w:r w:rsidR="005C6FB2" w:rsidRPr="00707B68">
        <w:rPr>
          <w:rFonts w:asciiTheme="majorHAnsi" w:hAnsiTheme="majorHAnsi"/>
          <w:color w:val="000000" w:themeColor="text1"/>
          <w:sz w:val="20"/>
          <w:szCs w:val="20"/>
          <w:lang w:val="es-VE"/>
        </w:rPr>
        <w:t xml:space="preserve">y que según el Alcalde de Segovia </w:t>
      </w:r>
      <w:r w:rsidR="005162C6" w:rsidRPr="00707B68">
        <w:rPr>
          <w:rFonts w:asciiTheme="majorHAnsi" w:hAnsiTheme="majorHAnsi"/>
          <w:color w:val="000000" w:themeColor="text1"/>
          <w:sz w:val="20"/>
          <w:szCs w:val="20"/>
          <w:lang w:val="es-VE"/>
        </w:rPr>
        <w:t xml:space="preserve">y la Inspectora de Policía y Tránsito, la presunta víctima no interpuso nuevas denuncias por amenazas. </w:t>
      </w:r>
      <w:r w:rsidR="0096210A" w:rsidRPr="00707B68">
        <w:rPr>
          <w:rFonts w:asciiTheme="majorHAnsi" w:hAnsiTheme="majorHAnsi"/>
          <w:color w:val="000000" w:themeColor="text1"/>
          <w:sz w:val="20"/>
          <w:szCs w:val="20"/>
          <w:lang w:val="es-VE"/>
        </w:rPr>
        <w:t>Indica</w:t>
      </w:r>
      <w:r w:rsidR="00787173" w:rsidRPr="00707B68">
        <w:rPr>
          <w:rFonts w:asciiTheme="majorHAnsi" w:hAnsiTheme="majorHAnsi"/>
          <w:color w:val="000000" w:themeColor="text1"/>
          <w:sz w:val="20"/>
          <w:szCs w:val="20"/>
          <w:lang w:val="es-VE"/>
        </w:rPr>
        <w:t xml:space="preserve"> también que </w:t>
      </w:r>
      <w:r w:rsidR="00BE7BCF" w:rsidRPr="00707B68">
        <w:rPr>
          <w:rFonts w:asciiTheme="majorHAnsi" w:hAnsiTheme="majorHAnsi"/>
          <w:color w:val="000000" w:themeColor="text1"/>
          <w:sz w:val="20"/>
          <w:szCs w:val="20"/>
          <w:lang w:val="es-VE"/>
        </w:rPr>
        <w:t xml:space="preserve">debido al </w:t>
      </w:r>
      <w:r w:rsidR="00787173" w:rsidRPr="00707B68">
        <w:rPr>
          <w:rFonts w:asciiTheme="majorHAnsi" w:hAnsiTheme="majorHAnsi"/>
          <w:i/>
          <w:color w:val="000000" w:themeColor="text1"/>
          <w:sz w:val="20"/>
          <w:szCs w:val="20"/>
          <w:lang w:val="es-VE"/>
        </w:rPr>
        <w:t>modus operandi</w:t>
      </w:r>
      <w:r w:rsidR="00787173" w:rsidRPr="00707B68">
        <w:rPr>
          <w:rFonts w:asciiTheme="majorHAnsi" w:hAnsiTheme="majorHAnsi"/>
          <w:color w:val="000000" w:themeColor="text1"/>
          <w:sz w:val="20"/>
          <w:szCs w:val="20"/>
          <w:lang w:val="es-VE"/>
        </w:rPr>
        <w:t xml:space="preserve"> de los grupos armados al margen de la ley y lo aleatorio del ataque</w:t>
      </w:r>
      <w:r w:rsidR="00BE7BCF" w:rsidRPr="00707B68">
        <w:rPr>
          <w:rFonts w:asciiTheme="majorHAnsi" w:hAnsiTheme="majorHAnsi"/>
          <w:color w:val="000000" w:themeColor="text1"/>
          <w:sz w:val="20"/>
          <w:szCs w:val="20"/>
          <w:lang w:val="es-VE"/>
        </w:rPr>
        <w:t>,</w:t>
      </w:r>
      <w:r w:rsidR="00787173" w:rsidRPr="00707B68">
        <w:rPr>
          <w:rFonts w:asciiTheme="majorHAnsi" w:hAnsiTheme="majorHAnsi"/>
          <w:color w:val="000000" w:themeColor="text1"/>
          <w:sz w:val="20"/>
          <w:szCs w:val="20"/>
          <w:lang w:val="es-VE"/>
        </w:rPr>
        <w:t xml:space="preserve"> su prevención no fue posible. </w:t>
      </w:r>
    </w:p>
    <w:p w14:paraId="514B421A" w14:textId="77777777" w:rsidR="00D77075" w:rsidRPr="00707B68" w:rsidRDefault="00D77075" w:rsidP="00FC5158">
      <w:pPr>
        <w:tabs>
          <w:tab w:val="left" w:pos="360"/>
        </w:tabs>
        <w:rPr>
          <w:rFonts w:asciiTheme="majorHAnsi" w:hAnsiTheme="majorHAnsi"/>
          <w:sz w:val="20"/>
          <w:szCs w:val="20"/>
        </w:rPr>
      </w:pPr>
    </w:p>
    <w:p w14:paraId="4F33C2F3" w14:textId="08F7E703" w:rsidR="0093042E" w:rsidRPr="00707B68" w:rsidRDefault="0096210A" w:rsidP="00FC515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Colombia resalta</w:t>
      </w:r>
      <w:r w:rsidR="00D77075" w:rsidRPr="00707B68">
        <w:rPr>
          <w:rFonts w:asciiTheme="majorHAnsi" w:hAnsiTheme="majorHAnsi"/>
          <w:color w:val="000000" w:themeColor="text1"/>
          <w:sz w:val="20"/>
          <w:szCs w:val="20"/>
          <w:lang w:val="es-VE"/>
        </w:rPr>
        <w:t xml:space="preserve"> que la investigación por la abducción y posterior asesinato del señor </w:t>
      </w:r>
      <w:r w:rsidR="00D77085" w:rsidRPr="00707B68">
        <w:rPr>
          <w:rFonts w:asciiTheme="majorHAnsi" w:hAnsiTheme="majorHAnsi"/>
          <w:color w:val="000000" w:themeColor="text1"/>
          <w:sz w:val="20"/>
          <w:szCs w:val="20"/>
          <w:lang w:val="es-VE"/>
        </w:rPr>
        <w:t>Zapata</w:t>
      </w:r>
      <w:r w:rsidR="00D77075" w:rsidRPr="00707B68">
        <w:rPr>
          <w:rFonts w:asciiTheme="majorHAnsi" w:hAnsiTheme="majorHAnsi"/>
          <w:color w:val="000000" w:themeColor="text1"/>
          <w:sz w:val="20"/>
          <w:szCs w:val="20"/>
          <w:lang w:val="es-VE"/>
        </w:rPr>
        <w:t xml:space="preserve"> fue adelantada por la Fiscalía Seccional y que </w:t>
      </w:r>
      <w:r w:rsidRPr="00707B68">
        <w:rPr>
          <w:rFonts w:asciiTheme="majorHAnsi" w:hAnsiTheme="majorHAnsi"/>
          <w:color w:val="000000" w:themeColor="text1"/>
          <w:sz w:val="20"/>
          <w:szCs w:val="20"/>
          <w:lang w:val="es-VE"/>
        </w:rPr>
        <w:t>en</w:t>
      </w:r>
      <w:r w:rsidR="00D77075" w:rsidRPr="00707B68">
        <w:rPr>
          <w:rFonts w:asciiTheme="majorHAnsi" w:hAnsiTheme="majorHAnsi"/>
          <w:color w:val="000000" w:themeColor="text1"/>
          <w:sz w:val="20"/>
          <w:szCs w:val="20"/>
          <w:lang w:val="es-VE"/>
        </w:rPr>
        <w:t xml:space="preserve"> mayo </w:t>
      </w:r>
      <w:r w:rsidR="00BD4F1B" w:rsidRPr="00707B68">
        <w:rPr>
          <w:rFonts w:asciiTheme="majorHAnsi" w:hAnsiTheme="majorHAnsi"/>
          <w:color w:val="000000" w:themeColor="text1"/>
          <w:sz w:val="20"/>
          <w:szCs w:val="20"/>
          <w:lang w:val="es-VE"/>
        </w:rPr>
        <w:t>de 2000 las diligencias fueron remitidas a la Unidad Nacional de Fisca</w:t>
      </w:r>
      <w:r w:rsidRPr="00707B68">
        <w:rPr>
          <w:rFonts w:asciiTheme="majorHAnsi" w:hAnsiTheme="majorHAnsi"/>
          <w:color w:val="000000" w:themeColor="text1"/>
          <w:sz w:val="20"/>
          <w:szCs w:val="20"/>
          <w:lang w:val="es-VE"/>
        </w:rPr>
        <w:t>lías de Derechos Humanos. Indica</w:t>
      </w:r>
      <w:r w:rsidR="00BD4F1B" w:rsidRPr="00707B68">
        <w:rPr>
          <w:rFonts w:asciiTheme="majorHAnsi" w:hAnsiTheme="majorHAnsi"/>
          <w:color w:val="000000" w:themeColor="text1"/>
          <w:sz w:val="20"/>
          <w:szCs w:val="20"/>
          <w:lang w:val="es-VE"/>
        </w:rPr>
        <w:t xml:space="preserve"> que la investigación sufrió retrasos por la falta de colaboración de la ciudadanía de Segovia. </w:t>
      </w:r>
      <w:r w:rsidR="00D77085" w:rsidRPr="00707B68">
        <w:rPr>
          <w:rFonts w:asciiTheme="majorHAnsi" w:hAnsiTheme="majorHAnsi"/>
          <w:color w:val="000000" w:themeColor="text1"/>
          <w:sz w:val="20"/>
          <w:szCs w:val="20"/>
          <w:lang w:val="es-VE"/>
        </w:rPr>
        <w:t>El Estado</w:t>
      </w:r>
      <w:r w:rsidRPr="00707B68">
        <w:rPr>
          <w:rFonts w:asciiTheme="majorHAnsi" w:hAnsiTheme="majorHAnsi"/>
          <w:color w:val="000000" w:themeColor="text1"/>
          <w:sz w:val="20"/>
          <w:szCs w:val="20"/>
          <w:lang w:val="es-VE"/>
        </w:rPr>
        <w:t xml:space="preserve"> sostiene que sin perjuicio de ello se adoptaron diversas diligencias</w:t>
      </w:r>
      <w:r w:rsidR="00D77085" w:rsidRPr="00707B68">
        <w:rPr>
          <w:rFonts w:asciiTheme="majorHAnsi" w:hAnsiTheme="majorHAnsi"/>
          <w:color w:val="000000" w:themeColor="text1"/>
          <w:sz w:val="20"/>
          <w:szCs w:val="20"/>
          <w:lang w:val="es-VE"/>
        </w:rPr>
        <w:t xml:space="preserve"> </w:t>
      </w:r>
      <w:r w:rsidRPr="00707B68">
        <w:rPr>
          <w:rFonts w:asciiTheme="majorHAnsi" w:hAnsiTheme="majorHAnsi"/>
          <w:color w:val="000000" w:themeColor="text1"/>
          <w:sz w:val="20"/>
          <w:szCs w:val="20"/>
          <w:lang w:val="es-VE"/>
        </w:rPr>
        <w:t>que demuestran el</w:t>
      </w:r>
      <w:r w:rsidR="0093042E" w:rsidRPr="00707B68">
        <w:rPr>
          <w:rFonts w:asciiTheme="majorHAnsi" w:hAnsiTheme="majorHAnsi"/>
          <w:color w:val="000000" w:themeColor="text1"/>
          <w:sz w:val="20"/>
          <w:szCs w:val="20"/>
          <w:lang w:val="es-VE"/>
        </w:rPr>
        <w:t xml:space="preserve"> impulso y constancia en las</w:t>
      </w:r>
      <w:r w:rsidRPr="00707B68">
        <w:rPr>
          <w:rFonts w:asciiTheme="majorHAnsi" w:hAnsiTheme="majorHAnsi"/>
          <w:color w:val="000000" w:themeColor="text1"/>
          <w:sz w:val="20"/>
          <w:szCs w:val="20"/>
          <w:lang w:val="es-VE"/>
        </w:rPr>
        <w:t xml:space="preserve"> investigaciones. También indica</w:t>
      </w:r>
      <w:r w:rsidR="0093042E" w:rsidRPr="00707B68">
        <w:rPr>
          <w:rFonts w:asciiTheme="majorHAnsi" w:hAnsiTheme="majorHAnsi"/>
          <w:color w:val="000000" w:themeColor="text1"/>
          <w:sz w:val="20"/>
          <w:szCs w:val="20"/>
          <w:lang w:val="es-VE"/>
        </w:rPr>
        <w:t xml:space="preserve"> que la materia de investigación es compleja por la afectación social derivada de la violencia en la zona, que la parte civil ha participado debidamente en las investigaciones y que la investigación es una obligación de medios y no de resultados.</w:t>
      </w:r>
    </w:p>
    <w:p w14:paraId="0FCAC683" w14:textId="77777777" w:rsidR="0093042E" w:rsidRPr="00707B68" w:rsidRDefault="0093042E" w:rsidP="00FC5158">
      <w:pPr>
        <w:tabs>
          <w:tab w:val="left" w:pos="360"/>
        </w:tabs>
        <w:ind w:left="360"/>
        <w:rPr>
          <w:rFonts w:asciiTheme="majorHAnsi" w:hAnsiTheme="majorHAnsi"/>
        </w:rPr>
      </w:pPr>
    </w:p>
    <w:p w14:paraId="15C778F9" w14:textId="71F4852E" w:rsidR="00BD4F1B" w:rsidRPr="00707B68" w:rsidRDefault="0096210A" w:rsidP="00C5512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Respecto de</w:t>
      </w:r>
      <w:r w:rsidR="0093042E" w:rsidRPr="00707B68">
        <w:rPr>
          <w:rFonts w:asciiTheme="majorHAnsi" w:hAnsiTheme="majorHAnsi"/>
          <w:color w:val="000000" w:themeColor="text1"/>
          <w:sz w:val="20"/>
          <w:szCs w:val="20"/>
          <w:lang w:val="es-VE"/>
        </w:rPr>
        <w:t xml:space="preserve"> la acción de reparación directa en la jurisdicción contenciosa administrativa, el </w:t>
      </w:r>
      <w:r w:rsidR="00C5512E" w:rsidRPr="00707B68">
        <w:rPr>
          <w:rFonts w:asciiTheme="majorHAnsi" w:hAnsiTheme="majorHAnsi"/>
          <w:color w:val="000000" w:themeColor="text1"/>
          <w:sz w:val="20"/>
          <w:szCs w:val="20"/>
          <w:lang w:val="es-VE"/>
        </w:rPr>
        <w:t>Estado indica</w:t>
      </w:r>
      <w:r w:rsidR="0093042E" w:rsidRPr="00707B68">
        <w:rPr>
          <w:rFonts w:asciiTheme="majorHAnsi" w:hAnsiTheme="majorHAnsi"/>
          <w:color w:val="000000" w:themeColor="text1"/>
          <w:sz w:val="20"/>
          <w:szCs w:val="20"/>
          <w:lang w:val="es-VE"/>
        </w:rPr>
        <w:t xml:space="preserve"> que el Tribunal Administrativo encontr</w:t>
      </w:r>
      <w:r w:rsidR="004148B2" w:rsidRPr="00707B68">
        <w:rPr>
          <w:rFonts w:asciiTheme="majorHAnsi" w:hAnsiTheme="majorHAnsi"/>
          <w:color w:val="000000" w:themeColor="text1"/>
          <w:sz w:val="20"/>
          <w:szCs w:val="20"/>
          <w:lang w:val="es-VE"/>
        </w:rPr>
        <w:t xml:space="preserve">ó </w:t>
      </w:r>
      <w:r w:rsidR="00C5512E" w:rsidRPr="00707B68">
        <w:rPr>
          <w:rFonts w:asciiTheme="majorHAnsi" w:hAnsiTheme="majorHAnsi"/>
          <w:color w:val="000000" w:themeColor="text1"/>
          <w:sz w:val="20"/>
          <w:szCs w:val="20"/>
          <w:lang w:val="es-VE"/>
        </w:rPr>
        <w:t xml:space="preserve">que </w:t>
      </w:r>
      <w:r w:rsidR="004148B2" w:rsidRPr="00707B68">
        <w:rPr>
          <w:rFonts w:asciiTheme="majorHAnsi" w:hAnsiTheme="majorHAnsi"/>
          <w:color w:val="000000" w:themeColor="text1"/>
          <w:sz w:val="20"/>
          <w:szCs w:val="20"/>
          <w:lang w:val="es-VE"/>
        </w:rPr>
        <w:t xml:space="preserve">había “concurrencia de culpas” entre el Ministerio de Defensa y Policía Nacional y el señor Zapata. Esto debido a que si bien “sus órganos no prestaron la protección debida” a la presunta víctima, este decidió volver a Segovia </w:t>
      </w:r>
      <w:r w:rsidR="00C5512E" w:rsidRPr="00707B68">
        <w:rPr>
          <w:rFonts w:asciiTheme="majorHAnsi" w:hAnsiTheme="majorHAnsi"/>
          <w:color w:val="000000" w:themeColor="text1"/>
          <w:sz w:val="20"/>
          <w:szCs w:val="20"/>
          <w:lang w:val="es-VE"/>
        </w:rPr>
        <w:t>bajo su propio riesgo. Señala</w:t>
      </w:r>
      <w:r w:rsidR="004148B2" w:rsidRPr="00707B68">
        <w:rPr>
          <w:rFonts w:asciiTheme="majorHAnsi" w:hAnsiTheme="majorHAnsi"/>
          <w:color w:val="000000" w:themeColor="text1"/>
          <w:sz w:val="20"/>
          <w:szCs w:val="20"/>
          <w:lang w:val="es-VE"/>
        </w:rPr>
        <w:t xml:space="preserve"> que por la muerte del señor Zapata, la familia fue indemnizada y </w:t>
      </w:r>
      <w:r w:rsidR="00C5512E" w:rsidRPr="00707B68">
        <w:rPr>
          <w:rFonts w:asciiTheme="majorHAnsi" w:hAnsiTheme="majorHAnsi"/>
          <w:color w:val="000000" w:themeColor="text1"/>
          <w:sz w:val="20"/>
          <w:szCs w:val="20"/>
          <w:lang w:val="es-VE"/>
        </w:rPr>
        <w:t xml:space="preserve">se colocó </w:t>
      </w:r>
      <w:r w:rsidR="004148B2" w:rsidRPr="00707B68">
        <w:rPr>
          <w:rFonts w:asciiTheme="majorHAnsi" w:hAnsiTheme="majorHAnsi"/>
          <w:color w:val="000000" w:themeColor="text1"/>
          <w:sz w:val="20"/>
          <w:szCs w:val="20"/>
          <w:lang w:val="es-VE"/>
        </w:rPr>
        <w:t>una placa conmemorativa.</w:t>
      </w:r>
      <w:r w:rsidR="00C5512E" w:rsidRPr="00707B68">
        <w:rPr>
          <w:rFonts w:asciiTheme="majorHAnsi" w:hAnsiTheme="majorHAnsi"/>
          <w:color w:val="000000" w:themeColor="text1"/>
          <w:sz w:val="20"/>
          <w:szCs w:val="20"/>
          <w:lang w:val="es-VE"/>
        </w:rPr>
        <w:t xml:space="preserve"> </w:t>
      </w:r>
      <w:r w:rsidR="00BD4F1B" w:rsidRPr="00707B68">
        <w:rPr>
          <w:rFonts w:asciiTheme="majorHAnsi" w:hAnsiTheme="majorHAnsi"/>
          <w:color w:val="000000" w:themeColor="text1"/>
          <w:sz w:val="20"/>
          <w:szCs w:val="20"/>
          <w:lang w:val="es-VE"/>
        </w:rPr>
        <w:t xml:space="preserve">En </w:t>
      </w:r>
      <w:r w:rsidR="00D77085" w:rsidRPr="00707B68">
        <w:rPr>
          <w:rFonts w:asciiTheme="majorHAnsi" w:hAnsiTheme="majorHAnsi"/>
          <w:color w:val="000000" w:themeColor="text1"/>
          <w:sz w:val="20"/>
          <w:szCs w:val="20"/>
          <w:lang w:val="es-VE"/>
        </w:rPr>
        <w:t>relación con la investigación disciplinaria,</w:t>
      </w:r>
      <w:r w:rsidR="00C5512E" w:rsidRPr="00707B68">
        <w:rPr>
          <w:rFonts w:asciiTheme="majorHAnsi" w:hAnsiTheme="majorHAnsi"/>
          <w:color w:val="000000" w:themeColor="text1"/>
          <w:sz w:val="20"/>
          <w:szCs w:val="20"/>
          <w:lang w:val="es-VE"/>
        </w:rPr>
        <w:t xml:space="preserve"> el Estado señala</w:t>
      </w:r>
      <w:r w:rsidR="00BD4F1B" w:rsidRPr="00707B68">
        <w:rPr>
          <w:rFonts w:asciiTheme="majorHAnsi" w:hAnsiTheme="majorHAnsi"/>
          <w:color w:val="000000" w:themeColor="text1"/>
          <w:sz w:val="20"/>
          <w:szCs w:val="20"/>
          <w:lang w:val="es-VE"/>
        </w:rPr>
        <w:t xml:space="preserve"> </w:t>
      </w:r>
      <w:r w:rsidR="00FE3357" w:rsidRPr="00707B68">
        <w:rPr>
          <w:rFonts w:asciiTheme="majorHAnsi" w:hAnsiTheme="majorHAnsi"/>
          <w:color w:val="000000" w:themeColor="text1"/>
          <w:sz w:val="20"/>
          <w:szCs w:val="20"/>
          <w:lang w:val="es-VE"/>
        </w:rPr>
        <w:t xml:space="preserve">que </w:t>
      </w:r>
      <w:r w:rsidR="00D77085" w:rsidRPr="00707B68">
        <w:rPr>
          <w:rFonts w:asciiTheme="majorHAnsi" w:hAnsiTheme="majorHAnsi"/>
          <w:color w:val="000000" w:themeColor="text1"/>
          <w:sz w:val="20"/>
          <w:szCs w:val="20"/>
          <w:lang w:val="es-VE"/>
        </w:rPr>
        <w:t xml:space="preserve">la Procuraduría Delegada Disciplinaria para la Defensa de los Derechos Humanos determinó, el año 2003, que las autoridades no habían omitido sus responsabilidades de protección del señor Zapata en cumplimiento de las medidas cautelares solicitadas por la CIDH. </w:t>
      </w:r>
    </w:p>
    <w:p w14:paraId="7B0E5AAD" w14:textId="77777777" w:rsidR="004148B2" w:rsidRPr="00707B68" w:rsidRDefault="004148B2" w:rsidP="00FC5158">
      <w:pPr>
        <w:tabs>
          <w:tab w:val="left" w:pos="360"/>
        </w:tabs>
        <w:rPr>
          <w:rFonts w:asciiTheme="majorHAnsi" w:hAnsiTheme="majorHAnsi"/>
          <w:sz w:val="20"/>
        </w:rPr>
      </w:pPr>
    </w:p>
    <w:p w14:paraId="70B9869F" w14:textId="06793167" w:rsidR="004148B2" w:rsidRPr="00707B68" w:rsidRDefault="00DC13A1" w:rsidP="00FC515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El Estado s</w:t>
      </w:r>
      <w:r w:rsidR="007A199B" w:rsidRPr="00707B68">
        <w:rPr>
          <w:rFonts w:asciiTheme="majorHAnsi" w:hAnsiTheme="majorHAnsi"/>
          <w:color w:val="000000" w:themeColor="text1"/>
          <w:sz w:val="20"/>
          <w:szCs w:val="20"/>
          <w:lang w:val="es-VE"/>
        </w:rPr>
        <w:t>eñala</w:t>
      </w:r>
      <w:r w:rsidR="004148B2" w:rsidRPr="00707B68">
        <w:rPr>
          <w:rFonts w:asciiTheme="majorHAnsi" w:hAnsiTheme="majorHAnsi"/>
          <w:color w:val="000000" w:themeColor="text1"/>
          <w:sz w:val="20"/>
          <w:szCs w:val="20"/>
          <w:lang w:val="es-VE"/>
        </w:rPr>
        <w:t xml:space="preserve"> que no vulneró los derechos </w:t>
      </w:r>
      <w:r w:rsidR="007A26DE" w:rsidRPr="00707B68">
        <w:rPr>
          <w:rFonts w:asciiTheme="majorHAnsi" w:hAnsiTheme="majorHAnsi"/>
          <w:color w:val="000000" w:themeColor="text1"/>
          <w:sz w:val="20"/>
          <w:szCs w:val="20"/>
          <w:lang w:val="es-VE"/>
        </w:rPr>
        <w:t xml:space="preserve">a </w:t>
      </w:r>
      <w:r w:rsidR="00C2519B" w:rsidRPr="00707B68">
        <w:rPr>
          <w:rFonts w:asciiTheme="majorHAnsi" w:hAnsiTheme="majorHAnsi"/>
          <w:color w:val="000000" w:themeColor="text1"/>
          <w:sz w:val="20"/>
          <w:szCs w:val="20"/>
          <w:lang w:val="es-VE"/>
        </w:rPr>
        <w:t xml:space="preserve">la </w:t>
      </w:r>
      <w:r w:rsidR="007A26DE" w:rsidRPr="00707B68">
        <w:rPr>
          <w:rFonts w:asciiTheme="majorHAnsi" w:hAnsiTheme="majorHAnsi"/>
          <w:color w:val="000000" w:themeColor="text1"/>
          <w:sz w:val="20"/>
          <w:szCs w:val="20"/>
          <w:lang w:val="es-VE"/>
        </w:rPr>
        <w:t xml:space="preserve">seguridad personal, a la honra y dignidad y a la </w:t>
      </w:r>
      <w:r w:rsidR="004148B2" w:rsidRPr="00707B68">
        <w:rPr>
          <w:rFonts w:asciiTheme="majorHAnsi" w:hAnsiTheme="majorHAnsi"/>
          <w:color w:val="000000" w:themeColor="text1"/>
          <w:sz w:val="20"/>
          <w:szCs w:val="20"/>
          <w:lang w:val="es-VE"/>
        </w:rPr>
        <w:t>libertad de circulaci</w:t>
      </w:r>
      <w:r w:rsidR="007A26DE" w:rsidRPr="00707B68">
        <w:rPr>
          <w:rFonts w:asciiTheme="majorHAnsi" w:hAnsiTheme="majorHAnsi"/>
          <w:color w:val="000000" w:themeColor="text1"/>
          <w:sz w:val="20"/>
          <w:szCs w:val="20"/>
          <w:lang w:val="es-VE"/>
        </w:rPr>
        <w:t xml:space="preserve">ón y residencia, </w:t>
      </w:r>
      <w:r w:rsidRPr="00707B68">
        <w:rPr>
          <w:rFonts w:asciiTheme="majorHAnsi" w:hAnsiTheme="majorHAnsi"/>
          <w:color w:val="000000" w:themeColor="text1"/>
          <w:sz w:val="20"/>
          <w:szCs w:val="20"/>
          <w:lang w:val="es-VE"/>
        </w:rPr>
        <w:t xml:space="preserve">y </w:t>
      </w:r>
      <w:r w:rsidR="004148B2" w:rsidRPr="00707B68">
        <w:rPr>
          <w:rFonts w:asciiTheme="majorHAnsi" w:hAnsiTheme="majorHAnsi"/>
          <w:color w:val="000000" w:themeColor="text1"/>
          <w:sz w:val="20"/>
          <w:szCs w:val="20"/>
          <w:lang w:val="es-VE"/>
        </w:rPr>
        <w:t>seguridad personal</w:t>
      </w:r>
      <w:r w:rsidR="007A199B" w:rsidRPr="00707B68">
        <w:rPr>
          <w:rFonts w:asciiTheme="majorHAnsi" w:hAnsiTheme="majorHAnsi"/>
          <w:color w:val="000000" w:themeColor="text1"/>
          <w:sz w:val="20"/>
          <w:szCs w:val="20"/>
          <w:lang w:val="es-VE"/>
        </w:rPr>
        <w:t>. Ello en tanto</w:t>
      </w:r>
      <w:r w:rsidR="004148B2" w:rsidRPr="00707B68">
        <w:rPr>
          <w:rFonts w:asciiTheme="majorHAnsi" w:hAnsiTheme="majorHAnsi"/>
          <w:color w:val="000000" w:themeColor="text1"/>
          <w:sz w:val="20"/>
          <w:szCs w:val="20"/>
          <w:lang w:val="es-VE"/>
        </w:rPr>
        <w:t xml:space="preserve"> </w:t>
      </w:r>
      <w:r w:rsidR="007A199B" w:rsidRPr="00707B68">
        <w:rPr>
          <w:rFonts w:asciiTheme="majorHAnsi" w:hAnsiTheme="majorHAnsi"/>
          <w:color w:val="000000" w:themeColor="text1"/>
          <w:sz w:val="20"/>
          <w:szCs w:val="20"/>
          <w:lang w:val="es-VE"/>
        </w:rPr>
        <w:t xml:space="preserve">i) </w:t>
      </w:r>
      <w:r w:rsidR="004148B2" w:rsidRPr="00707B68">
        <w:rPr>
          <w:rFonts w:asciiTheme="majorHAnsi" w:hAnsiTheme="majorHAnsi"/>
          <w:color w:val="000000" w:themeColor="text1"/>
          <w:sz w:val="20"/>
          <w:szCs w:val="20"/>
          <w:lang w:val="es-VE"/>
        </w:rPr>
        <w:t>brindó la protecci</w:t>
      </w:r>
      <w:r w:rsidR="007A26DE" w:rsidRPr="00707B68">
        <w:rPr>
          <w:rFonts w:asciiTheme="majorHAnsi" w:hAnsiTheme="majorHAnsi"/>
          <w:color w:val="000000" w:themeColor="text1"/>
          <w:sz w:val="20"/>
          <w:szCs w:val="20"/>
          <w:lang w:val="es-VE"/>
        </w:rPr>
        <w:t xml:space="preserve">ón adecuada durante el </w:t>
      </w:r>
      <w:r w:rsidR="007A199B" w:rsidRPr="00707B68">
        <w:rPr>
          <w:rFonts w:asciiTheme="majorHAnsi" w:hAnsiTheme="majorHAnsi"/>
          <w:color w:val="000000" w:themeColor="text1"/>
          <w:sz w:val="20"/>
          <w:szCs w:val="20"/>
          <w:lang w:val="es-VE"/>
        </w:rPr>
        <w:t>tiempo que duraron las amenazas; ii)</w:t>
      </w:r>
      <w:r w:rsidR="007A26DE" w:rsidRPr="00707B68">
        <w:rPr>
          <w:rFonts w:asciiTheme="majorHAnsi" w:hAnsiTheme="majorHAnsi"/>
          <w:color w:val="000000" w:themeColor="text1"/>
          <w:sz w:val="20"/>
          <w:szCs w:val="20"/>
          <w:lang w:val="es-VE"/>
        </w:rPr>
        <w:t xml:space="preserve"> que la presunta víctima retornó a Segovia por su propia voluntad</w:t>
      </w:r>
      <w:r w:rsidR="007A199B" w:rsidRPr="00707B68">
        <w:rPr>
          <w:rFonts w:asciiTheme="majorHAnsi" w:hAnsiTheme="majorHAnsi"/>
          <w:color w:val="000000" w:themeColor="text1"/>
          <w:sz w:val="20"/>
          <w:szCs w:val="20"/>
          <w:lang w:val="es-VE"/>
        </w:rPr>
        <w:t>;</w:t>
      </w:r>
      <w:r w:rsidR="007A26DE" w:rsidRPr="00707B68">
        <w:rPr>
          <w:rFonts w:asciiTheme="majorHAnsi" w:hAnsiTheme="majorHAnsi"/>
          <w:color w:val="000000" w:themeColor="text1"/>
          <w:sz w:val="20"/>
          <w:szCs w:val="20"/>
          <w:lang w:val="es-VE"/>
        </w:rPr>
        <w:t xml:space="preserve"> y </w:t>
      </w:r>
      <w:r w:rsidR="007A199B" w:rsidRPr="00707B68">
        <w:rPr>
          <w:rFonts w:asciiTheme="majorHAnsi" w:hAnsiTheme="majorHAnsi"/>
          <w:color w:val="000000" w:themeColor="text1"/>
          <w:sz w:val="20"/>
          <w:szCs w:val="20"/>
          <w:lang w:val="es-VE"/>
        </w:rPr>
        <w:t xml:space="preserve">iii) </w:t>
      </w:r>
      <w:r w:rsidR="007A26DE" w:rsidRPr="00707B68">
        <w:rPr>
          <w:rFonts w:asciiTheme="majorHAnsi" w:hAnsiTheme="majorHAnsi"/>
          <w:color w:val="000000" w:themeColor="text1"/>
          <w:sz w:val="20"/>
          <w:szCs w:val="20"/>
          <w:lang w:val="es-VE"/>
        </w:rPr>
        <w:t>que el hecho de que fuera investigado penalmente no puede ser entendido como una descalificación pública. Asimismo, indicó que no existen pruebas de que los procesos penales iniciados en contra del señor Zapata fueran actos de hostigamiento proveniente</w:t>
      </w:r>
      <w:r w:rsidR="00FE3357" w:rsidRPr="00707B68">
        <w:rPr>
          <w:rFonts w:asciiTheme="majorHAnsi" w:hAnsiTheme="majorHAnsi"/>
          <w:color w:val="000000" w:themeColor="text1"/>
          <w:sz w:val="20"/>
          <w:szCs w:val="20"/>
          <w:lang w:val="es-VE"/>
        </w:rPr>
        <w:t>s</w:t>
      </w:r>
      <w:r w:rsidR="007A26DE" w:rsidRPr="00707B68">
        <w:rPr>
          <w:rFonts w:asciiTheme="majorHAnsi" w:hAnsiTheme="majorHAnsi"/>
          <w:color w:val="000000" w:themeColor="text1"/>
          <w:sz w:val="20"/>
          <w:szCs w:val="20"/>
          <w:lang w:val="es-VE"/>
        </w:rPr>
        <w:t xml:space="preserve"> de miembros de la fuerza pública. </w:t>
      </w:r>
    </w:p>
    <w:p w14:paraId="186E71A2" w14:textId="77777777" w:rsidR="007A26DE" w:rsidRPr="00707B68" w:rsidRDefault="007A26DE" w:rsidP="00FC5158">
      <w:pPr>
        <w:tabs>
          <w:tab w:val="left" w:pos="360"/>
        </w:tabs>
        <w:rPr>
          <w:rFonts w:asciiTheme="majorHAnsi" w:hAnsiTheme="majorHAnsi"/>
          <w:sz w:val="20"/>
        </w:rPr>
      </w:pPr>
    </w:p>
    <w:p w14:paraId="600A0EAB" w14:textId="62ED31F0" w:rsidR="007A26DE" w:rsidRPr="00707B68" w:rsidRDefault="007A199B" w:rsidP="00FC515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Finalmente, e</w:t>
      </w:r>
      <w:r w:rsidR="007A26DE" w:rsidRPr="00707B68">
        <w:rPr>
          <w:rFonts w:asciiTheme="majorHAnsi" w:hAnsiTheme="majorHAnsi"/>
          <w:color w:val="000000" w:themeColor="text1"/>
          <w:sz w:val="20"/>
          <w:szCs w:val="20"/>
          <w:lang w:val="es-VE"/>
        </w:rPr>
        <w:t xml:space="preserve">l Estado </w:t>
      </w:r>
      <w:r w:rsidRPr="00707B68">
        <w:rPr>
          <w:rFonts w:asciiTheme="majorHAnsi" w:hAnsiTheme="majorHAnsi"/>
          <w:color w:val="000000" w:themeColor="text1"/>
          <w:sz w:val="20"/>
          <w:szCs w:val="20"/>
          <w:lang w:val="es-VE"/>
        </w:rPr>
        <w:t>alega</w:t>
      </w:r>
      <w:r w:rsidR="007A26DE" w:rsidRPr="00707B68">
        <w:rPr>
          <w:rFonts w:asciiTheme="majorHAnsi" w:hAnsiTheme="majorHAnsi"/>
          <w:color w:val="000000" w:themeColor="text1"/>
          <w:sz w:val="20"/>
          <w:szCs w:val="20"/>
          <w:lang w:val="es-VE"/>
        </w:rPr>
        <w:t xml:space="preserve"> </w:t>
      </w:r>
      <w:r w:rsidR="00023EAE" w:rsidRPr="00707B68">
        <w:rPr>
          <w:rFonts w:asciiTheme="majorHAnsi" w:hAnsiTheme="majorHAnsi"/>
          <w:color w:val="000000" w:themeColor="text1"/>
          <w:sz w:val="20"/>
          <w:szCs w:val="20"/>
          <w:lang w:val="es-VE"/>
        </w:rPr>
        <w:t>que no se vulneró el derecho a defender derechos</w:t>
      </w:r>
      <w:r w:rsidRPr="00707B68">
        <w:rPr>
          <w:rFonts w:asciiTheme="majorHAnsi" w:hAnsiTheme="majorHAnsi"/>
          <w:color w:val="000000" w:themeColor="text1"/>
          <w:sz w:val="20"/>
          <w:szCs w:val="20"/>
          <w:lang w:val="es-VE"/>
        </w:rPr>
        <w:t>. Ello debido a que</w:t>
      </w:r>
      <w:r w:rsidR="00023EAE" w:rsidRPr="00707B68">
        <w:rPr>
          <w:rFonts w:asciiTheme="majorHAnsi" w:hAnsiTheme="majorHAnsi"/>
          <w:color w:val="000000" w:themeColor="text1"/>
          <w:sz w:val="20"/>
          <w:szCs w:val="20"/>
          <w:lang w:val="es-VE"/>
        </w:rPr>
        <w:t xml:space="preserve"> </w:t>
      </w:r>
      <w:r w:rsidR="00C2519B" w:rsidRPr="00707B68">
        <w:rPr>
          <w:rFonts w:asciiTheme="majorHAnsi" w:hAnsiTheme="majorHAnsi"/>
          <w:color w:val="000000" w:themeColor="text1"/>
          <w:sz w:val="20"/>
          <w:szCs w:val="20"/>
          <w:lang w:val="es-VE"/>
        </w:rPr>
        <w:t>l</w:t>
      </w:r>
      <w:r w:rsidR="00023EAE" w:rsidRPr="00707B68">
        <w:rPr>
          <w:rFonts w:asciiTheme="majorHAnsi" w:hAnsiTheme="majorHAnsi"/>
          <w:color w:val="000000" w:themeColor="text1"/>
          <w:sz w:val="20"/>
          <w:szCs w:val="20"/>
          <w:lang w:val="es-VE"/>
        </w:rPr>
        <w:t>os ataques experimentados</w:t>
      </w:r>
      <w:r w:rsidRPr="00707B68">
        <w:rPr>
          <w:rFonts w:asciiTheme="majorHAnsi" w:hAnsiTheme="majorHAnsi"/>
          <w:color w:val="000000" w:themeColor="text1"/>
          <w:sz w:val="20"/>
          <w:szCs w:val="20"/>
          <w:lang w:val="es-VE"/>
        </w:rPr>
        <w:t xml:space="preserve"> por el señor Zapata</w:t>
      </w:r>
      <w:r w:rsidR="00023EAE" w:rsidRPr="00707B68">
        <w:rPr>
          <w:rFonts w:asciiTheme="majorHAnsi" w:hAnsiTheme="majorHAnsi"/>
          <w:color w:val="000000" w:themeColor="text1"/>
          <w:sz w:val="20"/>
          <w:szCs w:val="20"/>
          <w:lang w:val="es-VE"/>
        </w:rPr>
        <w:t xml:space="preserve"> para obstaculizar e impedir su labor de defensa de los derechos humanos fueron cometidos por terceros respecto </w:t>
      </w:r>
      <w:r w:rsidR="002B1233" w:rsidRPr="00707B68">
        <w:rPr>
          <w:rFonts w:asciiTheme="majorHAnsi" w:hAnsiTheme="majorHAnsi"/>
          <w:color w:val="000000" w:themeColor="text1"/>
          <w:sz w:val="20"/>
          <w:szCs w:val="20"/>
          <w:lang w:val="es-VE"/>
        </w:rPr>
        <w:t>de quienes</w:t>
      </w:r>
      <w:r w:rsidR="00023EAE" w:rsidRPr="00707B68">
        <w:rPr>
          <w:rFonts w:asciiTheme="majorHAnsi" w:hAnsiTheme="majorHAnsi"/>
          <w:color w:val="000000" w:themeColor="text1"/>
          <w:sz w:val="20"/>
          <w:szCs w:val="20"/>
          <w:lang w:val="es-VE"/>
        </w:rPr>
        <w:t xml:space="preserve"> </w:t>
      </w:r>
      <w:r w:rsidR="002B1233" w:rsidRPr="00707B68">
        <w:rPr>
          <w:rFonts w:asciiTheme="majorHAnsi" w:hAnsiTheme="majorHAnsi"/>
          <w:color w:val="000000" w:themeColor="text1"/>
          <w:sz w:val="20"/>
          <w:szCs w:val="20"/>
          <w:lang w:val="es-VE"/>
        </w:rPr>
        <w:t>no existe</w:t>
      </w:r>
      <w:r w:rsidR="00023EAE" w:rsidRPr="00707B68">
        <w:rPr>
          <w:rFonts w:asciiTheme="majorHAnsi" w:hAnsiTheme="majorHAnsi"/>
          <w:color w:val="000000" w:themeColor="text1"/>
          <w:sz w:val="20"/>
          <w:szCs w:val="20"/>
          <w:lang w:val="es-VE"/>
        </w:rPr>
        <w:t xml:space="preserve"> prueba de que actuaron en connivencia o bajo la aquiescencia de agentes del Estado. </w:t>
      </w:r>
    </w:p>
    <w:p w14:paraId="7CE1A683" w14:textId="77777777" w:rsidR="008266A7" w:rsidRPr="00707B68" w:rsidRDefault="008266A7" w:rsidP="007F60C2">
      <w:pPr>
        <w:rPr>
          <w:rFonts w:asciiTheme="majorHAnsi" w:hAnsiTheme="majorHAnsi"/>
          <w:sz w:val="20"/>
          <w:szCs w:val="20"/>
          <w:lang w:val="es-VE"/>
        </w:rPr>
      </w:pPr>
    </w:p>
    <w:p w14:paraId="77BDDB1C" w14:textId="77777777" w:rsidR="00D12193" w:rsidRPr="00707B68" w:rsidRDefault="00D12193" w:rsidP="008E5267">
      <w:pPr>
        <w:pStyle w:val="Heading1"/>
      </w:pPr>
      <w:bookmarkStart w:id="6" w:name="_Toc456358859"/>
      <w:r w:rsidRPr="00707B68">
        <w:t>DETERMINACIONES DE HECHO</w:t>
      </w:r>
      <w:bookmarkEnd w:id="6"/>
      <w:r w:rsidR="008A078F" w:rsidRPr="00707B68">
        <w:t xml:space="preserve"> </w:t>
      </w:r>
    </w:p>
    <w:p w14:paraId="498BB430" w14:textId="77777777" w:rsidR="007C756A" w:rsidRPr="00707B68" w:rsidRDefault="007C756A" w:rsidP="007A199B">
      <w:pPr>
        <w:tabs>
          <w:tab w:val="left" w:pos="360"/>
        </w:tabs>
        <w:rPr>
          <w:rFonts w:asciiTheme="majorHAnsi" w:hAnsiTheme="majorHAnsi"/>
          <w:b/>
          <w:color w:val="FF0000"/>
          <w:sz w:val="20"/>
          <w:szCs w:val="20"/>
        </w:rPr>
      </w:pPr>
    </w:p>
    <w:p w14:paraId="0F8C6863" w14:textId="77777777" w:rsidR="00E94F44" w:rsidRPr="00707B68" w:rsidRDefault="0022273F" w:rsidP="00147351">
      <w:pPr>
        <w:pStyle w:val="Heading2"/>
        <w:numPr>
          <w:ilvl w:val="0"/>
          <w:numId w:val="57"/>
        </w:numPr>
      </w:pPr>
      <w:bookmarkStart w:id="7" w:name="_Toc456358860"/>
      <w:r w:rsidRPr="00707B68">
        <w:t>Contexto</w:t>
      </w:r>
      <w:bookmarkEnd w:id="7"/>
    </w:p>
    <w:p w14:paraId="188D545E" w14:textId="77777777" w:rsidR="006E1292" w:rsidRPr="00707B68" w:rsidRDefault="006E1292" w:rsidP="007A199B">
      <w:pPr>
        <w:tabs>
          <w:tab w:val="left" w:pos="360"/>
        </w:tabs>
        <w:rPr>
          <w:rFonts w:asciiTheme="majorHAnsi" w:hAnsiTheme="majorHAnsi"/>
          <w:sz w:val="20"/>
        </w:rPr>
      </w:pPr>
    </w:p>
    <w:p w14:paraId="00EA48AF" w14:textId="77777777" w:rsidR="006E1292" w:rsidRPr="00707B68" w:rsidRDefault="006E1292" w:rsidP="007A199B">
      <w:pPr>
        <w:pStyle w:val="Heading3"/>
        <w:tabs>
          <w:tab w:val="left" w:pos="360"/>
        </w:tabs>
        <w:ind w:left="0" w:firstLine="0"/>
        <w:rPr>
          <w:color w:val="7030A0"/>
          <w:sz w:val="10"/>
          <w:lang w:val="es-ES"/>
        </w:rPr>
      </w:pPr>
      <w:r w:rsidRPr="00707B68">
        <w:rPr>
          <w:lang w:val="es-ES"/>
        </w:rPr>
        <w:t>Violencia política y el fenómeno del paramilitarismo en Colombia</w:t>
      </w:r>
    </w:p>
    <w:p w14:paraId="36F30D55" w14:textId="77777777" w:rsidR="006E1292" w:rsidRPr="00707B68" w:rsidRDefault="006E1292" w:rsidP="007A199B">
      <w:pPr>
        <w:tabs>
          <w:tab w:val="left" w:pos="360"/>
        </w:tabs>
        <w:rPr>
          <w:rFonts w:asciiTheme="majorHAnsi" w:hAnsiTheme="majorHAnsi"/>
          <w:sz w:val="20"/>
          <w:lang w:val="es-ES"/>
        </w:rPr>
      </w:pPr>
    </w:p>
    <w:p w14:paraId="255352B8" w14:textId="77777777" w:rsidR="006E1292" w:rsidRPr="00707B68" w:rsidRDefault="006E1292" w:rsidP="007A199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lang w:val="es-ES"/>
        </w:rPr>
      </w:pPr>
      <w:r w:rsidRPr="00707B68">
        <w:rPr>
          <w:rFonts w:asciiTheme="majorHAnsi" w:hAnsiTheme="majorHAnsi"/>
          <w:sz w:val="20"/>
          <w:szCs w:val="20"/>
          <w:lang w:val="es-ES"/>
        </w:rPr>
        <w:t xml:space="preserve">La CIDH ha dado seguimiento a la situación de violencia política en Colombia desde los años ochenta.  En </w:t>
      </w:r>
      <w:r w:rsidRPr="00707B68">
        <w:rPr>
          <w:rFonts w:asciiTheme="majorHAnsi" w:hAnsiTheme="majorHAnsi"/>
          <w:sz w:val="20"/>
          <w:szCs w:val="20"/>
          <w:lang w:val="es-AR"/>
        </w:rPr>
        <w:t>abril de 1980 realizó una visita in loco y visitas sucesivas con posterioridad, hasta mayo de 1981. En su</w:t>
      </w:r>
      <w:r w:rsidRPr="00707B68">
        <w:rPr>
          <w:rFonts w:asciiTheme="majorHAnsi" w:hAnsiTheme="majorHAnsi"/>
          <w:sz w:val="20"/>
          <w:szCs w:val="20"/>
          <w:lang w:val="es-ES"/>
        </w:rPr>
        <w:t xml:space="preserve"> Informe Anual de 1996, la CIDH al referirse a la situación de Colombia, señaló que </w:t>
      </w:r>
      <w:r w:rsidRPr="00707B68">
        <w:rPr>
          <w:rFonts w:asciiTheme="majorHAnsi" w:hAnsiTheme="majorHAnsi"/>
          <w:sz w:val="20"/>
          <w:szCs w:val="20"/>
          <w:lang w:val="es-CO"/>
        </w:rPr>
        <w:t xml:space="preserve">los ataques contra </w:t>
      </w:r>
      <w:r w:rsidRPr="00707B68">
        <w:rPr>
          <w:rFonts w:asciiTheme="majorHAnsi" w:hAnsiTheme="majorHAnsi"/>
          <w:sz w:val="20"/>
          <w:szCs w:val="20"/>
          <w:lang w:val="es-ES"/>
        </w:rPr>
        <w:t>personas</w:t>
      </w:r>
      <w:r w:rsidRPr="00707B68">
        <w:rPr>
          <w:rFonts w:asciiTheme="majorHAnsi" w:hAnsiTheme="majorHAnsi"/>
          <w:sz w:val="20"/>
          <w:szCs w:val="20"/>
          <w:lang w:val="es-CO"/>
        </w:rPr>
        <w:t xml:space="preserve"> que trabajan en el campo de los derechos humanos, partidos políticos de alternativa a los tradicionales y autoridades electas a nivel local, continuaron en 1996</w:t>
      </w:r>
      <w:r w:rsidR="00D3676C" w:rsidRPr="00707B68">
        <w:rPr>
          <w:rFonts w:asciiTheme="majorHAnsi" w:hAnsiTheme="majorHAnsi"/>
          <w:sz w:val="18"/>
          <w:szCs w:val="20"/>
          <w:vertAlign w:val="superscript"/>
          <w:lang w:val="es-CO"/>
        </w:rPr>
        <w:footnoteReference w:id="5"/>
      </w:r>
      <w:r w:rsidRPr="00707B68">
        <w:rPr>
          <w:rFonts w:asciiTheme="majorHAnsi" w:hAnsiTheme="majorHAnsi"/>
          <w:sz w:val="20"/>
          <w:szCs w:val="20"/>
          <w:lang w:val="es-CO"/>
        </w:rPr>
        <w:t xml:space="preserve">. </w:t>
      </w:r>
      <w:r w:rsidR="00A451D5" w:rsidRPr="00707B68">
        <w:rPr>
          <w:rFonts w:asciiTheme="majorHAnsi" w:hAnsiTheme="majorHAnsi"/>
          <w:sz w:val="20"/>
          <w:szCs w:val="20"/>
          <w:lang w:val="es-CO"/>
        </w:rPr>
        <w:t xml:space="preserve">Posteriormente, </w:t>
      </w:r>
      <w:r w:rsidR="001A44A8" w:rsidRPr="00707B68">
        <w:rPr>
          <w:rFonts w:asciiTheme="majorHAnsi" w:hAnsiTheme="majorHAnsi"/>
          <w:sz w:val="20"/>
          <w:szCs w:val="20"/>
          <w:lang w:val="es-ES"/>
        </w:rPr>
        <w:t>la CIDH ha continuado refirién</w:t>
      </w:r>
      <w:r w:rsidRPr="00707B68">
        <w:rPr>
          <w:rFonts w:asciiTheme="majorHAnsi" w:hAnsiTheme="majorHAnsi"/>
          <w:sz w:val="20"/>
          <w:szCs w:val="20"/>
          <w:lang w:val="es-ES"/>
        </w:rPr>
        <w:t xml:space="preserve">dose a la situación de violencia política </w:t>
      </w:r>
      <w:r w:rsidR="00A451D5" w:rsidRPr="00707B68">
        <w:rPr>
          <w:rFonts w:asciiTheme="majorHAnsi" w:hAnsiTheme="majorHAnsi"/>
          <w:sz w:val="20"/>
          <w:szCs w:val="20"/>
          <w:lang w:val="es-ES"/>
        </w:rPr>
        <w:t>y</w:t>
      </w:r>
      <w:r w:rsidRPr="00707B68">
        <w:rPr>
          <w:rFonts w:asciiTheme="majorHAnsi" w:hAnsiTheme="majorHAnsi"/>
          <w:sz w:val="20"/>
          <w:szCs w:val="20"/>
          <w:lang w:val="es-ES"/>
        </w:rPr>
        <w:t xml:space="preserve"> afirmó que la magnitud de las</w:t>
      </w:r>
      <w:r w:rsidRPr="00707B68">
        <w:rPr>
          <w:rFonts w:asciiTheme="majorHAnsi" w:hAnsiTheme="majorHAnsi"/>
          <w:sz w:val="20"/>
          <w:szCs w:val="20"/>
          <w:lang w:val="es-CO"/>
        </w:rPr>
        <w:t xml:space="preserve"> violaciones al derecho a la vida “se ha caracterizado por una clara orientación política, ya que muchas de sus víctimas han sido personas que sustentaban posiciones políticas opuestas al Gobierno o que habían manifestado en actos públicos su discrepancia con él.  En las violaciones al derecho a la vida se han empleado métodos como desapariciones, ejecuciones sumarias de personas y de grupos y otros actos atroces</w:t>
      </w:r>
      <w:r w:rsidR="00A451D5" w:rsidRPr="00707B68">
        <w:rPr>
          <w:rFonts w:asciiTheme="majorHAnsi" w:hAnsiTheme="majorHAnsi"/>
          <w:sz w:val="20"/>
          <w:szCs w:val="20"/>
          <w:lang w:val="es-CO"/>
        </w:rPr>
        <w:t xml:space="preserve"> (…)</w:t>
      </w:r>
      <w:r w:rsidRPr="00707B68">
        <w:rPr>
          <w:rFonts w:asciiTheme="majorHAnsi" w:hAnsiTheme="majorHAnsi"/>
          <w:sz w:val="20"/>
          <w:szCs w:val="20"/>
          <w:lang w:val="es-CO"/>
        </w:rPr>
        <w:t>”</w:t>
      </w:r>
      <w:r w:rsidRPr="00707B68">
        <w:rPr>
          <w:rFonts w:asciiTheme="majorHAnsi" w:hAnsiTheme="majorHAnsi"/>
          <w:sz w:val="20"/>
          <w:szCs w:val="20"/>
          <w:vertAlign w:val="superscript"/>
          <w:lang w:val="es-CO"/>
        </w:rPr>
        <w:footnoteReference w:id="6"/>
      </w:r>
      <w:r w:rsidRPr="00707B68">
        <w:rPr>
          <w:rFonts w:asciiTheme="majorHAnsi" w:hAnsiTheme="majorHAnsi"/>
          <w:sz w:val="20"/>
          <w:szCs w:val="20"/>
          <w:lang w:val="es-CO"/>
        </w:rPr>
        <w:t>.</w:t>
      </w:r>
    </w:p>
    <w:p w14:paraId="0651E7E8" w14:textId="77777777" w:rsidR="007A199B" w:rsidRPr="00707B68" w:rsidRDefault="007A199B" w:rsidP="007A199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sz w:val="20"/>
          <w:szCs w:val="20"/>
          <w:lang w:val="es-ES"/>
        </w:rPr>
      </w:pPr>
    </w:p>
    <w:p w14:paraId="08991DCF" w14:textId="0997F666" w:rsidR="001A44A8" w:rsidRPr="00707B68" w:rsidRDefault="006E1292" w:rsidP="007A199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lang w:val="es-ES"/>
        </w:rPr>
      </w:pPr>
      <w:r w:rsidRPr="00707B68">
        <w:rPr>
          <w:rFonts w:asciiTheme="majorHAnsi" w:hAnsiTheme="majorHAnsi"/>
          <w:sz w:val="20"/>
          <w:szCs w:val="20"/>
          <w:lang w:val="es-ES"/>
        </w:rPr>
        <w:t xml:space="preserve">La Comisión </w:t>
      </w:r>
      <w:r w:rsidR="00FE3357" w:rsidRPr="00707B68">
        <w:rPr>
          <w:rFonts w:asciiTheme="majorHAnsi" w:hAnsiTheme="majorHAnsi"/>
          <w:sz w:val="20"/>
          <w:szCs w:val="20"/>
          <w:lang w:val="es-ES"/>
        </w:rPr>
        <w:t>ha establecido que al</w:t>
      </w:r>
      <w:r w:rsidRPr="00707B68">
        <w:rPr>
          <w:rFonts w:asciiTheme="majorHAnsi" w:hAnsiTheme="majorHAnsi"/>
          <w:sz w:val="20"/>
          <w:szCs w:val="20"/>
          <w:lang w:val="es-ES"/>
        </w:rPr>
        <w:t xml:space="preserve"> inicio</w:t>
      </w:r>
      <w:r w:rsidR="00FE3357" w:rsidRPr="00707B68">
        <w:rPr>
          <w:rFonts w:asciiTheme="majorHAnsi" w:hAnsiTheme="majorHAnsi"/>
          <w:sz w:val="20"/>
          <w:szCs w:val="20"/>
          <w:lang w:val="es-ES"/>
        </w:rPr>
        <w:t xml:space="preserve"> del conflicto armado </w:t>
      </w:r>
      <w:r w:rsidRPr="00707B68">
        <w:rPr>
          <w:rFonts w:asciiTheme="majorHAnsi" w:hAnsiTheme="majorHAnsi"/>
          <w:sz w:val="20"/>
          <w:szCs w:val="20"/>
          <w:lang w:val="es-ES"/>
        </w:rPr>
        <w:t>fue el propio Estado quien propició</w:t>
      </w:r>
      <w:r w:rsidR="003017CC" w:rsidRPr="00707B68">
        <w:rPr>
          <w:rFonts w:asciiTheme="majorHAnsi" w:hAnsiTheme="majorHAnsi"/>
          <w:sz w:val="20"/>
          <w:szCs w:val="20"/>
          <w:lang w:val="es-ES"/>
        </w:rPr>
        <w:t xml:space="preserve"> institucional y normativamente</w:t>
      </w:r>
      <w:r w:rsidRPr="00707B68">
        <w:rPr>
          <w:rFonts w:asciiTheme="majorHAnsi" w:hAnsiTheme="majorHAnsi"/>
          <w:sz w:val="20"/>
          <w:szCs w:val="20"/>
          <w:lang w:val="es-ES"/>
        </w:rPr>
        <w:t xml:space="preserve"> la creación de grupos de aut</w:t>
      </w:r>
      <w:r w:rsidR="00FE3357" w:rsidRPr="00707B68">
        <w:rPr>
          <w:rFonts w:asciiTheme="majorHAnsi" w:hAnsiTheme="majorHAnsi"/>
          <w:sz w:val="20"/>
          <w:szCs w:val="20"/>
          <w:lang w:val="es-ES"/>
        </w:rPr>
        <w:t>odefensas en Colombia</w:t>
      </w:r>
      <w:r w:rsidR="003017CC" w:rsidRPr="00707B68">
        <w:rPr>
          <w:rFonts w:asciiTheme="majorHAnsi" w:hAnsiTheme="majorHAnsi"/>
          <w:sz w:val="20"/>
          <w:szCs w:val="20"/>
          <w:lang w:val="es-ES"/>
        </w:rPr>
        <w:t>, específicamente a través</w:t>
      </w:r>
      <w:r w:rsidR="00A426D2" w:rsidRPr="00707B68">
        <w:rPr>
          <w:rFonts w:asciiTheme="majorHAnsi" w:hAnsiTheme="majorHAnsi"/>
          <w:sz w:val="20"/>
          <w:szCs w:val="20"/>
          <w:lang w:val="es-ES"/>
        </w:rPr>
        <w:t xml:space="preserve"> Decreto Legislativo 3398 de 1968</w:t>
      </w:r>
      <w:r w:rsidR="00A426D2" w:rsidRPr="00707B68">
        <w:rPr>
          <w:rStyle w:val="FootnoteReference"/>
          <w:rFonts w:asciiTheme="majorHAnsi" w:hAnsiTheme="majorHAnsi" w:cs="Arial"/>
          <w:sz w:val="20"/>
          <w:szCs w:val="20"/>
          <w:lang w:val="es-ES"/>
        </w:rPr>
        <w:footnoteReference w:id="7"/>
      </w:r>
      <w:r w:rsidR="00FE3357" w:rsidRPr="00707B68">
        <w:rPr>
          <w:rFonts w:asciiTheme="majorHAnsi" w:hAnsiTheme="majorHAnsi"/>
          <w:sz w:val="20"/>
          <w:szCs w:val="20"/>
          <w:lang w:val="es-ES"/>
        </w:rPr>
        <w:t xml:space="preserve"> y patrocinados o aceptados por sectores de las Fuerzas Militares, fueron en gran parte creados con el fin de combatir grupos armados disidentes</w:t>
      </w:r>
      <w:r w:rsidR="00FE3357" w:rsidRPr="00707B68">
        <w:rPr>
          <w:rFonts w:asciiTheme="majorHAnsi" w:hAnsiTheme="majorHAnsi"/>
          <w:sz w:val="20"/>
          <w:szCs w:val="20"/>
          <w:vertAlign w:val="superscript"/>
          <w:lang w:val="es-ES"/>
        </w:rPr>
        <w:footnoteReference w:id="8"/>
      </w:r>
      <w:r w:rsidR="00FE3357" w:rsidRPr="00707B68">
        <w:rPr>
          <w:rFonts w:asciiTheme="majorHAnsi" w:hAnsiTheme="majorHAnsi"/>
          <w:sz w:val="20"/>
          <w:szCs w:val="20"/>
          <w:lang w:val="es-ES"/>
        </w:rPr>
        <w:t xml:space="preserve">. </w:t>
      </w:r>
      <w:r w:rsidRPr="00707B68">
        <w:rPr>
          <w:rFonts w:asciiTheme="majorHAnsi" w:hAnsiTheme="majorHAnsi"/>
          <w:sz w:val="20"/>
          <w:szCs w:val="20"/>
          <w:lang w:val="es-ES"/>
        </w:rPr>
        <w:t>La Corte ha observado que dichos “grupos paramilitares son responsables de numerosos ases</w:t>
      </w:r>
      <w:r w:rsidR="008F5F81" w:rsidRPr="00707B68">
        <w:rPr>
          <w:rFonts w:asciiTheme="majorHAnsi" w:hAnsiTheme="majorHAnsi"/>
          <w:sz w:val="20"/>
          <w:szCs w:val="20"/>
          <w:lang w:val="es-ES"/>
        </w:rPr>
        <w:t>inatos (…)</w:t>
      </w:r>
      <w:r w:rsidRPr="00707B68">
        <w:rPr>
          <w:rFonts w:asciiTheme="majorHAnsi" w:hAnsiTheme="majorHAnsi"/>
          <w:sz w:val="20"/>
          <w:szCs w:val="20"/>
          <w:lang w:val="es-ES"/>
        </w:rPr>
        <w:t xml:space="preserve"> y de una gran parte de las violaciones de derechos humanos en general” cometidas en Colombia.</w:t>
      </w:r>
      <w:r w:rsidR="00D3676C" w:rsidRPr="00707B68">
        <w:rPr>
          <w:rFonts w:asciiTheme="majorHAnsi" w:hAnsiTheme="majorHAnsi"/>
          <w:sz w:val="20"/>
          <w:szCs w:val="20"/>
          <w:lang w:val="es-ES"/>
        </w:rPr>
        <w:t xml:space="preserve"> </w:t>
      </w:r>
      <w:r w:rsidR="00A426D2" w:rsidRPr="00707B68">
        <w:rPr>
          <w:rFonts w:asciiTheme="majorHAnsi" w:hAnsiTheme="majorHAnsi"/>
          <w:sz w:val="20"/>
          <w:szCs w:val="20"/>
          <w:lang w:val="es-ES"/>
        </w:rPr>
        <w:t>Asimismo, c</w:t>
      </w:r>
      <w:r w:rsidRPr="00707B68">
        <w:rPr>
          <w:rFonts w:asciiTheme="majorHAnsi" w:hAnsiTheme="majorHAnsi"/>
          <w:sz w:val="20"/>
          <w:szCs w:val="20"/>
          <w:lang w:val="es-ES"/>
        </w:rPr>
        <w:t xml:space="preserve">omo resultado de su motivación </w:t>
      </w:r>
      <w:r w:rsidRPr="00707B68">
        <w:rPr>
          <w:rFonts w:asciiTheme="majorHAnsi" w:hAnsiTheme="majorHAnsi"/>
          <w:sz w:val="20"/>
          <w:szCs w:val="20"/>
          <w:lang w:val="es-ES"/>
        </w:rPr>
        <w:lastRenderedPageBreak/>
        <w:t>contrainsurgente, los paramilitares establecieron lazos con el Ejército colombiano que se fortalecieron durante más de dos décadas</w:t>
      </w:r>
      <w:r w:rsidRPr="00707B68">
        <w:rPr>
          <w:rStyle w:val="FootnoteReference"/>
          <w:rFonts w:asciiTheme="majorHAnsi" w:hAnsiTheme="majorHAnsi"/>
          <w:sz w:val="20"/>
          <w:szCs w:val="20"/>
          <w:lang w:val="es-ES"/>
        </w:rPr>
        <w:footnoteReference w:id="9"/>
      </w:r>
      <w:r w:rsidRPr="00707B68">
        <w:rPr>
          <w:rFonts w:asciiTheme="majorHAnsi" w:hAnsiTheme="majorHAnsi"/>
          <w:sz w:val="20"/>
          <w:szCs w:val="20"/>
          <w:lang w:val="es-ES"/>
        </w:rPr>
        <w:t>.  Finalmente, el 25 de mayo de 1989, la Corte Suprema de Justicia declaró la inconstitucionalidad del párrafo 3 del artículo 33 del</w:t>
      </w:r>
      <w:r w:rsidR="00A426D2" w:rsidRPr="00707B68">
        <w:rPr>
          <w:rFonts w:asciiTheme="majorHAnsi" w:hAnsiTheme="majorHAnsi"/>
          <w:sz w:val="20"/>
          <w:szCs w:val="20"/>
          <w:lang w:val="es-ES"/>
        </w:rPr>
        <w:t xml:space="preserve"> mencionado</w:t>
      </w:r>
      <w:r w:rsidRPr="00707B68">
        <w:rPr>
          <w:rFonts w:asciiTheme="majorHAnsi" w:hAnsiTheme="majorHAnsi"/>
          <w:sz w:val="20"/>
          <w:szCs w:val="20"/>
          <w:lang w:val="es-ES"/>
        </w:rPr>
        <w:t xml:space="preserve"> Decreto Legislativo 3398 de 1968 y retiró</w:t>
      </w:r>
      <w:r w:rsidRPr="00707B68">
        <w:rPr>
          <w:rFonts w:asciiTheme="majorHAnsi" w:hAnsiTheme="majorHAnsi" w:cs="Arial"/>
          <w:sz w:val="20"/>
          <w:szCs w:val="20"/>
          <w:lang w:val="es-ES"/>
        </w:rPr>
        <w:t xml:space="preserve"> </w:t>
      </w:r>
      <w:r w:rsidRPr="00707B68">
        <w:rPr>
          <w:rFonts w:asciiTheme="majorHAnsi" w:hAnsiTheme="majorHAnsi"/>
          <w:sz w:val="20"/>
          <w:szCs w:val="20"/>
          <w:lang w:val="es-ES"/>
        </w:rPr>
        <w:t>el respaldo legal a su vinculación con la defensa nacional, tras lo cual el Estado adoptó una serie de medidas legislativas para criminalizar las actividades de estos grupos y de quienes los apoyen</w:t>
      </w:r>
      <w:r w:rsidRPr="00707B68">
        <w:rPr>
          <w:rFonts w:asciiTheme="majorHAnsi" w:hAnsiTheme="majorHAnsi"/>
          <w:sz w:val="20"/>
          <w:szCs w:val="20"/>
          <w:vertAlign w:val="superscript"/>
          <w:lang w:val="es-ES"/>
        </w:rPr>
        <w:footnoteReference w:id="10"/>
      </w:r>
      <w:r w:rsidRPr="00707B68">
        <w:rPr>
          <w:rFonts w:asciiTheme="majorHAnsi" w:hAnsiTheme="majorHAnsi"/>
          <w:sz w:val="20"/>
          <w:szCs w:val="20"/>
          <w:lang w:val="es-ES"/>
        </w:rPr>
        <w:t xml:space="preserve">.  </w:t>
      </w:r>
    </w:p>
    <w:p w14:paraId="7519542E" w14:textId="77777777" w:rsidR="001A44A8" w:rsidRPr="00707B68" w:rsidRDefault="001A44A8" w:rsidP="007A199B">
      <w:pPr>
        <w:tabs>
          <w:tab w:val="left" w:pos="360"/>
        </w:tabs>
        <w:rPr>
          <w:rFonts w:asciiTheme="majorHAnsi" w:hAnsiTheme="majorHAnsi"/>
          <w:sz w:val="22"/>
        </w:rPr>
      </w:pPr>
    </w:p>
    <w:p w14:paraId="67BF5B93" w14:textId="77777777" w:rsidR="006E1292" w:rsidRPr="00707B68" w:rsidRDefault="006E1292" w:rsidP="007A199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lang w:val="es-ES"/>
        </w:rPr>
      </w:pPr>
      <w:r w:rsidRPr="00707B68">
        <w:rPr>
          <w:rFonts w:asciiTheme="majorHAnsi" w:hAnsiTheme="majorHAnsi"/>
          <w:sz w:val="20"/>
          <w:szCs w:val="20"/>
          <w:lang w:val="es-ES"/>
        </w:rPr>
        <w:t>A pesar de esto, por años el Estado hizo poco para desmantelar la estructura que había creado y fomentado, particularmente cuando aquellos grupos llevaban a cabo</w:t>
      </w:r>
      <w:r w:rsidR="00A426D2" w:rsidRPr="00707B68">
        <w:rPr>
          <w:rFonts w:asciiTheme="majorHAnsi" w:hAnsiTheme="majorHAnsi"/>
          <w:sz w:val="20"/>
          <w:szCs w:val="20"/>
          <w:lang w:val="es-ES"/>
        </w:rPr>
        <w:t xml:space="preserve"> supuestas</w:t>
      </w:r>
      <w:r w:rsidRPr="00707B68">
        <w:rPr>
          <w:rFonts w:asciiTheme="majorHAnsi" w:hAnsiTheme="majorHAnsi"/>
          <w:sz w:val="20"/>
          <w:szCs w:val="20"/>
          <w:lang w:val="es-ES"/>
        </w:rPr>
        <w:t xml:space="preserve"> actividades de contrainsurgencia y, de hecho, los lazos permanecieron a diferentes niveles, en algunos casos, solicitando o permitiendo a los paramilitares la ejecución de ciertos actos ilícitos con el entendido de que no serían objeto de investigación o juzgamiento ni sanción.  La tolerancia de estos grupos por parte de ciertos sectores del Ejército ha sido denunciada por entes del </w:t>
      </w:r>
      <w:r w:rsidR="001A44A8" w:rsidRPr="00707B68">
        <w:rPr>
          <w:rFonts w:asciiTheme="majorHAnsi" w:hAnsiTheme="majorHAnsi"/>
          <w:sz w:val="20"/>
          <w:szCs w:val="20"/>
          <w:lang w:val="es-ES"/>
        </w:rPr>
        <w:t xml:space="preserve">propio </w:t>
      </w:r>
      <w:r w:rsidRPr="00707B68">
        <w:rPr>
          <w:rFonts w:asciiTheme="majorHAnsi" w:hAnsiTheme="majorHAnsi"/>
          <w:sz w:val="20"/>
          <w:szCs w:val="20"/>
          <w:lang w:val="es-ES"/>
        </w:rPr>
        <w:t>Estado</w:t>
      </w:r>
      <w:r w:rsidRPr="00707B68">
        <w:rPr>
          <w:rFonts w:asciiTheme="majorHAnsi" w:hAnsiTheme="majorHAnsi"/>
          <w:sz w:val="20"/>
          <w:szCs w:val="20"/>
          <w:vertAlign w:val="superscript"/>
          <w:lang w:val="es-ES"/>
        </w:rPr>
        <w:footnoteReference w:id="11"/>
      </w:r>
      <w:r w:rsidRPr="00707B68">
        <w:rPr>
          <w:rFonts w:asciiTheme="majorHAnsi" w:hAnsiTheme="majorHAnsi"/>
          <w:sz w:val="20"/>
          <w:szCs w:val="20"/>
          <w:lang w:val="es-ES"/>
        </w:rPr>
        <w:t>.</w:t>
      </w:r>
    </w:p>
    <w:p w14:paraId="332901C7" w14:textId="77777777" w:rsidR="006E1292" w:rsidRPr="00707B68" w:rsidRDefault="006E1292" w:rsidP="007A199B">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right="720" w:firstLine="0"/>
        <w:jc w:val="both"/>
        <w:rPr>
          <w:rFonts w:asciiTheme="majorHAnsi" w:hAnsiTheme="majorHAnsi"/>
          <w:sz w:val="20"/>
          <w:szCs w:val="20"/>
          <w:lang w:val="es-ES"/>
        </w:rPr>
      </w:pPr>
    </w:p>
    <w:p w14:paraId="4735EDEF" w14:textId="77777777" w:rsidR="00D559F0" w:rsidRPr="00707B68" w:rsidRDefault="003B30FC" w:rsidP="007A199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contextualSpacing/>
        <w:jc w:val="both"/>
        <w:rPr>
          <w:rFonts w:asciiTheme="majorHAnsi" w:hAnsiTheme="majorHAnsi"/>
          <w:sz w:val="20"/>
          <w:szCs w:val="20"/>
          <w:lang w:val="es-ES"/>
        </w:rPr>
      </w:pPr>
      <w:r w:rsidRPr="00707B68">
        <w:rPr>
          <w:rFonts w:asciiTheme="majorHAnsi" w:hAnsiTheme="majorHAnsi"/>
          <w:sz w:val="20"/>
          <w:szCs w:val="20"/>
          <w:lang w:val="es-ES"/>
        </w:rPr>
        <w:t xml:space="preserve">Sumado a lo anterior, </w:t>
      </w:r>
      <w:r w:rsidR="006E1292" w:rsidRPr="00707B68">
        <w:rPr>
          <w:rFonts w:asciiTheme="majorHAnsi" w:hAnsiTheme="majorHAnsi"/>
          <w:sz w:val="20"/>
          <w:szCs w:val="20"/>
          <w:lang w:val="es-ES"/>
        </w:rPr>
        <w:t>las Fuerzas Armadas asumieron como propia la llamada “doctrina de seguridad nacional”</w:t>
      </w:r>
      <w:r w:rsidR="0090357A" w:rsidRPr="00707B68">
        <w:rPr>
          <w:rFonts w:asciiTheme="majorHAnsi" w:hAnsiTheme="majorHAnsi"/>
          <w:sz w:val="20"/>
          <w:szCs w:val="20"/>
          <w:lang w:val="es-ES"/>
        </w:rPr>
        <w:t xml:space="preserve"> </w:t>
      </w:r>
      <w:r w:rsidRPr="00707B68">
        <w:rPr>
          <w:rFonts w:asciiTheme="majorHAnsi" w:hAnsiTheme="majorHAnsi"/>
          <w:sz w:val="20"/>
          <w:szCs w:val="20"/>
          <w:lang w:val="es-ES"/>
        </w:rPr>
        <w:t xml:space="preserve">ejercida a partir de la institucionalidad y normativa </w:t>
      </w:r>
      <w:r w:rsidR="00A059C4" w:rsidRPr="00707B68">
        <w:rPr>
          <w:rFonts w:asciiTheme="majorHAnsi" w:hAnsiTheme="majorHAnsi"/>
          <w:sz w:val="20"/>
          <w:szCs w:val="20"/>
          <w:lang w:val="es-ES"/>
        </w:rPr>
        <w:t>instaurada</w:t>
      </w:r>
      <w:r w:rsidRPr="00707B68">
        <w:rPr>
          <w:rFonts w:asciiTheme="majorHAnsi" w:hAnsiTheme="majorHAnsi"/>
          <w:sz w:val="20"/>
          <w:szCs w:val="20"/>
          <w:lang w:val="es-ES"/>
        </w:rPr>
        <w:t>s</w:t>
      </w:r>
      <w:r w:rsidR="004E32D7" w:rsidRPr="00707B68">
        <w:rPr>
          <w:rFonts w:asciiTheme="majorHAnsi" w:hAnsiTheme="majorHAnsi"/>
          <w:sz w:val="20"/>
          <w:szCs w:val="20"/>
          <w:lang w:val="es-ES"/>
        </w:rPr>
        <w:t xml:space="preserve"> mencionadas anteriormente</w:t>
      </w:r>
      <w:r w:rsidRPr="00707B68">
        <w:rPr>
          <w:rFonts w:asciiTheme="majorHAnsi" w:hAnsiTheme="majorHAnsi"/>
          <w:sz w:val="20"/>
          <w:szCs w:val="20"/>
          <w:lang w:val="es-ES"/>
        </w:rPr>
        <w:t>. Esta “doctrina”</w:t>
      </w:r>
      <w:r w:rsidR="00D04E47" w:rsidRPr="00707B68">
        <w:rPr>
          <w:rFonts w:asciiTheme="majorHAnsi" w:hAnsiTheme="majorHAnsi"/>
          <w:sz w:val="20"/>
          <w:szCs w:val="20"/>
          <w:lang w:val="es-ES"/>
        </w:rPr>
        <w:t xml:space="preserve"> </w:t>
      </w:r>
      <w:r w:rsidRPr="00707B68">
        <w:rPr>
          <w:rFonts w:asciiTheme="majorHAnsi" w:hAnsiTheme="majorHAnsi"/>
          <w:sz w:val="20"/>
          <w:szCs w:val="20"/>
          <w:lang w:val="es-ES"/>
        </w:rPr>
        <w:t>entendía que para el</w:t>
      </w:r>
      <w:r w:rsidR="0090357A" w:rsidRPr="00707B68">
        <w:rPr>
          <w:rFonts w:asciiTheme="majorHAnsi" w:hAnsiTheme="majorHAnsi"/>
          <w:sz w:val="20"/>
          <w:szCs w:val="20"/>
          <w:lang w:val="es-ES"/>
        </w:rPr>
        <w:t xml:space="preserve"> Estado el mayor peligro provenía de la guerra política que buscaba “obtener simpatía y apoyo de las masas” según relata el Centro Nacional de Memoria Histórica (en adelante “CNMH”)</w:t>
      </w:r>
      <w:r w:rsidR="0090357A" w:rsidRPr="00707B68">
        <w:rPr>
          <w:rStyle w:val="FootnoteReference"/>
          <w:rFonts w:asciiTheme="majorHAnsi" w:hAnsiTheme="majorHAnsi"/>
          <w:sz w:val="20"/>
          <w:szCs w:val="20"/>
          <w:lang w:val="es-ES"/>
        </w:rPr>
        <w:footnoteReference w:id="12"/>
      </w:r>
      <w:r w:rsidR="0090357A" w:rsidRPr="00707B68">
        <w:rPr>
          <w:rFonts w:asciiTheme="majorHAnsi" w:hAnsiTheme="majorHAnsi"/>
          <w:sz w:val="20"/>
          <w:szCs w:val="20"/>
          <w:lang w:val="es-ES"/>
        </w:rPr>
        <w:t xml:space="preserve">.  </w:t>
      </w:r>
      <w:r w:rsidR="00D04E47" w:rsidRPr="00707B68">
        <w:rPr>
          <w:rFonts w:asciiTheme="majorHAnsi" w:hAnsiTheme="majorHAnsi"/>
          <w:sz w:val="20"/>
          <w:szCs w:val="20"/>
          <w:lang w:val="es-ES"/>
        </w:rPr>
        <w:t xml:space="preserve">Mientras estuvo vigente, </w:t>
      </w:r>
      <w:r w:rsidRPr="00707B68">
        <w:rPr>
          <w:rFonts w:asciiTheme="majorHAnsi" w:hAnsiTheme="majorHAnsi"/>
          <w:sz w:val="20"/>
          <w:szCs w:val="20"/>
          <w:lang w:val="es-ES"/>
        </w:rPr>
        <w:t>dicha “Doctrina” se trasladó a los</w:t>
      </w:r>
      <w:r w:rsidR="00D04E47" w:rsidRPr="00707B68">
        <w:rPr>
          <w:rFonts w:asciiTheme="majorHAnsi" w:hAnsiTheme="majorHAnsi"/>
          <w:sz w:val="20"/>
          <w:szCs w:val="20"/>
          <w:lang w:val="es-ES"/>
        </w:rPr>
        <w:t xml:space="preserve"> </w:t>
      </w:r>
      <w:r w:rsidR="006E1292" w:rsidRPr="00707B68">
        <w:rPr>
          <w:rFonts w:asciiTheme="majorHAnsi" w:hAnsiTheme="majorHAnsi"/>
          <w:sz w:val="20"/>
          <w:szCs w:val="20"/>
          <w:lang w:val="es-ES"/>
        </w:rPr>
        <w:t xml:space="preserve">reglamentos y manuales militares </w:t>
      </w:r>
      <w:r w:rsidR="003714F4" w:rsidRPr="00707B68">
        <w:rPr>
          <w:rFonts w:asciiTheme="majorHAnsi" w:hAnsiTheme="majorHAnsi"/>
          <w:sz w:val="20"/>
          <w:szCs w:val="20"/>
          <w:lang w:val="es-ES"/>
        </w:rPr>
        <w:t xml:space="preserve">de </w:t>
      </w:r>
      <w:r w:rsidR="006E1292" w:rsidRPr="00707B68">
        <w:rPr>
          <w:rFonts w:asciiTheme="majorHAnsi" w:hAnsiTheme="majorHAnsi"/>
          <w:sz w:val="20"/>
          <w:szCs w:val="20"/>
          <w:lang w:val="es-ES"/>
        </w:rPr>
        <w:t>contraguerrillas</w:t>
      </w:r>
      <w:r w:rsidR="003714F4" w:rsidRPr="00707B68">
        <w:rPr>
          <w:rStyle w:val="FootnoteReference"/>
          <w:rFonts w:asciiTheme="majorHAnsi" w:hAnsiTheme="majorHAnsi"/>
          <w:sz w:val="20"/>
          <w:szCs w:val="20"/>
          <w:lang w:val="es-ES"/>
        </w:rPr>
        <w:footnoteReference w:id="13"/>
      </w:r>
      <w:r w:rsidR="006E1292" w:rsidRPr="00707B68">
        <w:rPr>
          <w:rFonts w:asciiTheme="majorHAnsi" w:hAnsiTheme="majorHAnsi"/>
          <w:sz w:val="20"/>
          <w:szCs w:val="20"/>
          <w:lang w:val="es-ES"/>
        </w:rPr>
        <w:t xml:space="preserve"> </w:t>
      </w:r>
      <w:r w:rsidR="003714F4" w:rsidRPr="00707B68">
        <w:rPr>
          <w:rFonts w:asciiTheme="majorHAnsi" w:hAnsiTheme="majorHAnsi"/>
          <w:sz w:val="20"/>
          <w:szCs w:val="20"/>
          <w:lang w:val="es-ES"/>
        </w:rPr>
        <w:t xml:space="preserve">fundados en el </w:t>
      </w:r>
      <w:r w:rsidR="006E1292" w:rsidRPr="00707B68">
        <w:rPr>
          <w:rFonts w:asciiTheme="majorHAnsi" w:hAnsiTheme="majorHAnsi"/>
          <w:sz w:val="20"/>
          <w:szCs w:val="20"/>
          <w:lang w:val="es-ES"/>
        </w:rPr>
        <w:t xml:space="preserve">concepto de “enemigo interno (…) </w:t>
      </w:r>
      <w:r w:rsidR="003714F4" w:rsidRPr="00707B68">
        <w:rPr>
          <w:rFonts w:asciiTheme="majorHAnsi" w:hAnsiTheme="majorHAnsi"/>
          <w:sz w:val="20"/>
          <w:szCs w:val="20"/>
          <w:lang w:val="es-ES"/>
        </w:rPr>
        <w:t xml:space="preserve">[el que] </w:t>
      </w:r>
      <w:r w:rsidR="006E1292" w:rsidRPr="00707B68">
        <w:rPr>
          <w:rFonts w:asciiTheme="majorHAnsi" w:hAnsiTheme="majorHAnsi"/>
          <w:sz w:val="20"/>
          <w:szCs w:val="20"/>
          <w:lang w:val="es-ES"/>
        </w:rPr>
        <w:t>rebasó ampliamente el espectro de los grupos guerrilleros y se extendió a toda forma de oposición política o social y de disidencia</w:t>
      </w:r>
      <w:r w:rsidR="00100AFE" w:rsidRPr="00707B68">
        <w:rPr>
          <w:rFonts w:asciiTheme="majorHAnsi" w:hAnsiTheme="majorHAnsi"/>
          <w:sz w:val="20"/>
          <w:szCs w:val="20"/>
          <w:lang w:val="es-ES"/>
        </w:rPr>
        <w:t>”</w:t>
      </w:r>
      <w:r w:rsidR="00100AFE" w:rsidRPr="00707B68">
        <w:rPr>
          <w:rStyle w:val="FootnoteReference"/>
          <w:rFonts w:asciiTheme="majorHAnsi" w:hAnsiTheme="majorHAnsi"/>
          <w:sz w:val="20"/>
          <w:szCs w:val="20"/>
          <w:lang w:val="es-ES"/>
        </w:rPr>
        <w:footnoteReference w:id="14"/>
      </w:r>
      <w:r w:rsidR="00100AFE" w:rsidRPr="00707B68">
        <w:rPr>
          <w:rFonts w:asciiTheme="majorHAnsi" w:hAnsiTheme="majorHAnsi"/>
          <w:sz w:val="20"/>
          <w:szCs w:val="20"/>
          <w:lang w:val="es-ES"/>
        </w:rPr>
        <w:t>, lo que para los años noventa incluía claramente a las personas defensoras de derechos humanos cuya labor era estigmatizada</w:t>
      </w:r>
      <w:r w:rsidR="0030230A" w:rsidRPr="00707B68">
        <w:rPr>
          <w:rFonts w:asciiTheme="majorHAnsi" w:hAnsiTheme="majorHAnsi"/>
          <w:sz w:val="20"/>
          <w:szCs w:val="20"/>
          <w:lang w:val="es-ES"/>
        </w:rPr>
        <w:t>, perseguida, hostigada y atacada, convirtiéndose en una actividad peligrosa</w:t>
      </w:r>
      <w:r w:rsidR="00100AFE" w:rsidRPr="00707B68">
        <w:rPr>
          <w:rStyle w:val="FootnoteReference"/>
          <w:rFonts w:asciiTheme="majorHAnsi" w:hAnsiTheme="majorHAnsi"/>
          <w:sz w:val="20"/>
          <w:szCs w:val="20"/>
          <w:lang w:val="es-ES"/>
        </w:rPr>
        <w:footnoteReference w:id="15"/>
      </w:r>
      <w:r w:rsidR="006E1292" w:rsidRPr="00707B68">
        <w:rPr>
          <w:rFonts w:asciiTheme="majorHAnsi" w:hAnsiTheme="majorHAnsi"/>
          <w:sz w:val="20"/>
          <w:szCs w:val="20"/>
          <w:lang w:val="es-ES"/>
        </w:rPr>
        <w:t xml:space="preserve">. </w:t>
      </w:r>
      <w:r w:rsidR="0043576A" w:rsidRPr="00707B68">
        <w:rPr>
          <w:rFonts w:asciiTheme="majorHAnsi" w:hAnsiTheme="majorHAnsi"/>
          <w:sz w:val="20"/>
          <w:szCs w:val="20"/>
          <w:lang w:val="es-ES"/>
        </w:rPr>
        <w:t xml:space="preserve">Esta noción de enemigo interno fue reconocida respecto de </w:t>
      </w:r>
      <w:r w:rsidR="00B13CC4" w:rsidRPr="00707B68">
        <w:rPr>
          <w:rFonts w:asciiTheme="majorHAnsi" w:hAnsiTheme="majorHAnsi"/>
          <w:sz w:val="20"/>
          <w:szCs w:val="20"/>
          <w:lang w:val="es-ES"/>
        </w:rPr>
        <w:t>organizaciones de derechos humanos por dos Relatores Especiales de Naciones Unidas</w:t>
      </w:r>
      <w:r w:rsidR="00B13CC4" w:rsidRPr="00707B68">
        <w:rPr>
          <w:rStyle w:val="FootnoteReference"/>
          <w:rFonts w:asciiTheme="majorHAnsi" w:hAnsiTheme="majorHAnsi"/>
          <w:sz w:val="20"/>
          <w:szCs w:val="20"/>
          <w:lang w:val="es-ES"/>
        </w:rPr>
        <w:footnoteReference w:id="16"/>
      </w:r>
      <w:r w:rsidR="00B13CC4" w:rsidRPr="00707B68">
        <w:rPr>
          <w:rFonts w:asciiTheme="majorHAnsi" w:hAnsiTheme="majorHAnsi"/>
          <w:sz w:val="20"/>
          <w:szCs w:val="20"/>
          <w:lang w:val="es-ES"/>
        </w:rPr>
        <w:t xml:space="preserve">. </w:t>
      </w:r>
      <w:r w:rsidR="00AA1A38" w:rsidRPr="00707B68">
        <w:rPr>
          <w:rFonts w:asciiTheme="majorHAnsi" w:hAnsiTheme="majorHAnsi"/>
          <w:sz w:val="20"/>
          <w:szCs w:val="20"/>
          <w:lang w:val="es-ES"/>
        </w:rPr>
        <w:t>Asimismo,</w:t>
      </w:r>
      <w:r w:rsidR="006E1292" w:rsidRPr="00707B68">
        <w:rPr>
          <w:rFonts w:asciiTheme="majorHAnsi" w:hAnsiTheme="majorHAnsi"/>
          <w:sz w:val="20"/>
          <w:szCs w:val="20"/>
          <w:lang w:val="es-ES"/>
        </w:rPr>
        <w:t xml:space="preserve"> existe información que indica que, al menos para el año 2009 algunos de estos manuales se seguían aplicando</w:t>
      </w:r>
      <w:r w:rsidR="006E1292" w:rsidRPr="00707B68">
        <w:rPr>
          <w:rStyle w:val="FootnoteReference"/>
          <w:rFonts w:asciiTheme="majorHAnsi" w:hAnsiTheme="majorHAnsi"/>
          <w:sz w:val="20"/>
          <w:szCs w:val="20"/>
          <w:lang w:val="es-ES"/>
        </w:rPr>
        <w:footnoteReference w:id="17"/>
      </w:r>
      <w:r w:rsidR="00580FF9" w:rsidRPr="00707B68">
        <w:rPr>
          <w:rFonts w:asciiTheme="majorHAnsi" w:hAnsiTheme="majorHAnsi"/>
          <w:sz w:val="20"/>
          <w:szCs w:val="20"/>
          <w:lang w:val="es-ES"/>
        </w:rPr>
        <w:t>.</w:t>
      </w:r>
    </w:p>
    <w:p w14:paraId="7AF5BDF7" w14:textId="77777777" w:rsidR="006C767B" w:rsidRPr="00707B68" w:rsidRDefault="006C767B" w:rsidP="007A199B">
      <w:pPr>
        <w:tabs>
          <w:tab w:val="left" w:pos="360"/>
        </w:tabs>
        <w:rPr>
          <w:rFonts w:asciiTheme="majorHAnsi" w:hAnsiTheme="majorHAnsi"/>
        </w:rPr>
      </w:pPr>
    </w:p>
    <w:p w14:paraId="4085AC42" w14:textId="77777777" w:rsidR="00C75993" w:rsidRPr="00707B68" w:rsidRDefault="002739EE" w:rsidP="007A199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lang w:val="es-ES"/>
        </w:rPr>
      </w:pPr>
      <w:r w:rsidRPr="00707B68">
        <w:rPr>
          <w:rFonts w:asciiTheme="majorHAnsi" w:hAnsiTheme="majorHAnsi"/>
          <w:sz w:val="20"/>
          <w:szCs w:val="20"/>
          <w:lang w:val="es-ES"/>
        </w:rPr>
        <w:t>Ante e</w:t>
      </w:r>
      <w:r w:rsidR="00C75993" w:rsidRPr="00707B68">
        <w:rPr>
          <w:rFonts w:asciiTheme="majorHAnsi" w:hAnsiTheme="majorHAnsi"/>
          <w:sz w:val="20"/>
          <w:szCs w:val="20"/>
          <w:lang w:val="es-ES"/>
        </w:rPr>
        <w:t>sta situación</w:t>
      </w:r>
      <w:r w:rsidRPr="00707B68">
        <w:rPr>
          <w:rFonts w:asciiTheme="majorHAnsi" w:hAnsiTheme="majorHAnsi"/>
          <w:sz w:val="20"/>
          <w:szCs w:val="20"/>
          <w:lang w:val="es-ES"/>
        </w:rPr>
        <w:t xml:space="preserve">, </w:t>
      </w:r>
      <w:r w:rsidR="00C75993" w:rsidRPr="00707B68">
        <w:rPr>
          <w:rFonts w:asciiTheme="majorHAnsi" w:hAnsiTheme="majorHAnsi"/>
          <w:sz w:val="20"/>
          <w:szCs w:val="20"/>
          <w:lang w:val="es-ES"/>
        </w:rPr>
        <w:t>la Comisión y a la Corte</w:t>
      </w:r>
      <w:r w:rsidRPr="00707B68">
        <w:rPr>
          <w:rFonts w:asciiTheme="majorHAnsi" w:hAnsiTheme="majorHAnsi"/>
          <w:sz w:val="20"/>
          <w:szCs w:val="20"/>
          <w:lang w:val="es-ES"/>
        </w:rPr>
        <w:t xml:space="preserve"> han determinado </w:t>
      </w:r>
      <w:r w:rsidR="00C75993" w:rsidRPr="00707B68">
        <w:rPr>
          <w:rFonts w:asciiTheme="majorHAnsi" w:hAnsiTheme="majorHAnsi"/>
          <w:sz w:val="20"/>
          <w:szCs w:val="20"/>
          <w:lang w:val="es-ES"/>
        </w:rPr>
        <w:t xml:space="preserve">la responsabilidad internacional del Estado conforme a la Convención Americana, en los casos en los cuales paramilitares y miembros del Ejército llevan a cabo operaciones conjuntas con el conocimiento de oficiales superiores, tienen una relación institucional con </w:t>
      </w:r>
      <w:r w:rsidR="00C75993" w:rsidRPr="00707B68">
        <w:rPr>
          <w:rFonts w:asciiTheme="majorHAnsi" w:hAnsiTheme="majorHAnsi"/>
          <w:sz w:val="20"/>
          <w:szCs w:val="20"/>
          <w:lang w:val="es-ES"/>
        </w:rPr>
        <w:lastRenderedPageBreak/>
        <w:t>el ejército u operan bajo su supervisión</w:t>
      </w:r>
      <w:r w:rsidR="00C75993" w:rsidRPr="00707B68">
        <w:rPr>
          <w:rStyle w:val="FootnoteReference"/>
          <w:rFonts w:asciiTheme="majorHAnsi" w:hAnsiTheme="majorHAnsi"/>
          <w:sz w:val="20"/>
          <w:szCs w:val="20"/>
          <w:lang w:val="es-ES"/>
        </w:rPr>
        <w:footnoteReference w:id="18"/>
      </w:r>
      <w:r w:rsidR="003017CC" w:rsidRPr="00707B68">
        <w:rPr>
          <w:rFonts w:asciiTheme="majorHAnsi" w:hAnsiTheme="majorHAnsi"/>
          <w:sz w:val="20"/>
          <w:szCs w:val="20"/>
          <w:lang w:val="es-ES"/>
        </w:rPr>
        <w:t xml:space="preserve">. Asimismo, </w:t>
      </w:r>
      <w:r w:rsidR="00C75993" w:rsidRPr="00707B68">
        <w:rPr>
          <w:rFonts w:asciiTheme="majorHAnsi" w:hAnsiTheme="majorHAnsi"/>
          <w:sz w:val="20"/>
          <w:szCs w:val="20"/>
          <w:lang w:val="es-ES"/>
        </w:rPr>
        <w:t>cuando los paramilitares actúan gracias a la aquiescencia u colaboración de la Fuerza Pública, debe considerarse que los miembros de los grupos paramilitares actúan como agentes estatales</w:t>
      </w:r>
      <w:r w:rsidR="00C75993" w:rsidRPr="00707B68">
        <w:rPr>
          <w:rFonts w:asciiTheme="majorHAnsi" w:hAnsiTheme="majorHAnsi"/>
          <w:sz w:val="20"/>
          <w:szCs w:val="20"/>
          <w:vertAlign w:val="superscript"/>
          <w:lang w:val="es-ES"/>
        </w:rPr>
        <w:footnoteReference w:id="19"/>
      </w:r>
      <w:r w:rsidR="00C75993" w:rsidRPr="00707B68">
        <w:rPr>
          <w:rFonts w:asciiTheme="majorHAnsi" w:hAnsiTheme="majorHAnsi"/>
          <w:sz w:val="20"/>
          <w:szCs w:val="20"/>
          <w:lang w:val="es-ES"/>
        </w:rPr>
        <w:t>.</w:t>
      </w:r>
    </w:p>
    <w:p w14:paraId="632E3FCF" w14:textId="77777777" w:rsidR="00C75993" w:rsidRPr="00707B68" w:rsidRDefault="00C75993" w:rsidP="007A199B">
      <w:pPr>
        <w:pStyle w:val="BodyTextIndent"/>
        <w:tabs>
          <w:tab w:val="left" w:pos="360"/>
          <w:tab w:val="left" w:pos="1440"/>
        </w:tabs>
        <w:ind w:left="0" w:firstLine="0"/>
        <w:jc w:val="both"/>
        <w:rPr>
          <w:rFonts w:asciiTheme="majorHAnsi" w:hAnsiTheme="majorHAnsi"/>
          <w:sz w:val="20"/>
          <w:szCs w:val="20"/>
          <w:lang w:val="es-ES"/>
        </w:rPr>
      </w:pPr>
    </w:p>
    <w:p w14:paraId="0052CE41" w14:textId="77777777" w:rsidR="006B25DE" w:rsidRPr="00707B68" w:rsidRDefault="003B30FC" w:rsidP="007A199B">
      <w:pPr>
        <w:pStyle w:val="Heading3"/>
        <w:tabs>
          <w:tab w:val="left" w:pos="360"/>
        </w:tabs>
        <w:ind w:left="0" w:firstLine="0"/>
        <w:rPr>
          <w:lang w:val="es-ES"/>
        </w:rPr>
      </w:pPr>
      <w:r w:rsidRPr="00707B68">
        <w:rPr>
          <w:lang w:val="es-ES"/>
        </w:rPr>
        <w:t>La labor de defensores de derechos humanos y e</w:t>
      </w:r>
      <w:r w:rsidR="00773FB2" w:rsidRPr="00707B68">
        <w:rPr>
          <w:lang w:val="es-ES"/>
        </w:rPr>
        <w:t>l impacto de</w:t>
      </w:r>
      <w:r w:rsidRPr="00707B68">
        <w:rPr>
          <w:lang w:val="es-ES"/>
        </w:rPr>
        <w:t>l conflicto armado en Segovia</w:t>
      </w:r>
    </w:p>
    <w:p w14:paraId="03BF563B" w14:textId="77777777" w:rsidR="00A91B18" w:rsidRPr="00707B68" w:rsidRDefault="00A91B18" w:rsidP="007A199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sz w:val="20"/>
          <w:szCs w:val="20"/>
          <w:lang w:val="es-ES"/>
        </w:rPr>
      </w:pPr>
    </w:p>
    <w:p w14:paraId="4A006BFF" w14:textId="77777777" w:rsidR="00D45EE3" w:rsidRPr="00707B68" w:rsidRDefault="004E32D7" w:rsidP="007A199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lang w:val="es-ES"/>
        </w:rPr>
      </w:pPr>
      <w:r w:rsidRPr="00707B68">
        <w:rPr>
          <w:rFonts w:asciiTheme="majorHAnsi" w:hAnsiTheme="majorHAnsi"/>
          <w:sz w:val="20"/>
          <w:szCs w:val="20"/>
          <w:lang w:val="es-ES"/>
        </w:rPr>
        <w:t>Hacia finales de los años noventa</w:t>
      </w:r>
      <w:r w:rsidR="0006509B" w:rsidRPr="00707B68">
        <w:rPr>
          <w:rFonts w:asciiTheme="majorHAnsi" w:hAnsiTheme="majorHAnsi"/>
          <w:sz w:val="20"/>
          <w:szCs w:val="20"/>
          <w:lang w:val="es-ES"/>
        </w:rPr>
        <w:t xml:space="preserve">, la Comisión </w:t>
      </w:r>
      <w:r w:rsidR="008948D3" w:rsidRPr="00707B68">
        <w:rPr>
          <w:rFonts w:asciiTheme="majorHAnsi" w:hAnsiTheme="majorHAnsi"/>
          <w:sz w:val="20"/>
          <w:szCs w:val="20"/>
          <w:lang w:val="es-ES"/>
        </w:rPr>
        <w:t>señaló</w:t>
      </w:r>
      <w:r w:rsidR="009D2B60" w:rsidRPr="00707B68">
        <w:rPr>
          <w:rFonts w:asciiTheme="majorHAnsi" w:hAnsiTheme="majorHAnsi"/>
          <w:sz w:val="20"/>
          <w:szCs w:val="20"/>
          <w:lang w:val="es-ES"/>
        </w:rPr>
        <w:t xml:space="preserve"> </w:t>
      </w:r>
      <w:r w:rsidR="00D45EE3" w:rsidRPr="00707B68">
        <w:rPr>
          <w:rFonts w:asciiTheme="majorHAnsi" w:hAnsiTheme="majorHAnsi"/>
          <w:sz w:val="20"/>
          <w:szCs w:val="20"/>
          <w:lang w:val="es-ES"/>
        </w:rPr>
        <w:t>lo siguiente:</w:t>
      </w:r>
    </w:p>
    <w:p w14:paraId="4F8CEAEC" w14:textId="77777777" w:rsidR="00D45EE3" w:rsidRPr="00707B68" w:rsidRDefault="00D45EE3" w:rsidP="00D45EE3">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sz w:val="20"/>
          <w:szCs w:val="20"/>
          <w:lang w:val="es-ES"/>
        </w:rPr>
      </w:pPr>
    </w:p>
    <w:p w14:paraId="5E5BB4E7" w14:textId="14F71D1C" w:rsidR="0006509B" w:rsidRPr="00707B68" w:rsidRDefault="00D45EE3" w:rsidP="0002080D">
      <w:pPr>
        <w:ind w:left="360" w:right="720"/>
        <w:jc w:val="both"/>
        <w:rPr>
          <w:rFonts w:asciiTheme="majorHAnsi" w:eastAsia="Times New Roman" w:hAnsiTheme="majorHAnsi"/>
          <w:sz w:val="18"/>
          <w:szCs w:val="18"/>
          <w:bdr w:val="none" w:sz="0" w:space="0" w:color="auto"/>
          <w:lang w:val="es-US"/>
        </w:rPr>
      </w:pPr>
      <w:r w:rsidRPr="00707B68">
        <w:rPr>
          <w:rFonts w:asciiTheme="majorHAnsi" w:hAnsiTheme="majorHAnsi"/>
          <w:sz w:val="18"/>
          <w:szCs w:val="18"/>
          <w:lang w:val="es-ES"/>
        </w:rPr>
        <w:t xml:space="preserve">(...) </w:t>
      </w:r>
      <w:r w:rsidR="009D2B60" w:rsidRPr="00707B68">
        <w:rPr>
          <w:rFonts w:asciiTheme="majorHAnsi" w:hAnsiTheme="majorHAnsi"/>
          <w:sz w:val="18"/>
          <w:szCs w:val="18"/>
          <w:lang w:val="es-ES"/>
        </w:rPr>
        <w:t>la reciente escalada de violencia y hostigamiento dirigidos contra los defensores de los derechos humanos corresponde a la degradación del conflicto durante los últimos años, e inclusive meses. La legítima labor de los defensores dirigida a denunciar los graves atropellos cometidos por las partes en el conflicto armado, ha provocado que ciertos actores busquen acallarlos por distintos medios</w:t>
      </w:r>
      <w:r w:rsidR="00EA6705" w:rsidRPr="00707B68">
        <w:rPr>
          <w:rFonts w:asciiTheme="majorHAnsi" w:hAnsiTheme="majorHAnsi"/>
          <w:sz w:val="18"/>
          <w:szCs w:val="18"/>
          <w:lang w:val="es-ES"/>
        </w:rPr>
        <w:t xml:space="preserve"> (...).</w:t>
      </w:r>
      <w:r w:rsidR="0002080D" w:rsidRPr="00707B68">
        <w:rPr>
          <w:rFonts w:asciiTheme="majorHAnsi" w:hAnsiTheme="majorHAnsi"/>
          <w:sz w:val="18"/>
          <w:szCs w:val="18"/>
          <w:lang w:val="es-ES"/>
        </w:rPr>
        <w:t xml:space="preserve"> </w:t>
      </w:r>
      <w:r w:rsidR="0002080D" w:rsidRPr="00707B68">
        <w:rPr>
          <w:rFonts w:asciiTheme="majorHAnsi" w:eastAsia="Times New Roman" w:hAnsiTheme="majorHAnsi" w:cs="Arial"/>
          <w:sz w:val="18"/>
          <w:szCs w:val="18"/>
          <w:bdr w:val="none" w:sz="0" w:space="0" w:color="auto"/>
          <w:shd w:val="clear" w:color="auto" w:fill="FFFFFF"/>
          <w:lang w:val="es-US"/>
        </w:rPr>
        <w:t>[La CIDH resalta la]</w:t>
      </w:r>
      <w:r w:rsidR="0002080D" w:rsidRPr="00707B68">
        <w:rPr>
          <w:rFonts w:asciiTheme="majorHAnsi" w:eastAsia="Times New Roman" w:hAnsiTheme="majorHAnsi"/>
          <w:sz w:val="18"/>
          <w:szCs w:val="18"/>
          <w:bdr w:val="none" w:sz="0" w:space="0" w:color="auto"/>
          <w:lang w:val="es-US"/>
        </w:rPr>
        <w:t xml:space="preserve"> </w:t>
      </w:r>
      <w:r w:rsidR="0002080D" w:rsidRPr="00707B68">
        <w:rPr>
          <w:rFonts w:asciiTheme="majorHAnsi" w:hAnsiTheme="majorHAnsi"/>
          <w:sz w:val="18"/>
          <w:szCs w:val="18"/>
          <w:lang w:val="es-ES"/>
        </w:rPr>
        <w:t>alarmante frecuencia</w:t>
      </w:r>
      <w:r w:rsidR="001531A9" w:rsidRPr="00707B68">
        <w:rPr>
          <w:rFonts w:asciiTheme="majorHAnsi" w:hAnsiTheme="majorHAnsi"/>
          <w:sz w:val="18"/>
          <w:szCs w:val="18"/>
          <w:lang w:val="es-ES"/>
        </w:rPr>
        <w:t xml:space="preserve"> </w:t>
      </w:r>
      <w:r w:rsidR="0002080D" w:rsidRPr="00707B68">
        <w:rPr>
          <w:rFonts w:asciiTheme="majorHAnsi" w:eastAsia="Times New Roman" w:hAnsiTheme="majorHAnsi" w:cs="Arial"/>
          <w:sz w:val="18"/>
          <w:szCs w:val="18"/>
          <w:bdr w:val="none" w:sz="0" w:space="0" w:color="auto"/>
          <w:shd w:val="clear" w:color="auto" w:fill="FFFFFF"/>
          <w:lang w:val="es-US"/>
        </w:rPr>
        <w:t xml:space="preserve">[con la que] </w:t>
      </w:r>
      <w:r w:rsidR="001531A9" w:rsidRPr="00707B68">
        <w:rPr>
          <w:rFonts w:asciiTheme="majorHAnsi" w:hAnsiTheme="majorHAnsi"/>
          <w:sz w:val="18"/>
          <w:szCs w:val="18"/>
          <w:lang w:val="es-ES"/>
        </w:rPr>
        <w:t>integrantes de las fuerzas de seguridad del Estado y de los grupos paramilitares presumen, con base en actividades legítimas de fomento y protección de los derechos humanos, que estos trabajadores se encuentran involucrados en actividades ilegales o se han transformado en combatientes y blancos legítimos de ataque”</w:t>
      </w:r>
      <w:r w:rsidR="001531A9" w:rsidRPr="00707B68">
        <w:rPr>
          <w:rStyle w:val="FootnoteReference"/>
          <w:rFonts w:asciiTheme="majorHAnsi" w:hAnsiTheme="majorHAnsi"/>
          <w:sz w:val="18"/>
          <w:szCs w:val="18"/>
          <w:lang w:val="es-ES"/>
        </w:rPr>
        <w:footnoteReference w:id="20"/>
      </w:r>
      <w:r w:rsidR="00867F6A" w:rsidRPr="00707B68">
        <w:rPr>
          <w:rFonts w:asciiTheme="majorHAnsi" w:hAnsiTheme="majorHAnsi"/>
          <w:sz w:val="18"/>
          <w:szCs w:val="18"/>
          <w:lang w:val="es-ES"/>
        </w:rPr>
        <w:t>.</w:t>
      </w:r>
    </w:p>
    <w:p w14:paraId="7F37F537" w14:textId="77777777" w:rsidR="004175B6" w:rsidRPr="00707B68" w:rsidRDefault="004175B6" w:rsidP="007A199B">
      <w:pPr>
        <w:tabs>
          <w:tab w:val="left" w:pos="360"/>
        </w:tabs>
        <w:rPr>
          <w:rFonts w:asciiTheme="majorHAnsi" w:hAnsiTheme="majorHAnsi"/>
          <w:sz w:val="20"/>
          <w:szCs w:val="20"/>
        </w:rPr>
      </w:pPr>
    </w:p>
    <w:p w14:paraId="20C73D3D" w14:textId="12A47E77" w:rsidR="004175B6" w:rsidRPr="00707B68" w:rsidRDefault="004175B6" w:rsidP="007A199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lang w:val="es-ES"/>
        </w:rPr>
      </w:pPr>
      <w:r w:rsidRPr="00707B68">
        <w:rPr>
          <w:rFonts w:asciiTheme="majorHAnsi" w:hAnsiTheme="majorHAnsi"/>
          <w:sz w:val="20"/>
          <w:szCs w:val="20"/>
          <w:lang w:val="es-ES"/>
        </w:rPr>
        <w:t>Asimismo, la CIDH observa que estas mismas preocupaciones y observaciones fueron reportadas</w:t>
      </w:r>
      <w:r w:rsidR="006154CD" w:rsidRPr="00707B68">
        <w:rPr>
          <w:rFonts w:asciiTheme="majorHAnsi" w:hAnsiTheme="majorHAnsi"/>
          <w:sz w:val="20"/>
          <w:szCs w:val="20"/>
          <w:lang w:val="es-ES"/>
        </w:rPr>
        <w:t xml:space="preserve"> </w:t>
      </w:r>
      <w:r w:rsidRPr="00707B68">
        <w:rPr>
          <w:rFonts w:asciiTheme="majorHAnsi" w:hAnsiTheme="majorHAnsi"/>
          <w:sz w:val="20"/>
          <w:szCs w:val="20"/>
          <w:lang w:val="es-ES"/>
        </w:rPr>
        <w:t>por otros órganos internacionales con mand</w:t>
      </w:r>
      <w:r w:rsidR="0063703E" w:rsidRPr="00707B68">
        <w:rPr>
          <w:rFonts w:asciiTheme="majorHAnsi" w:hAnsiTheme="majorHAnsi"/>
          <w:sz w:val="20"/>
          <w:szCs w:val="20"/>
          <w:lang w:val="es-ES"/>
        </w:rPr>
        <w:t xml:space="preserve">atos en derechos humanos. Así, la OACNUDHC </w:t>
      </w:r>
      <w:r w:rsidRPr="00707B68">
        <w:rPr>
          <w:rFonts w:asciiTheme="majorHAnsi" w:hAnsiTheme="majorHAnsi"/>
          <w:sz w:val="20"/>
          <w:szCs w:val="20"/>
          <w:lang w:val="es-ES"/>
        </w:rPr>
        <w:t xml:space="preserve">reportó </w:t>
      </w:r>
      <w:r w:rsidR="006154CD" w:rsidRPr="00707B68">
        <w:rPr>
          <w:rFonts w:asciiTheme="majorHAnsi" w:hAnsiTheme="majorHAnsi"/>
          <w:sz w:val="20"/>
          <w:szCs w:val="20"/>
          <w:lang w:val="es-ES"/>
        </w:rPr>
        <w:t xml:space="preserve">la ocurrencia de desplazamientos forzados de personas defensoras de derechos humanos, cierres de oficinas de organizaciones defensoras, actos intimidatorios, criminalización </w:t>
      </w:r>
      <w:r w:rsidR="005606B3" w:rsidRPr="00707B68">
        <w:rPr>
          <w:rFonts w:asciiTheme="majorHAnsi" w:hAnsiTheme="majorHAnsi"/>
          <w:sz w:val="20"/>
          <w:szCs w:val="20"/>
          <w:lang w:val="es-ES"/>
        </w:rPr>
        <w:t>de la labor defensorial,</w:t>
      </w:r>
      <w:r w:rsidR="0089592E" w:rsidRPr="00707B68">
        <w:rPr>
          <w:rFonts w:asciiTheme="majorHAnsi" w:hAnsiTheme="majorHAnsi"/>
          <w:sz w:val="20"/>
          <w:szCs w:val="20"/>
          <w:lang w:val="es-ES"/>
        </w:rPr>
        <w:t xml:space="preserve"> asesinatos,</w:t>
      </w:r>
      <w:r w:rsidR="005606B3" w:rsidRPr="00707B68">
        <w:rPr>
          <w:rFonts w:asciiTheme="majorHAnsi" w:hAnsiTheme="majorHAnsi"/>
          <w:sz w:val="20"/>
          <w:szCs w:val="20"/>
          <w:lang w:val="es-ES"/>
        </w:rPr>
        <w:t xml:space="preserve"> entre otros actos de hostigamiento y agresión, recogidos en sus informes de </w:t>
      </w:r>
      <w:r w:rsidR="006154CD" w:rsidRPr="00707B68">
        <w:rPr>
          <w:rFonts w:asciiTheme="majorHAnsi" w:hAnsiTheme="majorHAnsi"/>
          <w:sz w:val="20"/>
          <w:szCs w:val="20"/>
          <w:lang w:val="es-ES"/>
        </w:rPr>
        <w:t>los años 199</w:t>
      </w:r>
      <w:r w:rsidR="000058F0" w:rsidRPr="00707B68">
        <w:rPr>
          <w:rFonts w:asciiTheme="majorHAnsi" w:hAnsiTheme="majorHAnsi"/>
          <w:sz w:val="20"/>
          <w:szCs w:val="20"/>
          <w:lang w:val="es-ES"/>
        </w:rPr>
        <w:t>8</w:t>
      </w:r>
      <w:r w:rsidR="008E2356" w:rsidRPr="00707B68">
        <w:rPr>
          <w:rFonts w:asciiTheme="majorHAnsi" w:hAnsiTheme="majorHAnsi"/>
          <w:sz w:val="20"/>
          <w:szCs w:val="20"/>
          <w:lang w:val="es-ES"/>
        </w:rPr>
        <w:t xml:space="preserve"> a 2002</w:t>
      </w:r>
      <w:r w:rsidR="006154CD" w:rsidRPr="00707B68">
        <w:rPr>
          <w:rStyle w:val="FootnoteReference"/>
          <w:rFonts w:asciiTheme="majorHAnsi" w:hAnsiTheme="majorHAnsi"/>
          <w:sz w:val="20"/>
          <w:szCs w:val="20"/>
          <w:lang w:val="es-ES"/>
        </w:rPr>
        <w:footnoteReference w:id="21"/>
      </w:r>
      <w:r w:rsidR="006154CD" w:rsidRPr="00707B68">
        <w:rPr>
          <w:rFonts w:asciiTheme="majorHAnsi" w:hAnsiTheme="majorHAnsi"/>
          <w:sz w:val="20"/>
          <w:szCs w:val="20"/>
          <w:lang w:val="es-ES"/>
        </w:rPr>
        <w:t xml:space="preserve">, período que coincide temporalmente los hechos analizados en el presente informe. </w:t>
      </w:r>
    </w:p>
    <w:p w14:paraId="6C318D23" w14:textId="77777777" w:rsidR="00D45EE3" w:rsidRPr="00707B68" w:rsidRDefault="00D45EE3" w:rsidP="00D45EE3">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sz w:val="20"/>
          <w:szCs w:val="20"/>
          <w:lang w:val="es-ES"/>
        </w:rPr>
      </w:pPr>
    </w:p>
    <w:p w14:paraId="16850330" w14:textId="16008BE2" w:rsidR="00AD22AE" w:rsidRPr="00707B68" w:rsidRDefault="00CA49DF" w:rsidP="007A199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lang w:val="es-ES"/>
        </w:rPr>
      </w:pPr>
      <w:r w:rsidRPr="00707B68">
        <w:rPr>
          <w:rFonts w:asciiTheme="majorHAnsi" w:hAnsiTheme="majorHAnsi"/>
          <w:sz w:val="20"/>
          <w:szCs w:val="20"/>
          <w:lang w:val="es-ES"/>
        </w:rPr>
        <w:t xml:space="preserve">Respecto de la situación </w:t>
      </w:r>
      <w:r w:rsidR="008E2356" w:rsidRPr="00707B68">
        <w:rPr>
          <w:rFonts w:asciiTheme="majorHAnsi" w:hAnsiTheme="majorHAnsi"/>
          <w:sz w:val="20"/>
          <w:szCs w:val="20"/>
          <w:lang w:val="es-ES"/>
        </w:rPr>
        <w:t>e</w:t>
      </w:r>
      <w:r w:rsidRPr="00707B68">
        <w:rPr>
          <w:rFonts w:asciiTheme="majorHAnsi" w:hAnsiTheme="majorHAnsi"/>
          <w:sz w:val="20"/>
          <w:szCs w:val="20"/>
          <w:lang w:val="es-ES"/>
        </w:rPr>
        <w:t>n Segovia, el</w:t>
      </w:r>
      <w:r w:rsidR="00AD22AE" w:rsidRPr="00707B68">
        <w:rPr>
          <w:rFonts w:asciiTheme="majorHAnsi" w:hAnsiTheme="majorHAnsi"/>
          <w:sz w:val="20"/>
          <w:szCs w:val="20"/>
          <w:lang w:val="es-ES"/>
        </w:rPr>
        <w:t xml:space="preserve"> CNDH ha informado que entre 1982 y 1997 ocurrieron “14 masacres y centenares de asesinatos selectivos” en los municipios de Remedios y Segovia. Asimismo, relató que “en este escenario de terror generalizado se ha podido documentar que al menos cuatro masacres forman parte de una escalada criminal dirigida contra activistas políticos, líderes sociales y defensores de derechos humanos. Estos hechos de violencia masiva contaron con la participación directa o indirecta de miembros de la fuerza pública, en una combinación de guerra sucia y sectarismo político”</w:t>
      </w:r>
      <w:r w:rsidR="00AD22AE" w:rsidRPr="00707B68">
        <w:rPr>
          <w:rStyle w:val="FootnoteReference"/>
          <w:rFonts w:asciiTheme="majorHAnsi" w:hAnsiTheme="majorHAnsi"/>
          <w:sz w:val="20"/>
          <w:szCs w:val="20"/>
          <w:lang w:val="es-ES"/>
        </w:rPr>
        <w:footnoteReference w:id="22"/>
      </w:r>
      <w:r w:rsidR="00AD22AE" w:rsidRPr="00707B68">
        <w:rPr>
          <w:rFonts w:asciiTheme="majorHAnsi" w:hAnsiTheme="majorHAnsi"/>
          <w:sz w:val="20"/>
          <w:szCs w:val="20"/>
          <w:lang w:val="es-ES"/>
        </w:rPr>
        <w:t xml:space="preserve">. </w:t>
      </w:r>
    </w:p>
    <w:p w14:paraId="07D7FA7E" w14:textId="77777777" w:rsidR="00AD22AE" w:rsidRPr="00707B68" w:rsidRDefault="00AD22AE" w:rsidP="007A199B">
      <w:pPr>
        <w:tabs>
          <w:tab w:val="left" w:pos="360"/>
        </w:tabs>
        <w:rPr>
          <w:rFonts w:asciiTheme="majorHAnsi" w:hAnsiTheme="majorHAnsi"/>
          <w:sz w:val="20"/>
          <w:szCs w:val="20"/>
        </w:rPr>
      </w:pPr>
    </w:p>
    <w:p w14:paraId="03B17424" w14:textId="77777777" w:rsidR="00221218" w:rsidRPr="00707B68" w:rsidRDefault="00AD22AE" w:rsidP="007A199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lang w:val="es-ES"/>
        </w:rPr>
      </w:pPr>
      <w:r w:rsidRPr="00707B68">
        <w:rPr>
          <w:rFonts w:asciiTheme="majorHAnsi" w:hAnsiTheme="majorHAnsi"/>
          <w:sz w:val="20"/>
          <w:szCs w:val="20"/>
          <w:lang w:val="es-ES"/>
        </w:rPr>
        <w:t>La Comisión ha destacado dos hechos sumamente violentos en Segovia, ocurridos en 1988 y 1996</w:t>
      </w:r>
      <w:r w:rsidR="008A299B" w:rsidRPr="00707B68">
        <w:rPr>
          <w:rFonts w:asciiTheme="majorHAnsi" w:hAnsiTheme="majorHAnsi"/>
          <w:sz w:val="20"/>
          <w:szCs w:val="20"/>
          <w:lang w:val="es-ES"/>
        </w:rPr>
        <w:t>, que son conocidos como “masacres”</w:t>
      </w:r>
      <w:r w:rsidRPr="00707B68">
        <w:rPr>
          <w:rStyle w:val="FootnoteReference"/>
          <w:rFonts w:asciiTheme="majorHAnsi" w:hAnsiTheme="majorHAnsi"/>
          <w:sz w:val="20"/>
          <w:szCs w:val="20"/>
          <w:lang w:val="es-ES"/>
        </w:rPr>
        <w:footnoteReference w:id="23"/>
      </w:r>
      <w:r w:rsidRPr="00707B68">
        <w:rPr>
          <w:rFonts w:asciiTheme="majorHAnsi" w:hAnsiTheme="majorHAnsi"/>
          <w:sz w:val="20"/>
          <w:szCs w:val="20"/>
          <w:lang w:val="es-ES"/>
        </w:rPr>
        <w:t xml:space="preserve">. </w:t>
      </w:r>
      <w:r w:rsidR="008A299B" w:rsidRPr="00707B68">
        <w:rPr>
          <w:rFonts w:asciiTheme="majorHAnsi" w:hAnsiTheme="majorHAnsi"/>
          <w:sz w:val="20"/>
          <w:szCs w:val="20"/>
          <w:lang w:val="es-ES"/>
        </w:rPr>
        <w:t>La primera masacre</w:t>
      </w:r>
      <w:r w:rsidRPr="00707B68">
        <w:rPr>
          <w:rFonts w:asciiTheme="majorHAnsi" w:hAnsiTheme="majorHAnsi"/>
          <w:sz w:val="20"/>
          <w:szCs w:val="20"/>
          <w:lang w:val="es-ES"/>
        </w:rPr>
        <w:t xml:space="preserve"> ocurrió el 1</w:t>
      </w:r>
      <w:r w:rsidR="008A299B" w:rsidRPr="00707B68">
        <w:rPr>
          <w:rFonts w:asciiTheme="majorHAnsi" w:hAnsiTheme="majorHAnsi"/>
          <w:sz w:val="20"/>
          <w:szCs w:val="20"/>
          <w:lang w:val="es-ES"/>
        </w:rPr>
        <w:t>1</w:t>
      </w:r>
      <w:r w:rsidRPr="00707B68">
        <w:rPr>
          <w:rFonts w:asciiTheme="majorHAnsi" w:hAnsiTheme="majorHAnsi"/>
          <w:sz w:val="20"/>
          <w:szCs w:val="20"/>
          <w:lang w:val="es-ES"/>
        </w:rPr>
        <w:t xml:space="preserve"> de noviembre de 1988 y que dio lugar al caso bajo trámite 10</w:t>
      </w:r>
      <w:r w:rsidR="00C9780E" w:rsidRPr="00707B68">
        <w:rPr>
          <w:rFonts w:asciiTheme="majorHAnsi" w:hAnsiTheme="majorHAnsi"/>
          <w:sz w:val="20"/>
          <w:szCs w:val="20"/>
          <w:lang w:val="es-ES"/>
        </w:rPr>
        <w:t>8-00, objeto de un proceso de solución amistosa</w:t>
      </w:r>
      <w:r w:rsidR="00C941B5" w:rsidRPr="00707B68">
        <w:rPr>
          <w:rFonts w:asciiTheme="majorHAnsi" w:hAnsiTheme="majorHAnsi"/>
          <w:sz w:val="20"/>
          <w:szCs w:val="20"/>
          <w:lang w:val="es-ES"/>
        </w:rPr>
        <w:t>, en el que Estado reconoció su responsabilidad internacional por la muerte de 43 personas</w:t>
      </w:r>
      <w:r w:rsidR="008A299B" w:rsidRPr="00707B68">
        <w:rPr>
          <w:rFonts w:asciiTheme="majorHAnsi" w:hAnsiTheme="majorHAnsi"/>
          <w:sz w:val="20"/>
          <w:szCs w:val="20"/>
          <w:lang w:val="es-ES"/>
        </w:rPr>
        <w:t xml:space="preserve"> y lesiones contra</w:t>
      </w:r>
      <w:r w:rsidR="00C941B5" w:rsidRPr="00707B68">
        <w:rPr>
          <w:rFonts w:asciiTheme="majorHAnsi" w:hAnsiTheme="majorHAnsi"/>
          <w:sz w:val="20"/>
          <w:szCs w:val="20"/>
          <w:lang w:val="es-ES"/>
        </w:rPr>
        <w:t xml:space="preserve"> otras 5</w:t>
      </w:r>
      <w:r w:rsidR="008A299B" w:rsidRPr="00707B68">
        <w:rPr>
          <w:rFonts w:asciiTheme="majorHAnsi" w:hAnsiTheme="majorHAnsi"/>
          <w:sz w:val="20"/>
          <w:szCs w:val="20"/>
          <w:lang w:val="es-ES"/>
        </w:rPr>
        <w:t>0</w:t>
      </w:r>
      <w:r w:rsidR="00C941B5" w:rsidRPr="00707B68">
        <w:rPr>
          <w:rFonts w:asciiTheme="majorHAnsi" w:hAnsiTheme="majorHAnsi"/>
          <w:sz w:val="20"/>
          <w:szCs w:val="20"/>
          <w:lang w:val="es-ES"/>
        </w:rPr>
        <w:t xml:space="preserve"> por la acción de un grupo de paramilitares que act</w:t>
      </w:r>
      <w:r w:rsidR="00867F6A" w:rsidRPr="00707B68">
        <w:rPr>
          <w:rFonts w:asciiTheme="majorHAnsi" w:hAnsiTheme="majorHAnsi"/>
          <w:sz w:val="20"/>
          <w:szCs w:val="20"/>
          <w:lang w:val="es-ES"/>
        </w:rPr>
        <w:t>uó</w:t>
      </w:r>
      <w:r w:rsidR="00C941B5" w:rsidRPr="00707B68">
        <w:rPr>
          <w:rFonts w:asciiTheme="majorHAnsi" w:hAnsiTheme="majorHAnsi"/>
          <w:sz w:val="20"/>
          <w:szCs w:val="20"/>
          <w:lang w:val="es-ES"/>
        </w:rPr>
        <w:t xml:space="preserve"> con la aquiescencia del Estado</w:t>
      </w:r>
      <w:r w:rsidR="00C941B5" w:rsidRPr="00707B68">
        <w:rPr>
          <w:rStyle w:val="FootnoteReference"/>
          <w:rFonts w:asciiTheme="majorHAnsi" w:hAnsiTheme="majorHAnsi"/>
          <w:sz w:val="20"/>
          <w:szCs w:val="20"/>
          <w:lang w:val="es-ES"/>
        </w:rPr>
        <w:footnoteReference w:id="24"/>
      </w:r>
      <w:r w:rsidR="00C941B5" w:rsidRPr="00707B68">
        <w:rPr>
          <w:rFonts w:asciiTheme="majorHAnsi" w:hAnsiTheme="majorHAnsi"/>
          <w:sz w:val="20"/>
          <w:szCs w:val="20"/>
          <w:lang w:val="es-ES"/>
        </w:rPr>
        <w:t xml:space="preserve">. </w:t>
      </w:r>
      <w:r w:rsidR="008A299B" w:rsidRPr="00707B68">
        <w:rPr>
          <w:rFonts w:asciiTheme="majorHAnsi" w:hAnsiTheme="majorHAnsi"/>
          <w:sz w:val="20"/>
          <w:szCs w:val="20"/>
          <w:lang w:val="es-ES"/>
        </w:rPr>
        <w:t xml:space="preserve">La segunda masacre ocurrió el 22 de abril de 1996 </w:t>
      </w:r>
      <w:r w:rsidR="00504084" w:rsidRPr="00707B68">
        <w:rPr>
          <w:rFonts w:asciiTheme="majorHAnsi" w:hAnsiTheme="majorHAnsi"/>
          <w:sz w:val="20"/>
          <w:szCs w:val="20"/>
          <w:lang w:val="es-ES"/>
        </w:rPr>
        <w:t>en el que un grupo de sicario</w:t>
      </w:r>
      <w:r w:rsidR="00DD7C88" w:rsidRPr="00707B68">
        <w:rPr>
          <w:rFonts w:asciiTheme="majorHAnsi" w:hAnsiTheme="majorHAnsi"/>
          <w:sz w:val="20"/>
          <w:szCs w:val="20"/>
          <w:lang w:val="es-ES"/>
        </w:rPr>
        <w:t>s</w:t>
      </w:r>
      <w:r w:rsidR="00504084" w:rsidRPr="00707B68">
        <w:rPr>
          <w:rFonts w:asciiTheme="majorHAnsi" w:hAnsiTheme="majorHAnsi"/>
          <w:sz w:val="20"/>
          <w:szCs w:val="20"/>
          <w:lang w:val="es-ES"/>
        </w:rPr>
        <w:t>, nuevamente con la participaci</w:t>
      </w:r>
      <w:r w:rsidR="00DD7C88" w:rsidRPr="00707B68">
        <w:rPr>
          <w:rFonts w:asciiTheme="majorHAnsi" w:hAnsiTheme="majorHAnsi"/>
          <w:sz w:val="20"/>
          <w:szCs w:val="20"/>
          <w:lang w:val="es-ES"/>
        </w:rPr>
        <w:t>ón del Estado, asesinó y lesionó indiscriminadamente, con armas de fuego y granadas, a civiles en lugares de entretenimiento y la vía pública de Segovia</w:t>
      </w:r>
      <w:r w:rsidR="00DD7C88" w:rsidRPr="00707B68">
        <w:rPr>
          <w:rStyle w:val="FootnoteReference"/>
          <w:rFonts w:asciiTheme="majorHAnsi" w:hAnsiTheme="majorHAnsi"/>
          <w:sz w:val="20"/>
          <w:szCs w:val="20"/>
          <w:lang w:val="es-ES"/>
        </w:rPr>
        <w:footnoteReference w:id="25"/>
      </w:r>
      <w:r w:rsidR="00DD7C88" w:rsidRPr="00707B68">
        <w:rPr>
          <w:rFonts w:asciiTheme="majorHAnsi" w:hAnsiTheme="majorHAnsi"/>
          <w:sz w:val="20"/>
          <w:szCs w:val="20"/>
          <w:lang w:val="es-ES"/>
        </w:rPr>
        <w:t>.</w:t>
      </w:r>
    </w:p>
    <w:p w14:paraId="49C13DAD" w14:textId="77777777" w:rsidR="00221218" w:rsidRPr="00707B68" w:rsidRDefault="00221218" w:rsidP="007A199B">
      <w:pPr>
        <w:tabs>
          <w:tab w:val="left" w:pos="360"/>
        </w:tabs>
        <w:rPr>
          <w:rFonts w:asciiTheme="majorHAnsi" w:hAnsiTheme="majorHAnsi"/>
          <w:sz w:val="20"/>
          <w:szCs w:val="20"/>
        </w:rPr>
      </w:pPr>
    </w:p>
    <w:p w14:paraId="15680352" w14:textId="18B965D9" w:rsidR="000C5F9D" w:rsidRPr="00707B68" w:rsidRDefault="000C5F9D" w:rsidP="007A199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lang w:val="es-ES"/>
        </w:rPr>
      </w:pPr>
      <w:r w:rsidRPr="00707B68">
        <w:rPr>
          <w:rFonts w:asciiTheme="majorHAnsi" w:hAnsiTheme="majorHAnsi"/>
          <w:sz w:val="20"/>
          <w:szCs w:val="20"/>
          <w:lang w:val="es-ES"/>
        </w:rPr>
        <w:t xml:space="preserve">Sobre el señor Zapata, </w:t>
      </w:r>
      <w:r w:rsidR="00A04F0D" w:rsidRPr="00707B68">
        <w:rPr>
          <w:rFonts w:asciiTheme="majorHAnsi" w:hAnsiTheme="majorHAnsi"/>
          <w:sz w:val="20"/>
          <w:szCs w:val="20"/>
          <w:lang w:val="es-ES"/>
        </w:rPr>
        <w:t>l</w:t>
      </w:r>
      <w:r w:rsidRPr="00707B68">
        <w:rPr>
          <w:rFonts w:asciiTheme="majorHAnsi" w:hAnsiTheme="majorHAnsi"/>
          <w:sz w:val="20"/>
          <w:szCs w:val="20"/>
          <w:lang w:val="es-ES"/>
        </w:rPr>
        <w:t xml:space="preserve">a CIDH reconoció que era defensor de derechos humanos miembro del Comité de Derechos Humanos de Segovia y del </w:t>
      </w:r>
      <w:r w:rsidR="004D34B8" w:rsidRPr="00707B68">
        <w:rPr>
          <w:rFonts w:asciiTheme="majorHAnsi" w:hAnsiTheme="majorHAnsi"/>
          <w:sz w:val="20"/>
          <w:szCs w:val="20"/>
          <w:lang w:val="es-ES"/>
        </w:rPr>
        <w:t>CODEHSEL</w:t>
      </w:r>
      <w:r w:rsidRPr="00707B68">
        <w:rPr>
          <w:rFonts w:asciiTheme="majorHAnsi" w:hAnsiTheme="majorHAnsi"/>
          <w:sz w:val="20"/>
          <w:szCs w:val="20"/>
          <w:lang w:val="es-ES"/>
        </w:rPr>
        <w:t xml:space="preserve">. </w:t>
      </w:r>
      <w:r w:rsidR="00DB3547" w:rsidRPr="00707B68">
        <w:rPr>
          <w:rFonts w:asciiTheme="majorHAnsi" w:hAnsiTheme="majorHAnsi"/>
          <w:sz w:val="20"/>
          <w:szCs w:val="20"/>
          <w:lang w:val="es-ES"/>
        </w:rPr>
        <w:t xml:space="preserve">La Comisión dejó constancia </w:t>
      </w:r>
      <w:r w:rsidR="0063703E" w:rsidRPr="00707B68">
        <w:rPr>
          <w:rFonts w:asciiTheme="majorHAnsi" w:hAnsiTheme="majorHAnsi"/>
          <w:sz w:val="20"/>
          <w:szCs w:val="20"/>
          <w:lang w:val="es-ES"/>
        </w:rPr>
        <w:t xml:space="preserve">de </w:t>
      </w:r>
      <w:r w:rsidR="00DB3547" w:rsidRPr="00707B68">
        <w:rPr>
          <w:rFonts w:asciiTheme="majorHAnsi" w:hAnsiTheme="majorHAnsi"/>
          <w:sz w:val="20"/>
          <w:szCs w:val="20"/>
          <w:lang w:val="es-ES"/>
        </w:rPr>
        <w:t xml:space="preserve">que, en el ejercicio de sus labores como defensor, denunció la vinculación de las fuerzas de seguridad del Estado con elementos paramilitares en la ocurrencia de las </w:t>
      </w:r>
      <w:r w:rsidR="009575F8" w:rsidRPr="00707B68">
        <w:rPr>
          <w:rFonts w:asciiTheme="majorHAnsi" w:hAnsiTheme="majorHAnsi"/>
          <w:sz w:val="20"/>
          <w:szCs w:val="20"/>
          <w:lang w:val="es-ES"/>
        </w:rPr>
        <w:t>masacres</w:t>
      </w:r>
      <w:r w:rsidR="00DB3547" w:rsidRPr="00707B68">
        <w:rPr>
          <w:rFonts w:asciiTheme="majorHAnsi" w:hAnsiTheme="majorHAnsi"/>
          <w:sz w:val="20"/>
          <w:szCs w:val="20"/>
          <w:lang w:val="es-ES"/>
        </w:rPr>
        <w:t xml:space="preserve"> de 1988 y 1996 ocurridas en Segovia. Asimismo, la CIDH recogió </w:t>
      </w:r>
      <w:r w:rsidR="000F4EA1" w:rsidRPr="00707B68">
        <w:rPr>
          <w:rFonts w:asciiTheme="majorHAnsi" w:hAnsiTheme="majorHAnsi"/>
          <w:sz w:val="20"/>
          <w:szCs w:val="20"/>
          <w:lang w:val="es-ES"/>
        </w:rPr>
        <w:lastRenderedPageBreak/>
        <w:t>que en 1996</w:t>
      </w:r>
      <w:r w:rsidR="00DB3547" w:rsidRPr="00707B68">
        <w:rPr>
          <w:rFonts w:asciiTheme="majorHAnsi" w:hAnsiTheme="majorHAnsi"/>
          <w:sz w:val="20"/>
          <w:szCs w:val="20"/>
          <w:lang w:val="es-ES"/>
        </w:rPr>
        <w:t xml:space="preserve"> </w:t>
      </w:r>
      <w:r w:rsidR="000F4EA1" w:rsidRPr="00707B68">
        <w:rPr>
          <w:rFonts w:asciiTheme="majorHAnsi" w:hAnsiTheme="majorHAnsi"/>
          <w:sz w:val="20"/>
          <w:szCs w:val="20"/>
          <w:lang w:val="es-ES"/>
        </w:rPr>
        <w:t xml:space="preserve">ocurrió </w:t>
      </w:r>
      <w:r w:rsidR="00DB3547" w:rsidRPr="00707B68">
        <w:rPr>
          <w:rFonts w:asciiTheme="majorHAnsi" w:hAnsiTheme="majorHAnsi"/>
          <w:sz w:val="20"/>
          <w:szCs w:val="20"/>
          <w:lang w:val="es-ES"/>
        </w:rPr>
        <w:t xml:space="preserve">un allanamiento </w:t>
      </w:r>
      <w:r w:rsidR="009575F8" w:rsidRPr="00707B68">
        <w:rPr>
          <w:rFonts w:asciiTheme="majorHAnsi" w:hAnsiTheme="majorHAnsi"/>
          <w:sz w:val="20"/>
          <w:szCs w:val="20"/>
          <w:lang w:val="es-ES"/>
        </w:rPr>
        <w:t>a su</w:t>
      </w:r>
      <w:r w:rsidR="00DB3547" w:rsidRPr="00707B68">
        <w:rPr>
          <w:rFonts w:asciiTheme="majorHAnsi" w:hAnsiTheme="majorHAnsi"/>
          <w:sz w:val="20"/>
          <w:szCs w:val="20"/>
          <w:lang w:val="es-ES"/>
        </w:rPr>
        <w:t xml:space="preserve"> vivienda </w:t>
      </w:r>
      <w:r w:rsidR="000F4EA1" w:rsidRPr="00707B68">
        <w:rPr>
          <w:rFonts w:asciiTheme="majorHAnsi" w:hAnsiTheme="majorHAnsi"/>
          <w:sz w:val="20"/>
          <w:szCs w:val="20"/>
          <w:lang w:val="es-ES"/>
        </w:rPr>
        <w:t>la cual dio lugar a su denuncia por supuesta participación en actividades ilegales subversivas, pese a la existencia de testigos que señalaron que los objetos que lo implicaron fueron colocados por elementos de seguridad del Estado. Ese mismo año el señor Zapata fue arrestado y detenido por varias horas por supuestamente portar un “documento falso”.</w:t>
      </w:r>
      <w:r w:rsidR="00FC3BF3" w:rsidRPr="00707B68">
        <w:rPr>
          <w:rFonts w:asciiTheme="majorHAnsi" w:hAnsiTheme="majorHAnsi"/>
          <w:sz w:val="20"/>
          <w:szCs w:val="20"/>
          <w:lang w:val="es-ES"/>
        </w:rPr>
        <w:t xml:space="preserve"> Finalmente, la CIDH reportó el año 1999 que su caso “ofrece un ejemplo de un proceso penal presuntamente incoado para acosar al defensor de los derechos humanos inculpado”</w:t>
      </w:r>
      <w:r w:rsidR="00FC3BF3" w:rsidRPr="00707B68">
        <w:rPr>
          <w:rStyle w:val="FootnoteReference"/>
          <w:rFonts w:asciiTheme="majorHAnsi" w:hAnsiTheme="majorHAnsi"/>
          <w:sz w:val="20"/>
          <w:szCs w:val="20"/>
          <w:lang w:val="es-ES"/>
        </w:rPr>
        <w:footnoteReference w:id="26"/>
      </w:r>
      <w:r w:rsidR="00FC3BF3" w:rsidRPr="00707B68">
        <w:rPr>
          <w:rFonts w:asciiTheme="majorHAnsi" w:hAnsiTheme="majorHAnsi"/>
          <w:sz w:val="20"/>
          <w:szCs w:val="20"/>
          <w:lang w:val="es-ES"/>
        </w:rPr>
        <w:t>.</w:t>
      </w:r>
    </w:p>
    <w:p w14:paraId="525422BA" w14:textId="77777777" w:rsidR="00DB3547" w:rsidRPr="00707B68" w:rsidRDefault="00DB3547" w:rsidP="007A199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sz w:val="20"/>
          <w:szCs w:val="20"/>
          <w:lang w:val="es-ES"/>
        </w:rPr>
      </w:pPr>
    </w:p>
    <w:p w14:paraId="00C50D6B" w14:textId="77777777" w:rsidR="009D2B60" w:rsidRPr="00707B68" w:rsidRDefault="005405ED" w:rsidP="007A199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lang w:val="es-ES"/>
        </w:rPr>
      </w:pPr>
      <w:r w:rsidRPr="00707B68">
        <w:rPr>
          <w:rFonts w:asciiTheme="majorHAnsi" w:hAnsiTheme="majorHAnsi"/>
          <w:sz w:val="20"/>
          <w:szCs w:val="20"/>
          <w:lang w:val="es-ES"/>
        </w:rPr>
        <w:t xml:space="preserve">Asimismo, </w:t>
      </w:r>
      <w:r w:rsidR="000C5F9D" w:rsidRPr="00707B68">
        <w:rPr>
          <w:rFonts w:asciiTheme="majorHAnsi" w:hAnsiTheme="majorHAnsi"/>
          <w:sz w:val="20"/>
          <w:szCs w:val="20"/>
          <w:lang w:val="es-ES"/>
        </w:rPr>
        <w:t xml:space="preserve">la </w:t>
      </w:r>
      <w:r w:rsidR="00FC3BF3" w:rsidRPr="00707B68">
        <w:rPr>
          <w:rFonts w:asciiTheme="majorHAnsi" w:hAnsiTheme="majorHAnsi"/>
          <w:sz w:val="20"/>
          <w:szCs w:val="20"/>
          <w:lang w:val="es-ES"/>
        </w:rPr>
        <w:t>Comisión</w:t>
      </w:r>
      <w:r w:rsidR="000C5F9D" w:rsidRPr="00707B68">
        <w:rPr>
          <w:rFonts w:asciiTheme="majorHAnsi" w:hAnsiTheme="majorHAnsi"/>
          <w:sz w:val="20"/>
          <w:szCs w:val="20"/>
          <w:lang w:val="es-ES"/>
        </w:rPr>
        <w:t xml:space="preserve"> ya había considerado que </w:t>
      </w:r>
      <w:r w:rsidR="0037465F" w:rsidRPr="00707B68">
        <w:rPr>
          <w:rFonts w:asciiTheme="majorHAnsi" w:hAnsiTheme="majorHAnsi"/>
          <w:sz w:val="20"/>
          <w:szCs w:val="20"/>
          <w:lang w:val="es-ES"/>
        </w:rPr>
        <w:t>el</w:t>
      </w:r>
      <w:r w:rsidR="000C5F9D" w:rsidRPr="00707B68">
        <w:rPr>
          <w:rFonts w:asciiTheme="majorHAnsi" w:hAnsiTheme="majorHAnsi"/>
          <w:sz w:val="20"/>
          <w:szCs w:val="20"/>
          <w:lang w:val="es-ES"/>
        </w:rPr>
        <w:t xml:space="preserve"> señor Zapata </w:t>
      </w:r>
      <w:r w:rsidR="0037465F" w:rsidRPr="00707B68">
        <w:rPr>
          <w:rFonts w:asciiTheme="majorHAnsi" w:hAnsiTheme="majorHAnsi"/>
          <w:sz w:val="20"/>
          <w:szCs w:val="20"/>
          <w:lang w:val="es-ES"/>
        </w:rPr>
        <w:t>se hallaba</w:t>
      </w:r>
      <w:r w:rsidR="000C5F9D" w:rsidRPr="00707B68">
        <w:rPr>
          <w:rFonts w:asciiTheme="majorHAnsi" w:hAnsiTheme="majorHAnsi"/>
          <w:sz w:val="20"/>
          <w:szCs w:val="20"/>
          <w:lang w:val="es-ES"/>
        </w:rPr>
        <w:t xml:space="preserve"> </w:t>
      </w:r>
      <w:r w:rsidR="0037465F" w:rsidRPr="00707B68">
        <w:rPr>
          <w:rFonts w:asciiTheme="majorHAnsi" w:hAnsiTheme="majorHAnsi"/>
          <w:sz w:val="20"/>
          <w:szCs w:val="20"/>
          <w:lang w:val="es-ES"/>
        </w:rPr>
        <w:t xml:space="preserve">en </w:t>
      </w:r>
      <w:r w:rsidR="000C5F9D" w:rsidRPr="00707B68">
        <w:rPr>
          <w:rFonts w:asciiTheme="majorHAnsi" w:hAnsiTheme="majorHAnsi"/>
          <w:sz w:val="20"/>
          <w:szCs w:val="20"/>
          <w:lang w:val="es-ES"/>
        </w:rPr>
        <w:t xml:space="preserve">una situación de riesgo, por lo </w:t>
      </w:r>
      <w:r w:rsidR="0037465F" w:rsidRPr="00707B68">
        <w:rPr>
          <w:rFonts w:asciiTheme="majorHAnsi" w:hAnsiTheme="majorHAnsi"/>
          <w:sz w:val="20"/>
          <w:szCs w:val="20"/>
          <w:lang w:val="es-ES"/>
        </w:rPr>
        <w:t>solicitó</w:t>
      </w:r>
      <w:r w:rsidR="000C5F9D" w:rsidRPr="00707B68">
        <w:rPr>
          <w:rFonts w:asciiTheme="majorHAnsi" w:hAnsiTheme="majorHAnsi"/>
          <w:sz w:val="20"/>
          <w:szCs w:val="20"/>
          <w:lang w:val="es-ES"/>
        </w:rPr>
        <w:t xml:space="preserve"> al Estado que adopt</w:t>
      </w:r>
      <w:r w:rsidR="0037465F" w:rsidRPr="00707B68">
        <w:rPr>
          <w:rFonts w:asciiTheme="majorHAnsi" w:hAnsiTheme="majorHAnsi"/>
          <w:sz w:val="20"/>
          <w:szCs w:val="20"/>
          <w:lang w:val="es-ES"/>
        </w:rPr>
        <w:t>as</w:t>
      </w:r>
      <w:r w:rsidR="000C5F9D" w:rsidRPr="00707B68">
        <w:rPr>
          <w:rFonts w:asciiTheme="majorHAnsi" w:hAnsiTheme="majorHAnsi"/>
          <w:sz w:val="20"/>
          <w:szCs w:val="20"/>
          <w:lang w:val="es-ES"/>
        </w:rPr>
        <w:t>e medidas cautelares a</w:t>
      </w:r>
      <w:r w:rsidRPr="00707B68">
        <w:rPr>
          <w:rFonts w:asciiTheme="majorHAnsi" w:hAnsiTheme="majorHAnsi"/>
          <w:sz w:val="20"/>
          <w:szCs w:val="20"/>
          <w:lang w:val="es-ES"/>
        </w:rPr>
        <w:t xml:space="preserve"> s</w:t>
      </w:r>
      <w:r w:rsidR="00FC3BF3" w:rsidRPr="00707B68">
        <w:rPr>
          <w:rFonts w:asciiTheme="majorHAnsi" w:hAnsiTheme="majorHAnsi"/>
          <w:sz w:val="20"/>
          <w:szCs w:val="20"/>
          <w:lang w:val="es-ES"/>
        </w:rPr>
        <w:t>u favor, el 11 de febrero de 199</w:t>
      </w:r>
      <w:r w:rsidRPr="00707B68">
        <w:rPr>
          <w:rFonts w:asciiTheme="majorHAnsi" w:hAnsiTheme="majorHAnsi"/>
          <w:sz w:val="20"/>
          <w:szCs w:val="20"/>
          <w:lang w:val="es-ES"/>
        </w:rPr>
        <w:t>8</w:t>
      </w:r>
      <w:r w:rsidR="0063703E" w:rsidRPr="00707B68">
        <w:rPr>
          <w:rStyle w:val="FootnoteReference"/>
          <w:rFonts w:asciiTheme="majorHAnsi" w:hAnsiTheme="majorHAnsi"/>
          <w:sz w:val="20"/>
          <w:szCs w:val="20"/>
        </w:rPr>
        <w:footnoteReference w:id="27"/>
      </w:r>
      <w:r w:rsidRPr="00707B68">
        <w:rPr>
          <w:rFonts w:asciiTheme="majorHAnsi" w:hAnsiTheme="majorHAnsi"/>
          <w:sz w:val="20"/>
          <w:szCs w:val="20"/>
          <w:lang w:val="es-ES"/>
        </w:rPr>
        <w:t>. La Comisión reiteró e</w:t>
      </w:r>
      <w:r w:rsidR="00DD7C88" w:rsidRPr="00707B68">
        <w:rPr>
          <w:rFonts w:asciiTheme="majorHAnsi" w:hAnsiTheme="majorHAnsi"/>
          <w:sz w:val="20"/>
          <w:szCs w:val="20"/>
          <w:lang w:val="es-ES"/>
        </w:rPr>
        <w:t>n su momento que “el señor Zapat</w:t>
      </w:r>
      <w:r w:rsidRPr="00707B68">
        <w:rPr>
          <w:rFonts w:asciiTheme="majorHAnsi" w:hAnsiTheme="majorHAnsi"/>
          <w:sz w:val="20"/>
          <w:szCs w:val="20"/>
          <w:lang w:val="es-ES"/>
        </w:rPr>
        <w:t>a (…) había recibido amenazas y señalamiento</w:t>
      </w:r>
      <w:r w:rsidR="009575F8" w:rsidRPr="00707B68">
        <w:rPr>
          <w:rFonts w:asciiTheme="majorHAnsi" w:hAnsiTheme="majorHAnsi"/>
          <w:sz w:val="20"/>
          <w:szCs w:val="20"/>
          <w:lang w:val="es-ES"/>
        </w:rPr>
        <w:t>s</w:t>
      </w:r>
      <w:r w:rsidRPr="00707B68">
        <w:rPr>
          <w:rFonts w:asciiTheme="majorHAnsi" w:hAnsiTheme="majorHAnsi"/>
          <w:sz w:val="20"/>
          <w:szCs w:val="20"/>
          <w:lang w:val="es-ES"/>
        </w:rPr>
        <w:t xml:space="preserve"> por parte de los grupos paramilitares de la zona y </w:t>
      </w:r>
      <w:r w:rsidR="0006509B" w:rsidRPr="00707B68">
        <w:rPr>
          <w:rFonts w:asciiTheme="majorHAnsi" w:hAnsiTheme="majorHAnsi"/>
          <w:sz w:val="20"/>
          <w:szCs w:val="20"/>
          <w:lang w:val="es-ES"/>
        </w:rPr>
        <w:t>miembros</w:t>
      </w:r>
      <w:r w:rsidRPr="00707B68">
        <w:rPr>
          <w:rFonts w:asciiTheme="majorHAnsi" w:hAnsiTheme="majorHAnsi"/>
          <w:sz w:val="20"/>
          <w:szCs w:val="20"/>
          <w:lang w:val="es-ES"/>
        </w:rPr>
        <w:t xml:space="preserve"> de la </w:t>
      </w:r>
      <w:r w:rsidR="00B55EA8" w:rsidRPr="00707B68">
        <w:rPr>
          <w:rFonts w:asciiTheme="majorHAnsi" w:hAnsiTheme="majorHAnsi"/>
          <w:sz w:val="20"/>
          <w:szCs w:val="20"/>
          <w:lang w:val="es-ES"/>
        </w:rPr>
        <w:t>f</w:t>
      </w:r>
      <w:r w:rsidRPr="00707B68">
        <w:rPr>
          <w:rFonts w:asciiTheme="majorHAnsi" w:hAnsiTheme="majorHAnsi"/>
          <w:sz w:val="20"/>
          <w:szCs w:val="20"/>
          <w:lang w:val="es-ES"/>
        </w:rPr>
        <w:t xml:space="preserve">uerza </w:t>
      </w:r>
      <w:r w:rsidR="00B55EA8" w:rsidRPr="00707B68">
        <w:rPr>
          <w:rFonts w:asciiTheme="majorHAnsi" w:hAnsiTheme="majorHAnsi"/>
          <w:sz w:val="20"/>
          <w:szCs w:val="20"/>
          <w:lang w:val="es-ES"/>
        </w:rPr>
        <w:t>p</w:t>
      </w:r>
      <w:r w:rsidRPr="00707B68">
        <w:rPr>
          <w:rFonts w:asciiTheme="majorHAnsi" w:hAnsiTheme="majorHAnsi"/>
          <w:sz w:val="20"/>
          <w:szCs w:val="20"/>
          <w:lang w:val="es-ES"/>
        </w:rPr>
        <w:t>ública, concretamente, del Ejército. A pesar la vigencia de las medidas cautelares, el 3 de mayo de 2000 el señor Zapata (…) fue asesinado”</w:t>
      </w:r>
      <w:r w:rsidRPr="00707B68">
        <w:rPr>
          <w:rStyle w:val="FootnoteReference"/>
          <w:rFonts w:asciiTheme="majorHAnsi" w:hAnsiTheme="majorHAnsi"/>
          <w:sz w:val="20"/>
          <w:szCs w:val="20"/>
          <w:lang w:val="es-ES"/>
        </w:rPr>
        <w:footnoteReference w:id="28"/>
      </w:r>
      <w:r w:rsidRPr="00707B68">
        <w:rPr>
          <w:rFonts w:asciiTheme="majorHAnsi" w:hAnsiTheme="majorHAnsi"/>
          <w:sz w:val="20"/>
          <w:szCs w:val="20"/>
          <w:lang w:val="es-ES"/>
        </w:rPr>
        <w:t>.</w:t>
      </w:r>
    </w:p>
    <w:p w14:paraId="22A07F2A" w14:textId="77777777" w:rsidR="00C122EE" w:rsidRPr="00707B68" w:rsidRDefault="00C122EE" w:rsidP="007A199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sz w:val="20"/>
          <w:szCs w:val="20"/>
          <w:lang w:val="es-ES"/>
        </w:rPr>
      </w:pPr>
    </w:p>
    <w:p w14:paraId="023B3811" w14:textId="77777777" w:rsidR="003714F4" w:rsidRPr="00707B68" w:rsidRDefault="00C122EE" w:rsidP="007A199B">
      <w:pPr>
        <w:pStyle w:val="Heading3"/>
        <w:tabs>
          <w:tab w:val="left" w:pos="360"/>
        </w:tabs>
        <w:ind w:left="0" w:firstLine="0"/>
        <w:rPr>
          <w:lang w:val="es-ES"/>
        </w:rPr>
      </w:pPr>
      <w:r w:rsidRPr="00707B68">
        <w:rPr>
          <w:lang w:val="es-ES"/>
        </w:rPr>
        <w:t>Conclusión</w:t>
      </w:r>
    </w:p>
    <w:p w14:paraId="34E29FEF" w14:textId="77777777" w:rsidR="003714F4" w:rsidRPr="00707B68" w:rsidRDefault="003714F4" w:rsidP="007A199B">
      <w:pPr>
        <w:tabs>
          <w:tab w:val="left" w:pos="360"/>
        </w:tabs>
        <w:rPr>
          <w:rFonts w:asciiTheme="majorHAnsi" w:hAnsiTheme="majorHAnsi"/>
          <w:sz w:val="20"/>
          <w:szCs w:val="20"/>
          <w:lang w:val="es-ES"/>
        </w:rPr>
      </w:pPr>
    </w:p>
    <w:p w14:paraId="751E550C" w14:textId="77777777" w:rsidR="00A91B18" w:rsidRPr="00707B68" w:rsidRDefault="00C122EE" w:rsidP="007A199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lang w:val="es-ES"/>
        </w:rPr>
      </w:pPr>
      <w:r w:rsidRPr="00707B68">
        <w:rPr>
          <w:rFonts w:asciiTheme="majorHAnsi" w:hAnsiTheme="majorHAnsi"/>
          <w:sz w:val="20"/>
          <w:szCs w:val="20"/>
          <w:lang w:val="es-ES"/>
        </w:rPr>
        <w:t xml:space="preserve">En virtud de las consideraciones anteriores, la CIDH concluye </w:t>
      </w:r>
      <w:r w:rsidR="00B55EA8" w:rsidRPr="00707B68">
        <w:rPr>
          <w:rFonts w:asciiTheme="majorHAnsi" w:hAnsiTheme="majorHAnsi"/>
          <w:sz w:val="20"/>
          <w:szCs w:val="20"/>
          <w:lang w:val="es-ES"/>
        </w:rPr>
        <w:t xml:space="preserve">que </w:t>
      </w:r>
      <w:r w:rsidRPr="00707B68">
        <w:rPr>
          <w:rFonts w:asciiTheme="majorHAnsi" w:hAnsiTheme="majorHAnsi"/>
          <w:sz w:val="20"/>
          <w:szCs w:val="20"/>
          <w:lang w:val="es-ES"/>
        </w:rPr>
        <w:t xml:space="preserve">los hechos del caso se enmarcan en un contexto general de violencia política producto del conflicto armado experimentado en Colombia cuya influencia </w:t>
      </w:r>
      <w:r w:rsidR="00DD7C88" w:rsidRPr="00707B68">
        <w:rPr>
          <w:rFonts w:asciiTheme="majorHAnsi" w:hAnsiTheme="majorHAnsi"/>
          <w:sz w:val="20"/>
          <w:szCs w:val="20"/>
          <w:lang w:val="es-ES"/>
        </w:rPr>
        <w:t xml:space="preserve">abarcó al </w:t>
      </w:r>
      <w:r w:rsidRPr="00707B68">
        <w:rPr>
          <w:rFonts w:asciiTheme="majorHAnsi" w:hAnsiTheme="majorHAnsi"/>
          <w:sz w:val="20"/>
          <w:szCs w:val="20"/>
          <w:lang w:val="es-ES"/>
        </w:rPr>
        <w:t>Municipio de Segovia</w:t>
      </w:r>
      <w:r w:rsidR="00DD7C88" w:rsidRPr="00707B68">
        <w:rPr>
          <w:rFonts w:asciiTheme="majorHAnsi" w:hAnsiTheme="majorHAnsi"/>
          <w:sz w:val="20"/>
          <w:szCs w:val="20"/>
          <w:lang w:val="es-ES"/>
        </w:rPr>
        <w:t xml:space="preserve"> en </w:t>
      </w:r>
      <w:r w:rsidR="009575F8" w:rsidRPr="00707B68">
        <w:rPr>
          <w:rFonts w:asciiTheme="majorHAnsi" w:hAnsiTheme="majorHAnsi"/>
          <w:sz w:val="20"/>
          <w:szCs w:val="20"/>
          <w:lang w:val="es-ES"/>
        </w:rPr>
        <w:t xml:space="preserve">el Departamento de </w:t>
      </w:r>
      <w:r w:rsidR="00DD7C88" w:rsidRPr="00707B68">
        <w:rPr>
          <w:rFonts w:asciiTheme="majorHAnsi" w:hAnsiTheme="majorHAnsi"/>
          <w:sz w:val="20"/>
          <w:szCs w:val="20"/>
          <w:lang w:val="es-ES"/>
        </w:rPr>
        <w:t>Antioquia</w:t>
      </w:r>
      <w:r w:rsidRPr="00707B68">
        <w:rPr>
          <w:rFonts w:asciiTheme="majorHAnsi" w:hAnsiTheme="majorHAnsi"/>
          <w:sz w:val="20"/>
          <w:szCs w:val="20"/>
          <w:lang w:val="es-ES"/>
        </w:rPr>
        <w:t>. Asimismo, la Comisión encuentra que el señor Jes</w:t>
      </w:r>
      <w:r w:rsidR="003714F4" w:rsidRPr="00707B68">
        <w:rPr>
          <w:rFonts w:asciiTheme="majorHAnsi" w:hAnsiTheme="majorHAnsi"/>
          <w:sz w:val="20"/>
          <w:szCs w:val="20"/>
          <w:lang w:val="es-ES"/>
        </w:rPr>
        <w:t>ús Ramir</w:t>
      </w:r>
      <w:r w:rsidRPr="00707B68">
        <w:rPr>
          <w:rFonts w:asciiTheme="majorHAnsi" w:hAnsiTheme="majorHAnsi"/>
          <w:sz w:val="20"/>
          <w:szCs w:val="20"/>
          <w:lang w:val="es-ES"/>
        </w:rPr>
        <w:t xml:space="preserve">o Zapata fue un </w:t>
      </w:r>
      <w:r w:rsidR="009575F8" w:rsidRPr="00707B68">
        <w:rPr>
          <w:rFonts w:asciiTheme="majorHAnsi" w:hAnsiTheme="majorHAnsi"/>
          <w:sz w:val="20"/>
          <w:szCs w:val="20"/>
          <w:lang w:val="es-ES"/>
        </w:rPr>
        <w:t xml:space="preserve">docente y </w:t>
      </w:r>
      <w:r w:rsidRPr="00707B68">
        <w:rPr>
          <w:rFonts w:asciiTheme="majorHAnsi" w:hAnsiTheme="majorHAnsi"/>
          <w:sz w:val="20"/>
          <w:szCs w:val="20"/>
          <w:lang w:val="es-ES"/>
        </w:rPr>
        <w:t>defensor de derechos humanos que ejerció sus funciones en dicho Departamento, en la misma época en que los miembros de este tipo de organismos eran identificados como “enemigos internos” doctrina instituida en el marco de la lucha antisubversiva y ejecutada por militares y paramilitares. Sobre la base de estas consideraciones, la Comisión analizará los hechos del presente caso.</w:t>
      </w:r>
    </w:p>
    <w:p w14:paraId="1427DB0D" w14:textId="77777777" w:rsidR="004B54EB" w:rsidRPr="00707B68" w:rsidRDefault="004B54EB" w:rsidP="004B54E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sz w:val="20"/>
          <w:szCs w:val="20"/>
          <w:lang w:val="es-ES"/>
        </w:rPr>
      </w:pPr>
    </w:p>
    <w:p w14:paraId="27B1B5EB" w14:textId="41F34C77" w:rsidR="00D83D73" w:rsidRPr="00707B68" w:rsidRDefault="0022273F" w:rsidP="00147351">
      <w:pPr>
        <w:pStyle w:val="Heading2"/>
      </w:pPr>
      <w:bookmarkStart w:id="8" w:name="_Toc456358861"/>
      <w:r w:rsidRPr="00707B68">
        <w:t xml:space="preserve">Información disponible sobre </w:t>
      </w:r>
      <w:r w:rsidR="004B54EB" w:rsidRPr="00707B68">
        <w:t>el señor Zapata</w:t>
      </w:r>
      <w:r w:rsidR="00B55EA8" w:rsidRPr="00707B68">
        <w:t xml:space="preserve"> y sus familiares</w:t>
      </w:r>
      <w:bookmarkEnd w:id="8"/>
    </w:p>
    <w:p w14:paraId="679CC0AD" w14:textId="77777777" w:rsidR="00B174B1" w:rsidRPr="00707B68" w:rsidRDefault="00B174B1" w:rsidP="004B54E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color w:val="000000" w:themeColor="text1"/>
          <w:sz w:val="20"/>
          <w:szCs w:val="20"/>
          <w:lang w:val="es-VE"/>
        </w:rPr>
      </w:pPr>
    </w:p>
    <w:p w14:paraId="0398918E" w14:textId="77777777" w:rsidR="006B25DE" w:rsidRPr="00707B68" w:rsidRDefault="00B174B1" w:rsidP="004B54E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Consta en el expediente que el señor Zapata nació el 20 de enero de 1952</w:t>
      </w:r>
      <w:r w:rsidR="00F354C4" w:rsidRPr="00707B68">
        <w:rPr>
          <w:rStyle w:val="FootnoteReference"/>
          <w:rFonts w:asciiTheme="majorHAnsi" w:hAnsiTheme="majorHAnsi"/>
          <w:color w:val="000000" w:themeColor="text1"/>
          <w:sz w:val="20"/>
          <w:szCs w:val="20"/>
          <w:lang w:val="es-VE"/>
        </w:rPr>
        <w:footnoteReference w:id="29"/>
      </w:r>
      <w:r w:rsidR="00F354C4" w:rsidRPr="00707B68">
        <w:rPr>
          <w:rFonts w:asciiTheme="majorHAnsi" w:hAnsiTheme="majorHAnsi"/>
          <w:color w:val="000000" w:themeColor="text1"/>
          <w:sz w:val="20"/>
          <w:szCs w:val="20"/>
          <w:lang w:val="es-VE"/>
        </w:rPr>
        <w:t xml:space="preserve"> y se desarrolló</w:t>
      </w:r>
      <w:r w:rsidR="00003978" w:rsidRPr="00707B68">
        <w:rPr>
          <w:rFonts w:asciiTheme="majorHAnsi" w:hAnsiTheme="majorHAnsi"/>
          <w:color w:val="000000" w:themeColor="text1"/>
          <w:sz w:val="20"/>
          <w:szCs w:val="20"/>
          <w:lang w:val="es-VE"/>
        </w:rPr>
        <w:t xml:space="preserve"> profesionalmente como docente </w:t>
      </w:r>
      <w:r w:rsidR="00997C2A" w:rsidRPr="00707B68">
        <w:rPr>
          <w:rFonts w:asciiTheme="majorHAnsi" w:hAnsiTheme="majorHAnsi"/>
          <w:color w:val="000000" w:themeColor="text1"/>
          <w:sz w:val="20"/>
          <w:szCs w:val="20"/>
          <w:lang w:val="es-VE"/>
        </w:rPr>
        <w:t xml:space="preserve">sindicalizado </w:t>
      </w:r>
      <w:r w:rsidR="00CF3494" w:rsidRPr="00707B68">
        <w:rPr>
          <w:rFonts w:asciiTheme="majorHAnsi" w:hAnsiTheme="majorHAnsi"/>
          <w:color w:val="000000" w:themeColor="text1"/>
          <w:sz w:val="20"/>
          <w:szCs w:val="20"/>
          <w:lang w:val="es-VE"/>
        </w:rPr>
        <w:t>adscrito a la Secretaría de Educaci</w:t>
      </w:r>
      <w:r w:rsidR="00DE7A0C" w:rsidRPr="00707B68">
        <w:rPr>
          <w:rFonts w:asciiTheme="majorHAnsi" w:hAnsiTheme="majorHAnsi"/>
          <w:color w:val="000000" w:themeColor="text1"/>
          <w:sz w:val="20"/>
          <w:szCs w:val="20"/>
          <w:lang w:val="es-VE"/>
        </w:rPr>
        <w:t>ón y Cultura</w:t>
      </w:r>
      <w:r w:rsidR="00CF3494" w:rsidRPr="00707B68">
        <w:rPr>
          <w:rFonts w:asciiTheme="majorHAnsi" w:hAnsiTheme="majorHAnsi"/>
          <w:color w:val="000000" w:themeColor="text1"/>
          <w:sz w:val="20"/>
          <w:szCs w:val="20"/>
          <w:lang w:val="es-VE"/>
        </w:rPr>
        <w:t xml:space="preserve"> </w:t>
      </w:r>
      <w:r w:rsidR="00003978" w:rsidRPr="00707B68">
        <w:rPr>
          <w:rFonts w:asciiTheme="majorHAnsi" w:hAnsiTheme="majorHAnsi"/>
          <w:color w:val="000000" w:themeColor="text1"/>
          <w:sz w:val="20"/>
          <w:szCs w:val="20"/>
          <w:lang w:val="es-VE"/>
        </w:rPr>
        <w:t>en diferentes instituciones</w:t>
      </w:r>
      <w:r w:rsidR="00003978" w:rsidRPr="00707B68">
        <w:rPr>
          <w:rStyle w:val="FootnoteReference"/>
          <w:rFonts w:asciiTheme="majorHAnsi" w:hAnsiTheme="majorHAnsi"/>
          <w:color w:val="000000" w:themeColor="text1"/>
          <w:sz w:val="20"/>
          <w:szCs w:val="20"/>
          <w:lang w:val="es-VE"/>
        </w:rPr>
        <w:footnoteReference w:id="30"/>
      </w:r>
      <w:r w:rsidR="00997C2A" w:rsidRPr="00707B68">
        <w:rPr>
          <w:rFonts w:asciiTheme="majorHAnsi" w:hAnsiTheme="majorHAnsi"/>
          <w:color w:val="000000" w:themeColor="text1"/>
          <w:sz w:val="20"/>
          <w:szCs w:val="20"/>
          <w:lang w:val="es-VE"/>
        </w:rPr>
        <w:t xml:space="preserve">. </w:t>
      </w:r>
      <w:r w:rsidR="00E95DF3" w:rsidRPr="00707B68">
        <w:rPr>
          <w:rFonts w:asciiTheme="majorHAnsi" w:hAnsiTheme="majorHAnsi"/>
          <w:color w:val="000000" w:themeColor="text1"/>
          <w:sz w:val="20"/>
          <w:szCs w:val="20"/>
          <w:lang w:val="es-VE"/>
        </w:rPr>
        <w:t xml:space="preserve">Como defensor de derechos humanos fue coordinador del Comité de Derechos Humanos de Segovia, Nordeste antioqueño y Bajo Cauca  y miembro del </w:t>
      </w:r>
      <w:r w:rsidR="004D34B8" w:rsidRPr="00707B68">
        <w:rPr>
          <w:rFonts w:asciiTheme="majorHAnsi" w:hAnsiTheme="majorHAnsi"/>
          <w:color w:val="000000" w:themeColor="text1"/>
          <w:sz w:val="20"/>
          <w:szCs w:val="20"/>
          <w:lang w:val="es-VE"/>
        </w:rPr>
        <w:t>CODEHSEL</w:t>
      </w:r>
      <w:r w:rsidR="00E95DF3" w:rsidRPr="00707B68">
        <w:rPr>
          <w:rFonts w:asciiTheme="majorHAnsi" w:hAnsiTheme="majorHAnsi"/>
          <w:color w:val="000000" w:themeColor="text1"/>
          <w:sz w:val="20"/>
          <w:szCs w:val="20"/>
          <w:lang w:val="es-VE"/>
        </w:rPr>
        <w:t>, y fue coordinador del Comité para la Promoción y Defensa de los Derechos Humanos a nivel municipal y regional</w:t>
      </w:r>
      <w:r w:rsidR="00E95DF3" w:rsidRPr="00707B68">
        <w:rPr>
          <w:rStyle w:val="FootnoteReference"/>
          <w:rFonts w:asciiTheme="majorHAnsi" w:hAnsiTheme="majorHAnsi"/>
          <w:color w:val="000000" w:themeColor="text1"/>
          <w:sz w:val="20"/>
          <w:szCs w:val="20"/>
          <w:lang w:val="es-VE"/>
        </w:rPr>
        <w:footnoteReference w:id="31"/>
      </w:r>
      <w:r w:rsidR="00E95DF3" w:rsidRPr="00707B68">
        <w:rPr>
          <w:rFonts w:asciiTheme="majorHAnsi" w:hAnsiTheme="majorHAnsi"/>
          <w:color w:val="000000" w:themeColor="text1"/>
          <w:sz w:val="20"/>
          <w:szCs w:val="20"/>
          <w:lang w:val="es-VE"/>
        </w:rPr>
        <w:t xml:space="preserve">. </w:t>
      </w:r>
      <w:r w:rsidR="004238B4" w:rsidRPr="00707B68">
        <w:rPr>
          <w:rFonts w:asciiTheme="majorHAnsi" w:hAnsiTheme="majorHAnsi"/>
          <w:color w:val="000000" w:themeColor="text1"/>
          <w:sz w:val="20"/>
          <w:szCs w:val="20"/>
          <w:lang w:val="es-VE"/>
        </w:rPr>
        <w:t>Asimismo, la CIDH observa que fue designado por el Concejo Municipal de Segovia como defensor de derechos, y durante dicha gestión trabajó en el esclarecimiento de las masacres en Segovia (1988, 1996 y 1997)</w:t>
      </w:r>
      <w:r w:rsidR="004238B4" w:rsidRPr="00707B68">
        <w:rPr>
          <w:rStyle w:val="FootnoteReference"/>
          <w:rFonts w:asciiTheme="majorHAnsi" w:hAnsiTheme="majorHAnsi"/>
          <w:color w:val="000000" w:themeColor="text1"/>
          <w:sz w:val="20"/>
          <w:szCs w:val="20"/>
          <w:lang w:val="es-VE"/>
        </w:rPr>
        <w:footnoteReference w:id="32"/>
      </w:r>
      <w:r w:rsidR="004238B4" w:rsidRPr="00707B68">
        <w:rPr>
          <w:rFonts w:asciiTheme="majorHAnsi" w:hAnsiTheme="majorHAnsi"/>
          <w:color w:val="000000" w:themeColor="text1"/>
          <w:sz w:val="20"/>
          <w:szCs w:val="20"/>
          <w:lang w:val="es-VE"/>
        </w:rPr>
        <w:t xml:space="preserve">. </w:t>
      </w:r>
    </w:p>
    <w:p w14:paraId="0F14ACDC" w14:textId="77777777" w:rsidR="006B25DE" w:rsidRPr="00707B68" w:rsidRDefault="006B25DE" w:rsidP="004B54E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color w:val="000000" w:themeColor="text1"/>
          <w:sz w:val="20"/>
          <w:szCs w:val="20"/>
          <w:lang w:val="es-VE"/>
        </w:rPr>
      </w:pPr>
    </w:p>
    <w:p w14:paraId="27383736" w14:textId="22C0E3E1" w:rsidR="006B25DE" w:rsidRPr="00707B68" w:rsidRDefault="003D38BD" w:rsidP="004B54E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 xml:space="preserve">La parte peticionaria identificó a los siguientes familiares del señor Zapata: Alicia Zapata (madre), María Alicia Zapata (hermana), María Fanny Córdoba Zapata (hermana), María Rangel Córdoba Zapata (hermana), </w:t>
      </w:r>
      <w:r w:rsidR="007A4B8F" w:rsidRPr="00707B68">
        <w:rPr>
          <w:rFonts w:asciiTheme="majorHAnsi" w:hAnsiTheme="majorHAnsi"/>
          <w:color w:val="000000" w:themeColor="text1"/>
          <w:sz w:val="20"/>
          <w:szCs w:val="20"/>
          <w:lang w:val="es-VE"/>
        </w:rPr>
        <w:t xml:space="preserve">María Girlesa Zapata (hermana), </w:t>
      </w:r>
      <w:r w:rsidRPr="00707B68">
        <w:rPr>
          <w:rFonts w:asciiTheme="majorHAnsi" w:hAnsiTheme="majorHAnsi"/>
          <w:color w:val="000000" w:themeColor="text1"/>
          <w:sz w:val="20"/>
          <w:szCs w:val="20"/>
          <w:lang w:val="es-VE"/>
        </w:rPr>
        <w:t>Adrián Alberto Zapata Zapata (sobrino)</w:t>
      </w:r>
      <w:r w:rsidR="007A4B8F" w:rsidRPr="00707B68">
        <w:rPr>
          <w:rFonts w:asciiTheme="majorHAnsi" w:hAnsiTheme="majorHAnsi"/>
          <w:color w:val="000000" w:themeColor="text1"/>
          <w:sz w:val="20"/>
          <w:szCs w:val="20"/>
          <w:lang w:val="es-VE"/>
        </w:rPr>
        <w:t xml:space="preserve">, </w:t>
      </w:r>
      <w:r w:rsidR="0020191D" w:rsidRPr="00707B68">
        <w:rPr>
          <w:rFonts w:asciiTheme="majorHAnsi" w:hAnsiTheme="majorHAnsi"/>
          <w:color w:val="000000" w:themeColor="text1"/>
          <w:sz w:val="20"/>
          <w:szCs w:val="20"/>
          <w:lang w:val="es-VE"/>
        </w:rPr>
        <w:t>Ana Lucía Higuita Higuita (compañera permanente)</w:t>
      </w:r>
      <w:r w:rsidR="007A4B8F" w:rsidRPr="00707B68">
        <w:rPr>
          <w:rFonts w:asciiTheme="majorHAnsi" w:hAnsiTheme="majorHAnsi"/>
          <w:color w:val="000000" w:themeColor="text1"/>
          <w:sz w:val="20"/>
          <w:szCs w:val="20"/>
          <w:lang w:val="es-VE"/>
        </w:rPr>
        <w:t xml:space="preserve"> y Catherine Zapata Urriaga (hija de Adrián Alberto Zapata)</w:t>
      </w:r>
      <w:r w:rsidR="0020191D" w:rsidRPr="00707B68">
        <w:rPr>
          <w:rStyle w:val="FootnoteReference"/>
          <w:rFonts w:asciiTheme="majorHAnsi" w:hAnsiTheme="majorHAnsi"/>
          <w:color w:val="000000" w:themeColor="text1"/>
          <w:sz w:val="20"/>
          <w:szCs w:val="20"/>
          <w:lang w:val="es-VE"/>
        </w:rPr>
        <w:footnoteReference w:id="33"/>
      </w:r>
      <w:r w:rsidR="0020191D" w:rsidRPr="00707B68">
        <w:rPr>
          <w:rFonts w:asciiTheme="majorHAnsi" w:hAnsiTheme="majorHAnsi"/>
          <w:color w:val="000000" w:themeColor="text1"/>
          <w:sz w:val="20"/>
          <w:szCs w:val="20"/>
          <w:lang w:val="es-VE"/>
        </w:rPr>
        <w:t xml:space="preserve">. </w:t>
      </w:r>
    </w:p>
    <w:p w14:paraId="32AACA71" w14:textId="77777777" w:rsidR="002739EE" w:rsidRPr="00707B68" w:rsidRDefault="002739EE" w:rsidP="004B54EB">
      <w:pPr>
        <w:tabs>
          <w:tab w:val="left" w:pos="360"/>
        </w:tabs>
        <w:rPr>
          <w:rFonts w:asciiTheme="majorHAnsi" w:hAnsiTheme="majorHAnsi"/>
          <w:color w:val="FF0000"/>
          <w:lang w:val="es-ES"/>
        </w:rPr>
      </w:pPr>
    </w:p>
    <w:p w14:paraId="5D2510E3" w14:textId="77777777" w:rsidR="0020191D" w:rsidRPr="00707B68" w:rsidRDefault="0022273F" w:rsidP="00147351">
      <w:pPr>
        <w:pStyle w:val="Heading2"/>
      </w:pPr>
      <w:bookmarkStart w:id="9" w:name="_Toc456358862"/>
      <w:r w:rsidRPr="00707B68">
        <w:t>Hechos del caso</w:t>
      </w:r>
      <w:bookmarkEnd w:id="9"/>
    </w:p>
    <w:p w14:paraId="7205CB60" w14:textId="77777777" w:rsidR="0020191D" w:rsidRPr="00707B68" w:rsidRDefault="0020191D" w:rsidP="0020191D">
      <w:pPr>
        <w:rPr>
          <w:rFonts w:asciiTheme="majorHAnsi" w:hAnsiTheme="majorHAnsi"/>
          <w:sz w:val="20"/>
        </w:rPr>
      </w:pPr>
    </w:p>
    <w:p w14:paraId="635805D4" w14:textId="77777777" w:rsidR="00E55EB7" w:rsidRPr="00707B68" w:rsidRDefault="006B25DE" w:rsidP="004B54EB">
      <w:pPr>
        <w:pStyle w:val="Heading3"/>
        <w:numPr>
          <w:ilvl w:val="0"/>
          <w:numId w:val="59"/>
        </w:numPr>
        <w:tabs>
          <w:tab w:val="left" w:pos="360"/>
        </w:tabs>
        <w:ind w:left="0" w:firstLine="0"/>
      </w:pPr>
      <w:r w:rsidRPr="00707B68">
        <w:lastRenderedPageBreak/>
        <w:t>Sobre las amenazas y hostigamientos previos a la muerte de Jesús Ramiro Zapata</w:t>
      </w:r>
    </w:p>
    <w:p w14:paraId="42E47BD8" w14:textId="77777777" w:rsidR="006B25DE" w:rsidRPr="00707B68" w:rsidRDefault="006B25DE" w:rsidP="004B54EB">
      <w:pPr>
        <w:pStyle w:val="Heading3"/>
        <w:numPr>
          <w:ilvl w:val="0"/>
          <w:numId w:val="0"/>
        </w:numPr>
        <w:tabs>
          <w:tab w:val="left" w:pos="360"/>
        </w:tabs>
      </w:pPr>
      <w:r w:rsidRPr="00707B68">
        <w:t xml:space="preserve"> </w:t>
      </w:r>
    </w:p>
    <w:p w14:paraId="526FE18A" w14:textId="77777777" w:rsidR="00A922B1" w:rsidRPr="00707B68" w:rsidRDefault="0020191D" w:rsidP="004B54E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 xml:space="preserve">La Comisión observa que la parte peticionaria ha señalado desde la petición inicial que el señor Zapata fue víctima de una serie de actos de acoso, hostigamiento y criminalización dada su labor como defensor de derechos humanos.  </w:t>
      </w:r>
      <w:r w:rsidR="00455189" w:rsidRPr="00707B68">
        <w:rPr>
          <w:rFonts w:asciiTheme="majorHAnsi" w:hAnsiTheme="majorHAnsi"/>
          <w:color w:val="000000" w:themeColor="text1"/>
          <w:sz w:val="20"/>
          <w:szCs w:val="20"/>
          <w:lang w:val="es-VE"/>
        </w:rPr>
        <w:t xml:space="preserve">A continuación </w:t>
      </w:r>
      <w:r w:rsidR="00C01F54" w:rsidRPr="00707B68">
        <w:rPr>
          <w:rFonts w:asciiTheme="majorHAnsi" w:hAnsiTheme="majorHAnsi"/>
          <w:color w:val="000000" w:themeColor="text1"/>
          <w:sz w:val="20"/>
          <w:szCs w:val="20"/>
          <w:lang w:val="es-VE"/>
        </w:rPr>
        <w:t>la CIDH</w:t>
      </w:r>
      <w:r w:rsidR="00455189" w:rsidRPr="00707B68">
        <w:rPr>
          <w:rFonts w:asciiTheme="majorHAnsi" w:hAnsiTheme="majorHAnsi"/>
          <w:color w:val="000000" w:themeColor="text1"/>
          <w:sz w:val="20"/>
          <w:szCs w:val="20"/>
          <w:lang w:val="es-VE"/>
        </w:rPr>
        <w:t xml:space="preserve"> dará cuenta de los hechos más resaltantes de dichas situaciones. </w:t>
      </w:r>
    </w:p>
    <w:p w14:paraId="292C3D55" w14:textId="77777777" w:rsidR="00A922B1" w:rsidRPr="00707B68" w:rsidRDefault="00A922B1" w:rsidP="004B54EB">
      <w:pPr>
        <w:tabs>
          <w:tab w:val="left" w:pos="360"/>
        </w:tabs>
        <w:rPr>
          <w:rFonts w:asciiTheme="majorHAnsi" w:hAnsiTheme="majorHAnsi"/>
          <w:sz w:val="20"/>
        </w:rPr>
      </w:pPr>
    </w:p>
    <w:p w14:paraId="2139A353" w14:textId="77777777" w:rsidR="0020191D" w:rsidRPr="00707B68" w:rsidRDefault="00455189" w:rsidP="007A133D">
      <w:pPr>
        <w:pStyle w:val="Heading3"/>
        <w:numPr>
          <w:ilvl w:val="1"/>
          <w:numId w:val="58"/>
        </w:numPr>
        <w:tabs>
          <w:tab w:val="left" w:pos="360"/>
        </w:tabs>
        <w:ind w:left="0" w:firstLine="0"/>
      </w:pPr>
      <w:r w:rsidRPr="00707B68">
        <w:t xml:space="preserve">Sobre la ocurrencia de hechos de hostigamiento judicial </w:t>
      </w:r>
    </w:p>
    <w:p w14:paraId="3B3B5888" w14:textId="77777777" w:rsidR="0033242C" w:rsidRPr="00707B68" w:rsidRDefault="0033242C" w:rsidP="004B54EB">
      <w:pPr>
        <w:tabs>
          <w:tab w:val="left" w:pos="360"/>
        </w:tabs>
        <w:rPr>
          <w:rFonts w:asciiTheme="majorHAnsi" w:hAnsiTheme="majorHAnsi"/>
          <w:sz w:val="20"/>
        </w:rPr>
      </w:pPr>
    </w:p>
    <w:p w14:paraId="5497D412" w14:textId="578F3268" w:rsidR="000208A3" w:rsidRPr="00707B68" w:rsidRDefault="000208A3" w:rsidP="00C81B92">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rPr>
      </w:pPr>
      <w:r w:rsidRPr="00707B68">
        <w:rPr>
          <w:rFonts w:asciiTheme="majorHAnsi" w:hAnsiTheme="majorHAnsi"/>
          <w:sz w:val="20"/>
          <w:szCs w:val="20"/>
        </w:rPr>
        <w:t>De manera prelim</w:t>
      </w:r>
      <w:r w:rsidR="00C81B92" w:rsidRPr="00707B68">
        <w:rPr>
          <w:rFonts w:asciiTheme="majorHAnsi" w:hAnsiTheme="majorHAnsi"/>
          <w:sz w:val="20"/>
          <w:szCs w:val="20"/>
        </w:rPr>
        <w:t xml:space="preserve">inar, la Comisión toma nota de </w:t>
      </w:r>
      <w:r w:rsidRPr="00707B68">
        <w:rPr>
          <w:rFonts w:asciiTheme="majorHAnsi" w:hAnsiTheme="majorHAnsi"/>
          <w:sz w:val="20"/>
          <w:szCs w:val="20"/>
        </w:rPr>
        <w:t xml:space="preserve">diversos informes de entidades </w:t>
      </w:r>
      <w:r w:rsidR="00A2118C" w:rsidRPr="00707B68">
        <w:rPr>
          <w:rFonts w:asciiTheme="majorHAnsi" w:hAnsiTheme="majorHAnsi"/>
          <w:sz w:val="20"/>
          <w:szCs w:val="20"/>
        </w:rPr>
        <w:t>militares a mediados de la década de 1990</w:t>
      </w:r>
      <w:r w:rsidRPr="00707B68">
        <w:rPr>
          <w:rFonts w:asciiTheme="majorHAnsi" w:hAnsiTheme="majorHAnsi"/>
          <w:sz w:val="20"/>
          <w:szCs w:val="20"/>
        </w:rPr>
        <w:t xml:space="preserve"> que </w:t>
      </w:r>
      <w:r w:rsidR="00A2118C" w:rsidRPr="00707B68">
        <w:rPr>
          <w:rFonts w:asciiTheme="majorHAnsi" w:hAnsiTheme="majorHAnsi"/>
          <w:sz w:val="20"/>
          <w:szCs w:val="20"/>
        </w:rPr>
        <w:t>hici</w:t>
      </w:r>
      <w:r w:rsidR="00C81B92" w:rsidRPr="00707B68">
        <w:rPr>
          <w:rFonts w:asciiTheme="majorHAnsi" w:hAnsiTheme="majorHAnsi"/>
          <w:sz w:val="20"/>
          <w:szCs w:val="20"/>
        </w:rPr>
        <w:t>eron referencia al señor Zapata</w:t>
      </w:r>
      <w:r w:rsidR="008E3EF9" w:rsidRPr="00707B68">
        <w:rPr>
          <w:rFonts w:asciiTheme="majorHAnsi" w:hAnsiTheme="majorHAnsi"/>
          <w:sz w:val="20"/>
          <w:szCs w:val="20"/>
        </w:rPr>
        <w:t>. La CIDH destaca los siguientes documentos:</w:t>
      </w:r>
    </w:p>
    <w:p w14:paraId="5FAF95EC" w14:textId="77777777" w:rsidR="000208A3" w:rsidRPr="00707B68" w:rsidRDefault="000208A3" w:rsidP="00C81B92">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jc w:val="both"/>
        <w:rPr>
          <w:rFonts w:asciiTheme="majorHAnsi" w:hAnsiTheme="majorHAnsi"/>
          <w:sz w:val="20"/>
          <w:szCs w:val="20"/>
        </w:rPr>
      </w:pPr>
    </w:p>
    <w:p w14:paraId="28F59649" w14:textId="04298806" w:rsidR="000208A3" w:rsidRPr="00707B68" w:rsidRDefault="000208A3" w:rsidP="008E5267">
      <w:pPr>
        <w:pStyle w:val="ListParagraph"/>
        <w:numPr>
          <w:ilvl w:val="0"/>
          <w:numId w:val="72"/>
        </w:numPr>
        <w:ind w:left="360" w:firstLine="0"/>
      </w:pPr>
      <w:r w:rsidRPr="00707B68">
        <w:t>10 de septiembre de 1995: Registro del Batallón 42 “Batalla de Bomboná” en donde se identificó al señor Zapata como objetivo de “operaciones de inteligencia”.</w:t>
      </w:r>
    </w:p>
    <w:p w14:paraId="052E3775" w14:textId="6DF32AAB" w:rsidR="00384EA1" w:rsidRPr="00707B68" w:rsidRDefault="00CE7F85" w:rsidP="008E5267">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450"/>
          <w:tab w:val="left" w:pos="990"/>
          <w:tab w:val="left" w:pos="8640"/>
        </w:tabs>
        <w:ind w:left="360" w:right="720"/>
        <w:jc w:val="both"/>
        <w:rPr>
          <w:rFonts w:asciiTheme="majorHAnsi" w:hAnsiTheme="majorHAnsi" w:cs="Times"/>
          <w:sz w:val="18"/>
          <w:szCs w:val="18"/>
          <w:lang w:val="es-US" w:eastAsia="es-ES"/>
        </w:rPr>
      </w:pPr>
      <w:r w:rsidRPr="00707B68">
        <w:rPr>
          <w:rFonts w:asciiTheme="majorHAnsi" w:eastAsia="Cambria" w:hAnsiTheme="majorHAnsi" w:cs="Arial"/>
          <w:color w:val="000000"/>
          <w:sz w:val="18"/>
          <w:szCs w:val="18"/>
          <w:u w:color="000000"/>
          <w:lang w:val="es-US" w:eastAsia="es-ES"/>
        </w:rPr>
        <w:t xml:space="preserve">- </w:t>
      </w:r>
      <w:r w:rsidR="00384EA1" w:rsidRPr="00707B68">
        <w:rPr>
          <w:rFonts w:asciiTheme="majorHAnsi" w:eastAsia="Cambria" w:hAnsiTheme="majorHAnsi" w:cs="Arial"/>
          <w:color w:val="000000"/>
          <w:sz w:val="18"/>
          <w:szCs w:val="18"/>
          <w:u w:color="000000"/>
          <w:lang w:val="es-US" w:eastAsia="es-ES"/>
        </w:rPr>
        <w:t>Diciembre</w:t>
      </w:r>
      <w:r w:rsidR="00384EA1" w:rsidRPr="00707B68">
        <w:rPr>
          <w:rFonts w:asciiTheme="majorHAnsi" w:hAnsiTheme="majorHAnsi" w:cs="Arial"/>
          <w:sz w:val="18"/>
          <w:szCs w:val="18"/>
          <w:lang w:val="es-US"/>
        </w:rPr>
        <w:t xml:space="preserve"> de 1995: Informe de </w:t>
      </w:r>
      <w:r w:rsidR="00384EA1" w:rsidRPr="00707B68">
        <w:rPr>
          <w:rFonts w:asciiTheme="majorHAnsi" w:hAnsiTheme="majorHAnsi" w:cs="Arial"/>
          <w:sz w:val="18"/>
          <w:szCs w:val="18"/>
          <w:lang w:val="es-US" w:eastAsia="es-ES"/>
        </w:rPr>
        <w:t xml:space="preserve">la Brigada XIV del Ejército Nacional, en donde se incluyó </w:t>
      </w:r>
      <w:r w:rsidR="008D7931" w:rsidRPr="00707B68">
        <w:rPr>
          <w:rFonts w:asciiTheme="majorHAnsi" w:hAnsiTheme="majorHAnsi" w:cs="Arial"/>
          <w:sz w:val="18"/>
          <w:szCs w:val="18"/>
          <w:lang w:val="es-US" w:eastAsia="es-ES"/>
        </w:rPr>
        <w:t>una fotografía</w:t>
      </w:r>
      <w:r w:rsidR="00384EA1" w:rsidRPr="00707B68">
        <w:rPr>
          <w:rFonts w:asciiTheme="majorHAnsi" w:hAnsiTheme="majorHAnsi" w:cs="Arial"/>
          <w:sz w:val="18"/>
          <w:szCs w:val="18"/>
          <w:lang w:val="es-US" w:eastAsia="es-ES"/>
        </w:rPr>
        <w:t xml:space="preserve"> del señor Zapata</w:t>
      </w:r>
      <w:r w:rsidR="008D7931" w:rsidRPr="00707B68">
        <w:rPr>
          <w:rFonts w:asciiTheme="majorHAnsi" w:hAnsiTheme="majorHAnsi" w:cs="Arial"/>
          <w:sz w:val="18"/>
          <w:szCs w:val="18"/>
          <w:lang w:val="es-US" w:eastAsia="es-ES"/>
        </w:rPr>
        <w:t xml:space="preserve"> y se le identificó como “componente de la política de las Milicias Populares 11 de Noviembre (...) del ELN”.</w:t>
      </w:r>
    </w:p>
    <w:p w14:paraId="1E96BEF7" w14:textId="44E67E2B" w:rsidR="001429E5" w:rsidRPr="00707B68" w:rsidRDefault="001429E5" w:rsidP="008E5267">
      <w:pPr>
        <w:pStyle w:val="ListParagraph"/>
        <w:numPr>
          <w:ilvl w:val="0"/>
          <w:numId w:val="72"/>
        </w:numPr>
        <w:ind w:left="360" w:firstLine="0"/>
      </w:pPr>
      <w:r w:rsidRPr="00707B68">
        <w:t>13 de junio de 1996: Documento del Batallón de Contraguerrillas No. 47 “Héroes de Tacines” del Ejército Nacional, en donde se identificó al señor Zapata como colaborador del ELN.</w:t>
      </w:r>
    </w:p>
    <w:p w14:paraId="02E74127" w14:textId="4EE3376C" w:rsidR="001429E5" w:rsidRPr="00707B68" w:rsidRDefault="0007338B" w:rsidP="008E52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450"/>
          <w:tab w:val="left" w:pos="990"/>
          <w:tab w:val="left" w:pos="8640"/>
        </w:tabs>
        <w:autoSpaceDE w:val="0"/>
        <w:autoSpaceDN w:val="0"/>
        <w:adjustRightInd w:val="0"/>
        <w:ind w:left="360" w:right="720"/>
        <w:rPr>
          <w:rFonts w:asciiTheme="majorHAnsi" w:hAnsiTheme="majorHAnsi" w:cs="Times"/>
          <w:sz w:val="18"/>
          <w:szCs w:val="18"/>
          <w:lang w:val="es-US" w:eastAsia="es-ES"/>
        </w:rPr>
      </w:pPr>
      <w:r w:rsidRPr="00707B68">
        <w:rPr>
          <w:rFonts w:asciiTheme="majorHAnsi" w:hAnsiTheme="majorHAnsi" w:cs="Arial"/>
          <w:sz w:val="18"/>
          <w:szCs w:val="18"/>
          <w:lang w:val="es-US"/>
        </w:rPr>
        <w:t xml:space="preserve">- </w:t>
      </w:r>
      <w:r w:rsidR="001429E5" w:rsidRPr="00707B68">
        <w:rPr>
          <w:rFonts w:asciiTheme="majorHAnsi" w:hAnsiTheme="majorHAnsi" w:cs="Arial"/>
          <w:sz w:val="18"/>
          <w:szCs w:val="18"/>
          <w:lang w:val="es-US"/>
        </w:rPr>
        <w:t>26 de enero de 1997: Documento de</w:t>
      </w:r>
      <w:r w:rsidR="001429E5" w:rsidRPr="00707B68">
        <w:rPr>
          <w:rFonts w:asciiTheme="majorHAnsi" w:hAnsiTheme="majorHAnsi" w:cs="Arial"/>
          <w:sz w:val="18"/>
          <w:szCs w:val="18"/>
          <w:lang w:val="es-US" w:eastAsia="es-ES"/>
        </w:rPr>
        <w:t xml:space="preserve"> la Brigada XIV del Ejército Nacional, en donde se indicó que conforme a los archivos de la Unidad Operativa Menor el señor Zapata es un presunto integrante de Milici</w:t>
      </w:r>
      <w:r w:rsidRPr="00707B68">
        <w:rPr>
          <w:rFonts w:asciiTheme="majorHAnsi" w:hAnsiTheme="majorHAnsi" w:cs="Arial"/>
          <w:sz w:val="18"/>
          <w:szCs w:val="18"/>
          <w:lang w:val="es-US" w:eastAsia="es-ES"/>
        </w:rPr>
        <w:t xml:space="preserve">as Populares “11 de Noviembre </w:t>
      </w:r>
      <w:r w:rsidR="001429E5" w:rsidRPr="00707B68">
        <w:rPr>
          <w:rFonts w:asciiTheme="majorHAnsi" w:hAnsiTheme="majorHAnsi" w:cs="Arial"/>
          <w:sz w:val="18"/>
          <w:szCs w:val="18"/>
          <w:lang w:val="es-US" w:eastAsia="es-ES"/>
        </w:rPr>
        <w:t xml:space="preserve">Andrés Posada” del ELN. </w:t>
      </w:r>
    </w:p>
    <w:p w14:paraId="709331A7" w14:textId="5369DAC8" w:rsidR="000208A3" w:rsidRPr="00707B68" w:rsidRDefault="00154DD5" w:rsidP="008E5267">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450"/>
          <w:tab w:val="left" w:pos="990"/>
          <w:tab w:val="left" w:pos="8640"/>
        </w:tabs>
        <w:ind w:left="360" w:right="720"/>
        <w:jc w:val="both"/>
        <w:rPr>
          <w:rFonts w:asciiTheme="majorHAnsi" w:eastAsia="Cambria" w:hAnsiTheme="majorHAnsi" w:cs="Arial"/>
          <w:color w:val="000000"/>
          <w:sz w:val="18"/>
          <w:szCs w:val="18"/>
          <w:u w:color="000000"/>
          <w:lang w:val="es-US" w:eastAsia="es-ES"/>
        </w:rPr>
      </w:pPr>
      <w:r w:rsidRPr="00707B68">
        <w:rPr>
          <w:rFonts w:asciiTheme="majorHAnsi" w:eastAsia="Cambria" w:hAnsiTheme="majorHAnsi" w:cs="Arial"/>
          <w:color w:val="000000"/>
          <w:sz w:val="18"/>
          <w:szCs w:val="18"/>
          <w:u w:color="000000"/>
          <w:lang w:val="es-US" w:eastAsia="es-ES"/>
        </w:rPr>
        <w:t xml:space="preserve">- </w:t>
      </w:r>
      <w:r w:rsidR="00763C60" w:rsidRPr="00707B68">
        <w:rPr>
          <w:rFonts w:asciiTheme="majorHAnsi" w:eastAsia="Cambria" w:hAnsiTheme="majorHAnsi" w:cs="Arial"/>
          <w:color w:val="000000"/>
          <w:sz w:val="18"/>
          <w:szCs w:val="18"/>
          <w:u w:color="000000"/>
          <w:lang w:val="es-US" w:eastAsia="es-ES"/>
        </w:rPr>
        <w:t>4 de agosto de 1997</w:t>
      </w:r>
      <w:r w:rsidRPr="00707B68">
        <w:rPr>
          <w:rFonts w:asciiTheme="majorHAnsi" w:eastAsia="Cambria" w:hAnsiTheme="majorHAnsi" w:cs="Arial"/>
          <w:color w:val="000000"/>
          <w:sz w:val="18"/>
          <w:szCs w:val="18"/>
          <w:u w:color="000000"/>
          <w:lang w:val="es-US" w:eastAsia="es-ES"/>
        </w:rPr>
        <w:t xml:space="preserve">: </w:t>
      </w:r>
      <w:r w:rsidR="00763C60" w:rsidRPr="00707B68">
        <w:rPr>
          <w:rFonts w:asciiTheme="majorHAnsi" w:eastAsia="Cambria" w:hAnsiTheme="majorHAnsi" w:cs="Arial"/>
          <w:color w:val="000000"/>
          <w:sz w:val="18"/>
          <w:szCs w:val="18"/>
          <w:u w:color="000000"/>
          <w:lang w:val="es-US" w:eastAsia="es-ES"/>
        </w:rPr>
        <w:t>Documento de base militar 97 en donde se indicó que el señor Zapata era “promotor de los derechos humanos” y que en el año 1996 participó de una “reunión (...) encaminada a organizar un programa de desprestigio contra la fuerza pública”.</w:t>
      </w:r>
    </w:p>
    <w:p w14:paraId="014DCB10" w14:textId="2E0BEABB" w:rsidR="00EE11D2" w:rsidRPr="00707B68" w:rsidRDefault="008E5267" w:rsidP="008E5267">
      <w:pPr>
        <w:pStyle w:val="ListParagraph"/>
        <w:numPr>
          <w:ilvl w:val="0"/>
          <w:numId w:val="0"/>
        </w:numPr>
        <w:ind w:left="360"/>
        <w:rPr>
          <w:rFonts w:cs="Times"/>
        </w:rPr>
      </w:pPr>
      <w:r w:rsidRPr="00707B68">
        <w:t xml:space="preserve">- </w:t>
      </w:r>
      <w:r w:rsidR="00EE11D2" w:rsidRPr="00707B68">
        <w:t>8 de agosto de 1997: Informe de la decimocuarta brigada del Ejército Nacional en donde se indicó que se tomó la declaratoria de una persona, presuntamente miembro del ELN, quien habrían señalado que el señor Zapata era de “derechos humanos” e iba “</w:t>
      </w:r>
      <w:r w:rsidR="00EE11D2" w:rsidRPr="00707B68">
        <w:rPr>
          <w:iCs/>
        </w:rPr>
        <w:t>cada ocho días iba a dialogar con los cabecillas de las cuadrillas</w:t>
      </w:r>
      <w:r w:rsidR="00EE11D2" w:rsidRPr="00707B68">
        <w:t xml:space="preserve">”. </w:t>
      </w:r>
    </w:p>
    <w:p w14:paraId="2073E76D" w14:textId="1A38E5F9" w:rsidR="00EE11D2" w:rsidRPr="00707B68" w:rsidRDefault="008E5267" w:rsidP="008E5267">
      <w:pPr>
        <w:pStyle w:val="ListParagraph"/>
        <w:numPr>
          <w:ilvl w:val="0"/>
          <w:numId w:val="0"/>
        </w:numPr>
        <w:ind w:left="360"/>
        <w:rPr>
          <w:rFonts w:cs="Times"/>
        </w:rPr>
      </w:pPr>
      <w:r w:rsidRPr="00707B68">
        <w:t xml:space="preserve">- </w:t>
      </w:r>
      <w:r w:rsidR="00EE11D2" w:rsidRPr="00707B68">
        <w:t>13 de agosto de 1997: Informe de Inteligencia del Batallón de Inteligencia No. 6 del Ejército Nacional de Colombia. En dicho documento se indicó que el señor Zapata es un</w:t>
      </w:r>
      <w:r w:rsidR="00EE11D2" w:rsidRPr="00707B68">
        <w:rPr>
          <w:iCs/>
        </w:rPr>
        <w:t xml:space="preserve"> “elemento extremista que utiliza como fachada ser líder cívico y promotor de los derechos humanos”. Se señaló que el señor Zapata “participó en las siguientes actividades delictivas (...) Integrante de las autodenominadas milicias 11 de noviembre y Andrés Posada del cartel del ELN, las cuales delinquen en las localidades de Segovia y Remedios (Ant); donde se desempeña como ideólogo y jefe de la parte política. </w:t>
      </w:r>
    </w:p>
    <w:p w14:paraId="1B567106" w14:textId="7DD2081E" w:rsidR="00101546" w:rsidRPr="00707B68" w:rsidRDefault="008E5267" w:rsidP="008E5267">
      <w:pPr>
        <w:pStyle w:val="ListParagraph"/>
        <w:numPr>
          <w:ilvl w:val="0"/>
          <w:numId w:val="0"/>
        </w:numPr>
        <w:ind w:left="360"/>
        <w:rPr>
          <w:rFonts w:cs="Times"/>
        </w:rPr>
      </w:pPr>
      <w:r w:rsidRPr="00707B68">
        <w:t xml:space="preserve">- </w:t>
      </w:r>
      <w:r w:rsidR="00EE11D2" w:rsidRPr="00707B68">
        <w:t>10 de noviembre de 1997: Comunicación del Batallón de Contraguerrillas No.47 “Héroes de Tacines” en donde se señaló que el señor Zapata es “</w:t>
      </w:r>
      <w:r w:rsidR="00EE11D2" w:rsidRPr="00707B68">
        <w:rPr>
          <w:iCs/>
        </w:rPr>
        <w:t>integrante de la Comisión de los Derechos Humanos patrocinado por las Milicias populares del Cartel del ELN</w:t>
      </w:r>
      <w:r w:rsidR="00EE11D2" w:rsidRPr="00707B68">
        <w:t>”. En dicho documento, dirigido al Coronel comandante de la Décima Cuarta Brigada, también se incluy</w:t>
      </w:r>
      <w:r w:rsidR="00725BB5" w:rsidRPr="00707B68">
        <w:t>ó</w:t>
      </w:r>
      <w:r w:rsidR="00EE11D2" w:rsidRPr="00707B68">
        <w:t xml:space="preserve"> información personal tales como lugar de residencia, estudios realizados, y anotaciones de personas con quien frecuenta</w:t>
      </w:r>
    </w:p>
    <w:p w14:paraId="0B464AA3" w14:textId="5B4E2936" w:rsidR="00101546" w:rsidRPr="00707B68" w:rsidRDefault="008E5267" w:rsidP="008E5267">
      <w:pPr>
        <w:pStyle w:val="ListParagraph"/>
        <w:numPr>
          <w:ilvl w:val="0"/>
          <w:numId w:val="0"/>
        </w:numPr>
        <w:ind w:left="360"/>
        <w:rPr>
          <w:lang w:val="es-VE"/>
        </w:rPr>
      </w:pPr>
      <w:r w:rsidRPr="00707B68">
        <w:rPr>
          <w:lang w:val="es-VE"/>
        </w:rPr>
        <w:t xml:space="preserve">- </w:t>
      </w:r>
      <w:r w:rsidR="00101546" w:rsidRPr="00707B68">
        <w:rPr>
          <w:lang w:val="es-VE"/>
        </w:rPr>
        <w:t xml:space="preserve">19 de enero de 1998: Informe </w:t>
      </w:r>
      <w:r w:rsidR="00101546" w:rsidRPr="00707B68">
        <w:t xml:space="preserve">General de Grupo Armado en donde se indica que el señor Zapata era un “miembro activo” del ELN, así como un “agitador político”. </w:t>
      </w:r>
    </w:p>
    <w:p w14:paraId="22AA0D08" w14:textId="608FDFD2" w:rsidR="00101546" w:rsidRPr="00707B68" w:rsidRDefault="008E5267" w:rsidP="008E5267">
      <w:pPr>
        <w:pStyle w:val="ListParagraph"/>
        <w:numPr>
          <w:ilvl w:val="0"/>
          <w:numId w:val="0"/>
        </w:numPr>
        <w:ind w:left="360"/>
        <w:rPr>
          <w:rFonts w:cs="Times"/>
        </w:rPr>
      </w:pPr>
      <w:r w:rsidRPr="00707B68">
        <w:rPr>
          <w:lang w:val="es-VE"/>
        </w:rPr>
        <w:t xml:space="preserve">- </w:t>
      </w:r>
      <w:r w:rsidR="00101546" w:rsidRPr="00707B68">
        <w:rPr>
          <w:lang w:val="es-VE"/>
        </w:rPr>
        <w:t xml:space="preserve">23 de febrero de 1998. </w:t>
      </w:r>
      <w:r w:rsidR="00101546" w:rsidRPr="00707B68">
        <w:t>Carta de “apreciación situación operaciones No 001” del entonces Comandante Base Militar de Segovia. Dicho documento se dirigió al Batallón de Contraguerrillas No. 47 “Héroes de Tacines” y se incluye al señor Zapata bajo el acápite de “</w:t>
      </w:r>
      <w:r w:rsidR="00101546" w:rsidRPr="00707B68">
        <w:rPr>
          <w:iCs/>
        </w:rPr>
        <w:t>[s]ituación del enemigo</w:t>
      </w:r>
      <w:r w:rsidR="00101546" w:rsidRPr="00707B68">
        <w:t xml:space="preserve">” como </w:t>
      </w:r>
      <w:r w:rsidR="00101546" w:rsidRPr="00707B68">
        <w:rPr>
          <w:iCs/>
        </w:rPr>
        <w:t>“[p]romotor de Derechos Humanos en el Nordeste Antioqueño e integrante de la Comisión Política del cartel del ELN</w:t>
      </w:r>
      <w:r w:rsidR="00101546" w:rsidRPr="00707B68">
        <w:t>”. Se ordenó que se desarrollen “labores de inteligencia de combate”</w:t>
      </w:r>
      <w:r w:rsidR="00101546" w:rsidRPr="00707B68">
        <w:rPr>
          <w:rStyle w:val="FootnoteReference"/>
          <w:rFonts w:asciiTheme="majorHAnsi" w:hAnsiTheme="majorHAnsi"/>
          <w:color w:val="000000" w:themeColor="text1"/>
          <w:sz w:val="20"/>
          <w:szCs w:val="20"/>
          <w:lang w:val="es-VE"/>
        </w:rPr>
        <w:footnoteReference w:id="34"/>
      </w:r>
      <w:r w:rsidR="00101546" w:rsidRPr="00707B68">
        <w:t xml:space="preserve">. </w:t>
      </w:r>
    </w:p>
    <w:p w14:paraId="11FE21F2" w14:textId="77777777" w:rsidR="000208A3" w:rsidRPr="00707B68" w:rsidRDefault="000208A3" w:rsidP="00C81B92">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jc w:val="both"/>
        <w:rPr>
          <w:rFonts w:asciiTheme="majorHAnsi" w:hAnsiTheme="majorHAnsi"/>
          <w:sz w:val="20"/>
          <w:szCs w:val="20"/>
        </w:rPr>
      </w:pPr>
    </w:p>
    <w:p w14:paraId="6EC027C7" w14:textId="6F66C4C6" w:rsidR="0033242C" w:rsidRPr="00707B68" w:rsidRDefault="000208A3" w:rsidP="00C81B92">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rPr>
      </w:pPr>
      <w:r w:rsidRPr="00707B68">
        <w:rPr>
          <w:rFonts w:asciiTheme="majorHAnsi" w:hAnsiTheme="majorHAnsi"/>
          <w:sz w:val="20"/>
          <w:szCs w:val="20"/>
        </w:rPr>
        <w:t>Adicionalmente, l</w:t>
      </w:r>
      <w:r w:rsidR="00455189" w:rsidRPr="00707B68">
        <w:rPr>
          <w:rFonts w:asciiTheme="majorHAnsi" w:hAnsiTheme="majorHAnsi"/>
          <w:sz w:val="20"/>
          <w:szCs w:val="20"/>
        </w:rPr>
        <w:t xml:space="preserve">a CIDH </w:t>
      </w:r>
      <w:r w:rsidR="00C01F54" w:rsidRPr="00707B68">
        <w:rPr>
          <w:rFonts w:asciiTheme="majorHAnsi" w:hAnsiTheme="majorHAnsi"/>
          <w:sz w:val="20"/>
          <w:szCs w:val="20"/>
        </w:rPr>
        <w:t>observa q</w:t>
      </w:r>
      <w:r w:rsidR="0033242C" w:rsidRPr="00707B68">
        <w:rPr>
          <w:rFonts w:asciiTheme="majorHAnsi" w:hAnsiTheme="majorHAnsi"/>
          <w:sz w:val="20"/>
          <w:szCs w:val="20"/>
        </w:rPr>
        <w:t>ue l</w:t>
      </w:r>
      <w:r w:rsidR="0019388E" w:rsidRPr="00707B68">
        <w:rPr>
          <w:rFonts w:asciiTheme="majorHAnsi" w:hAnsiTheme="majorHAnsi"/>
          <w:sz w:val="20"/>
          <w:szCs w:val="20"/>
        </w:rPr>
        <w:t xml:space="preserve">a parte peticionaria indicó que </w:t>
      </w:r>
      <w:r w:rsidR="00F673D4" w:rsidRPr="00707B68">
        <w:rPr>
          <w:rFonts w:asciiTheme="majorHAnsi" w:hAnsiTheme="majorHAnsi"/>
          <w:sz w:val="20"/>
          <w:szCs w:val="20"/>
        </w:rPr>
        <w:t>se realizaron una serie de</w:t>
      </w:r>
      <w:r w:rsidR="00C01F54" w:rsidRPr="00707B68">
        <w:rPr>
          <w:rFonts w:asciiTheme="majorHAnsi" w:hAnsiTheme="majorHAnsi"/>
          <w:sz w:val="20"/>
          <w:szCs w:val="20"/>
        </w:rPr>
        <w:t xml:space="preserve"> investigaciones </w:t>
      </w:r>
      <w:r w:rsidR="00F673D4" w:rsidRPr="00707B68">
        <w:rPr>
          <w:rFonts w:asciiTheme="majorHAnsi" w:hAnsiTheme="majorHAnsi"/>
          <w:sz w:val="20"/>
          <w:szCs w:val="20"/>
        </w:rPr>
        <w:t xml:space="preserve">que fueron iniciadas únicamente como una forma de hostigamiento contra la presunta víctima por el ejercicio de sus labores de defensa de los derechos humanos. Así, observa que el expediente contiene </w:t>
      </w:r>
      <w:r w:rsidR="004D34B8" w:rsidRPr="00707B68">
        <w:rPr>
          <w:rFonts w:asciiTheme="majorHAnsi" w:hAnsiTheme="majorHAnsi"/>
          <w:sz w:val="20"/>
          <w:szCs w:val="20"/>
        </w:rPr>
        <w:t xml:space="preserve">información sobre </w:t>
      </w:r>
      <w:r w:rsidR="00F673D4" w:rsidRPr="00707B68">
        <w:rPr>
          <w:rFonts w:asciiTheme="majorHAnsi" w:hAnsiTheme="majorHAnsi"/>
          <w:sz w:val="20"/>
          <w:szCs w:val="20"/>
        </w:rPr>
        <w:t>una investigación en 1994</w:t>
      </w:r>
      <w:r w:rsidR="0058170B" w:rsidRPr="00707B68">
        <w:rPr>
          <w:rStyle w:val="FootnoteReference"/>
          <w:rFonts w:asciiTheme="majorHAnsi" w:hAnsiTheme="majorHAnsi"/>
          <w:sz w:val="20"/>
          <w:szCs w:val="20"/>
        </w:rPr>
        <w:footnoteReference w:id="35"/>
      </w:r>
      <w:r w:rsidR="00F673D4" w:rsidRPr="00707B68">
        <w:rPr>
          <w:rFonts w:asciiTheme="majorHAnsi" w:hAnsiTheme="majorHAnsi"/>
          <w:sz w:val="20"/>
          <w:szCs w:val="20"/>
        </w:rPr>
        <w:t xml:space="preserve"> y otra en 1996</w:t>
      </w:r>
      <w:r w:rsidR="0058170B" w:rsidRPr="00707B68">
        <w:rPr>
          <w:rStyle w:val="FootnoteReference"/>
          <w:rFonts w:asciiTheme="majorHAnsi" w:hAnsiTheme="majorHAnsi"/>
          <w:sz w:val="20"/>
          <w:szCs w:val="20"/>
        </w:rPr>
        <w:footnoteReference w:id="36"/>
      </w:r>
      <w:r w:rsidR="00F673D4" w:rsidRPr="00707B68">
        <w:rPr>
          <w:rFonts w:asciiTheme="majorHAnsi" w:hAnsiTheme="majorHAnsi"/>
          <w:sz w:val="20"/>
          <w:szCs w:val="20"/>
        </w:rPr>
        <w:t xml:space="preserve">. Asimismo, destacan entre </w:t>
      </w:r>
      <w:r w:rsidR="00AF35E8" w:rsidRPr="00707B68">
        <w:rPr>
          <w:rFonts w:asciiTheme="majorHAnsi" w:hAnsiTheme="majorHAnsi"/>
          <w:sz w:val="20"/>
          <w:szCs w:val="20"/>
        </w:rPr>
        <w:t>estos procesos las investigaciones</w:t>
      </w:r>
      <w:r w:rsidR="00960326" w:rsidRPr="00707B68">
        <w:rPr>
          <w:rFonts w:asciiTheme="majorHAnsi" w:hAnsiTheme="majorHAnsi"/>
          <w:sz w:val="20"/>
          <w:szCs w:val="20"/>
        </w:rPr>
        <w:t xml:space="preserve"> No. 20.573, No. </w:t>
      </w:r>
      <w:r w:rsidR="00816E24" w:rsidRPr="00707B68">
        <w:rPr>
          <w:rFonts w:asciiTheme="majorHAnsi" w:hAnsiTheme="majorHAnsi"/>
          <w:sz w:val="20"/>
          <w:szCs w:val="20"/>
        </w:rPr>
        <w:t>21.758, No. 20.702 y No. 24.239</w:t>
      </w:r>
      <w:r w:rsidR="0065781C" w:rsidRPr="00707B68">
        <w:rPr>
          <w:rFonts w:asciiTheme="majorHAnsi" w:hAnsiTheme="majorHAnsi"/>
          <w:sz w:val="20"/>
          <w:szCs w:val="20"/>
        </w:rPr>
        <w:t>.</w:t>
      </w:r>
      <w:r w:rsidR="0033242C" w:rsidRPr="00707B68">
        <w:rPr>
          <w:rFonts w:asciiTheme="majorHAnsi" w:hAnsiTheme="majorHAnsi"/>
          <w:sz w:val="20"/>
          <w:szCs w:val="20"/>
        </w:rPr>
        <w:t xml:space="preserve"> </w:t>
      </w:r>
    </w:p>
    <w:p w14:paraId="5CC2FD58" w14:textId="77777777" w:rsidR="00AF35E8" w:rsidRPr="00707B68" w:rsidRDefault="00AF35E8" w:rsidP="004B54E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jc w:val="both"/>
        <w:rPr>
          <w:rFonts w:asciiTheme="majorHAnsi" w:hAnsiTheme="majorHAnsi"/>
          <w:sz w:val="20"/>
          <w:szCs w:val="20"/>
        </w:rPr>
      </w:pPr>
    </w:p>
    <w:p w14:paraId="3F7E0324" w14:textId="77777777" w:rsidR="004F36EA" w:rsidRPr="00707B68" w:rsidRDefault="00AF35E8" w:rsidP="004B54E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rPr>
      </w:pPr>
      <w:r w:rsidRPr="00707B68">
        <w:rPr>
          <w:rFonts w:asciiTheme="majorHAnsi" w:hAnsiTheme="majorHAnsi"/>
          <w:sz w:val="20"/>
          <w:szCs w:val="20"/>
        </w:rPr>
        <w:t xml:space="preserve">En relación con la investigación </w:t>
      </w:r>
      <w:r w:rsidR="0033242C" w:rsidRPr="00707B68">
        <w:rPr>
          <w:rFonts w:asciiTheme="majorHAnsi" w:hAnsiTheme="majorHAnsi"/>
          <w:sz w:val="20"/>
          <w:szCs w:val="20"/>
        </w:rPr>
        <w:t xml:space="preserve">No. 20.573 </w:t>
      </w:r>
      <w:r w:rsidRPr="00707B68">
        <w:rPr>
          <w:rFonts w:asciiTheme="majorHAnsi" w:hAnsiTheme="majorHAnsi"/>
          <w:sz w:val="20"/>
          <w:szCs w:val="20"/>
        </w:rPr>
        <w:t>la CIDH observ</w:t>
      </w:r>
      <w:r w:rsidR="001A0106" w:rsidRPr="00707B68">
        <w:rPr>
          <w:rFonts w:asciiTheme="majorHAnsi" w:hAnsiTheme="majorHAnsi"/>
          <w:sz w:val="20"/>
          <w:szCs w:val="20"/>
        </w:rPr>
        <w:t>a</w:t>
      </w:r>
      <w:r w:rsidR="000A65DC" w:rsidRPr="00707B68">
        <w:rPr>
          <w:rFonts w:asciiTheme="majorHAnsi" w:hAnsiTheme="majorHAnsi"/>
          <w:sz w:val="20"/>
          <w:szCs w:val="20"/>
        </w:rPr>
        <w:t xml:space="preserve"> un mes después de la masacre de </w:t>
      </w:r>
      <w:r w:rsidR="00032267" w:rsidRPr="00707B68">
        <w:rPr>
          <w:rFonts w:asciiTheme="majorHAnsi" w:hAnsiTheme="majorHAnsi"/>
          <w:sz w:val="20"/>
          <w:szCs w:val="20"/>
        </w:rPr>
        <w:t xml:space="preserve">1996 </w:t>
      </w:r>
      <w:r w:rsidR="000A65DC" w:rsidRPr="00707B68">
        <w:rPr>
          <w:rFonts w:asciiTheme="majorHAnsi" w:hAnsiTheme="majorHAnsi"/>
          <w:sz w:val="20"/>
          <w:szCs w:val="20"/>
        </w:rPr>
        <w:t>se realizó un a</w:t>
      </w:r>
      <w:r w:rsidR="00032267" w:rsidRPr="00707B68">
        <w:rPr>
          <w:rFonts w:asciiTheme="majorHAnsi" w:hAnsiTheme="majorHAnsi"/>
          <w:sz w:val="20"/>
          <w:szCs w:val="20"/>
        </w:rPr>
        <w:t>llanamiento</w:t>
      </w:r>
      <w:r w:rsidR="000A65DC" w:rsidRPr="00707B68">
        <w:rPr>
          <w:rFonts w:asciiTheme="majorHAnsi" w:hAnsiTheme="majorHAnsi"/>
          <w:sz w:val="20"/>
          <w:szCs w:val="20"/>
        </w:rPr>
        <w:t xml:space="preserve"> a la vivienda del señor Zapata bajo el entendido de que existía información que arrojaba que en dicha vivienda se escondía material explosivo de guerra. La parte peticionaria adjuntó el Oficio No. 0699 de la Unidad Seccional de la Fiscalía, </w:t>
      </w:r>
      <w:r w:rsidR="002D4103" w:rsidRPr="00707B68">
        <w:rPr>
          <w:rFonts w:asciiTheme="majorHAnsi" w:hAnsiTheme="majorHAnsi"/>
          <w:sz w:val="20"/>
          <w:szCs w:val="20"/>
        </w:rPr>
        <w:t>que supuestamente ordena el allanamiento. S</w:t>
      </w:r>
      <w:r w:rsidR="000A65DC" w:rsidRPr="00707B68">
        <w:rPr>
          <w:rFonts w:asciiTheme="majorHAnsi" w:hAnsiTheme="majorHAnsi"/>
          <w:sz w:val="20"/>
          <w:szCs w:val="20"/>
        </w:rPr>
        <w:t xml:space="preserve">in embargo, el mismo es ilegible, </w:t>
      </w:r>
      <w:r w:rsidR="00CA20C9" w:rsidRPr="00707B68">
        <w:rPr>
          <w:rFonts w:asciiTheme="majorHAnsi" w:hAnsiTheme="majorHAnsi"/>
          <w:sz w:val="20"/>
          <w:szCs w:val="20"/>
        </w:rPr>
        <w:t>de un fragmento</w:t>
      </w:r>
      <w:r w:rsidR="000A65DC" w:rsidRPr="00707B68">
        <w:rPr>
          <w:rFonts w:asciiTheme="majorHAnsi" w:hAnsiTheme="majorHAnsi"/>
          <w:sz w:val="20"/>
          <w:szCs w:val="20"/>
        </w:rPr>
        <w:t xml:space="preserve"> s</w:t>
      </w:r>
      <w:r w:rsidR="002D4103" w:rsidRPr="00707B68">
        <w:rPr>
          <w:rFonts w:asciiTheme="majorHAnsi" w:hAnsiTheme="majorHAnsi"/>
          <w:sz w:val="20"/>
          <w:szCs w:val="20"/>
        </w:rPr>
        <w:t>e distingue que un</w:t>
      </w:r>
      <w:r w:rsidR="000A65DC" w:rsidRPr="00707B68">
        <w:rPr>
          <w:rFonts w:asciiTheme="majorHAnsi" w:hAnsiTheme="majorHAnsi"/>
          <w:sz w:val="20"/>
          <w:szCs w:val="20"/>
        </w:rPr>
        <w:t xml:space="preserve"> declarante </w:t>
      </w:r>
      <w:r w:rsidR="002D4103" w:rsidRPr="00707B68">
        <w:rPr>
          <w:rFonts w:asciiTheme="majorHAnsi" w:hAnsiTheme="majorHAnsi"/>
          <w:sz w:val="20"/>
          <w:szCs w:val="20"/>
        </w:rPr>
        <w:t>señaló “que las fuentes que han dado la información son de estricta reserva del Ejército Nacional de Colombia” y agregó que “son fidedignas y de un alto porcentaje de credibilidad (…) obtenido esta secuencia y datos por labores de inteligencia”</w:t>
      </w:r>
      <w:r w:rsidR="002D4103" w:rsidRPr="00707B68">
        <w:rPr>
          <w:rStyle w:val="FootnoteReference"/>
          <w:rFonts w:asciiTheme="majorHAnsi" w:hAnsiTheme="majorHAnsi"/>
          <w:sz w:val="20"/>
          <w:szCs w:val="20"/>
        </w:rPr>
        <w:footnoteReference w:id="37"/>
      </w:r>
      <w:r w:rsidR="002D4103" w:rsidRPr="00707B68">
        <w:rPr>
          <w:rFonts w:asciiTheme="majorHAnsi" w:hAnsiTheme="majorHAnsi"/>
          <w:sz w:val="20"/>
          <w:szCs w:val="20"/>
        </w:rPr>
        <w:t xml:space="preserve">. </w:t>
      </w:r>
      <w:r w:rsidR="00CA20C9" w:rsidRPr="00707B68">
        <w:rPr>
          <w:rFonts w:asciiTheme="majorHAnsi" w:hAnsiTheme="majorHAnsi"/>
          <w:sz w:val="20"/>
          <w:szCs w:val="20"/>
        </w:rPr>
        <w:t xml:space="preserve"> Según un pronunciamiento del CODEHSEL el allanamiento se realizó a las 3:00 horas de la madrugada bajo la presencia del Fiscal 118 acompañado de un “pelotón del </w:t>
      </w:r>
      <w:r w:rsidR="004F36EA" w:rsidRPr="00707B68">
        <w:rPr>
          <w:rFonts w:asciiTheme="majorHAnsi" w:hAnsiTheme="majorHAnsi"/>
          <w:sz w:val="20"/>
          <w:szCs w:val="20"/>
        </w:rPr>
        <w:t xml:space="preserve">ejército” e </w:t>
      </w:r>
      <w:r w:rsidR="00CA20C9" w:rsidRPr="00707B68">
        <w:rPr>
          <w:rFonts w:asciiTheme="majorHAnsi" w:hAnsiTheme="majorHAnsi"/>
          <w:sz w:val="20"/>
          <w:szCs w:val="20"/>
        </w:rPr>
        <w:t>“i</w:t>
      </w:r>
      <w:r w:rsidR="004F36EA" w:rsidRPr="00707B68">
        <w:rPr>
          <w:rFonts w:asciiTheme="majorHAnsi" w:hAnsiTheme="majorHAnsi"/>
          <w:sz w:val="20"/>
          <w:szCs w:val="20"/>
        </w:rPr>
        <w:t>mpidiendo [a los ocupantes del inmueble</w:t>
      </w:r>
      <w:r w:rsidR="00CA20C9" w:rsidRPr="00707B68">
        <w:rPr>
          <w:rFonts w:asciiTheme="majorHAnsi" w:hAnsiTheme="majorHAnsi"/>
          <w:sz w:val="20"/>
          <w:szCs w:val="20"/>
        </w:rPr>
        <w:t>] que los</w:t>
      </w:r>
      <w:r w:rsidR="004F36EA" w:rsidRPr="00707B68">
        <w:rPr>
          <w:rFonts w:asciiTheme="majorHAnsi" w:hAnsiTheme="majorHAnsi"/>
          <w:sz w:val="20"/>
          <w:szCs w:val="20"/>
        </w:rPr>
        <w:t xml:space="preserve"> acompañaran durante la revisión de la vivienda”. De acuerdo con el mencionado pronunciamiento existen testigos que observaron que los soldados llevaban “bolsas en mano” y luego fueron informados de que se encontró material explosivo en el recinto allanado deteniendo al sobrino de la presunta víctima, Adrián Alberto Zapata</w:t>
      </w:r>
      <w:r w:rsidR="00FE670C" w:rsidRPr="00707B68">
        <w:rPr>
          <w:rFonts w:asciiTheme="majorHAnsi" w:hAnsiTheme="majorHAnsi"/>
          <w:sz w:val="20"/>
          <w:szCs w:val="20"/>
        </w:rPr>
        <w:t xml:space="preserve"> (en adelante “Adrián Alberto”)</w:t>
      </w:r>
      <w:r w:rsidR="004F36EA" w:rsidRPr="00707B68">
        <w:rPr>
          <w:rStyle w:val="FootnoteReference"/>
          <w:rFonts w:asciiTheme="majorHAnsi" w:hAnsiTheme="majorHAnsi"/>
          <w:sz w:val="20"/>
          <w:szCs w:val="20"/>
        </w:rPr>
        <w:footnoteReference w:id="38"/>
      </w:r>
      <w:r w:rsidR="004F36EA" w:rsidRPr="00707B68">
        <w:rPr>
          <w:rFonts w:asciiTheme="majorHAnsi" w:hAnsiTheme="majorHAnsi"/>
          <w:sz w:val="20"/>
          <w:szCs w:val="20"/>
        </w:rPr>
        <w:t xml:space="preserve">. </w:t>
      </w:r>
    </w:p>
    <w:p w14:paraId="604B64AD" w14:textId="77777777" w:rsidR="004F36EA" w:rsidRPr="00707B68" w:rsidRDefault="004F36EA" w:rsidP="004B54E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jc w:val="both"/>
        <w:rPr>
          <w:rFonts w:asciiTheme="majorHAnsi" w:hAnsiTheme="majorHAnsi"/>
          <w:sz w:val="20"/>
          <w:szCs w:val="20"/>
        </w:rPr>
      </w:pPr>
    </w:p>
    <w:p w14:paraId="47623091" w14:textId="77777777" w:rsidR="0033242C" w:rsidRPr="00707B68" w:rsidRDefault="004F36EA" w:rsidP="004B54E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rPr>
      </w:pPr>
      <w:r w:rsidRPr="00707B68">
        <w:rPr>
          <w:rFonts w:asciiTheme="majorHAnsi" w:hAnsiTheme="majorHAnsi"/>
          <w:sz w:val="20"/>
          <w:szCs w:val="20"/>
        </w:rPr>
        <w:t xml:space="preserve">Según la Fiscalía seccional de Medellín, resultó “supremamente extraño” </w:t>
      </w:r>
      <w:r w:rsidR="00030460" w:rsidRPr="00707B68">
        <w:rPr>
          <w:rFonts w:asciiTheme="majorHAnsi" w:hAnsiTheme="majorHAnsi"/>
          <w:sz w:val="20"/>
          <w:szCs w:val="20"/>
        </w:rPr>
        <w:t xml:space="preserve">que </w:t>
      </w:r>
      <w:r w:rsidR="00C56437" w:rsidRPr="00707B68">
        <w:rPr>
          <w:rFonts w:asciiTheme="majorHAnsi" w:hAnsiTheme="majorHAnsi"/>
          <w:sz w:val="20"/>
          <w:szCs w:val="20"/>
        </w:rPr>
        <w:t>“</w:t>
      </w:r>
      <w:r w:rsidR="00030460" w:rsidRPr="00707B68">
        <w:rPr>
          <w:rFonts w:asciiTheme="majorHAnsi" w:hAnsiTheme="majorHAnsi"/>
          <w:sz w:val="20"/>
          <w:szCs w:val="20"/>
        </w:rPr>
        <w:t>el Batallón de Infantería de Bomboná con sede en Segovia (…) solicite a la Fiscalía Seccional de Puerto Berrío, bastante alejada de la sede, la realización de una diligencia de allanamiento”. Asimismo, dicha Fiscalía cuestionó la participación de efectivos militares</w:t>
      </w:r>
      <w:r w:rsidR="00C56437" w:rsidRPr="00707B68">
        <w:rPr>
          <w:rFonts w:asciiTheme="majorHAnsi" w:hAnsiTheme="majorHAnsi"/>
          <w:sz w:val="20"/>
          <w:szCs w:val="20"/>
        </w:rPr>
        <w:t xml:space="preserve"> en el allanamiento y </w:t>
      </w:r>
      <w:r w:rsidR="00030460" w:rsidRPr="00707B68">
        <w:rPr>
          <w:rFonts w:asciiTheme="majorHAnsi" w:hAnsiTheme="majorHAnsi"/>
          <w:sz w:val="20"/>
          <w:szCs w:val="20"/>
        </w:rPr>
        <w:t>el llenado de las act</w:t>
      </w:r>
      <w:r w:rsidR="00C56437" w:rsidRPr="00707B68">
        <w:rPr>
          <w:rFonts w:asciiTheme="majorHAnsi" w:hAnsiTheme="majorHAnsi"/>
          <w:sz w:val="20"/>
          <w:szCs w:val="20"/>
        </w:rPr>
        <w:t xml:space="preserve">as que tenían espacios en blanco, concluyendo </w:t>
      </w:r>
      <w:r w:rsidR="00030460" w:rsidRPr="00707B68">
        <w:rPr>
          <w:rFonts w:asciiTheme="majorHAnsi" w:hAnsiTheme="majorHAnsi"/>
          <w:sz w:val="20"/>
          <w:szCs w:val="20"/>
        </w:rPr>
        <w:t>que</w:t>
      </w:r>
      <w:r w:rsidR="00C56437" w:rsidRPr="00707B68">
        <w:rPr>
          <w:rFonts w:asciiTheme="majorHAnsi" w:hAnsiTheme="majorHAnsi"/>
          <w:sz w:val="20"/>
          <w:szCs w:val="20"/>
        </w:rPr>
        <w:t xml:space="preserve"> se trató de</w:t>
      </w:r>
      <w:r w:rsidR="00030460" w:rsidRPr="00707B68">
        <w:rPr>
          <w:rFonts w:asciiTheme="majorHAnsi" w:hAnsiTheme="majorHAnsi"/>
          <w:sz w:val="20"/>
          <w:szCs w:val="20"/>
        </w:rPr>
        <w:t xml:space="preserve"> un procedimiento irregular. Finalmente, la Fiscalía decidió abstenerse de imponer medidas de aseguramiento en contra de la presunta víctima y su sobrino, ordenando la libertad de este último</w:t>
      </w:r>
      <w:r w:rsidR="00FA4FE1" w:rsidRPr="00707B68">
        <w:rPr>
          <w:rStyle w:val="FootnoteReference"/>
          <w:rFonts w:asciiTheme="majorHAnsi" w:hAnsiTheme="majorHAnsi"/>
          <w:sz w:val="20"/>
          <w:szCs w:val="20"/>
        </w:rPr>
        <w:footnoteReference w:id="39"/>
      </w:r>
      <w:r w:rsidR="00030460" w:rsidRPr="00707B68">
        <w:rPr>
          <w:rFonts w:asciiTheme="majorHAnsi" w:hAnsiTheme="majorHAnsi"/>
          <w:sz w:val="20"/>
          <w:szCs w:val="20"/>
        </w:rPr>
        <w:t xml:space="preserve">. </w:t>
      </w:r>
    </w:p>
    <w:p w14:paraId="1CEDFDD9" w14:textId="77777777" w:rsidR="00AF35E8" w:rsidRPr="00707B68" w:rsidRDefault="00AF35E8" w:rsidP="004B54EB">
      <w:pPr>
        <w:tabs>
          <w:tab w:val="left" w:pos="360"/>
        </w:tabs>
        <w:rPr>
          <w:rFonts w:asciiTheme="majorHAnsi" w:hAnsiTheme="majorHAnsi"/>
          <w:sz w:val="20"/>
          <w:szCs w:val="20"/>
        </w:rPr>
      </w:pPr>
    </w:p>
    <w:p w14:paraId="71303922" w14:textId="77777777" w:rsidR="00236991" w:rsidRPr="00707B68" w:rsidRDefault="00FA4FE1" w:rsidP="004B54E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rPr>
      </w:pPr>
      <w:r w:rsidRPr="00707B68">
        <w:rPr>
          <w:rFonts w:asciiTheme="majorHAnsi" w:hAnsiTheme="majorHAnsi"/>
          <w:sz w:val="20"/>
          <w:szCs w:val="20"/>
        </w:rPr>
        <w:t xml:space="preserve">En relación con la investigación </w:t>
      </w:r>
      <w:r w:rsidR="00236991" w:rsidRPr="00707B68">
        <w:rPr>
          <w:rFonts w:asciiTheme="majorHAnsi" w:hAnsiTheme="majorHAnsi"/>
          <w:sz w:val="20"/>
          <w:szCs w:val="20"/>
        </w:rPr>
        <w:t>No. 21.</w:t>
      </w:r>
      <w:r w:rsidR="0033242C" w:rsidRPr="00707B68">
        <w:rPr>
          <w:rFonts w:asciiTheme="majorHAnsi" w:hAnsiTheme="majorHAnsi"/>
          <w:sz w:val="20"/>
          <w:szCs w:val="20"/>
        </w:rPr>
        <w:t>5</w:t>
      </w:r>
      <w:r w:rsidR="00236991" w:rsidRPr="00707B68">
        <w:rPr>
          <w:rFonts w:asciiTheme="majorHAnsi" w:hAnsiTheme="majorHAnsi"/>
          <w:sz w:val="20"/>
          <w:szCs w:val="20"/>
        </w:rPr>
        <w:t>7</w:t>
      </w:r>
      <w:r w:rsidR="0033242C" w:rsidRPr="00707B68">
        <w:rPr>
          <w:rFonts w:asciiTheme="majorHAnsi" w:hAnsiTheme="majorHAnsi"/>
          <w:sz w:val="20"/>
          <w:szCs w:val="20"/>
        </w:rPr>
        <w:t xml:space="preserve">8, </w:t>
      </w:r>
      <w:r w:rsidRPr="00707B68">
        <w:rPr>
          <w:rFonts w:asciiTheme="majorHAnsi" w:hAnsiTheme="majorHAnsi"/>
          <w:sz w:val="20"/>
          <w:szCs w:val="20"/>
        </w:rPr>
        <w:t xml:space="preserve">consta en el expediente una declaración reservada, de 25 de septiembre de 1996, en la que el testigo señaló que el señor Zapata “es el que ordena los atentados de la fuerza pública” y que, juntos con otros sindicados, “son los </w:t>
      </w:r>
      <w:r w:rsidR="00516980" w:rsidRPr="00707B68">
        <w:rPr>
          <w:rFonts w:asciiTheme="majorHAnsi" w:hAnsiTheme="majorHAnsi"/>
          <w:sz w:val="20"/>
          <w:szCs w:val="20"/>
        </w:rPr>
        <w:t>responsables</w:t>
      </w:r>
      <w:r w:rsidRPr="00707B68">
        <w:rPr>
          <w:rFonts w:asciiTheme="majorHAnsi" w:hAnsiTheme="majorHAnsi"/>
          <w:sz w:val="20"/>
          <w:szCs w:val="20"/>
        </w:rPr>
        <w:t xml:space="preserve"> de los PAROS ARMADOS”  en Segovia</w:t>
      </w:r>
      <w:r w:rsidRPr="00707B68">
        <w:rPr>
          <w:rStyle w:val="FootnoteReference"/>
          <w:rFonts w:asciiTheme="majorHAnsi" w:hAnsiTheme="majorHAnsi"/>
          <w:sz w:val="20"/>
          <w:szCs w:val="20"/>
        </w:rPr>
        <w:footnoteReference w:id="40"/>
      </w:r>
      <w:r w:rsidRPr="00707B68">
        <w:rPr>
          <w:rFonts w:asciiTheme="majorHAnsi" w:hAnsiTheme="majorHAnsi"/>
          <w:sz w:val="20"/>
          <w:szCs w:val="20"/>
        </w:rPr>
        <w:t xml:space="preserve">. </w:t>
      </w:r>
      <w:r w:rsidR="00C56437" w:rsidRPr="00707B68">
        <w:rPr>
          <w:rFonts w:asciiTheme="majorHAnsi" w:hAnsiTheme="majorHAnsi"/>
          <w:sz w:val="20"/>
          <w:szCs w:val="20"/>
        </w:rPr>
        <w:t>E</w:t>
      </w:r>
      <w:r w:rsidR="00231058" w:rsidRPr="00707B68">
        <w:rPr>
          <w:rFonts w:asciiTheme="majorHAnsi" w:hAnsiTheme="majorHAnsi"/>
          <w:sz w:val="20"/>
          <w:szCs w:val="20"/>
        </w:rPr>
        <w:t xml:space="preserve">n el marco de esta investigación </w:t>
      </w:r>
      <w:r w:rsidR="00236991" w:rsidRPr="00707B68">
        <w:rPr>
          <w:rFonts w:asciiTheme="majorHAnsi" w:hAnsiTheme="majorHAnsi"/>
          <w:sz w:val="20"/>
          <w:szCs w:val="20"/>
        </w:rPr>
        <w:t>el teléfono “274 59 20”, correspondiente al señor Zapata, fue interceptado desde el 3 de diciembre hasta el 26 de diciembre de 1996</w:t>
      </w:r>
      <w:r w:rsidR="00236991" w:rsidRPr="00707B68">
        <w:rPr>
          <w:rStyle w:val="FootnoteReference"/>
          <w:rFonts w:asciiTheme="majorHAnsi" w:hAnsiTheme="majorHAnsi"/>
          <w:sz w:val="20"/>
          <w:szCs w:val="20"/>
        </w:rPr>
        <w:footnoteReference w:id="41"/>
      </w:r>
      <w:r w:rsidR="00236991" w:rsidRPr="00707B68">
        <w:rPr>
          <w:rFonts w:asciiTheme="majorHAnsi" w:hAnsiTheme="majorHAnsi"/>
          <w:sz w:val="20"/>
          <w:szCs w:val="20"/>
        </w:rPr>
        <w:t xml:space="preserve">. La Comisión también observa que la Fiscalía Regional Delegada canceló esta investigación y </w:t>
      </w:r>
      <w:r w:rsidR="00492821" w:rsidRPr="00707B68">
        <w:rPr>
          <w:rFonts w:asciiTheme="majorHAnsi" w:hAnsiTheme="majorHAnsi"/>
          <w:sz w:val="20"/>
          <w:szCs w:val="20"/>
        </w:rPr>
        <w:t>la acumuló con la investigación No. 24.239</w:t>
      </w:r>
      <w:r w:rsidR="00492821" w:rsidRPr="00707B68">
        <w:rPr>
          <w:rStyle w:val="FootnoteReference"/>
          <w:rFonts w:asciiTheme="majorHAnsi" w:hAnsiTheme="majorHAnsi"/>
          <w:sz w:val="20"/>
          <w:szCs w:val="20"/>
        </w:rPr>
        <w:footnoteReference w:id="42"/>
      </w:r>
      <w:r w:rsidR="00492821" w:rsidRPr="00707B68">
        <w:rPr>
          <w:rFonts w:asciiTheme="majorHAnsi" w:hAnsiTheme="majorHAnsi"/>
          <w:sz w:val="20"/>
          <w:szCs w:val="20"/>
        </w:rPr>
        <w:t xml:space="preserve">. </w:t>
      </w:r>
    </w:p>
    <w:p w14:paraId="620CBC3E" w14:textId="77777777" w:rsidR="00236991" w:rsidRPr="00707B68" w:rsidRDefault="00236991" w:rsidP="004B54EB">
      <w:pPr>
        <w:tabs>
          <w:tab w:val="left" w:pos="360"/>
        </w:tabs>
        <w:rPr>
          <w:rFonts w:asciiTheme="majorHAnsi" w:hAnsiTheme="majorHAnsi"/>
          <w:sz w:val="20"/>
          <w:szCs w:val="20"/>
        </w:rPr>
      </w:pPr>
    </w:p>
    <w:p w14:paraId="1D9E9022" w14:textId="77777777" w:rsidR="00451251" w:rsidRPr="00707B68" w:rsidRDefault="009C2922" w:rsidP="004B54E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rPr>
      </w:pPr>
      <w:r w:rsidRPr="00707B68">
        <w:rPr>
          <w:rFonts w:asciiTheme="majorHAnsi" w:hAnsiTheme="majorHAnsi"/>
          <w:sz w:val="20"/>
          <w:szCs w:val="20"/>
        </w:rPr>
        <w:t xml:space="preserve">Respecto de la investigación </w:t>
      </w:r>
      <w:r w:rsidR="00BB5AAB" w:rsidRPr="00707B68">
        <w:rPr>
          <w:rFonts w:asciiTheme="majorHAnsi" w:hAnsiTheme="majorHAnsi"/>
          <w:sz w:val="20"/>
          <w:szCs w:val="20"/>
        </w:rPr>
        <w:t xml:space="preserve">No. 20.702 la Comisión observa que la Fiscalía Regional 079 Delegada DAS ordenó la apertura de una investigación previa contra un grupo de personas entre las que se encontraba también la presunta víctima por su supuesta participación en “la multiplicidad de delitos”. </w:t>
      </w:r>
      <w:r w:rsidR="00C56437" w:rsidRPr="00707B68">
        <w:rPr>
          <w:rFonts w:asciiTheme="majorHAnsi" w:hAnsiTheme="majorHAnsi"/>
          <w:sz w:val="20"/>
          <w:szCs w:val="20"/>
        </w:rPr>
        <w:t xml:space="preserve">Esta averiguación </w:t>
      </w:r>
      <w:r w:rsidR="006D4328" w:rsidRPr="00707B68">
        <w:rPr>
          <w:rFonts w:asciiTheme="majorHAnsi" w:hAnsiTheme="majorHAnsi"/>
          <w:sz w:val="20"/>
          <w:szCs w:val="20"/>
        </w:rPr>
        <w:t xml:space="preserve">previa inició a raíz de la denuncia </w:t>
      </w:r>
      <w:r w:rsidR="00E22DB4" w:rsidRPr="00707B68">
        <w:rPr>
          <w:rFonts w:asciiTheme="majorHAnsi" w:hAnsiTheme="majorHAnsi"/>
          <w:sz w:val="20"/>
          <w:szCs w:val="20"/>
        </w:rPr>
        <w:t>del señor Juan Carlos Gutiérrez, quien sindicó al señor Zapata de haber cometido el delito “concierto para delinquir con fines terroristas, rebelión, extorsión”. Asimismo, señaló que el señor Zapata fue “promotor” de paros, que estaba vinculado a redes de extorsi</w:t>
      </w:r>
      <w:r w:rsidR="00451251" w:rsidRPr="00707B68">
        <w:rPr>
          <w:rFonts w:asciiTheme="majorHAnsi" w:hAnsiTheme="majorHAnsi"/>
          <w:sz w:val="20"/>
          <w:szCs w:val="20"/>
        </w:rPr>
        <w:t>ón y que conocía de esta información pues su fallecido hermano “pertenecía a la subversión” le proporcionó los detalles</w:t>
      </w:r>
      <w:r w:rsidR="00451251" w:rsidRPr="00707B68">
        <w:rPr>
          <w:rStyle w:val="FootnoteReference"/>
          <w:rFonts w:asciiTheme="majorHAnsi" w:hAnsiTheme="majorHAnsi"/>
          <w:sz w:val="20"/>
          <w:szCs w:val="20"/>
        </w:rPr>
        <w:footnoteReference w:id="43"/>
      </w:r>
      <w:r w:rsidR="00451251" w:rsidRPr="00707B68">
        <w:rPr>
          <w:rFonts w:asciiTheme="majorHAnsi" w:hAnsiTheme="majorHAnsi"/>
          <w:sz w:val="20"/>
          <w:szCs w:val="20"/>
        </w:rPr>
        <w:t xml:space="preserve">. Después de la práctica de algunas diligencias, el proceso de acumuló con la investigación No. 24.239. </w:t>
      </w:r>
    </w:p>
    <w:p w14:paraId="670C3A9F" w14:textId="77777777" w:rsidR="00451251" w:rsidRPr="00707B68" w:rsidRDefault="00451251" w:rsidP="004B54EB">
      <w:pPr>
        <w:tabs>
          <w:tab w:val="left" w:pos="360"/>
        </w:tabs>
        <w:rPr>
          <w:rFonts w:asciiTheme="majorHAnsi" w:hAnsiTheme="majorHAnsi"/>
          <w:sz w:val="20"/>
          <w:szCs w:val="20"/>
        </w:rPr>
      </w:pPr>
    </w:p>
    <w:p w14:paraId="5B31D088" w14:textId="77777777" w:rsidR="005F69CB" w:rsidRPr="00707B68" w:rsidRDefault="00451251" w:rsidP="004B54E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rPr>
      </w:pPr>
      <w:r w:rsidRPr="00707B68">
        <w:rPr>
          <w:rFonts w:asciiTheme="majorHAnsi" w:hAnsiTheme="majorHAnsi"/>
          <w:sz w:val="20"/>
          <w:szCs w:val="20"/>
        </w:rPr>
        <w:t>Finalmente, en relación con la investigación No. 24.239</w:t>
      </w:r>
      <w:r w:rsidR="008B30D0" w:rsidRPr="00707B68">
        <w:rPr>
          <w:rFonts w:asciiTheme="majorHAnsi" w:hAnsiTheme="majorHAnsi"/>
          <w:sz w:val="20"/>
          <w:szCs w:val="20"/>
        </w:rPr>
        <w:t>, l</w:t>
      </w:r>
      <w:r w:rsidR="00BF397C" w:rsidRPr="00707B68">
        <w:rPr>
          <w:rFonts w:asciiTheme="majorHAnsi" w:hAnsiTheme="majorHAnsi"/>
          <w:sz w:val="20"/>
          <w:szCs w:val="20"/>
        </w:rPr>
        <w:t xml:space="preserve">a CIDH encuentra que el 22 de agosto de 1997 el comandante del Batallón de Inteligencia No. 6, Teniente Coronel Jorge Luis Mejía Rosas, solicitó al Fiscal Regional Delegado – Cuarta Brigada que reciba la declaración de testigos que “poseen conocimiento y están </w:t>
      </w:r>
      <w:r w:rsidR="00B35475" w:rsidRPr="00707B68">
        <w:rPr>
          <w:rFonts w:asciiTheme="majorHAnsi" w:hAnsiTheme="majorHAnsi"/>
          <w:sz w:val="20"/>
          <w:szCs w:val="20"/>
        </w:rPr>
        <w:t xml:space="preserve">en </w:t>
      </w:r>
      <w:r w:rsidR="00BF397C" w:rsidRPr="00707B68">
        <w:rPr>
          <w:rFonts w:asciiTheme="majorHAnsi" w:hAnsiTheme="majorHAnsi"/>
          <w:sz w:val="20"/>
          <w:szCs w:val="20"/>
        </w:rPr>
        <w:t>condiciones de precisar múltiples acciones delictivas en las cuales aparece como sindicado” el señor</w:t>
      </w:r>
      <w:r w:rsidR="00CA49DF" w:rsidRPr="00707B68">
        <w:rPr>
          <w:rFonts w:asciiTheme="majorHAnsi" w:hAnsiTheme="majorHAnsi"/>
          <w:sz w:val="20"/>
          <w:szCs w:val="20"/>
        </w:rPr>
        <w:t xml:space="preserve"> </w:t>
      </w:r>
      <w:r w:rsidR="00BF397C" w:rsidRPr="00707B68">
        <w:rPr>
          <w:rFonts w:asciiTheme="majorHAnsi" w:hAnsiTheme="majorHAnsi"/>
          <w:sz w:val="20"/>
          <w:szCs w:val="20"/>
        </w:rPr>
        <w:t>Zapata</w:t>
      </w:r>
      <w:r w:rsidR="00BF397C" w:rsidRPr="00707B68">
        <w:rPr>
          <w:rStyle w:val="FootnoteReference"/>
          <w:rFonts w:asciiTheme="majorHAnsi" w:hAnsiTheme="majorHAnsi"/>
          <w:sz w:val="20"/>
          <w:szCs w:val="20"/>
        </w:rPr>
        <w:footnoteReference w:id="44"/>
      </w:r>
      <w:r w:rsidR="00BF397C" w:rsidRPr="00707B68">
        <w:rPr>
          <w:rFonts w:asciiTheme="majorHAnsi" w:hAnsiTheme="majorHAnsi"/>
          <w:sz w:val="20"/>
          <w:szCs w:val="20"/>
        </w:rPr>
        <w:t xml:space="preserve">. </w:t>
      </w:r>
      <w:r w:rsidR="00C96567" w:rsidRPr="00707B68">
        <w:rPr>
          <w:rFonts w:asciiTheme="majorHAnsi" w:hAnsiTheme="majorHAnsi"/>
          <w:sz w:val="20"/>
          <w:szCs w:val="20"/>
        </w:rPr>
        <w:t xml:space="preserve"> A raíz de dichas declaraciones, la Fiscalía Regional Cuarta Brigada resolvió abrir una investigación preliminar </w:t>
      </w:r>
      <w:r w:rsidR="00133103" w:rsidRPr="00707B68">
        <w:rPr>
          <w:rFonts w:asciiTheme="majorHAnsi" w:hAnsiTheme="majorHAnsi"/>
          <w:sz w:val="20"/>
          <w:szCs w:val="20"/>
        </w:rPr>
        <w:t>bajo la imputación de “posible violación a la SEGURIDAD DEL ESTADO Y CIUDADANA”</w:t>
      </w:r>
      <w:r w:rsidR="008B30D0" w:rsidRPr="00707B68">
        <w:rPr>
          <w:rStyle w:val="FootnoteReference"/>
          <w:rFonts w:asciiTheme="majorHAnsi" w:hAnsiTheme="majorHAnsi"/>
          <w:sz w:val="20"/>
          <w:szCs w:val="20"/>
        </w:rPr>
        <w:footnoteReference w:id="45"/>
      </w:r>
      <w:r w:rsidR="008B30D0" w:rsidRPr="00707B68">
        <w:rPr>
          <w:rFonts w:asciiTheme="majorHAnsi" w:hAnsiTheme="majorHAnsi"/>
          <w:sz w:val="20"/>
          <w:szCs w:val="20"/>
        </w:rPr>
        <w:t xml:space="preserve">. </w:t>
      </w:r>
    </w:p>
    <w:p w14:paraId="2119EB64" w14:textId="77777777" w:rsidR="005F69CB" w:rsidRPr="00707B68" w:rsidRDefault="005F69CB" w:rsidP="004B54EB">
      <w:pPr>
        <w:tabs>
          <w:tab w:val="left" w:pos="360"/>
        </w:tabs>
        <w:ind w:left="360"/>
        <w:rPr>
          <w:rFonts w:asciiTheme="majorHAnsi" w:hAnsiTheme="majorHAnsi"/>
          <w:sz w:val="20"/>
          <w:szCs w:val="20"/>
        </w:rPr>
      </w:pPr>
    </w:p>
    <w:p w14:paraId="7A682A13" w14:textId="0B3CD1D8" w:rsidR="005F69CB" w:rsidRPr="00707B68" w:rsidRDefault="005F69CB" w:rsidP="004B54E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rPr>
      </w:pPr>
      <w:r w:rsidRPr="00707B68">
        <w:rPr>
          <w:rFonts w:asciiTheme="majorHAnsi" w:hAnsiTheme="majorHAnsi"/>
          <w:sz w:val="20"/>
          <w:szCs w:val="20"/>
        </w:rPr>
        <w:lastRenderedPageBreak/>
        <w:t xml:space="preserve">Asimismo, consta en el expediente también el </w:t>
      </w:r>
      <w:r w:rsidR="00CD3C45" w:rsidRPr="00707B68">
        <w:rPr>
          <w:rFonts w:asciiTheme="majorHAnsi" w:hAnsiTheme="majorHAnsi"/>
          <w:sz w:val="20"/>
          <w:szCs w:val="20"/>
        </w:rPr>
        <w:t>I</w:t>
      </w:r>
      <w:r w:rsidRPr="00707B68">
        <w:rPr>
          <w:rFonts w:asciiTheme="majorHAnsi" w:hAnsiTheme="majorHAnsi"/>
          <w:sz w:val="20"/>
          <w:szCs w:val="20"/>
        </w:rPr>
        <w:t xml:space="preserve">nforme de Inteligencia del Batallón de Inteligencia No. 6 </w:t>
      </w:r>
      <w:r w:rsidR="00CD3C45" w:rsidRPr="00707B68">
        <w:rPr>
          <w:rFonts w:asciiTheme="majorHAnsi" w:hAnsiTheme="majorHAnsi"/>
          <w:sz w:val="20"/>
          <w:szCs w:val="20"/>
        </w:rPr>
        <w:t xml:space="preserve">de 13 de agosto de 1997 (en adelante “el Informe de Inteligencia”) </w:t>
      </w:r>
      <w:r w:rsidRPr="00707B68">
        <w:rPr>
          <w:rFonts w:asciiTheme="majorHAnsi" w:hAnsiTheme="majorHAnsi"/>
          <w:sz w:val="20"/>
          <w:szCs w:val="20"/>
        </w:rPr>
        <w:t xml:space="preserve">el que consigna lo siguiente: </w:t>
      </w:r>
    </w:p>
    <w:p w14:paraId="09231770" w14:textId="77777777" w:rsidR="005F69CB" w:rsidRPr="00707B68" w:rsidRDefault="005F69CB" w:rsidP="0097725A">
      <w:pPr>
        <w:ind w:left="360"/>
        <w:rPr>
          <w:rFonts w:asciiTheme="majorHAnsi" w:hAnsiTheme="majorHAnsi"/>
          <w:sz w:val="20"/>
          <w:szCs w:val="20"/>
        </w:rPr>
      </w:pPr>
    </w:p>
    <w:p w14:paraId="2246D2F8" w14:textId="7D7678A4" w:rsidR="005F69CB" w:rsidRPr="00707B68" w:rsidRDefault="005F69CB" w:rsidP="00C92A38">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360" w:right="360"/>
        <w:jc w:val="both"/>
        <w:rPr>
          <w:rFonts w:asciiTheme="majorHAnsi" w:hAnsiTheme="majorHAnsi"/>
          <w:sz w:val="18"/>
          <w:szCs w:val="20"/>
        </w:rPr>
      </w:pPr>
      <w:r w:rsidRPr="00707B68">
        <w:rPr>
          <w:rFonts w:asciiTheme="majorHAnsi" w:hAnsiTheme="majorHAnsi"/>
          <w:sz w:val="18"/>
          <w:szCs w:val="20"/>
        </w:rPr>
        <w:t>Esta Unidad T</w:t>
      </w:r>
      <w:r w:rsidR="00D85551" w:rsidRPr="00707B68">
        <w:rPr>
          <w:rFonts w:asciiTheme="majorHAnsi" w:hAnsiTheme="majorHAnsi"/>
          <w:sz w:val="18"/>
          <w:szCs w:val="20"/>
        </w:rPr>
        <w:t xml:space="preserve">áctica en un esfuerzo por desenmascarar al citado </w:t>
      </w:r>
      <w:r w:rsidR="00C92A38" w:rsidRPr="00707B68">
        <w:rPr>
          <w:rFonts w:asciiTheme="majorHAnsi" w:hAnsiTheme="majorHAnsi"/>
          <w:sz w:val="18"/>
          <w:szCs w:val="20"/>
        </w:rPr>
        <w:t>elemento</w:t>
      </w:r>
      <w:r w:rsidR="00D85551" w:rsidRPr="00707B68">
        <w:rPr>
          <w:rFonts w:asciiTheme="majorHAnsi" w:hAnsiTheme="majorHAnsi"/>
          <w:sz w:val="18"/>
          <w:szCs w:val="20"/>
        </w:rPr>
        <w:t xml:space="preserve"> extremista que utiliza como </w:t>
      </w:r>
      <w:r w:rsidR="00C92A38" w:rsidRPr="00707B68">
        <w:rPr>
          <w:rFonts w:asciiTheme="majorHAnsi" w:hAnsiTheme="majorHAnsi"/>
          <w:sz w:val="18"/>
          <w:szCs w:val="20"/>
        </w:rPr>
        <w:t>fachada</w:t>
      </w:r>
      <w:r w:rsidR="00D85551" w:rsidRPr="00707B68">
        <w:rPr>
          <w:rFonts w:asciiTheme="majorHAnsi" w:hAnsiTheme="majorHAnsi"/>
          <w:sz w:val="18"/>
          <w:szCs w:val="20"/>
        </w:rPr>
        <w:t xml:space="preserve"> ser líder cívico y promotor de los derechos humanos, ha logrado conocer a través de actividades propias de su especialidad que el particular JESÚS RAMIRO ZAPATA HOYOS (sic) ha participado en las siguientes actividades delictivas; así: a. integrante de las autodenominadas milicias 11 de Noviembre y Andrés Posada del cartel del Eln, las cuales delinquen en las localidades de Segovia y Remedios (Ant): donde se desempeña como ideólogo y jefe de la parte política; b. principal enlace de la cuadrilla José Antonio Galán del Eln (...) c. sostiene estrechos vínculos con (…) personas señaladas como integrantes del Eln (…) d. El 28 de Mayo de 1994 participó en el secuestro con fines terroristas del Registrado Municipal (…)</w:t>
      </w:r>
      <w:r w:rsidR="00C92A38" w:rsidRPr="00707B68">
        <w:rPr>
          <w:rFonts w:asciiTheme="majorHAnsi" w:hAnsiTheme="majorHAnsi"/>
          <w:sz w:val="18"/>
          <w:szCs w:val="20"/>
        </w:rPr>
        <w:t xml:space="preserve"> cabe anotar que el testigo una vez en calidad de informante reconoció hacer servido (…) [al señor Zapata] para engañar al registrador (…) h. se sabe que Jesús Ramiro Zapata Hoyos junto con el particular WILLIAM GARCÍA CARTAGENA venían ofreciendo la suma de tres millones de pesos ($ 3’000.000) a quien declarara acomodadamente en contra del señor Capitán del Ejército Nacional (…) a fin de vincularlo con los hechos sucedidos el día 22-ABR-96 en Segovia, lo cual le permitiría demandar al Estado por una millonaria suma</w:t>
      </w:r>
      <w:r w:rsidR="00CD3C45" w:rsidRPr="00707B68">
        <w:rPr>
          <w:rFonts w:asciiTheme="majorHAnsi" w:hAnsiTheme="majorHAnsi"/>
          <w:sz w:val="18"/>
          <w:szCs w:val="20"/>
        </w:rPr>
        <w:t xml:space="preserve"> (…)</w:t>
      </w:r>
      <w:r w:rsidR="00B52811" w:rsidRPr="00707B68">
        <w:rPr>
          <w:rFonts w:asciiTheme="majorHAnsi" w:hAnsiTheme="majorHAnsi"/>
          <w:sz w:val="18"/>
          <w:szCs w:val="20"/>
        </w:rPr>
        <w:t>.</w:t>
      </w:r>
    </w:p>
    <w:p w14:paraId="12183F2D" w14:textId="77777777" w:rsidR="00CD3C45" w:rsidRPr="00707B68" w:rsidRDefault="00CD3C45" w:rsidP="00C92A38">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360" w:right="360"/>
        <w:jc w:val="both"/>
        <w:rPr>
          <w:rFonts w:asciiTheme="majorHAnsi" w:hAnsiTheme="majorHAnsi"/>
          <w:sz w:val="20"/>
          <w:szCs w:val="20"/>
        </w:rPr>
      </w:pPr>
    </w:p>
    <w:p w14:paraId="473C54F9" w14:textId="7D8E5796" w:rsidR="0033242C" w:rsidRPr="00707B68" w:rsidRDefault="00CD3C45" w:rsidP="004B54E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rPr>
      </w:pPr>
      <w:r w:rsidRPr="00707B68">
        <w:rPr>
          <w:rFonts w:asciiTheme="majorHAnsi" w:hAnsiTheme="majorHAnsi"/>
          <w:sz w:val="20"/>
          <w:szCs w:val="20"/>
        </w:rPr>
        <w:t xml:space="preserve">Asimismo, la CIDH observa que el Informe de Inteligencia también contiene una sección sobre el </w:t>
      </w:r>
      <w:r w:rsidR="004D34B8" w:rsidRPr="00707B68">
        <w:rPr>
          <w:rFonts w:asciiTheme="majorHAnsi" w:hAnsiTheme="majorHAnsi"/>
          <w:sz w:val="20"/>
          <w:szCs w:val="20"/>
        </w:rPr>
        <w:t>CODEHSEL</w:t>
      </w:r>
      <w:r w:rsidRPr="00707B68">
        <w:rPr>
          <w:rFonts w:asciiTheme="majorHAnsi" w:hAnsiTheme="majorHAnsi"/>
          <w:sz w:val="20"/>
          <w:szCs w:val="20"/>
        </w:rPr>
        <w:t xml:space="preserve">, señalando que diversas agencias de seguridad del Estado “coinciden en </w:t>
      </w:r>
      <w:r w:rsidR="00282228" w:rsidRPr="00707B68">
        <w:rPr>
          <w:rFonts w:asciiTheme="majorHAnsi" w:hAnsiTheme="majorHAnsi"/>
          <w:sz w:val="20"/>
          <w:szCs w:val="20"/>
        </w:rPr>
        <w:t>afirmar</w:t>
      </w:r>
      <w:r w:rsidRPr="00707B68">
        <w:rPr>
          <w:rFonts w:asciiTheme="majorHAnsi" w:hAnsiTheme="majorHAnsi"/>
          <w:sz w:val="20"/>
          <w:szCs w:val="20"/>
        </w:rPr>
        <w:t xml:space="preserve"> que la real naturaleza del Colectivo (…) es ser un organismo de fachada de la subversión, especialmente del autodenominado Eln, pues su miembros en repetidas oportunidades han sido sorprendidos por las autoridades</w:t>
      </w:r>
      <w:r w:rsidR="00282228" w:rsidRPr="00707B68">
        <w:rPr>
          <w:rFonts w:asciiTheme="majorHAnsi" w:hAnsiTheme="majorHAnsi"/>
          <w:sz w:val="20"/>
          <w:szCs w:val="20"/>
        </w:rPr>
        <w:t xml:space="preserve"> en posesión de elemento materi</w:t>
      </w:r>
      <w:r w:rsidR="00B52811" w:rsidRPr="00707B68">
        <w:rPr>
          <w:rFonts w:asciiTheme="majorHAnsi" w:hAnsiTheme="majorHAnsi"/>
          <w:sz w:val="20"/>
          <w:szCs w:val="20"/>
        </w:rPr>
        <w:t>al de delito (…)”. Dicho informe</w:t>
      </w:r>
      <w:r w:rsidR="00282228" w:rsidRPr="00707B68">
        <w:rPr>
          <w:rFonts w:asciiTheme="majorHAnsi" w:hAnsiTheme="majorHAnsi"/>
          <w:sz w:val="20"/>
          <w:szCs w:val="20"/>
        </w:rPr>
        <w:t xml:space="preserve"> también describió un modus operandi del Colectivo, cuyos integrantes “en repetidas ocasiones han efectuado montajes a la fuerza pública sobre ‘supuestas violaciones de derechos humanos’ con el ánimo de entablar cuantiosas demandas al Estado”</w:t>
      </w:r>
      <w:r w:rsidR="00282228" w:rsidRPr="00707B68">
        <w:rPr>
          <w:rStyle w:val="FootnoteReference"/>
          <w:rFonts w:asciiTheme="majorHAnsi" w:hAnsiTheme="majorHAnsi"/>
          <w:sz w:val="20"/>
          <w:szCs w:val="20"/>
        </w:rPr>
        <w:footnoteReference w:id="46"/>
      </w:r>
      <w:r w:rsidR="00282228" w:rsidRPr="00707B68">
        <w:rPr>
          <w:rFonts w:asciiTheme="majorHAnsi" w:hAnsiTheme="majorHAnsi"/>
          <w:sz w:val="20"/>
          <w:szCs w:val="20"/>
        </w:rPr>
        <w:t xml:space="preserve">. </w:t>
      </w:r>
    </w:p>
    <w:p w14:paraId="7094B410" w14:textId="77777777" w:rsidR="00463D76" w:rsidRPr="00707B68" w:rsidRDefault="00463D76" w:rsidP="004B54E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sz w:val="20"/>
          <w:szCs w:val="20"/>
        </w:rPr>
      </w:pPr>
    </w:p>
    <w:p w14:paraId="13CCC153" w14:textId="77777777" w:rsidR="00C30C14" w:rsidRPr="00707B68" w:rsidRDefault="00463D76" w:rsidP="004B54E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rPr>
      </w:pPr>
      <w:r w:rsidRPr="00707B68">
        <w:rPr>
          <w:rFonts w:asciiTheme="majorHAnsi" w:hAnsiTheme="majorHAnsi"/>
          <w:sz w:val="20"/>
          <w:szCs w:val="20"/>
        </w:rPr>
        <w:t>La CIDH observa que el proceso fue acumulado con otra investigación (Radicado No. 317)</w:t>
      </w:r>
      <w:r w:rsidRPr="00707B68">
        <w:rPr>
          <w:rStyle w:val="FootnoteReference"/>
          <w:rFonts w:asciiTheme="majorHAnsi" w:hAnsiTheme="majorHAnsi"/>
          <w:sz w:val="20"/>
          <w:szCs w:val="20"/>
        </w:rPr>
        <w:footnoteReference w:id="47"/>
      </w:r>
      <w:r w:rsidR="00B92D29" w:rsidRPr="00707B68">
        <w:rPr>
          <w:rFonts w:asciiTheme="majorHAnsi" w:hAnsiTheme="majorHAnsi"/>
          <w:sz w:val="20"/>
          <w:szCs w:val="20"/>
        </w:rPr>
        <w:t>, sin embargo, el 6 de febrero de 1998 la Fiscal</w:t>
      </w:r>
      <w:r w:rsidR="00A8664D" w:rsidRPr="00707B68">
        <w:rPr>
          <w:rFonts w:asciiTheme="majorHAnsi" w:hAnsiTheme="majorHAnsi"/>
          <w:sz w:val="20"/>
          <w:szCs w:val="20"/>
        </w:rPr>
        <w:t>ía emitió auto inhibitorio por el delito de rebelión</w:t>
      </w:r>
      <w:r w:rsidRPr="00707B68">
        <w:rPr>
          <w:rStyle w:val="FootnoteReference"/>
          <w:rFonts w:asciiTheme="majorHAnsi" w:hAnsiTheme="majorHAnsi"/>
          <w:sz w:val="20"/>
          <w:szCs w:val="20"/>
        </w:rPr>
        <w:footnoteReference w:id="48"/>
      </w:r>
      <w:r w:rsidR="007B233E" w:rsidRPr="00707B68">
        <w:rPr>
          <w:rFonts w:asciiTheme="majorHAnsi" w:hAnsiTheme="majorHAnsi"/>
          <w:sz w:val="20"/>
          <w:szCs w:val="20"/>
        </w:rPr>
        <w:t>.</w:t>
      </w:r>
      <w:r w:rsidR="00A8664D" w:rsidRPr="00707B68">
        <w:rPr>
          <w:rFonts w:asciiTheme="majorHAnsi" w:hAnsiTheme="majorHAnsi"/>
          <w:sz w:val="20"/>
          <w:szCs w:val="20"/>
        </w:rPr>
        <w:t xml:space="preserve"> Si bien</w:t>
      </w:r>
      <w:r w:rsidR="00CA1EA3" w:rsidRPr="00707B68">
        <w:rPr>
          <w:rFonts w:asciiTheme="majorHAnsi" w:hAnsiTheme="majorHAnsi"/>
          <w:sz w:val="20"/>
          <w:szCs w:val="20"/>
        </w:rPr>
        <w:t xml:space="preserve"> la inhibitoria no forma parte del expediente, la CIDH </w:t>
      </w:r>
      <w:r w:rsidR="00C56437" w:rsidRPr="00707B68">
        <w:rPr>
          <w:rFonts w:asciiTheme="majorHAnsi" w:hAnsiTheme="majorHAnsi"/>
          <w:sz w:val="20"/>
          <w:szCs w:val="20"/>
        </w:rPr>
        <w:t xml:space="preserve">encuentra que, el 27 de octubre de 1997, </w:t>
      </w:r>
      <w:r w:rsidR="00CA1EA3" w:rsidRPr="00707B68">
        <w:rPr>
          <w:rFonts w:asciiTheme="majorHAnsi" w:hAnsiTheme="majorHAnsi"/>
          <w:sz w:val="20"/>
          <w:szCs w:val="20"/>
        </w:rPr>
        <w:t xml:space="preserve">la Fiscalía Regional Delegada </w:t>
      </w:r>
      <w:r w:rsidR="00C30C14" w:rsidRPr="00707B68">
        <w:rPr>
          <w:rFonts w:asciiTheme="majorHAnsi" w:hAnsiTheme="majorHAnsi"/>
          <w:sz w:val="20"/>
          <w:szCs w:val="20"/>
        </w:rPr>
        <w:t xml:space="preserve">habría encontrado que </w:t>
      </w:r>
      <w:r w:rsidR="00CA1EA3" w:rsidRPr="00707B68">
        <w:rPr>
          <w:rFonts w:asciiTheme="majorHAnsi" w:hAnsiTheme="majorHAnsi"/>
          <w:sz w:val="20"/>
          <w:szCs w:val="20"/>
        </w:rPr>
        <w:t>uno de los testigos que sindicó al señor Zapata</w:t>
      </w:r>
      <w:r w:rsidR="00C30C14" w:rsidRPr="00707B68">
        <w:rPr>
          <w:rFonts w:asciiTheme="majorHAnsi" w:hAnsiTheme="majorHAnsi"/>
          <w:sz w:val="20"/>
          <w:szCs w:val="20"/>
        </w:rPr>
        <w:t xml:space="preserve"> en los actos bajo investigación podría haber faltado a la verdad y orden</w:t>
      </w:r>
      <w:r w:rsidR="005C4512" w:rsidRPr="00707B68">
        <w:rPr>
          <w:rFonts w:asciiTheme="majorHAnsi" w:hAnsiTheme="majorHAnsi"/>
          <w:sz w:val="20"/>
          <w:szCs w:val="20"/>
        </w:rPr>
        <w:t>ó el inicio de un proceso por “falsa denuncia”</w:t>
      </w:r>
      <w:r w:rsidR="005C4512" w:rsidRPr="00707B68">
        <w:rPr>
          <w:rStyle w:val="FootnoteReference"/>
          <w:rFonts w:asciiTheme="majorHAnsi" w:hAnsiTheme="majorHAnsi"/>
          <w:sz w:val="20"/>
          <w:szCs w:val="20"/>
        </w:rPr>
        <w:footnoteReference w:id="49"/>
      </w:r>
      <w:r w:rsidR="005C4512" w:rsidRPr="00707B68">
        <w:rPr>
          <w:rFonts w:asciiTheme="majorHAnsi" w:hAnsiTheme="majorHAnsi"/>
          <w:sz w:val="20"/>
          <w:szCs w:val="20"/>
        </w:rPr>
        <w:t xml:space="preserve">. </w:t>
      </w:r>
    </w:p>
    <w:p w14:paraId="31215C34" w14:textId="77777777" w:rsidR="00C30C14" w:rsidRPr="00707B68" w:rsidRDefault="00C30C14" w:rsidP="004B54E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sz w:val="20"/>
          <w:szCs w:val="20"/>
        </w:rPr>
      </w:pPr>
    </w:p>
    <w:p w14:paraId="67DB0291" w14:textId="77777777" w:rsidR="00451251" w:rsidRPr="00707B68" w:rsidRDefault="0033242C" w:rsidP="004B54EB">
      <w:pPr>
        <w:pStyle w:val="Heading3"/>
        <w:numPr>
          <w:ilvl w:val="1"/>
          <w:numId w:val="58"/>
        </w:numPr>
        <w:tabs>
          <w:tab w:val="left" w:pos="360"/>
        </w:tabs>
        <w:ind w:left="0" w:firstLine="0"/>
      </w:pPr>
      <w:r w:rsidRPr="00707B68">
        <w:t xml:space="preserve">Sobre la ocurrencia </w:t>
      </w:r>
      <w:r w:rsidR="005C4512" w:rsidRPr="00707B68">
        <w:t>amenazas y hostigamientos contra el señor Zapata</w:t>
      </w:r>
    </w:p>
    <w:p w14:paraId="57FE600C" w14:textId="77777777" w:rsidR="005C4512" w:rsidRPr="00707B68" w:rsidRDefault="005C4512" w:rsidP="004B54EB">
      <w:pPr>
        <w:tabs>
          <w:tab w:val="left" w:pos="360"/>
        </w:tabs>
        <w:rPr>
          <w:rFonts w:asciiTheme="majorHAnsi" w:hAnsiTheme="majorHAnsi"/>
          <w:sz w:val="20"/>
        </w:rPr>
      </w:pPr>
    </w:p>
    <w:p w14:paraId="54B7915D" w14:textId="77777777" w:rsidR="005C4512" w:rsidRPr="00707B68" w:rsidRDefault="005C4512" w:rsidP="004B54E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La parte peticionaria relató que el 17 de julio de 1996 el señor Zapata fue detenido sin orden de captura y se le inició un procedimiento por falsificaci</w:t>
      </w:r>
      <w:r w:rsidR="00A01B78" w:rsidRPr="00707B68">
        <w:rPr>
          <w:rFonts w:asciiTheme="majorHAnsi" w:hAnsiTheme="majorHAnsi"/>
          <w:color w:val="000000" w:themeColor="text1"/>
          <w:sz w:val="20"/>
          <w:szCs w:val="20"/>
          <w:lang w:val="es-VE"/>
        </w:rPr>
        <w:t>ón de documentos bajo el único argumento de que su fotografía no era fiel a la imagen real</w:t>
      </w:r>
      <w:r w:rsidR="00A01B78" w:rsidRPr="00707B68">
        <w:rPr>
          <w:rStyle w:val="FootnoteReference"/>
          <w:rFonts w:asciiTheme="majorHAnsi" w:hAnsiTheme="majorHAnsi"/>
          <w:color w:val="000000" w:themeColor="text1"/>
          <w:sz w:val="20"/>
          <w:szCs w:val="20"/>
          <w:lang w:val="es-VE"/>
        </w:rPr>
        <w:footnoteReference w:id="50"/>
      </w:r>
      <w:r w:rsidR="00A01B78" w:rsidRPr="00707B68">
        <w:rPr>
          <w:rFonts w:asciiTheme="majorHAnsi" w:hAnsiTheme="majorHAnsi"/>
          <w:color w:val="000000" w:themeColor="text1"/>
          <w:sz w:val="20"/>
          <w:szCs w:val="20"/>
          <w:lang w:val="es-VE"/>
        </w:rPr>
        <w:t xml:space="preserve">. La CIDH </w:t>
      </w:r>
      <w:r w:rsidR="00354165" w:rsidRPr="00707B68">
        <w:rPr>
          <w:rFonts w:asciiTheme="majorHAnsi" w:hAnsiTheme="majorHAnsi"/>
          <w:color w:val="000000" w:themeColor="text1"/>
          <w:sz w:val="20"/>
          <w:szCs w:val="20"/>
          <w:lang w:val="es-VE"/>
        </w:rPr>
        <w:t xml:space="preserve">ya dejó constancia del referido episodio en el presente informe. </w:t>
      </w:r>
    </w:p>
    <w:p w14:paraId="215070EF" w14:textId="77777777" w:rsidR="005C4512" w:rsidRPr="00707B68" w:rsidRDefault="005C4512" w:rsidP="004B54E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color w:val="000000" w:themeColor="text1"/>
          <w:sz w:val="20"/>
          <w:szCs w:val="20"/>
          <w:lang w:val="es-VE"/>
        </w:rPr>
      </w:pPr>
    </w:p>
    <w:p w14:paraId="260933A1" w14:textId="77777777" w:rsidR="00E5189D" w:rsidRPr="00707B68" w:rsidRDefault="00077DA8" w:rsidP="004B54E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La</w:t>
      </w:r>
      <w:r w:rsidR="00354165" w:rsidRPr="00707B68">
        <w:rPr>
          <w:rFonts w:asciiTheme="majorHAnsi" w:hAnsiTheme="majorHAnsi"/>
          <w:color w:val="000000" w:themeColor="text1"/>
          <w:sz w:val="20"/>
          <w:szCs w:val="20"/>
          <w:lang w:val="es-VE"/>
        </w:rPr>
        <w:t xml:space="preserve"> parte peticionaria señaló que al día siguiente </w:t>
      </w:r>
      <w:r w:rsidR="00384E25" w:rsidRPr="00707B68">
        <w:rPr>
          <w:rFonts w:asciiTheme="majorHAnsi" w:hAnsiTheme="majorHAnsi"/>
          <w:color w:val="000000" w:themeColor="text1"/>
          <w:sz w:val="20"/>
          <w:szCs w:val="20"/>
          <w:lang w:val="es-VE"/>
        </w:rPr>
        <w:t>de lo ocurrido</w:t>
      </w:r>
      <w:r w:rsidR="00EB5201" w:rsidRPr="00707B68">
        <w:rPr>
          <w:rFonts w:asciiTheme="majorHAnsi" w:hAnsiTheme="majorHAnsi"/>
          <w:color w:val="000000" w:themeColor="text1"/>
          <w:sz w:val="20"/>
          <w:szCs w:val="20"/>
          <w:lang w:val="es-VE"/>
        </w:rPr>
        <w:t xml:space="preserve">, en la vía pública, </w:t>
      </w:r>
      <w:r w:rsidR="00384E25" w:rsidRPr="00707B68">
        <w:rPr>
          <w:rFonts w:asciiTheme="majorHAnsi" w:hAnsiTheme="majorHAnsi"/>
          <w:color w:val="000000" w:themeColor="text1"/>
          <w:sz w:val="20"/>
          <w:szCs w:val="20"/>
          <w:lang w:val="es-VE"/>
        </w:rPr>
        <w:t>una mujer que se identificó como Fiscal Local 245 de Medellín indicó a</w:t>
      </w:r>
      <w:r w:rsidR="00354165" w:rsidRPr="00707B68">
        <w:rPr>
          <w:rFonts w:asciiTheme="majorHAnsi" w:hAnsiTheme="majorHAnsi"/>
          <w:color w:val="000000" w:themeColor="text1"/>
          <w:sz w:val="20"/>
          <w:szCs w:val="20"/>
          <w:lang w:val="es-VE"/>
        </w:rPr>
        <w:t xml:space="preserve">l señor Zapata </w:t>
      </w:r>
      <w:r w:rsidR="00384E25" w:rsidRPr="00707B68">
        <w:rPr>
          <w:rFonts w:asciiTheme="majorHAnsi" w:hAnsiTheme="majorHAnsi"/>
          <w:color w:val="000000" w:themeColor="text1"/>
          <w:sz w:val="20"/>
          <w:szCs w:val="20"/>
          <w:lang w:val="es-VE"/>
        </w:rPr>
        <w:t>que volvía a ser detenido, dado que era considerado un sujeto peligroso. El señor Zapata estuvo 5 horas baj</w:t>
      </w:r>
      <w:r w:rsidR="00E5189D" w:rsidRPr="00707B68">
        <w:rPr>
          <w:rFonts w:asciiTheme="majorHAnsi" w:hAnsiTheme="majorHAnsi"/>
          <w:color w:val="000000" w:themeColor="text1"/>
          <w:sz w:val="20"/>
          <w:szCs w:val="20"/>
          <w:lang w:val="es-VE"/>
        </w:rPr>
        <w:t>o custodia en dicha oportunidad según indica una denuncia pública de un grupo de organizaciones de derechos humanos</w:t>
      </w:r>
      <w:r w:rsidR="00E5189D" w:rsidRPr="00707B68">
        <w:rPr>
          <w:rStyle w:val="FootnoteReference"/>
          <w:rFonts w:asciiTheme="majorHAnsi" w:hAnsiTheme="majorHAnsi"/>
          <w:color w:val="000000" w:themeColor="text1"/>
          <w:sz w:val="20"/>
          <w:szCs w:val="20"/>
          <w:lang w:val="es-VE"/>
        </w:rPr>
        <w:footnoteReference w:id="51"/>
      </w:r>
      <w:r w:rsidR="00E5189D" w:rsidRPr="00707B68">
        <w:rPr>
          <w:rFonts w:asciiTheme="majorHAnsi" w:hAnsiTheme="majorHAnsi"/>
          <w:color w:val="000000" w:themeColor="text1"/>
          <w:sz w:val="20"/>
          <w:szCs w:val="20"/>
          <w:lang w:val="es-VE"/>
        </w:rPr>
        <w:t>.</w:t>
      </w:r>
    </w:p>
    <w:p w14:paraId="4A0E60CF" w14:textId="77777777" w:rsidR="00FC3BF3" w:rsidRPr="00707B68" w:rsidRDefault="00FC3BF3" w:rsidP="00E86463"/>
    <w:p w14:paraId="24A4BD51" w14:textId="44277520" w:rsidR="00451251" w:rsidRPr="00707B68" w:rsidRDefault="00EB5201" w:rsidP="004B54E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A</w:t>
      </w:r>
      <w:r w:rsidR="00FE11C9" w:rsidRPr="00707B68">
        <w:rPr>
          <w:rFonts w:asciiTheme="majorHAnsi" w:hAnsiTheme="majorHAnsi"/>
          <w:color w:val="000000" w:themeColor="text1"/>
          <w:sz w:val="20"/>
          <w:szCs w:val="20"/>
          <w:lang w:val="es-VE"/>
        </w:rPr>
        <w:t>dicionalmente</w:t>
      </w:r>
      <w:r w:rsidRPr="00707B68">
        <w:rPr>
          <w:rFonts w:asciiTheme="majorHAnsi" w:hAnsiTheme="majorHAnsi"/>
          <w:color w:val="000000" w:themeColor="text1"/>
          <w:sz w:val="20"/>
          <w:szCs w:val="20"/>
          <w:lang w:val="es-VE"/>
        </w:rPr>
        <w:t xml:space="preserve">, </w:t>
      </w:r>
      <w:r w:rsidR="00077DA8" w:rsidRPr="00707B68">
        <w:rPr>
          <w:rFonts w:asciiTheme="majorHAnsi" w:hAnsiTheme="majorHAnsi"/>
          <w:color w:val="000000" w:themeColor="text1"/>
          <w:sz w:val="20"/>
          <w:szCs w:val="20"/>
          <w:lang w:val="es-VE"/>
        </w:rPr>
        <w:t>según</w:t>
      </w:r>
      <w:r w:rsidRPr="00707B68">
        <w:rPr>
          <w:rFonts w:asciiTheme="majorHAnsi" w:hAnsiTheme="majorHAnsi"/>
          <w:color w:val="000000" w:themeColor="text1"/>
          <w:sz w:val="20"/>
          <w:szCs w:val="20"/>
          <w:lang w:val="es-VE"/>
        </w:rPr>
        <w:t xml:space="preserve"> la denuncia penal que formuló el señor Zapata </w:t>
      </w:r>
      <w:r w:rsidR="00F914EE" w:rsidRPr="00707B68">
        <w:rPr>
          <w:rFonts w:asciiTheme="majorHAnsi" w:hAnsiTheme="majorHAnsi"/>
          <w:color w:val="000000" w:themeColor="text1"/>
          <w:sz w:val="20"/>
          <w:szCs w:val="20"/>
          <w:lang w:val="es-VE"/>
        </w:rPr>
        <w:t xml:space="preserve">el 5 marzo de 1997 </w:t>
      </w:r>
      <w:r w:rsidR="00077DA8" w:rsidRPr="00707B68">
        <w:rPr>
          <w:rFonts w:asciiTheme="majorHAnsi" w:hAnsiTheme="majorHAnsi"/>
          <w:color w:val="000000" w:themeColor="text1"/>
          <w:sz w:val="20"/>
          <w:szCs w:val="20"/>
          <w:lang w:val="es-VE"/>
        </w:rPr>
        <w:t xml:space="preserve">detectó la </w:t>
      </w:r>
      <w:r w:rsidR="00F914EE" w:rsidRPr="00707B68">
        <w:rPr>
          <w:rFonts w:asciiTheme="majorHAnsi" w:hAnsiTheme="majorHAnsi"/>
          <w:color w:val="000000" w:themeColor="text1"/>
          <w:sz w:val="20"/>
          <w:szCs w:val="20"/>
          <w:lang w:val="es-VE"/>
        </w:rPr>
        <w:t xml:space="preserve">presencia de personas sospechosas y armadas </w:t>
      </w:r>
      <w:r w:rsidR="0005696C" w:rsidRPr="00707B68">
        <w:rPr>
          <w:rFonts w:asciiTheme="majorHAnsi" w:hAnsiTheme="majorHAnsi"/>
          <w:color w:val="000000" w:themeColor="text1"/>
          <w:sz w:val="20"/>
          <w:szCs w:val="20"/>
          <w:lang w:val="es-VE"/>
        </w:rPr>
        <w:t>en las inmediaciones del colegio en el que desempeñaba</w:t>
      </w:r>
      <w:r w:rsidR="00FB20A5" w:rsidRPr="00707B68">
        <w:rPr>
          <w:rFonts w:asciiTheme="majorHAnsi" w:hAnsiTheme="majorHAnsi"/>
          <w:color w:val="000000" w:themeColor="text1"/>
          <w:sz w:val="20"/>
          <w:szCs w:val="20"/>
          <w:lang w:val="es-VE"/>
        </w:rPr>
        <w:t xml:space="preserve"> </w:t>
      </w:r>
      <w:r w:rsidR="0005696C" w:rsidRPr="00707B68">
        <w:rPr>
          <w:rFonts w:asciiTheme="majorHAnsi" w:hAnsiTheme="majorHAnsi"/>
          <w:color w:val="000000" w:themeColor="text1"/>
          <w:sz w:val="20"/>
          <w:szCs w:val="20"/>
          <w:lang w:val="es-VE"/>
        </w:rPr>
        <w:t>sus funciones como docente</w:t>
      </w:r>
      <w:r w:rsidR="0005696C" w:rsidRPr="00707B68">
        <w:rPr>
          <w:rStyle w:val="FootnoteReference"/>
          <w:rFonts w:asciiTheme="majorHAnsi" w:hAnsiTheme="majorHAnsi"/>
          <w:color w:val="000000" w:themeColor="text1"/>
          <w:sz w:val="20"/>
          <w:szCs w:val="20"/>
          <w:lang w:val="es-VE"/>
        </w:rPr>
        <w:footnoteReference w:id="52"/>
      </w:r>
      <w:r w:rsidR="0005696C" w:rsidRPr="00707B68">
        <w:rPr>
          <w:rFonts w:asciiTheme="majorHAnsi" w:hAnsiTheme="majorHAnsi"/>
          <w:color w:val="000000" w:themeColor="text1"/>
          <w:sz w:val="20"/>
          <w:szCs w:val="20"/>
          <w:lang w:val="es-VE"/>
        </w:rPr>
        <w:t xml:space="preserve">. </w:t>
      </w:r>
      <w:r w:rsidR="005E1E1F" w:rsidRPr="00707B68">
        <w:rPr>
          <w:rFonts w:asciiTheme="majorHAnsi" w:hAnsiTheme="majorHAnsi"/>
          <w:color w:val="000000" w:themeColor="text1"/>
          <w:sz w:val="20"/>
          <w:szCs w:val="20"/>
          <w:lang w:val="es-VE"/>
        </w:rPr>
        <w:t xml:space="preserve">Asimismo, </w:t>
      </w:r>
      <w:r w:rsidR="00FE11C9" w:rsidRPr="00707B68">
        <w:rPr>
          <w:rFonts w:asciiTheme="majorHAnsi" w:hAnsiTheme="majorHAnsi"/>
          <w:color w:val="000000" w:themeColor="text1"/>
          <w:sz w:val="20"/>
          <w:szCs w:val="20"/>
          <w:lang w:val="es-VE"/>
        </w:rPr>
        <w:t xml:space="preserve">la parte peticionaria indicó que </w:t>
      </w:r>
      <w:r w:rsidR="00621C14" w:rsidRPr="00707B68">
        <w:rPr>
          <w:rFonts w:asciiTheme="majorHAnsi" w:hAnsiTheme="majorHAnsi"/>
          <w:color w:val="000000" w:themeColor="text1"/>
          <w:sz w:val="20"/>
          <w:szCs w:val="20"/>
          <w:lang w:val="es-VE"/>
        </w:rPr>
        <w:t xml:space="preserve">Adrián </w:t>
      </w:r>
      <w:r w:rsidR="00077DA8" w:rsidRPr="00707B68">
        <w:rPr>
          <w:rFonts w:asciiTheme="majorHAnsi" w:hAnsiTheme="majorHAnsi"/>
          <w:color w:val="000000" w:themeColor="text1"/>
          <w:sz w:val="20"/>
          <w:szCs w:val="20"/>
          <w:lang w:val="es-VE"/>
        </w:rPr>
        <w:t xml:space="preserve">Alberto </w:t>
      </w:r>
      <w:r w:rsidR="001C6B04" w:rsidRPr="00707B68">
        <w:rPr>
          <w:rFonts w:asciiTheme="majorHAnsi" w:hAnsiTheme="majorHAnsi"/>
          <w:color w:val="000000" w:themeColor="text1"/>
          <w:sz w:val="20"/>
          <w:szCs w:val="20"/>
          <w:lang w:val="es-VE"/>
        </w:rPr>
        <w:t xml:space="preserve">señaló que </w:t>
      </w:r>
      <w:r w:rsidR="00077DA8" w:rsidRPr="00707B68">
        <w:rPr>
          <w:rFonts w:asciiTheme="majorHAnsi" w:hAnsiTheme="majorHAnsi"/>
          <w:color w:val="000000" w:themeColor="text1"/>
          <w:sz w:val="20"/>
          <w:szCs w:val="20"/>
          <w:lang w:val="es-VE"/>
        </w:rPr>
        <w:t>su tío</w:t>
      </w:r>
      <w:r w:rsidR="001C6B04" w:rsidRPr="00707B68">
        <w:rPr>
          <w:rFonts w:asciiTheme="majorHAnsi" w:hAnsiTheme="majorHAnsi"/>
          <w:color w:val="000000" w:themeColor="text1"/>
          <w:sz w:val="20"/>
          <w:szCs w:val="20"/>
          <w:lang w:val="es-VE"/>
        </w:rPr>
        <w:t xml:space="preserve"> recibió varias llamadas amenazantes en el domicilio familiar</w:t>
      </w:r>
      <w:r w:rsidR="001C6B04" w:rsidRPr="00707B68">
        <w:rPr>
          <w:rStyle w:val="FootnoteReference"/>
          <w:rFonts w:asciiTheme="majorHAnsi" w:hAnsiTheme="majorHAnsi"/>
          <w:color w:val="000000" w:themeColor="text1"/>
          <w:sz w:val="20"/>
          <w:szCs w:val="20"/>
          <w:lang w:val="es-VE"/>
        </w:rPr>
        <w:footnoteReference w:id="53"/>
      </w:r>
      <w:r w:rsidR="00FE11C9" w:rsidRPr="00707B68">
        <w:rPr>
          <w:rFonts w:asciiTheme="majorHAnsi" w:hAnsiTheme="majorHAnsi"/>
          <w:color w:val="000000" w:themeColor="text1"/>
          <w:sz w:val="20"/>
          <w:szCs w:val="20"/>
          <w:lang w:val="es-VE"/>
        </w:rPr>
        <w:t xml:space="preserve">. </w:t>
      </w:r>
    </w:p>
    <w:p w14:paraId="5EFF9747" w14:textId="77777777" w:rsidR="00FC3BF3" w:rsidRPr="00707B68" w:rsidRDefault="00FC3BF3" w:rsidP="004B54EB">
      <w:pPr>
        <w:tabs>
          <w:tab w:val="left" w:pos="360"/>
        </w:tabs>
        <w:rPr>
          <w:rFonts w:asciiTheme="majorHAnsi" w:hAnsiTheme="majorHAnsi"/>
          <w:sz w:val="20"/>
          <w:lang w:val="es-VE"/>
        </w:rPr>
      </w:pPr>
    </w:p>
    <w:p w14:paraId="0E5B6A3E" w14:textId="77777777" w:rsidR="00FB20A5" w:rsidRPr="00707B68" w:rsidRDefault="00FB20A5" w:rsidP="004B54EB">
      <w:pPr>
        <w:pStyle w:val="Heading3"/>
        <w:numPr>
          <w:ilvl w:val="1"/>
          <w:numId w:val="58"/>
        </w:numPr>
        <w:tabs>
          <w:tab w:val="left" w:pos="360"/>
        </w:tabs>
        <w:ind w:left="0" w:firstLine="0"/>
      </w:pPr>
      <w:r w:rsidRPr="00707B68">
        <w:t>Sobre el desplazamiento a Medellín</w:t>
      </w:r>
    </w:p>
    <w:p w14:paraId="64079221" w14:textId="77777777" w:rsidR="00FB20A5" w:rsidRPr="00707B68" w:rsidRDefault="00FB20A5" w:rsidP="004B54EB">
      <w:pPr>
        <w:tabs>
          <w:tab w:val="left" w:pos="360"/>
        </w:tabs>
        <w:rPr>
          <w:rFonts w:asciiTheme="majorHAnsi" w:hAnsiTheme="majorHAnsi"/>
          <w:sz w:val="20"/>
        </w:rPr>
      </w:pPr>
    </w:p>
    <w:p w14:paraId="117DF261" w14:textId="77777777" w:rsidR="00FB20A5" w:rsidRPr="00707B68" w:rsidRDefault="00FB20A5" w:rsidP="004B54E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lang w:val="es-VE"/>
        </w:rPr>
      </w:pPr>
      <w:r w:rsidRPr="00707B68">
        <w:rPr>
          <w:rFonts w:asciiTheme="majorHAnsi" w:hAnsiTheme="majorHAnsi"/>
          <w:sz w:val="20"/>
          <w:szCs w:val="20"/>
          <w:lang w:val="es-VE"/>
        </w:rPr>
        <w:lastRenderedPageBreak/>
        <w:t xml:space="preserve">La Comisión observa que la </w:t>
      </w:r>
      <w:r w:rsidR="00AA1A38" w:rsidRPr="00707B68">
        <w:rPr>
          <w:rFonts w:asciiTheme="majorHAnsi" w:hAnsiTheme="majorHAnsi"/>
          <w:sz w:val="20"/>
          <w:szCs w:val="20"/>
          <w:lang w:val="es-VE"/>
        </w:rPr>
        <w:t>pre</w:t>
      </w:r>
      <w:r w:rsidRPr="00707B68">
        <w:rPr>
          <w:rFonts w:asciiTheme="majorHAnsi" w:hAnsiTheme="majorHAnsi"/>
          <w:sz w:val="20"/>
          <w:szCs w:val="20"/>
          <w:lang w:val="es-VE"/>
        </w:rPr>
        <w:t>citada denuncia pública también contiene información relativa al desplazamiento forzado del señor Zapata. Según su contenido, durante el segundo semestre de 1997 el señor Zapata</w:t>
      </w:r>
      <w:r w:rsidR="00A37AD9" w:rsidRPr="00707B68">
        <w:rPr>
          <w:rFonts w:asciiTheme="majorHAnsi" w:hAnsiTheme="majorHAnsi"/>
          <w:sz w:val="20"/>
          <w:szCs w:val="20"/>
          <w:lang w:val="es-VE"/>
        </w:rPr>
        <w:t xml:space="preserve"> fue acogido en el Comité Especial de Docentes Amenazados de la Secretaría de Educación de la Gobernación</w:t>
      </w:r>
      <w:r w:rsidRPr="00707B68">
        <w:rPr>
          <w:rStyle w:val="FootnoteReference"/>
          <w:rFonts w:asciiTheme="majorHAnsi" w:hAnsiTheme="majorHAnsi"/>
          <w:color w:val="000000" w:themeColor="text1"/>
          <w:sz w:val="20"/>
          <w:szCs w:val="20"/>
          <w:lang w:val="es-VE"/>
        </w:rPr>
        <w:footnoteReference w:id="54"/>
      </w:r>
      <w:r w:rsidR="000D0E46" w:rsidRPr="00707B68">
        <w:rPr>
          <w:rFonts w:asciiTheme="majorHAnsi" w:hAnsiTheme="majorHAnsi"/>
          <w:sz w:val="20"/>
          <w:szCs w:val="20"/>
          <w:lang w:val="es-VE"/>
        </w:rPr>
        <w:t xml:space="preserve">. Dicha denuncia pública consignó que el pago salarial del señor Zapata se suspendió </w:t>
      </w:r>
      <w:r w:rsidR="00621C14" w:rsidRPr="00707B68">
        <w:rPr>
          <w:rFonts w:asciiTheme="majorHAnsi" w:hAnsiTheme="majorHAnsi"/>
          <w:sz w:val="20"/>
          <w:szCs w:val="20"/>
          <w:lang w:val="es-VE"/>
        </w:rPr>
        <w:t>desde octubre de 1997, por lo que se vio en una grave situación económica que lo obligó regresar a Segovia para retomar su trabajo en alguna institución educativa</w:t>
      </w:r>
      <w:r w:rsidR="001C6B04" w:rsidRPr="00707B68">
        <w:rPr>
          <w:rFonts w:asciiTheme="majorHAnsi" w:hAnsiTheme="majorHAnsi"/>
          <w:sz w:val="20"/>
          <w:szCs w:val="20"/>
          <w:lang w:val="es-VE"/>
        </w:rPr>
        <w:t xml:space="preserve"> hacia el primer trimestre de 1998</w:t>
      </w:r>
      <w:r w:rsidRPr="00707B68">
        <w:rPr>
          <w:rFonts w:asciiTheme="majorHAnsi" w:hAnsiTheme="majorHAnsi"/>
          <w:sz w:val="20"/>
          <w:szCs w:val="20"/>
          <w:lang w:val="es-VE"/>
        </w:rPr>
        <w:t>.</w:t>
      </w:r>
      <w:r w:rsidR="000D0E46" w:rsidRPr="00707B68">
        <w:rPr>
          <w:rFonts w:asciiTheme="majorHAnsi" w:hAnsiTheme="majorHAnsi"/>
          <w:color w:val="000000" w:themeColor="text1"/>
          <w:sz w:val="20"/>
          <w:szCs w:val="20"/>
          <w:lang w:val="es-VE"/>
        </w:rPr>
        <w:t xml:space="preserve"> La Comisión nota la declaración del señor Adrián Alberto de 4 de mayo de 2000, quien señaló ant</w:t>
      </w:r>
      <w:r w:rsidR="00886EAF" w:rsidRPr="00707B68">
        <w:rPr>
          <w:rFonts w:asciiTheme="majorHAnsi" w:hAnsiTheme="majorHAnsi"/>
          <w:color w:val="000000" w:themeColor="text1"/>
          <w:sz w:val="20"/>
          <w:szCs w:val="20"/>
          <w:lang w:val="es-VE"/>
        </w:rPr>
        <w:t>e la Fiscalía que el señor Zapat</w:t>
      </w:r>
      <w:r w:rsidR="000D0E46" w:rsidRPr="00707B68">
        <w:rPr>
          <w:rFonts w:asciiTheme="majorHAnsi" w:hAnsiTheme="majorHAnsi"/>
          <w:color w:val="000000" w:themeColor="text1"/>
          <w:sz w:val="20"/>
          <w:szCs w:val="20"/>
          <w:lang w:val="es-VE"/>
        </w:rPr>
        <w:t>a “se tuvo que ir aproximadamente hace tres años (…) por miedo de ser asesinado y lo amenazaron”</w:t>
      </w:r>
      <w:r w:rsidR="000D0E46" w:rsidRPr="00707B68">
        <w:rPr>
          <w:rStyle w:val="FootnoteReference"/>
          <w:rFonts w:asciiTheme="majorHAnsi" w:hAnsiTheme="majorHAnsi"/>
          <w:color w:val="000000" w:themeColor="text1"/>
          <w:sz w:val="20"/>
          <w:szCs w:val="20"/>
          <w:lang w:val="es-VE"/>
        </w:rPr>
        <w:footnoteReference w:id="55"/>
      </w:r>
      <w:r w:rsidR="000D0E46" w:rsidRPr="00707B68">
        <w:rPr>
          <w:rFonts w:asciiTheme="majorHAnsi" w:hAnsiTheme="majorHAnsi"/>
          <w:color w:val="000000" w:themeColor="text1"/>
          <w:sz w:val="20"/>
          <w:szCs w:val="20"/>
          <w:lang w:val="es-VE"/>
        </w:rPr>
        <w:t xml:space="preserve">. </w:t>
      </w:r>
    </w:p>
    <w:p w14:paraId="27C8266B" w14:textId="77777777" w:rsidR="00621C14" w:rsidRPr="00707B68" w:rsidRDefault="00621C14" w:rsidP="004B54E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sz w:val="20"/>
          <w:szCs w:val="20"/>
          <w:lang w:val="es-VE"/>
        </w:rPr>
      </w:pPr>
    </w:p>
    <w:p w14:paraId="44768CAB" w14:textId="351F6271" w:rsidR="00561CB7" w:rsidRPr="00707B68" w:rsidRDefault="00621C14" w:rsidP="004B54E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lang w:val="es-VE"/>
        </w:rPr>
      </w:pPr>
      <w:r w:rsidRPr="00707B68">
        <w:rPr>
          <w:rFonts w:asciiTheme="majorHAnsi" w:hAnsiTheme="majorHAnsi"/>
          <w:sz w:val="20"/>
          <w:szCs w:val="20"/>
          <w:lang w:val="es-VE"/>
        </w:rPr>
        <w:t>La Comisión observa que, en el marco del trámite de la medida cautelar</w:t>
      </w:r>
      <w:r w:rsidR="001C6B04" w:rsidRPr="00707B68">
        <w:rPr>
          <w:rFonts w:asciiTheme="majorHAnsi" w:hAnsiTheme="majorHAnsi"/>
          <w:sz w:val="20"/>
          <w:szCs w:val="20"/>
          <w:lang w:val="es-VE"/>
        </w:rPr>
        <w:t xml:space="preserve"> otorgada por la CIDH y</w:t>
      </w:r>
      <w:r w:rsidR="008E34C5" w:rsidRPr="00707B68">
        <w:rPr>
          <w:rFonts w:asciiTheme="majorHAnsi" w:hAnsiTheme="majorHAnsi"/>
          <w:sz w:val="20"/>
          <w:szCs w:val="20"/>
          <w:lang w:val="es-VE"/>
        </w:rPr>
        <w:t>a</w:t>
      </w:r>
      <w:r w:rsidR="001C6B04" w:rsidRPr="00707B68">
        <w:rPr>
          <w:rFonts w:asciiTheme="majorHAnsi" w:hAnsiTheme="majorHAnsi"/>
          <w:sz w:val="20"/>
          <w:szCs w:val="20"/>
          <w:lang w:val="es-VE"/>
        </w:rPr>
        <w:t xml:space="preserve"> referida anteriormente</w:t>
      </w:r>
      <w:r w:rsidRPr="00707B68">
        <w:rPr>
          <w:rFonts w:asciiTheme="majorHAnsi" w:hAnsiTheme="majorHAnsi"/>
          <w:sz w:val="20"/>
          <w:szCs w:val="20"/>
          <w:lang w:val="es-VE"/>
        </w:rPr>
        <w:t>,</w:t>
      </w:r>
      <w:r w:rsidR="001C6B04" w:rsidRPr="00707B68">
        <w:rPr>
          <w:rFonts w:asciiTheme="majorHAnsi" w:hAnsiTheme="majorHAnsi"/>
          <w:sz w:val="20"/>
          <w:szCs w:val="20"/>
          <w:lang w:val="es-VE"/>
        </w:rPr>
        <w:t xml:space="preserve"> el Estado indicó que el señor fue contactado por diversas autoridades en el marco del despliegue de acciones para su protección. Sin embargo, este insisti</w:t>
      </w:r>
      <w:r w:rsidR="00F5648D" w:rsidRPr="00707B68">
        <w:rPr>
          <w:rFonts w:asciiTheme="majorHAnsi" w:hAnsiTheme="majorHAnsi"/>
          <w:sz w:val="20"/>
          <w:szCs w:val="20"/>
          <w:lang w:val="es-VE"/>
        </w:rPr>
        <w:t>ó en su regreso el 18 de marzo de 1998 bajo el entendido de que los riesgos habían cesado y solicitando que se le reincorpore a alguna plaza educativa</w:t>
      </w:r>
      <w:r w:rsidR="00F10692" w:rsidRPr="00707B68">
        <w:rPr>
          <w:rStyle w:val="FootnoteReference"/>
          <w:rFonts w:asciiTheme="majorHAnsi" w:hAnsiTheme="majorHAnsi"/>
          <w:sz w:val="20"/>
          <w:szCs w:val="20"/>
          <w:lang w:val="es-VE"/>
        </w:rPr>
        <w:footnoteReference w:id="56"/>
      </w:r>
      <w:r w:rsidR="00F5648D" w:rsidRPr="00707B68">
        <w:rPr>
          <w:rFonts w:asciiTheme="majorHAnsi" w:hAnsiTheme="majorHAnsi"/>
          <w:sz w:val="20"/>
          <w:szCs w:val="20"/>
          <w:lang w:val="es-VE"/>
        </w:rPr>
        <w:t xml:space="preserve">. </w:t>
      </w:r>
      <w:r w:rsidR="00561CB7" w:rsidRPr="00707B68">
        <w:rPr>
          <w:rFonts w:asciiTheme="majorHAnsi" w:hAnsiTheme="majorHAnsi"/>
          <w:sz w:val="20"/>
          <w:szCs w:val="20"/>
          <w:lang w:val="es-VE"/>
        </w:rPr>
        <w:t>Según lo indicado en la ayuda memoria de su reunión con las autoridades encargadas de su seguridad</w:t>
      </w:r>
      <w:r w:rsidR="009E3326" w:rsidRPr="00707B68">
        <w:rPr>
          <w:rFonts w:asciiTheme="majorHAnsi" w:hAnsiTheme="majorHAnsi"/>
          <w:sz w:val="20"/>
          <w:szCs w:val="20"/>
          <w:lang w:val="es-VE"/>
        </w:rPr>
        <w:t xml:space="preserve"> del Ministerio del Interior (en adelante “la Ayuda Memoria”)</w:t>
      </w:r>
      <w:r w:rsidR="00561CB7" w:rsidRPr="00707B68">
        <w:rPr>
          <w:rFonts w:asciiTheme="majorHAnsi" w:hAnsiTheme="majorHAnsi"/>
          <w:sz w:val="20"/>
          <w:szCs w:val="20"/>
          <w:lang w:val="es-VE"/>
        </w:rPr>
        <w:t xml:space="preserve">, los riesgos habían cesado por las siguientes razones: </w:t>
      </w:r>
    </w:p>
    <w:p w14:paraId="12FF65FF" w14:textId="77777777" w:rsidR="00561CB7" w:rsidRPr="00707B68" w:rsidRDefault="00561CB7" w:rsidP="0097725A">
      <w:pPr>
        <w:ind w:left="360"/>
        <w:rPr>
          <w:rFonts w:asciiTheme="majorHAnsi" w:hAnsiTheme="majorHAnsi"/>
          <w:sz w:val="20"/>
        </w:rPr>
      </w:pPr>
    </w:p>
    <w:p w14:paraId="6AF8B45C" w14:textId="101060F2" w:rsidR="00561CB7" w:rsidRPr="00707B68" w:rsidRDefault="00561CB7" w:rsidP="00561CB7">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360" w:right="360"/>
        <w:jc w:val="both"/>
        <w:rPr>
          <w:rFonts w:asciiTheme="majorHAnsi" w:hAnsiTheme="majorHAnsi"/>
          <w:sz w:val="18"/>
          <w:szCs w:val="20"/>
          <w:lang w:val="es-VE"/>
        </w:rPr>
      </w:pPr>
      <w:r w:rsidRPr="00707B68">
        <w:rPr>
          <w:rFonts w:asciiTheme="majorHAnsi" w:hAnsiTheme="majorHAnsi"/>
          <w:sz w:val="18"/>
          <w:szCs w:val="20"/>
          <w:lang w:val="es-VE"/>
        </w:rPr>
        <w:t>Hoy en día, explicó [el señor Zapata] existen garantías para regresar y continuar ejerciendo sus funciones como docente y defensor de derechos humanos: como primera medida el cambio de Gobernador del departamento constituye un elemento clave en la nueva dinámica de las relaciones entre gobierno regional y organizaciones no gubernamentales. Segundo, se llevaron a cabo cambios en las filas del Batallón Bamberá el cual tiene presencia en la zona donde está ubicado el municipio de Segovia y en su interior se creó una oficina de derechos. Tercero, existe nuevo personal de Policía Nacional. Cuarto, se produjo la captura de paramilitares que intimidaban a la población civil y la presencia guerrillera parecer haber disminuido en los últimos tiempos</w:t>
      </w:r>
      <w:r w:rsidR="006D231D" w:rsidRPr="00707B68">
        <w:rPr>
          <w:rStyle w:val="FootnoteReference"/>
          <w:rFonts w:asciiTheme="majorHAnsi" w:hAnsiTheme="majorHAnsi"/>
          <w:sz w:val="20"/>
          <w:szCs w:val="20"/>
          <w:lang w:val="es-VE"/>
        </w:rPr>
        <w:footnoteReference w:id="57"/>
      </w:r>
      <w:r w:rsidR="006D231D" w:rsidRPr="00707B68">
        <w:rPr>
          <w:rFonts w:asciiTheme="majorHAnsi" w:hAnsiTheme="majorHAnsi"/>
          <w:sz w:val="18"/>
          <w:szCs w:val="20"/>
          <w:lang w:val="es-VE"/>
        </w:rPr>
        <w:t>.</w:t>
      </w:r>
    </w:p>
    <w:p w14:paraId="622C2D9F" w14:textId="77777777" w:rsidR="00427175" w:rsidRPr="00707B68" w:rsidRDefault="00427175" w:rsidP="0042717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Theme="majorHAnsi" w:hAnsiTheme="majorHAnsi"/>
          <w:sz w:val="20"/>
          <w:szCs w:val="20"/>
          <w:lang w:val="es-VE"/>
        </w:rPr>
      </w:pPr>
    </w:p>
    <w:p w14:paraId="53DF24DF" w14:textId="77777777" w:rsidR="00EA315C" w:rsidRPr="00707B68" w:rsidRDefault="00EA315C" w:rsidP="004B54E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lang w:val="es-VE"/>
        </w:rPr>
      </w:pPr>
      <w:r w:rsidRPr="00707B68">
        <w:rPr>
          <w:rFonts w:asciiTheme="majorHAnsi" w:hAnsiTheme="majorHAnsi"/>
          <w:sz w:val="20"/>
          <w:szCs w:val="20"/>
          <w:lang w:val="es-VE"/>
        </w:rPr>
        <w:t>Sin perjuicio de lo an</w:t>
      </w:r>
      <w:r w:rsidR="006C017E" w:rsidRPr="00707B68">
        <w:rPr>
          <w:rFonts w:asciiTheme="majorHAnsi" w:hAnsiTheme="majorHAnsi"/>
          <w:sz w:val="20"/>
          <w:szCs w:val="20"/>
          <w:lang w:val="es-VE"/>
        </w:rPr>
        <w:t xml:space="preserve">terior, consta en el expediente que el señor Zapata </w:t>
      </w:r>
      <w:r w:rsidR="003F0031" w:rsidRPr="00707B68">
        <w:rPr>
          <w:rFonts w:asciiTheme="majorHAnsi" w:hAnsiTheme="majorHAnsi"/>
          <w:sz w:val="20"/>
          <w:szCs w:val="20"/>
          <w:lang w:val="es-VE"/>
        </w:rPr>
        <w:t>poco tiempo antes</w:t>
      </w:r>
      <w:r w:rsidR="006C017E" w:rsidRPr="00707B68">
        <w:rPr>
          <w:rFonts w:asciiTheme="majorHAnsi" w:hAnsiTheme="majorHAnsi"/>
          <w:sz w:val="20"/>
          <w:szCs w:val="20"/>
          <w:lang w:val="es-VE"/>
        </w:rPr>
        <w:t xml:space="preserve"> </w:t>
      </w:r>
      <w:r w:rsidR="0039498F" w:rsidRPr="00707B68">
        <w:rPr>
          <w:rFonts w:asciiTheme="majorHAnsi" w:hAnsiTheme="majorHAnsi"/>
          <w:sz w:val="20"/>
          <w:szCs w:val="20"/>
          <w:lang w:val="es-VE"/>
        </w:rPr>
        <w:t xml:space="preserve">declaró ante la FGN </w:t>
      </w:r>
      <w:r w:rsidR="006C017E" w:rsidRPr="00707B68">
        <w:rPr>
          <w:rFonts w:asciiTheme="majorHAnsi" w:hAnsiTheme="majorHAnsi"/>
          <w:sz w:val="20"/>
          <w:szCs w:val="20"/>
          <w:lang w:val="es-VE"/>
        </w:rPr>
        <w:t>que “en el momento actual soy desplazado y amenazado por la ola de violencia del paramilitarismo y las falsas sindicaciones de algunos miembros de la fuerza pública, agentes de Policía, Comandante de Policía, miembros del Ejército Nacional en diferentes rangos acantonados en el Batallón Bomboná se Segovia perteneciente de la Décima Cuarta Brigada”</w:t>
      </w:r>
      <w:r w:rsidR="0056314F" w:rsidRPr="00707B68">
        <w:rPr>
          <w:rFonts w:asciiTheme="majorHAnsi" w:hAnsiTheme="majorHAnsi"/>
          <w:sz w:val="20"/>
          <w:szCs w:val="20"/>
          <w:lang w:val="es-VE"/>
        </w:rPr>
        <w:t xml:space="preserve">. En la misma declaración se observa que el señor Zapata indicó que </w:t>
      </w:r>
      <w:r w:rsidR="007B69E8" w:rsidRPr="00707B68">
        <w:rPr>
          <w:rFonts w:asciiTheme="majorHAnsi" w:hAnsiTheme="majorHAnsi"/>
          <w:sz w:val="20"/>
          <w:szCs w:val="20"/>
          <w:lang w:val="es-VE"/>
        </w:rPr>
        <w:t xml:space="preserve">fue sancionado </w:t>
      </w:r>
      <w:r w:rsidR="00E6303B" w:rsidRPr="00707B68">
        <w:rPr>
          <w:rFonts w:asciiTheme="majorHAnsi" w:hAnsiTheme="majorHAnsi"/>
          <w:sz w:val="20"/>
          <w:szCs w:val="20"/>
          <w:lang w:val="es-VE"/>
        </w:rPr>
        <w:t xml:space="preserve">con una suspensión </w:t>
      </w:r>
      <w:r w:rsidR="007B69E8" w:rsidRPr="00707B68">
        <w:rPr>
          <w:rFonts w:asciiTheme="majorHAnsi" w:hAnsiTheme="majorHAnsi"/>
          <w:sz w:val="20"/>
          <w:szCs w:val="20"/>
          <w:lang w:val="es-VE"/>
        </w:rPr>
        <w:t xml:space="preserve">entre el 27 de octubre de 1997 y el 15 de febrero de 1998 dado que no aceptó las reubicaciones laborales que le asignaba el Comité de Amenazados de la Secretaría de Educación y Cultura de Antioquia </w:t>
      </w:r>
      <w:r w:rsidR="00E6303B" w:rsidRPr="00707B68">
        <w:rPr>
          <w:rFonts w:asciiTheme="majorHAnsi" w:hAnsiTheme="majorHAnsi"/>
          <w:sz w:val="20"/>
          <w:szCs w:val="20"/>
          <w:lang w:val="es-VE"/>
        </w:rPr>
        <w:t xml:space="preserve">las que </w:t>
      </w:r>
      <w:r w:rsidR="007B69E8" w:rsidRPr="00707B68">
        <w:rPr>
          <w:rFonts w:asciiTheme="majorHAnsi" w:hAnsiTheme="majorHAnsi"/>
          <w:sz w:val="20"/>
          <w:szCs w:val="20"/>
          <w:lang w:val="es-VE"/>
        </w:rPr>
        <w:t>“desconocían el peligro físico que [le] acompañaba el trabajo de derechos humanos”</w:t>
      </w:r>
      <w:r w:rsidR="005A7026" w:rsidRPr="00707B68">
        <w:rPr>
          <w:rFonts w:asciiTheme="majorHAnsi" w:hAnsiTheme="majorHAnsi"/>
          <w:sz w:val="20"/>
          <w:szCs w:val="20"/>
          <w:lang w:val="es-VE"/>
        </w:rPr>
        <w:t>. Según el señor Zapata las amenazas tenían como objetivo matarlo o encarcelarlo</w:t>
      </w:r>
      <w:r w:rsidR="007B69E8" w:rsidRPr="00707B68">
        <w:rPr>
          <w:rStyle w:val="FootnoteReference"/>
          <w:rFonts w:asciiTheme="majorHAnsi" w:hAnsiTheme="majorHAnsi"/>
          <w:sz w:val="20"/>
          <w:szCs w:val="20"/>
          <w:lang w:val="es-VE"/>
        </w:rPr>
        <w:footnoteReference w:id="58"/>
      </w:r>
      <w:r w:rsidR="007B69E8" w:rsidRPr="00707B68">
        <w:rPr>
          <w:rFonts w:asciiTheme="majorHAnsi" w:hAnsiTheme="majorHAnsi"/>
          <w:sz w:val="20"/>
          <w:szCs w:val="20"/>
          <w:lang w:val="es-VE"/>
        </w:rPr>
        <w:t xml:space="preserve">. </w:t>
      </w:r>
      <w:r w:rsidR="0056314F" w:rsidRPr="00707B68">
        <w:rPr>
          <w:rFonts w:asciiTheme="majorHAnsi" w:hAnsiTheme="majorHAnsi"/>
          <w:sz w:val="20"/>
          <w:szCs w:val="20"/>
          <w:lang w:val="es-VE"/>
        </w:rPr>
        <w:t xml:space="preserve"> </w:t>
      </w:r>
    </w:p>
    <w:p w14:paraId="32965F5F" w14:textId="77777777" w:rsidR="003B65A1" w:rsidRPr="00707B68" w:rsidRDefault="003B65A1" w:rsidP="004B54E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sz w:val="20"/>
          <w:szCs w:val="20"/>
          <w:lang w:val="es-VE"/>
        </w:rPr>
      </w:pPr>
    </w:p>
    <w:p w14:paraId="4DD5899E" w14:textId="39C19B08" w:rsidR="003B65A1" w:rsidRPr="00707B68" w:rsidRDefault="003B65A1" w:rsidP="004B54E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lang w:val="es-VE"/>
        </w:rPr>
      </w:pPr>
      <w:r w:rsidRPr="00707B68">
        <w:rPr>
          <w:rFonts w:asciiTheme="majorHAnsi" w:hAnsiTheme="majorHAnsi"/>
          <w:sz w:val="20"/>
          <w:szCs w:val="20"/>
          <w:lang w:val="es-VE"/>
        </w:rPr>
        <w:t>En línea con lo anterior, integra el expediente una carta aclaratoria, manuscrita, que el señor Zapata remiti</w:t>
      </w:r>
      <w:r w:rsidR="009E3326" w:rsidRPr="00707B68">
        <w:rPr>
          <w:rFonts w:asciiTheme="majorHAnsi" w:hAnsiTheme="majorHAnsi"/>
          <w:sz w:val="20"/>
          <w:szCs w:val="20"/>
          <w:lang w:val="es-VE"/>
        </w:rPr>
        <w:t xml:space="preserve">ó </w:t>
      </w:r>
      <w:r w:rsidR="00DA0D50" w:rsidRPr="00707B68">
        <w:rPr>
          <w:rFonts w:asciiTheme="majorHAnsi" w:hAnsiTheme="majorHAnsi"/>
          <w:sz w:val="20"/>
          <w:szCs w:val="20"/>
          <w:lang w:val="es-VE"/>
        </w:rPr>
        <w:t xml:space="preserve">el 28 de abril de 1998, </w:t>
      </w:r>
      <w:r w:rsidR="009E3326" w:rsidRPr="00707B68">
        <w:rPr>
          <w:rFonts w:asciiTheme="majorHAnsi" w:hAnsiTheme="majorHAnsi"/>
          <w:sz w:val="20"/>
          <w:szCs w:val="20"/>
          <w:lang w:val="es-VE"/>
        </w:rPr>
        <w:t>a la</w:t>
      </w:r>
      <w:r w:rsidR="00DA0D50" w:rsidRPr="00707B68">
        <w:rPr>
          <w:rFonts w:asciiTheme="majorHAnsi" w:hAnsiTheme="majorHAnsi"/>
          <w:sz w:val="20"/>
          <w:szCs w:val="20"/>
          <w:lang w:val="es-VE"/>
        </w:rPr>
        <w:t>s</w:t>
      </w:r>
      <w:r w:rsidR="009E3326" w:rsidRPr="00707B68">
        <w:rPr>
          <w:rFonts w:asciiTheme="majorHAnsi" w:hAnsiTheme="majorHAnsi"/>
          <w:sz w:val="20"/>
          <w:szCs w:val="20"/>
          <w:lang w:val="es-VE"/>
        </w:rPr>
        <w:t xml:space="preserve"> señoras Paredes y Peñuela Jaramillo, para aclarar información que fue incluida en la Ayuda Memoria. El señor Zapata indicó que su</w:t>
      </w:r>
      <w:r w:rsidR="00DA0D50" w:rsidRPr="00707B68">
        <w:rPr>
          <w:rFonts w:asciiTheme="majorHAnsi" w:hAnsiTheme="majorHAnsi"/>
          <w:sz w:val="20"/>
          <w:szCs w:val="20"/>
          <w:lang w:val="es-VE"/>
        </w:rPr>
        <w:t xml:space="preserve"> regreso a Segovia era porque cumplía</w:t>
      </w:r>
      <w:r w:rsidR="009E3326" w:rsidRPr="00707B68">
        <w:rPr>
          <w:rFonts w:asciiTheme="majorHAnsi" w:hAnsiTheme="majorHAnsi"/>
          <w:sz w:val="20"/>
          <w:szCs w:val="20"/>
          <w:lang w:val="es-VE"/>
        </w:rPr>
        <w:t xml:space="preserve"> 6 meses de sanción y 13 meses desplazado, que sus traslados laborales fueron ofrecidos en zonas de alto riesgo y que ya no “aguant[aba] más económicamente”.</w:t>
      </w:r>
      <w:r w:rsidR="00DA0D50" w:rsidRPr="00707B68">
        <w:rPr>
          <w:rFonts w:asciiTheme="majorHAnsi" w:hAnsiTheme="majorHAnsi"/>
          <w:sz w:val="20"/>
          <w:szCs w:val="20"/>
          <w:lang w:val="es-VE"/>
        </w:rPr>
        <w:t xml:space="preserve"> Seguidamente, negó que su retorno se deba a </w:t>
      </w:r>
      <w:r w:rsidR="009E3326" w:rsidRPr="00707B68">
        <w:rPr>
          <w:rFonts w:asciiTheme="majorHAnsi" w:hAnsiTheme="majorHAnsi"/>
          <w:sz w:val="20"/>
          <w:szCs w:val="20"/>
          <w:lang w:val="es-VE"/>
        </w:rPr>
        <w:t xml:space="preserve"> </w:t>
      </w:r>
      <w:r w:rsidR="00DA0D50" w:rsidRPr="00707B68">
        <w:rPr>
          <w:rFonts w:asciiTheme="majorHAnsi" w:hAnsiTheme="majorHAnsi"/>
          <w:sz w:val="20"/>
          <w:szCs w:val="20"/>
          <w:lang w:val="es-VE"/>
        </w:rPr>
        <w:t xml:space="preserve">las razones consignadas en la ayuda memoria y que “en todas las comunicaciones encuentro que yo digo que en Segovia actualmente no hay riesgos tampoco está correcto, pues riesgos sí los hay y las garantías que existen son mínimas, pero que hago uso de la ley de </w:t>
      </w:r>
      <w:r w:rsidR="00817012" w:rsidRPr="00707B68">
        <w:rPr>
          <w:rFonts w:asciiTheme="majorHAnsi" w:hAnsiTheme="majorHAnsi"/>
          <w:sz w:val="20"/>
          <w:szCs w:val="20"/>
          <w:lang w:val="es-VE"/>
        </w:rPr>
        <w:t>retorno</w:t>
      </w:r>
      <w:r w:rsidR="00DA0D50" w:rsidRPr="00707B68">
        <w:rPr>
          <w:rFonts w:asciiTheme="majorHAnsi" w:hAnsiTheme="majorHAnsi"/>
          <w:sz w:val="20"/>
          <w:szCs w:val="20"/>
          <w:lang w:val="es-VE"/>
        </w:rPr>
        <w:t xml:space="preserve"> de julio de 1997 frente a estas mínimas condiciones”</w:t>
      </w:r>
      <w:r w:rsidR="00DA0D50" w:rsidRPr="00707B68">
        <w:rPr>
          <w:rStyle w:val="FootnoteReference"/>
          <w:rFonts w:asciiTheme="majorHAnsi" w:hAnsiTheme="majorHAnsi"/>
          <w:sz w:val="20"/>
          <w:szCs w:val="20"/>
          <w:lang w:val="es-VE"/>
        </w:rPr>
        <w:footnoteReference w:id="59"/>
      </w:r>
      <w:r w:rsidR="00DA0D50" w:rsidRPr="00707B68">
        <w:rPr>
          <w:rFonts w:asciiTheme="majorHAnsi" w:hAnsiTheme="majorHAnsi"/>
          <w:sz w:val="20"/>
          <w:szCs w:val="20"/>
          <w:lang w:val="es-VE"/>
        </w:rPr>
        <w:t xml:space="preserve">. </w:t>
      </w:r>
      <w:r w:rsidR="00156404" w:rsidRPr="00707B68">
        <w:rPr>
          <w:rFonts w:asciiTheme="majorHAnsi" w:hAnsiTheme="majorHAnsi"/>
          <w:sz w:val="20"/>
          <w:szCs w:val="20"/>
          <w:lang w:val="es-VE"/>
        </w:rPr>
        <w:t>La CIDH toma nota de una comunicación</w:t>
      </w:r>
      <w:r w:rsidR="00CF267E" w:rsidRPr="00707B68">
        <w:rPr>
          <w:rFonts w:asciiTheme="majorHAnsi" w:hAnsiTheme="majorHAnsi"/>
          <w:sz w:val="20"/>
          <w:szCs w:val="20"/>
          <w:lang w:val="es-VE"/>
        </w:rPr>
        <w:t xml:space="preserve"> de 6 de julio de 1998 en la cual el</w:t>
      </w:r>
      <w:r w:rsidR="00156404" w:rsidRPr="00707B68">
        <w:rPr>
          <w:rFonts w:asciiTheme="majorHAnsi" w:hAnsiTheme="majorHAnsi"/>
          <w:sz w:val="20"/>
          <w:szCs w:val="20"/>
          <w:lang w:val="es-VE"/>
        </w:rPr>
        <w:t xml:space="preserve"> </w:t>
      </w:r>
      <w:r w:rsidR="00156404" w:rsidRPr="00707B68">
        <w:rPr>
          <w:rFonts w:asciiTheme="majorHAnsi" w:hAnsiTheme="majorHAnsi" w:cs="Arial"/>
          <w:sz w:val="20"/>
          <w:szCs w:val="20"/>
          <w:lang w:val="es-US"/>
        </w:rPr>
        <w:t>Comandante de la Segunda División del Ejército Nacional señaló que el señor Zapata era integrante de las “Milicias Populares de Segovia Once de Noviembre”</w:t>
      </w:r>
      <w:r w:rsidR="00156404" w:rsidRPr="00707B68">
        <w:rPr>
          <w:rStyle w:val="FootnoteReference"/>
          <w:rFonts w:asciiTheme="majorHAnsi" w:hAnsiTheme="majorHAnsi"/>
          <w:color w:val="000000" w:themeColor="text1"/>
          <w:sz w:val="20"/>
          <w:szCs w:val="20"/>
          <w:lang w:val="es-VE"/>
        </w:rPr>
        <w:footnoteReference w:id="60"/>
      </w:r>
      <w:r w:rsidR="00156404" w:rsidRPr="00707B68">
        <w:rPr>
          <w:rFonts w:asciiTheme="majorHAnsi" w:hAnsiTheme="majorHAnsi" w:cs="Arial"/>
          <w:sz w:val="20"/>
          <w:szCs w:val="20"/>
          <w:lang w:val="es-US"/>
        </w:rPr>
        <w:t>.</w:t>
      </w:r>
      <w:r w:rsidR="00156404" w:rsidRPr="00707B68">
        <w:rPr>
          <w:rFonts w:asciiTheme="majorHAnsi" w:hAnsiTheme="majorHAnsi" w:cs="Arial"/>
          <w:lang w:val="es-US"/>
        </w:rPr>
        <w:t xml:space="preserve"> </w:t>
      </w:r>
      <w:r w:rsidR="00156404" w:rsidRPr="00707B68">
        <w:rPr>
          <w:rFonts w:asciiTheme="majorHAnsi" w:hAnsiTheme="majorHAnsi"/>
          <w:sz w:val="20"/>
          <w:szCs w:val="20"/>
          <w:lang w:val="es-VE"/>
        </w:rPr>
        <w:t xml:space="preserve"> </w:t>
      </w:r>
    </w:p>
    <w:p w14:paraId="140D3E87" w14:textId="77777777" w:rsidR="00EA315C" w:rsidRPr="00707B68" w:rsidRDefault="00EA315C" w:rsidP="00EE11D2">
      <w:pPr>
        <w:tabs>
          <w:tab w:val="left" w:pos="360"/>
        </w:tabs>
        <w:rPr>
          <w:rFonts w:asciiTheme="majorHAnsi" w:hAnsiTheme="majorHAnsi"/>
          <w:sz w:val="20"/>
        </w:rPr>
      </w:pPr>
    </w:p>
    <w:p w14:paraId="5B24897F" w14:textId="35EF9857" w:rsidR="00FB20A5" w:rsidRPr="00707B68" w:rsidRDefault="00EE11D2" w:rsidP="004B54E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lang w:val="es-VE"/>
        </w:rPr>
      </w:pPr>
      <w:r w:rsidRPr="00707B68">
        <w:rPr>
          <w:rFonts w:asciiTheme="majorHAnsi" w:hAnsiTheme="majorHAnsi"/>
          <w:sz w:val="20"/>
          <w:szCs w:val="20"/>
          <w:lang w:val="es-VE"/>
        </w:rPr>
        <w:t>Finalmente, l</w:t>
      </w:r>
      <w:r w:rsidR="003A0971" w:rsidRPr="00707B68">
        <w:rPr>
          <w:rFonts w:asciiTheme="majorHAnsi" w:hAnsiTheme="majorHAnsi"/>
          <w:sz w:val="20"/>
          <w:szCs w:val="20"/>
          <w:lang w:val="es-VE"/>
        </w:rPr>
        <w:t>a CIDH deja constancia de que ambas</w:t>
      </w:r>
      <w:r w:rsidR="00BB679B" w:rsidRPr="00707B68">
        <w:rPr>
          <w:rFonts w:asciiTheme="majorHAnsi" w:hAnsiTheme="majorHAnsi"/>
          <w:sz w:val="20"/>
          <w:szCs w:val="20"/>
          <w:lang w:val="es-VE"/>
        </w:rPr>
        <w:t xml:space="preserve"> partes indicaron</w:t>
      </w:r>
      <w:r w:rsidR="00F5648D" w:rsidRPr="00707B68">
        <w:rPr>
          <w:rFonts w:asciiTheme="majorHAnsi" w:hAnsiTheme="majorHAnsi"/>
          <w:sz w:val="20"/>
          <w:szCs w:val="20"/>
          <w:lang w:val="es-VE"/>
        </w:rPr>
        <w:t xml:space="preserve"> que </w:t>
      </w:r>
      <w:r w:rsidR="003A0971" w:rsidRPr="00707B68">
        <w:rPr>
          <w:rFonts w:asciiTheme="majorHAnsi" w:hAnsiTheme="majorHAnsi"/>
          <w:sz w:val="20"/>
          <w:szCs w:val="20"/>
          <w:lang w:val="es-VE"/>
        </w:rPr>
        <w:t>el Estado desplegó una se</w:t>
      </w:r>
      <w:r w:rsidR="00BB679B" w:rsidRPr="00707B68">
        <w:rPr>
          <w:rFonts w:asciiTheme="majorHAnsi" w:hAnsiTheme="majorHAnsi"/>
          <w:sz w:val="20"/>
          <w:szCs w:val="20"/>
          <w:lang w:val="es-VE"/>
        </w:rPr>
        <w:t>rie de medidas de protección</w:t>
      </w:r>
      <w:r w:rsidR="003A0971" w:rsidRPr="00707B68">
        <w:rPr>
          <w:rFonts w:asciiTheme="majorHAnsi" w:hAnsiTheme="majorHAnsi"/>
          <w:sz w:val="20"/>
          <w:szCs w:val="20"/>
          <w:lang w:val="es-VE"/>
        </w:rPr>
        <w:t xml:space="preserve"> a favor del señor Za</w:t>
      </w:r>
      <w:r w:rsidR="009260E0" w:rsidRPr="00707B68">
        <w:rPr>
          <w:rFonts w:asciiTheme="majorHAnsi" w:hAnsiTheme="majorHAnsi"/>
          <w:sz w:val="20"/>
          <w:szCs w:val="20"/>
          <w:lang w:val="es-VE"/>
        </w:rPr>
        <w:t>pat</w:t>
      </w:r>
      <w:r w:rsidR="003A0971" w:rsidRPr="00707B68">
        <w:rPr>
          <w:rFonts w:asciiTheme="majorHAnsi" w:hAnsiTheme="majorHAnsi"/>
          <w:sz w:val="20"/>
          <w:szCs w:val="20"/>
          <w:lang w:val="es-VE"/>
        </w:rPr>
        <w:t>a</w:t>
      </w:r>
      <w:r w:rsidR="009260E0" w:rsidRPr="00707B68">
        <w:rPr>
          <w:rFonts w:asciiTheme="majorHAnsi" w:hAnsiTheme="majorHAnsi"/>
          <w:sz w:val="20"/>
          <w:szCs w:val="20"/>
          <w:lang w:val="es-VE"/>
        </w:rPr>
        <w:t>. Así, consta</w:t>
      </w:r>
      <w:r w:rsidR="00BB679B" w:rsidRPr="00707B68">
        <w:rPr>
          <w:rFonts w:asciiTheme="majorHAnsi" w:hAnsiTheme="majorHAnsi"/>
          <w:sz w:val="20"/>
          <w:szCs w:val="20"/>
          <w:lang w:val="es-VE"/>
        </w:rPr>
        <w:t xml:space="preserve"> en el expediente </w:t>
      </w:r>
      <w:r w:rsidR="003A0971" w:rsidRPr="00707B68">
        <w:rPr>
          <w:rFonts w:asciiTheme="majorHAnsi" w:hAnsiTheme="majorHAnsi"/>
          <w:sz w:val="20"/>
          <w:szCs w:val="20"/>
          <w:lang w:val="es-VE"/>
        </w:rPr>
        <w:t>que antes de su desplazamiento a Medellín</w:t>
      </w:r>
      <w:r w:rsidR="00FC3BF3" w:rsidRPr="00707B68">
        <w:rPr>
          <w:rFonts w:asciiTheme="majorHAnsi" w:hAnsiTheme="majorHAnsi"/>
          <w:sz w:val="20"/>
          <w:szCs w:val="20"/>
          <w:lang w:val="es-VE"/>
        </w:rPr>
        <w:t xml:space="preserve"> a mediados de 1997</w:t>
      </w:r>
      <w:r w:rsidR="003A0971" w:rsidRPr="00707B68">
        <w:rPr>
          <w:rFonts w:asciiTheme="majorHAnsi" w:hAnsiTheme="majorHAnsi"/>
          <w:sz w:val="20"/>
          <w:szCs w:val="20"/>
          <w:lang w:val="es-VE"/>
        </w:rPr>
        <w:t xml:space="preserve">, </w:t>
      </w:r>
      <w:r w:rsidR="00FC3BF3" w:rsidRPr="00707B68">
        <w:rPr>
          <w:rFonts w:asciiTheme="majorHAnsi" w:hAnsiTheme="majorHAnsi"/>
          <w:sz w:val="20"/>
          <w:szCs w:val="20"/>
          <w:lang w:val="es-VE"/>
        </w:rPr>
        <w:t>el Estado le</w:t>
      </w:r>
      <w:r w:rsidR="00074BD9" w:rsidRPr="00707B68">
        <w:rPr>
          <w:rFonts w:asciiTheme="majorHAnsi" w:hAnsiTheme="majorHAnsi"/>
          <w:sz w:val="20"/>
          <w:szCs w:val="20"/>
          <w:lang w:val="es-VE"/>
        </w:rPr>
        <w:t xml:space="preserve"> </w:t>
      </w:r>
      <w:r w:rsidR="003A0971" w:rsidRPr="00707B68">
        <w:rPr>
          <w:rFonts w:asciiTheme="majorHAnsi" w:hAnsiTheme="majorHAnsi"/>
          <w:sz w:val="20"/>
          <w:szCs w:val="20"/>
          <w:lang w:val="es-VE"/>
        </w:rPr>
        <w:t>envió</w:t>
      </w:r>
      <w:r w:rsidR="00BB679B" w:rsidRPr="00707B68">
        <w:rPr>
          <w:rFonts w:asciiTheme="majorHAnsi" w:hAnsiTheme="majorHAnsi"/>
          <w:sz w:val="20"/>
          <w:szCs w:val="20"/>
          <w:lang w:val="es-VE"/>
        </w:rPr>
        <w:t xml:space="preserve"> </w:t>
      </w:r>
      <w:r w:rsidR="003A0971" w:rsidRPr="00707B68">
        <w:rPr>
          <w:rFonts w:asciiTheme="majorHAnsi" w:hAnsiTheme="majorHAnsi"/>
          <w:sz w:val="20"/>
          <w:szCs w:val="20"/>
          <w:lang w:val="es-VE"/>
        </w:rPr>
        <w:t>un boleto</w:t>
      </w:r>
      <w:r w:rsidR="00BB679B" w:rsidRPr="00707B68">
        <w:rPr>
          <w:rFonts w:asciiTheme="majorHAnsi" w:hAnsiTheme="majorHAnsi"/>
          <w:sz w:val="20"/>
          <w:szCs w:val="20"/>
          <w:lang w:val="es-VE"/>
        </w:rPr>
        <w:t xml:space="preserve"> aéreo</w:t>
      </w:r>
      <w:r w:rsidR="00F10692" w:rsidRPr="00707B68">
        <w:rPr>
          <w:rStyle w:val="FootnoteReference"/>
          <w:rFonts w:asciiTheme="majorHAnsi" w:hAnsiTheme="majorHAnsi"/>
          <w:sz w:val="20"/>
          <w:szCs w:val="20"/>
          <w:lang w:val="es-VE"/>
        </w:rPr>
        <w:footnoteReference w:id="61"/>
      </w:r>
      <w:r w:rsidR="00BB679B" w:rsidRPr="00707B68">
        <w:rPr>
          <w:rFonts w:asciiTheme="majorHAnsi" w:hAnsiTheme="majorHAnsi"/>
          <w:sz w:val="20"/>
          <w:szCs w:val="20"/>
          <w:lang w:val="es-VE"/>
        </w:rPr>
        <w:t xml:space="preserve"> </w:t>
      </w:r>
      <w:r w:rsidR="00F10692" w:rsidRPr="00707B68">
        <w:rPr>
          <w:rFonts w:asciiTheme="majorHAnsi" w:hAnsiTheme="majorHAnsi"/>
          <w:sz w:val="20"/>
          <w:szCs w:val="20"/>
          <w:lang w:val="es-VE"/>
        </w:rPr>
        <w:t>y convoc</w:t>
      </w:r>
      <w:r w:rsidR="003A0971" w:rsidRPr="00707B68">
        <w:rPr>
          <w:rFonts w:asciiTheme="majorHAnsi" w:hAnsiTheme="majorHAnsi"/>
          <w:sz w:val="20"/>
          <w:szCs w:val="20"/>
          <w:lang w:val="es-VE"/>
        </w:rPr>
        <w:t>ó</w:t>
      </w:r>
      <w:r w:rsidR="00F10692" w:rsidRPr="00707B68">
        <w:rPr>
          <w:rFonts w:asciiTheme="majorHAnsi" w:hAnsiTheme="majorHAnsi"/>
          <w:sz w:val="20"/>
          <w:szCs w:val="20"/>
          <w:lang w:val="es-VE"/>
        </w:rPr>
        <w:t xml:space="preserve"> a reunión</w:t>
      </w:r>
      <w:r w:rsidR="00F10692" w:rsidRPr="00707B68">
        <w:rPr>
          <w:rStyle w:val="FootnoteReference"/>
          <w:rFonts w:asciiTheme="majorHAnsi" w:hAnsiTheme="majorHAnsi"/>
          <w:sz w:val="20"/>
          <w:szCs w:val="20"/>
          <w:lang w:val="es-VE"/>
        </w:rPr>
        <w:footnoteReference w:id="62"/>
      </w:r>
      <w:r w:rsidR="003A0971" w:rsidRPr="00707B68">
        <w:rPr>
          <w:rFonts w:asciiTheme="majorHAnsi" w:hAnsiTheme="majorHAnsi"/>
          <w:sz w:val="20"/>
          <w:szCs w:val="20"/>
          <w:lang w:val="es-VE"/>
        </w:rPr>
        <w:t xml:space="preserve">, en Bogotá, con </w:t>
      </w:r>
      <w:r w:rsidR="00BB679B" w:rsidRPr="00707B68">
        <w:rPr>
          <w:rFonts w:asciiTheme="majorHAnsi" w:hAnsiTheme="majorHAnsi"/>
          <w:sz w:val="20"/>
          <w:szCs w:val="20"/>
          <w:lang w:val="es-VE"/>
        </w:rPr>
        <w:t>la Consejería Presidencia y el Ministerio del Interior para discutir sobre sus medidas de seguridad</w:t>
      </w:r>
      <w:r w:rsidR="003A0971" w:rsidRPr="00707B68">
        <w:rPr>
          <w:rFonts w:asciiTheme="majorHAnsi" w:hAnsiTheme="majorHAnsi"/>
          <w:sz w:val="20"/>
          <w:szCs w:val="20"/>
          <w:lang w:val="es-VE"/>
        </w:rPr>
        <w:t>.</w:t>
      </w:r>
      <w:r w:rsidR="009260E0" w:rsidRPr="00707B68">
        <w:rPr>
          <w:rFonts w:asciiTheme="majorHAnsi" w:hAnsiTheme="majorHAnsi"/>
          <w:sz w:val="20"/>
          <w:szCs w:val="20"/>
          <w:lang w:val="es-VE"/>
        </w:rPr>
        <w:t xml:space="preserve"> Asimismo, tras </w:t>
      </w:r>
      <w:r w:rsidR="003A0971" w:rsidRPr="00707B68">
        <w:rPr>
          <w:rFonts w:asciiTheme="majorHAnsi" w:hAnsiTheme="majorHAnsi"/>
          <w:sz w:val="20"/>
          <w:szCs w:val="20"/>
          <w:lang w:val="es-VE"/>
        </w:rPr>
        <w:t>la manifestación de su retorno,</w:t>
      </w:r>
      <w:r w:rsidR="005615E2" w:rsidRPr="00707B68">
        <w:rPr>
          <w:rFonts w:asciiTheme="majorHAnsi" w:hAnsiTheme="majorHAnsi"/>
          <w:sz w:val="20"/>
          <w:szCs w:val="20"/>
          <w:lang w:val="es-VE"/>
        </w:rPr>
        <w:t xml:space="preserve"> la Comisión </w:t>
      </w:r>
      <w:r w:rsidR="00064E46" w:rsidRPr="00707B68">
        <w:rPr>
          <w:rFonts w:asciiTheme="majorHAnsi" w:hAnsiTheme="majorHAnsi"/>
          <w:sz w:val="20"/>
          <w:szCs w:val="20"/>
          <w:lang w:val="es-VE"/>
        </w:rPr>
        <w:t>observa</w:t>
      </w:r>
      <w:r w:rsidR="005615E2" w:rsidRPr="00707B68">
        <w:rPr>
          <w:rFonts w:asciiTheme="majorHAnsi" w:hAnsiTheme="majorHAnsi"/>
          <w:sz w:val="20"/>
          <w:szCs w:val="20"/>
          <w:lang w:val="es-VE"/>
        </w:rPr>
        <w:t xml:space="preserve"> que </w:t>
      </w:r>
      <w:r w:rsidR="00064E46" w:rsidRPr="00707B68">
        <w:rPr>
          <w:rFonts w:asciiTheme="majorHAnsi" w:hAnsiTheme="majorHAnsi"/>
          <w:sz w:val="20"/>
          <w:szCs w:val="20"/>
          <w:lang w:val="es-VE"/>
        </w:rPr>
        <w:t>ambas partes</w:t>
      </w:r>
      <w:r w:rsidR="005615E2" w:rsidRPr="00707B68">
        <w:rPr>
          <w:rFonts w:asciiTheme="majorHAnsi" w:hAnsiTheme="majorHAnsi"/>
          <w:sz w:val="20"/>
          <w:szCs w:val="20"/>
          <w:lang w:val="es-VE"/>
        </w:rPr>
        <w:t xml:space="preserve"> </w:t>
      </w:r>
      <w:r w:rsidR="00064E46" w:rsidRPr="00707B68">
        <w:rPr>
          <w:rFonts w:asciiTheme="majorHAnsi" w:hAnsiTheme="majorHAnsi"/>
          <w:sz w:val="20"/>
          <w:szCs w:val="20"/>
          <w:lang w:val="es-VE"/>
        </w:rPr>
        <w:t xml:space="preserve">declaran que el Estado realizó </w:t>
      </w:r>
      <w:r w:rsidR="005615E2" w:rsidRPr="00707B68">
        <w:rPr>
          <w:rFonts w:asciiTheme="majorHAnsi" w:hAnsiTheme="majorHAnsi"/>
          <w:sz w:val="20"/>
          <w:szCs w:val="20"/>
          <w:lang w:val="es-VE"/>
        </w:rPr>
        <w:t xml:space="preserve">diversas gestiones para preparar el </w:t>
      </w:r>
      <w:r w:rsidR="003F0031" w:rsidRPr="00707B68">
        <w:rPr>
          <w:rFonts w:asciiTheme="majorHAnsi" w:hAnsiTheme="majorHAnsi"/>
          <w:sz w:val="20"/>
          <w:szCs w:val="20"/>
          <w:lang w:val="es-VE"/>
        </w:rPr>
        <w:t>regreso</w:t>
      </w:r>
      <w:r w:rsidR="005615E2" w:rsidRPr="00707B68">
        <w:rPr>
          <w:rFonts w:asciiTheme="majorHAnsi" w:hAnsiTheme="majorHAnsi"/>
          <w:sz w:val="20"/>
          <w:szCs w:val="20"/>
          <w:lang w:val="es-VE"/>
        </w:rPr>
        <w:t xml:space="preserve"> del señor Zapata</w:t>
      </w:r>
      <w:r w:rsidR="003F0031" w:rsidRPr="00707B68">
        <w:rPr>
          <w:rFonts w:asciiTheme="majorHAnsi" w:hAnsiTheme="majorHAnsi"/>
          <w:sz w:val="20"/>
          <w:szCs w:val="20"/>
          <w:lang w:val="es-VE"/>
        </w:rPr>
        <w:t xml:space="preserve"> a Segovia</w:t>
      </w:r>
      <w:r w:rsidR="005615E2" w:rsidRPr="00707B68">
        <w:rPr>
          <w:rFonts w:asciiTheme="majorHAnsi" w:hAnsiTheme="majorHAnsi"/>
          <w:sz w:val="20"/>
          <w:szCs w:val="20"/>
          <w:lang w:val="es-VE"/>
        </w:rPr>
        <w:t xml:space="preserve">, </w:t>
      </w:r>
      <w:r w:rsidR="00064E46" w:rsidRPr="00707B68">
        <w:rPr>
          <w:rFonts w:asciiTheme="majorHAnsi" w:hAnsiTheme="majorHAnsi"/>
          <w:sz w:val="20"/>
          <w:szCs w:val="20"/>
          <w:lang w:val="es-VE"/>
        </w:rPr>
        <w:t>entre las que destacan su reinstalación laboral y la notificación de su retorno</w:t>
      </w:r>
      <w:r w:rsidR="00334368" w:rsidRPr="00707B68">
        <w:rPr>
          <w:rFonts w:asciiTheme="majorHAnsi" w:hAnsiTheme="majorHAnsi"/>
          <w:sz w:val="20"/>
          <w:szCs w:val="20"/>
          <w:lang w:val="es-VE"/>
        </w:rPr>
        <w:t xml:space="preserve"> a agentes de seguridad pública</w:t>
      </w:r>
      <w:r w:rsidR="00F5648D" w:rsidRPr="00707B68">
        <w:rPr>
          <w:rStyle w:val="FootnoteReference"/>
          <w:rFonts w:asciiTheme="majorHAnsi" w:hAnsiTheme="majorHAnsi"/>
          <w:sz w:val="20"/>
          <w:szCs w:val="20"/>
          <w:lang w:val="es-VE"/>
        </w:rPr>
        <w:footnoteReference w:id="63"/>
      </w:r>
      <w:r w:rsidR="00F5648D" w:rsidRPr="00707B68">
        <w:rPr>
          <w:rFonts w:asciiTheme="majorHAnsi" w:hAnsiTheme="majorHAnsi"/>
          <w:sz w:val="20"/>
          <w:szCs w:val="20"/>
          <w:lang w:val="es-VE"/>
        </w:rPr>
        <w:t xml:space="preserve">. </w:t>
      </w:r>
    </w:p>
    <w:p w14:paraId="23BBBFC7" w14:textId="77777777" w:rsidR="005E1E1F" w:rsidRPr="00707B68" w:rsidRDefault="005E1E1F" w:rsidP="00F1303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sz w:val="20"/>
          <w:szCs w:val="20"/>
          <w:lang w:val="es-VE"/>
        </w:rPr>
      </w:pPr>
    </w:p>
    <w:p w14:paraId="74B90BAF" w14:textId="77777777" w:rsidR="006B25DE" w:rsidRPr="00707B68" w:rsidRDefault="006B25DE" w:rsidP="004B54EB">
      <w:pPr>
        <w:pStyle w:val="Heading3"/>
        <w:tabs>
          <w:tab w:val="left" w:pos="360"/>
        </w:tabs>
        <w:ind w:left="0" w:firstLine="0"/>
      </w:pPr>
      <w:r w:rsidRPr="00707B68">
        <w:t>La muerte de Jesús Ra</w:t>
      </w:r>
      <w:r w:rsidR="009F434D" w:rsidRPr="00707B68">
        <w:t>miro Zapata</w:t>
      </w:r>
    </w:p>
    <w:p w14:paraId="7A0222F8" w14:textId="77777777" w:rsidR="001B4831" w:rsidRPr="00707B68" w:rsidRDefault="001B4831" w:rsidP="004B54E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color w:val="000000" w:themeColor="text1"/>
          <w:sz w:val="20"/>
          <w:szCs w:val="20"/>
          <w:lang w:val="es-VE"/>
        </w:rPr>
      </w:pPr>
    </w:p>
    <w:p w14:paraId="3F048199" w14:textId="77777777" w:rsidR="00A922B1" w:rsidRPr="00707B68" w:rsidRDefault="001B4831" w:rsidP="004B54E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Jesús Ramiro Zapata falleció el 3 mayo de 2000, alrededor de las 22:30 horas “en el sitio denominado marmajito”</w:t>
      </w:r>
      <w:r w:rsidR="00961903" w:rsidRPr="00707B68">
        <w:rPr>
          <w:rStyle w:val="FootnoteReference"/>
          <w:rFonts w:asciiTheme="majorHAnsi" w:hAnsiTheme="majorHAnsi"/>
          <w:color w:val="000000" w:themeColor="text1"/>
          <w:sz w:val="20"/>
          <w:szCs w:val="20"/>
          <w:lang w:val="es-VE"/>
        </w:rPr>
        <w:footnoteReference w:id="64"/>
      </w:r>
      <w:r w:rsidR="00961903" w:rsidRPr="00707B68">
        <w:rPr>
          <w:rFonts w:asciiTheme="majorHAnsi" w:hAnsiTheme="majorHAnsi"/>
          <w:color w:val="000000" w:themeColor="text1"/>
          <w:sz w:val="20"/>
          <w:szCs w:val="20"/>
          <w:lang w:val="es-VE"/>
        </w:rPr>
        <w:t xml:space="preserve">. </w:t>
      </w:r>
      <w:r w:rsidRPr="00707B68">
        <w:rPr>
          <w:rFonts w:asciiTheme="majorHAnsi" w:hAnsiTheme="majorHAnsi"/>
          <w:color w:val="000000" w:themeColor="text1"/>
          <w:sz w:val="20"/>
          <w:szCs w:val="20"/>
          <w:lang w:val="es-VE"/>
        </w:rPr>
        <w:t>Adrian Alberto declaró</w:t>
      </w:r>
      <w:r w:rsidR="00961903" w:rsidRPr="00707B68">
        <w:rPr>
          <w:rFonts w:asciiTheme="majorHAnsi" w:hAnsiTheme="majorHAnsi"/>
          <w:color w:val="000000" w:themeColor="text1"/>
          <w:sz w:val="20"/>
          <w:szCs w:val="20"/>
          <w:lang w:val="es-VE"/>
        </w:rPr>
        <w:t xml:space="preserve"> que su tío se encontraba jugando cartas en el billar Monterrey </w:t>
      </w:r>
      <w:r w:rsidR="00EB0DFC" w:rsidRPr="00707B68">
        <w:rPr>
          <w:rFonts w:asciiTheme="majorHAnsi" w:hAnsiTheme="majorHAnsi"/>
          <w:color w:val="000000" w:themeColor="text1"/>
          <w:sz w:val="20"/>
          <w:szCs w:val="20"/>
          <w:lang w:val="es-VE"/>
        </w:rPr>
        <w:t xml:space="preserve">y que luego conoció por una tercera persona que </w:t>
      </w:r>
      <w:r w:rsidR="00961903" w:rsidRPr="00707B68">
        <w:rPr>
          <w:rFonts w:asciiTheme="majorHAnsi" w:hAnsiTheme="majorHAnsi"/>
          <w:color w:val="000000" w:themeColor="text1"/>
          <w:sz w:val="20"/>
          <w:szCs w:val="20"/>
          <w:lang w:val="es-VE"/>
        </w:rPr>
        <w:t>“ingresaron dos tipos armados y le dijeron que tenían que hablar con él, que salieron del lugar y al salir del billar lo hicieron subir a un taxi (…) los individuos se le identificaron como miembros de las Autodefensas Unidas de Colombia</w:t>
      </w:r>
      <w:r w:rsidRPr="00707B68">
        <w:rPr>
          <w:rFonts w:asciiTheme="majorHAnsi" w:hAnsiTheme="majorHAnsi"/>
          <w:color w:val="000000" w:themeColor="text1"/>
          <w:sz w:val="20"/>
          <w:szCs w:val="20"/>
          <w:lang w:val="es-VE"/>
        </w:rPr>
        <w:t xml:space="preserve"> </w:t>
      </w:r>
      <w:r w:rsidR="00961903" w:rsidRPr="00707B68">
        <w:rPr>
          <w:rFonts w:asciiTheme="majorHAnsi" w:hAnsiTheme="majorHAnsi"/>
          <w:color w:val="000000" w:themeColor="text1"/>
          <w:sz w:val="20"/>
          <w:szCs w:val="20"/>
          <w:lang w:val="es-VE"/>
        </w:rPr>
        <w:t xml:space="preserve">(…). </w:t>
      </w:r>
      <w:r w:rsidR="00001BD0" w:rsidRPr="00707B68">
        <w:rPr>
          <w:rFonts w:asciiTheme="majorHAnsi" w:hAnsiTheme="majorHAnsi"/>
          <w:color w:val="000000" w:themeColor="text1"/>
          <w:sz w:val="20"/>
          <w:szCs w:val="20"/>
          <w:lang w:val="es-VE"/>
        </w:rPr>
        <w:t>Diez minutos después</w:t>
      </w:r>
      <w:r w:rsidR="00961903" w:rsidRPr="00707B68">
        <w:rPr>
          <w:rFonts w:asciiTheme="majorHAnsi" w:hAnsiTheme="majorHAnsi"/>
          <w:color w:val="000000" w:themeColor="text1"/>
          <w:sz w:val="20"/>
          <w:szCs w:val="20"/>
          <w:lang w:val="es-VE"/>
        </w:rPr>
        <w:t xml:space="preserve">, su sobrino </w:t>
      </w:r>
      <w:r w:rsidR="002E2E14" w:rsidRPr="00707B68">
        <w:rPr>
          <w:rFonts w:asciiTheme="majorHAnsi" w:hAnsiTheme="majorHAnsi"/>
          <w:color w:val="000000" w:themeColor="text1"/>
          <w:sz w:val="20"/>
          <w:szCs w:val="20"/>
          <w:lang w:val="es-VE"/>
        </w:rPr>
        <w:t xml:space="preserve">“encontró el </w:t>
      </w:r>
      <w:r w:rsidR="00FC3BF3" w:rsidRPr="00707B68">
        <w:rPr>
          <w:rFonts w:asciiTheme="majorHAnsi" w:hAnsiTheme="majorHAnsi"/>
          <w:color w:val="000000" w:themeColor="text1"/>
          <w:sz w:val="20"/>
          <w:szCs w:val="20"/>
          <w:lang w:val="es-VE"/>
        </w:rPr>
        <w:t>[taxi]</w:t>
      </w:r>
      <w:r w:rsidR="00EB0DFC" w:rsidRPr="00707B68">
        <w:rPr>
          <w:rFonts w:asciiTheme="majorHAnsi" w:hAnsiTheme="majorHAnsi"/>
          <w:color w:val="000000" w:themeColor="text1"/>
          <w:sz w:val="20"/>
          <w:szCs w:val="20"/>
          <w:lang w:val="es-VE"/>
        </w:rPr>
        <w:t xml:space="preserve"> [en el que se habían llevado a su tío]</w:t>
      </w:r>
      <w:r w:rsidR="002E2E14" w:rsidRPr="00707B68">
        <w:rPr>
          <w:rFonts w:asciiTheme="majorHAnsi" w:hAnsiTheme="majorHAnsi"/>
          <w:color w:val="000000" w:themeColor="text1"/>
          <w:sz w:val="20"/>
          <w:szCs w:val="20"/>
          <w:lang w:val="es-VE"/>
        </w:rPr>
        <w:t xml:space="preserve"> por la calle la REINA y le preguntó al conductor </w:t>
      </w:r>
      <w:r w:rsidR="00FC3BF3" w:rsidRPr="00707B68">
        <w:rPr>
          <w:rFonts w:asciiTheme="majorHAnsi" w:hAnsiTheme="majorHAnsi"/>
          <w:color w:val="000000" w:themeColor="text1"/>
          <w:sz w:val="20"/>
          <w:szCs w:val="20"/>
          <w:lang w:val="es-VE"/>
        </w:rPr>
        <w:t xml:space="preserve">del mismo </w:t>
      </w:r>
      <w:r w:rsidR="002E2E14" w:rsidRPr="00707B68">
        <w:rPr>
          <w:rFonts w:asciiTheme="majorHAnsi" w:hAnsiTheme="majorHAnsi"/>
          <w:color w:val="000000" w:themeColor="text1"/>
          <w:sz w:val="20"/>
          <w:szCs w:val="20"/>
          <w:lang w:val="es-VE"/>
        </w:rPr>
        <w:t>sobre los hechos y este le manifestó q</w:t>
      </w:r>
      <w:r w:rsidR="00D72BEA" w:rsidRPr="00707B68">
        <w:rPr>
          <w:rFonts w:asciiTheme="majorHAnsi" w:hAnsiTheme="majorHAnsi"/>
          <w:color w:val="000000" w:themeColor="text1"/>
          <w:sz w:val="20"/>
          <w:szCs w:val="20"/>
          <w:lang w:val="es-VE"/>
        </w:rPr>
        <w:t>ue fuera por los dos lados del [C]</w:t>
      </w:r>
      <w:r w:rsidR="002E2E14" w:rsidRPr="00707B68">
        <w:rPr>
          <w:rFonts w:asciiTheme="majorHAnsi" w:hAnsiTheme="majorHAnsi"/>
          <w:color w:val="000000" w:themeColor="text1"/>
          <w:sz w:val="20"/>
          <w:szCs w:val="20"/>
          <w:lang w:val="es-VE"/>
        </w:rPr>
        <w:t>harco</w:t>
      </w:r>
      <w:r w:rsidR="00EB0DFC" w:rsidRPr="00707B68">
        <w:rPr>
          <w:rFonts w:asciiTheme="majorHAnsi" w:hAnsiTheme="majorHAnsi"/>
          <w:color w:val="000000" w:themeColor="text1"/>
          <w:sz w:val="20"/>
          <w:szCs w:val="20"/>
          <w:lang w:val="es-VE"/>
        </w:rPr>
        <w:t xml:space="preserve"> de las </w:t>
      </w:r>
      <w:r w:rsidR="00D72BEA" w:rsidRPr="00707B68">
        <w:rPr>
          <w:rFonts w:asciiTheme="majorHAnsi" w:hAnsiTheme="majorHAnsi"/>
          <w:color w:val="000000" w:themeColor="text1"/>
          <w:sz w:val="20"/>
          <w:szCs w:val="20"/>
          <w:lang w:val="es-VE"/>
        </w:rPr>
        <w:t>[B]</w:t>
      </w:r>
      <w:r w:rsidR="00EB0DFC" w:rsidRPr="00707B68">
        <w:rPr>
          <w:rFonts w:asciiTheme="majorHAnsi" w:hAnsiTheme="majorHAnsi"/>
          <w:color w:val="000000" w:themeColor="text1"/>
          <w:sz w:val="20"/>
          <w:szCs w:val="20"/>
          <w:lang w:val="es-VE"/>
        </w:rPr>
        <w:t>rujas por el sitio de M</w:t>
      </w:r>
      <w:r w:rsidR="002E2E14" w:rsidRPr="00707B68">
        <w:rPr>
          <w:rFonts w:asciiTheme="majorHAnsi" w:hAnsiTheme="majorHAnsi"/>
          <w:color w:val="000000" w:themeColor="text1"/>
          <w:sz w:val="20"/>
          <w:szCs w:val="20"/>
          <w:lang w:val="es-VE"/>
        </w:rPr>
        <w:t xml:space="preserve">armajito que allí lo habían matado”. </w:t>
      </w:r>
      <w:r w:rsidR="006E6AB0" w:rsidRPr="00707B68">
        <w:rPr>
          <w:rFonts w:asciiTheme="majorHAnsi" w:hAnsiTheme="majorHAnsi"/>
          <w:color w:val="000000" w:themeColor="text1"/>
          <w:sz w:val="20"/>
          <w:szCs w:val="20"/>
          <w:lang w:val="es-VE"/>
        </w:rPr>
        <w:t>Ad</w:t>
      </w:r>
      <w:r w:rsidR="009038C6" w:rsidRPr="00707B68">
        <w:rPr>
          <w:rFonts w:asciiTheme="majorHAnsi" w:hAnsiTheme="majorHAnsi"/>
          <w:color w:val="000000" w:themeColor="text1"/>
          <w:sz w:val="20"/>
          <w:szCs w:val="20"/>
          <w:lang w:val="es-VE"/>
        </w:rPr>
        <w:t>r</w:t>
      </w:r>
      <w:r w:rsidR="006E6AB0" w:rsidRPr="00707B68">
        <w:rPr>
          <w:rFonts w:asciiTheme="majorHAnsi" w:hAnsiTheme="majorHAnsi"/>
          <w:color w:val="000000" w:themeColor="text1"/>
          <w:sz w:val="20"/>
          <w:szCs w:val="20"/>
          <w:lang w:val="es-VE"/>
        </w:rPr>
        <w:t>i</w:t>
      </w:r>
      <w:r w:rsidR="009038C6" w:rsidRPr="00707B68">
        <w:rPr>
          <w:rFonts w:asciiTheme="majorHAnsi" w:hAnsiTheme="majorHAnsi"/>
          <w:color w:val="000000" w:themeColor="text1"/>
          <w:sz w:val="20"/>
          <w:szCs w:val="20"/>
          <w:lang w:val="es-VE"/>
        </w:rPr>
        <w:t>án Alberto</w:t>
      </w:r>
      <w:r w:rsidR="002E2E14" w:rsidRPr="00707B68">
        <w:rPr>
          <w:rFonts w:asciiTheme="majorHAnsi" w:hAnsiTheme="majorHAnsi"/>
          <w:color w:val="000000" w:themeColor="text1"/>
          <w:sz w:val="20"/>
          <w:szCs w:val="20"/>
          <w:lang w:val="es-VE"/>
        </w:rPr>
        <w:t xml:space="preserve"> llegó al</w:t>
      </w:r>
      <w:r w:rsidR="009038C6" w:rsidRPr="00707B68">
        <w:rPr>
          <w:rFonts w:asciiTheme="majorHAnsi" w:hAnsiTheme="majorHAnsi"/>
          <w:color w:val="000000" w:themeColor="text1"/>
          <w:sz w:val="20"/>
          <w:szCs w:val="20"/>
          <w:lang w:val="es-VE"/>
        </w:rPr>
        <w:t xml:space="preserve"> lugar y encontró al señor Zapat</w:t>
      </w:r>
      <w:r w:rsidR="002E2E14" w:rsidRPr="00707B68">
        <w:rPr>
          <w:rFonts w:asciiTheme="majorHAnsi" w:hAnsiTheme="majorHAnsi"/>
          <w:color w:val="000000" w:themeColor="text1"/>
          <w:sz w:val="20"/>
          <w:szCs w:val="20"/>
          <w:lang w:val="es-VE"/>
        </w:rPr>
        <w:t xml:space="preserve">a “tirado con varios </w:t>
      </w:r>
      <w:r w:rsidR="00EB0DFC" w:rsidRPr="00707B68">
        <w:rPr>
          <w:rFonts w:asciiTheme="majorHAnsi" w:hAnsiTheme="majorHAnsi"/>
          <w:color w:val="000000" w:themeColor="text1"/>
          <w:sz w:val="20"/>
          <w:szCs w:val="20"/>
          <w:lang w:val="es-VE"/>
        </w:rPr>
        <w:t>tiros</w:t>
      </w:r>
      <w:r w:rsidR="002E2E14" w:rsidRPr="00707B68">
        <w:rPr>
          <w:rFonts w:asciiTheme="majorHAnsi" w:hAnsiTheme="majorHAnsi"/>
          <w:color w:val="000000" w:themeColor="text1"/>
          <w:sz w:val="20"/>
          <w:szCs w:val="20"/>
          <w:lang w:val="es-VE"/>
        </w:rPr>
        <w:t xml:space="preserve"> en la cabeza”</w:t>
      </w:r>
      <w:r w:rsidR="002E2E14" w:rsidRPr="00707B68">
        <w:rPr>
          <w:rStyle w:val="FootnoteReference"/>
          <w:rFonts w:asciiTheme="majorHAnsi" w:hAnsiTheme="majorHAnsi"/>
          <w:color w:val="000000" w:themeColor="text1"/>
          <w:sz w:val="20"/>
          <w:szCs w:val="20"/>
          <w:lang w:val="es-VE"/>
        </w:rPr>
        <w:footnoteReference w:id="65"/>
      </w:r>
      <w:r w:rsidR="002E2E14" w:rsidRPr="00707B68">
        <w:rPr>
          <w:rFonts w:asciiTheme="majorHAnsi" w:hAnsiTheme="majorHAnsi"/>
          <w:color w:val="000000" w:themeColor="text1"/>
          <w:sz w:val="20"/>
          <w:szCs w:val="20"/>
          <w:lang w:val="es-VE"/>
        </w:rPr>
        <w:t xml:space="preserve">. </w:t>
      </w:r>
    </w:p>
    <w:p w14:paraId="2AECAE03" w14:textId="77777777" w:rsidR="00450604" w:rsidRPr="00707B68" w:rsidRDefault="00450604" w:rsidP="004B54E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color w:val="000000" w:themeColor="text1"/>
          <w:sz w:val="20"/>
          <w:szCs w:val="20"/>
          <w:lang w:val="es-VE"/>
        </w:rPr>
      </w:pPr>
    </w:p>
    <w:p w14:paraId="54DC845A" w14:textId="319D7BEB" w:rsidR="00450604" w:rsidRPr="00707B68" w:rsidRDefault="00450604" w:rsidP="004B54E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 xml:space="preserve">Por su lado, </w:t>
      </w:r>
      <w:r w:rsidR="00FC3BF3" w:rsidRPr="00707B68">
        <w:rPr>
          <w:rFonts w:asciiTheme="majorHAnsi" w:hAnsiTheme="majorHAnsi"/>
          <w:color w:val="000000" w:themeColor="text1"/>
          <w:sz w:val="20"/>
          <w:szCs w:val="20"/>
          <w:lang w:val="es-VE"/>
        </w:rPr>
        <w:t>el señor Castañeda, conductor del taxi</w:t>
      </w:r>
      <w:r w:rsidR="00D72BEA" w:rsidRPr="00707B68">
        <w:rPr>
          <w:rFonts w:asciiTheme="majorHAnsi" w:hAnsiTheme="majorHAnsi"/>
          <w:color w:val="000000" w:themeColor="text1"/>
          <w:sz w:val="20"/>
          <w:szCs w:val="20"/>
          <w:lang w:val="es-VE"/>
        </w:rPr>
        <w:t xml:space="preserve"> en el que trasladaron al señor Zapata</w:t>
      </w:r>
      <w:r w:rsidR="006E6AB0" w:rsidRPr="00707B68">
        <w:rPr>
          <w:rFonts w:asciiTheme="majorHAnsi" w:hAnsiTheme="majorHAnsi"/>
          <w:color w:val="000000" w:themeColor="text1"/>
          <w:sz w:val="20"/>
          <w:szCs w:val="20"/>
          <w:lang w:val="es-VE"/>
        </w:rPr>
        <w:t>,</w:t>
      </w:r>
      <w:r w:rsidRPr="00707B68">
        <w:rPr>
          <w:rFonts w:asciiTheme="majorHAnsi" w:hAnsiTheme="majorHAnsi"/>
          <w:color w:val="000000" w:themeColor="text1"/>
          <w:sz w:val="20"/>
          <w:szCs w:val="20"/>
          <w:lang w:val="es-VE"/>
        </w:rPr>
        <w:t xml:space="preserve"> señaló que él se encontraba en la terminal de taxis cuando dos sujetos les pidieron un servicio, indicando que primero iban a pasar recogiendo a alguien, y que el destino final era el Charco de las Brujas. </w:t>
      </w:r>
      <w:r w:rsidR="00B04D88" w:rsidRPr="00707B68">
        <w:rPr>
          <w:rFonts w:asciiTheme="majorHAnsi" w:hAnsiTheme="majorHAnsi"/>
          <w:color w:val="000000" w:themeColor="text1"/>
          <w:sz w:val="20"/>
          <w:szCs w:val="20"/>
          <w:lang w:val="es-VE"/>
        </w:rPr>
        <w:t>Sostuvo que c</w:t>
      </w:r>
      <w:r w:rsidRPr="00707B68">
        <w:rPr>
          <w:rFonts w:asciiTheme="majorHAnsi" w:hAnsiTheme="majorHAnsi"/>
          <w:color w:val="000000" w:themeColor="text1"/>
          <w:sz w:val="20"/>
          <w:szCs w:val="20"/>
          <w:lang w:val="es-VE"/>
        </w:rPr>
        <w:t xml:space="preserve">uando pararon en el billar Monterrey notó que estaban armados y luego subieron al señor Zapata. </w:t>
      </w:r>
      <w:r w:rsidR="00B04D88" w:rsidRPr="00707B68">
        <w:rPr>
          <w:rFonts w:asciiTheme="majorHAnsi" w:hAnsiTheme="majorHAnsi"/>
          <w:color w:val="000000" w:themeColor="text1"/>
          <w:sz w:val="20"/>
          <w:szCs w:val="20"/>
          <w:lang w:val="es-VE"/>
        </w:rPr>
        <w:t>Exp</w:t>
      </w:r>
      <w:r w:rsidR="0088696C" w:rsidRPr="00707B68">
        <w:rPr>
          <w:rFonts w:asciiTheme="majorHAnsi" w:hAnsiTheme="majorHAnsi"/>
          <w:color w:val="000000" w:themeColor="text1"/>
          <w:sz w:val="20"/>
          <w:szCs w:val="20"/>
          <w:lang w:val="es-VE"/>
        </w:rPr>
        <w:t>l</w:t>
      </w:r>
      <w:r w:rsidR="00B04D88" w:rsidRPr="00707B68">
        <w:rPr>
          <w:rFonts w:asciiTheme="majorHAnsi" w:hAnsiTheme="majorHAnsi"/>
          <w:color w:val="000000" w:themeColor="text1"/>
          <w:sz w:val="20"/>
          <w:szCs w:val="20"/>
          <w:lang w:val="es-VE"/>
        </w:rPr>
        <w:t>icó que</w:t>
      </w:r>
      <w:r w:rsidRPr="00707B68">
        <w:rPr>
          <w:rFonts w:asciiTheme="majorHAnsi" w:hAnsiTheme="majorHAnsi"/>
          <w:color w:val="000000" w:themeColor="text1"/>
          <w:sz w:val="20"/>
          <w:szCs w:val="20"/>
          <w:lang w:val="es-VE"/>
        </w:rPr>
        <w:t xml:space="preserve"> continuó </w:t>
      </w:r>
      <w:r w:rsidR="00DB118E" w:rsidRPr="00707B68">
        <w:rPr>
          <w:rFonts w:asciiTheme="majorHAnsi" w:hAnsiTheme="majorHAnsi"/>
          <w:color w:val="000000" w:themeColor="text1"/>
          <w:sz w:val="20"/>
          <w:szCs w:val="20"/>
          <w:lang w:val="es-VE"/>
        </w:rPr>
        <w:t xml:space="preserve">su </w:t>
      </w:r>
      <w:r w:rsidRPr="00707B68">
        <w:rPr>
          <w:rFonts w:asciiTheme="majorHAnsi" w:hAnsiTheme="majorHAnsi"/>
          <w:color w:val="000000" w:themeColor="text1"/>
          <w:sz w:val="20"/>
          <w:szCs w:val="20"/>
          <w:lang w:val="es-VE"/>
        </w:rPr>
        <w:t>trayect</w:t>
      </w:r>
      <w:r w:rsidR="00DB118E" w:rsidRPr="00707B68">
        <w:rPr>
          <w:rFonts w:asciiTheme="majorHAnsi" w:hAnsiTheme="majorHAnsi"/>
          <w:color w:val="000000" w:themeColor="text1"/>
          <w:sz w:val="20"/>
          <w:szCs w:val="20"/>
          <w:lang w:val="es-VE"/>
        </w:rPr>
        <w:t>o hasta el Charco de las B</w:t>
      </w:r>
      <w:r w:rsidR="006E6AB0" w:rsidRPr="00707B68">
        <w:rPr>
          <w:rFonts w:asciiTheme="majorHAnsi" w:hAnsiTheme="majorHAnsi"/>
          <w:color w:val="000000" w:themeColor="text1"/>
          <w:sz w:val="20"/>
          <w:szCs w:val="20"/>
          <w:lang w:val="es-VE"/>
        </w:rPr>
        <w:t>rujas y</w:t>
      </w:r>
      <w:r w:rsidRPr="00707B68">
        <w:rPr>
          <w:rFonts w:asciiTheme="majorHAnsi" w:hAnsiTheme="majorHAnsi"/>
          <w:color w:val="000000" w:themeColor="text1"/>
          <w:sz w:val="20"/>
          <w:szCs w:val="20"/>
          <w:lang w:val="es-VE"/>
        </w:rPr>
        <w:t xml:space="preserve"> </w:t>
      </w:r>
      <w:r w:rsidR="006E6AB0" w:rsidRPr="00707B68">
        <w:rPr>
          <w:rFonts w:asciiTheme="majorHAnsi" w:hAnsiTheme="majorHAnsi"/>
          <w:color w:val="000000" w:themeColor="text1"/>
          <w:sz w:val="20"/>
          <w:szCs w:val="20"/>
          <w:lang w:val="es-VE"/>
        </w:rPr>
        <w:t xml:space="preserve">escuchó la conversación en la que el señor Zapata pedía hablar con su comandante. </w:t>
      </w:r>
      <w:r w:rsidR="00B04D88" w:rsidRPr="00707B68">
        <w:rPr>
          <w:rFonts w:asciiTheme="majorHAnsi" w:hAnsiTheme="majorHAnsi"/>
          <w:color w:val="000000" w:themeColor="text1"/>
          <w:sz w:val="20"/>
          <w:szCs w:val="20"/>
          <w:lang w:val="es-VE"/>
        </w:rPr>
        <w:t>Manifestó que c</w:t>
      </w:r>
      <w:r w:rsidR="006E6AB0" w:rsidRPr="00707B68">
        <w:rPr>
          <w:rFonts w:asciiTheme="majorHAnsi" w:hAnsiTheme="majorHAnsi"/>
          <w:color w:val="000000" w:themeColor="text1"/>
          <w:sz w:val="20"/>
          <w:szCs w:val="20"/>
          <w:lang w:val="es-VE"/>
        </w:rPr>
        <w:t xml:space="preserve">erca </w:t>
      </w:r>
      <w:r w:rsidR="00DB118E" w:rsidRPr="00707B68">
        <w:rPr>
          <w:rFonts w:asciiTheme="majorHAnsi" w:hAnsiTheme="majorHAnsi"/>
          <w:color w:val="000000" w:themeColor="text1"/>
          <w:sz w:val="20"/>
          <w:szCs w:val="20"/>
          <w:lang w:val="es-VE"/>
        </w:rPr>
        <w:t>a dicho lugar</w:t>
      </w:r>
      <w:r w:rsidR="006E6AB0" w:rsidRPr="00707B68">
        <w:rPr>
          <w:rFonts w:asciiTheme="majorHAnsi" w:hAnsiTheme="majorHAnsi"/>
          <w:color w:val="000000" w:themeColor="text1"/>
          <w:sz w:val="20"/>
          <w:szCs w:val="20"/>
          <w:lang w:val="es-VE"/>
        </w:rPr>
        <w:t xml:space="preserve">, </w:t>
      </w:r>
      <w:r w:rsidRPr="00707B68">
        <w:rPr>
          <w:rFonts w:asciiTheme="majorHAnsi" w:hAnsiTheme="majorHAnsi"/>
          <w:color w:val="000000" w:themeColor="text1"/>
          <w:sz w:val="20"/>
          <w:szCs w:val="20"/>
          <w:lang w:val="es-VE"/>
        </w:rPr>
        <w:t>los su</w:t>
      </w:r>
      <w:r w:rsidR="006B37FC" w:rsidRPr="00707B68">
        <w:rPr>
          <w:rFonts w:asciiTheme="majorHAnsi" w:hAnsiTheme="majorHAnsi"/>
          <w:color w:val="000000" w:themeColor="text1"/>
          <w:sz w:val="20"/>
          <w:szCs w:val="20"/>
          <w:lang w:val="es-VE"/>
        </w:rPr>
        <w:t xml:space="preserve">jetos le pidieron que se detuviera y se bajaron del auto y le pidieron que no apagara las luces. Seguidamente, observó que dispararon al señor Zapata en la cabeza múltiples veces. </w:t>
      </w:r>
      <w:r w:rsidR="00B04D88" w:rsidRPr="00707B68">
        <w:rPr>
          <w:rFonts w:asciiTheme="majorHAnsi" w:hAnsiTheme="majorHAnsi"/>
          <w:color w:val="000000" w:themeColor="text1"/>
          <w:sz w:val="20"/>
          <w:szCs w:val="20"/>
          <w:lang w:val="es-VE"/>
        </w:rPr>
        <w:t>Indicó que l</w:t>
      </w:r>
      <w:r w:rsidR="006B37FC" w:rsidRPr="00707B68">
        <w:rPr>
          <w:rFonts w:asciiTheme="majorHAnsi" w:hAnsiTheme="majorHAnsi"/>
          <w:color w:val="000000" w:themeColor="text1"/>
          <w:sz w:val="20"/>
          <w:szCs w:val="20"/>
          <w:lang w:val="es-VE"/>
        </w:rPr>
        <w:t>os sujetos se subieron de nuevo al auto y pidieron que los regres</w:t>
      </w:r>
      <w:r w:rsidR="00D72BEA" w:rsidRPr="00707B68">
        <w:rPr>
          <w:rFonts w:asciiTheme="majorHAnsi" w:hAnsiTheme="majorHAnsi"/>
          <w:color w:val="000000" w:themeColor="text1"/>
          <w:sz w:val="20"/>
          <w:szCs w:val="20"/>
          <w:lang w:val="es-VE"/>
        </w:rPr>
        <w:t>e</w:t>
      </w:r>
      <w:r w:rsidR="00B04D88" w:rsidRPr="00707B68">
        <w:rPr>
          <w:rFonts w:asciiTheme="majorHAnsi" w:hAnsiTheme="majorHAnsi"/>
          <w:color w:val="000000" w:themeColor="text1"/>
          <w:sz w:val="20"/>
          <w:szCs w:val="20"/>
          <w:lang w:val="es-VE"/>
        </w:rPr>
        <w:t>. Añadió que</w:t>
      </w:r>
      <w:r w:rsidR="006B37FC" w:rsidRPr="00707B68">
        <w:rPr>
          <w:rFonts w:asciiTheme="majorHAnsi" w:hAnsiTheme="majorHAnsi"/>
          <w:color w:val="000000" w:themeColor="text1"/>
          <w:sz w:val="20"/>
          <w:szCs w:val="20"/>
          <w:lang w:val="es-VE"/>
        </w:rPr>
        <w:t xml:space="preserve"> se identificaron como de “las autodefensas de Fidel Castaño” y luego le dijeron que vaya tranquilo, que no había visto nada</w:t>
      </w:r>
      <w:r w:rsidR="006B37FC" w:rsidRPr="00707B68">
        <w:rPr>
          <w:rStyle w:val="FootnoteReference"/>
          <w:rFonts w:asciiTheme="majorHAnsi" w:hAnsiTheme="majorHAnsi"/>
          <w:color w:val="000000" w:themeColor="text1"/>
          <w:sz w:val="20"/>
          <w:szCs w:val="20"/>
          <w:lang w:val="es-VE"/>
        </w:rPr>
        <w:footnoteReference w:id="66"/>
      </w:r>
      <w:r w:rsidR="006B37FC" w:rsidRPr="00707B68">
        <w:rPr>
          <w:rFonts w:asciiTheme="majorHAnsi" w:hAnsiTheme="majorHAnsi"/>
          <w:color w:val="000000" w:themeColor="text1"/>
          <w:sz w:val="20"/>
          <w:szCs w:val="20"/>
          <w:lang w:val="es-VE"/>
        </w:rPr>
        <w:t xml:space="preserve">. </w:t>
      </w:r>
    </w:p>
    <w:p w14:paraId="2ACE53AD" w14:textId="77777777" w:rsidR="00A922B1" w:rsidRPr="00707B68" w:rsidRDefault="00A922B1" w:rsidP="00A922B1">
      <w:pPr>
        <w:rPr>
          <w:rFonts w:asciiTheme="majorHAnsi" w:hAnsiTheme="majorHAnsi"/>
          <w:sz w:val="20"/>
          <w:lang w:val="es-VE"/>
        </w:rPr>
      </w:pPr>
    </w:p>
    <w:p w14:paraId="486CEBAA" w14:textId="6EC489D7" w:rsidR="005609E6" w:rsidRPr="00707B68" w:rsidRDefault="00401CDB" w:rsidP="00401CDB">
      <w:pPr>
        <w:pStyle w:val="Heading3"/>
        <w:tabs>
          <w:tab w:val="left" w:pos="360"/>
        </w:tabs>
        <w:ind w:left="0" w:firstLine="0"/>
        <w:jc w:val="both"/>
      </w:pPr>
      <w:r w:rsidRPr="00707B68">
        <w:t>Sobre</w:t>
      </w:r>
      <w:r w:rsidR="00D743AE" w:rsidRPr="00707B68">
        <w:t xml:space="preserve"> las  investigaciones</w:t>
      </w:r>
    </w:p>
    <w:p w14:paraId="1599AE1B" w14:textId="77777777" w:rsidR="005609E6" w:rsidRPr="00707B68" w:rsidRDefault="005609E6" w:rsidP="005609E6">
      <w:pPr>
        <w:rPr>
          <w:rFonts w:asciiTheme="majorHAnsi" w:hAnsiTheme="majorHAnsi"/>
          <w:sz w:val="20"/>
        </w:rPr>
      </w:pPr>
    </w:p>
    <w:p w14:paraId="43B8F103" w14:textId="6A5D72F6" w:rsidR="005609E6" w:rsidRPr="00707B68" w:rsidRDefault="00D743AE" w:rsidP="00401CDB">
      <w:pPr>
        <w:pStyle w:val="Heading3"/>
        <w:numPr>
          <w:ilvl w:val="1"/>
          <w:numId w:val="58"/>
        </w:numPr>
        <w:tabs>
          <w:tab w:val="left" w:pos="360"/>
        </w:tabs>
        <w:ind w:left="0" w:firstLine="0"/>
      </w:pPr>
      <w:r w:rsidRPr="00707B68">
        <w:t>Proceso penal</w:t>
      </w:r>
    </w:p>
    <w:p w14:paraId="2902EA91" w14:textId="77777777" w:rsidR="005609E6" w:rsidRPr="00707B68" w:rsidRDefault="005609E6" w:rsidP="00401CD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color w:val="000000" w:themeColor="text1"/>
          <w:sz w:val="20"/>
          <w:szCs w:val="20"/>
          <w:lang w:val="es-VE"/>
        </w:rPr>
      </w:pPr>
    </w:p>
    <w:p w14:paraId="6FED746B" w14:textId="77777777" w:rsidR="005609E6" w:rsidRPr="00707B68" w:rsidRDefault="00EB0DFC" w:rsidP="00401CD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 xml:space="preserve">Antes del </w:t>
      </w:r>
      <w:r w:rsidR="005609E6" w:rsidRPr="00707B68">
        <w:rPr>
          <w:rFonts w:asciiTheme="majorHAnsi" w:hAnsiTheme="majorHAnsi"/>
          <w:color w:val="000000" w:themeColor="text1"/>
          <w:sz w:val="20"/>
          <w:szCs w:val="20"/>
          <w:lang w:val="es-VE"/>
        </w:rPr>
        <w:t xml:space="preserve">hallazgo del cadáver, </w:t>
      </w:r>
      <w:r w:rsidR="00FE670C" w:rsidRPr="00707B68">
        <w:rPr>
          <w:rFonts w:asciiTheme="majorHAnsi" w:hAnsiTheme="majorHAnsi"/>
          <w:color w:val="000000" w:themeColor="text1"/>
          <w:sz w:val="20"/>
          <w:szCs w:val="20"/>
          <w:lang w:val="es-VE"/>
        </w:rPr>
        <w:t xml:space="preserve">Adrián Alberto </w:t>
      </w:r>
      <w:r w:rsidR="00FB4437" w:rsidRPr="00707B68">
        <w:rPr>
          <w:rFonts w:asciiTheme="majorHAnsi" w:hAnsiTheme="majorHAnsi"/>
          <w:color w:val="000000" w:themeColor="text1"/>
          <w:sz w:val="20"/>
          <w:szCs w:val="20"/>
          <w:lang w:val="es-VE"/>
        </w:rPr>
        <w:t xml:space="preserve">fue al Comando a indicar que </w:t>
      </w:r>
      <w:r w:rsidR="008F74E3" w:rsidRPr="00707B68">
        <w:rPr>
          <w:rFonts w:asciiTheme="majorHAnsi" w:hAnsiTheme="majorHAnsi"/>
          <w:color w:val="000000" w:themeColor="text1"/>
          <w:sz w:val="20"/>
          <w:szCs w:val="20"/>
          <w:lang w:val="es-VE"/>
        </w:rPr>
        <w:t>ten</w:t>
      </w:r>
      <w:r w:rsidR="008F74E3" w:rsidRPr="00707B68">
        <w:rPr>
          <w:rFonts w:asciiTheme="majorHAnsi" w:hAnsiTheme="majorHAnsi"/>
          <w:color w:val="000000" w:themeColor="text1"/>
          <w:sz w:val="20"/>
          <w:szCs w:val="20"/>
          <w:lang w:val="es-ES"/>
        </w:rPr>
        <w:t xml:space="preserve">ía información de que su </w:t>
      </w:r>
      <w:r w:rsidR="006E6AB0" w:rsidRPr="00707B68">
        <w:rPr>
          <w:rFonts w:asciiTheme="majorHAnsi" w:hAnsiTheme="majorHAnsi"/>
          <w:color w:val="000000" w:themeColor="text1"/>
          <w:sz w:val="20"/>
          <w:szCs w:val="20"/>
          <w:lang w:val="es-ES"/>
        </w:rPr>
        <w:t xml:space="preserve">tío </w:t>
      </w:r>
      <w:r w:rsidR="008F74E3" w:rsidRPr="00707B68">
        <w:rPr>
          <w:rFonts w:asciiTheme="majorHAnsi" w:hAnsiTheme="majorHAnsi"/>
          <w:color w:val="000000" w:themeColor="text1"/>
          <w:sz w:val="20"/>
          <w:szCs w:val="20"/>
          <w:lang w:val="es-ES"/>
        </w:rPr>
        <w:t xml:space="preserve">había sido asesinado y </w:t>
      </w:r>
      <w:r w:rsidR="006E6AB0" w:rsidRPr="00707B68">
        <w:rPr>
          <w:rFonts w:asciiTheme="majorHAnsi" w:hAnsiTheme="majorHAnsi"/>
          <w:color w:val="000000" w:themeColor="text1"/>
          <w:sz w:val="20"/>
          <w:szCs w:val="20"/>
          <w:lang w:val="es-ES"/>
        </w:rPr>
        <w:t xml:space="preserve">que </w:t>
      </w:r>
      <w:r w:rsidR="00FB4437" w:rsidRPr="00707B68">
        <w:rPr>
          <w:rFonts w:asciiTheme="majorHAnsi" w:hAnsiTheme="majorHAnsi"/>
          <w:color w:val="000000" w:themeColor="text1"/>
          <w:sz w:val="20"/>
          <w:szCs w:val="20"/>
          <w:lang w:val="es-VE"/>
        </w:rPr>
        <w:t xml:space="preserve">conocía </w:t>
      </w:r>
      <w:r w:rsidR="008F74E3" w:rsidRPr="00707B68">
        <w:rPr>
          <w:rFonts w:asciiTheme="majorHAnsi" w:hAnsiTheme="majorHAnsi"/>
          <w:color w:val="000000" w:themeColor="text1"/>
          <w:sz w:val="20"/>
          <w:szCs w:val="20"/>
          <w:lang w:val="es-VE"/>
        </w:rPr>
        <w:t>su</w:t>
      </w:r>
      <w:r w:rsidR="00FB4437" w:rsidRPr="00707B68">
        <w:rPr>
          <w:rFonts w:asciiTheme="majorHAnsi" w:hAnsiTheme="majorHAnsi"/>
          <w:color w:val="000000" w:themeColor="text1"/>
          <w:sz w:val="20"/>
          <w:szCs w:val="20"/>
          <w:lang w:val="es-VE"/>
        </w:rPr>
        <w:t xml:space="preserve"> paradero. De acuerdo con su testimonio Adrián Alberto buscó a la inspectora y le pidió que fueran a hacer levantamiento del cadáver</w:t>
      </w:r>
      <w:r w:rsidR="008F74E3" w:rsidRPr="00707B68">
        <w:rPr>
          <w:rFonts w:asciiTheme="majorHAnsi" w:hAnsiTheme="majorHAnsi"/>
          <w:color w:val="000000" w:themeColor="text1"/>
          <w:sz w:val="20"/>
          <w:szCs w:val="20"/>
          <w:lang w:val="es-VE"/>
        </w:rPr>
        <w:t>, quien “[le] d</w:t>
      </w:r>
      <w:r w:rsidR="00FB4437" w:rsidRPr="00707B68">
        <w:rPr>
          <w:rFonts w:asciiTheme="majorHAnsi" w:hAnsiTheme="majorHAnsi"/>
          <w:color w:val="000000" w:themeColor="text1"/>
          <w:sz w:val="20"/>
          <w:szCs w:val="20"/>
          <w:lang w:val="es-VE"/>
        </w:rPr>
        <w:t>ijo que fuera y lo recogiera</w:t>
      </w:r>
      <w:r w:rsidR="008F74E3" w:rsidRPr="00707B68">
        <w:rPr>
          <w:rFonts w:asciiTheme="majorHAnsi" w:hAnsiTheme="majorHAnsi"/>
          <w:color w:val="000000" w:themeColor="text1"/>
          <w:sz w:val="20"/>
          <w:szCs w:val="20"/>
          <w:lang w:val="es-VE"/>
        </w:rPr>
        <w:t xml:space="preserve"> </w:t>
      </w:r>
      <w:r w:rsidR="00FB4437" w:rsidRPr="00707B68">
        <w:rPr>
          <w:rFonts w:asciiTheme="majorHAnsi" w:hAnsiTheme="majorHAnsi"/>
          <w:color w:val="000000" w:themeColor="text1"/>
          <w:sz w:val="20"/>
          <w:szCs w:val="20"/>
          <w:lang w:val="es-VE"/>
        </w:rPr>
        <w:t xml:space="preserve"> </w:t>
      </w:r>
      <w:r w:rsidR="00310AB0" w:rsidRPr="00707B68">
        <w:rPr>
          <w:rFonts w:asciiTheme="majorHAnsi" w:hAnsiTheme="majorHAnsi"/>
          <w:color w:val="000000" w:themeColor="text1"/>
          <w:sz w:val="20"/>
          <w:szCs w:val="20"/>
          <w:lang w:val="es-VE"/>
        </w:rPr>
        <w:t xml:space="preserve">[él] </w:t>
      </w:r>
      <w:r w:rsidR="00FB4437" w:rsidRPr="00707B68">
        <w:rPr>
          <w:rFonts w:asciiTheme="majorHAnsi" w:hAnsiTheme="majorHAnsi"/>
          <w:color w:val="000000" w:themeColor="text1"/>
          <w:sz w:val="20"/>
          <w:szCs w:val="20"/>
          <w:lang w:val="es-VE"/>
        </w:rPr>
        <w:t>que la fiscalía hacía el levantamiento por la mañana en el hospital”. Siguiendo dichas instrucciones, Adrián Alberto se dirigió al lugar de los hechos, recogió el cadáver de su tío y lo trasladó</w:t>
      </w:r>
      <w:r w:rsidR="008F74E3" w:rsidRPr="00707B68">
        <w:rPr>
          <w:rFonts w:asciiTheme="majorHAnsi" w:hAnsiTheme="majorHAnsi"/>
          <w:color w:val="000000" w:themeColor="text1"/>
          <w:sz w:val="20"/>
          <w:szCs w:val="20"/>
          <w:lang w:val="es-VE"/>
        </w:rPr>
        <w:t xml:space="preserve"> a dicho recinto</w:t>
      </w:r>
      <w:r w:rsidR="00FB4437" w:rsidRPr="00707B68">
        <w:rPr>
          <w:rFonts w:asciiTheme="majorHAnsi" w:hAnsiTheme="majorHAnsi"/>
          <w:color w:val="000000" w:themeColor="text1"/>
          <w:sz w:val="20"/>
          <w:szCs w:val="20"/>
          <w:lang w:val="es-VE"/>
        </w:rPr>
        <w:t xml:space="preserve">, </w:t>
      </w:r>
      <w:r w:rsidR="000C3E53" w:rsidRPr="00707B68">
        <w:rPr>
          <w:rFonts w:asciiTheme="majorHAnsi" w:hAnsiTheme="majorHAnsi"/>
          <w:color w:val="000000" w:themeColor="text1"/>
          <w:sz w:val="20"/>
          <w:szCs w:val="20"/>
          <w:lang w:val="es-VE"/>
        </w:rPr>
        <w:t>hecho</w:t>
      </w:r>
      <w:r w:rsidR="00FB4437" w:rsidRPr="00707B68">
        <w:rPr>
          <w:rFonts w:asciiTheme="majorHAnsi" w:hAnsiTheme="majorHAnsi"/>
          <w:color w:val="000000" w:themeColor="text1"/>
          <w:sz w:val="20"/>
          <w:szCs w:val="20"/>
          <w:lang w:val="es-VE"/>
        </w:rPr>
        <w:t xml:space="preserve"> que</w:t>
      </w:r>
      <w:r w:rsidR="000C3E53" w:rsidRPr="00707B68">
        <w:rPr>
          <w:rFonts w:asciiTheme="majorHAnsi" w:hAnsiTheme="majorHAnsi"/>
          <w:color w:val="000000" w:themeColor="text1"/>
          <w:sz w:val="20"/>
          <w:szCs w:val="20"/>
          <w:lang w:val="es-VE"/>
        </w:rPr>
        <w:t xml:space="preserve">, </w:t>
      </w:r>
      <w:r w:rsidR="000313DF" w:rsidRPr="00707B68">
        <w:rPr>
          <w:rFonts w:asciiTheme="majorHAnsi" w:hAnsiTheme="majorHAnsi"/>
          <w:color w:val="000000" w:themeColor="text1"/>
          <w:sz w:val="20"/>
          <w:szCs w:val="20"/>
          <w:lang w:val="es-VE"/>
        </w:rPr>
        <w:t>declar</w:t>
      </w:r>
      <w:r w:rsidR="000C3E53" w:rsidRPr="00707B68">
        <w:rPr>
          <w:rFonts w:asciiTheme="majorHAnsi" w:hAnsiTheme="majorHAnsi"/>
          <w:color w:val="000000" w:themeColor="text1"/>
          <w:sz w:val="20"/>
          <w:szCs w:val="20"/>
          <w:lang w:val="es-VE"/>
        </w:rPr>
        <w:t xml:space="preserve">ó, </w:t>
      </w:r>
      <w:r w:rsidR="00FB4437" w:rsidRPr="00707B68">
        <w:rPr>
          <w:rFonts w:asciiTheme="majorHAnsi" w:hAnsiTheme="majorHAnsi"/>
          <w:color w:val="000000" w:themeColor="text1"/>
          <w:sz w:val="20"/>
          <w:szCs w:val="20"/>
          <w:lang w:val="es-VE"/>
        </w:rPr>
        <w:t>fue presenciado por unos soldados quienes “se arrimaron lo vieron y sonrieron inmediatamente y salieron nuevamente”</w:t>
      </w:r>
      <w:r w:rsidR="00FB4437" w:rsidRPr="00707B68">
        <w:rPr>
          <w:rStyle w:val="FootnoteReference"/>
          <w:rFonts w:asciiTheme="majorHAnsi" w:hAnsiTheme="majorHAnsi"/>
          <w:color w:val="000000" w:themeColor="text1"/>
          <w:sz w:val="20"/>
          <w:szCs w:val="20"/>
          <w:lang w:val="es-VE"/>
        </w:rPr>
        <w:footnoteReference w:id="67"/>
      </w:r>
      <w:r w:rsidR="00FB4437" w:rsidRPr="00707B68">
        <w:rPr>
          <w:rFonts w:asciiTheme="majorHAnsi" w:hAnsiTheme="majorHAnsi"/>
          <w:color w:val="000000" w:themeColor="text1"/>
          <w:sz w:val="20"/>
          <w:szCs w:val="20"/>
          <w:lang w:val="es-VE"/>
        </w:rPr>
        <w:t xml:space="preserve">. </w:t>
      </w:r>
    </w:p>
    <w:p w14:paraId="03983279" w14:textId="77777777" w:rsidR="005609E6" w:rsidRPr="00707B68" w:rsidRDefault="005609E6" w:rsidP="00401CD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color w:val="000000" w:themeColor="text1"/>
          <w:sz w:val="20"/>
          <w:szCs w:val="20"/>
          <w:lang w:val="es-VE"/>
        </w:rPr>
      </w:pPr>
    </w:p>
    <w:p w14:paraId="00D4FA58" w14:textId="77777777" w:rsidR="0011299D" w:rsidRPr="00707B68" w:rsidRDefault="000C3E53" w:rsidP="00401CD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 xml:space="preserve">Consta en el expediente que el 4 de </w:t>
      </w:r>
      <w:r w:rsidR="004A426B" w:rsidRPr="00707B68">
        <w:rPr>
          <w:rFonts w:asciiTheme="majorHAnsi" w:hAnsiTheme="majorHAnsi"/>
          <w:color w:val="000000" w:themeColor="text1"/>
          <w:sz w:val="20"/>
          <w:szCs w:val="20"/>
          <w:lang w:val="es-VE"/>
        </w:rPr>
        <w:t>m</w:t>
      </w:r>
      <w:r w:rsidRPr="00707B68">
        <w:rPr>
          <w:rFonts w:asciiTheme="majorHAnsi" w:hAnsiTheme="majorHAnsi"/>
          <w:color w:val="000000" w:themeColor="text1"/>
          <w:sz w:val="20"/>
          <w:szCs w:val="20"/>
          <w:lang w:val="es-VE"/>
        </w:rPr>
        <w:t>ayo de 2000</w:t>
      </w:r>
      <w:r w:rsidR="004A426B" w:rsidRPr="00707B68">
        <w:rPr>
          <w:rFonts w:asciiTheme="majorHAnsi" w:hAnsiTheme="majorHAnsi"/>
          <w:color w:val="000000" w:themeColor="text1"/>
          <w:sz w:val="20"/>
          <w:szCs w:val="20"/>
          <w:lang w:val="es-VE"/>
        </w:rPr>
        <w:t xml:space="preserve"> la Unidad Delegada ante el Juzgado</w:t>
      </w:r>
      <w:r w:rsidR="008F74E3" w:rsidRPr="00707B68">
        <w:rPr>
          <w:rFonts w:asciiTheme="majorHAnsi" w:hAnsiTheme="majorHAnsi"/>
          <w:color w:val="000000" w:themeColor="text1"/>
          <w:sz w:val="20"/>
          <w:szCs w:val="20"/>
          <w:lang w:val="es-VE"/>
        </w:rPr>
        <w:t xml:space="preserve"> Penal del Circuito, recibió la </w:t>
      </w:r>
      <w:r w:rsidR="0011299D" w:rsidRPr="00707B68">
        <w:rPr>
          <w:rFonts w:asciiTheme="majorHAnsi" w:hAnsiTheme="majorHAnsi"/>
          <w:i/>
          <w:color w:val="000000" w:themeColor="text1"/>
          <w:sz w:val="20"/>
          <w:szCs w:val="20"/>
          <w:lang w:val="es-VE"/>
        </w:rPr>
        <w:t>n</w:t>
      </w:r>
      <w:r w:rsidR="008F74E3" w:rsidRPr="00707B68">
        <w:rPr>
          <w:rFonts w:asciiTheme="majorHAnsi" w:hAnsiTheme="majorHAnsi"/>
          <w:i/>
          <w:color w:val="000000" w:themeColor="text1"/>
          <w:sz w:val="20"/>
          <w:szCs w:val="20"/>
          <w:lang w:val="es-VE"/>
        </w:rPr>
        <w:t xml:space="preserve">otitia criminis </w:t>
      </w:r>
      <w:r w:rsidR="008F74E3" w:rsidRPr="00707B68">
        <w:rPr>
          <w:rFonts w:asciiTheme="majorHAnsi" w:hAnsiTheme="majorHAnsi"/>
          <w:color w:val="000000" w:themeColor="text1"/>
          <w:sz w:val="20"/>
          <w:szCs w:val="20"/>
          <w:lang w:val="es-VE"/>
        </w:rPr>
        <w:t>y ordenó el desplazamiento de los funcionarios del despacho y ordenó iniciar la investigación previa</w:t>
      </w:r>
      <w:r w:rsidR="008F74E3" w:rsidRPr="00707B68">
        <w:rPr>
          <w:rStyle w:val="FootnoteReference"/>
          <w:rFonts w:asciiTheme="majorHAnsi" w:hAnsiTheme="majorHAnsi"/>
          <w:color w:val="000000" w:themeColor="text1"/>
          <w:sz w:val="20"/>
          <w:szCs w:val="20"/>
          <w:lang w:val="es-VE"/>
        </w:rPr>
        <w:footnoteReference w:id="68"/>
      </w:r>
      <w:r w:rsidR="008F74E3" w:rsidRPr="00707B68">
        <w:rPr>
          <w:rFonts w:asciiTheme="majorHAnsi" w:hAnsiTheme="majorHAnsi"/>
          <w:color w:val="000000" w:themeColor="text1"/>
          <w:sz w:val="20"/>
          <w:szCs w:val="20"/>
          <w:lang w:val="es-VE"/>
        </w:rPr>
        <w:t xml:space="preserve">. </w:t>
      </w:r>
      <w:r w:rsidR="0011299D" w:rsidRPr="00707B68">
        <w:rPr>
          <w:rFonts w:asciiTheme="majorHAnsi" w:hAnsiTheme="majorHAnsi"/>
          <w:color w:val="000000" w:themeColor="text1"/>
          <w:sz w:val="20"/>
          <w:szCs w:val="20"/>
          <w:lang w:val="es-VE"/>
        </w:rPr>
        <w:t xml:space="preserve">Asimismo, </w:t>
      </w:r>
      <w:r w:rsidR="00310AB0" w:rsidRPr="00707B68">
        <w:rPr>
          <w:rFonts w:asciiTheme="majorHAnsi" w:hAnsiTheme="majorHAnsi"/>
          <w:color w:val="000000" w:themeColor="text1"/>
          <w:sz w:val="20"/>
          <w:szCs w:val="20"/>
          <w:lang w:val="es-VE"/>
        </w:rPr>
        <w:t>la CIDH</w:t>
      </w:r>
      <w:r w:rsidR="0011299D" w:rsidRPr="00707B68">
        <w:rPr>
          <w:rFonts w:asciiTheme="majorHAnsi" w:hAnsiTheme="majorHAnsi"/>
          <w:color w:val="000000" w:themeColor="text1"/>
          <w:sz w:val="20"/>
          <w:szCs w:val="20"/>
          <w:lang w:val="es-VE"/>
        </w:rPr>
        <w:t xml:space="preserve"> observa que el abogado Guillermo Pérez Casas, del CCAJAR, sentó </w:t>
      </w:r>
      <w:r w:rsidR="0011299D" w:rsidRPr="00707B68">
        <w:rPr>
          <w:rFonts w:asciiTheme="majorHAnsi" w:hAnsiTheme="majorHAnsi"/>
          <w:color w:val="000000" w:themeColor="text1"/>
          <w:sz w:val="20"/>
          <w:szCs w:val="20"/>
          <w:lang w:val="es-VE"/>
        </w:rPr>
        <w:lastRenderedPageBreak/>
        <w:t xml:space="preserve">denuncia el 4 de mayo de 2000, por la muerte del señor Zapata, indicando que este le había manifestado que “su vida corría peligro” y que ante cualquier suceso “denunciaba al Ejército de cualquier atentado que en nombre de paramilitares pudiera perpetrarse en su contra”. Asimismo, </w:t>
      </w:r>
      <w:r w:rsidR="00310AB0" w:rsidRPr="00707B68">
        <w:rPr>
          <w:rFonts w:asciiTheme="majorHAnsi" w:hAnsiTheme="majorHAnsi"/>
          <w:color w:val="000000" w:themeColor="text1"/>
          <w:sz w:val="20"/>
          <w:szCs w:val="20"/>
          <w:lang w:val="es-VE"/>
        </w:rPr>
        <w:t>mostró</w:t>
      </w:r>
      <w:r w:rsidR="00475311" w:rsidRPr="00707B68">
        <w:rPr>
          <w:rFonts w:asciiTheme="majorHAnsi" w:hAnsiTheme="majorHAnsi"/>
          <w:color w:val="000000" w:themeColor="text1"/>
          <w:sz w:val="20"/>
          <w:szCs w:val="20"/>
          <w:lang w:val="es-VE"/>
        </w:rPr>
        <w:t xml:space="preserve"> una carta del señor </w:t>
      </w:r>
      <w:r w:rsidR="00475311" w:rsidRPr="00707B68">
        <w:rPr>
          <w:rFonts w:asciiTheme="majorHAnsi" w:hAnsiTheme="majorHAnsi"/>
          <w:color w:val="000000" w:themeColor="text1"/>
          <w:sz w:val="20"/>
          <w:szCs w:val="20"/>
          <w:lang w:val="es-ES"/>
        </w:rPr>
        <w:t xml:space="preserve">Zapata, de 2 de mayo de 2000, según la cual </w:t>
      </w:r>
      <w:r w:rsidR="00310AB0" w:rsidRPr="00707B68">
        <w:rPr>
          <w:rFonts w:asciiTheme="majorHAnsi" w:hAnsiTheme="majorHAnsi"/>
          <w:color w:val="000000" w:themeColor="text1"/>
          <w:sz w:val="20"/>
          <w:szCs w:val="20"/>
          <w:lang w:val="es-ES"/>
        </w:rPr>
        <w:t>este</w:t>
      </w:r>
      <w:r w:rsidR="00475311" w:rsidRPr="00707B68">
        <w:rPr>
          <w:rFonts w:asciiTheme="majorHAnsi" w:hAnsiTheme="majorHAnsi"/>
          <w:color w:val="000000" w:themeColor="text1"/>
          <w:sz w:val="20"/>
          <w:szCs w:val="20"/>
          <w:lang w:val="es-ES"/>
        </w:rPr>
        <w:t xml:space="preserve"> le manifest</w:t>
      </w:r>
      <w:r w:rsidR="00310AB0" w:rsidRPr="00707B68">
        <w:rPr>
          <w:rFonts w:asciiTheme="majorHAnsi" w:hAnsiTheme="majorHAnsi"/>
          <w:color w:val="000000" w:themeColor="text1"/>
          <w:sz w:val="20"/>
          <w:szCs w:val="20"/>
          <w:lang w:val="es-ES"/>
        </w:rPr>
        <w:t>ó</w:t>
      </w:r>
      <w:r w:rsidR="00475311" w:rsidRPr="00707B68">
        <w:rPr>
          <w:rFonts w:asciiTheme="majorHAnsi" w:hAnsiTheme="majorHAnsi"/>
          <w:color w:val="000000" w:themeColor="text1"/>
          <w:sz w:val="20"/>
          <w:szCs w:val="20"/>
          <w:lang w:val="es-ES"/>
        </w:rPr>
        <w:t xml:space="preserve"> que “paramilitares que no le conocían habían estado preguntando por él (…) situación que había puesto en conocimiento del Alcalde y del Personero, quienes no hicieron nada para protegerlo”</w:t>
      </w:r>
      <w:r w:rsidR="00475311" w:rsidRPr="00707B68">
        <w:rPr>
          <w:rStyle w:val="FootnoteReference"/>
          <w:rFonts w:asciiTheme="majorHAnsi" w:hAnsiTheme="majorHAnsi"/>
          <w:color w:val="000000" w:themeColor="text1"/>
          <w:sz w:val="20"/>
          <w:szCs w:val="20"/>
          <w:lang w:val="es-ES"/>
        </w:rPr>
        <w:footnoteReference w:id="69"/>
      </w:r>
      <w:r w:rsidR="00475311" w:rsidRPr="00707B68">
        <w:rPr>
          <w:rFonts w:asciiTheme="majorHAnsi" w:hAnsiTheme="majorHAnsi"/>
          <w:color w:val="000000" w:themeColor="text1"/>
          <w:sz w:val="20"/>
          <w:szCs w:val="20"/>
          <w:lang w:val="es-ES"/>
        </w:rPr>
        <w:t>.</w:t>
      </w:r>
      <w:r w:rsidR="007A5853" w:rsidRPr="00707B68">
        <w:rPr>
          <w:rFonts w:asciiTheme="majorHAnsi" w:hAnsiTheme="majorHAnsi"/>
          <w:color w:val="000000" w:themeColor="text1"/>
          <w:sz w:val="20"/>
          <w:szCs w:val="20"/>
          <w:lang w:val="es-ES"/>
        </w:rPr>
        <w:t xml:space="preserve"> Asimismo, consta en el expediente que el 8 de mayo de 2000 el Oficial del Batallón de Contraguerrillas No. 47 “</w:t>
      </w:r>
      <w:r w:rsidR="00FF6D23" w:rsidRPr="00707B68">
        <w:rPr>
          <w:rFonts w:asciiTheme="majorHAnsi" w:hAnsiTheme="majorHAnsi"/>
          <w:color w:val="000000" w:themeColor="text1"/>
          <w:sz w:val="20"/>
          <w:szCs w:val="20"/>
          <w:lang w:val="es-ES"/>
        </w:rPr>
        <w:t>Héroes</w:t>
      </w:r>
      <w:r w:rsidR="007A5853" w:rsidRPr="00707B68">
        <w:rPr>
          <w:rFonts w:asciiTheme="majorHAnsi" w:hAnsiTheme="majorHAnsi"/>
          <w:color w:val="000000" w:themeColor="text1"/>
          <w:sz w:val="20"/>
          <w:szCs w:val="20"/>
          <w:lang w:val="es-ES"/>
        </w:rPr>
        <w:t xml:space="preserve"> de Tacines” también denunció la muerte </w:t>
      </w:r>
      <w:r w:rsidR="00FF6D23" w:rsidRPr="00707B68">
        <w:rPr>
          <w:rFonts w:asciiTheme="majorHAnsi" w:hAnsiTheme="majorHAnsi"/>
          <w:color w:val="000000" w:themeColor="text1"/>
          <w:sz w:val="20"/>
          <w:szCs w:val="20"/>
          <w:lang w:val="es-ES"/>
        </w:rPr>
        <w:t>del señor Zapata</w:t>
      </w:r>
      <w:r w:rsidR="00FF6D23" w:rsidRPr="00707B68">
        <w:rPr>
          <w:rStyle w:val="FootnoteReference"/>
          <w:rFonts w:asciiTheme="majorHAnsi" w:hAnsiTheme="majorHAnsi"/>
          <w:color w:val="000000" w:themeColor="text1"/>
          <w:sz w:val="20"/>
          <w:szCs w:val="20"/>
          <w:lang w:val="es-ES"/>
        </w:rPr>
        <w:footnoteReference w:id="70"/>
      </w:r>
      <w:r w:rsidR="00FF6D23" w:rsidRPr="00707B68">
        <w:rPr>
          <w:rFonts w:asciiTheme="majorHAnsi" w:hAnsiTheme="majorHAnsi"/>
          <w:color w:val="000000" w:themeColor="text1"/>
          <w:sz w:val="20"/>
          <w:szCs w:val="20"/>
          <w:lang w:val="es-ES"/>
        </w:rPr>
        <w:t xml:space="preserve">. </w:t>
      </w:r>
    </w:p>
    <w:p w14:paraId="05949FCB" w14:textId="77777777" w:rsidR="00475311" w:rsidRPr="00707B68" w:rsidRDefault="00475311" w:rsidP="00401CD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color w:val="000000" w:themeColor="text1"/>
          <w:sz w:val="20"/>
          <w:szCs w:val="20"/>
          <w:lang w:val="es-VE"/>
        </w:rPr>
      </w:pPr>
    </w:p>
    <w:p w14:paraId="31C2ED77" w14:textId="01999311" w:rsidR="005800EA" w:rsidRPr="00707B68" w:rsidRDefault="008F74E3" w:rsidP="00401CD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De acuerdo con el acta de levantamiento del cadáver, la diligencia se r</w:t>
      </w:r>
      <w:r w:rsidR="0038098A" w:rsidRPr="00707B68">
        <w:rPr>
          <w:rFonts w:asciiTheme="majorHAnsi" w:hAnsiTheme="majorHAnsi"/>
          <w:color w:val="000000" w:themeColor="text1"/>
          <w:sz w:val="20"/>
          <w:szCs w:val="20"/>
          <w:lang w:val="es-VE"/>
        </w:rPr>
        <w:t>e</w:t>
      </w:r>
      <w:r w:rsidRPr="00707B68">
        <w:rPr>
          <w:rFonts w:asciiTheme="majorHAnsi" w:hAnsiTheme="majorHAnsi"/>
          <w:color w:val="000000" w:themeColor="text1"/>
          <w:sz w:val="20"/>
          <w:szCs w:val="20"/>
          <w:lang w:val="es-VE"/>
        </w:rPr>
        <w:t>alizó en la morgue del Hospit</w:t>
      </w:r>
      <w:r w:rsidR="008F7C7F" w:rsidRPr="00707B68">
        <w:rPr>
          <w:rFonts w:asciiTheme="majorHAnsi" w:hAnsiTheme="majorHAnsi"/>
          <w:color w:val="000000" w:themeColor="text1"/>
          <w:sz w:val="20"/>
          <w:szCs w:val="20"/>
          <w:lang w:val="es-VE"/>
        </w:rPr>
        <w:t>al San Juan de Dios en Segovia, indicando que la orientación y posición del cad</w:t>
      </w:r>
      <w:r w:rsidR="00B67783" w:rsidRPr="00707B68">
        <w:rPr>
          <w:rFonts w:asciiTheme="majorHAnsi" w:hAnsiTheme="majorHAnsi"/>
          <w:color w:val="000000" w:themeColor="text1"/>
          <w:sz w:val="20"/>
          <w:szCs w:val="20"/>
          <w:lang w:val="es-VE"/>
        </w:rPr>
        <w:t>áver eran artificiales</w:t>
      </w:r>
      <w:r w:rsidR="008F7C7F" w:rsidRPr="00707B68">
        <w:rPr>
          <w:rStyle w:val="FootnoteReference"/>
          <w:rFonts w:asciiTheme="majorHAnsi" w:hAnsiTheme="majorHAnsi"/>
          <w:color w:val="000000" w:themeColor="text1"/>
          <w:sz w:val="20"/>
          <w:szCs w:val="20"/>
          <w:lang w:val="es-VE"/>
        </w:rPr>
        <w:footnoteReference w:id="71"/>
      </w:r>
      <w:r w:rsidR="008F7C7F" w:rsidRPr="00707B68">
        <w:rPr>
          <w:rFonts w:asciiTheme="majorHAnsi" w:hAnsiTheme="majorHAnsi"/>
          <w:color w:val="000000" w:themeColor="text1"/>
          <w:sz w:val="20"/>
          <w:szCs w:val="20"/>
          <w:lang w:val="es-VE"/>
        </w:rPr>
        <w:t xml:space="preserve">. Asimismo, </w:t>
      </w:r>
      <w:r w:rsidR="00B67783" w:rsidRPr="00707B68">
        <w:rPr>
          <w:rFonts w:asciiTheme="majorHAnsi" w:hAnsiTheme="majorHAnsi"/>
          <w:color w:val="000000" w:themeColor="text1"/>
          <w:sz w:val="20"/>
          <w:szCs w:val="20"/>
          <w:lang w:val="es-VE"/>
        </w:rPr>
        <w:t>según la</w:t>
      </w:r>
      <w:r w:rsidR="00020DBB" w:rsidRPr="00707B68">
        <w:rPr>
          <w:rFonts w:asciiTheme="majorHAnsi" w:hAnsiTheme="majorHAnsi"/>
          <w:color w:val="000000" w:themeColor="text1"/>
          <w:sz w:val="20"/>
          <w:szCs w:val="20"/>
          <w:lang w:val="es-VE"/>
        </w:rPr>
        <w:t xml:space="preserve"> diligencia de inspección judicial</w:t>
      </w:r>
      <w:r w:rsidR="00522678" w:rsidRPr="00707B68">
        <w:rPr>
          <w:rFonts w:asciiTheme="majorHAnsi" w:hAnsiTheme="majorHAnsi"/>
          <w:color w:val="000000" w:themeColor="text1"/>
          <w:sz w:val="20"/>
          <w:szCs w:val="20"/>
          <w:lang w:val="es-VE"/>
        </w:rPr>
        <w:t xml:space="preserve"> realizada el 4 de m</w:t>
      </w:r>
      <w:r w:rsidR="00020DBB" w:rsidRPr="00707B68">
        <w:rPr>
          <w:rFonts w:asciiTheme="majorHAnsi" w:hAnsiTheme="majorHAnsi"/>
          <w:color w:val="000000" w:themeColor="text1"/>
          <w:sz w:val="20"/>
          <w:szCs w:val="20"/>
          <w:lang w:val="es-VE"/>
        </w:rPr>
        <w:t>a</w:t>
      </w:r>
      <w:r w:rsidR="00522678" w:rsidRPr="00707B68">
        <w:rPr>
          <w:rFonts w:asciiTheme="majorHAnsi" w:hAnsiTheme="majorHAnsi"/>
          <w:color w:val="000000" w:themeColor="text1"/>
          <w:sz w:val="20"/>
          <w:szCs w:val="20"/>
          <w:lang w:val="es-VE"/>
        </w:rPr>
        <w:t>y</w:t>
      </w:r>
      <w:r w:rsidR="00020DBB" w:rsidRPr="00707B68">
        <w:rPr>
          <w:rFonts w:asciiTheme="majorHAnsi" w:hAnsiTheme="majorHAnsi"/>
          <w:color w:val="000000" w:themeColor="text1"/>
          <w:sz w:val="20"/>
          <w:szCs w:val="20"/>
          <w:lang w:val="es-VE"/>
        </w:rPr>
        <w:t xml:space="preserve">o de 2000, </w:t>
      </w:r>
      <w:r w:rsidR="00522678" w:rsidRPr="00707B68">
        <w:rPr>
          <w:rFonts w:asciiTheme="majorHAnsi" w:hAnsiTheme="majorHAnsi"/>
          <w:color w:val="000000" w:themeColor="text1"/>
          <w:sz w:val="20"/>
          <w:szCs w:val="20"/>
          <w:lang w:val="es-VE"/>
        </w:rPr>
        <w:t xml:space="preserve">en el acta de levantamiento de cadáver </w:t>
      </w:r>
      <w:r w:rsidR="00B67783" w:rsidRPr="00707B68">
        <w:rPr>
          <w:rFonts w:asciiTheme="majorHAnsi" w:hAnsiTheme="majorHAnsi"/>
          <w:color w:val="000000" w:themeColor="text1"/>
          <w:sz w:val="20"/>
          <w:szCs w:val="20"/>
          <w:lang w:val="es-VE"/>
        </w:rPr>
        <w:t xml:space="preserve">se detallaron las siguientes heridas </w:t>
      </w:r>
      <w:r w:rsidR="005800EA" w:rsidRPr="00707B68">
        <w:rPr>
          <w:rFonts w:asciiTheme="majorHAnsi" w:hAnsiTheme="majorHAnsi"/>
          <w:color w:val="000000" w:themeColor="text1"/>
          <w:sz w:val="20"/>
          <w:szCs w:val="20"/>
          <w:lang w:val="es-VE"/>
        </w:rPr>
        <w:t xml:space="preserve">disparadas con arma de fuego calibre 9 milímetros: </w:t>
      </w:r>
    </w:p>
    <w:p w14:paraId="1E1CAE7B" w14:textId="77777777" w:rsidR="005800EA" w:rsidRPr="00707B68" w:rsidRDefault="005800EA" w:rsidP="00401CDB">
      <w:pPr>
        <w:tabs>
          <w:tab w:val="left" w:pos="360"/>
        </w:tabs>
        <w:rPr>
          <w:rFonts w:asciiTheme="majorHAnsi" w:hAnsiTheme="majorHAnsi"/>
          <w:sz w:val="20"/>
        </w:rPr>
      </w:pPr>
    </w:p>
    <w:p w14:paraId="4D5E5A5F" w14:textId="20C6B879" w:rsidR="005609E6" w:rsidRPr="00707B68" w:rsidRDefault="005800EA" w:rsidP="00401CD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360" w:right="360"/>
        <w:jc w:val="both"/>
        <w:rPr>
          <w:rFonts w:asciiTheme="majorHAnsi" w:hAnsiTheme="majorHAnsi"/>
          <w:color w:val="000000" w:themeColor="text1"/>
          <w:sz w:val="18"/>
          <w:szCs w:val="20"/>
          <w:lang w:val="es-VE"/>
        </w:rPr>
      </w:pPr>
      <w:r w:rsidRPr="00707B68">
        <w:rPr>
          <w:rFonts w:asciiTheme="majorHAnsi" w:hAnsiTheme="majorHAnsi"/>
          <w:color w:val="000000" w:themeColor="text1"/>
          <w:sz w:val="18"/>
          <w:szCs w:val="20"/>
          <w:lang w:val="es-VE"/>
        </w:rPr>
        <w:t>(…) p</w:t>
      </w:r>
      <w:r w:rsidR="00B67783" w:rsidRPr="00707B68">
        <w:rPr>
          <w:rFonts w:asciiTheme="majorHAnsi" w:hAnsiTheme="majorHAnsi"/>
          <w:color w:val="000000" w:themeColor="text1"/>
          <w:sz w:val="18"/>
          <w:szCs w:val="20"/>
          <w:lang w:val="es-VE"/>
        </w:rPr>
        <w:t>resenta herida por PAF de 1 cm de diámetro en región malar o pómulo izquierdo. Herida por PAF de aproximadamente 0.5 m.m. en la mejilla izquierda. Herida por PAF de aproximadamente 0.5 m.m. a nivel de la región malar o pómulo derecho. Herida por PAF de aproximadamente 0.5 m.m. a nivel frontal en la cruz de la ceja. Herida por PAF de aproximadamente 0.5 m.m. en la región</w:t>
      </w:r>
      <w:r w:rsidRPr="00707B68">
        <w:rPr>
          <w:rFonts w:asciiTheme="majorHAnsi" w:hAnsiTheme="majorHAnsi"/>
          <w:color w:val="000000" w:themeColor="text1"/>
          <w:sz w:val="18"/>
          <w:szCs w:val="20"/>
          <w:lang w:val="es-VE"/>
        </w:rPr>
        <w:t xml:space="preserve"> mala</w:t>
      </w:r>
      <w:r w:rsidR="00B67783" w:rsidRPr="00707B68">
        <w:rPr>
          <w:rFonts w:asciiTheme="majorHAnsi" w:hAnsiTheme="majorHAnsi"/>
          <w:color w:val="000000" w:themeColor="text1"/>
          <w:sz w:val="18"/>
          <w:szCs w:val="20"/>
          <w:lang w:val="es-VE"/>
        </w:rPr>
        <w:t xml:space="preserve">r derecha. Dos heridas por PAF de aproximadamente 0.5 m.m. en la región malar </w:t>
      </w:r>
      <w:r w:rsidRPr="00707B68">
        <w:rPr>
          <w:rFonts w:asciiTheme="majorHAnsi" w:hAnsiTheme="majorHAnsi"/>
          <w:color w:val="000000" w:themeColor="text1"/>
          <w:sz w:val="18"/>
          <w:szCs w:val="20"/>
          <w:lang w:val="es-VE"/>
        </w:rPr>
        <w:t>en región súper escapular izquierda. Herida por PAF de aproximadamente 0.5 m.m. en parte media de la nuca. Herida por PAF de aproximadamente 2 cms en región occipital (…)</w:t>
      </w:r>
      <w:r w:rsidR="00166CE7" w:rsidRPr="00707B68">
        <w:rPr>
          <w:rFonts w:asciiTheme="majorHAnsi" w:hAnsiTheme="majorHAnsi"/>
          <w:color w:val="000000" w:themeColor="text1"/>
          <w:sz w:val="18"/>
          <w:szCs w:val="20"/>
          <w:lang w:val="es-VE"/>
        </w:rPr>
        <w:t>.</w:t>
      </w:r>
    </w:p>
    <w:p w14:paraId="37BDBAC1" w14:textId="77777777" w:rsidR="000F543F" w:rsidRPr="00707B68" w:rsidRDefault="000F543F" w:rsidP="00401CD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right="360"/>
        <w:jc w:val="both"/>
        <w:rPr>
          <w:rFonts w:asciiTheme="majorHAnsi" w:hAnsiTheme="majorHAnsi"/>
          <w:color w:val="000000" w:themeColor="text1"/>
          <w:sz w:val="20"/>
          <w:szCs w:val="20"/>
          <w:lang w:val="es-VE"/>
        </w:rPr>
      </w:pPr>
    </w:p>
    <w:p w14:paraId="04B23DCE" w14:textId="0BFA1530" w:rsidR="00BC4981" w:rsidRPr="00707B68" w:rsidRDefault="00593CE0" w:rsidP="00401CD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Consta en</w:t>
      </w:r>
      <w:r w:rsidR="00020DBB" w:rsidRPr="00707B68">
        <w:rPr>
          <w:rFonts w:asciiTheme="majorHAnsi" w:hAnsiTheme="majorHAnsi"/>
          <w:color w:val="000000" w:themeColor="text1"/>
          <w:sz w:val="20"/>
          <w:szCs w:val="20"/>
          <w:lang w:val="es-VE"/>
        </w:rPr>
        <w:t xml:space="preserve"> dicha inspección judicial que</w:t>
      </w:r>
      <w:r w:rsidR="00522678" w:rsidRPr="00707B68">
        <w:rPr>
          <w:rFonts w:asciiTheme="majorHAnsi" w:hAnsiTheme="majorHAnsi"/>
          <w:color w:val="000000" w:themeColor="text1"/>
          <w:sz w:val="20"/>
          <w:szCs w:val="20"/>
          <w:lang w:val="es-VE"/>
        </w:rPr>
        <w:t xml:space="preserve"> </w:t>
      </w:r>
      <w:r w:rsidRPr="00707B68">
        <w:rPr>
          <w:rFonts w:asciiTheme="majorHAnsi" w:hAnsiTheme="majorHAnsi"/>
          <w:color w:val="000000" w:themeColor="text1"/>
          <w:sz w:val="20"/>
          <w:szCs w:val="20"/>
          <w:lang w:val="es-VE"/>
        </w:rPr>
        <w:t xml:space="preserve">se hallaron </w:t>
      </w:r>
      <w:r w:rsidR="00F53207" w:rsidRPr="00707B68">
        <w:rPr>
          <w:rFonts w:asciiTheme="majorHAnsi" w:hAnsiTheme="majorHAnsi"/>
          <w:color w:val="000000" w:themeColor="text1"/>
          <w:sz w:val="20"/>
          <w:szCs w:val="20"/>
          <w:lang w:val="es-VE"/>
        </w:rPr>
        <w:t>huellas de sangre, masa encef</w:t>
      </w:r>
      <w:r w:rsidR="00EC513C" w:rsidRPr="00707B68">
        <w:rPr>
          <w:rFonts w:asciiTheme="majorHAnsi" w:hAnsiTheme="majorHAnsi"/>
          <w:color w:val="000000" w:themeColor="text1"/>
          <w:sz w:val="20"/>
          <w:szCs w:val="20"/>
          <w:lang w:val="es-VE"/>
        </w:rPr>
        <w:t>álica, un plomo de bala y</w:t>
      </w:r>
      <w:r w:rsidR="00F53207" w:rsidRPr="00707B68">
        <w:rPr>
          <w:rFonts w:asciiTheme="majorHAnsi" w:hAnsiTheme="majorHAnsi"/>
          <w:color w:val="000000" w:themeColor="text1"/>
          <w:sz w:val="20"/>
          <w:szCs w:val="20"/>
          <w:lang w:val="es-VE"/>
        </w:rPr>
        <w:t xml:space="preserve"> dos cartuchos de bala</w:t>
      </w:r>
      <w:r w:rsidR="00EC513C" w:rsidRPr="00707B68">
        <w:rPr>
          <w:rFonts w:asciiTheme="majorHAnsi" w:hAnsiTheme="majorHAnsi"/>
          <w:color w:val="000000" w:themeColor="text1"/>
          <w:sz w:val="20"/>
          <w:szCs w:val="20"/>
          <w:lang w:val="es-VE"/>
        </w:rPr>
        <w:t>. Asimismo, en la misma diligencia se entrevistó a varios vecinos de la zona quienes aunque sí escucharon los disparos no presenciaron los hechos</w:t>
      </w:r>
      <w:r w:rsidR="00EC513C" w:rsidRPr="00707B68">
        <w:rPr>
          <w:rStyle w:val="FootnoteReference"/>
          <w:rFonts w:asciiTheme="majorHAnsi" w:hAnsiTheme="majorHAnsi"/>
          <w:color w:val="000000" w:themeColor="text1"/>
          <w:sz w:val="20"/>
          <w:szCs w:val="20"/>
          <w:lang w:val="es-VE"/>
        </w:rPr>
        <w:footnoteReference w:id="72"/>
      </w:r>
      <w:r w:rsidR="00EC513C" w:rsidRPr="00707B68">
        <w:rPr>
          <w:rFonts w:asciiTheme="majorHAnsi" w:hAnsiTheme="majorHAnsi"/>
          <w:color w:val="000000" w:themeColor="text1"/>
          <w:sz w:val="20"/>
          <w:szCs w:val="20"/>
          <w:lang w:val="es-VE"/>
        </w:rPr>
        <w:t xml:space="preserve">. </w:t>
      </w:r>
      <w:r w:rsidR="00583ED1" w:rsidRPr="00707B68">
        <w:rPr>
          <w:rFonts w:asciiTheme="majorHAnsi" w:hAnsiTheme="majorHAnsi"/>
          <w:color w:val="000000" w:themeColor="text1"/>
          <w:sz w:val="20"/>
          <w:szCs w:val="20"/>
          <w:lang w:val="es-VE"/>
        </w:rPr>
        <w:t>Por otro lado, el acta de necropsia consignó que seis orificios de entrada y cuatro de salida</w:t>
      </w:r>
      <w:r w:rsidR="00B05998" w:rsidRPr="00707B68">
        <w:rPr>
          <w:rFonts w:asciiTheme="majorHAnsi" w:hAnsiTheme="majorHAnsi"/>
          <w:color w:val="000000" w:themeColor="text1"/>
          <w:sz w:val="20"/>
          <w:szCs w:val="20"/>
          <w:lang w:val="es-VE"/>
        </w:rPr>
        <w:t>, concluyendo que el señor Zapata sufr</w:t>
      </w:r>
      <w:r w:rsidR="00310AB0" w:rsidRPr="00707B68">
        <w:rPr>
          <w:rFonts w:asciiTheme="majorHAnsi" w:hAnsiTheme="majorHAnsi"/>
          <w:color w:val="000000" w:themeColor="text1"/>
          <w:sz w:val="20"/>
          <w:szCs w:val="20"/>
          <w:lang w:val="es-VE"/>
        </w:rPr>
        <w:t>ió un “shock neurogé</w:t>
      </w:r>
      <w:r w:rsidR="00B05998" w:rsidRPr="00707B68">
        <w:rPr>
          <w:rFonts w:asciiTheme="majorHAnsi" w:hAnsiTheme="majorHAnsi"/>
          <w:color w:val="000000" w:themeColor="text1"/>
          <w:sz w:val="20"/>
          <w:szCs w:val="20"/>
          <w:lang w:val="es-VE"/>
        </w:rPr>
        <w:t>nico, por laceración encefálica por múltiples proyectiles de ARMA DE FUEGO, de baja velocidad, cañón corto que lesión[ó] tejidos blandos, tejidos óseos, laceración encefálica sección completa del tallo, laceración de amígdalas cerebelosas” y</w:t>
      </w:r>
      <w:r w:rsidR="0038098A" w:rsidRPr="00707B68">
        <w:rPr>
          <w:rFonts w:asciiTheme="majorHAnsi" w:hAnsiTheme="majorHAnsi"/>
          <w:color w:val="000000" w:themeColor="text1"/>
          <w:sz w:val="20"/>
          <w:szCs w:val="20"/>
          <w:lang w:val="es-VE"/>
        </w:rPr>
        <w:t>,</w:t>
      </w:r>
      <w:r w:rsidR="00B05998" w:rsidRPr="00707B68">
        <w:rPr>
          <w:rFonts w:asciiTheme="majorHAnsi" w:hAnsiTheme="majorHAnsi"/>
          <w:color w:val="000000" w:themeColor="text1"/>
          <w:sz w:val="20"/>
          <w:szCs w:val="20"/>
          <w:lang w:val="es-VE"/>
        </w:rPr>
        <w:t xml:space="preserve"> por lo tanto</w:t>
      </w:r>
      <w:r w:rsidR="0038098A" w:rsidRPr="00707B68">
        <w:rPr>
          <w:rFonts w:asciiTheme="majorHAnsi" w:hAnsiTheme="majorHAnsi"/>
          <w:color w:val="000000" w:themeColor="text1"/>
          <w:sz w:val="20"/>
          <w:szCs w:val="20"/>
          <w:lang w:val="es-VE"/>
        </w:rPr>
        <w:t>,</w:t>
      </w:r>
      <w:r w:rsidR="00B05998" w:rsidRPr="00707B68">
        <w:rPr>
          <w:rFonts w:asciiTheme="majorHAnsi" w:hAnsiTheme="majorHAnsi"/>
          <w:color w:val="000000" w:themeColor="text1"/>
          <w:sz w:val="20"/>
          <w:szCs w:val="20"/>
          <w:lang w:val="es-VE"/>
        </w:rPr>
        <w:t xml:space="preserve"> “el deceso [del señor Zapata] </w:t>
      </w:r>
      <w:r w:rsidR="00310AB0" w:rsidRPr="00707B68">
        <w:rPr>
          <w:rFonts w:asciiTheme="majorHAnsi" w:hAnsiTheme="majorHAnsi"/>
          <w:color w:val="000000" w:themeColor="text1"/>
          <w:sz w:val="20"/>
          <w:szCs w:val="20"/>
          <w:lang w:val="es-VE"/>
        </w:rPr>
        <w:t>es</w:t>
      </w:r>
      <w:r w:rsidR="00B05998" w:rsidRPr="00707B68">
        <w:rPr>
          <w:rFonts w:asciiTheme="majorHAnsi" w:hAnsiTheme="majorHAnsi"/>
          <w:color w:val="000000" w:themeColor="text1"/>
          <w:sz w:val="20"/>
          <w:szCs w:val="20"/>
          <w:lang w:val="es-VE"/>
        </w:rPr>
        <w:t xml:space="preserve"> consecuencia natural y directa de shock neurológico, resultante de laceración encefálica producida por múlti</w:t>
      </w:r>
      <w:r w:rsidR="005B34CD" w:rsidRPr="00707B68">
        <w:rPr>
          <w:rFonts w:asciiTheme="majorHAnsi" w:hAnsiTheme="majorHAnsi"/>
          <w:color w:val="000000" w:themeColor="text1"/>
          <w:sz w:val="20"/>
          <w:szCs w:val="20"/>
          <w:lang w:val="es-VE"/>
        </w:rPr>
        <w:t>ples proyectiles de ARMA DE FUE</w:t>
      </w:r>
      <w:r w:rsidR="00B05998" w:rsidRPr="00707B68">
        <w:rPr>
          <w:rFonts w:asciiTheme="majorHAnsi" w:hAnsiTheme="majorHAnsi"/>
          <w:color w:val="000000" w:themeColor="text1"/>
          <w:sz w:val="20"/>
          <w:szCs w:val="20"/>
          <w:lang w:val="es-VE"/>
        </w:rPr>
        <w:t>GO, que tuvo una naturaleza esencialmente mortal”</w:t>
      </w:r>
      <w:r w:rsidR="00B05998" w:rsidRPr="00707B68">
        <w:rPr>
          <w:rStyle w:val="FootnoteReference"/>
          <w:rFonts w:asciiTheme="majorHAnsi" w:hAnsiTheme="majorHAnsi"/>
          <w:color w:val="000000" w:themeColor="text1"/>
          <w:sz w:val="20"/>
          <w:szCs w:val="20"/>
          <w:lang w:val="es-VE"/>
        </w:rPr>
        <w:footnoteReference w:id="73"/>
      </w:r>
      <w:r w:rsidR="00B05998" w:rsidRPr="00707B68">
        <w:rPr>
          <w:rFonts w:asciiTheme="majorHAnsi" w:hAnsiTheme="majorHAnsi"/>
          <w:color w:val="000000" w:themeColor="text1"/>
          <w:sz w:val="20"/>
          <w:szCs w:val="20"/>
          <w:lang w:val="es-VE"/>
        </w:rPr>
        <w:t>.</w:t>
      </w:r>
    </w:p>
    <w:p w14:paraId="31723C9A" w14:textId="77777777" w:rsidR="007613B5" w:rsidRPr="00707B68" w:rsidRDefault="007613B5" w:rsidP="00401CD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sz w:val="20"/>
        </w:rPr>
      </w:pPr>
    </w:p>
    <w:p w14:paraId="355DE0A6" w14:textId="056DA5F3" w:rsidR="00E874EB" w:rsidRPr="00707B68" w:rsidRDefault="00E874EB" w:rsidP="00401CD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rPr>
      </w:pPr>
      <w:r w:rsidRPr="00707B68">
        <w:rPr>
          <w:rFonts w:asciiTheme="majorHAnsi" w:hAnsiTheme="majorHAnsi"/>
          <w:color w:val="000000" w:themeColor="text1"/>
          <w:sz w:val="20"/>
          <w:szCs w:val="20"/>
          <w:lang w:val="es-VE"/>
        </w:rPr>
        <w:t>Al día siguiente,</w:t>
      </w:r>
      <w:r w:rsidR="007613B5" w:rsidRPr="00707B68">
        <w:rPr>
          <w:rFonts w:asciiTheme="majorHAnsi" w:hAnsiTheme="majorHAnsi"/>
          <w:color w:val="000000" w:themeColor="text1"/>
          <w:sz w:val="20"/>
          <w:szCs w:val="20"/>
          <w:lang w:val="es-VE"/>
        </w:rPr>
        <w:t xml:space="preserve"> la Unidad Nacional de Derechos Humanos (en adelante “la UNDH”) de la Fiscalía General de la Nación determinó que por la naturaleza del crimen el cas</w:t>
      </w:r>
      <w:r w:rsidR="00310AB0" w:rsidRPr="00707B68">
        <w:rPr>
          <w:rFonts w:asciiTheme="majorHAnsi" w:hAnsiTheme="majorHAnsi"/>
          <w:color w:val="000000" w:themeColor="text1"/>
          <w:sz w:val="20"/>
          <w:szCs w:val="20"/>
          <w:lang w:val="es-VE"/>
        </w:rPr>
        <w:t>o</w:t>
      </w:r>
      <w:r w:rsidR="007613B5" w:rsidRPr="00707B68">
        <w:rPr>
          <w:rFonts w:asciiTheme="majorHAnsi" w:hAnsiTheme="majorHAnsi"/>
          <w:color w:val="000000" w:themeColor="text1"/>
          <w:sz w:val="20"/>
          <w:szCs w:val="20"/>
          <w:lang w:val="es-VE"/>
        </w:rPr>
        <w:t xml:space="preserve"> debía ser asignado a la Unidad de Fiscalías Delegadas ante la Sala de Descongestión de la Sala Penal del Tribunal Superior de Santafé de Bogotá</w:t>
      </w:r>
      <w:r w:rsidR="007613B5" w:rsidRPr="00707B68">
        <w:rPr>
          <w:rStyle w:val="FootnoteReference"/>
          <w:rFonts w:asciiTheme="majorHAnsi" w:hAnsiTheme="majorHAnsi"/>
          <w:color w:val="000000" w:themeColor="text1"/>
          <w:sz w:val="20"/>
          <w:szCs w:val="20"/>
          <w:lang w:val="es-VE"/>
        </w:rPr>
        <w:footnoteReference w:id="74"/>
      </w:r>
      <w:r w:rsidRPr="00707B68">
        <w:rPr>
          <w:rFonts w:asciiTheme="majorHAnsi" w:hAnsiTheme="majorHAnsi"/>
          <w:color w:val="000000" w:themeColor="text1"/>
          <w:sz w:val="20"/>
          <w:szCs w:val="20"/>
          <w:lang w:val="es-VE"/>
        </w:rPr>
        <w:t>. Es así como</w:t>
      </w:r>
      <w:r w:rsidR="007613B5" w:rsidRPr="00707B68">
        <w:rPr>
          <w:rFonts w:asciiTheme="majorHAnsi" w:hAnsiTheme="majorHAnsi"/>
          <w:color w:val="000000" w:themeColor="text1"/>
          <w:sz w:val="20"/>
          <w:szCs w:val="20"/>
          <w:lang w:val="es-VE"/>
        </w:rPr>
        <w:t xml:space="preserve"> ordenó el traslado del expediente</w:t>
      </w:r>
      <w:r w:rsidRPr="00707B68">
        <w:rPr>
          <w:rFonts w:asciiTheme="majorHAnsi" w:hAnsiTheme="majorHAnsi"/>
          <w:color w:val="000000" w:themeColor="text1"/>
          <w:sz w:val="20"/>
          <w:szCs w:val="20"/>
          <w:lang w:val="es-VE"/>
        </w:rPr>
        <w:t xml:space="preserve"> y se inició el Radicado 782</w:t>
      </w:r>
      <w:r w:rsidR="007613B5" w:rsidRPr="00707B68">
        <w:rPr>
          <w:rStyle w:val="FootnoteReference"/>
          <w:rFonts w:asciiTheme="majorHAnsi" w:hAnsiTheme="majorHAnsi"/>
          <w:color w:val="000000" w:themeColor="text1"/>
          <w:sz w:val="20"/>
          <w:szCs w:val="20"/>
          <w:lang w:val="es-VE"/>
        </w:rPr>
        <w:footnoteReference w:id="75"/>
      </w:r>
      <w:r w:rsidR="007613B5" w:rsidRPr="00707B68">
        <w:rPr>
          <w:rFonts w:asciiTheme="majorHAnsi" w:hAnsiTheme="majorHAnsi"/>
          <w:color w:val="000000" w:themeColor="text1"/>
          <w:sz w:val="20"/>
          <w:szCs w:val="20"/>
          <w:lang w:val="es-VE"/>
        </w:rPr>
        <w:t xml:space="preserve">. </w:t>
      </w:r>
    </w:p>
    <w:p w14:paraId="640AEB0C" w14:textId="77777777" w:rsidR="00E874EB" w:rsidRPr="00707B68" w:rsidRDefault="00E874EB" w:rsidP="00E874E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rPr>
      </w:pPr>
    </w:p>
    <w:p w14:paraId="7BB8A481" w14:textId="030D4A36" w:rsidR="00B83911" w:rsidRPr="00707B68" w:rsidRDefault="007613B5" w:rsidP="00B8391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rPr>
      </w:pPr>
      <w:r w:rsidRPr="00707B68">
        <w:rPr>
          <w:rFonts w:asciiTheme="majorHAnsi" w:hAnsiTheme="majorHAnsi"/>
          <w:color w:val="000000" w:themeColor="text1"/>
          <w:sz w:val="20"/>
          <w:szCs w:val="20"/>
          <w:lang w:val="es-VE"/>
        </w:rPr>
        <w:t>El 17 de mayo de 2000 la UNDH ordenó que se realice la inspección judicial para determinar si existían denuncias del señor Zapata con la finalidad de determinar el móvil de su muerte</w:t>
      </w:r>
      <w:r w:rsidR="009038C6" w:rsidRPr="00707B68">
        <w:rPr>
          <w:rFonts w:asciiTheme="majorHAnsi" w:hAnsiTheme="majorHAnsi"/>
          <w:color w:val="000000" w:themeColor="text1"/>
          <w:sz w:val="20"/>
          <w:szCs w:val="20"/>
          <w:lang w:val="es-VE"/>
        </w:rPr>
        <w:t>, la ampliación de la declaración del señor Castañeda (conductor del taxi), la realización de labores de inteligencia para identificar testigos del homicidio y la inspección de los archivos del Comando de Policía de Segovia para establecer si alguna novedad quedó registrada alrededor del día y la hora de la muerte</w:t>
      </w:r>
      <w:r w:rsidR="009038C6" w:rsidRPr="00707B68">
        <w:rPr>
          <w:rStyle w:val="FootnoteReference"/>
          <w:rFonts w:asciiTheme="majorHAnsi" w:hAnsiTheme="majorHAnsi"/>
          <w:color w:val="000000" w:themeColor="text1"/>
          <w:sz w:val="20"/>
          <w:szCs w:val="20"/>
          <w:lang w:val="es-VE"/>
        </w:rPr>
        <w:footnoteReference w:id="76"/>
      </w:r>
      <w:r w:rsidR="009038C6" w:rsidRPr="00707B68">
        <w:rPr>
          <w:rFonts w:asciiTheme="majorHAnsi" w:hAnsiTheme="majorHAnsi"/>
          <w:color w:val="000000" w:themeColor="text1"/>
          <w:sz w:val="20"/>
          <w:szCs w:val="20"/>
          <w:lang w:val="es-VE"/>
        </w:rPr>
        <w:t xml:space="preserve">. </w:t>
      </w:r>
      <w:r w:rsidR="00E572E1" w:rsidRPr="00707B68">
        <w:rPr>
          <w:rFonts w:asciiTheme="majorHAnsi" w:hAnsiTheme="majorHAnsi"/>
          <w:color w:val="000000" w:themeColor="text1"/>
          <w:sz w:val="20"/>
          <w:szCs w:val="20"/>
          <w:lang w:val="es-VE"/>
        </w:rPr>
        <w:t xml:space="preserve"> El informe de las i</w:t>
      </w:r>
      <w:r w:rsidR="00A44228" w:rsidRPr="00707B68">
        <w:rPr>
          <w:rFonts w:asciiTheme="majorHAnsi" w:hAnsiTheme="majorHAnsi"/>
          <w:color w:val="000000" w:themeColor="text1"/>
          <w:sz w:val="20"/>
          <w:szCs w:val="20"/>
          <w:lang w:val="es-VE"/>
        </w:rPr>
        <w:t>nvestigaciones desplegadas relacionó, a partir de</w:t>
      </w:r>
      <w:r w:rsidR="001C4AC8" w:rsidRPr="00707B68">
        <w:rPr>
          <w:rFonts w:asciiTheme="majorHAnsi" w:hAnsiTheme="majorHAnsi"/>
          <w:color w:val="000000" w:themeColor="text1"/>
          <w:sz w:val="20"/>
          <w:szCs w:val="20"/>
          <w:lang w:val="es-VE"/>
        </w:rPr>
        <w:t xml:space="preserve"> </w:t>
      </w:r>
      <w:r w:rsidR="00A44228" w:rsidRPr="00707B68">
        <w:rPr>
          <w:rFonts w:asciiTheme="majorHAnsi" w:hAnsiTheme="majorHAnsi"/>
          <w:color w:val="000000" w:themeColor="text1"/>
          <w:sz w:val="20"/>
          <w:szCs w:val="20"/>
          <w:lang w:val="es-VE"/>
        </w:rPr>
        <w:t>l</w:t>
      </w:r>
      <w:r w:rsidR="001C4AC8" w:rsidRPr="00707B68">
        <w:rPr>
          <w:rFonts w:asciiTheme="majorHAnsi" w:hAnsiTheme="majorHAnsi"/>
          <w:color w:val="000000" w:themeColor="text1"/>
          <w:sz w:val="20"/>
          <w:szCs w:val="20"/>
          <w:lang w:val="es-VE"/>
        </w:rPr>
        <w:t xml:space="preserve">o declarado por el informante </w:t>
      </w:r>
      <w:r w:rsidR="00A44228" w:rsidRPr="00707B68">
        <w:rPr>
          <w:rFonts w:asciiTheme="majorHAnsi" w:hAnsiTheme="majorHAnsi"/>
          <w:color w:val="000000" w:themeColor="text1"/>
          <w:sz w:val="20"/>
          <w:szCs w:val="20"/>
          <w:lang w:val="es-VE"/>
        </w:rPr>
        <w:t>Joaquín Juli</w:t>
      </w:r>
      <w:r w:rsidR="001C4AC8" w:rsidRPr="00707B68">
        <w:rPr>
          <w:rFonts w:asciiTheme="majorHAnsi" w:hAnsiTheme="majorHAnsi"/>
          <w:color w:val="000000" w:themeColor="text1"/>
          <w:sz w:val="20"/>
          <w:szCs w:val="20"/>
          <w:lang w:val="es-VE"/>
        </w:rPr>
        <w:t>án Lezcano Ortiz</w:t>
      </w:r>
      <w:r w:rsidR="00A7644A" w:rsidRPr="00707B68">
        <w:rPr>
          <w:rFonts w:asciiTheme="majorHAnsi" w:hAnsiTheme="majorHAnsi"/>
          <w:color w:val="000000" w:themeColor="text1"/>
          <w:sz w:val="20"/>
          <w:szCs w:val="20"/>
          <w:lang w:val="es-VE"/>
        </w:rPr>
        <w:t>,</w:t>
      </w:r>
      <w:r w:rsidR="001C4AC8" w:rsidRPr="00707B68">
        <w:rPr>
          <w:rFonts w:asciiTheme="majorHAnsi" w:hAnsiTheme="majorHAnsi"/>
          <w:color w:val="000000" w:themeColor="text1"/>
          <w:sz w:val="20"/>
          <w:szCs w:val="20"/>
          <w:lang w:val="es-VE"/>
        </w:rPr>
        <w:t xml:space="preserve"> como se </w:t>
      </w:r>
      <w:r w:rsidR="00A7644A" w:rsidRPr="00707B68">
        <w:rPr>
          <w:rFonts w:asciiTheme="majorHAnsi" w:hAnsiTheme="majorHAnsi"/>
          <w:color w:val="000000" w:themeColor="text1"/>
          <w:sz w:val="20"/>
          <w:szCs w:val="20"/>
          <w:lang w:val="es-VE"/>
        </w:rPr>
        <w:t>detallará</w:t>
      </w:r>
      <w:r w:rsidR="001C4AC8" w:rsidRPr="00707B68">
        <w:rPr>
          <w:rFonts w:asciiTheme="majorHAnsi" w:hAnsiTheme="majorHAnsi"/>
          <w:color w:val="000000" w:themeColor="text1"/>
          <w:sz w:val="20"/>
          <w:szCs w:val="20"/>
          <w:lang w:val="es-VE"/>
        </w:rPr>
        <w:t xml:space="preserve"> más adelante, a un grupo de personas </w:t>
      </w:r>
      <w:r w:rsidR="00381253" w:rsidRPr="00707B68">
        <w:rPr>
          <w:rFonts w:asciiTheme="majorHAnsi" w:hAnsiTheme="majorHAnsi"/>
          <w:color w:val="000000" w:themeColor="text1"/>
          <w:sz w:val="20"/>
          <w:szCs w:val="20"/>
          <w:lang w:val="es-VE"/>
        </w:rPr>
        <w:t>por sus alias: Willington, Sargento Hernández, Gustavo, Cristian, Pino, El Draguero, entre otros</w:t>
      </w:r>
      <w:r w:rsidR="00140D33" w:rsidRPr="00707B68">
        <w:rPr>
          <w:rStyle w:val="FootnoteReference"/>
          <w:rFonts w:asciiTheme="majorHAnsi" w:hAnsiTheme="majorHAnsi"/>
          <w:color w:val="000000" w:themeColor="text1"/>
          <w:sz w:val="20"/>
          <w:szCs w:val="20"/>
          <w:lang w:val="es-VE"/>
        </w:rPr>
        <w:footnoteReference w:id="77"/>
      </w:r>
      <w:r w:rsidR="00381253" w:rsidRPr="00707B68">
        <w:rPr>
          <w:rFonts w:asciiTheme="majorHAnsi" w:hAnsiTheme="majorHAnsi"/>
          <w:color w:val="000000" w:themeColor="text1"/>
          <w:sz w:val="20"/>
          <w:szCs w:val="20"/>
          <w:lang w:val="es-VE"/>
        </w:rPr>
        <w:t xml:space="preserve">. </w:t>
      </w:r>
      <w:r w:rsidR="00B83911" w:rsidRPr="00707B68">
        <w:rPr>
          <w:rFonts w:asciiTheme="majorHAnsi" w:hAnsiTheme="majorHAnsi"/>
          <w:color w:val="000000" w:themeColor="text1"/>
          <w:sz w:val="20"/>
          <w:szCs w:val="20"/>
        </w:rPr>
        <w:t>E</w:t>
      </w:r>
      <w:r w:rsidR="00B83911" w:rsidRPr="00707B68">
        <w:rPr>
          <w:rFonts w:asciiTheme="majorHAnsi" w:hAnsiTheme="majorHAnsi"/>
          <w:color w:val="000000" w:themeColor="text1"/>
          <w:sz w:val="20"/>
          <w:szCs w:val="20"/>
          <w:lang w:val="es-VE"/>
        </w:rPr>
        <w:t xml:space="preserve">l 29 de mayo del mismo año la UNDH dispuso que se practiquen nuevas diligencias </w:t>
      </w:r>
      <w:r w:rsidR="00B83911" w:rsidRPr="00707B68">
        <w:rPr>
          <w:rFonts w:asciiTheme="majorHAnsi" w:hAnsiTheme="majorHAnsi"/>
          <w:color w:val="000000" w:themeColor="text1"/>
          <w:sz w:val="20"/>
          <w:szCs w:val="20"/>
          <w:lang w:val="es-VE"/>
        </w:rPr>
        <w:lastRenderedPageBreak/>
        <w:t>de retratos dibujados de los presuntos perpetradores, elaboración de croquis y planos, y una nueva inspección judicial</w:t>
      </w:r>
      <w:r w:rsidR="00B83911" w:rsidRPr="00707B68">
        <w:rPr>
          <w:rStyle w:val="FootnoteReference"/>
          <w:rFonts w:asciiTheme="majorHAnsi" w:hAnsiTheme="majorHAnsi"/>
          <w:color w:val="000000" w:themeColor="text1"/>
          <w:sz w:val="20"/>
          <w:szCs w:val="20"/>
          <w:lang w:val="es-VE"/>
        </w:rPr>
        <w:footnoteReference w:id="78"/>
      </w:r>
      <w:r w:rsidR="00B83911" w:rsidRPr="00707B68">
        <w:rPr>
          <w:rFonts w:asciiTheme="majorHAnsi" w:hAnsiTheme="majorHAnsi"/>
          <w:color w:val="000000" w:themeColor="text1"/>
          <w:sz w:val="20"/>
          <w:szCs w:val="20"/>
          <w:lang w:val="es-VE"/>
        </w:rPr>
        <w:t xml:space="preserve">. </w:t>
      </w:r>
    </w:p>
    <w:p w14:paraId="7F56F241" w14:textId="77777777" w:rsidR="00757388" w:rsidRPr="00707B68" w:rsidRDefault="00757388" w:rsidP="00401CD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sz w:val="20"/>
          <w:szCs w:val="20"/>
        </w:rPr>
      </w:pPr>
    </w:p>
    <w:p w14:paraId="4598AD6F" w14:textId="4A38C618" w:rsidR="00DC5A79" w:rsidRPr="00707B68" w:rsidRDefault="00020DBB" w:rsidP="00A7225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rPr>
      </w:pPr>
      <w:r w:rsidRPr="00707B68">
        <w:rPr>
          <w:rFonts w:asciiTheme="majorHAnsi" w:hAnsiTheme="majorHAnsi"/>
          <w:sz w:val="20"/>
          <w:szCs w:val="20"/>
        </w:rPr>
        <w:t>La CIDH observa que c</w:t>
      </w:r>
      <w:r w:rsidR="00A7644A" w:rsidRPr="00707B68">
        <w:rPr>
          <w:rFonts w:asciiTheme="majorHAnsi" w:hAnsiTheme="majorHAnsi"/>
          <w:sz w:val="20"/>
          <w:szCs w:val="20"/>
        </w:rPr>
        <w:t>onsta en el expediente la toma</w:t>
      </w:r>
      <w:r w:rsidR="004D4266" w:rsidRPr="00707B68">
        <w:rPr>
          <w:rFonts w:asciiTheme="majorHAnsi" w:hAnsiTheme="majorHAnsi"/>
          <w:sz w:val="20"/>
          <w:szCs w:val="20"/>
        </w:rPr>
        <w:t xml:space="preserve"> de testimonios de varias personas testigos de los hechos relacionados con la muerte del señor Zapata. Los testig</w:t>
      </w:r>
      <w:r w:rsidR="00EB318D" w:rsidRPr="00707B68">
        <w:rPr>
          <w:rFonts w:asciiTheme="majorHAnsi" w:hAnsiTheme="majorHAnsi"/>
          <w:sz w:val="20"/>
          <w:szCs w:val="20"/>
        </w:rPr>
        <w:t>os aportaron información sobre la vestimenta</w:t>
      </w:r>
      <w:r w:rsidR="004D4266" w:rsidRPr="00707B68">
        <w:rPr>
          <w:rFonts w:asciiTheme="majorHAnsi" w:hAnsiTheme="majorHAnsi"/>
          <w:sz w:val="20"/>
          <w:szCs w:val="20"/>
        </w:rPr>
        <w:t xml:space="preserve"> </w:t>
      </w:r>
      <w:r w:rsidR="00EB318D" w:rsidRPr="00707B68">
        <w:rPr>
          <w:rFonts w:asciiTheme="majorHAnsi" w:hAnsiTheme="majorHAnsi"/>
          <w:sz w:val="20"/>
          <w:szCs w:val="20"/>
        </w:rPr>
        <w:t xml:space="preserve">y características físicas </w:t>
      </w:r>
      <w:r w:rsidR="004D4266" w:rsidRPr="00707B68">
        <w:rPr>
          <w:rFonts w:asciiTheme="majorHAnsi" w:hAnsiTheme="majorHAnsi"/>
          <w:sz w:val="20"/>
          <w:szCs w:val="20"/>
        </w:rPr>
        <w:t>de los perpetradores</w:t>
      </w:r>
      <w:r w:rsidR="00EB318D" w:rsidRPr="00707B68">
        <w:rPr>
          <w:rFonts w:asciiTheme="majorHAnsi" w:hAnsiTheme="majorHAnsi"/>
          <w:sz w:val="20"/>
          <w:szCs w:val="20"/>
        </w:rPr>
        <w:t>, así como elementos sobre la mecánica de los hechos desde la abducción hasta la muerte del señor Zapata en los mismos términos ya descritos en este informe</w:t>
      </w:r>
      <w:r w:rsidR="00E64B8D" w:rsidRPr="00707B68">
        <w:rPr>
          <w:rStyle w:val="FootnoteReference"/>
          <w:rFonts w:asciiTheme="majorHAnsi" w:hAnsiTheme="majorHAnsi"/>
          <w:sz w:val="20"/>
          <w:szCs w:val="20"/>
        </w:rPr>
        <w:footnoteReference w:id="79"/>
      </w:r>
      <w:r w:rsidR="00EB318D" w:rsidRPr="00707B68">
        <w:rPr>
          <w:rFonts w:asciiTheme="majorHAnsi" w:hAnsiTheme="majorHAnsi"/>
          <w:sz w:val="20"/>
          <w:szCs w:val="20"/>
        </w:rPr>
        <w:t xml:space="preserve">. </w:t>
      </w:r>
      <w:r w:rsidR="002C4E54" w:rsidRPr="00707B68">
        <w:rPr>
          <w:rFonts w:asciiTheme="majorHAnsi" w:hAnsiTheme="majorHAnsi"/>
          <w:sz w:val="20"/>
          <w:szCs w:val="20"/>
        </w:rPr>
        <w:t>Destaca la declaración del señor Lezcano</w:t>
      </w:r>
      <w:r w:rsidR="00140D33" w:rsidRPr="00707B68">
        <w:rPr>
          <w:rFonts w:asciiTheme="majorHAnsi" w:hAnsiTheme="majorHAnsi"/>
          <w:sz w:val="20"/>
          <w:szCs w:val="20"/>
        </w:rPr>
        <w:t xml:space="preserve">, </w:t>
      </w:r>
      <w:r w:rsidR="00D72BEA" w:rsidRPr="00707B68">
        <w:rPr>
          <w:rFonts w:asciiTheme="majorHAnsi" w:hAnsiTheme="majorHAnsi"/>
          <w:sz w:val="20"/>
          <w:szCs w:val="20"/>
        </w:rPr>
        <w:t>mencionado en el párrafo anterior</w:t>
      </w:r>
      <w:r w:rsidR="00140D33" w:rsidRPr="00707B68">
        <w:rPr>
          <w:rFonts w:asciiTheme="majorHAnsi" w:hAnsiTheme="majorHAnsi"/>
          <w:sz w:val="20"/>
          <w:szCs w:val="20"/>
        </w:rPr>
        <w:t>,</w:t>
      </w:r>
      <w:r w:rsidR="002C4E54" w:rsidRPr="00707B68">
        <w:rPr>
          <w:rFonts w:asciiTheme="majorHAnsi" w:hAnsiTheme="majorHAnsi"/>
          <w:sz w:val="20"/>
          <w:szCs w:val="20"/>
        </w:rPr>
        <w:t xml:space="preserve"> quien relacionó la muerte del señor Zapata con su labor de derechos humanos a nivel nacional e internacional y </w:t>
      </w:r>
      <w:r w:rsidR="00A7644A" w:rsidRPr="00707B68">
        <w:rPr>
          <w:rFonts w:asciiTheme="majorHAnsi" w:hAnsiTheme="majorHAnsi"/>
          <w:sz w:val="20"/>
          <w:szCs w:val="20"/>
        </w:rPr>
        <w:t>que supo</w:t>
      </w:r>
      <w:r w:rsidR="002C4E54" w:rsidRPr="00707B68">
        <w:rPr>
          <w:rFonts w:asciiTheme="majorHAnsi" w:hAnsiTheme="majorHAnsi"/>
          <w:sz w:val="20"/>
          <w:szCs w:val="20"/>
        </w:rPr>
        <w:t xml:space="preserve"> por información de un paramilitar (César Restrepo, alias “Gustavo”)  que por su culpa “tenía muchas carreras de militares perdidas o militares presos en la cárcel por sus denuncias (…) como el Capitán Cañas (…) que </w:t>
      </w:r>
      <w:r w:rsidR="00861282" w:rsidRPr="00707B68">
        <w:rPr>
          <w:rFonts w:asciiTheme="majorHAnsi" w:hAnsiTheme="majorHAnsi"/>
          <w:sz w:val="20"/>
          <w:szCs w:val="20"/>
        </w:rPr>
        <w:t xml:space="preserve">[él] </w:t>
      </w:r>
      <w:r w:rsidR="002C4E54" w:rsidRPr="00707B68">
        <w:rPr>
          <w:rFonts w:asciiTheme="majorHAnsi" w:hAnsiTheme="majorHAnsi"/>
          <w:sz w:val="20"/>
          <w:szCs w:val="20"/>
        </w:rPr>
        <w:t>era una cuchilla allá en la cúpula militar de Segovia”. Atribuyó la autoría</w:t>
      </w:r>
      <w:r w:rsidR="00D510C1" w:rsidRPr="00707B68">
        <w:rPr>
          <w:rFonts w:asciiTheme="majorHAnsi" w:hAnsiTheme="majorHAnsi"/>
          <w:sz w:val="20"/>
          <w:szCs w:val="20"/>
        </w:rPr>
        <w:t xml:space="preserve"> material a los paramilitares </w:t>
      </w:r>
      <w:r w:rsidR="00411837" w:rsidRPr="00707B68">
        <w:rPr>
          <w:rFonts w:asciiTheme="majorHAnsi" w:hAnsiTheme="majorHAnsi"/>
          <w:sz w:val="20"/>
          <w:szCs w:val="20"/>
        </w:rPr>
        <w:t>con especial énfasis en</w:t>
      </w:r>
      <w:r w:rsidR="00D510C1" w:rsidRPr="00707B68">
        <w:rPr>
          <w:rFonts w:asciiTheme="majorHAnsi" w:hAnsiTheme="majorHAnsi"/>
          <w:sz w:val="20"/>
          <w:szCs w:val="20"/>
        </w:rPr>
        <w:t xml:space="preserve"> </w:t>
      </w:r>
      <w:r w:rsidR="002C4E54" w:rsidRPr="00707B68">
        <w:rPr>
          <w:rFonts w:asciiTheme="majorHAnsi" w:hAnsiTheme="majorHAnsi"/>
          <w:sz w:val="20"/>
          <w:szCs w:val="20"/>
        </w:rPr>
        <w:t>“</w:t>
      </w:r>
      <w:r w:rsidR="00B81E03" w:rsidRPr="00707B68">
        <w:rPr>
          <w:rFonts w:asciiTheme="majorHAnsi" w:hAnsiTheme="majorHAnsi"/>
          <w:sz w:val="20"/>
          <w:szCs w:val="20"/>
        </w:rPr>
        <w:t>Aníbal</w:t>
      </w:r>
      <w:r w:rsidR="002C4E54" w:rsidRPr="00707B68">
        <w:rPr>
          <w:rFonts w:asciiTheme="majorHAnsi" w:hAnsiTheme="majorHAnsi"/>
          <w:sz w:val="20"/>
          <w:szCs w:val="20"/>
        </w:rPr>
        <w:t xml:space="preserve"> Ospina”</w:t>
      </w:r>
      <w:r w:rsidR="00D510C1" w:rsidRPr="00707B68">
        <w:rPr>
          <w:rFonts w:asciiTheme="majorHAnsi" w:hAnsiTheme="majorHAnsi"/>
          <w:sz w:val="20"/>
          <w:szCs w:val="20"/>
        </w:rPr>
        <w:t xml:space="preserve"> además de los nombres y alias mencionados anterior</w:t>
      </w:r>
      <w:r w:rsidR="00A7644A" w:rsidRPr="00707B68">
        <w:rPr>
          <w:rFonts w:asciiTheme="majorHAnsi" w:hAnsiTheme="majorHAnsi"/>
          <w:sz w:val="20"/>
          <w:szCs w:val="20"/>
        </w:rPr>
        <w:t>mente</w:t>
      </w:r>
      <w:r w:rsidR="002C4E54" w:rsidRPr="00707B68">
        <w:rPr>
          <w:rStyle w:val="FootnoteReference"/>
          <w:rFonts w:asciiTheme="majorHAnsi" w:hAnsiTheme="majorHAnsi"/>
          <w:sz w:val="20"/>
          <w:szCs w:val="20"/>
        </w:rPr>
        <w:footnoteReference w:id="80"/>
      </w:r>
      <w:r w:rsidR="002C4E54" w:rsidRPr="00707B68">
        <w:rPr>
          <w:rFonts w:asciiTheme="majorHAnsi" w:hAnsiTheme="majorHAnsi"/>
          <w:sz w:val="20"/>
          <w:szCs w:val="20"/>
        </w:rPr>
        <w:t xml:space="preserve">. </w:t>
      </w:r>
      <w:r w:rsidR="003636F7" w:rsidRPr="00707B68">
        <w:rPr>
          <w:rFonts w:asciiTheme="majorHAnsi" w:hAnsiTheme="majorHAnsi"/>
          <w:sz w:val="20"/>
          <w:szCs w:val="20"/>
        </w:rPr>
        <w:t>Asimismo, existe constancia de declaraciones anónimas según la cuales, personas uniformadas fueron vistas por los alrededores del domicilio de la presunta v</w:t>
      </w:r>
      <w:r w:rsidR="00930EC8" w:rsidRPr="00707B68">
        <w:rPr>
          <w:rFonts w:asciiTheme="majorHAnsi" w:hAnsiTheme="majorHAnsi"/>
          <w:sz w:val="20"/>
          <w:szCs w:val="20"/>
        </w:rPr>
        <w:t>íctima e información sobre la pareja del señor Ospina</w:t>
      </w:r>
      <w:r w:rsidR="00E8511B" w:rsidRPr="00707B68">
        <w:rPr>
          <w:rFonts w:asciiTheme="majorHAnsi" w:hAnsiTheme="majorHAnsi"/>
          <w:sz w:val="20"/>
          <w:szCs w:val="20"/>
        </w:rPr>
        <w:t>, sindicado como perpetrador</w:t>
      </w:r>
      <w:r w:rsidR="00930EC8" w:rsidRPr="00707B68">
        <w:rPr>
          <w:rStyle w:val="FootnoteReference"/>
          <w:rFonts w:asciiTheme="majorHAnsi" w:hAnsiTheme="majorHAnsi"/>
          <w:sz w:val="20"/>
          <w:szCs w:val="20"/>
        </w:rPr>
        <w:footnoteReference w:id="81"/>
      </w:r>
      <w:r w:rsidR="00930EC8" w:rsidRPr="00707B68">
        <w:rPr>
          <w:rFonts w:asciiTheme="majorHAnsi" w:hAnsiTheme="majorHAnsi"/>
          <w:sz w:val="20"/>
          <w:szCs w:val="20"/>
        </w:rPr>
        <w:t xml:space="preserve">. </w:t>
      </w:r>
    </w:p>
    <w:p w14:paraId="0D42650D" w14:textId="77777777" w:rsidR="00C636A2" w:rsidRPr="00707B68" w:rsidRDefault="00C636A2" w:rsidP="00A7225D">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sz w:val="20"/>
          <w:szCs w:val="20"/>
        </w:rPr>
      </w:pPr>
    </w:p>
    <w:p w14:paraId="06BBB215" w14:textId="77777777" w:rsidR="00822A2A" w:rsidRPr="00707B68" w:rsidRDefault="00822A2A" w:rsidP="00A7225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rPr>
      </w:pPr>
      <w:r w:rsidRPr="00707B68">
        <w:rPr>
          <w:rFonts w:asciiTheme="majorHAnsi" w:hAnsiTheme="majorHAnsi"/>
          <w:sz w:val="20"/>
          <w:szCs w:val="20"/>
        </w:rPr>
        <w:t>El 1 de junio de 2000 la Fiscalía ordenó la práctica de pericias sobre los tres proyectiles y las dos vainillas encontradas en la escena del crimen</w:t>
      </w:r>
      <w:r w:rsidRPr="00707B68">
        <w:rPr>
          <w:rStyle w:val="FootnoteReference"/>
          <w:rFonts w:asciiTheme="majorHAnsi" w:hAnsiTheme="majorHAnsi"/>
          <w:sz w:val="20"/>
          <w:szCs w:val="20"/>
        </w:rPr>
        <w:footnoteReference w:id="82"/>
      </w:r>
      <w:r w:rsidRPr="00707B68">
        <w:rPr>
          <w:rFonts w:asciiTheme="majorHAnsi" w:hAnsiTheme="majorHAnsi"/>
          <w:sz w:val="20"/>
          <w:szCs w:val="20"/>
        </w:rPr>
        <w:t>. El resultado del examen determinó que las vainillas fueron percutidas por  la misma arma (pistola o subametralladora semiautomática) y que dos de los proyectiles estudiados fueron percutidos por la misma pistola, dejándose constancia de la cadena de custodia</w:t>
      </w:r>
      <w:r w:rsidRPr="00707B68">
        <w:rPr>
          <w:rStyle w:val="FootnoteReference"/>
          <w:rFonts w:asciiTheme="majorHAnsi" w:hAnsiTheme="majorHAnsi"/>
          <w:sz w:val="20"/>
          <w:szCs w:val="20"/>
        </w:rPr>
        <w:footnoteReference w:id="83"/>
      </w:r>
      <w:r w:rsidRPr="00707B68">
        <w:rPr>
          <w:rFonts w:asciiTheme="majorHAnsi" w:hAnsiTheme="majorHAnsi"/>
          <w:sz w:val="20"/>
          <w:szCs w:val="20"/>
        </w:rPr>
        <w:t xml:space="preserve">. </w:t>
      </w:r>
    </w:p>
    <w:p w14:paraId="459BD809" w14:textId="77777777" w:rsidR="00822A2A" w:rsidRPr="00707B68" w:rsidRDefault="00822A2A" w:rsidP="00A7225D">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sz w:val="20"/>
          <w:szCs w:val="20"/>
        </w:rPr>
      </w:pPr>
    </w:p>
    <w:p w14:paraId="14994FB4" w14:textId="77777777" w:rsidR="0032106F" w:rsidRPr="00707B68" w:rsidRDefault="00DC5A79" w:rsidP="00A7225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rPr>
      </w:pPr>
      <w:r w:rsidRPr="00707B68">
        <w:rPr>
          <w:rFonts w:asciiTheme="majorHAnsi" w:hAnsiTheme="majorHAnsi"/>
          <w:sz w:val="20"/>
          <w:szCs w:val="20"/>
        </w:rPr>
        <w:t>El 12 de junio</w:t>
      </w:r>
      <w:r w:rsidR="00020DBB" w:rsidRPr="00707B68">
        <w:rPr>
          <w:rFonts w:asciiTheme="majorHAnsi" w:hAnsiTheme="majorHAnsi"/>
          <w:sz w:val="20"/>
          <w:szCs w:val="20"/>
        </w:rPr>
        <w:t xml:space="preserve"> del mismo año</w:t>
      </w:r>
      <w:r w:rsidRPr="00707B68">
        <w:rPr>
          <w:rFonts w:asciiTheme="majorHAnsi" w:hAnsiTheme="majorHAnsi"/>
          <w:sz w:val="20"/>
          <w:szCs w:val="20"/>
        </w:rPr>
        <w:t xml:space="preserve"> la Fiscalía dispuso otorgar protección a los siguientes testigos: Adrián Alberto Zapata Zapata, Joaquín </w:t>
      </w:r>
      <w:r w:rsidR="0021101B" w:rsidRPr="00707B68">
        <w:rPr>
          <w:rFonts w:asciiTheme="majorHAnsi" w:hAnsiTheme="majorHAnsi"/>
          <w:sz w:val="20"/>
          <w:szCs w:val="20"/>
        </w:rPr>
        <w:t>Julián Lezcano Ortiz y Julio César García Benjumea</w:t>
      </w:r>
      <w:r w:rsidR="00EA36A8" w:rsidRPr="00707B68">
        <w:rPr>
          <w:rFonts w:asciiTheme="majorHAnsi" w:hAnsiTheme="majorHAnsi"/>
          <w:sz w:val="20"/>
          <w:szCs w:val="20"/>
        </w:rPr>
        <w:t xml:space="preserve"> dado que “corren grave riesgo de su integridad y su vida, toda que residen en el municipio de Segovia, donde actualmente existe una fuerte presencia de grupos armados ilegales, conocidos como paramilitares”</w:t>
      </w:r>
      <w:r w:rsidR="00EA36A8" w:rsidRPr="00707B68">
        <w:rPr>
          <w:rStyle w:val="FootnoteReference"/>
          <w:rFonts w:asciiTheme="majorHAnsi" w:hAnsiTheme="majorHAnsi"/>
          <w:sz w:val="20"/>
          <w:szCs w:val="20"/>
        </w:rPr>
        <w:footnoteReference w:id="84"/>
      </w:r>
      <w:r w:rsidR="00EA36A8" w:rsidRPr="00707B68">
        <w:rPr>
          <w:rFonts w:asciiTheme="majorHAnsi" w:hAnsiTheme="majorHAnsi"/>
          <w:sz w:val="20"/>
          <w:szCs w:val="20"/>
        </w:rPr>
        <w:t xml:space="preserve">. </w:t>
      </w:r>
    </w:p>
    <w:p w14:paraId="27506AA7" w14:textId="77777777" w:rsidR="0032106F" w:rsidRPr="00707B68" w:rsidRDefault="0032106F" w:rsidP="0032106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sz w:val="20"/>
          <w:szCs w:val="20"/>
        </w:rPr>
      </w:pPr>
    </w:p>
    <w:p w14:paraId="7EC7297E" w14:textId="77777777" w:rsidR="0032106F" w:rsidRPr="00707B68" w:rsidRDefault="0032106F" w:rsidP="0032106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rPr>
      </w:pPr>
      <w:r w:rsidRPr="00707B68">
        <w:rPr>
          <w:rFonts w:asciiTheme="majorHAnsi" w:hAnsiTheme="majorHAnsi"/>
          <w:sz w:val="20"/>
          <w:szCs w:val="20"/>
        </w:rPr>
        <w:t>El 17 de junio de 2000 la Fiscalía ordenó la práctica de identificación de posibles perpetradores a partir de los testimonios ya reseñados en este informe. En su oficio ordenó que se recolecte información sobre los nombres y alias allegados y también que se realice vigilancia en sus posibles lugares de reunión. Esta instrucción fue reiterada el 17 de abril de 2001</w:t>
      </w:r>
      <w:r w:rsidRPr="00707B68">
        <w:rPr>
          <w:rStyle w:val="FootnoteReference"/>
          <w:rFonts w:asciiTheme="majorHAnsi" w:hAnsiTheme="majorHAnsi"/>
          <w:sz w:val="20"/>
          <w:szCs w:val="20"/>
        </w:rPr>
        <w:footnoteReference w:id="85"/>
      </w:r>
      <w:r w:rsidRPr="00707B68">
        <w:rPr>
          <w:rFonts w:asciiTheme="majorHAnsi" w:hAnsiTheme="majorHAnsi"/>
          <w:sz w:val="20"/>
          <w:szCs w:val="20"/>
        </w:rPr>
        <w:t>.</w:t>
      </w:r>
    </w:p>
    <w:p w14:paraId="0D696B4E" w14:textId="77777777" w:rsidR="00BF784B" w:rsidRPr="00707B68" w:rsidRDefault="00BF784B" w:rsidP="00BF784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sz w:val="20"/>
          <w:szCs w:val="20"/>
        </w:rPr>
      </w:pPr>
    </w:p>
    <w:p w14:paraId="75565E37" w14:textId="5E107883" w:rsidR="00BF784B" w:rsidRPr="00707B68" w:rsidRDefault="00BF784B" w:rsidP="00BF784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rPr>
      </w:pPr>
      <w:r w:rsidRPr="00707B68">
        <w:rPr>
          <w:rFonts w:asciiTheme="majorHAnsi" w:hAnsiTheme="majorHAnsi"/>
          <w:sz w:val="20"/>
          <w:szCs w:val="20"/>
        </w:rPr>
        <w:t>Según el informe de 22 de agosto de 2001, las investigaciones arrojaron que Aníbal Ospina, “Wilington” ya no vivían en Segovia; “Giancarlo”, “Pino” y “El Draguero” no eran conocidos por las personas que fueron preguntadas; y “Christian” ya  había fallecido. El informe consigna que las personas consultadas identificaron a César Restrepo, alias Gustavo, como uno de los Comandantes de un grupo de autodefensas que operaban en Segovia. En relación con los militares implicados, consta en el expediente que la Brigada XIV de Puerto Berrio solicitó más información para determinar la identidad de Mayor Hernández, Capitán Espinel, Capitán Gomez Sargento Hernández, Sargento González y Cabo Gómez. Asimismo, el informe dio cuenta de que se identificó la Finca Bellavista como uno de sus centros de reunión, así como otros lugares que funcionaban como comercios abiertos al público</w:t>
      </w:r>
      <w:r w:rsidRPr="00707B68">
        <w:rPr>
          <w:rStyle w:val="FootnoteReference"/>
          <w:rFonts w:asciiTheme="majorHAnsi" w:hAnsiTheme="majorHAnsi"/>
          <w:sz w:val="20"/>
          <w:szCs w:val="20"/>
        </w:rPr>
        <w:footnoteReference w:id="86"/>
      </w:r>
      <w:r w:rsidRPr="00707B68">
        <w:rPr>
          <w:rFonts w:asciiTheme="majorHAnsi" w:hAnsiTheme="majorHAnsi"/>
          <w:sz w:val="20"/>
          <w:szCs w:val="20"/>
        </w:rPr>
        <w:t xml:space="preserve">.  </w:t>
      </w:r>
    </w:p>
    <w:p w14:paraId="65FB8FC3" w14:textId="77777777" w:rsidR="0032106F" w:rsidRPr="00707B68" w:rsidRDefault="0032106F" w:rsidP="0032106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sz w:val="20"/>
          <w:szCs w:val="20"/>
        </w:rPr>
      </w:pPr>
    </w:p>
    <w:p w14:paraId="3CC45B54" w14:textId="58C31CE3" w:rsidR="009F2A2F" w:rsidRPr="00707B68" w:rsidRDefault="009F2A2F" w:rsidP="009F2A2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b/>
          <w:szCs w:val="20"/>
        </w:rPr>
      </w:pPr>
      <w:r w:rsidRPr="00707B68">
        <w:rPr>
          <w:rFonts w:asciiTheme="majorHAnsi" w:hAnsiTheme="majorHAnsi"/>
          <w:color w:val="000000" w:themeColor="text1"/>
          <w:sz w:val="20"/>
          <w:szCs w:val="20"/>
          <w:lang w:val="es-VE"/>
        </w:rPr>
        <w:t>La CIDH observa que durante el año 2004 se realizaron nuevas inspecciones judiciales para conocer las investigaciones de las personas vinculadas a la muerte del señor Zapata</w:t>
      </w:r>
      <w:r w:rsidRPr="00707B68">
        <w:rPr>
          <w:rStyle w:val="FootnoteReference"/>
          <w:rFonts w:asciiTheme="majorHAnsi" w:hAnsiTheme="majorHAnsi"/>
          <w:sz w:val="20"/>
          <w:szCs w:val="20"/>
        </w:rPr>
        <w:footnoteReference w:id="87"/>
      </w:r>
      <w:r w:rsidRPr="00707B68">
        <w:rPr>
          <w:rFonts w:asciiTheme="majorHAnsi" w:hAnsiTheme="majorHAnsi"/>
          <w:color w:val="000000" w:themeColor="text1"/>
          <w:sz w:val="20"/>
          <w:szCs w:val="20"/>
        </w:rPr>
        <w:t xml:space="preserve">. Asimismo, en </w:t>
      </w:r>
      <w:r w:rsidRPr="00707B68">
        <w:rPr>
          <w:rFonts w:asciiTheme="majorHAnsi" w:hAnsiTheme="majorHAnsi"/>
          <w:sz w:val="20"/>
          <w:szCs w:val="20"/>
        </w:rPr>
        <w:t xml:space="preserve">noviembre de 2004 </w:t>
      </w:r>
      <w:r w:rsidR="0038098A" w:rsidRPr="00707B68">
        <w:rPr>
          <w:rFonts w:asciiTheme="majorHAnsi" w:hAnsiTheme="majorHAnsi"/>
          <w:sz w:val="20"/>
          <w:szCs w:val="20"/>
        </w:rPr>
        <w:lastRenderedPageBreak/>
        <w:t>Adrián</w:t>
      </w:r>
      <w:r w:rsidRPr="00707B68">
        <w:rPr>
          <w:rFonts w:asciiTheme="majorHAnsi" w:hAnsiTheme="majorHAnsi"/>
          <w:sz w:val="20"/>
          <w:szCs w:val="20"/>
        </w:rPr>
        <w:t xml:space="preserve"> Alberto brindó una nueva ampliación de declaratoria e informó tener conocimiento de que todos los implicados en la muerte de su tío ya estaban muertos</w:t>
      </w:r>
      <w:r w:rsidRPr="00707B68">
        <w:rPr>
          <w:rStyle w:val="FootnoteReference"/>
          <w:rFonts w:asciiTheme="majorHAnsi" w:hAnsiTheme="majorHAnsi"/>
          <w:sz w:val="20"/>
          <w:szCs w:val="20"/>
        </w:rPr>
        <w:footnoteReference w:id="88"/>
      </w:r>
      <w:r w:rsidRPr="00707B68">
        <w:rPr>
          <w:rFonts w:asciiTheme="majorHAnsi" w:hAnsiTheme="majorHAnsi"/>
          <w:sz w:val="20"/>
          <w:szCs w:val="20"/>
        </w:rPr>
        <w:t>.</w:t>
      </w:r>
    </w:p>
    <w:p w14:paraId="211BA637" w14:textId="77777777" w:rsidR="009F2A2F" w:rsidRPr="00707B68" w:rsidRDefault="009F2A2F" w:rsidP="0032106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sz w:val="20"/>
          <w:szCs w:val="20"/>
        </w:rPr>
      </w:pPr>
    </w:p>
    <w:p w14:paraId="7DFDABFF" w14:textId="4F24736A" w:rsidR="00822A2A" w:rsidRPr="00707B68" w:rsidRDefault="0032106F" w:rsidP="0032106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rPr>
      </w:pPr>
      <w:r w:rsidRPr="00707B68">
        <w:rPr>
          <w:rFonts w:asciiTheme="majorHAnsi" w:hAnsiTheme="majorHAnsi"/>
          <w:sz w:val="20"/>
          <w:szCs w:val="20"/>
        </w:rPr>
        <w:t xml:space="preserve">La CIDH </w:t>
      </w:r>
      <w:r w:rsidR="00435CB0" w:rsidRPr="00707B68">
        <w:rPr>
          <w:rFonts w:asciiTheme="majorHAnsi" w:hAnsiTheme="majorHAnsi"/>
          <w:sz w:val="20"/>
          <w:szCs w:val="20"/>
        </w:rPr>
        <w:t>nota</w:t>
      </w:r>
      <w:r w:rsidRPr="00707B68">
        <w:rPr>
          <w:rFonts w:asciiTheme="majorHAnsi" w:hAnsiTheme="majorHAnsi"/>
          <w:sz w:val="20"/>
          <w:szCs w:val="20"/>
        </w:rPr>
        <w:t xml:space="preserve"> que c</w:t>
      </w:r>
      <w:r w:rsidR="00B108BB" w:rsidRPr="00707B68">
        <w:rPr>
          <w:rFonts w:asciiTheme="majorHAnsi" w:hAnsiTheme="majorHAnsi"/>
          <w:sz w:val="20"/>
          <w:szCs w:val="20"/>
        </w:rPr>
        <w:t>onsta en el expediente que el año 2005 la Fiscalía corroboró que el señor Lezcano falleció producto de un atentado el año 2002</w:t>
      </w:r>
      <w:r w:rsidR="00B108BB" w:rsidRPr="00707B68">
        <w:rPr>
          <w:rStyle w:val="FootnoteReference"/>
          <w:rFonts w:asciiTheme="majorHAnsi" w:hAnsiTheme="majorHAnsi"/>
          <w:sz w:val="20"/>
          <w:szCs w:val="20"/>
        </w:rPr>
        <w:footnoteReference w:id="89"/>
      </w:r>
      <w:r w:rsidR="00B108BB" w:rsidRPr="00707B68">
        <w:rPr>
          <w:rFonts w:asciiTheme="majorHAnsi" w:hAnsiTheme="majorHAnsi"/>
          <w:sz w:val="20"/>
          <w:szCs w:val="20"/>
        </w:rPr>
        <w:t>.</w:t>
      </w:r>
      <w:r w:rsidRPr="00707B68">
        <w:rPr>
          <w:rFonts w:asciiTheme="majorHAnsi" w:hAnsiTheme="majorHAnsi"/>
          <w:sz w:val="20"/>
          <w:szCs w:val="20"/>
        </w:rPr>
        <w:t xml:space="preserve"> </w:t>
      </w:r>
      <w:r w:rsidR="00822A2A" w:rsidRPr="00707B68">
        <w:rPr>
          <w:rFonts w:asciiTheme="majorHAnsi" w:hAnsiTheme="majorHAnsi"/>
          <w:sz w:val="20"/>
          <w:szCs w:val="20"/>
        </w:rPr>
        <w:t xml:space="preserve">El 10 de octubre </w:t>
      </w:r>
      <w:r w:rsidRPr="00707B68">
        <w:rPr>
          <w:rFonts w:asciiTheme="majorHAnsi" w:hAnsiTheme="majorHAnsi"/>
          <w:sz w:val="20"/>
          <w:szCs w:val="20"/>
        </w:rPr>
        <w:t>de dicho año</w:t>
      </w:r>
      <w:r w:rsidR="00822A2A" w:rsidRPr="00707B68">
        <w:rPr>
          <w:rFonts w:asciiTheme="majorHAnsi" w:hAnsiTheme="majorHAnsi"/>
          <w:sz w:val="20"/>
          <w:szCs w:val="20"/>
        </w:rPr>
        <w:t xml:space="preserve"> la Fiscalía remitió dos proyectiles recuperados durante la necropsia para su investigación por laboratorio de balística del Cuerpo Técnico de Investigaciones</w:t>
      </w:r>
      <w:r w:rsidR="00822A2A" w:rsidRPr="00707B68">
        <w:rPr>
          <w:rStyle w:val="FootnoteReference"/>
          <w:rFonts w:asciiTheme="majorHAnsi" w:hAnsiTheme="majorHAnsi"/>
          <w:sz w:val="20"/>
          <w:szCs w:val="20"/>
        </w:rPr>
        <w:footnoteReference w:id="90"/>
      </w:r>
      <w:r w:rsidR="00822A2A" w:rsidRPr="00707B68">
        <w:rPr>
          <w:rFonts w:asciiTheme="majorHAnsi" w:hAnsiTheme="majorHAnsi"/>
          <w:sz w:val="20"/>
          <w:szCs w:val="20"/>
        </w:rPr>
        <w:t>. Dicho examen no arrojó ningún resultado útil para la investigación</w:t>
      </w:r>
      <w:r w:rsidR="00822A2A" w:rsidRPr="00707B68">
        <w:rPr>
          <w:rStyle w:val="FootnoteReference"/>
          <w:rFonts w:asciiTheme="majorHAnsi" w:hAnsiTheme="majorHAnsi"/>
          <w:sz w:val="20"/>
          <w:szCs w:val="20"/>
        </w:rPr>
        <w:footnoteReference w:id="91"/>
      </w:r>
      <w:r w:rsidR="00822A2A" w:rsidRPr="00707B68">
        <w:rPr>
          <w:rFonts w:asciiTheme="majorHAnsi" w:hAnsiTheme="majorHAnsi"/>
          <w:sz w:val="20"/>
          <w:szCs w:val="20"/>
        </w:rPr>
        <w:t>.</w:t>
      </w:r>
    </w:p>
    <w:p w14:paraId="7396DF33" w14:textId="77777777" w:rsidR="00822A2A" w:rsidRPr="00707B68" w:rsidRDefault="00822A2A" w:rsidP="00401CD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sz w:val="20"/>
          <w:szCs w:val="20"/>
        </w:rPr>
      </w:pPr>
    </w:p>
    <w:p w14:paraId="4FD22068" w14:textId="77777777" w:rsidR="00DC34D7" w:rsidRPr="00707B68" w:rsidRDefault="00DC34D7" w:rsidP="00401CD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rPr>
      </w:pPr>
      <w:r w:rsidRPr="00707B68">
        <w:rPr>
          <w:rFonts w:asciiTheme="majorHAnsi" w:hAnsiTheme="majorHAnsi"/>
          <w:sz w:val="20"/>
          <w:szCs w:val="20"/>
        </w:rPr>
        <w:t>La CIDH dej</w:t>
      </w:r>
      <w:r w:rsidR="00C636A2" w:rsidRPr="00707B68">
        <w:rPr>
          <w:rFonts w:asciiTheme="majorHAnsi" w:hAnsiTheme="majorHAnsi"/>
          <w:sz w:val="20"/>
          <w:szCs w:val="20"/>
        </w:rPr>
        <w:t xml:space="preserve">a constancia de que </w:t>
      </w:r>
      <w:r w:rsidR="00A7644A" w:rsidRPr="00707B68">
        <w:rPr>
          <w:rFonts w:asciiTheme="majorHAnsi" w:hAnsiTheme="majorHAnsi"/>
          <w:sz w:val="20"/>
          <w:szCs w:val="20"/>
        </w:rPr>
        <w:t xml:space="preserve">en </w:t>
      </w:r>
      <w:r w:rsidR="00C636A2" w:rsidRPr="00707B68">
        <w:rPr>
          <w:rFonts w:asciiTheme="majorHAnsi" w:hAnsiTheme="majorHAnsi"/>
          <w:sz w:val="20"/>
          <w:szCs w:val="20"/>
        </w:rPr>
        <w:t>los años 2004</w:t>
      </w:r>
      <w:r w:rsidR="00C636A2" w:rsidRPr="00707B68">
        <w:rPr>
          <w:rStyle w:val="FootnoteReference"/>
          <w:rFonts w:asciiTheme="majorHAnsi" w:hAnsiTheme="majorHAnsi"/>
          <w:sz w:val="20"/>
          <w:szCs w:val="20"/>
        </w:rPr>
        <w:footnoteReference w:id="92"/>
      </w:r>
      <w:r w:rsidR="00B54BF8" w:rsidRPr="00707B68">
        <w:rPr>
          <w:rFonts w:asciiTheme="majorHAnsi" w:hAnsiTheme="majorHAnsi"/>
          <w:sz w:val="20"/>
          <w:szCs w:val="20"/>
        </w:rPr>
        <w:t xml:space="preserve">, </w:t>
      </w:r>
      <w:r w:rsidR="00C636A2" w:rsidRPr="00707B68">
        <w:rPr>
          <w:rFonts w:asciiTheme="majorHAnsi" w:hAnsiTheme="majorHAnsi"/>
          <w:sz w:val="20"/>
          <w:szCs w:val="20"/>
        </w:rPr>
        <w:t>2007</w:t>
      </w:r>
      <w:r w:rsidR="00C636A2" w:rsidRPr="00707B68">
        <w:rPr>
          <w:rStyle w:val="FootnoteReference"/>
          <w:rFonts w:asciiTheme="majorHAnsi" w:hAnsiTheme="majorHAnsi"/>
          <w:sz w:val="20"/>
          <w:szCs w:val="20"/>
        </w:rPr>
        <w:footnoteReference w:id="93"/>
      </w:r>
      <w:r w:rsidR="00B025EC" w:rsidRPr="00707B68">
        <w:rPr>
          <w:rFonts w:asciiTheme="majorHAnsi" w:hAnsiTheme="majorHAnsi"/>
          <w:sz w:val="20"/>
          <w:szCs w:val="20"/>
        </w:rPr>
        <w:t xml:space="preserve">, </w:t>
      </w:r>
      <w:r w:rsidR="00B54BF8" w:rsidRPr="00707B68">
        <w:rPr>
          <w:rFonts w:asciiTheme="majorHAnsi" w:hAnsiTheme="majorHAnsi"/>
          <w:sz w:val="20"/>
          <w:szCs w:val="20"/>
        </w:rPr>
        <w:t>2013</w:t>
      </w:r>
      <w:r w:rsidR="00B54BF8" w:rsidRPr="00707B68">
        <w:rPr>
          <w:rStyle w:val="FootnoteReference"/>
          <w:rFonts w:asciiTheme="majorHAnsi" w:hAnsiTheme="majorHAnsi"/>
          <w:sz w:val="20"/>
          <w:szCs w:val="20"/>
        </w:rPr>
        <w:footnoteReference w:id="94"/>
      </w:r>
      <w:r w:rsidR="00B54BF8" w:rsidRPr="00707B68">
        <w:rPr>
          <w:rFonts w:asciiTheme="majorHAnsi" w:hAnsiTheme="majorHAnsi"/>
          <w:sz w:val="20"/>
          <w:szCs w:val="20"/>
        </w:rPr>
        <w:t xml:space="preserve"> </w:t>
      </w:r>
      <w:r w:rsidR="00B025EC" w:rsidRPr="00707B68">
        <w:rPr>
          <w:rFonts w:asciiTheme="majorHAnsi" w:hAnsiTheme="majorHAnsi"/>
          <w:sz w:val="20"/>
          <w:szCs w:val="20"/>
        </w:rPr>
        <w:t>y 2014</w:t>
      </w:r>
      <w:r w:rsidR="00B025EC" w:rsidRPr="00707B68">
        <w:rPr>
          <w:rStyle w:val="FootnoteReference"/>
          <w:rFonts w:asciiTheme="majorHAnsi" w:hAnsiTheme="majorHAnsi"/>
          <w:sz w:val="20"/>
          <w:szCs w:val="20"/>
        </w:rPr>
        <w:footnoteReference w:id="95"/>
      </w:r>
      <w:r w:rsidR="00B025EC" w:rsidRPr="00707B68">
        <w:rPr>
          <w:rFonts w:asciiTheme="majorHAnsi" w:hAnsiTheme="majorHAnsi"/>
          <w:sz w:val="20"/>
          <w:szCs w:val="20"/>
        </w:rPr>
        <w:t xml:space="preserve"> </w:t>
      </w:r>
      <w:r w:rsidRPr="00707B68">
        <w:rPr>
          <w:rFonts w:asciiTheme="majorHAnsi" w:hAnsiTheme="majorHAnsi"/>
          <w:sz w:val="20"/>
          <w:szCs w:val="20"/>
        </w:rPr>
        <w:t>se tomaron nuevas declaraciones a personas allegadas y ampliaciones de algunos testigos. El contenido de esas declaraciones es consistente con lo ya expresado en el presente informe.</w:t>
      </w:r>
      <w:r w:rsidR="00A7644A" w:rsidRPr="00707B68">
        <w:rPr>
          <w:rFonts w:asciiTheme="majorHAnsi" w:hAnsiTheme="majorHAnsi"/>
          <w:sz w:val="20"/>
          <w:szCs w:val="20"/>
        </w:rPr>
        <w:t xml:space="preserve"> Cabe indicar que e</w:t>
      </w:r>
      <w:r w:rsidR="00B54BF8" w:rsidRPr="00707B68">
        <w:rPr>
          <w:rFonts w:asciiTheme="majorHAnsi" w:hAnsiTheme="majorHAnsi"/>
          <w:sz w:val="20"/>
          <w:szCs w:val="20"/>
        </w:rPr>
        <w:t xml:space="preserve">n su ampliación de declaratoria del 2013 Adrián Alberto indicó que había conocido </w:t>
      </w:r>
      <w:r w:rsidR="00A7644A" w:rsidRPr="00707B68">
        <w:rPr>
          <w:rFonts w:asciiTheme="majorHAnsi" w:hAnsiTheme="majorHAnsi"/>
          <w:sz w:val="20"/>
          <w:szCs w:val="20"/>
        </w:rPr>
        <w:t xml:space="preserve">por terceros de </w:t>
      </w:r>
      <w:r w:rsidR="00B54BF8" w:rsidRPr="00707B68">
        <w:rPr>
          <w:rFonts w:asciiTheme="majorHAnsi" w:hAnsiTheme="majorHAnsi"/>
          <w:sz w:val="20"/>
          <w:szCs w:val="20"/>
        </w:rPr>
        <w:t>que el conductor del taxi trabajaba con las autodefensas</w:t>
      </w:r>
      <w:r w:rsidR="00CF5A7A" w:rsidRPr="00707B68">
        <w:rPr>
          <w:rFonts w:asciiTheme="majorHAnsi" w:hAnsiTheme="majorHAnsi"/>
          <w:sz w:val="20"/>
          <w:szCs w:val="20"/>
        </w:rPr>
        <w:t xml:space="preserve">. Asimismo, </w:t>
      </w:r>
      <w:r w:rsidR="00A7644A" w:rsidRPr="00707B68">
        <w:rPr>
          <w:rFonts w:asciiTheme="majorHAnsi" w:hAnsiTheme="majorHAnsi"/>
          <w:sz w:val="20"/>
          <w:szCs w:val="20"/>
        </w:rPr>
        <w:t xml:space="preserve">la CIDH observa </w:t>
      </w:r>
      <w:r w:rsidR="00CF5A7A" w:rsidRPr="00707B68">
        <w:rPr>
          <w:rFonts w:asciiTheme="majorHAnsi" w:hAnsiTheme="majorHAnsi"/>
          <w:sz w:val="20"/>
          <w:szCs w:val="20"/>
        </w:rPr>
        <w:t xml:space="preserve">que con las declaraciones del 2014 se vinculó </w:t>
      </w:r>
      <w:r w:rsidR="00A7644A" w:rsidRPr="00707B68">
        <w:rPr>
          <w:rFonts w:asciiTheme="majorHAnsi" w:hAnsiTheme="majorHAnsi"/>
          <w:sz w:val="20"/>
          <w:szCs w:val="20"/>
        </w:rPr>
        <w:t xml:space="preserve">específicamente </w:t>
      </w:r>
      <w:r w:rsidR="00CF5A7A" w:rsidRPr="00707B68">
        <w:rPr>
          <w:rFonts w:asciiTheme="majorHAnsi" w:hAnsiTheme="majorHAnsi"/>
          <w:sz w:val="20"/>
          <w:szCs w:val="20"/>
        </w:rPr>
        <w:t xml:space="preserve">a la autodefensa denominada “grupo Metro”. </w:t>
      </w:r>
    </w:p>
    <w:p w14:paraId="1B2610FB" w14:textId="77777777" w:rsidR="00681494" w:rsidRPr="00707B68" w:rsidRDefault="00681494" w:rsidP="00401CDB">
      <w:pPr>
        <w:tabs>
          <w:tab w:val="left" w:pos="360"/>
        </w:tabs>
        <w:rPr>
          <w:rFonts w:asciiTheme="majorHAnsi" w:hAnsiTheme="majorHAnsi"/>
          <w:sz w:val="20"/>
        </w:rPr>
      </w:pPr>
    </w:p>
    <w:p w14:paraId="1FCA1061" w14:textId="77777777" w:rsidR="00865588" w:rsidRPr="00707B68" w:rsidRDefault="00865588" w:rsidP="0086558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rPr>
      </w:pPr>
      <w:r w:rsidRPr="00707B68">
        <w:rPr>
          <w:rFonts w:asciiTheme="majorHAnsi" w:hAnsiTheme="majorHAnsi"/>
          <w:sz w:val="20"/>
          <w:szCs w:val="20"/>
        </w:rPr>
        <w:t>La Comisión observa que en abril de 2007 un grupo de militares fue relacionado a la investigación dados sus vínculos con los paramilitares y por su presencia en Segovia en la época de los hechos. En el mismo documento también en enlistaron los nombres de colaboradores e integrantes de grupos paramilitares y autodefensas que operaron en esos años en el nordeste antioqueño</w:t>
      </w:r>
      <w:r w:rsidRPr="00707B68">
        <w:rPr>
          <w:rStyle w:val="FootnoteReference"/>
          <w:rFonts w:asciiTheme="majorHAnsi" w:hAnsiTheme="majorHAnsi"/>
          <w:sz w:val="20"/>
          <w:szCs w:val="20"/>
        </w:rPr>
        <w:footnoteReference w:id="96"/>
      </w:r>
      <w:r w:rsidRPr="00707B68">
        <w:rPr>
          <w:rFonts w:asciiTheme="majorHAnsi" w:hAnsiTheme="majorHAnsi"/>
          <w:sz w:val="20"/>
          <w:szCs w:val="20"/>
        </w:rPr>
        <w:t xml:space="preserve">. </w:t>
      </w:r>
    </w:p>
    <w:p w14:paraId="025DF474" w14:textId="77777777" w:rsidR="00607CAF" w:rsidRPr="00707B68" w:rsidRDefault="00607CAF" w:rsidP="00607CA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sz w:val="20"/>
          <w:szCs w:val="20"/>
        </w:rPr>
      </w:pPr>
    </w:p>
    <w:p w14:paraId="34A47A6F" w14:textId="77777777" w:rsidR="00047157" w:rsidRPr="00707B68" w:rsidRDefault="00047157" w:rsidP="00047157">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b/>
          <w:szCs w:val="20"/>
        </w:rPr>
      </w:pPr>
      <w:r w:rsidRPr="00707B68">
        <w:rPr>
          <w:rFonts w:asciiTheme="majorHAnsi" w:hAnsiTheme="majorHAnsi"/>
          <w:color w:val="000000" w:themeColor="text1"/>
          <w:sz w:val="20"/>
          <w:szCs w:val="20"/>
        </w:rPr>
        <w:t>La</w:t>
      </w:r>
      <w:r w:rsidRPr="00707B68">
        <w:rPr>
          <w:rFonts w:asciiTheme="majorHAnsi" w:hAnsiTheme="majorHAnsi"/>
          <w:color w:val="000000" w:themeColor="text1"/>
          <w:sz w:val="20"/>
          <w:szCs w:val="20"/>
          <w:lang w:val="es-VE"/>
        </w:rPr>
        <w:t xml:space="preserve"> Comisión nota que durante el año 2008 la Fiscalía encargada buscó reiteradamente la colaboración de la Unidad Nacional para la Justicia y Paz con la finalidad de determinar si entre los casos en el marco de su jurisdicción especial algún paramilitar había prestado información sobre la muerte del señor Zapata</w:t>
      </w:r>
      <w:r w:rsidRPr="00707B68">
        <w:rPr>
          <w:rStyle w:val="FootnoteReference"/>
          <w:rFonts w:asciiTheme="majorHAnsi" w:hAnsiTheme="majorHAnsi"/>
          <w:color w:val="000000" w:themeColor="text1"/>
          <w:sz w:val="20"/>
          <w:szCs w:val="20"/>
          <w:lang w:val="es-VE"/>
        </w:rPr>
        <w:footnoteReference w:id="97"/>
      </w:r>
      <w:r w:rsidRPr="00707B68">
        <w:rPr>
          <w:rFonts w:asciiTheme="majorHAnsi" w:hAnsiTheme="majorHAnsi"/>
          <w:color w:val="000000" w:themeColor="text1"/>
          <w:sz w:val="20"/>
          <w:szCs w:val="20"/>
          <w:lang w:val="es-VE"/>
        </w:rPr>
        <w:t xml:space="preserve">. </w:t>
      </w:r>
    </w:p>
    <w:p w14:paraId="4A623552" w14:textId="77777777" w:rsidR="00047157" w:rsidRPr="00707B68" w:rsidRDefault="00047157" w:rsidP="00607CA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sz w:val="20"/>
          <w:szCs w:val="20"/>
        </w:rPr>
      </w:pPr>
    </w:p>
    <w:p w14:paraId="102294F0" w14:textId="77777777" w:rsidR="00F364BA" w:rsidRPr="00707B68" w:rsidRDefault="00F364BA" w:rsidP="00F364B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rPr>
      </w:pPr>
      <w:r w:rsidRPr="00707B68">
        <w:rPr>
          <w:rFonts w:asciiTheme="majorHAnsi" w:hAnsiTheme="majorHAnsi"/>
          <w:sz w:val="20"/>
          <w:szCs w:val="20"/>
        </w:rPr>
        <w:t>En el año 2010 la representación de la familia solicitó la actuación de quince diligencias de tipo testimonial al personal policial que tuvo primer conocimiento de la desaparición del señor Zapata, personal militar adscrito al Batallón Contraguerrillas No. 47 Héroes de Tacine y a un grupo de posibles paramilitares que operaron en la zona en la época de los hechos. La Comisión observa que la Fiscalía desestimó su solicitud dado que no consideró que habían elementos probatorios o racionales que demostrarán la utilidad de la práctica de las pruebas. Únicamente se admitió el trasladar la prueba de la investigación previa radicado 31739 que podría contener información útil sobre la operación de grupos ilegales en Segovia en la época de los hechos y la citación al Alcalde de Segovia (Martín Alberto Cuassi Cifuentes) y el Encargado Municipal (Luis Eduardo Acevedo) quiénes recibieron instrucciones de prestar protección al señor Zapata a su retorno de Medellín a Segovia en 1998</w:t>
      </w:r>
      <w:r w:rsidRPr="00707B68">
        <w:rPr>
          <w:rStyle w:val="FootnoteReference"/>
          <w:rFonts w:asciiTheme="majorHAnsi" w:hAnsiTheme="majorHAnsi"/>
          <w:sz w:val="20"/>
          <w:szCs w:val="20"/>
        </w:rPr>
        <w:footnoteReference w:id="98"/>
      </w:r>
      <w:r w:rsidRPr="00707B68">
        <w:rPr>
          <w:rFonts w:asciiTheme="majorHAnsi" w:hAnsiTheme="majorHAnsi"/>
          <w:sz w:val="20"/>
          <w:szCs w:val="20"/>
        </w:rPr>
        <w:t>. Consta en el expediente que el señor Cifuentes depositó declaración el 16 de marzo del mismo año aportando información consistente con ya lo señalado en este informe</w:t>
      </w:r>
      <w:r w:rsidRPr="00707B68">
        <w:rPr>
          <w:rStyle w:val="FootnoteReference"/>
          <w:rFonts w:asciiTheme="majorHAnsi" w:hAnsiTheme="majorHAnsi"/>
          <w:sz w:val="20"/>
          <w:szCs w:val="20"/>
        </w:rPr>
        <w:footnoteReference w:id="99"/>
      </w:r>
      <w:r w:rsidRPr="00707B68">
        <w:rPr>
          <w:rFonts w:asciiTheme="majorHAnsi" w:hAnsiTheme="majorHAnsi"/>
          <w:sz w:val="20"/>
          <w:szCs w:val="20"/>
        </w:rPr>
        <w:t xml:space="preserve">. </w:t>
      </w:r>
    </w:p>
    <w:p w14:paraId="012C00AD" w14:textId="77777777" w:rsidR="00F364BA" w:rsidRPr="00707B68" w:rsidRDefault="00F364BA" w:rsidP="00607CA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sz w:val="20"/>
          <w:szCs w:val="20"/>
        </w:rPr>
      </w:pPr>
    </w:p>
    <w:p w14:paraId="1D0A2B01" w14:textId="77777777" w:rsidR="00F364BA" w:rsidRPr="00707B68" w:rsidRDefault="00F364BA" w:rsidP="00F364B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rPr>
      </w:pPr>
      <w:r w:rsidRPr="00707B68">
        <w:rPr>
          <w:rFonts w:asciiTheme="majorHAnsi" w:hAnsiTheme="majorHAnsi"/>
          <w:sz w:val="20"/>
          <w:szCs w:val="20"/>
        </w:rPr>
        <w:t>La CIDH observa que en marzo de 2012 la Fiscal ordenó que se practiquen diversas pruebas solicitadas por la parte civil</w:t>
      </w:r>
      <w:r w:rsidRPr="00707B68">
        <w:rPr>
          <w:rStyle w:val="FootnoteReference"/>
          <w:rFonts w:asciiTheme="majorHAnsi" w:hAnsiTheme="majorHAnsi"/>
          <w:sz w:val="20"/>
          <w:szCs w:val="20"/>
        </w:rPr>
        <w:footnoteReference w:id="100"/>
      </w:r>
      <w:r w:rsidRPr="00707B68">
        <w:rPr>
          <w:rFonts w:asciiTheme="majorHAnsi" w:hAnsiTheme="majorHAnsi"/>
          <w:sz w:val="20"/>
          <w:szCs w:val="20"/>
        </w:rPr>
        <w:t>. La Unidad de Justicia y Paz señaló que de la lista de nombres de paramilitares desmovilizados ninguno se encontraba postulados ante su jurisdicción</w:t>
      </w:r>
      <w:r w:rsidRPr="00707B68">
        <w:rPr>
          <w:rStyle w:val="FootnoteReference"/>
          <w:rFonts w:asciiTheme="majorHAnsi" w:hAnsiTheme="majorHAnsi"/>
          <w:sz w:val="20"/>
          <w:szCs w:val="20"/>
        </w:rPr>
        <w:footnoteReference w:id="101"/>
      </w:r>
      <w:r w:rsidRPr="00707B68">
        <w:rPr>
          <w:rFonts w:asciiTheme="majorHAnsi" w:hAnsiTheme="majorHAnsi"/>
          <w:sz w:val="20"/>
          <w:szCs w:val="20"/>
        </w:rPr>
        <w:t xml:space="preserve"> y la Jefatura de Derecho Internacional Humanitario </w:t>
      </w:r>
      <w:r w:rsidRPr="00707B68">
        <w:rPr>
          <w:rFonts w:asciiTheme="majorHAnsi" w:hAnsiTheme="majorHAnsi"/>
          <w:sz w:val="20"/>
          <w:szCs w:val="20"/>
        </w:rPr>
        <w:lastRenderedPageBreak/>
        <w:t>del Ejército remitió los datos de seis miembros del Ejército</w:t>
      </w:r>
      <w:r w:rsidRPr="00707B68">
        <w:rPr>
          <w:rStyle w:val="FootnoteReference"/>
          <w:rFonts w:asciiTheme="majorHAnsi" w:hAnsiTheme="majorHAnsi"/>
          <w:sz w:val="20"/>
          <w:szCs w:val="20"/>
        </w:rPr>
        <w:footnoteReference w:id="102"/>
      </w:r>
      <w:r w:rsidRPr="00707B68">
        <w:rPr>
          <w:rFonts w:asciiTheme="majorHAnsi" w:hAnsiTheme="majorHAnsi"/>
          <w:sz w:val="20"/>
          <w:szCs w:val="20"/>
        </w:rPr>
        <w:t xml:space="preserve">. </w:t>
      </w:r>
      <w:r w:rsidRPr="00707B68">
        <w:rPr>
          <w:rFonts w:asciiTheme="majorHAnsi" w:hAnsiTheme="majorHAnsi"/>
          <w:color w:val="000000" w:themeColor="text1"/>
          <w:sz w:val="20"/>
          <w:szCs w:val="20"/>
          <w:lang w:val="es-VE"/>
        </w:rPr>
        <w:t>Asimismo, el 25 de abril del mismo año la parte civil requirió nuevas diligencias a la Fiscalía y el 5 de junio las mismas fueron practicadas. La CIDH observa que la Fiscalía ordenó inspecciones judiciales, copia del expediente “del sindicalista Jesús Ramiro Zapata”, toma de testimonios a miembros del Ejército, información contextual sobre la situación de los derechos humanos en Segovia a la Defensoría, entre otras diligencias</w:t>
      </w:r>
      <w:r w:rsidRPr="00707B68">
        <w:rPr>
          <w:rStyle w:val="FootnoteReference"/>
          <w:rFonts w:asciiTheme="majorHAnsi" w:hAnsiTheme="majorHAnsi"/>
          <w:color w:val="000000" w:themeColor="text1"/>
          <w:sz w:val="20"/>
          <w:szCs w:val="20"/>
          <w:lang w:val="es-VE"/>
        </w:rPr>
        <w:footnoteReference w:id="103"/>
      </w:r>
      <w:r w:rsidRPr="00707B68">
        <w:rPr>
          <w:rFonts w:asciiTheme="majorHAnsi" w:hAnsiTheme="majorHAnsi"/>
          <w:color w:val="000000" w:themeColor="text1"/>
          <w:sz w:val="20"/>
          <w:szCs w:val="20"/>
          <w:lang w:val="es-VE"/>
        </w:rPr>
        <w:t xml:space="preserve">. </w:t>
      </w:r>
    </w:p>
    <w:p w14:paraId="48B32E75" w14:textId="77777777" w:rsidR="00F364BA" w:rsidRPr="00707B68" w:rsidRDefault="00F364BA" w:rsidP="00607CA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sz w:val="20"/>
          <w:szCs w:val="20"/>
        </w:rPr>
      </w:pPr>
    </w:p>
    <w:p w14:paraId="66F18C12" w14:textId="5EAD01DD" w:rsidR="00937D4C" w:rsidRPr="00707B68" w:rsidRDefault="00607CAF" w:rsidP="00401CD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sz w:val="20"/>
          <w:szCs w:val="20"/>
        </w:rPr>
      </w:pPr>
      <w:r w:rsidRPr="00707B68">
        <w:rPr>
          <w:rFonts w:asciiTheme="majorHAnsi" w:hAnsiTheme="majorHAnsi"/>
          <w:sz w:val="20"/>
          <w:szCs w:val="20"/>
        </w:rPr>
        <w:t xml:space="preserve">La CIDH nota que en agosto de 2012 </w:t>
      </w:r>
      <w:r w:rsidR="007E3A80" w:rsidRPr="00707B68">
        <w:rPr>
          <w:rFonts w:asciiTheme="majorHAnsi" w:hAnsiTheme="majorHAnsi"/>
          <w:sz w:val="20"/>
          <w:szCs w:val="20"/>
        </w:rPr>
        <w:t>la Unidad de Justicia y Paz brindó dos nombres de paramilitares que actuaron en Segovia entre 1997 y 2003</w:t>
      </w:r>
      <w:r w:rsidR="007E3A80" w:rsidRPr="00707B68">
        <w:rPr>
          <w:rStyle w:val="FootnoteReference"/>
          <w:rFonts w:asciiTheme="majorHAnsi" w:hAnsiTheme="majorHAnsi"/>
          <w:sz w:val="20"/>
          <w:szCs w:val="20"/>
        </w:rPr>
        <w:footnoteReference w:id="104"/>
      </w:r>
      <w:r w:rsidR="007E3A80" w:rsidRPr="00707B68">
        <w:rPr>
          <w:rFonts w:asciiTheme="majorHAnsi" w:hAnsiTheme="majorHAnsi"/>
          <w:sz w:val="20"/>
          <w:szCs w:val="20"/>
        </w:rPr>
        <w:t xml:space="preserve">. </w:t>
      </w:r>
      <w:r w:rsidR="00865588" w:rsidRPr="00707B68">
        <w:rPr>
          <w:rFonts w:asciiTheme="majorHAnsi" w:hAnsiTheme="majorHAnsi"/>
          <w:sz w:val="20"/>
          <w:szCs w:val="20"/>
        </w:rPr>
        <w:t xml:space="preserve">Consta en el expediente que durante ese año, </w:t>
      </w:r>
      <w:r w:rsidR="00A04E95" w:rsidRPr="00707B68">
        <w:rPr>
          <w:rFonts w:asciiTheme="majorHAnsi" w:hAnsiTheme="majorHAnsi"/>
          <w:sz w:val="20"/>
          <w:szCs w:val="20"/>
        </w:rPr>
        <w:t>la persona privada de libertad</w:t>
      </w:r>
      <w:r w:rsidR="0075256D" w:rsidRPr="00707B68">
        <w:rPr>
          <w:rFonts w:asciiTheme="majorHAnsi" w:hAnsiTheme="majorHAnsi"/>
          <w:sz w:val="20"/>
          <w:szCs w:val="20"/>
        </w:rPr>
        <w:t xml:space="preserve"> Edwin Jair Arango Calderón, quien integró y trabajó para fuerzas paramilitares, declaró ante la Fiscalía que, para el año de la muerte de la presunta víctima, tenía conocimiento </w:t>
      </w:r>
      <w:r w:rsidR="002A4461" w:rsidRPr="00707B68">
        <w:rPr>
          <w:rFonts w:asciiTheme="majorHAnsi" w:hAnsiTheme="majorHAnsi"/>
          <w:sz w:val="20"/>
          <w:szCs w:val="20"/>
        </w:rPr>
        <w:t xml:space="preserve">de </w:t>
      </w:r>
      <w:r w:rsidR="0075256D" w:rsidRPr="00707B68">
        <w:rPr>
          <w:rFonts w:asciiTheme="majorHAnsi" w:hAnsiTheme="majorHAnsi"/>
          <w:sz w:val="20"/>
          <w:szCs w:val="20"/>
        </w:rPr>
        <w:t>que el alcalde de Segovia, Alberth Rodríguez Luján, trabajaba en coordinación con las autodefensas</w:t>
      </w:r>
      <w:r w:rsidR="0075256D" w:rsidRPr="00707B68">
        <w:rPr>
          <w:rStyle w:val="FootnoteReference"/>
          <w:rFonts w:asciiTheme="majorHAnsi" w:hAnsiTheme="majorHAnsi"/>
          <w:sz w:val="20"/>
          <w:szCs w:val="20"/>
        </w:rPr>
        <w:footnoteReference w:id="105"/>
      </w:r>
      <w:r w:rsidR="0075256D" w:rsidRPr="00707B68">
        <w:rPr>
          <w:rFonts w:asciiTheme="majorHAnsi" w:hAnsiTheme="majorHAnsi"/>
          <w:sz w:val="20"/>
          <w:szCs w:val="20"/>
        </w:rPr>
        <w:t>.</w:t>
      </w:r>
    </w:p>
    <w:p w14:paraId="56599748" w14:textId="77777777" w:rsidR="00F364BA" w:rsidRPr="00707B68" w:rsidRDefault="00F364BA" w:rsidP="00F364B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color w:val="000000" w:themeColor="text1"/>
          <w:sz w:val="20"/>
          <w:szCs w:val="20"/>
          <w:lang w:val="es-VE"/>
        </w:rPr>
      </w:pPr>
    </w:p>
    <w:p w14:paraId="087DA4FB" w14:textId="645080D2" w:rsidR="00042F12" w:rsidRPr="00707B68" w:rsidRDefault="005B0873" w:rsidP="00042F12">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La Comisión toma nota de que en el</w:t>
      </w:r>
      <w:r w:rsidR="009D3BB7" w:rsidRPr="00707B68">
        <w:rPr>
          <w:rFonts w:asciiTheme="majorHAnsi" w:hAnsiTheme="majorHAnsi"/>
          <w:color w:val="000000" w:themeColor="text1"/>
          <w:sz w:val="20"/>
          <w:szCs w:val="20"/>
          <w:lang w:val="es-VE"/>
        </w:rPr>
        <w:t xml:space="preserve"> año 2013 la Fiscalía reiteró varias de las diligencias no practicadas. </w:t>
      </w:r>
      <w:r w:rsidR="006C60B3" w:rsidRPr="00707B68">
        <w:rPr>
          <w:rFonts w:asciiTheme="majorHAnsi" w:hAnsiTheme="majorHAnsi"/>
          <w:color w:val="000000" w:themeColor="text1"/>
          <w:sz w:val="20"/>
          <w:szCs w:val="20"/>
          <w:lang w:val="es-VE"/>
        </w:rPr>
        <w:t>La Fiscalía también intentó realizar una inspección judicial en la personería municipal de Segovia de las denuncias interpuestas por el señor Zapata, sin embargo, se le informó que el archivo estaba en desorden</w:t>
      </w:r>
      <w:r w:rsidR="006C60B3" w:rsidRPr="00707B68">
        <w:rPr>
          <w:rStyle w:val="FootnoteReference"/>
          <w:rFonts w:asciiTheme="majorHAnsi" w:hAnsiTheme="majorHAnsi"/>
          <w:color w:val="000000" w:themeColor="text1"/>
          <w:sz w:val="20"/>
          <w:szCs w:val="20"/>
          <w:lang w:val="es-VE"/>
        </w:rPr>
        <w:footnoteReference w:id="106"/>
      </w:r>
      <w:r w:rsidR="006C60B3" w:rsidRPr="00707B68">
        <w:rPr>
          <w:rFonts w:asciiTheme="majorHAnsi" w:hAnsiTheme="majorHAnsi"/>
          <w:color w:val="000000" w:themeColor="text1"/>
          <w:sz w:val="20"/>
          <w:szCs w:val="20"/>
          <w:lang w:val="es-VE"/>
        </w:rPr>
        <w:t xml:space="preserve">. </w:t>
      </w:r>
      <w:r w:rsidR="00FF5189" w:rsidRPr="00707B68">
        <w:rPr>
          <w:rFonts w:asciiTheme="majorHAnsi" w:hAnsiTheme="majorHAnsi"/>
          <w:color w:val="000000" w:themeColor="text1"/>
          <w:sz w:val="20"/>
          <w:szCs w:val="20"/>
          <w:lang w:val="es-VE"/>
        </w:rPr>
        <w:t xml:space="preserve">La Comisión observa que el </w:t>
      </w:r>
      <w:r w:rsidR="000B4C3B" w:rsidRPr="00707B68">
        <w:rPr>
          <w:rFonts w:asciiTheme="majorHAnsi" w:hAnsiTheme="majorHAnsi"/>
          <w:color w:val="000000" w:themeColor="text1"/>
          <w:sz w:val="20"/>
          <w:szCs w:val="20"/>
          <w:lang w:val="es-VE"/>
        </w:rPr>
        <w:t xml:space="preserve">año </w:t>
      </w:r>
      <w:r w:rsidR="00FF5189" w:rsidRPr="00707B68">
        <w:rPr>
          <w:rFonts w:asciiTheme="majorHAnsi" w:hAnsiTheme="majorHAnsi"/>
          <w:color w:val="000000" w:themeColor="text1"/>
          <w:sz w:val="20"/>
          <w:szCs w:val="20"/>
          <w:lang w:val="es-VE"/>
        </w:rPr>
        <w:t xml:space="preserve">2014 varias de </w:t>
      </w:r>
      <w:r w:rsidR="006C60B3" w:rsidRPr="00707B68">
        <w:rPr>
          <w:rFonts w:asciiTheme="majorHAnsi" w:hAnsiTheme="majorHAnsi"/>
          <w:color w:val="000000" w:themeColor="text1"/>
          <w:sz w:val="20"/>
          <w:szCs w:val="20"/>
          <w:lang w:val="es-VE"/>
        </w:rPr>
        <w:t>las</w:t>
      </w:r>
      <w:r w:rsidR="00FF5189" w:rsidRPr="00707B68">
        <w:rPr>
          <w:rFonts w:asciiTheme="majorHAnsi" w:hAnsiTheme="majorHAnsi"/>
          <w:color w:val="000000" w:themeColor="text1"/>
          <w:sz w:val="20"/>
          <w:szCs w:val="20"/>
          <w:lang w:val="es-VE"/>
        </w:rPr>
        <w:t xml:space="preserve"> diligencias</w:t>
      </w:r>
      <w:r w:rsidR="006C60B3" w:rsidRPr="00707B68">
        <w:rPr>
          <w:rFonts w:asciiTheme="majorHAnsi" w:hAnsiTheme="majorHAnsi"/>
          <w:color w:val="000000" w:themeColor="text1"/>
          <w:sz w:val="20"/>
          <w:szCs w:val="20"/>
          <w:lang w:val="es-VE"/>
        </w:rPr>
        <w:t xml:space="preserve"> solicitadas</w:t>
      </w:r>
      <w:r w:rsidR="00FF5189" w:rsidRPr="00707B68">
        <w:rPr>
          <w:rFonts w:asciiTheme="majorHAnsi" w:hAnsiTheme="majorHAnsi"/>
          <w:color w:val="000000" w:themeColor="text1"/>
          <w:sz w:val="20"/>
          <w:szCs w:val="20"/>
          <w:lang w:val="es-VE"/>
        </w:rPr>
        <w:t xml:space="preserve"> fueron reiteradas por la Fiscalía encargada con la finalidad de impulsar procesalmente el caso</w:t>
      </w:r>
      <w:r w:rsidR="00FF5189" w:rsidRPr="00707B68">
        <w:rPr>
          <w:rStyle w:val="FootnoteReference"/>
          <w:rFonts w:asciiTheme="majorHAnsi" w:hAnsiTheme="majorHAnsi"/>
          <w:color w:val="000000" w:themeColor="text1"/>
          <w:sz w:val="20"/>
          <w:szCs w:val="20"/>
          <w:lang w:val="es-VE"/>
        </w:rPr>
        <w:footnoteReference w:id="107"/>
      </w:r>
      <w:r w:rsidR="006C60B3" w:rsidRPr="00707B68">
        <w:rPr>
          <w:rFonts w:asciiTheme="majorHAnsi" w:hAnsiTheme="majorHAnsi"/>
          <w:color w:val="000000" w:themeColor="text1"/>
          <w:sz w:val="20"/>
          <w:szCs w:val="20"/>
          <w:lang w:val="es-VE"/>
        </w:rPr>
        <w:t xml:space="preserve">. </w:t>
      </w:r>
      <w:r w:rsidR="00953A9B" w:rsidRPr="00707B68">
        <w:rPr>
          <w:rFonts w:asciiTheme="majorHAnsi" w:hAnsiTheme="majorHAnsi"/>
          <w:color w:val="000000" w:themeColor="text1"/>
          <w:sz w:val="20"/>
          <w:szCs w:val="20"/>
          <w:lang w:val="es-VE"/>
        </w:rPr>
        <w:t>Según fuera declarado por Adrián Zapata en el año de 2017, durante el año de 1998 fue capturado por miembros de la Brigada de Segovia del Ejército, quienes lo habrían “torturado” para que declarara sobre el paradero de su tío. Asimismo, indicó   que el día de su entierro saliendo del cementerio recibió un mensaje amenazante de una persona que le indicó que eso le iba a ocurrir pronto. Asimismo, refirió que fue amenazado en una segunda ocasión indicando que si no abandonaba el pueblo “lo mismo (le) iba a pasar”, todo lo cual motivó su desplazamiento y que fuera incluido en el programa de testigos por 6 meses, luego de los cuales “se acabó la ayuda y la protección”</w:t>
      </w:r>
      <w:r w:rsidR="00953A9B" w:rsidRPr="00707B68">
        <w:rPr>
          <w:color w:val="000000" w:themeColor="text1"/>
          <w:sz w:val="18"/>
          <w:vertAlign w:val="superscript"/>
          <w:lang w:val="es-VE"/>
        </w:rPr>
        <w:footnoteReference w:id="108"/>
      </w:r>
      <w:r w:rsidR="00953A9B" w:rsidRPr="00707B68">
        <w:rPr>
          <w:rFonts w:asciiTheme="majorHAnsi" w:hAnsiTheme="majorHAnsi"/>
          <w:color w:val="000000" w:themeColor="text1"/>
          <w:sz w:val="20"/>
          <w:szCs w:val="20"/>
          <w:lang w:val="es-VE"/>
        </w:rPr>
        <w:t>.</w:t>
      </w:r>
    </w:p>
    <w:p w14:paraId="7F6AEF46" w14:textId="77777777" w:rsidR="00953A9B" w:rsidRPr="00707B68" w:rsidRDefault="00953A9B" w:rsidP="00953A9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color w:val="000000" w:themeColor="text1"/>
          <w:sz w:val="20"/>
          <w:szCs w:val="20"/>
          <w:lang w:val="es-VE"/>
        </w:rPr>
      </w:pPr>
    </w:p>
    <w:p w14:paraId="57D1428C" w14:textId="3CF675F7" w:rsidR="005B47E3" w:rsidRPr="00707B68" w:rsidRDefault="006C60B3" w:rsidP="00871C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b/>
          <w:sz w:val="20"/>
          <w:szCs w:val="20"/>
        </w:rPr>
      </w:pPr>
      <w:r w:rsidRPr="00707B68">
        <w:rPr>
          <w:rFonts w:asciiTheme="majorHAnsi" w:hAnsiTheme="majorHAnsi"/>
          <w:color w:val="000000" w:themeColor="text1"/>
          <w:sz w:val="20"/>
          <w:szCs w:val="20"/>
          <w:lang w:val="es-VE"/>
        </w:rPr>
        <w:t xml:space="preserve">La CIDH </w:t>
      </w:r>
      <w:r w:rsidR="00042F12" w:rsidRPr="00707B68">
        <w:rPr>
          <w:rFonts w:asciiTheme="majorHAnsi" w:hAnsiTheme="majorHAnsi"/>
          <w:color w:val="000000" w:themeColor="text1"/>
          <w:sz w:val="20"/>
          <w:szCs w:val="20"/>
          <w:lang w:val="es-VE"/>
        </w:rPr>
        <w:t xml:space="preserve">observa que </w:t>
      </w:r>
      <w:r w:rsidR="005D064C" w:rsidRPr="00707B68">
        <w:rPr>
          <w:rFonts w:asciiTheme="majorHAnsi" w:hAnsiTheme="majorHAnsi"/>
          <w:color w:val="000000" w:themeColor="text1"/>
          <w:sz w:val="20"/>
          <w:szCs w:val="20"/>
          <w:lang w:val="es-VE"/>
        </w:rPr>
        <w:t>tras diversas solicitud</w:t>
      </w:r>
      <w:r w:rsidR="00953A9B" w:rsidRPr="00707B68">
        <w:rPr>
          <w:rFonts w:asciiTheme="majorHAnsi" w:hAnsiTheme="majorHAnsi"/>
          <w:color w:val="000000" w:themeColor="text1"/>
          <w:sz w:val="20"/>
          <w:szCs w:val="20"/>
          <w:lang w:val="es-VE"/>
        </w:rPr>
        <w:t>es</w:t>
      </w:r>
      <w:r w:rsidR="005D064C" w:rsidRPr="00707B68">
        <w:rPr>
          <w:rFonts w:asciiTheme="majorHAnsi" w:hAnsiTheme="majorHAnsi"/>
          <w:color w:val="000000" w:themeColor="text1"/>
          <w:sz w:val="20"/>
          <w:szCs w:val="20"/>
          <w:lang w:val="es-VE"/>
        </w:rPr>
        <w:t xml:space="preserve"> para la realización de nuevas diligencias y obtención de pruebas, el 19 de marzo</w:t>
      </w:r>
      <w:r w:rsidR="000F30E0" w:rsidRPr="00707B68">
        <w:rPr>
          <w:rFonts w:asciiTheme="majorHAnsi" w:hAnsiTheme="majorHAnsi"/>
          <w:color w:val="000000" w:themeColor="text1"/>
          <w:sz w:val="20"/>
          <w:szCs w:val="20"/>
          <w:lang w:val="es-VE"/>
        </w:rPr>
        <w:t xml:space="preserve"> de 2019</w:t>
      </w:r>
      <w:r w:rsidR="005D064C" w:rsidRPr="00707B68">
        <w:rPr>
          <w:rFonts w:asciiTheme="majorHAnsi" w:hAnsiTheme="majorHAnsi"/>
          <w:color w:val="000000" w:themeColor="text1"/>
          <w:sz w:val="20"/>
          <w:szCs w:val="20"/>
          <w:lang w:val="es-VE"/>
        </w:rPr>
        <w:t xml:space="preserve"> la Fiscalía 69 adscrita a la Unidad Especializada contra Violaciones a los Derechos Humanos emitió una resolución de apertura de investigación. La Fiscalía también ordenó la práctica de diversas diligencias pendientes.  </w:t>
      </w:r>
      <w:r w:rsidR="00314405" w:rsidRPr="00707B68">
        <w:rPr>
          <w:rFonts w:asciiTheme="majorHAnsi" w:hAnsiTheme="majorHAnsi"/>
          <w:color w:val="000000" w:themeColor="text1"/>
          <w:sz w:val="20"/>
          <w:szCs w:val="20"/>
          <w:lang w:val="es-VE"/>
        </w:rPr>
        <w:t xml:space="preserve">La Comisión toma nota de </w:t>
      </w:r>
      <w:r w:rsidR="00E96554" w:rsidRPr="00707B68">
        <w:rPr>
          <w:rFonts w:asciiTheme="majorHAnsi" w:hAnsiTheme="majorHAnsi"/>
          <w:color w:val="000000" w:themeColor="text1"/>
          <w:sz w:val="20"/>
          <w:szCs w:val="20"/>
          <w:lang w:val="es-VE"/>
        </w:rPr>
        <w:t xml:space="preserve">realización de diversas inspecciones judiciales </w:t>
      </w:r>
      <w:r w:rsidR="00F7182A" w:rsidRPr="00707B68">
        <w:rPr>
          <w:rFonts w:asciiTheme="majorHAnsi" w:hAnsiTheme="majorHAnsi"/>
          <w:color w:val="000000" w:themeColor="text1"/>
          <w:sz w:val="20"/>
          <w:szCs w:val="20"/>
          <w:lang w:val="es-VE"/>
        </w:rPr>
        <w:t xml:space="preserve">en batallones y brigadas </w:t>
      </w:r>
      <w:r w:rsidR="00E96554" w:rsidRPr="00707B68">
        <w:rPr>
          <w:rFonts w:asciiTheme="majorHAnsi" w:hAnsiTheme="majorHAnsi"/>
          <w:color w:val="000000" w:themeColor="text1"/>
          <w:sz w:val="20"/>
          <w:szCs w:val="20"/>
          <w:lang w:val="es-VE"/>
        </w:rPr>
        <w:t>entre mayo y julio de dicho año, en donde se obtuvieron diversos documentos ya referidos en esta sección</w:t>
      </w:r>
      <w:r w:rsidR="00B36D7D" w:rsidRPr="00707B68">
        <w:rPr>
          <w:rStyle w:val="FootnoteReference"/>
          <w:rFonts w:asciiTheme="majorHAnsi" w:hAnsiTheme="majorHAnsi"/>
          <w:color w:val="000000" w:themeColor="text1"/>
          <w:sz w:val="20"/>
          <w:szCs w:val="20"/>
          <w:lang w:val="es-VE"/>
        </w:rPr>
        <w:footnoteReference w:id="109"/>
      </w:r>
      <w:r w:rsidR="00E96554" w:rsidRPr="00707B68">
        <w:rPr>
          <w:rFonts w:asciiTheme="majorHAnsi" w:hAnsiTheme="majorHAnsi"/>
          <w:color w:val="000000" w:themeColor="text1"/>
          <w:sz w:val="20"/>
          <w:szCs w:val="20"/>
          <w:lang w:val="es-VE"/>
        </w:rPr>
        <w:t>.</w:t>
      </w:r>
      <w:r w:rsidR="003979EC" w:rsidRPr="00707B68">
        <w:rPr>
          <w:rFonts w:asciiTheme="majorHAnsi" w:hAnsiTheme="majorHAnsi"/>
          <w:b/>
          <w:sz w:val="20"/>
          <w:szCs w:val="20"/>
          <w:lang w:val="es-VE"/>
        </w:rPr>
        <w:t xml:space="preserve"> </w:t>
      </w:r>
      <w:r w:rsidR="00E96554" w:rsidRPr="00707B68">
        <w:rPr>
          <w:rFonts w:asciiTheme="majorHAnsi" w:hAnsiTheme="majorHAnsi"/>
          <w:color w:val="000000" w:themeColor="text1"/>
          <w:sz w:val="20"/>
          <w:szCs w:val="20"/>
          <w:lang w:val="es-VE"/>
        </w:rPr>
        <w:t xml:space="preserve"> </w:t>
      </w:r>
      <w:r w:rsidR="00953A9B" w:rsidRPr="00707B68">
        <w:rPr>
          <w:rFonts w:asciiTheme="majorHAnsi" w:hAnsiTheme="majorHAnsi"/>
          <w:color w:val="000000" w:themeColor="text1"/>
          <w:sz w:val="20"/>
          <w:szCs w:val="20"/>
          <w:lang w:val="es-VE"/>
        </w:rPr>
        <w:t xml:space="preserve"> </w:t>
      </w:r>
      <w:r w:rsidR="003979EC" w:rsidRPr="00707B68">
        <w:rPr>
          <w:rFonts w:asciiTheme="majorHAnsi" w:hAnsiTheme="majorHAnsi"/>
          <w:sz w:val="20"/>
          <w:szCs w:val="20"/>
        </w:rPr>
        <w:t>La Comisión observa que según lo informó la parte peticionaria, fue asesinado el 16 de marzo de 2019, en circunstanci</w:t>
      </w:r>
      <w:r w:rsidR="00953A9B" w:rsidRPr="00707B68">
        <w:rPr>
          <w:rFonts w:asciiTheme="majorHAnsi" w:hAnsiTheme="majorHAnsi"/>
          <w:sz w:val="20"/>
          <w:szCs w:val="20"/>
        </w:rPr>
        <w:t>as que no han sido esclarecidas</w:t>
      </w:r>
      <w:r w:rsidR="00953A9B" w:rsidRPr="00707B68">
        <w:rPr>
          <w:rStyle w:val="FootnoteReference"/>
          <w:rFonts w:asciiTheme="majorHAnsi" w:hAnsiTheme="majorHAnsi"/>
          <w:sz w:val="20"/>
          <w:szCs w:val="20"/>
        </w:rPr>
        <w:footnoteReference w:id="110"/>
      </w:r>
      <w:r w:rsidR="00953A9B" w:rsidRPr="00707B68">
        <w:rPr>
          <w:rFonts w:asciiTheme="majorHAnsi" w:hAnsiTheme="majorHAnsi"/>
          <w:sz w:val="20"/>
          <w:szCs w:val="20"/>
        </w:rPr>
        <w:t xml:space="preserve">. </w:t>
      </w:r>
    </w:p>
    <w:p w14:paraId="52BFFD82" w14:textId="77777777" w:rsidR="00953A9B" w:rsidRPr="00707B68" w:rsidRDefault="00953A9B" w:rsidP="00953A9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asciiTheme="majorHAnsi" w:hAnsiTheme="majorHAnsi"/>
          <w:b/>
          <w:sz w:val="20"/>
          <w:szCs w:val="20"/>
        </w:rPr>
      </w:pPr>
    </w:p>
    <w:p w14:paraId="1A09735E" w14:textId="77777777" w:rsidR="00231914" w:rsidRPr="00707B68" w:rsidRDefault="00231914" w:rsidP="00401CDB">
      <w:pPr>
        <w:pStyle w:val="Heading3"/>
        <w:numPr>
          <w:ilvl w:val="1"/>
          <w:numId w:val="58"/>
        </w:numPr>
        <w:tabs>
          <w:tab w:val="left" w:pos="360"/>
        </w:tabs>
        <w:ind w:left="0" w:firstLine="0"/>
        <w:rPr>
          <w:szCs w:val="20"/>
        </w:rPr>
      </w:pPr>
      <w:r w:rsidRPr="00707B68">
        <w:rPr>
          <w:szCs w:val="20"/>
        </w:rPr>
        <w:t>Investigación disciplinaria</w:t>
      </w:r>
    </w:p>
    <w:p w14:paraId="779B8BC0" w14:textId="77777777" w:rsidR="00172468" w:rsidRPr="00707B68" w:rsidRDefault="00172468" w:rsidP="00401CDB">
      <w:pPr>
        <w:tabs>
          <w:tab w:val="left" w:pos="360"/>
        </w:tabs>
        <w:rPr>
          <w:rFonts w:asciiTheme="majorHAnsi" w:hAnsiTheme="majorHAnsi"/>
          <w:sz w:val="20"/>
        </w:rPr>
      </w:pPr>
    </w:p>
    <w:p w14:paraId="254D4434" w14:textId="77777777" w:rsidR="00EC0303" w:rsidRPr="00707B68" w:rsidRDefault="00172468" w:rsidP="00401CD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 xml:space="preserve">Consta en el expediente que el 12 de junio de 2008 la Dirección Nacional de Investigaciones Especiales resolvió “ordenar la apertura </w:t>
      </w:r>
      <w:r w:rsidR="00DF6C27" w:rsidRPr="00707B68">
        <w:rPr>
          <w:rFonts w:asciiTheme="majorHAnsi" w:hAnsiTheme="majorHAnsi"/>
          <w:color w:val="000000" w:themeColor="text1"/>
          <w:sz w:val="20"/>
          <w:szCs w:val="20"/>
          <w:lang w:val="es-VE"/>
        </w:rPr>
        <w:t>de investigación preliminar” por la muerte del señor Zapata a pesar de gozar de la protección de las medidas cautelares</w:t>
      </w:r>
      <w:r w:rsidR="000B4C3B" w:rsidRPr="00707B68">
        <w:rPr>
          <w:rFonts w:asciiTheme="majorHAnsi" w:hAnsiTheme="majorHAnsi"/>
          <w:color w:val="000000" w:themeColor="text1"/>
          <w:sz w:val="20"/>
          <w:szCs w:val="20"/>
          <w:lang w:val="es-VE"/>
        </w:rPr>
        <w:t xml:space="preserve"> adoptadas por la CIDH</w:t>
      </w:r>
      <w:r w:rsidR="00DF6C27" w:rsidRPr="00707B68">
        <w:rPr>
          <w:rFonts w:asciiTheme="majorHAnsi" w:hAnsiTheme="majorHAnsi"/>
          <w:color w:val="000000" w:themeColor="text1"/>
          <w:sz w:val="20"/>
          <w:szCs w:val="20"/>
          <w:lang w:val="es-VE"/>
        </w:rPr>
        <w:t>. En sus facultades, solicitó se inicie la indagación en contra del Teniente de la Policía Nacional, Luis Porras, Subintendente de la Policía Nacional, Franklin Saac y el Mayor del Ejército Colombiano, Jhon Jairo Zuluaga</w:t>
      </w:r>
      <w:r w:rsidR="00DF6C27" w:rsidRPr="00707B68">
        <w:rPr>
          <w:rStyle w:val="FootnoteReference"/>
          <w:rFonts w:asciiTheme="majorHAnsi" w:hAnsiTheme="majorHAnsi"/>
          <w:color w:val="000000" w:themeColor="text1"/>
          <w:sz w:val="20"/>
          <w:szCs w:val="20"/>
          <w:lang w:val="es-VE"/>
        </w:rPr>
        <w:footnoteReference w:id="111"/>
      </w:r>
      <w:r w:rsidR="00DF6C27" w:rsidRPr="00707B68">
        <w:rPr>
          <w:rFonts w:asciiTheme="majorHAnsi" w:hAnsiTheme="majorHAnsi"/>
          <w:color w:val="000000" w:themeColor="text1"/>
          <w:sz w:val="20"/>
          <w:szCs w:val="20"/>
          <w:lang w:val="es-VE"/>
        </w:rPr>
        <w:t>.</w:t>
      </w:r>
      <w:r w:rsidR="00A17192" w:rsidRPr="00707B68">
        <w:rPr>
          <w:rFonts w:asciiTheme="majorHAnsi" w:hAnsiTheme="majorHAnsi"/>
          <w:color w:val="000000" w:themeColor="text1"/>
          <w:sz w:val="20"/>
          <w:szCs w:val="20"/>
          <w:lang w:val="es-VE"/>
        </w:rPr>
        <w:t xml:space="preserve"> Sin embargo, la Procuraduría Delegada Disciplinaria para la Defensa de los Derechos Humanos</w:t>
      </w:r>
      <w:r w:rsidR="000B4C3B" w:rsidRPr="00707B68">
        <w:rPr>
          <w:rFonts w:asciiTheme="majorHAnsi" w:hAnsiTheme="majorHAnsi"/>
          <w:color w:val="000000" w:themeColor="text1"/>
          <w:sz w:val="20"/>
          <w:szCs w:val="20"/>
          <w:lang w:val="es-VE"/>
        </w:rPr>
        <w:t xml:space="preserve"> informó a la parte peticionaria</w:t>
      </w:r>
      <w:r w:rsidR="00A17192" w:rsidRPr="00707B68">
        <w:rPr>
          <w:rFonts w:asciiTheme="majorHAnsi" w:hAnsiTheme="majorHAnsi"/>
          <w:color w:val="000000" w:themeColor="text1"/>
          <w:sz w:val="20"/>
          <w:szCs w:val="20"/>
          <w:lang w:val="es-VE"/>
        </w:rPr>
        <w:t xml:space="preserve"> que dicho proceso fue archivado el 8 de octubre de 2003 por falta de pruebas</w:t>
      </w:r>
      <w:r w:rsidR="00A17192" w:rsidRPr="00707B68">
        <w:rPr>
          <w:rStyle w:val="FootnoteReference"/>
          <w:rFonts w:asciiTheme="majorHAnsi" w:hAnsiTheme="majorHAnsi"/>
          <w:color w:val="000000" w:themeColor="text1"/>
          <w:sz w:val="20"/>
          <w:szCs w:val="20"/>
          <w:lang w:val="es-VE"/>
        </w:rPr>
        <w:footnoteReference w:id="112"/>
      </w:r>
      <w:r w:rsidR="00A17192" w:rsidRPr="00707B68">
        <w:rPr>
          <w:rFonts w:asciiTheme="majorHAnsi" w:hAnsiTheme="majorHAnsi"/>
          <w:color w:val="000000" w:themeColor="text1"/>
          <w:sz w:val="20"/>
          <w:szCs w:val="20"/>
          <w:lang w:val="es-VE"/>
        </w:rPr>
        <w:t>.</w:t>
      </w:r>
    </w:p>
    <w:p w14:paraId="203E57AF" w14:textId="77777777" w:rsidR="00231914" w:rsidRPr="00707B68" w:rsidRDefault="00231914" w:rsidP="00401CDB">
      <w:pPr>
        <w:tabs>
          <w:tab w:val="left" w:pos="360"/>
        </w:tabs>
        <w:rPr>
          <w:rFonts w:asciiTheme="majorHAnsi" w:hAnsiTheme="majorHAnsi"/>
          <w:sz w:val="20"/>
          <w:szCs w:val="20"/>
        </w:rPr>
      </w:pPr>
    </w:p>
    <w:p w14:paraId="12B6916B" w14:textId="77777777" w:rsidR="00231914" w:rsidRPr="00707B68" w:rsidRDefault="00231914" w:rsidP="00401CDB">
      <w:pPr>
        <w:pStyle w:val="Heading3"/>
        <w:numPr>
          <w:ilvl w:val="1"/>
          <w:numId w:val="58"/>
        </w:numPr>
        <w:tabs>
          <w:tab w:val="left" w:pos="360"/>
        </w:tabs>
        <w:ind w:left="0" w:firstLine="0"/>
        <w:rPr>
          <w:szCs w:val="20"/>
        </w:rPr>
      </w:pPr>
      <w:r w:rsidRPr="00707B68">
        <w:rPr>
          <w:szCs w:val="20"/>
        </w:rPr>
        <w:lastRenderedPageBreak/>
        <w:t>Proceso Contencioso Administrativo</w:t>
      </w:r>
    </w:p>
    <w:p w14:paraId="00F57C3C" w14:textId="77777777" w:rsidR="00231914" w:rsidRPr="00707B68" w:rsidRDefault="00231914" w:rsidP="00401CDB">
      <w:pPr>
        <w:tabs>
          <w:tab w:val="left" w:pos="360"/>
        </w:tabs>
        <w:rPr>
          <w:rFonts w:asciiTheme="majorHAnsi" w:hAnsiTheme="majorHAnsi"/>
          <w:sz w:val="20"/>
        </w:rPr>
      </w:pPr>
    </w:p>
    <w:p w14:paraId="64ABAC69" w14:textId="77777777" w:rsidR="006B25DE" w:rsidRPr="00707B68" w:rsidRDefault="007A232D" w:rsidP="00401CD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0"/>
        <w:jc w:val="both"/>
        <w:rPr>
          <w:rFonts w:asciiTheme="majorHAnsi" w:hAnsiTheme="majorHAnsi"/>
          <w:color w:val="000000" w:themeColor="text1"/>
          <w:sz w:val="20"/>
          <w:szCs w:val="20"/>
          <w:lang w:val="es-VE"/>
        </w:rPr>
      </w:pPr>
      <w:r w:rsidRPr="00707B68">
        <w:rPr>
          <w:rFonts w:asciiTheme="majorHAnsi" w:hAnsiTheme="majorHAnsi"/>
          <w:color w:val="000000" w:themeColor="text1"/>
          <w:sz w:val="20"/>
          <w:szCs w:val="20"/>
          <w:lang w:val="es-VE"/>
        </w:rPr>
        <w:t>El 20 de junio de 2014 el Tribunal Administrativo de Antioquia dictó sentencia en última instancia en el marco del proceso de reparación directa interpuesto por los familiares del señor Zapata</w:t>
      </w:r>
      <w:r w:rsidR="00484222" w:rsidRPr="00707B68">
        <w:rPr>
          <w:rFonts w:asciiTheme="majorHAnsi" w:hAnsiTheme="majorHAnsi"/>
          <w:color w:val="000000" w:themeColor="text1"/>
          <w:sz w:val="20"/>
          <w:szCs w:val="20"/>
          <w:lang w:val="es-VE"/>
        </w:rPr>
        <w:t xml:space="preserve"> el año 2002. El mencionado Tribunal declaró la existencia de “concurrencia de culpas” entre el Ministerio de Defensa, Policía Nacional y el señor Zapata, reconociendo que existió una falla en el servicio porque no logró garantizar la vida del pr</w:t>
      </w:r>
      <w:r w:rsidR="00CF0122" w:rsidRPr="00707B68">
        <w:rPr>
          <w:rFonts w:asciiTheme="majorHAnsi" w:hAnsiTheme="majorHAnsi"/>
          <w:color w:val="000000" w:themeColor="text1"/>
          <w:sz w:val="20"/>
          <w:szCs w:val="20"/>
          <w:lang w:val="es-VE"/>
        </w:rPr>
        <w:t>otegido, pero atribuyéndole también parte de la culpa por su retorno voluntario a Segovia y por rechazar la protección del Estado cuando las medidas de protección se encontraban vigentes. Así, el Tribunal concluyó el otorgamiento de reparaciones económicas y de la instalación de una placa conmemorativa</w:t>
      </w:r>
      <w:r w:rsidR="00CF0122" w:rsidRPr="00707B68">
        <w:rPr>
          <w:rStyle w:val="FootnoteReference"/>
          <w:rFonts w:asciiTheme="majorHAnsi" w:hAnsiTheme="majorHAnsi"/>
          <w:color w:val="000000" w:themeColor="text1"/>
          <w:sz w:val="20"/>
          <w:szCs w:val="20"/>
          <w:lang w:val="es-VE"/>
        </w:rPr>
        <w:footnoteReference w:id="113"/>
      </w:r>
      <w:r w:rsidR="00CF0122" w:rsidRPr="00707B68">
        <w:rPr>
          <w:rFonts w:asciiTheme="majorHAnsi" w:hAnsiTheme="majorHAnsi"/>
          <w:color w:val="000000" w:themeColor="text1"/>
          <w:sz w:val="20"/>
          <w:szCs w:val="20"/>
          <w:lang w:val="es-VE"/>
        </w:rPr>
        <w:t xml:space="preserve">. </w:t>
      </w:r>
    </w:p>
    <w:p w14:paraId="29023534" w14:textId="77777777" w:rsidR="000B34CF" w:rsidRPr="00707B68" w:rsidRDefault="000B34CF">
      <w:pPr>
        <w:rPr>
          <w:rFonts w:asciiTheme="majorHAnsi" w:hAnsiTheme="majorHAnsi"/>
          <w:b/>
          <w:sz w:val="20"/>
          <w:szCs w:val="20"/>
        </w:rPr>
      </w:pPr>
    </w:p>
    <w:p w14:paraId="54BFD0E6" w14:textId="77777777" w:rsidR="007A08B3" w:rsidRPr="00707B68" w:rsidRDefault="007A08B3" w:rsidP="008E5267">
      <w:pPr>
        <w:pStyle w:val="Heading1"/>
      </w:pPr>
      <w:bookmarkStart w:id="10" w:name="_Toc456358863"/>
      <w:r w:rsidRPr="00707B68">
        <w:t>ANÁLISIS DE DERECHO</w:t>
      </w:r>
      <w:bookmarkEnd w:id="10"/>
    </w:p>
    <w:p w14:paraId="5DBDEC8E" w14:textId="77777777" w:rsidR="007A08B3" w:rsidRPr="00707B68" w:rsidRDefault="007A08B3" w:rsidP="007A08B3">
      <w:pPr>
        <w:suppressAutoHyphens/>
        <w:rPr>
          <w:rFonts w:asciiTheme="majorHAnsi" w:hAnsiTheme="majorHAnsi"/>
          <w:b/>
          <w:sz w:val="20"/>
          <w:szCs w:val="20"/>
        </w:rPr>
      </w:pPr>
    </w:p>
    <w:p w14:paraId="5A28FE18" w14:textId="1427C447" w:rsidR="007A08B3" w:rsidRPr="00707B68" w:rsidRDefault="007A08B3" w:rsidP="00147351">
      <w:pPr>
        <w:pStyle w:val="Heading2"/>
        <w:numPr>
          <w:ilvl w:val="0"/>
          <w:numId w:val="60"/>
        </w:numPr>
      </w:pPr>
      <w:bookmarkStart w:id="11" w:name="_Toc485650798"/>
      <w:bookmarkStart w:id="12" w:name="_Toc456358864"/>
      <w:r w:rsidRPr="00707B68">
        <w:t xml:space="preserve">Derecho a </w:t>
      </w:r>
      <w:r w:rsidR="00CF27DC" w:rsidRPr="00707B68">
        <w:t>la vida</w:t>
      </w:r>
      <w:r w:rsidRPr="00707B68">
        <w:t xml:space="preserve"> (</w:t>
      </w:r>
      <w:r w:rsidR="00CF27DC" w:rsidRPr="00707B68">
        <w:t>artículo 4</w:t>
      </w:r>
      <w:bookmarkEnd w:id="11"/>
      <w:r w:rsidR="00A234BE" w:rsidRPr="00707B68">
        <w:rPr>
          <w:rStyle w:val="FootnoteReference"/>
          <w:rFonts w:asciiTheme="majorHAnsi" w:hAnsiTheme="majorHAnsi"/>
          <w:szCs w:val="20"/>
        </w:rPr>
        <w:footnoteReference w:id="114"/>
      </w:r>
      <w:r w:rsidR="00A234BE" w:rsidRPr="00707B68">
        <w:t xml:space="preserve"> de la Convención Americana</w:t>
      </w:r>
      <w:r w:rsidR="00CF27DC" w:rsidRPr="00707B68">
        <w:t xml:space="preserve"> </w:t>
      </w:r>
      <w:r w:rsidRPr="00707B68">
        <w:t xml:space="preserve">en relación con el artículo 1.1 </w:t>
      </w:r>
      <w:r w:rsidR="00A234BE" w:rsidRPr="00707B68">
        <w:t>del mismo instrumento)</w:t>
      </w:r>
      <w:bookmarkEnd w:id="12"/>
      <w:r w:rsidRPr="00707B68">
        <w:t xml:space="preserve"> </w:t>
      </w:r>
    </w:p>
    <w:p w14:paraId="71A8B7E1" w14:textId="77777777" w:rsidR="007A08B3" w:rsidRPr="00707B68" w:rsidRDefault="007A08B3" w:rsidP="00CF27DC">
      <w:pPr>
        <w:ind w:left="720"/>
        <w:jc w:val="both"/>
        <w:rPr>
          <w:rFonts w:asciiTheme="majorHAnsi" w:hAnsiTheme="majorHAnsi"/>
          <w:sz w:val="20"/>
          <w:szCs w:val="20"/>
        </w:rPr>
      </w:pPr>
    </w:p>
    <w:p w14:paraId="70A338C8" w14:textId="0FAB43DE" w:rsidR="000B34CF" w:rsidRPr="00707B68" w:rsidRDefault="00B86C42" w:rsidP="00490654">
      <w:pPr>
        <w:pStyle w:val="Heading3"/>
        <w:numPr>
          <w:ilvl w:val="0"/>
          <w:numId w:val="61"/>
        </w:numPr>
        <w:tabs>
          <w:tab w:val="left" w:pos="360"/>
        </w:tabs>
        <w:jc w:val="both"/>
        <w:rPr>
          <w:szCs w:val="20"/>
          <w:lang w:val="es-ES"/>
        </w:rPr>
      </w:pPr>
      <w:r w:rsidRPr="00707B68">
        <w:rPr>
          <w:szCs w:val="20"/>
          <w:lang w:val="es-ES"/>
        </w:rPr>
        <w:t>Consideraciones generales</w:t>
      </w:r>
    </w:p>
    <w:p w14:paraId="40C64F36" w14:textId="77777777" w:rsidR="00322BF7" w:rsidRPr="00707B68" w:rsidRDefault="00322BF7" w:rsidP="00322BF7">
      <w:pPr>
        <w:rPr>
          <w:rFonts w:asciiTheme="majorHAnsi" w:hAnsiTheme="majorHAnsi"/>
          <w:sz w:val="20"/>
          <w:szCs w:val="20"/>
          <w:lang w:val="es-ES"/>
        </w:rPr>
      </w:pPr>
    </w:p>
    <w:p w14:paraId="12D99C84" w14:textId="77777777" w:rsidR="00322BF7" w:rsidRPr="00707B68" w:rsidRDefault="000B34CF" w:rsidP="0049065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 w:val="left" w:pos="9360"/>
        </w:tabs>
        <w:ind w:left="0" w:firstLine="0"/>
        <w:jc w:val="both"/>
        <w:rPr>
          <w:rFonts w:asciiTheme="majorHAnsi" w:hAnsiTheme="majorHAnsi"/>
          <w:sz w:val="20"/>
          <w:szCs w:val="20"/>
          <w:lang w:val="es-ES"/>
        </w:rPr>
      </w:pPr>
      <w:r w:rsidRPr="00707B68">
        <w:rPr>
          <w:rFonts w:asciiTheme="majorHAnsi" w:hAnsiTheme="majorHAnsi"/>
          <w:sz w:val="20"/>
          <w:szCs w:val="20"/>
          <w:lang w:val="es-ES"/>
        </w:rPr>
        <w:t xml:space="preserve"> </w:t>
      </w:r>
      <w:r w:rsidR="00322BF7" w:rsidRPr="00707B68">
        <w:rPr>
          <w:rFonts w:asciiTheme="majorHAnsi" w:hAnsiTheme="majorHAnsi"/>
          <w:sz w:val="20"/>
          <w:szCs w:val="20"/>
          <w:lang w:val="es-ES"/>
        </w:rPr>
        <w:t xml:space="preserve">La Comisión ha establecido que “las ejecuciones extrajudiciales o sumarias se caracterizan por ser </w:t>
      </w:r>
      <w:r w:rsidR="00322BF7" w:rsidRPr="00707B68">
        <w:rPr>
          <w:rFonts w:asciiTheme="majorHAnsi" w:hAnsiTheme="majorHAnsi"/>
          <w:sz w:val="20"/>
          <w:szCs w:val="20"/>
        </w:rPr>
        <w:t>privaciones</w:t>
      </w:r>
      <w:r w:rsidR="00322BF7" w:rsidRPr="00707B68">
        <w:rPr>
          <w:rFonts w:asciiTheme="majorHAnsi" w:hAnsiTheme="majorHAnsi"/>
          <w:sz w:val="20"/>
          <w:szCs w:val="20"/>
          <w:lang w:val="es-ES"/>
        </w:rPr>
        <w:t xml:space="preserve"> deliberadas e ilegítimas de la vida por parte de agentes del Estado, actuando generalmente bajo órdenes o al menos con el consentimiento o aquiescencia de las autoridades. Por lo tanto, las ejecuciones extrajudiciales son acciones ilícitas cometidas por quienes precisamente están investidos del poder originalmente concebido para proteger y garantizar la seguridad y la  vida de las personas”</w:t>
      </w:r>
      <w:r w:rsidR="00322BF7" w:rsidRPr="00707B68">
        <w:rPr>
          <w:rStyle w:val="FootnoteReference"/>
          <w:rFonts w:asciiTheme="majorHAnsi" w:hAnsiTheme="majorHAnsi"/>
          <w:sz w:val="20"/>
          <w:szCs w:val="20"/>
          <w:lang w:val="es-ES"/>
        </w:rPr>
        <w:footnoteReference w:id="115"/>
      </w:r>
      <w:r w:rsidR="00322BF7" w:rsidRPr="00707B68">
        <w:rPr>
          <w:rFonts w:asciiTheme="majorHAnsi" w:hAnsiTheme="majorHAnsi"/>
          <w:sz w:val="20"/>
          <w:szCs w:val="20"/>
          <w:lang w:val="es-ES"/>
        </w:rPr>
        <w:t xml:space="preserve">. </w:t>
      </w:r>
    </w:p>
    <w:p w14:paraId="41563BE2" w14:textId="77777777" w:rsidR="007A08B3" w:rsidRPr="00707B68" w:rsidRDefault="007A08B3" w:rsidP="00490654">
      <w:pPr>
        <w:pStyle w:val="Heading3"/>
        <w:numPr>
          <w:ilvl w:val="0"/>
          <w:numId w:val="0"/>
        </w:numPr>
        <w:tabs>
          <w:tab w:val="left" w:pos="360"/>
        </w:tabs>
        <w:jc w:val="both"/>
        <w:rPr>
          <w:lang w:val="es-ES"/>
        </w:rPr>
      </w:pPr>
    </w:p>
    <w:p w14:paraId="24443554" w14:textId="77777777" w:rsidR="00322BF7" w:rsidRPr="00707B68" w:rsidRDefault="00322BF7" w:rsidP="0049065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 w:val="left" w:pos="9360"/>
        </w:tabs>
        <w:ind w:left="0" w:firstLine="0"/>
        <w:jc w:val="both"/>
        <w:rPr>
          <w:rFonts w:asciiTheme="majorHAnsi" w:hAnsiTheme="majorHAnsi"/>
          <w:sz w:val="20"/>
          <w:szCs w:val="20"/>
          <w:lang w:val="es-ES"/>
        </w:rPr>
      </w:pPr>
      <w:r w:rsidRPr="00707B68">
        <w:rPr>
          <w:rFonts w:asciiTheme="majorHAnsi" w:hAnsiTheme="majorHAnsi"/>
          <w:sz w:val="20"/>
          <w:szCs w:val="20"/>
        </w:rPr>
        <w:t xml:space="preserve">Ahora bien, en casos en los cuales se encuentra en controversia la participación estatal en graves violaciones de derechos humanos, la Comisión ha indicado </w:t>
      </w:r>
      <w:r w:rsidRPr="00707B68">
        <w:rPr>
          <w:rFonts w:asciiTheme="majorHAnsi" w:hAnsiTheme="majorHAnsi"/>
          <w:sz w:val="20"/>
          <w:szCs w:val="20"/>
          <w:lang w:val="es-ES"/>
        </w:rPr>
        <w:t>que, ante la existencia de indicios que implicarían una atribución directa de responsabilidad internacional al Estado, corresponde a las autoridades a cargo de la investigación desplegar todos los esfuerzos necesarios para esclarecer las posibles responsabilidades o vínculos de autoridades estatales en una violación del derecho a la vida</w:t>
      </w:r>
      <w:r w:rsidRPr="00707B68">
        <w:rPr>
          <w:rStyle w:val="FootnoteReference"/>
          <w:rFonts w:asciiTheme="majorHAnsi" w:hAnsiTheme="majorHAnsi"/>
          <w:sz w:val="20"/>
          <w:szCs w:val="20"/>
          <w:lang w:val="es-ES"/>
        </w:rPr>
        <w:footnoteReference w:id="116"/>
      </w:r>
      <w:r w:rsidRPr="00707B68">
        <w:rPr>
          <w:rFonts w:asciiTheme="majorHAnsi" w:hAnsiTheme="majorHAnsi"/>
          <w:sz w:val="20"/>
          <w:szCs w:val="20"/>
          <w:lang w:val="es-ES"/>
        </w:rPr>
        <w:t>. De esta manera, recae sobre el Estado la obligación de efectuar una investigación minuciosa, seria y diligente para determinar la veracidad o desvirtuar los indicios de participación de agentes estatales. De lo contrario, la Comisión ha otorgado fuerza probatoria a indicios no investigados adecuadamente</w:t>
      </w:r>
      <w:r w:rsidRPr="00707B68">
        <w:rPr>
          <w:rStyle w:val="FootnoteReference"/>
          <w:rFonts w:asciiTheme="majorHAnsi" w:hAnsiTheme="majorHAnsi"/>
          <w:sz w:val="20"/>
          <w:szCs w:val="20"/>
          <w:lang w:val="es-ES"/>
        </w:rPr>
        <w:footnoteReference w:id="117"/>
      </w:r>
      <w:r w:rsidRPr="00707B68">
        <w:rPr>
          <w:rFonts w:asciiTheme="majorHAnsi" w:hAnsiTheme="majorHAnsi"/>
          <w:sz w:val="20"/>
          <w:szCs w:val="20"/>
          <w:lang w:val="es-ES"/>
        </w:rPr>
        <w:t>.</w:t>
      </w:r>
    </w:p>
    <w:p w14:paraId="67BEA464" w14:textId="77777777" w:rsidR="00322BF7" w:rsidRPr="00707B68" w:rsidRDefault="00322BF7" w:rsidP="0049065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 w:val="left" w:pos="9360"/>
        </w:tabs>
        <w:jc w:val="both"/>
        <w:rPr>
          <w:rFonts w:asciiTheme="majorHAnsi" w:hAnsiTheme="majorHAnsi"/>
          <w:sz w:val="20"/>
          <w:szCs w:val="20"/>
          <w:lang w:val="es-ES"/>
        </w:rPr>
      </w:pPr>
      <w:r w:rsidRPr="00707B68">
        <w:rPr>
          <w:rFonts w:asciiTheme="majorHAnsi" w:hAnsiTheme="majorHAnsi"/>
          <w:sz w:val="20"/>
          <w:szCs w:val="20"/>
          <w:lang w:val="es-ES"/>
        </w:rPr>
        <w:t xml:space="preserve">   </w:t>
      </w:r>
    </w:p>
    <w:p w14:paraId="17B5781B" w14:textId="08D98C6C" w:rsidR="00322BF7" w:rsidRPr="00707B68" w:rsidRDefault="00322BF7" w:rsidP="0049065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 w:val="left" w:pos="9360"/>
        </w:tabs>
        <w:ind w:left="0" w:firstLine="0"/>
        <w:jc w:val="both"/>
        <w:rPr>
          <w:rFonts w:asciiTheme="majorHAnsi" w:hAnsiTheme="majorHAnsi"/>
          <w:sz w:val="20"/>
          <w:szCs w:val="20"/>
          <w:lang w:val="es-ES"/>
        </w:rPr>
      </w:pPr>
      <w:r w:rsidRPr="00707B68">
        <w:rPr>
          <w:rFonts w:asciiTheme="majorHAnsi" w:hAnsiTheme="majorHAnsi"/>
          <w:sz w:val="20"/>
          <w:szCs w:val="20"/>
          <w:lang w:val="es-ES"/>
        </w:rPr>
        <w:t>En la misma línea, la Corte ha entendido que los indicios de participación de agentes estatales, ante la falta de esclarecimiento e investigación</w:t>
      </w:r>
      <w:r w:rsidRPr="00707B68">
        <w:rPr>
          <w:rStyle w:val="FootnoteReference"/>
          <w:rFonts w:asciiTheme="majorHAnsi" w:hAnsiTheme="majorHAnsi"/>
          <w:sz w:val="20"/>
          <w:szCs w:val="20"/>
          <w:lang w:val="es-ES"/>
        </w:rPr>
        <w:footnoteReference w:id="118"/>
      </w:r>
      <w:r w:rsidRPr="00707B68">
        <w:rPr>
          <w:rFonts w:asciiTheme="majorHAnsi" w:hAnsiTheme="majorHAnsi"/>
          <w:sz w:val="20"/>
          <w:szCs w:val="20"/>
          <w:lang w:val="es-ES"/>
        </w:rPr>
        <w:t>, cobran valor probatorio</w:t>
      </w:r>
      <w:r w:rsidR="00B86C42" w:rsidRPr="00707B68">
        <w:rPr>
          <w:rFonts w:asciiTheme="majorHAnsi" w:hAnsiTheme="majorHAnsi"/>
          <w:sz w:val="20"/>
          <w:szCs w:val="20"/>
          <w:lang w:val="es-ES"/>
        </w:rPr>
        <w:t>. Ello en tanto</w:t>
      </w:r>
      <w:r w:rsidRPr="00707B68">
        <w:rPr>
          <w:rFonts w:asciiTheme="majorHAnsi" w:hAnsiTheme="majorHAnsi"/>
          <w:sz w:val="20"/>
          <w:szCs w:val="20"/>
          <w:lang w:val="es-ES"/>
        </w:rPr>
        <w:t xml:space="preserve"> “concluir lo contrario implicaría permitir al Estado ampararse en la negligencia e inefectividad de la investigación penal para sustraerse de su responsabilidad por la violación del artículo 4.1 de la Convención”</w:t>
      </w:r>
      <w:r w:rsidRPr="00707B68">
        <w:rPr>
          <w:rStyle w:val="FootnoteReference"/>
          <w:rFonts w:asciiTheme="majorHAnsi" w:hAnsiTheme="majorHAnsi"/>
          <w:sz w:val="20"/>
          <w:szCs w:val="20"/>
          <w:lang w:val="es-ES"/>
        </w:rPr>
        <w:footnoteReference w:id="119"/>
      </w:r>
      <w:r w:rsidRPr="00707B68">
        <w:rPr>
          <w:rFonts w:asciiTheme="majorHAnsi" w:hAnsiTheme="majorHAnsi"/>
          <w:sz w:val="20"/>
          <w:szCs w:val="20"/>
          <w:lang w:val="es-ES"/>
        </w:rPr>
        <w:t>.</w:t>
      </w:r>
    </w:p>
    <w:p w14:paraId="27CD6D3D" w14:textId="77777777" w:rsidR="004E1A7A" w:rsidRPr="00707B68" w:rsidRDefault="004E1A7A" w:rsidP="00490654">
      <w:pPr>
        <w:tabs>
          <w:tab w:val="left" w:pos="360"/>
        </w:tabs>
        <w:ind w:left="360"/>
        <w:rPr>
          <w:rFonts w:asciiTheme="majorHAnsi" w:hAnsiTheme="majorHAnsi"/>
          <w:sz w:val="20"/>
        </w:rPr>
      </w:pPr>
    </w:p>
    <w:p w14:paraId="0EE4974D" w14:textId="77777777" w:rsidR="00322BF7" w:rsidRPr="00707B68" w:rsidRDefault="00322BF7" w:rsidP="0049065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 w:val="left" w:pos="9360"/>
        </w:tabs>
        <w:ind w:left="0" w:firstLine="0"/>
        <w:jc w:val="both"/>
        <w:rPr>
          <w:rFonts w:asciiTheme="majorHAnsi" w:hAnsiTheme="majorHAnsi"/>
          <w:sz w:val="20"/>
          <w:szCs w:val="20"/>
          <w:lang w:val="es-ES"/>
        </w:rPr>
      </w:pPr>
      <w:r w:rsidRPr="00707B68">
        <w:rPr>
          <w:rFonts w:asciiTheme="majorHAnsi" w:hAnsiTheme="majorHAnsi"/>
          <w:sz w:val="20"/>
        </w:rPr>
        <w:t>Asimismo, y respecto del deber de garantía, la Comisión ha indicado que la falta de protección de una persona cuando se ha solicitado dicha protección, implica dejarla en situación de indefensión y facilitar violaciones de derechos humanos en su perjuicio, en abierto desconocimiento del deber de prevención</w:t>
      </w:r>
      <w:r w:rsidRPr="00707B68">
        <w:rPr>
          <w:rStyle w:val="FootnoteReference"/>
          <w:rFonts w:asciiTheme="majorHAnsi" w:hAnsiTheme="majorHAnsi"/>
          <w:sz w:val="20"/>
        </w:rPr>
        <w:footnoteReference w:id="120"/>
      </w:r>
      <w:r w:rsidRPr="00707B68">
        <w:rPr>
          <w:rFonts w:asciiTheme="majorHAnsi" w:hAnsiTheme="majorHAnsi"/>
          <w:sz w:val="20"/>
        </w:rPr>
        <w:t>.</w:t>
      </w:r>
      <w:r w:rsidRPr="00707B68">
        <w:rPr>
          <w:rFonts w:asciiTheme="majorHAnsi" w:hAnsiTheme="majorHAnsi"/>
          <w:sz w:val="20"/>
          <w:szCs w:val="20"/>
          <w:lang w:val="es-ES"/>
        </w:rPr>
        <w:t xml:space="preserve"> Específicamente, s</w:t>
      </w:r>
      <w:r w:rsidRPr="00707B68">
        <w:rPr>
          <w:rFonts w:asciiTheme="majorHAnsi" w:hAnsiTheme="majorHAnsi"/>
          <w:sz w:val="20"/>
          <w:szCs w:val="20"/>
        </w:rPr>
        <w:t xml:space="preserve">obre este deber, la Corte ha indicado que “un Estado no puede ser responsable por cualquier violación de derechos humanos cometida entre particulares dentro de su jurisdicción. En efecto, el carácter </w:t>
      </w:r>
      <w:r w:rsidRPr="00707B68">
        <w:rPr>
          <w:rFonts w:asciiTheme="majorHAnsi" w:hAnsiTheme="majorHAnsi"/>
          <w:i/>
          <w:sz w:val="20"/>
          <w:szCs w:val="20"/>
        </w:rPr>
        <w:t xml:space="preserve">erga omnes </w:t>
      </w:r>
      <w:r w:rsidRPr="00707B68">
        <w:rPr>
          <w:rFonts w:asciiTheme="majorHAnsi" w:hAnsiTheme="majorHAnsi" w:cs="Arial"/>
          <w:sz w:val="20"/>
          <w:szCs w:val="20"/>
          <w:lang w:val="es-PE"/>
        </w:rPr>
        <w:t>de</w:t>
      </w:r>
      <w:r w:rsidRPr="00707B68">
        <w:rPr>
          <w:rFonts w:asciiTheme="majorHAnsi" w:hAnsiTheme="majorHAnsi"/>
          <w:sz w:val="20"/>
          <w:szCs w:val="20"/>
        </w:rPr>
        <w:t xml:space="preserve"> las obligaciones convencionales de garantía a cargo de los Estados no implica una responsabilidad ilimitada de los Estados frente a cualquier acto o hecho de particulares, pues sus deberes de </w:t>
      </w:r>
      <w:r w:rsidRPr="00707B68">
        <w:rPr>
          <w:rFonts w:asciiTheme="majorHAnsi" w:hAnsiTheme="majorHAnsi"/>
          <w:sz w:val="20"/>
          <w:szCs w:val="20"/>
        </w:rPr>
        <w:lastRenderedPageBreak/>
        <w:t>adoptar medidas de prevención y protección en sus relaciones entre sí</w:t>
      </w:r>
      <w:r w:rsidRPr="00707B68">
        <w:rPr>
          <w:rFonts w:asciiTheme="majorHAnsi" w:hAnsiTheme="majorHAnsi"/>
          <w:b/>
          <w:sz w:val="20"/>
          <w:szCs w:val="20"/>
        </w:rPr>
        <w:t xml:space="preserve"> </w:t>
      </w:r>
      <w:r w:rsidRPr="00707B68">
        <w:rPr>
          <w:rFonts w:asciiTheme="majorHAnsi" w:hAnsiTheme="majorHAnsi"/>
          <w:sz w:val="20"/>
          <w:szCs w:val="20"/>
        </w:rPr>
        <w:t>se encuentran condicionados”</w:t>
      </w:r>
      <w:r w:rsidRPr="00707B68">
        <w:rPr>
          <w:rStyle w:val="FootnoteReference"/>
          <w:rFonts w:asciiTheme="majorHAnsi" w:hAnsiTheme="majorHAnsi"/>
          <w:sz w:val="20"/>
          <w:szCs w:val="20"/>
          <w:lang w:val="es-ES"/>
        </w:rPr>
        <w:footnoteReference w:id="121"/>
      </w:r>
      <w:r w:rsidRPr="00707B68">
        <w:rPr>
          <w:rFonts w:asciiTheme="majorHAnsi" w:hAnsiTheme="majorHAnsi"/>
          <w:sz w:val="20"/>
          <w:szCs w:val="20"/>
        </w:rPr>
        <w:t xml:space="preserve"> a: </w:t>
      </w:r>
      <w:r w:rsidRPr="00707B68">
        <w:rPr>
          <w:rFonts w:asciiTheme="majorHAnsi" w:hAnsiTheme="majorHAnsi"/>
          <w:sz w:val="20"/>
          <w:szCs w:val="20"/>
          <w:lang w:val="es-US"/>
        </w:rPr>
        <w:t>i) si el Estado tenía o debía tener conocimiento de una situación de riesgo; ii) si dicho riesgo era real e inmediato;  y iii) si el Estado adoptó las medidas que razonablemente se esperaban para evitar que dicho riesgo se verificara</w:t>
      </w:r>
      <w:r w:rsidRPr="00707B68">
        <w:rPr>
          <w:rStyle w:val="FootnoteReference"/>
          <w:rFonts w:asciiTheme="majorHAnsi" w:hAnsiTheme="majorHAnsi" w:cs="Arial"/>
          <w:sz w:val="20"/>
          <w:szCs w:val="20"/>
          <w:lang w:val="es-CR"/>
        </w:rPr>
        <w:footnoteReference w:id="122"/>
      </w:r>
      <w:r w:rsidRPr="00707B68">
        <w:rPr>
          <w:rFonts w:asciiTheme="majorHAnsi" w:hAnsiTheme="majorHAnsi"/>
          <w:sz w:val="20"/>
          <w:szCs w:val="20"/>
          <w:lang w:val="es-US"/>
        </w:rPr>
        <w:t>.</w:t>
      </w:r>
    </w:p>
    <w:p w14:paraId="728D2C27" w14:textId="77777777" w:rsidR="00322BF7" w:rsidRPr="00707B68" w:rsidRDefault="00322BF7" w:rsidP="00490654">
      <w:pPr>
        <w:tabs>
          <w:tab w:val="left" w:pos="360"/>
        </w:tabs>
        <w:ind w:left="360"/>
        <w:rPr>
          <w:rFonts w:asciiTheme="majorHAnsi" w:hAnsiTheme="majorHAnsi"/>
          <w:sz w:val="20"/>
        </w:rPr>
      </w:pPr>
    </w:p>
    <w:p w14:paraId="2CE3C370" w14:textId="7B4B04E4" w:rsidR="007A08B3" w:rsidRPr="00707B68" w:rsidRDefault="00322BF7" w:rsidP="00B86C42">
      <w:pPr>
        <w:pStyle w:val="Heading3"/>
        <w:tabs>
          <w:tab w:val="left" w:pos="360"/>
        </w:tabs>
        <w:jc w:val="both"/>
      </w:pPr>
      <w:r w:rsidRPr="00707B68">
        <w:t xml:space="preserve">Determinación de atribución de responsabilidad internacional al Estado por la muerte del </w:t>
      </w:r>
      <w:r w:rsidR="00B86C42" w:rsidRPr="00707B68">
        <w:t>señor</w:t>
      </w:r>
      <w:r w:rsidRPr="00707B68">
        <w:t xml:space="preserve"> Zapata</w:t>
      </w:r>
    </w:p>
    <w:p w14:paraId="38CD6F7D" w14:textId="77777777" w:rsidR="00322BF7" w:rsidRPr="00707B68" w:rsidRDefault="00322BF7" w:rsidP="00490654">
      <w:pPr>
        <w:tabs>
          <w:tab w:val="left" w:pos="360"/>
        </w:tabs>
        <w:rPr>
          <w:rFonts w:asciiTheme="majorHAnsi" w:hAnsiTheme="majorHAnsi"/>
          <w:sz w:val="20"/>
        </w:rPr>
      </w:pPr>
    </w:p>
    <w:p w14:paraId="3C3AD30C" w14:textId="61753838" w:rsidR="007B225A" w:rsidRPr="00707B68" w:rsidRDefault="00322BF7" w:rsidP="00C7365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lang w:val="es-CL"/>
        </w:rPr>
      </w:pPr>
      <w:r w:rsidRPr="00707B68">
        <w:rPr>
          <w:rFonts w:asciiTheme="majorHAnsi" w:hAnsiTheme="majorHAnsi"/>
          <w:sz w:val="20"/>
          <w:szCs w:val="20"/>
          <w:lang w:val="es-CL"/>
        </w:rPr>
        <w:t>La CIDH observa que</w:t>
      </w:r>
      <w:r w:rsidR="00515F43" w:rsidRPr="00707B68">
        <w:rPr>
          <w:rFonts w:asciiTheme="majorHAnsi" w:hAnsiTheme="majorHAnsi"/>
          <w:sz w:val="20"/>
          <w:szCs w:val="20"/>
          <w:lang w:val="es-CL"/>
        </w:rPr>
        <w:t>,</w:t>
      </w:r>
      <w:r w:rsidRPr="00707B68">
        <w:rPr>
          <w:rFonts w:asciiTheme="majorHAnsi" w:hAnsiTheme="majorHAnsi"/>
          <w:sz w:val="20"/>
          <w:szCs w:val="20"/>
          <w:lang w:val="es-CL"/>
        </w:rPr>
        <w:t xml:space="preserve"> durante la tramitación del presente caso, la parte peticionaria </w:t>
      </w:r>
      <w:r w:rsidR="00E6676D" w:rsidRPr="00707B68">
        <w:rPr>
          <w:rFonts w:asciiTheme="majorHAnsi" w:hAnsiTheme="majorHAnsi"/>
          <w:sz w:val="20"/>
          <w:szCs w:val="20"/>
          <w:lang w:val="es-CL"/>
        </w:rPr>
        <w:t xml:space="preserve">inicialmente alegó la vulneración del derecho a la vida en relación con su </w:t>
      </w:r>
      <w:r w:rsidR="00B86C42" w:rsidRPr="00707B68">
        <w:rPr>
          <w:rFonts w:asciiTheme="majorHAnsi" w:hAnsiTheme="majorHAnsi"/>
          <w:sz w:val="20"/>
          <w:szCs w:val="20"/>
          <w:lang w:val="es-CL"/>
        </w:rPr>
        <w:t>obligación de respeto.</w:t>
      </w:r>
      <w:r w:rsidR="00515F43" w:rsidRPr="00707B68">
        <w:rPr>
          <w:rFonts w:asciiTheme="majorHAnsi" w:hAnsiTheme="majorHAnsi"/>
          <w:sz w:val="20"/>
          <w:szCs w:val="20"/>
          <w:lang w:val="es-CL"/>
        </w:rPr>
        <w:t xml:space="preserve"> </w:t>
      </w:r>
      <w:r w:rsidR="00B86C42" w:rsidRPr="00707B68">
        <w:rPr>
          <w:rFonts w:asciiTheme="majorHAnsi" w:hAnsiTheme="majorHAnsi"/>
          <w:sz w:val="20"/>
          <w:szCs w:val="20"/>
          <w:lang w:val="es-CL"/>
        </w:rPr>
        <w:t>E</w:t>
      </w:r>
      <w:r w:rsidR="008559E4" w:rsidRPr="00707B68">
        <w:rPr>
          <w:rFonts w:asciiTheme="majorHAnsi" w:hAnsiTheme="majorHAnsi"/>
          <w:sz w:val="20"/>
          <w:szCs w:val="20"/>
          <w:lang w:val="es-CL"/>
        </w:rPr>
        <w:t>n sus escritos posteriores se refirió a la</w:t>
      </w:r>
      <w:r w:rsidR="0091503D" w:rsidRPr="00707B68">
        <w:rPr>
          <w:rFonts w:asciiTheme="majorHAnsi" w:hAnsiTheme="majorHAnsi"/>
          <w:sz w:val="20"/>
          <w:szCs w:val="20"/>
          <w:lang w:val="es-CL"/>
        </w:rPr>
        <w:t xml:space="preserve"> responsabilidad internacional del Estado por el incumplimiento de su</w:t>
      </w:r>
      <w:r w:rsidR="008559E4" w:rsidRPr="00707B68">
        <w:rPr>
          <w:rFonts w:asciiTheme="majorHAnsi" w:hAnsiTheme="majorHAnsi"/>
          <w:sz w:val="20"/>
          <w:szCs w:val="20"/>
          <w:lang w:val="es-CL"/>
        </w:rPr>
        <w:t xml:space="preserve"> obligación de prevención.</w:t>
      </w:r>
      <w:r w:rsidR="009D09D5" w:rsidRPr="00707B68">
        <w:rPr>
          <w:rFonts w:asciiTheme="majorHAnsi" w:hAnsiTheme="majorHAnsi"/>
          <w:sz w:val="20"/>
          <w:szCs w:val="20"/>
          <w:lang w:val="es-CL"/>
        </w:rPr>
        <w:t xml:space="preserve"> </w:t>
      </w:r>
      <w:r w:rsidR="00F752B9" w:rsidRPr="00707B68">
        <w:rPr>
          <w:rFonts w:asciiTheme="majorHAnsi" w:hAnsiTheme="majorHAnsi"/>
          <w:sz w:val="20"/>
          <w:szCs w:val="20"/>
          <w:lang w:val="es-CL"/>
        </w:rPr>
        <w:t xml:space="preserve">En su más reciente escrito la parte peticionaria alegó que </w:t>
      </w:r>
      <w:r w:rsidR="00F752B9" w:rsidRPr="00707B68">
        <w:rPr>
          <w:rFonts w:asciiTheme="majorHAnsi" w:hAnsiTheme="majorHAnsi" w:cs="Arial"/>
          <w:sz w:val="20"/>
          <w:szCs w:val="20"/>
          <w:lang w:val="es-US" w:eastAsia="es-ES"/>
        </w:rPr>
        <w:t xml:space="preserve">el Estado, a través de sus agentes, puso en riesgo la vida del señor Zapata, situación que a la postre generó su asesinato, pues “el señalamiento de ser integrante del grupo guerrillero ELN, tiene una relación directa con su homicidio a manos de grupos paramilitares”. </w:t>
      </w:r>
      <w:r w:rsidR="00F752B9" w:rsidRPr="00707B68">
        <w:rPr>
          <w:rFonts w:asciiTheme="majorHAnsi" w:hAnsiTheme="majorHAnsi"/>
          <w:sz w:val="20"/>
          <w:szCs w:val="20"/>
          <w:lang w:val="es-CL"/>
        </w:rPr>
        <w:t>En vista de lo señalado</w:t>
      </w:r>
      <w:r w:rsidR="007B225A" w:rsidRPr="00707B68">
        <w:rPr>
          <w:rFonts w:asciiTheme="majorHAnsi" w:hAnsiTheme="majorHAnsi"/>
          <w:sz w:val="20"/>
          <w:szCs w:val="20"/>
          <w:lang w:val="es-CL"/>
        </w:rPr>
        <w:t xml:space="preserve">, la CIDH se referirá en la presente sección a </w:t>
      </w:r>
      <w:r w:rsidR="00F752B9" w:rsidRPr="00707B68">
        <w:rPr>
          <w:rFonts w:asciiTheme="majorHAnsi" w:hAnsiTheme="majorHAnsi"/>
          <w:sz w:val="20"/>
          <w:szCs w:val="20"/>
          <w:lang w:val="es-CL"/>
        </w:rPr>
        <w:t>las</w:t>
      </w:r>
      <w:r w:rsidR="007B225A" w:rsidRPr="00707B68">
        <w:rPr>
          <w:rFonts w:asciiTheme="majorHAnsi" w:hAnsiTheme="majorHAnsi"/>
          <w:sz w:val="20"/>
          <w:szCs w:val="20"/>
          <w:lang w:val="es-CL"/>
        </w:rPr>
        <w:t xml:space="preserve"> obligaciones</w:t>
      </w:r>
      <w:r w:rsidR="00C73654" w:rsidRPr="00707B68">
        <w:rPr>
          <w:rFonts w:asciiTheme="majorHAnsi" w:hAnsiTheme="majorHAnsi"/>
          <w:sz w:val="20"/>
          <w:szCs w:val="20"/>
          <w:lang w:val="es-CL"/>
        </w:rPr>
        <w:t xml:space="preserve"> del Estado de respe</w:t>
      </w:r>
      <w:r w:rsidR="00F752B9" w:rsidRPr="00707B68">
        <w:rPr>
          <w:rFonts w:asciiTheme="majorHAnsi" w:hAnsiTheme="majorHAnsi"/>
          <w:sz w:val="20"/>
          <w:szCs w:val="20"/>
          <w:lang w:val="es-CL"/>
        </w:rPr>
        <w:t xml:space="preserve">to y </w:t>
      </w:r>
      <w:r w:rsidR="00C73654" w:rsidRPr="00707B68">
        <w:rPr>
          <w:rFonts w:asciiTheme="majorHAnsi" w:hAnsiTheme="majorHAnsi"/>
          <w:sz w:val="20"/>
          <w:szCs w:val="20"/>
          <w:lang w:val="es-CL"/>
        </w:rPr>
        <w:t xml:space="preserve">prevención para determinar la eventual </w:t>
      </w:r>
      <w:r w:rsidR="007B225A" w:rsidRPr="00707B68">
        <w:rPr>
          <w:rFonts w:asciiTheme="majorHAnsi" w:hAnsiTheme="majorHAnsi"/>
          <w:sz w:val="20"/>
          <w:szCs w:val="20"/>
          <w:lang w:val="es-CL"/>
        </w:rPr>
        <w:t xml:space="preserve">atribución de responsabilidad internacional en la muerte del señor Zapata. </w:t>
      </w:r>
    </w:p>
    <w:p w14:paraId="37BF3586" w14:textId="77777777" w:rsidR="00036518" w:rsidRPr="00707B68" w:rsidRDefault="00036518" w:rsidP="0049065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jc w:val="both"/>
        <w:rPr>
          <w:rFonts w:asciiTheme="majorHAnsi" w:hAnsiTheme="majorHAnsi"/>
          <w:sz w:val="20"/>
          <w:szCs w:val="20"/>
          <w:lang w:val="es-CL"/>
        </w:rPr>
      </w:pPr>
    </w:p>
    <w:p w14:paraId="3D751811" w14:textId="77777777" w:rsidR="007B225A" w:rsidRPr="00707B68" w:rsidRDefault="007B225A" w:rsidP="00490654">
      <w:pPr>
        <w:pStyle w:val="Heading3"/>
        <w:numPr>
          <w:ilvl w:val="1"/>
          <w:numId w:val="58"/>
        </w:numPr>
        <w:tabs>
          <w:tab w:val="left" w:pos="360"/>
        </w:tabs>
        <w:ind w:left="0" w:firstLine="0"/>
        <w:jc w:val="both"/>
      </w:pPr>
      <w:r w:rsidRPr="00707B68">
        <w:t>Análisis sobre el deber de respeto</w:t>
      </w:r>
    </w:p>
    <w:p w14:paraId="50291B77" w14:textId="77777777" w:rsidR="007A08B3" w:rsidRPr="00707B68" w:rsidRDefault="007A08B3" w:rsidP="0049065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jc w:val="both"/>
        <w:rPr>
          <w:rFonts w:asciiTheme="majorHAnsi" w:hAnsiTheme="majorHAnsi"/>
          <w:sz w:val="20"/>
          <w:szCs w:val="20"/>
          <w:lang w:val="es-CL"/>
        </w:rPr>
      </w:pPr>
    </w:p>
    <w:p w14:paraId="540F9585" w14:textId="5A5DE528" w:rsidR="00BF7B01" w:rsidRPr="00707B68" w:rsidRDefault="00AF5DE6" w:rsidP="0049065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lang w:val="es-CL"/>
        </w:rPr>
      </w:pPr>
      <w:r w:rsidRPr="00707B68">
        <w:rPr>
          <w:rFonts w:asciiTheme="majorHAnsi" w:hAnsiTheme="majorHAnsi"/>
          <w:sz w:val="20"/>
          <w:szCs w:val="20"/>
          <w:lang w:val="es-CL"/>
        </w:rPr>
        <w:t xml:space="preserve">En relación con el deber de respeto en el análisis de </w:t>
      </w:r>
      <w:r w:rsidR="00C73654" w:rsidRPr="00707B68">
        <w:rPr>
          <w:rFonts w:asciiTheme="majorHAnsi" w:hAnsiTheme="majorHAnsi"/>
          <w:sz w:val="20"/>
          <w:szCs w:val="20"/>
          <w:lang w:val="es-CL"/>
        </w:rPr>
        <w:t xml:space="preserve">alegadas </w:t>
      </w:r>
      <w:r w:rsidRPr="00707B68">
        <w:rPr>
          <w:rFonts w:asciiTheme="majorHAnsi" w:hAnsiTheme="majorHAnsi"/>
          <w:sz w:val="20"/>
          <w:szCs w:val="20"/>
          <w:lang w:val="es-CL"/>
        </w:rPr>
        <w:t>ejecuciones extrajudiciales, la CIDH debe establecer si existen elementos probatorios suficientes para atribuir la muerte del señor Zapata a alg</w:t>
      </w:r>
      <w:r w:rsidR="00BF7B01" w:rsidRPr="00707B68">
        <w:rPr>
          <w:rFonts w:asciiTheme="majorHAnsi" w:hAnsiTheme="majorHAnsi"/>
          <w:sz w:val="20"/>
          <w:szCs w:val="20"/>
          <w:lang w:val="es-CL"/>
        </w:rPr>
        <w:t xml:space="preserve">ún </w:t>
      </w:r>
      <w:r w:rsidRPr="00707B68">
        <w:rPr>
          <w:rFonts w:asciiTheme="majorHAnsi" w:hAnsiTheme="majorHAnsi"/>
          <w:sz w:val="20"/>
          <w:szCs w:val="20"/>
          <w:lang w:val="es-CL"/>
        </w:rPr>
        <w:t>agente estatal</w:t>
      </w:r>
      <w:r w:rsidR="00BF7B01" w:rsidRPr="00707B68">
        <w:rPr>
          <w:rFonts w:asciiTheme="majorHAnsi" w:hAnsiTheme="majorHAnsi"/>
          <w:sz w:val="20"/>
          <w:szCs w:val="20"/>
          <w:lang w:val="es-CL"/>
        </w:rPr>
        <w:t xml:space="preserve"> en alguna de las modalidades admitidas por el derecho internacional</w:t>
      </w:r>
      <w:r w:rsidRPr="00707B68">
        <w:rPr>
          <w:rFonts w:asciiTheme="majorHAnsi" w:hAnsiTheme="majorHAnsi"/>
          <w:sz w:val="20"/>
          <w:szCs w:val="20"/>
          <w:lang w:val="es-CL"/>
        </w:rPr>
        <w:t xml:space="preserve">. En estos términos, y tal como está explicado en el contexto del presente informe, en casos temporal y territorialmente enmarcados en el conflicto armado en Colombia, la </w:t>
      </w:r>
      <w:r w:rsidR="007A08B3" w:rsidRPr="00707B68">
        <w:rPr>
          <w:rFonts w:asciiTheme="majorHAnsi" w:hAnsiTheme="majorHAnsi"/>
          <w:sz w:val="20"/>
          <w:szCs w:val="20"/>
          <w:lang w:val="es-CL"/>
        </w:rPr>
        <w:t xml:space="preserve">CIDH ha </w:t>
      </w:r>
      <w:r w:rsidR="00D72BEA" w:rsidRPr="00707B68">
        <w:rPr>
          <w:rFonts w:asciiTheme="majorHAnsi" w:hAnsiTheme="majorHAnsi"/>
          <w:sz w:val="20"/>
          <w:szCs w:val="20"/>
          <w:lang w:val="es-CL"/>
        </w:rPr>
        <w:t>entendido que</w:t>
      </w:r>
      <w:r w:rsidR="007A08B3" w:rsidRPr="00707B68">
        <w:rPr>
          <w:rFonts w:asciiTheme="majorHAnsi" w:hAnsiTheme="majorHAnsi"/>
          <w:sz w:val="20"/>
          <w:szCs w:val="20"/>
          <w:lang w:val="es-CL"/>
        </w:rPr>
        <w:t xml:space="preserve"> las autodefensas colombianas </w:t>
      </w:r>
      <w:r w:rsidR="00BF7B01" w:rsidRPr="00707B68">
        <w:rPr>
          <w:rFonts w:asciiTheme="majorHAnsi" w:hAnsiTheme="majorHAnsi"/>
          <w:sz w:val="20"/>
          <w:szCs w:val="20"/>
          <w:lang w:val="es-CL"/>
        </w:rPr>
        <w:t xml:space="preserve">actuaron como agentes estatales hasta el año </w:t>
      </w:r>
      <w:r w:rsidR="007A08B3" w:rsidRPr="00707B68">
        <w:rPr>
          <w:rFonts w:asciiTheme="majorHAnsi" w:hAnsiTheme="majorHAnsi"/>
          <w:sz w:val="20"/>
          <w:szCs w:val="20"/>
          <w:lang w:val="es-CL"/>
        </w:rPr>
        <w:t>1989</w:t>
      </w:r>
      <w:r w:rsidR="00123D43" w:rsidRPr="00707B68">
        <w:rPr>
          <w:rFonts w:asciiTheme="majorHAnsi" w:hAnsiTheme="majorHAnsi"/>
          <w:sz w:val="20"/>
          <w:szCs w:val="20"/>
          <w:lang w:val="es-CL"/>
        </w:rPr>
        <w:t xml:space="preserve"> en que la Corte Suprema declaró la inconstitucionalidad del Decreto Legislativo 3398 de 1968 y desvinculó formalmente al Estado de su actuar. En estos términos, </w:t>
      </w:r>
      <w:r w:rsidR="0033577A" w:rsidRPr="00707B68">
        <w:rPr>
          <w:rFonts w:asciiTheme="majorHAnsi" w:hAnsiTheme="majorHAnsi"/>
          <w:sz w:val="20"/>
          <w:szCs w:val="20"/>
          <w:lang w:val="es-CL"/>
        </w:rPr>
        <w:t>la CIDH observa que no existen pruebas en el expediente que vi</w:t>
      </w:r>
      <w:r w:rsidR="00DE6726" w:rsidRPr="00707B68">
        <w:rPr>
          <w:rFonts w:asciiTheme="majorHAnsi" w:hAnsiTheme="majorHAnsi"/>
          <w:sz w:val="20"/>
          <w:szCs w:val="20"/>
          <w:lang w:val="es-CL"/>
        </w:rPr>
        <w:t>nculen la acción directa de</w:t>
      </w:r>
      <w:r w:rsidR="0033577A" w:rsidRPr="00707B68">
        <w:rPr>
          <w:rFonts w:asciiTheme="majorHAnsi" w:hAnsiTheme="majorHAnsi"/>
          <w:sz w:val="20"/>
          <w:szCs w:val="20"/>
          <w:lang w:val="es-CL"/>
        </w:rPr>
        <w:t xml:space="preserve"> agentes pertenecientes a las fuerzas de seguridad</w:t>
      </w:r>
      <w:r w:rsidR="00C73654" w:rsidRPr="00707B68">
        <w:rPr>
          <w:rFonts w:asciiTheme="majorHAnsi" w:hAnsiTheme="majorHAnsi"/>
          <w:sz w:val="20"/>
          <w:szCs w:val="20"/>
          <w:lang w:val="es-CL"/>
        </w:rPr>
        <w:t xml:space="preserve"> con la muerte del señor Zapata. En ese sentido,</w:t>
      </w:r>
      <w:r w:rsidR="0033577A" w:rsidRPr="00707B68">
        <w:rPr>
          <w:rFonts w:asciiTheme="majorHAnsi" w:hAnsiTheme="majorHAnsi"/>
          <w:sz w:val="20"/>
          <w:szCs w:val="20"/>
          <w:lang w:val="es-CL"/>
        </w:rPr>
        <w:t xml:space="preserve"> el escenario que la Comisión debe determinar </w:t>
      </w:r>
      <w:r w:rsidR="00DF0155" w:rsidRPr="00707B68">
        <w:rPr>
          <w:rFonts w:asciiTheme="majorHAnsi" w:hAnsiTheme="majorHAnsi"/>
          <w:sz w:val="20"/>
          <w:szCs w:val="20"/>
          <w:lang w:val="es-CL"/>
        </w:rPr>
        <w:t>es si la muerte de la presunta víctima fue el resultado de la acción d</w:t>
      </w:r>
      <w:r w:rsidR="00D72BEA" w:rsidRPr="00707B68">
        <w:rPr>
          <w:rFonts w:asciiTheme="majorHAnsi" w:hAnsiTheme="majorHAnsi"/>
          <w:sz w:val="20"/>
          <w:szCs w:val="20"/>
          <w:lang w:val="es-CL"/>
        </w:rPr>
        <w:t xml:space="preserve">e terceros bajo la connivencia </w:t>
      </w:r>
      <w:r w:rsidR="00DF0155" w:rsidRPr="00707B68">
        <w:rPr>
          <w:rFonts w:asciiTheme="majorHAnsi" w:hAnsiTheme="majorHAnsi"/>
          <w:sz w:val="20"/>
          <w:szCs w:val="20"/>
          <w:lang w:val="es-CL"/>
        </w:rPr>
        <w:t>o aquiescencia</w:t>
      </w:r>
      <w:r w:rsidR="00DE6726" w:rsidRPr="00707B68">
        <w:rPr>
          <w:rFonts w:asciiTheme="majorHAnsi" w:hAnsiTheme="majorHAnsi"/>
          <w:sz w:val="20"/>
          <w:szCs w:val="20"/>
          <w:lang w:val="es-CL"/>
        </w:rPr>
        <w:t xml:space="preserve"> del Estado.</w:t>
      </w:r>
    </w:p>
    <w:p w14:paraId="74E801BB" w14:textId="77777777" w:rsidR="00BF7B01" w:rsidRPr="00707B68" w:rsidRDefault="00BF7B01" w:rsidP="00490654">
      <w:pPr>
        <w:tabs>
          <w:tab w:val="left" w:pos="360"/>
        </w:tabs>
        <w:ind w:left="360"/>
        <w:rPr>
          <w:rFonts w:asciiTheme="majorHAnsi" w:hAnsiTheme="majorHAnsi"/>
          <w:sz w:val="20"/>
        </w:rPr>
      </w:pPr>
    </w:p>
    <w:p w14:paraId="03974ACA" w14:textId="77777777" w:rsidR="00DE6726" w:rsidRPr="00707B68" w:rsidRDefault="007A08B3" w:rsidP="0049065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lang w:val="es-CL"/>
        </w:rPr>
      </w:pPr>
      <w:r w:rsidRPr="00707B68">
        <w:rPr>
          <w:rFonts w:asciiTheme="majorHAnsi" w:hAnsiTheme="majorHAnsi"/>
          <w:sz w:val="20"/>
          <w:szCs w:val="20"/>
          <w:lang w:val="es-CL"/>
        </w:rPr>
        <w:t>En primer lugar, la CIDH encuentra que</w:t>
      </w:r>
      <w:r w:rsidR="00123D43" w:rsidRPr="00707B68">
        <w:rPr>
          <w:rFonts w:asciiTheme="majorHAnsi" w:hAnsiTheme="majorHAnsi"/>
          <w:sz w:val="20"/>
          <w:szCs w:val="20"/>
          <w:lang w:val="es-CL"/>
        </w:rPr>
        <w:t xml:space="preserve"> </w:t>
      </w:r>
      <w:r w:rsidRPr="00707B68">
        <w:rPr>
          <w:rFonts w:asciiTheme="majorHAnsi" w:hAnsiTheme="majorHAnsi"/>
          <w:sz w:val="20"/>
          <w:szCs w:val="20"/>
          <w:lang w:val="es-CL"/>
        </w:rPr>
        <w:t>durante la época de los hechos existía un contexto de persecución y vulneraciones al derecho a la vida e integridad en contra de defensores</w:t>
      </w:r>
      <w:r w:rsidR="003C022F" w:rsidRPr="00707B68">
        <w:rPr>
          <w:rFonts w:asciiTheme="majorHAnsi" w:hAnsiTheme="majorHAnsi"/>
          <w:sz w:val="20"/>
          <w:szCs w:val="20"/>
          <w:lang w:val="es-CL"/>
        </w:rPr>
        <w:t xml:space="preserve"> de derechos humanos en Colombia, y específicamente </w:t>
      </w:r>
      <w:r w:rsidR="001D4297" w:rsidRPr="00707B68">
        <w:rPr>
          <w:rFonts w:asciiTheme="majorHAnsi" w:hAnsiTheme="majorHAnsi"/>
          <w:sz w:val="20"/>
          <w:szCs w:val="20"/>
          <w:lang w:val="es-CL"/>
        </w:rPr>
        <w:t>en Segovia</w:t>
      </w:r>
      <w:r w:rsidR="004B757D" w:rsidRPr="00707B68">
        <w:rPr>
          <w:rFonts w:asciiTheme="majorHAnsi" w:hAnsiTheme="majorHAnsi"/>
          <w:sz w:val="20"/>
          <w:szCs w:val="20"/>
          <w:lang w:val="es-CL"/>
        </w:rPr>
        <w:t>. L</w:t>
      </w:r>
      <w:r w:rsidR="001D4297" w:rsidRPr="00707B68">
        <w:rPr>
          <w:rFonts w:asciiTheme="majorHAnsi" w:hAnsiTheme="majorHAnsi"/>
          <w:sz w:val="20"/>
          <w:szCs w:val="20"/>
          <w:lang w:val="es-CL"/>
        </w:rPr>
        <w:t xml:space="preserve">a CIDH ha conocido de primera mano la ocurrencia de graves violaciones de derechos humanos provocadas por el conflicto armado. Sumado a lo anterior, la CIDH también encuentra que las amenazas a la seguridad, vida e integridad del señor Zapata, hasta el año 1998, fueron calificadas como </w:t>
      </w:r>
      <w:r w:rsidR="004B757D" w:rsidRPr="00707B68">
        <w:rPr>
          <w:rFonts w:asciiTheme="majorHAnsi" w:hAnsiTheme="majorHAnsi"/>
          <w:sz w:val="20"/>
          <w:szCs w:val="20"/>
          <w:lang w:val="es-CL"/>
        </w:rPr>
        <w:t>urgentes</w:t>
      </w:r>
      <w:r w:rsidR="001D4297" w:rsidRPr="00707B68">
        <w:rPr>
          <w:rFonts w:asciiTheme="majorHAnsi" w:hAnsiTheme="majorHAnsi"/>
          <w:sz w:val="20"/>
          <w:szCs w:val="20"/>
          <w:lang w:val="es-CL"/>
        </w:rPr>
        <w:t xml:space="preserve"> al punto que </w:t>
      </w:r>
      <w:r w:rsidR="003C022F" w:rsidRPr="00707B68">
        <w:rPr>
          <w:rFonts w:asciiTheme="majorHAnsi" w:hAnsiTheme="majorHAnsi"/>
          <w:sz w:val="20"/>
          <w:szCs w:val="20"/>
          <w:lang w:val="es-CL"/>
        </w:rPr>
        <w:t>otorg</w:t>
      </w:r>
      <w:r w:rsidR="001D4297" w:rsidRPr="00707B68">
        <w:rPr>
          <w:rFonts w:asciiTheme="majorHAnsi" w:hAnsiTheme="majorHAnsi"/>
          <w:sz w:val="20"/>
          <w:szCs w:val="20"/>
          <w:lang w:val="es-CL"/>
        </w:rPr>
        <w:t>ó</w:t>
      </w:r>
      <w:r w:rsidR="003C022F" w:rsidRPr="00707B68">
        <w:rPr>
          <w:rFonts w:asciiTheme="majorHAnsi" w:hAnsiTheme="majorHAnsi"/>
          <w:sz w:val="20"/>
          <w:szCs w:val="20"/>
          <w:lang w:val="es-CL"/>
        </w:rPr>
        <w:t xml:space="preserve"> medidas cautelares a </w:t>
      </w:r>
      <w:r w:rsidR="001D4297" w:rsidRPr="00707B68">
        <w:rPr>
          <w:rFonts w:asciiTheme="majorHAnsi" w:hAnsiTheme="majorHAnsi"/>
          <w:sz w:val="20"/>
          <w:szCs w:val="20"/>
          <w:lang w:val="es-CL"/>
        </w:rPr>
        <w:t xml:space="preserve">su favor. </w:t>
      </w:r>
    </w:p>
    <w:p w14:paraId="5E1CD191" w14:textId="77777777" w:rsidR="00DE6726" w:rsidRPr="00707B68" w:rsidRDefault="00DE6726" w:rsidP="00490654">
      <w:pPr>
        <w:tabs>
          <w:tab w:val="left" w:pos="360"/>
        </w:tabs>
        <w:ind w:left="360"/>
        <w:rPr>
          <w:rFonts w:asciiTheme="majorHAnsi" w:hAnsiTheme="majorHAnsi"/>
          <w:sz w:val="20"/>
        </w:rPr>
      </w:pPr>
    </w:p>
    <w:p w14:paraId="12A08BA2" w14:textId="6744374A" w:rsidR="007A08B3" w:rsidRPr="00707B68" w:rsidRDefault="00DE6726" w:rsidP="0049065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lang w:val="es-CL"/>
        </w:rPr>
      </w:pPr>
      <w:r w:rsidRPr="00707B68">
        <w:rPr>
          <w:rFonts w:asciiTheme="majorHAnsi" w:hAnsiTheme="majorHAnsi"/>
          <w:sz w:val="20"/>
          <w:szCs w:val="20"/>
          <w:lang w:val="es-CL"/>
        </w:rPr>
        <w:t xml:space="preserve">En segundo lugar, la Comisión encuentra probado que hasta el año 1998 el señor </w:t>
      </w:r>
      <w:r w:rsidR="001D4297" w:rsidRPr="00707B68">
        <w:rPr>
          <w:rFonts w:asciiTheme="majorHAnsi" w:hAnsiTheme="majorHAnsi"/>
          <w:sz w:val="20"/>
          <w:szCs w:val="20"/>
          <w:lang w:val="es-CL"/>
        </w:rPr>
        <w:t xml:space="preserve">Zapata fue </w:t>
      </w:r>
      <w:r w:rsidR="00CA5165" w:rsidRPr="00707B68">
        <w:rPr>
          <w:rFonts w:asciiTheme="majorHAnsi" w:hAnsiTheme="majorHAnsi"/>
          <w:sz w:val="20"/>
          <w:szCs w:val="20"/>
          <w:lang w:val="es-CL"/>
        </w:rPr>
        <w:t>víctima</w:t>
      </w:r>
      <w:r w:rsidR="001D4297" w:rsidRPr="00707B68">
        <w:rPr>
          <w:rFonts w:asciiTheme="majorHAnsi" w:hAnsiTheme="majorHAnsi"/>
          <w:sz w:val="20"/>
          <w:szCs w:val="20"/>
          <w:lang w:val="es-CL"/>
        </w:rPr>
        <w:t xml:space="preserve"> de persecución </w:t>
      </w:r>
      <w:r w:rsidR="00CA5165" w:rsidRPr="00707B68">
        <w:rPr>
          <w:rFonts w:asciiTheme="majorHAnsi" w:hAnsiTheme="majorHAnsi"/>
          <w:sz w:val="20"/>
          <w:szCs w:val="20"/>
          <w:lang w:val="es-CL"/>
        </w:rPr>
        <w:t xml:space="preserve">que se tradujo en la apertura de múltiples procesos judiciales, ya reseñados en este informe, </w:t>
      </w:r>
      <w:r w:rsidR="001D4297" w:rsidRPr="00707B68">
        <w:rPr>
          <w:rFonts w:asciiTheme="majorHAnsi" w:hAnsiTheme="majorHAnsi"/>
          <w:sz w:val="20"/>
          <w:szCs w:val="20"/>
          <w:lang w:val="es-CL"/>
        </w:rPr>
        <w:t xml:space="preserve">por sus supuestos vínculos con </w:t>
      </w:r>
      <w:r w:rsidR="00CA5165" w:rsidRPr="00707B68">
        <w:rPr>
          <w:rFonts w:asciiTheme="majorHAnsi" w:hAnsiTheme="majorHAnsi"/>
          <w:sz w:val="20"/>
          <w:szCs w:val="20"/>
          <w:lang w:val="es-CL"/>
        </w:rPr>
        <w:t>elementos</w:t>
      </w:r>
      <w:r w:rsidR="001D4297" w:rsidRPr="00707B68">
        <w:rPr>
          <w:rFonts w:asciiTheme="majorHAnsi" w:hAnsiTheme="majorHAnsi"/>
          <w:sz w:val="20"/>
          <w:szCs w:val="20"/>
          <w:lang w:val="es-CL"/>
        </w:rPr>
        <w:t xml:space="preserve"> subversivos y </w:t>
      </w:r>
      <w:r w:rsidR="00CA5165" w:rsidRPr="00707B68">
        <w:rPr>
          <w:rFonts w:asciiTheme="majorHAnsi" w:hAnsiTheme="majorHAnsi"/>
          <w:sz w:val="20"/>
          <w:szCs w:val="20"/>
          <w:lang w:val="es-CL"/>
        </w:rPr>
        <w:t xml:space="preserve">su participación en </w:t>
      </w:r>
      <w:r w:rsidR="001D4297" w:rsidRPr="00707B68">
        <w:rPr>
          <w:rFonts w:asciiTheme="majorHAnsi" w:hAnsiTheme="majorHAnsi"/>
          <w:sz w:val="20"/>
          <w:szCs w:val="20"/>
          <w:lang w:val="es-CL"/>
        </w:rPr>
        <w:t xml:space="preserve">actos criminales (como la masacre de </w:t>
      </w:r>
      <w:r w:rsidR="00CA5165" w:rsidRPr="00707B68">
        <w:rPr>
          <w:rFonts w:asciiTheme="majorHAnsi" w:hAnsiTheme="majorHAnsi"/>
          <w:sz w:val="20"/>
          <w:szCs w:val="20"/>
          <w:lang w:val="es-CL"/>
        </w:rPr>
        <w:t xml:space="preserve">Segovia de </w:t>
      </w:r>
      <w:r w:rsidR="001D4297" w:rsidRPr="00707B68">
        <w:rPr>
          <w:rFonts w:asciiTheme="majorHAnsi" w:hAnsiTheme="majorHAnsi"/>
          <w:sz w:val="20"/>
          <w:szCs w:val="20"/>
          <w:lang w:val="es-CL"/>
        </w:rPr>
        <w:t>1996)</w:t>
      </w:r>
      <w:r w:rsidR="002C5E9B" w:rsidRPr="00707B68">
        <w:rPr>
          <w:rFonts w:asciiTheme="majorHAnsi" w:hAnsiTheme="majorHAnsi"/>
          <w:sz w:val="20"/>
          <w:szCs w:val="20"/>
          <w:lang w:val="es-CL"/>
        </w:rPr>
        <w:t>. La Comisión observa</w:t>
      </w:r>
      <w:r w:rsidR="00CA5165" w:rsidRPr="00707B68">
        <w:rPr>
          <w:rFonts w:asciiTheme="majorHAnsi" w:hAnsiTheme="majorHAnsi"/>
          <w:sz w:val="20"/>
          <w:szCs w:val="20"/>
          <w:lang w:val="es-CL"/>
        </w:rPr>
        <w:t xml:space="preserve"> que en el marco de estas</w:t>
      </w:r>
      <w:r w:rsidR="002C5E9B" w:rsidRPr="00707B68">
        <w:rPr>
          <w:rFonts w:asciiTheme="majorHAnsi" w:hAnsiTheme="majorHAnsi"/>
          <w:sz w:val="20"/>
          <w:szCs w:val="20"/>
          <w:lang w:val="es-CL"/>
        </w:rPr>
        <w:t xml:space="preserve"> investigaciones</w:t>
      </w:r>
      <w:r w:rsidR="00CA5165" w:rsidRPr="00707B68">
        <w:rPr>
          <w:rFonts w:asciiTheme="majorHAnsi" w:hAnsiTheme="majorHAnsi"/>
          <w:sz w:val="20"/>
          <w:szCs w:val="20"/>
          <w:lang w:val="es-CL"/>
        </w:rPr>
        <w:t xml:space="preserve"> el domicilio del señor Zapata fue allanado, su sobrino fue detenido y él mismo sufrió </w:t>
      </w:r>
      <w:r w:rsidR="00AB3A35" w:rsidRPr="00707B68">
        <w:rPr>
          <w:rFonts w:asciiTheme="majorHAnsi" w:hAnsiTheme="majorHAnsi"/>
          <w:sz w:val="20"/>
          <w:szCs w:val="20"/>
          <w:lang w:val="es-CL"/>
        </w:rPr>
        <w:t>dos detenciones sin orden judicial</w:t>
      </w:r>
      <w:r w:rsidR="00CA5165" w:rsidRPr="00707B68">
        <w:rPr>
          <w:rFonts w:asciiTheme="majorHAnsi" w:hAnsiTheme="majorHAnsi"/>
          <w:sz w:val="20"/>
          <w:szCs w:val="20"/>
          <w:lang w:val="es-CL"/>
        </w:rPr>
        <w:t xml:space="preserve">. </w:t>
      </w:r>
    </w:p>
    <w:p w14:paraId="3419852B" w14:textId="77777777" w:rsidR="00AB3A35" w:rsidRPr="00707B68" w:rsidRDefault="00AB3A35" w:rsidP="00E86463"/>
    <w:p w14:paraId="521688C1" w14:textId="69B9C2D1" w:rsidR="00CA5165" w:rsidRPr="00707B68" w:rsidRDefault="00CA5165" w:rsidP="0049065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lang w:val="es-CL"/>
        </w:rPr>
      </w:pPr>
      <w:r w:rsidRPr="00707B68">
        <w:rPr>
          <w:rFonts w:asciiTheme="majorHAnsi" w:hAnsiTheme="majorHAnsi"/>
          <w:sz w:val="20"/>
          <w:szCs w:val="20"/>
          <w:lang w:val="es-CL"/>
        </w:rPr>
        <w:t xml:space="preserve">En tercer lugar y de particular gravedad, la Comisión encuentra que el señor Zapata fue objeto de investigaciones </w:t>
      </w:r>
      <w:r w:rsidR="002C5E9B" w:rsidRPr="00707B68">
        <w:rPr>
          <w:rFonts w:asciiTheme="majorHAnsi" w:hAnsiTheme="majorHAnsi"/>
          <w:sz w:val="20"/>
          <w:szCs w:val="20"/>
          <w:lang w:val="es-CL"/>
        </w:rPr>
        <w:t>de inteligencia. En dichas investigaciones</w:t>
      </w:r>
      <w:r w:rsidRPr="00707B68">
        <w:rPr>
          <w:rFonts w:asciiTheme="majorHAnsi" w:hAnsiTheme="majorHAnsi"/>
          <w:sz w:val="20"/>
          <w:szCs w:val="20"/>
          <w:lang w:val="es-CL"/>
        </w:rPr>
        <w:t xml:space="preserve"> se le calificó categóricamente como integrante de milicias y de grupos subversivos, como ideólogo y extremista, y que su labor de defensa de los derechos humanos era meramente una fachada, tal como quedó reflejado en el Informe de Inteligencia de 1997. </w:t>
      </w:r>
    </w:p>
    <w:p w14:paraId="45892E8D" w14:textId="77777777" w:rsidR="007A08B3" w:rsidRPr="00707B68" w:rsidRDefault="007A08B3" w:rsidP="00490654">
      <w:pPr>
        <w:tabs>
          <w:tab w:val="left" w:pos="360"/>
        </w:tabs>
        <w:ind w:left="360" w:hanging="360"/>
        <w:rPr>
          <w:rFonts w:asciiTheme="majorHAnsi" w:hAnsiTheme="majorHAnsi"/>
          <w:sz w:val="20"/>
          <w:lang w:val="es-CL"/>
        </w:rPr>
      </w:pPr>
    </w:p>
    <w:p w14:paraId="3ACBBA47" w14:textId="6E409B26" w:rsidR="007A08B3" w:rsidRPr="00707B68" w:rsidRDefault="00BF791D" w:rsidP="0049065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lang w:val="es-CL"/>
        </w:rPr>
      </w:pPr>
      <w:r w:rsidRPr="00707B68">
        <w:rPr>
          <w:rFonts w:asciiTheme="majorHAnsi" w:hAnsiTheme="majorHAnsi"/>
          <w:sz w:val="20"/>
          <w:szCs w:val="20"/>
          <w:lang w:val="es-CL"/>
        </w:rPr>
        <w:t>En cuarto lugar, la CIDH constat</w:t>
      </w:r>
      <w:r w:rsidR="002C5E9B" w:rsidRPr="00707B68">
        <w:rPr>
          <w:rFonts w:asciiTheme="majorHAnsi" w:hAnsiTheme="majorHAnsi"/>
          <w:sz w:val="20"/>
          <w:szCs w:val="20"/>
          <w:lang w:val="es-CL"/>
        </w:rPr>
        <w:t xml:space="preserve">a que su salida de Segovia en </w:t>
      </w:r>
      <w:r w:rsidRPr="00707B68">
        <w:rPr>
          <w:rFonts w:asciiTheme="majorHAnsi" w:hAnsiTheme="majorHAnsi"/>
          <w:sz w:val="20"/>
          <w:szCs w:val="20"/>
          <w:lang w:val="es-CL"/>
        </w:rPr>
        <w:t xml:space="preserve"> 1997 buscó resguardar su vida e integridad</w:t>
      </w:r>
      <w:r w:rsidR="00427042" w:rsidRPr="00707B68">
        <w:rPr>
          <w:rFonts w:asciiTheme="majorHAnsi" w:hAnsiTheme="majorHAnsi"/>
          <w:sz w:val="20"/>
          <w:szCs w:val="20"/>
          <w:lang w:val="es-CL"/>
        </w:rPr>
        <w:t xml:space="preserve"> por lo que se trasladó a Medellín. E</w:t>
      </w:r>
      <w:r w:rsidRPr="00707B68">
        <w:rPr>
          <w:rFonts w:asciiTheme="majorHAnsi" w:hAnsiTheme="majorHAnsi"/>
          <w:sz w:val="20"/>
          <w:szCs w:val="20"/>
          <w:lang w:val="es-CL"/>
        </w:rPr>
        <w:t xml:space="preserve">sto fue conocido claramente por las autoridades de la fuerza pública </w:t>
      </w:r>
      <w:r w:rsidRPr="00707B68">
        <w:rPr>
          <w:rFonts w:asciiTheme="majorHAnsi" w:hAnsiTheme="majorHAnsi"/>
          <w:sz w:val="20"/>
          <w:szCs w:val="20"/>
          <w:lang w:val="es-CL"/>
        </w:rPr>
        <w:lastRenderedPageBreak/>
        <w:t>encargadas de su seguridad personal, por su empleador (la Secretaría de Educación) que buscó reubicarlo, y por p</w:t>
      </w:r>
      <w:r w:rsidR="00ED5935" w:rsidRPr="00707B68">
        <w:rPr>
          <w:rFonts w:asciiTheme="majorHAnsi" w:hAnsiTheme="majorHAnsi"/>
          <w:sz w:val="20"/>
          <w:szCs w:val="20"/>
          <w:lang w:val="es-CL"/>
        </w:rPr>
        <w:t>ersonas allegadas a su entorno.</w:t>
      </w:r>
    </w:p>
    <w:p w14:paraId="34B61494" w14:textId="77777777" w:rsidR="00BF791D" w:rsidRPr="00707B68" w:rsidRDefault="00BF791D" w:rsidP="00490654">
      <w:pPr>
        <w:tabs>
          <w:tab w:val="left" w:pos="360"/>
        </w:tabs>
        <w:ind w:left="360" w:hanging="360"/>
        <w:rPr>
          <w:rFonts w:asciiTheme="majorHAnsi" w:hAnsiTheme="majorHAnsi"/>
          <w:sz w:val="20"/>
        </w:rPr>
      </w:pPr>
    </w:p>
    <w:p w14:paraId="484042FD" w14:textId="447EBB32" w:rsidR="00BF791D" w:rsidRPr="00707B68" w:rsidRDefault="00BF791D" w:rsidP="0049065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lang w:val="es-CL"/>
        </w:rPr>
      </w:pPr>
      <w:r w:rsidRPr="00707B68">
        <w:rPr>
          <w:rFonts w:asciiTheme="majorHAnsi" w:hAnsiTheme="majorHAnsi"/>
          <w:sz w:val="20"/>
          <w:szCs w:val="20"/>
          <w:lang w:val="es-CL"/>
        </w:rPr>
        <w:t>Hasta este punto, la CIDH considera que, sin adelantar opinión en relación con el análisis jurídico de otras vulneraciones alegadas, h</w:t>
      </w:r>
      <w:r w:rsidR="00AB3A35" w:rsidRPr="00707B68">
        <w:rPr>
          <w:rFonts w:asciiTheme="majorHAnsi" w:hAnsiTheme="majorHAnsi"/>
          <w:sz w:val="20"/>
          <w:szCs w:val="20"/>
          <w:lang w:val="es-CL"/>
        </w:rPr>
        <w:t>asta su salida de Segovia hacia mediados</w:t>
      </w:r>
      <w:r w:rsidRPr="00707B68">
        <w:rPr>
          <w:rFonts w:asciiTheme="majorHAnsi" w:hAnsiTheme="majorHAnsi"/>
          <w:sz w:val="20"/>
          <w:szCs w:val="20"/>
          <w:lang w:val="es-CL"/>
        </w:rPr>
        <w:t xml:space="preserve"> de 1997 es posible identificar que existen </w:t>
      </w:r>
      <w:r w:rsidR="008C1BFC" w:rsidRPr="00707B68">
        <w:rPr>
          <w:rFonts w:asciiTheme="majorHAnsi" w:hAnsiTheme="majorHAnsi"/>
          <w:sz w:val="20"/>
          <w:szCs w:val="20"/>
          <w:lang w:val="es-CL"/>
        </w:rPr>
        <w:t xml:space="preserve">diversos </w:t>
      </w:r>
      <w:r w:rsidRPr="00707B68">
        <w:rPr>
          <w:rFonts w:asciiTheme="majorHAnsi" w:hAnsiTheme="majorHAnsi"/>
          <w:sz w:val="20"/>
          <w:szCs w:val="20"/>
          <w:lang w:val="es-CL"/>
        </w:rPr>
        <w:t>elementos que vincul</w:t>
      </w:r>
      <w:r w:rsidR="00ED5935" w:rsidRPr="00707B68">
        <w:rPr>
          <w:rFonts w:asciiTheme="majorHAnsi" w:hAnsiTheme="majorHAnsi"/>
          <w:sz w:val="20"/>
          <w:szCs w:val="20"/>
          <w:lang w:val="es-CL"/>
        </w:rPr>
        <w:t>an</w:t>
      </w:r>
      <w:r w:rsidRPr="00707B68">
        <w:rPr>
          <w:rFonts w:asciiTheme="majorHAnsi" w:hAnsiTheme="majorHAnsi"/>
          <w:sz w:val="20"/>
          <w:szCs w:val="20"/>
          <w:lang w:val="es-CL"/>
        </w:rPr>
        <w:t xml:space="preserve"> a agentes estatales con la situación de inseguridad experimentada por el señor Zapata. </w:t>
      </w:r>
      <w:r w:rsidR="008C1BFC" w:rsidRPr="00707B68">
        <w:rPr>
          <w:rFonts w:asciiTheme="majorHAnsi" w:hAnsiTheme="majorHAnsi"/>
          <w:sz w:val="20"/>
          <w:szCs w:val="20"/>
          <w:lang w:val="es-CL"/>
        </w:rPr>
        <w:t>L</w:t>
      </w:r>
      <w:r w:rsidR="00ED5935" w:rsidRPr="00707B68">
        <w:rPr>
          <w:rFonts w:asciiTheme="majorHAnsi" w:hAnsiTheme="majorHAnsi"/>
          <w:sz w:val="20"/>
          <w:szCs w:val="20"/>
          <w:lang w:val="es-CL"/>
        </w:rPr>
        <w:t>a CIDH observa que la acción de los agentes estatales</w:t>
      </w:r>
      <w:r w:rsidR="008C1BFC" w:rsidRPr="00707B68">
        <w:rPr>
          <w:rFonts w:asciiTheme="majorHAnsi" w:hAnsiTheme="majorHAnsi"/>
          <w:sz w:val="20"/>
          <w:szCs w:val="20"/>
          <w:lang w:val="es-CL"/>
        </w:rPr>
        <w:t xml:space="preserve">, </w:t>
      </w:r>
      <w:r w:rsidR="00ED5935" w:rsidRPr="00707B68">
        <w:rPr>
          <w:rFonts w:asciiTheme="majorHAnsi" w:hAnsiTheme="majorHAnsi"/>
          <w:sz w:val="20"/>
          <w:szCs w:val="20"/>
          <w:lang w:val="es-CL"/>
        </w:rPr>
        <w:t xml:space="preserve">a través </w:t>
      </w:r>
      <w:r w:rsidR="008C1BFC" w:rsidRPr="00707B68">
        <w:rPr>
          <w:rFonts w:asciiTheme="majorHAnsi" w:hAnsiTheme="majorHAnsi"/>
          <w:sz w:val="20"/>
          <w:szCs w:val="20"/>
          <w:lang w:val="es-CL"/>
        </w:rPr>
        <w:t>de la</w:t>
      </w:r>
      <w:r w:rsidR="00ED5935" w:rsidRPr="00707B68">
        <w:rPr>
          <w:rFonts w:asciiTheme="majorHAnsi" w:hAnsiTheme="majorHAnsi"/>
          <w:sz w:val="20"/>
          <w:szCs w:val="20"/>
          <w:lang w:val="es-CL"/>
        </w:rPr>
        <w:t xml:space="preserve"> aparición </w:t>
      </w:r>
      <w:r w:rsidR="008C1BFC" w:rsidRPr="00707B68">
        <w:rPr>
          <w:rFonts w:asciiTheme="majorHAnsi" w:hAnsiTheme="majorHAnsi"/>
          <w:sz w:val="20"/>
          <w:szCs w:val="20"/>
          <w:lang w:val="es-CL"/>
        </w:rPr>
        <w:t xml:space="preserve">del señor Zapata </w:t>
      </w:r>
      <w:r w:rsidR="00ED5935" w:rsidRPr="00707B68">
        <w:rPr>
          <w:rFonts w:asciiTheme="majorHAnsi" w:hAnsiTheme="majorHAnsi"/>
          <w:sz w:val="20"/>
          <w:szCs w:val="20"/>
          <w:lang w:val="es-CL"/>
        </w:rPr>
        <w:t xml:space="preserve">en reportes de inteligencia, </w:t>
      </w:r>
      <w:r w:rsidR="00AB3A35" w:rsidRPr="00707B68">
        <w:rPr>
          <w:rFonts w:asciiTheme="majorHAnsi" w:hAnsiTheme="majorHAnsi"/>
          <w:sz w:val="20"/>
          <w:szCs w:val="20"/>
          <w:lang w:val="es-CL"/>
        </w:rPr>
        <w:t xml:space="preserve">sus detenciones sin orden judicial o el allanamiento a su domicilio con la participación militar, </w:t>
      </w:r>
      <w:r w:rsidR="008C1BFC" w:rsidRPr="00707B68">
        <w:rPr>
          <w:rFonts w:asciiTheme="majorHAnsi" w:hAnsiTheme="majorHAnsi"/>
          <w:sz w:val="20"/>
          <w:szCs w:val="20"/>
          <w:lang w:val="es-CL"/>
        </w:rPr>
        <w:t xml:space="preserve">implicó la creación de una situación de riesgo de la presunta víctimas. La Comisión considera que dichas acciones, </w:t>
      </w:r>
      <w:r w:rsidR="00ED5935" w:rsidRPr="00707B68">
        <w:rPr>
          <w:rFonts w:asciiTheme="majorHAnsi" w:hAnsiTheme="majorHAnsi"/>
          <w:sz w:val="20"/>
          <w:szCs w:val="20"/>
          <w:lang w:val="es-CL"/>
        </w:rPr>
        <w:t xml:space="preserve">sumado al contexto ya descrito, </w:t>
      </w:r>
      <w:r w:rsidR="004B757D" w:rsidRPr="00707B68">
        <w:rPr>
          <w:rFonts w:asciiTheme="majorHAnsi" w:hAnsiTheme="majorHAnsi"/>
          <w:sz w:val="20"/>
          <w:szCs w:val="20"/>
          <w:lang w:val="es-CL"/>
        </w:rPr>
        <w:t>son</w:t>
      </w:r>
      <w:r w:rsidR="00ED5935" w:rsidRPr="00707B68">
        <w:rPr>
          <w:rFonts w:asciiTheme="majorHAnsi" w:hAnsiTheme="majorHAnsi"/>
          <w:sz w:val="20"/>
          <w:szCs w:val="20"/>
          <w:lang w:val="es-CL"/>
        </w:rPr>
        <w:t xml:space="preserve"> directamente atribuible</w:t>
      </w:r>
      <w:r w:rsidR="004B757D" w:rsidRPr="00707B68">
        <w:rPr>
          <w:rFonts w:asciiTheme="majorHAnsi" w:hAnsiTheme="majorHAnsi"/>
          <w:sz w:val="20"/>
          <w:szCs w:val="20"/>
          <w:lang w:val="es-CL"/>
        </w:rPr>
        <w:t>s</w:t>
      </w:r>
      <w:r w:rsidR="00ED5935" w:rsidRPr="00707B68">
        <w:rPr>
          <w:rFonts w:asciiTheme="majorHAnsi" w:hAnsiTheme="majorHAnsi"/>
          <w:sz w:val="20"/>
          <w:szCs w:val="20"/>
          <w:lang w:val="es-CL"/>
        </w:rPr>
        <w:t xml:space="preserve"> al Estado colombiano. </w:t>
      </w:r>
    </w:p>
    <w:p w14:paraId="6456B9DA" w14:textId="77777777" w:rsidR="007A08B3" w:rsidRPr="00707B68" w:rsidRDefault="00730E59" w:rsidP="00490654">
      <w:pPr>
        <w:tabs>
          <w:tab w:val="left" w:pos="360"/>
          <w:tab w:val="left" w:pos="910"/>
        </w:tabs>
        <w:rPr>
          <w:rFonts w:asciiTheme="majorHAnsi" w:hAnsiTheme="majorHAnsi"/>
          <w:sz w:val="20"/>
        </w:rPr>
      </w:pPr>
      <w:r w:rsidRPr="00707B68">
        <w:rPr>
          <w:rFonts w:asciiTheme="majorHAnsi" w:hAnsiTheme="majorHAnsi"/>
          <w:sz w:val="20"/>
        </w:rPr>
        <w:tab/>
      </w:r>
    </w:p>
    <w:p w14:paraId="6E24C725" w14:textId="3ABA2955" w:rsidR="00A04E95" w:rsidRPr="00707B68" w:rsidRDefault="00ED5935" w:rsidP="0049065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lang w:val="es-CL"/>
        </w:rPr>
      </w:pPr>
      <w:r w:rsidRPr="00707B68">
        <w:rPr>
          <w:rFonts w:asciiTheme="majorHAnsi" w:hAnsiTheme="majorHAnsi"/>
          <w:sz w:val="20"/>
          <w:szCs w:val="20"/>
          <w:lang w:val="es-CL"/>
        </w:rPr>
        <w:t>Ahora bien, después de su retorno a Segovia en marzo de 1998 la CIDH encuentra que e</w:t>
      </w:r>
      <w:r w:rsidR="007A08B3" w:rsidRPr="00707B68">
        <w:rPr>
          <w:rFonts w:asciiTheme="majorHAnsi" w:hAnsiTheme="majorHAnsi"/>
          <w:sz w:val="20"/>
          <w:szCs w:val="20"/>
          <w:lang w:val="es-CL"/>
        </w:rPr>
        <w:t xml:space="preserve">xiste contradicción en la información proporcionada </w:t>
      </w:r>
      <w:r w:rsidR="004B757D" w:rsidRPr="00707B68">
        <w:rPr>
          <w:rFonts w:asciiTheme="majorHAnsi" w:hAnsiTheme="majorHAnsi"/>
          <w:sz w:val="20"/>
          <w:szCs w:val="20"/>
          <w:lang w:val="es-CL"/>
        </w:rPr>
        <w:t>en el expediente sobre la situación de seguridad autopercibida por el señor Zapata. A</w:t>
      </w:r>
      <w:r w:rsidRPr="00707B68">
        <w:rPr>
          <w:rFonts w:asciiTheme="majorHAnsi" w:hAnsiTheme="majorHAnsi"/>
          <w:sz w:val="20"/>
          <w:szCs w:val="20"/>
          <w:lang w:val="es-CL"/>
        </w:rPr>
        <w:t xml:space="preserve">sí, la Comisión </w:t>
      </w:r>
      <w:r w:rsidR="00B65EE4" w:rsidRPr="00707B68">
        <w:rPr>
          <w:rFonts w:asciiTheme="majorHAnsi" w:hAnsiTheme="majorHAnsi"/>
          <w:sz w:val="20"/>
          <w:szCs w:val="20"/>
          <w:lang w:val="es-CL"/>
        </w:rPr>
        <w:t>observa que en su reunión ante el Ministerio del Interior</w:t>
      </w:r>
      <w:r w:rsidR="00E942E4" w:rsidRPr="00707B68">
        <w:rPr>
          <w:rFonts w:asciiTheme="majorHAnsi" w:hAnsiTheme="majorHAnsi"/>
          <w:sz w:val="20"/>
          <w:szCs w:val="20"/>
          <w:lang w:val="es-CL"/>
        </w:rPr>
        <w:t xml:space="preserve"> de 18  de marzo de 1998</w:t>
      </w:r>
      <w:r w:rsidR="00E140B0" w:rsidRPr="00707B68">
        <w:rPr>
          <w:rFonts w:asciiTheme="majorHAnsi" w:hAnsiTheme="majorHAnsi"/>
          <w:sz w:val="20"/>
          <w:szCs w:val="20"/>
          <w:lang w:val="es-CL"/>
        </w:rPr>
        <w:t xml:space="preserve"> e</w:t>
      </w:r>
      <w:r w:rsidR="00B65EE4" w:rsidRPr="00707B68">
        <w:rPr>
          <w:rFonts w:asciiTheme="majorHAnsi" w:hAnsiTheme="majorHAnsi"/>
          <w:sz w:val="20"/>
          <w:szCs w:val="20"/>
          <w:lang w:val="es-CL"/>
        </w:rPr>
        <w:t>l señor Zapata indic</w:t>
      </w:r>
      <w:r w:rsidR="00334B83" w:rsidRPr="00707B68">
        <w:rPr>
          <w:rFonts w:asciiTheme="majorHAnsi" w:hAnsiTheme="majorHAnsi"/>
          <w:sz w:val="20"/>
          <w:szCs w:val="20"/>
          <w:lang w:val="es-CL"/>
        </w:rPr>
        <w:t>ó, según lo constado en la Ayuda M</w:t>
      </w:r>
      <w:r w:rsidR="00E140B0" w:rsidRPr="00707B68">
        <w:rPr>
          <w:rFonts w:asciiTheme="majorHAnsi" w:hAnsiTheme="majorHAnsi"/>
          <w:sz w:val="20"/>
          <w:szCs w:val="20"/>
          <w:lang w:val="es-CL"/>
        </w:rPr>
        <w:t xml:space="preserve">emoria, que existían </w:t>
      </w:r>
      <w:r w:rsidR="007A08B3" w:rsidRPr="00707B68">
        <w:rPr>
          <w:rFonts w:asciiTheme="majorHAnsi" w:hAnsiTheme="majorHAnsi"/>
          <w:sz w:val="20"/>
          <w:szCs w:val="20"/>
          <w:lang w:val="es-CL"/>
        </w:rPr>
        <w:t xml:space="preserve">condiciones </w:t>
      </w:r>
      <w:r w:rsidR="00E140B0" w:rsidRPr="00707B68">
        <w:rPr>
          <w:rFonts w:asciiTheme="majorHAnsi" w:hAnsiTheme="majorHAnsi"/>
          <w:sz w:val="20"/>
          <w:szCs w:val="20"/>
          <w:lang w:val="es-CL"/>
        </w:rPr>
        <w:t>para su</w:t>
      </w:r>
      <w:r w:rsidR="007A08B3" w:rsidRPr="00707B68">
        <w:rPr>
          <w:rFonts w:asciiTheme="majorHAnsi" w:hAnsiTheme="majorHAnsi"/>
          <w:sz w:val="20"/>
          <w:szCs w:val="20"/>
          <w:lang w:val="es-CL"/>
        </w:rPr>
        <w:t xml:space="preserve"> retorno</w:t>
      </w:r>
      <w:r w:rsidR="00E942E4" w:rsidRPr="00707B68">
        <w:rPr>
          <w:rFonts w:asciiTheme="majorHAnsi" w:hAnsiTheme="majorHAnsi"/>
          <w:sz w:val="20"/>
          <w:szCs w:val="20"/>
          <w:lang w:val="es-CL"/>
        </w:rPr>
        <w:t>. Se indicó que el señor Zapata</w:t>
      </w:r>
      <w:r w:rsidR="00E140B0" w:rsidRPr="00707B68">
        <w:rPr>
          <w:rFonts w:asciiTheme="majorHAnsi" w:hAnsiTheme="majorHAnsi"/>
          <w:sz w:val="20"/>
          <w:szCs w:val="20"/>
          <w:lang w:val="es-CL"/>
        </w:rPr>
        <w:t xml:space="preserve"> </w:t>
      </w:r>
      <w:r w:rsidR="00E942E4" w:rsidRPr="00707B68">
        <w:rPr>
          <w:rFonts w:asciiTheme="majorHAnsi" w:hAnsiTheme="majorHAnsi"/>
          <w:sz w:val="20"/>
          <w:szCs w:val="20"/>
          <w:lang w:val="es-CL"/>
        </w:rPr>
        <w:t>basó</w:t>
      </w:r>
      <w:r w:rsidR="00E140B0" w:rsidRPr="00707B68">
        <w:rPr>
          <w:rFonts w:asciiTheme="majorHAnsi" w:hAnsiTheme="majorHAnsi"/>
          <w:sz w:val="20"/>
          <w:szCs w:val="20"/>
          <w:lang w:val="es-CL"/>
        </w:rPr>
        <w:t xml:space="preserve"> sus afirmaciones en que la gobernación había cambiado generando una “nueva dinámica en las relaciones entre gobierno regional y las organizaciones no gubernamentales”, cambios en las filas del Batallón </w:t>
      </w:r>
      <w:r w:rsidR="00334B83" w:rsidRPr="00707B68">
        <w:rPr>
          <w:rFonts w:asciiTheme="majorHAnsi" w:hAnsiTheme="majorHAnsi"/>
          <w:sz w:val="20"/>
          <w:szCs w:val="20"/>
          <w:lang w:val="es-CL"/>
        </w:rPr>
        <w:t>y la asignación de</w:t>
      </w:r>
      <w:r w:rsidR="00E140B0" w:rsidRPr="00707B68">
        <w:rPr>
          <w:rFonts w:asciiTheme="majorHAnsi" w:hAnsiTheme="majorHAnsi"/>
          <w:sz w:val="20"/>
          <w:szCs w:val="20"/>
          <w:lang w:val="es-CL"/>
        </w:rPr>
        <w:t xml:space="preserve"> nuevo personal policial. </w:t>
      </w:r>
      <w:r w:rsidR="004B757D" w:rsidRPr="00707B68">
        <w:rPr>
          <w:rFonts w:asciiTheme="majorHAnsi" w:hAnsiTheme="majorHAnsi"/>
          <w:sz w:val="20"/>
          <w:szCs w:val="20"/>
          <w:lang w:val="es-CL"/>
        </w:rPr>
        <w:t xml:space="preserve">La CIDH encuentra que este documento debe ser entendido </w:t>
      </w:r>
      <w:r w:rsidR="00730A5B" w:rsidRPr="00707B68">
        <w:rPr>
          <w:rFonts w:asciiTheme="majorHAnsi" w:hAnsiTheme="majorHAnsi"/>
          <w:sz w:val="20"/>
          <w:szCs w:val="20"/>
          <w:lang w:val="es-CL"/>
        </w:rPr>
        <w:t>a la luz de la carta aclaratoria</w:t>
      </w:r>
      <w:r w:rsidR="004B757D" w:rsidRPr="00707B68">
        <w:rPr>
          <w:rFonts w:asciiTheme="majorHAnsi" w:hAnsiTheme="majorHAnsi"/>
          <w:sz w:val="20"/>
          <w:szCs w:val="20"/>
          <w:lang w:val="es-CL"/>
        </w:rPr>
        <w:t xml:space="preserve"> que el propio señor Zapata remitió </w:t>
      </w:r>
      <w:r w:rsidR="00DF52A8" w:rsidRPr="00707B68">
        <w:rPr>
          <w:rFonts w:asciiTheme="majorHAnsi" w:hAnsiTheme="majorHAnsi"/>
          <w:sz w:val="20"/>
          <w:szCs w:val="20"/>
          <w:lang w:val="es-CL"/>
        </w:rPr>
        <w:t>al Ministerio del Interior. En dicha carta</w:t>
      </w:r>
      <w:r w:rsidR="004B757D" w:rsidRPr="00707B68">
        <w:rPr>
          <w:rFonts w:asciiTheme="majorHAnsi" w:hAnsiTheme="majorHAnsi"/>
          <w:sz w:val="20"/>
          <w:szCs w:val="20"/>
          <w:lang w:val="es-CL"/>
        </w:rPr>
        <w:t xml:space="preserve"> </w:t>
      </w:r>
      <w:r w:rsidR="00334B83" w:rsidRPr="00707B68">
        <w:rPr>
          <w:rFonts w:asciiTheme="majorHAnsi" w:hAnsiTheme="majorHAnsi"/>
          <w:sz w:val="20"/>
          <w:szCs w:val="20"/>
          <w:lang w:val="es-CL"/>
        </w:rPr>
        <w:t>corrigió</w:t>
      </w:r>
      <w:r w:rsidR="004B757D" w:rsidRPr="00707B68">
        <w:rPr>
          <w:rFonts w:asciiTheme="majorHAnsi" w:hAnsiTheme="majorHAnsi"/>
          <w:sz w:val="20"/>
          <w:szCs w:val="20"/>
          <w:lang w:val="es-CL"/>
        </w:rPr>
        <w:t xml:space="preserve"> esas supuestas afirmaciones y reiter</w:t>
      </w:r>
      <w:r w:rsidR="00334B83" w:rsidRPr="00707B68">
        <w:rPr>
          <w:rFonts w:asciiTheme="majorHAnsi" w:hAnsiTheme="majorHAnsi"/>
          <w:sz w:val="20"/>
          <w:szCs w:val="20"/>
          <w:lang w:val="es-CL"/>
        </w:rPr>
        <w:t xml:space="preserve">ó </w:t>
      </w:r>
      <w:r w:rsidR="004B757D" w:rsidRPr="00707B68">
        <w:rPr>
          <w:rFonts w:asciiTheme="majorHAnsi" w:hAnsiTheme="majorHAnsi"/>
          <w:sz w:val="20"/>
          <w:szCs w:val="20"/>
          <w:lang w:val="es-CL"/>
        </w:rPr>
        <w:t>su preocupación por la situación en S</w:t>
      </w:r>
      <w:r w:rsidR="00730A5B" w:rsidRPr="00707B68">
        <w:rPr>
          <w:rFonts w:asciiTheme="majorHAnsi" w:hAnsiTheme="majorHAnsi"/>
          <w:sz w:val="20"/>
          <w:szCs w:val="20"/>
          <w:lang w:val="es-CL"/>
        </w:rPr>
        <w:t xml:space="preserve">egovia, </w:t>
      </w:r>
      <w:r w:rsidR="00DF52A8" w:rsidRPr="00707B68">
        <w:rPr>
          <w:rFonts w:asciiTheme="majorHAnsi" w:hAnsiTheme="majorHAnsi"/>
          <w:sz w:val="20"/>
          <w:szCs w:val="20"/>
          <w:lang w:val="es-CL"/>
        </w:rPr>
        <w:t>aunque indicó</w:t>
      </w:r>
      <w:r w:rsidR="00730A5B" w:rsidRPr="00707B68">
        <w:rPr>
          <w:rFonts w:asciiTheme="majorHAnsi" w:hAnsiTheme="majorHAnsi"/>
          <w:sz w:val="20"/>
          <w:szCs w:val="20"/>
          <w:lang w:val="es-CL"/>
        </w:rPr>
        <w:t xml:space="preserve"> su necesidad de regresar por motivos económicos y laborales.</w:t>
      </w:r>
    </w:p>
    <w:p w14:paraId="13F8C650" w14:textId="77777777" w:rsidR="00E140B0" w:rsidRPr="00707B68" w:rsidRDefault="00730A5B" w:rsidP="00E86463">
      <w:r w:rsidRPr="00707B68">
        <w:t xml:space="preserve"> </w:t>
      </w:r>
    </w:p>
    <w:p w14:paraId="54345895" w14:textId="62D3B744" w:rsidR="00892C2C" w:rsidRPr="00707B68" w:rsidRDefault="00E942E4" w:rsidP="0049065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lang w:val="es-CL"/>
        </w:rPr>
      </w:pPr>
      <w:r w:rsidRPr="00707B68">
        <w:rPr>
          <w:rFonts w:asciiTheme="majorHAnsi" w:hAnsiTheme="majorHAnsi"/>
          <w:sz w:val="20"/>
          <w:szCs w:val="20"/>
          <w:lang w:val="es-CL"/>
        </w:rPr>
        <w:t>L</w:t>
      </w:r>
      <w:r w:rsidR="00E140B0" w:rsidRPr="00707B68">
        <w:rPr>
          <w:rFonts w:asciiTheme="majorHAnsi" w:hAnsiTheme="majorHAnsi"/>
          <w:sz w:val="20"/>
          <w:szCs w:val="20"/>
          <w:lang w:val="es-CL"/>
        </w:rPr>
        <w:t xml:space="preserve">a </w:t>
      </w:r>
      <w:r w:rsidR="003C6F13" w:rsidRPr="00707B68">
        <w:rPr>
          <w:rFonts w:asciiTheme="majorHAnsi" w:hAnsiTheme="majorHAnsi"/>
          <w:sz w:val="20"/>
          <w:szCs w:val="20"/>
          <w:lang w:val="es-CL"/>
        </w:rPr>
        <w:t xml:space="preserve">Comisión también observa que, de modo contemporáneo a las afirmaciones anteriores, en febrero de 1998, ante la Fiscalía, el señor Zapata realizó declaraciones opuestas a las </w:t>
      </w:r>
      <w:r w:rsidR="00895C82" w:rsidRPr="00707B68">
        <w:rPr>
          <w:rFonts w:asciiTheme="majorHAnsi" w:hAnsiTheme="majorHAnsi"/>
          <w:sz w:val="20"/>
          <w:szCs w:val="20"/>
          <w:lang w:val="es-CL"/>
        </w:rPr>
        <w:t>que figuran en la Ayuda Memoria</w:t>
      </w:r>
      <w:r w:rsidR="003C6F13" w:rsidRPr="00707B68">
        <w:rPr>
          <w:rFonts w:asciiTheme="majorHAnsi" w:hAnsiTheme="majorHAnsi"/>
          <w:sz w:val="20"/>
          <w:szCs w:val="20"/>
          <w:lang w:val="es-CL"/>
        </w:rPr>
        <w:t xml:space="preserve">. En la declaración ante la Fiscalía señaló que estaba en peligro físico y que tenía miedo de su muerte. También se quejó de que la Secretaría de Educación no colaboró con su reubicación laboral, afectando su subsistencia económica. </w:t>
      </w:r>
    </w:p>
    <w:p w14:paraId="1911B445" w14:textId="77777777" w:rsidR="00892C2C" w:rsidRPr="00707B68" w:rsidRDefault="00892C2C" w:rsidP="00892C2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jc w:val="both"/>
        <w:rPr>
          <w:rFonts w:asciiTheme="majorHAnsi" w:hAnsiTheme="majorHAnsi"/>
          <w:sz w:val="20"/>
          <w:szCs w:val="20"/>
          <w:lang w:val="es-CL"/>
        </w:rPr>
      </w:pPr>
    </w:p>
    <w:p w14:paraId="49DCA5E2" w14:textId="1C37F8B3" w:rsidR="003C6F13" w:rsidRPr="00707B68" w:rsidRDefault="00892C2C" w:rsidP="0049065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lang w:val="es-CL"/>
        </w:rPr>
      </w:pPr>
      <w:r w:rsidRPr="00707B68">
        <w:rPr>
          <w:rFonts w:asciiTheme="majorHAnsi" w:hAnsiTheme="majorHAnsi"/>
          <w:sz w:val="20"/>
          <w:szCs w:val="20"/>
          <w:lang w:val="es-CL"/>
        </w:rPr>
        <w:t xml:space="preserve">En virtud de dicha información, la Comisión concluye </w:t>
      </w:r>
      <w:r w:rsidR="003C6F13" w:rsidRPr="00707B68">
        <w:rPr>
          <w:rFonts w:asciiTheme="majorHAnsi" w:hAnsiTheme="majorHAnsi"/>
          <w:sz w:val="20"/>
          <w:szCs w:val="20"/>
          <w:lang w:val="es-CL"/>
        </w:rPr>
        <w:t xml:space="preserve">que </w:t>
      </w:r>
      <w:r w:rsidR="00895C82" w:rsidRPr="00707B68">
        <w:rPr>
          <w:rFonts w:asciiTheme="majorHAnsi" w:hAnsiTheme="majorHAnsi"/>
          <w:sz w:val="20"/>
          <w:szCs w:val="20"/>
          <w:lang w:val="es-CL"/>
        </w:rPr>
        <w:t>la narrativa del señor</w:t>
      </w:r>
      <w:r w:rsidR="003C6F13" w:rsidRPr="00707B68">
        <w:rPr>
          <w:rFonts w:asciiTheme="majorHAnsi" w:hAnsiTheme="majorHAnsi"/>
          <w:sz w:val="20"/>
          <w:szCs w:val="20"/>
          <w:lang w:val="es-CL"/>
        </w:rPr>
        <w:t xml:space="preserve"> Zapata</w:t>
      </w:r>
      <w:r w:rsidR="00895C82" w:rsidRPr="00707B68">
        <w:rPr>
          <w:rFonts w:asciiTheme="majorHAnsi" w:hAnsiTheme="majorHAnsi"/>
          <w:sz w:val="20"/>
          <w:szCs w:val="20"/>
          <w:lang w:val="es-CL"/>
        </w:rPr>
        <w:t xml:space="preserve"> sobre su retorno </w:t>
      </w:r>
      <w:r w:rsidR="003C6F13" w:rsidRPr="00707B68">
        <w:rPr>
          <w:rFonts w:asciiTheme="majorHAnsi" w:hAnsiTheme="majorHAnsi"/>
          <w:sz w:val="20"/>
          <w:szCs w:val="20"/>
          <w:lang w:val="es-CL"/>
        </w:rPr>
        <w:t xml:space="preserve">se debía a su necesidad económica </w:t>
      </w:r>
      <w:r w:rsidR="00895C82" w:rsidRPr="00707B68">
        <w:rPr>
          <w:rFonts w:asciiTheme="majorHAnsi" w:hAnsiTheme="majorHAnsi"/>
          <w:sz w:val="20"/>
          <w:szCs w:val="20"/>
          <w:lang w:val="es-CL"/>
        </w:rPr>
        <w:t>y de r</w:t>
      </w:r>
      <w:r w:rsidR="003C6F13" w:rsidRPr="00707B68">
        <w:rPr>
          <w:rFonts w:asciiTheme="majorHAnsi" w:hAnsiTheme="majorHAnsi"/>
          <w:sz w:val="20"/>
          <w:szCs w:val="20"/>
          <w:lang w:val="es-CL"/>
        </w:rPr>
        <w:t xml:space="preserve">einsertarse laboralmente </w:t>
      </w:r>
      <w:r w:rsidR="00895C82" w:rsidRPr="00707B68">
        <w:rPr>
          <w:rFonts w:asciiTheme="majorHAnsi" w:hAnsiTheme="majorHAnsi"/>
          <w:sz w:val="20"/>
          <w:szCs w:val="20"/>
          <w:lang w:val="es-CL"/>
        </w:rPr>
        <w:t>en Segovia</w:t>
      </w:r>
      <w:r w:rsidRPr="00707B68">
        <w:rPr>
          <w:rFonts w:asciiTheme="majorHAnsi" w:hAnsiTheme="majorHAnsi"/>
          <w:sz w:val="20"/>
          <w:szCs w:val="20"/>
          <w:lang w:val="es-CL"/>
        </w:rPr>
        <w:t>. Ello en tanto</w:t>
      </w:r>
      <w:r w:rsidR="00895C82" w:rsidRPr="00707B68">
        <w:rPr>
          <w:rFonts w:asciiTheme="majorHAnsi" w:hAnsiTheme="majorHAnsi"/>
          <w:sz w:val="20"/>
          <w:szCs w:val="20"/>
          <w:lang w:val="es-CL"/>
        </w:rPr>
        <w:t xml:space="preserve"> </w:t>
      </w:r>
      <w:r w:rsidR="003C6F13" w:rsidRPr="00707B68">
        <w:rPr>
          <w:rFonts w:asciiTheme="majorHAnsi" w:hAnsiTheme="majorHAnsi"/>
          <w:sz w:val="20"/>
          <w:szCs w:val="20"/>
          <w:lang w:val="es-CL"/>
        </w:rPr>
        <w:t>ninguna de las reubicaciones laborales ofrecidas por la Secretaría de Educaci</w:t>
      </w:r>
      <w:r w:rsidR="00427042" w:rsidRPr="00707B68">
        <w:rPr>
          <w:rFonts w:asciiTheme="majorHAnsi" w:hAnsiTheme="majorHAnsi"/>
          <w:sz w:val="20"/>
          <w:szCs w:val="20"/>
          <w:lang w:val="es-CL"/>
        </w:rPr>
        <w:t>ón le generaban convicción de seguridad.</w:t>
      </w:r>
    </w:p>
    <w:p w14:paraId="30D49922" w14:textId="77777777" w:rsidR="003C6F13" w:rsidRPr="00707B68" w:rsidRDefault="003C6F13" w:rsidP="00490654">
      <w:pPr>
        <w:tabs>
          <w:tab w:val="left" w:pos="360"/>
        </w:tabs>
        <w:rPr>
          <w:rFonts w:asciiTheme="majorHAnsi" w:hAnsiTheme="majorHAnsi"/>
          <w:sz w:val="20"/>
          <w:szCs w:val="20"/>
        </w:rPr>
      </w:pPr>
    </w:p>
    <w:p w14:paraId="4A330A9E" w14:textId="77777777" w:rsidR="00C36D74" w:rsidRPr="00707B68" w:rsidRDefault="007A08B3" w:rsidP="0049065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Cs w:val="20"/>
          <w:lang w:val="es-CL"/>
        </w:rPr>
      </w:pPr>
      <w:r w:rsidRPr="00707B68">
        <w:rPr>
          <w:rFonts w:asciiTheme="majorHAnsi" w:hAnsiTheme="majorHAnsi"/>
          <w:sz w:val="20"/>
          <w:szCs w:val="20"/>
          <w:lang w:val="es-CL"/>
        </w:rPr>
        <w:t>En este sentido, la CIDH observa</w:t>
      </w:r>
      <w:r w:rsidR="001B0813" w:rsidRPr="00707B68">
        <w:rPr>
          <w:rFonts w:asciiTheme="majorHAnsi" w:hAnsiTheme="majorHAnsi"/>
          <w:sz w:val="20"/>
          <w:szCs w:val="20"/>
          <w:lang w:val="es-CL"/>
        </w:rPr>
        <w:t xml:space="preserve"> que</w:t>
      </w:r>
      <w:r w:rsidRPr="00707B68">
        <w:rPr>
          <w:rFonts w:asciiTheme="majorHAnsi" w:hAnsiTheme="majorHAnsi"/>
          <w:sz w:val="20"/>
          <w:szCs w:val="20"/>
          <w:lang w:val="es-CL"/>
        </w:rPr>
        <w:t xml:space="preserve"> </w:t>
      </w:r>
      <w:r w:rsidR="009D1180" w:rsidRPr="00707B68">
        <w:rPr>
          <w:rFonts w:asciiTheme="majorHAnsi" w:hAnsiTheme="majorHAnsi"/>
          <w:sz w:val="20"/>
          <w:szCs w:val="20"/>
          <w:lang w:val="es-CL"/>
        </w:rPr>
        <w:t>se dieron</w:t>
      </w:r>
      <w:r w:rsidR="00427042" w:rsidRPr="00707B68">
        <w:rPr>
          <w:rFonts w:asciiTheme="majorHAnsi" w:hAnsiTheme="majorHAnsi"/>
          <w:sz w:val="20"/>
          <w:szCs w:val="20"/>
          <w:lang w:val="es-CL"/>
        </w:rPr>
        <w:t xml:space="preserve"> </w:t>
      </w:r>
      <w:r w:rsidR="009D1180" w:rsidRPr="00707B68">
        <w:rPr>
          <w:rFonts w:asciiTheme="majorHAnsi" w:hAnsiTheme="majorHAnsi"/>
          <w:sz w:val="20"/>
          <w:szCs w:val="20"/>
          <w:lang w:val="es-CL"/>
        </w:rPr>
        <w:t>dos</w:t>
      </w:r>
      <w:r w:rsidR="00427042" w:rsidRPr="00707B68">
        <w:rPr>
          <w:rFonts w:asciiTheme="majorHAnsi" w:hAnsiTheme="majorHAnsi"/>
          <w:sz w:val="20"/>
          <w:szCs w:val="20"/>
          <w:lang w:val="es-CL"/>
        </w:rPr>
        <w:t xml:space="preserve"> momentos antes de la muerte del señor Zapata. </w:t>
      </w:r>
      <w:r w:rsidRPr="00707B68">
        <w:rPr>
          <w:rFonts w:asciiTheme="majorHAnsi" w:hAnsiTheme="majorHAnsi"/>
          <w:sz w:val="20"/>
          <w:szCs w:val="20"/>
          <w:lang w:val="es-CL"/>
        </w:rPr>
        <w:t>El primer</w:t>
      </w:r>
      <w:r w:rsidR="00427042" w:rsidRPr="00707B68">
        <w:rPr>
          <w:rFonts w:asciiTheme="majorHAnsi" w:hAnsiTheme="majorHAnsi"/>
          <w:sz w:val="20"/>
          <w:szCs w:val="20"/>
          <w:lang w:val="es-CL"/>
        </w:rPr>
        <w:t xml:space="preserve"> momento ocurrió entre el inicio de la década de los noventa y su salida </w:t>
      </w:r>
      <w:r w:rsidR="009D1180" w:rsidRPr="00707B68">
        <w:rPr>
          <w:rFonts w:asciiTheme="majorHAnsi" w:hAnsiTheme="majorHAnsi"/>
          <w:sz w:val="20"/>
          <w:szCs w:val="20"/>
          <w:lang w:val="es-CL"/>
        </w:rPr>
        <w:t xml:space="preserve">de Segovia </w:t>
      </w:r>
      <w:r w:rsidR="00427042" w:rsidRPr="00707B68">
        <w:rPr>
          <w:rFonts w:asciiTheme="majorHAnsi" w:hAnsiTheme="majorHAnsi"/>
          <w:sz w:val="20"/>
          <w:szCs w:val="20"/>
          <w:lang w:val="es-CL"/>
        </w:rPr>
        <w:t xml:space="preserve">hacia mediados de 1997 en que </w:t>
      </w:r>
      <w:r w:rsidR="00334B83" w:rsidRPr="00707B68">
        <w:rPr>
          <w:rFonts w:asciiTheme="majorHAnsi" w:hAnsiTheme="majorHAnsi"/>
          <w:sz w:val="20"/>
          <w:szCs w:val="20"/>
          <w:lang w:val="es-CL"/>
        </w:rPr>
        <w:t>los múltiples procesos judiciales en su contra</w:t>
      </w:r>
      <w:r w:rsidR="00427042" w:rsidRPr="00707B68">
        <w:rPr>
          <w:rFonts w:asciiTheme="majorHAnsi" w:hAnsiTheme="majorHAnsi"/>
          <w:sz w:val="20"/>
          <w:szCs w:val="20"/>
          <w:lang w:val="es-CL"/>
        </w:rPr>
        <w:t xml:space="preserve">, </w:t>
      </w:r>
      <w:r w:rsidRPr="00707B68">
        <w:rPr>
          <w:rFonts w:asciiTheme="majorHAnsi" w:hAnsiTheme="majorHAnsi"/>
          <w:sz w:val="20"/>
          <w:szCs w:val="20"/>
          <w:lang w:val="es-CL"/>
        </w:rPr>
        <w:t xml:space="preserve">allanamientos y </w:t>
      </w:r>
      <w:r w:rsidR="00334B83" w:rsidRPr="00707B68">
        <w:rPr>
          <w:rFonts w:asciiTheme="majorHAnsi" w:hAnsiTheme="majorHAnsi"/>
          <w:sz w:val="20"/>
          <w:szCs w:val="20"/>
          <w:lang w:val="es-CL"/>
        </w:rPr>
        <w:t xml:space="preserve">detenciones sin órdenes judiciales </w:t>
      </w:r>
      <w:r w:rsidRPr="00707B68">
        <w:rPr>
          <w:rFonts w:asciiTheme="majorHAnsi" w:hAnsiTheme="majorHAnsi"/>
          <w:sz w:val="20"/>
          <w:szCs w:val="20"/>
          <w:lang w:val="es-CL"/>
        </w:rPr>
        <w:t>del señor Zapata alcanzaron un nivel tan grave d</w:t>
      </w:r>
      <w:r w:rsidR="009D1180" w:rsidRPr="00707B68">
        <w:rPr>
          <w:rFonts w:asciiTheme="majorHAnsi" w:hAnsiTheme="majorHAnsi"/>
          <w:sz w:val="20"/>
          <w:szCs w:val="20"/>
          <w:lang w:val="es-CL"/>
        </w:rPr>
        <w:t xml:space="preserve">e hostilidad que desencadenó su salida </w:t>
      </w:r>
      <w:r w:rsidRPr="00707B68">
        <w:rPr>
          <w:rFonts w:asciiTheme="majorHAnsi" w:hAnsiTheme="majorHAnsi"/>
          <w:sz w:val="20"/>
          <w:szCs w:val="20"/>
          <w:lang w:val="es-CL"/>
        </w:rPr>
        <w:t>a la ciudad de Medellín</w:t>
      </w:r>
      <w:r w:rsidR="009D1180" w:rsidRPr="00707B68">
        <w:rPr>
          <w:rFonts w:asciiTheme="majorHAnsi" w:hAnsiTheme="majorHAnsi"/>
          <w:sz w:val="20"/>
          <w:szCs w:val="20"/>
          <w:lang w:val="es-CL"/>
        </w:rPr>
        <w:t xml:space="preserve">, hechos que la CIDH </w:t>
      </w:r>
      <w:r w:rsidR="00427042" w:rsidRPr="00707B68">
        <w:rPr>
          <w:rFonts w:asciiTheme="majorHAnsi" w:hAnsiTheme="majorHAnsi"/>
          <w:sz w:val="20"/>
          <w:szCs w:val="20"/>
          <w:lang w:val="es-CL"/>
        </w:rPr>
        <w:t>ya atribu</w:t>
      </w:r>
      <w:r w:rsidR="009D1180" w:rsidRPr="00707B68">
        <w:rPr>
          <w:rFonts w:asciiTheme="majorHAnsi" w:hAnsiTheme="majorHAnsi"/>
          <w:sz w:val="20"/>
          <w:szCs w:val="20"/>
          <w:lang w:val="es-CL"/>
        </w:rPr>
        <w:t xml:space="preserve">yó </w:t>
      </w:r>
      <w:r w:rsidR="00427042" w:rsidRPr="00707B68">
        <w:rPr>
          <w:rFonts w:asciiTheme="majorHAnsi" w:hAnsiTheme="majorHAnsi"/>
          <w:sz w:val="20"/>
          <w:szCs w:val="20"/>
          <w:lang w:val="es-CL"/>
        </w:rPr>
        <w:t xml:space="preserve">al Estado. </w:t>
      </w:r>
    </w:p>
    <w:p w14:paraId="490AE425" w14:textId="77777777" w:rsidR="00C36D74" w:rsidRPr="00707B68" w:rsidRDefault="00C36D74" w:rsidP="00C36D7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jc w:val="both"/>
        <w:rPr>
          <w:rFonts w:asciiTheme="majorHAnsi" w:hAnsiTheme="majorHAnsi"/>
          <w:sz w:val="20"/>
          <w:szCs w:val="20"/>
          <w:lang w:val="es-CL"/>
        </w:rPr>
      </w:pPr>
    </w:p>
    <w:p w14:paraId="740D9D0C" w14:textId="3151B392" w:rsidR="009978C9" w:rsidRPr="00707B68" w:rsidRDefault="00427042" w:rsidP="009978C9">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Cs w:val="20"/>
          <w:lang w:val="es-CL"/>
        </w:rPr>
      </w:pPr>
      <w:r w:rsidRPr="00707B68">
        <w:rPr>
          <w:rFonts w:asciiTheme="majorHAnsi" w:hAnsiTheme="majorHAnsi"/>
          <w:sz w:val="20"/>
          <w:szCs w:val="20"/>
          <w:lang w:val="es-CL"/>
        </w:rPr>
        <w:t>El segundo período abarc</w:t>
      </w:r>
      <w:r w:rsidR="00364E77" w:rsidRPr="00707B68">
        <w:rPr>
          <w:rFonts w:asciiTheme="majorHAnsi" w:hAnsiTheme="majorHAnsi"/>
          <w:sz w:val="20"/>
          <w:szCs w:val="20"/>
          <w:lang w:val="es-CL"/>
        </w:rPr>
        <w:t>ó</w:t>
      </w:r>
      <w:r w:rsidRPr="00707B68">
        <w:rPr>
          <w:rFonts w:asciiTheme="majorHAnsi" w:hAnsiTheme="majorHAnsi"/>
          <w:sz w:val="20"/>
          <w:szCs w:val="20"/>
          <w:lang w:val="es-CL"/>
        </w:rPr>
        <w:t xml:space="preserve"> el regreso del señor Zapata de Medellín a Segovia en marzo de 1998 y </w:t>
      </w:r>
      <w:r w:rsidR="00364E77" w:rsidRPr="00707B68">
        <w:rPr>
          <w:rFonts w:asciiTheme="majorHAnsi" w:hAnsiTheme="majorHAnsi"/>
          <w:sz w:val="20"/>
          <w:szCs w:val="20"/>
          <w:lang w:val="es-CL"/>
        </w:rPr>
        <w:t>se extiende</w:t>
      </w:r>
      <w:r w:rsidRPr="00707B68">
        <w:rPr>
          <w:rFonts w:asciiTheme="majorHAnsi" w:hAnsiTheme="majorHAnsi"/>
          <w:sz w:val="20"/>
          <w:szCs w:val="20"/>
          <w:lang w:val="es-CL"/>
        </w:rPr>
        <w:t xml:space="preserve"> hasta </w:t>
      </w:r>
      <w:r w:rsidR="009D1180" w:rsidRPr="00707B68">
        <w:rPr>
          <w:rFonts w:asciiTheme="majorHAnsi" w:hAnsiTheme="majorHAnsi"/>
          <w:sz w:val="20"/>
          <w:szCs w:val="20"/>
          <w:lang w:val="es-CL"/>
        </w:rPr>
        <w:t xml:space="preserve">el 3 de </w:t>
      </w:r>
      <w:r w:rsidRPr="00707B68">
        <w:rPr>
          <w:rFonts w:asciiTheme="majorHAnsi" w:hAnsiTheme="majorHAnsi"/>
          <w:sz w:val="20"/>
          <w:szCs w:val="20"/>
          <w:lang w:val="es-CL"/>
        </w:rPr>
        <w:t>mayo del 2000</w:t>
      </w:r>
      <w:r w:rsidR="009D1180" w:rsidRPr="00707B68">
        <w:rPr>
          <w:rFonts w:asciiTheme="majorHAnsi" w:hAnsiTheme="majorHAnsi"/>
          <w:sz w:val="20"/>
          <w:szCs w:val="20"/>
          <w:lang w:val="es-CL"/>
        </w:rPr>
        <w:t xml:space="preserve"> en que ocurrió su muerte. R</w:t>
      </w:r>
      <w:r w:rsidRPr="00707B68">
        <w:rPr>
          <w:rFonts w:asciiTheme="majorHAnsi" w:hAnsiTheme="majorHAnsi"/>
          <w:sz w:val="20"/>
          <w:szCs w:val="20"/>
          <w:lang w:val="es-CL"/>
        </w:rPr>
        <w:t xml:space="preserve">especto de este período, </w:t>
      </w:r>
      <w:r w:rsidR="009978C9" w:rsidRPr="00707B68">
        <w:rPr>
          <w:rFonts w:asciiTheme="majorHAnsi" w:hAnsiTheme="majorHAnsi"/>
          <w:sz w:val="20"/>
          <w:szCs w:val="20"/>
          <w:lang w:val="es-CL"/>
        </w:rPr>
        <w:t xml:space="preserve">la CIDH nota que del expediente se desprende una comunicación de julio de 1998 emitida por </w:t>
      </w:r>
      <w:r w:rsidR="009978C9" w:rsidRPr="00707B68">
        <w:rPr>
          <w:rFonts w:asciiTheme="majorHAnsi" w:hAnsiTheme="majorHAnsi"/>
          <w:sz w:val="20"/>
          <w:szCs w:val="20"/>
          <w:lang w:val="es-VE"/>
        </w:rPr>
        <w:t xml:space="preserve">el </w:t>
      </w:r>
      <w:r w:rsidR="009978C9" w:rsidRPr="00707B68">
        <w:rPr>
          <w:rFonts w:asciiTheme="majorHAnsi" w:hAnsiTheme="majorHAnsi" w:cs="Arial"/>
          <w:sz w:val="20"/>
          <w:szCs w:val="20"/>
          <w:lang w:val="es-US"/>
        </w:rPr>
        <w:t xml:space="preserve">Comandante de la Segunda División del Ejército Nacional </w:t>
      </w:r>
      <w:r w:rsidR="009978C9" w:rsidRPr="00707B68">
        <w:rPr>
          <w:rFonts w:asciiTheme="majorHAnsi" w:hAnsiTheme="majorHAnsi"/>
          <w:sz w:val="20"/>
          <w:szCs w:val="20"/>
          <w:lang w:val="es-CL"/>
        </w:rPr>
        <w:t>haciendo referencia al vínculo del señor Zapara con las Milicias Populares. Sin perjuicio de ello, no obra documentación ante la Comisión que</w:t>
      </w:r>
      <w:r w:rsidR="006F4EFB" w:rsidRPr="00707B68">
        <w:rPr>
          <w:rFonts w:asciiTheme="majorHAnsi" w:hAnsiTheme="majorHAnsi"/>
          <w:sz w:val="20"/>
          <w:szCs w:val="20"/>
          <w:lang w:val="es-CL"/>
        </w:rPr>
        <w:t xml:space="preserve"> evidencia,</w:t>
      </w:r>
      <w:r w:rsidR="009978C9" w:rsidRPr="00707B68">
        <w:rPr>
          <w:rFonts w:asciiTheme="majorHAnsi" w:hAnsiTheme="majorHAnsi"/>
          <w:sz w:val="20"/>
          <w:szCs w:val="20"/>
          <w:lang w:val="es-CL"/>
        </w:rPr>
        <w:t xml:space="preserve"> durante dicho lapso de dos años y dos meses, la </w:t>
      </w:r>
      <w:r w:rsidR="00E942E4" w:rsidRPr="00707B68">
        <w:rPr>
          <w:rFonts w:asciiTheme="majorHAnsi" w:hAnsiTheme="majorHAnsi"/>
          <w:sz w:val="20"/>
          <w:szCs w:val="20"/>
          <w:lang w:val="es-CL"/>
        </w:rPr>
        <w:t xml:space="preserve">existencia de hechos de </w:t>
      </w:r>
      <w:r w:rsidRPr="00707B68">
        <w:rPr>
          <w:rFonts w:asciiTheme="majorHAnsi" w:hAnsiTheme="majorHAnsi"/>
          <w:sz w:val="20"/>
          <w:szCs w:val="20"/>
          <w:lang w:val="es-CL"/>
        </w:rPr>
        <w:t>acoso</w:t>
      </w:r>
      <w:r w:rsidR="00E942E4" w:rsidRPr="00707B68">
        <w:rPr>
          <w:rFonts w:asciiTheme="majorHAnsi" w:hAnsiTheme="majorHAnsi"/>
          <w:sz w:val="20"/>
          <w:szCs w:val="20"/>
          <w:lang w:val="es-CL"/>
        </w:rPr>
        <w:t>,</w:t>
      </w:r>
      <w:r w:rsidRPr="00707B68">
        <w:rPr>
          <w:rFonts w:asciiTheme="majorHAnsi" w:hAnsiTheme="majorHAnsi"/>
          <w:sz w:val="20"/>
          <w:szCs w:val="20"/>
          <w:lang w:val="es-CL"/>
        </w:rPr>
        <w:t xml:space="preserve"> hostigamiento, amenazas y la identidad de sus perpetradores. </w:t>
      </w:r>
    </w:p>
    <w:p w14:paraId="6EDCD8A5" w14:textId="77777777" w:rsidR="009978C9" w:rsidRPr="00707B68" w:rsidRDefault="009978C9" w:rsidP="009978C9">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jc w:val="both"/>
        <w:rPr>
          <w:rFonts w:asciiTheme="majorHAnsi" w:hAnsiTheme="majorHAnsi"/>
          <w:sz w:val="20"/>
          <w:szCs w:val="20"/>
          <w:lang w:val="es-CL"/>
        </w:rPr>
      </w:pPr>
    </w:p>
    <w:p w14:paraId="7BF954B8" w14:textId="3603BC18" w:rsidR="006470E7" w:rsidRPr="00707B68" w:rsidRDefault="006F4EFB" w:rsidP="006F4EF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lang w:val="es-CL"/>
        </w:rPr>
      </w:pPr>
      <w:r w:rsidRPr="00707B68">
        <w:rPr>
          <w:rFonts w:asciiTheme="majorHAnsi" w:hAnsiTheme="majorHAnsi"/>
          <w:sz w:val="20"/>
          <w:szCs w:val="20"/>
          <w:lang w:val="es-CL"/>
        </w:rPr>
        <w:t>Adicionalmente, la Comisión resalta que s</w:t>
      </w:r>
      <w:r w:rsidR="00427042" w:rsidRPr="00707B68">
        <w:rPr>
          <w:rFonts w:asciiTheme="majorHAnsi" w:hAnsiTheme="majorHAnsi"/>
          <w:sz w:val="20"/>
          <w:szCs w:val="20"/>
          <w:lang w:val="es-CL"/>
        </w:rPr>
        <w:t xml:space="preserve">alvo la carta privada que el señor Zapata </w:t>
      </w:r>
      <w:r w:rsidRPr="00707B68">
        <w:rPr>
          <w:rFonts w:asciiTheme="majorHAnsi" w:hAnsiTheme="majorHAnsi"/>
          <w:sz w:val="20"/>
          <w:szCs w:val="20"/>
          <w:lang w:val="es-CL"/>
        </w:rPr>
        <w:t>envió</w:t>
      </w:r>
      <w:r w:rsidR="00427042" w:rsidRPr="00707B68">
        <w:rPr>
          <w:rFonts w:asciiTheme="majorHAnsi" w:hAnsiTheme="majorHAnsi"/>
          <w:sz w:val="20"/>
          <w:szCs w:val="20"/>
          <w:lang w:val="es-CL"/>
        </w:rPr>
        <w:t xml:space="preserve"> </w:t>
      </w:r>
      <w:r w:rsidR="007F5976" w:rsidRPr="00707B68">
        <w:rPr>
          <w:rFonts w:asciiTheme="majorHAnsi" w:hAnsiTheme="majorHAnsi"/>
          <w:sz w:val="20"/>
          <w:szCs w:val="20"/>
          <w:lang w:val="es-CL"/>
        </w:rPr>
        <w:t>al abogado Guillermo P</w:t>
      </w:r>
      <w:r w:rsidR="009D1180" w:rsidRPr="00707B68">
        <w:rPr>
          <w:rFonts w:asciiTheme="majorHAnsi" w:hAnsiTheme="majorHAnsi"/>
          <w:sz w:val="20"/>
          <w:szCs w:val="20"/>
          <w:lang w:val="es-CL"/>
        </w:rPr>
        <w:t xml:space="preserve">érez, un día antes de su muerte, </w:t>
      </w:r>
      <w:r w:rsidR="007F5976" w:rsidRPr="00707B68">
        <w:rPr>
          <w:rFonts w:asciiTheme="majorHAnsi" w:hAnsiTheme="majorHAnsi"/>
          <w:sz w:val="20"/>
          <w:szCs w:val="20"/>
          <w:lang w:val="es-CL"/>
        </w:rPr>
        <w:t xml:space="preserve">en la que indica que corría peligro y que había dado a conocer los hechos al Alcalde y al </w:t>
      </w:r>
      <w:r w:rsidR="009D1180" w:rsidRPr="00707B68">
        <w:rPr>
          <w:rFonts w:asciiTheme="majorHAnsi" w:hAnsiTheme="majorHAnsi"/>
          <w:sz w:val="20"/>
          <w:szCs w:val="20"/>
          <w:lang w:val="es-CL"/>
        </w:rPr>
        <w:t>Personero de Segovia</w:t>
      </w:r>
      <w:r w:rsidR="007F5976" w:rsidRPr="00707B68">
        <w:rPr>
          <w:rFonts w:asciiTheme="majorHAnsi" w:hAnsiTheme="majorHAnsi"/>
          <w:sz w:val="20"/>
          <w:szCs w:val="20"/>
          <w:lang w:val="es-CL"/>
        </w:rPr>
        <w:t xml:space="preserve">, </w:t>
      </w:r>
      <w:r w:rsidR="007A08B3" w:rsidRPr="00707B68">
        <w:rPr>
          <w:rFonts w:asciiTheme="majorHAnsi" w:hAnsiTheme="majorHAnsi"/>
          <w:sz w:val="20"/>
          <w:szCs w:val="20"/>
          <w:lang w:val="es-CL"/>
        </w:rPr>
        <w:t xml:space="preserve">no </w:t>
      </w:r>
      <w:r w:rsidR="007F5976" w:rsidRPr="00707B68">
        <w:rPr>
          <w:rFonts w:asciiTheme="majorHAnsi" w:hAnsiTheme="majorHAnsi"/>
          <w:sz w:val="20"/>
          <w:szCs w:val="20"/>
          <w:lang w:val="es-CL"/>
        </w:rPr>
        <w:t xml:space="preserve">ha sido aportada </w:t>
      </w:r>
      <w:r w:rsidR="007A08B3" w:rsidRPr="00707B68">
        <w:rPr>
          <w:rFonts w:asciiTheme="majorHAnsi" w:hAnsiTheme="majorHAnsi"/>
          <w:sz w:val="20"/>
          <w:szCs w:val="20"/>
          <w:lang w:val="es-CL"/>
        </w:rPr>
        <w:t>documenta</w:t>
      </w:r>
      <w:r w:rsidR="007F5976" w:rsidRPr="00707B68">
        <w:rPr>
          <w:rFonts w:asciiTheme="majorHAnsi" w:hAnsiTheme="majorHAnsi"/>
          <w:sz w:val="20"/>
          <w:szCs w:val="20"/>
          <w:lang w:val="es-CL"/>
        </w:rPr>
        <w:t xml:space="preserve">ción que permita establecer </w:t>
      </w:r>
      <w:r w:rsidR="00364E77" w:rsidRPr="00707B68">
        <w:rPr>
          <w:rFonts w:asciiTheme="majorHAnsi" w:hAnsiTheme="majorHAnsi"/>
          <w:sz w:val="20"/>
          <w:szCs w:val="20"/>
          <w:lang w:val="es-CL"/>
        </w:rPr>
        <w:t>la naturaleza de su conversación con estas autoridades</w:t>
      </w:r>
      <w:r w:rsidRPr="00707B68">
        <w:rPr>
          <w:rFonts w:asciiTheme="majorHAnsi" w:hAnsiTheme="majorHAnsi"/>
          <w:sz w:val="20"/>
          <w:szCs w:val="20"/>
          <w:lang w:val="es-CL"/>
        </w:rPr>
        <w:t>. Tampoco ha sido acreditado ante ésta</w:t>
      </w:r>
      <w:r w:rsidR="00364E77" w:rsidRPr="00707B68">
        <w:rPr>
          <w:rFonts w:asciiTheme="majorHAnsi" w:hAnsiTheme="majorHAnsi"/>
          <w:sz w:val="20"/>
          <w:szCs w:val="20"/>
          <w:lang w:val="es-CL"/>
        </w:rPr>
        <w:t xml:space="preserve"> </w:t>
      </w:r>
      <w:r w:rsidR="007F5976" w:rsidRPr="00707B68">
        <w:rPr>
          <w:rFonts w:asciiTheme="majorHAnsi" w:hAnsiTheme="majorHAnsi"/>
          <w:sz w:val="20"/>
          <w:szCs w:val="20"/>
          <w:lang w:val="es-CL"/>
        </w:rPr>
        <w:t xml:space="preserve">si en algún momento durante el segundo período hasta antes de su muerte el señor </w:t>
      </w:r>
      <w:r w:rsidR="007A08B3" w:rsidRPr="00707B68">
        <w:rPr>
          <w:rFonts w:asciiTheme="majorHAnsi" w:hAnsiTheme="majorHAnsi"/>
          <w:sz w:val="20"/>
          <w:szCs w:val="20"/>
          <w:lang w:val="es-CL"/>
        </w:rPr>
        <w:t>Zapata</w:t>
      </w:r>
      <w:r w:rsidR="007F5976" w:rsidRPr="00707B68">
        <w:rPr>
          <w:rFonts w:asciiTheme="majorHAnsi" w:hAnsiTheme="majorHAnsi"/>
          <w:sz w:val="20"/>
          <w:szCs w:val="20"/>
          <w:lang w:val="es-CL"/>
        </w:rPr>
        <w:t xml:space="preserve"> fue víctima de algún tipo de agresión, y que esta agresión pueda ser </w:t>
      </w:r>
      <w:r w:rsidR="00364E77" w:rsidRPr="00707B68">
        <w:rPr>
          <w:rFonts w:asciiTheme="majorHAnsi" w:hAnsiTheme="majorHAnsi"/>
          <w:sz w:val="20"/>
          <w:szCs w:val="20"/>
          <w:lang w:val="es-CL"/>
        </w:rPr>
        <w:t>atribuible</w:t>
      </w:r>
      <w:r w:rsidR="007F5976" w:rsidRPr="00707B68">
        <w:rPr>
          <w:rFonts w:asciiTheme="majorHAnsi" w:hAnsiTheme="majorHAnsi"/>
          <w:sz w:val="20"/>
          <w:szCs w:val="20"/>
          <w:lang w:val="es-CL"/>
        </w:rPr>
        <w:t xml:space="preserve"> al Estado</w:t>
      </w:r>
      <w:r w:rsidR="009D1180" w:rsidRPr="00707B68">
        <w:rPr>
          <w:rFonts w:asciiTheme="majorHAnsi" w:hAnsiTheme="majorHAnsi"/>
          <w:sz w:val="20"/>
          <w:szCs w:val="20"/>
          <w:lang w:val="es-CL"/>
        </w:rPr>
        <w:t xml:space="preserve">. </w:t>
      </w:r>
    </w:p>
    <w:p w14:paraId="6D1978B7" w14:textId="77777777" w:rsidR="006F4EFB" w:rsidRPr="00707B68" w:rsidRDefault="006F4EFB" w:rsidP="006F4EF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jc w:val="both"/>
        <w:rPr>
          <w:rFonts w:asciiTheme="majorHAnsi" w:hAnsiTheme="majorHAnsi"/>
          <w:sz w:val="20"/>
          <w:szCs w:val="20"/>
          <w:lang w:val="es-CL"/>
        </w:rPr>
      </w:pPr>
    </w:p>
    <w:p w14:paraId="410DB586" w14:textId="5B038500" w:rsidR="00265C1E" w:rsidRPr="00707B68" w:rsidRDefault="0044149B" w:rsidP="0049065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lang w:val="es-CL"/>
        </w:rPr>
      </w:pPr>
      <w:r w:rsidRPr="00707B68">
        <w:rPr>
          <w:rFonts w:asciiTheme="majorHAnsi" w:hAnsiTheme="majorHAnsi"/>
          <w:sz w:val="20"/>
          <w:szCs w:val="20"/>
          <w:lang w:val="es-CL"/>
        </w:rPr>
        <w:t>En relación con la identificación de los posibles perpetradores de la muerte del señor Zapata</w:t>
      </w:r>
      <w:r w:rsidR="007A08B3" w:rsidRPr="00707B68">
        <w:rPr>
          <w:rFonts w:asciiTheme="majorHAnsi" w:hAnsiTheme="majorHAnsi"/>
          <w:sz w:val="20"/>
          <w:szCs w:val="20"/>
          <w:lang w:val="es-CL"/>
        </w:rPr>
        <w:t>, la Comisión</w:t>
      </w:r>
      <w:r w:rsidRPr="00707B68">
        <w:rPr>
          <w:rFonts w:asciiTheme="majorHAnsi" w:hAnsiTheme="majorHAnsi"/>
          <w:sz w:val="20"/>
          <w:szCs w:val="20"/>
          <w:lang w:val="es-CL"/>
        </w:rPr>
        <w:t xml:space="preserve"> observa que entre las declaraciones se indicó la posible existencia de encono en contra del señor Zapata por su labor de denuncias de abusos en la lucha antisubversiva, lo que habría generado una relación hostil con los </w:t>
      </w:r>
      <w:r w:rsidRPr="00707B68">
        <w:rPr>
          <w:rFonts w:asciiTheme="majorHAnsi" w:hAnsiTheme="majorHAnsi"/>
          <w:sz w:val="20"/>
          <w:szCs w:val="20"/>
          <w:lang w:val="es-CL"/>
        </w:rPr>
        <w:lastRenderedPageBreak/>
        <w:t xml:space="preserve">Batallones del Ejército en Segovia. </w:t>
      </w:r>
      <w:r w:rsidR="003B1CDA" w:rsidRPr="00707B68">
        <w:rPr>
          <w:rFonts w:asciiTheme="majorHAnsi" w:hAnsiTheme="majorHAnsi"/>
          <w:sz w:val="20"/>
          <w:szCs w:val="20"/>
          <w:lang w:val="es-CL"/>
        </w:rPr>
        <w:t>Asimismo, hay una declaración que  indicaba que un alcalde trabajaba  en coordinación con autodefensas (ver supra párr. 69). L</w:t>
      </w:r>
      <w:r w:rsidRPr="00707B68">
        <w:rPr>
          <w:rFonts w:asciiTheme="majorHAnsi" w:hAnsiTheme="majorHAnsi"/>
          <w:sz w:val="20"/>
          <w:szCs w:val="20"/>
          <w:lang w:val="es-CL"/>
        </w:rPr>
        <w:t>a CIDH</w:t>
      </w:r>
      <w:r w:rsidR="007A08B3" w:rsidRPr="00707B68">
        <w:rPr>
          <w:rFonts w:asciiTheme="majorHAnsi" w:hAnsiTheme="majorHAnsi"/>
          <w:sz w:val="20"/>
          <w:szCs w:val="20"/>
          <w:lang w:val="es-CL"/>
        </w:rPr>
        <w:t xml:space="preserve"> toma en consideración que </w:t>
      </w:r>
      <w:r w:rsidR="00265C1E" w:rsidRPr="00707B68">
        <w:rPr>
          <w:rFonts w:asciiTheme="majorHAnsi" w:hAnsiTheme="majorHAnsi"/>
          <w:sz w:val="20"/>
          <w:szCs w:val="20"/>
          <w:lang w:val="es-CL"/>
        </w:rPr>
        <w:t xml:space="preserve">el chofer del </w:t>
      </w:r>
      <w:r w:rsidR="00FC5789" w:rsidRPr="00707B68">
        <w:rPr>
          <w:rFonts w:asciiTheme="majorHAnsi" w:hAnsiTheme="majorHAnsi"/>
          <w:sz w:val="20"/>
          <w:szCs w:val="20"/>
          <w:lang w:val="es-CL"/>
        </w:rPr>
        <w:t>taxi</w:t>
      </w:r>
      <w:r w:rsidR="00265C1E" w:rsidRPr="00707B68">
        <w:rPr>
          <w:rFonts w:asciiTheme="majorHAnsi" w:hAnsiTheme="majorHAnsi"/>
          <w:sz w:val="20"/>
          <w:szCs w:val="20"/>
          <w:lang w:val="es-CL"/>
        </w:rPr>
        <w:t xml:space="preserve"> atestiguó que </w:t>
      </w:r>
      <w:r w:rsidRPr="00707B68">
        <w:rPr>
          <w:rFonts w:asciiTheme="majorHAnsi" w:hAnsiTheme="majorHAnsi"/>
          <w:sz w:val="20"/>
          <w:szCs w:val="20"/>
          <w:lang w:val="es-CL"/>
        </w:rPr>
        <w:t>los asesinos del señor Zapata</w:t>
      </w:r>
      <w:r w:rsidR="00265C1E" w:rsidRPr="00707B68">
        <w:rPr>
          <w:rFonts w:asciiTheme="majorHAnsi" w:hAnsiTheme="majorHAnsi"/>
          <w:sz w:val="20"/>
          <w:szCs w:val="20"/>
          <w:lang w:val="es-CL"/>
        </w:rPr>
        <w:t xml:space="preserve"> se identificaron como </w:t>
      </w:r>
      <w:r w:rsidR="007A08B3" w:rsidRPr="00707B68">
        <w:rPr>
          <w:rFonts w:asciiTheme="majorHAnsi" w:hAnsiTheme="majorHAnsi"/>
          <w:sz w:val="20"/>
          <w:szCs w:val="20"/>
          <w:lang w:val="es-CL"/>
        </w:rPr>
        <w:t xml:space="preserve"> </w:t>
      </w:r>
      <w:r w:rsidR="00364E77" w:rsidRPr="00707B68">
        <w:rPr>
          <w:rFonts w:asciiTheme="majorHAnsi" w:hAnsiTheme="majorHAnsi"/>
          <w:sz w:val="20"/>
          <w:szCs w:val="20"/>
          <w:lang w:val="es-CL"/>
        </w:rPr>
        <w:t xml:space="preserve">miembros de las </w:t>
      </w:r>
      <w:r w:rsidR="007F5976" w:rsidRPr="00707B68">
        <w:rPr>
          <w:rFonts w:asciiTheme="majorHAnsi" w:hAnsiTheme="majorHAnsi"/>
          <w:sz w:val="20"/>
          <w:szCs w:val="20"/>
          <w:lang w:val="es-CL"/>
        </w:rPr>
        <w:t>autodefensas</w:t>
      </w:r>
      <w:r w:rsidRPr="00707B68">
        <w:rPr>
          <w:rFonts w:asciiTheme="majorHAnsi" w:hAnsiTheme="majorHAnsi"/>
          <w:sz w:val="20"/>
          <w:szCs w:val="20"/>
          <w:lang w:val="es-CL"/>
        </w:rPr>
        <w:t>. Asimismo,</w:t>
      </w:r>
      <w:r w:rsidR="007F5976" w:rsidRPr="00707B68">
        <w:rPr>
          <w:rFonts w:asciiTheme="majorHAnsi" w:hAnsiTheme="majorHAnsi"/>
          <w:sz w:val="20"/>
          <w:szCs w:val="20"/>
          <w:lang w:val="es-CL"/>
        </w:rPr>
        <w:t xml:space="preserve"> las investigaciones posteriores han </w:t>
      </w:r>
      <w:r w:rsidRPr="00707B68">
        <w:rPr>
          <w:rFonts w:asciiTheme="majorHAnsi" w:hAnsiTheme="majorHAnsi"/>
          <w:sz w:val="20"/>
          <w:szCs w:val="20"/>
          <w:lang w:val="es-CL"/>
        </w:rPr>
        <w:t>recabado información sobre la</w:t>
      </w:r>
      <w:r w:rsidR="007F5976" w:rsidRPr="00707B68">
        <w:rPr>
          <w:rFonts w:asciiTheme="majorHAnsi" w:hAnsiTheme="majorHAnsi"/>
          <w:sz w:val="20"/>
          <w:szCs w:val="20"/>
          <w:lang w:val="es-CL"/>
        </w:rPr>
        <w:t xml:space="preserve"> actuaci</w:t>
      </w:r>
      <w:r w:rsidR="00265C1E" w:rsidRPr="00707B68">
        <w:rPr>
          <w:rFonts w:asciiTheme="majorHAnsi" w:hAnsiTheme="majorHAnsi"/>
          <w:sz w:val="20"/>
          <w:szCs w:val="20"/>
          <w:lang w:val="es-CL"/>
        </w:rPr>
        <w:t>ón de personas vinculadas al paramilitarismo</w:t>
      </w:r>
      <w:r w:rsidR="007A08B3" w:rsidRPr="00707B68">
        <w:rPr>
          <w:rFonts w:asciiTheme="majorHAnsi" w:hAnsiTheme="majorHAnsi"/>
          <w:sz w:val="20"/>
          <w:szCs w:val="20"/>
          <w:lang w:val="es-CL"/>
        </w:rPr>
        <w:t xml:space="preserve">. </w:t>
      </w:r>
      <w:r w:rsidR="001C1B00" w:rsidRPr="00707B68">
        <w:rPr>
          <w:rFonts w:asciiTheme="majorHAnsi" w:hAnsiTheme="majorHAnsi"/>
          <w:sz w:val="20"/>
          <w:szCs w:val="20"/>
          <w:lang w:val="es-CL"/>
        </w:rPr>
        <w:t xml:space="preserve">En esta línea, cobra relevancia el testimonio del señor </w:t>
      </w:r>
      <w:r w:rsidR="004E6703" w:rsidRPr="00707B68">
        <w:rPr>
          <w:rFonts w:asciiTheme="majorHAnsi" w:hAnsiTheme="majorHAnsi"/>
          <w:sz w:val="20"/>
          <w:szCs w:val="20"/>
          <w:lang w:val="es-CL"/>
        </w:rPr>
        <w:t xml:space="preserve">Lezcano </w:t>
      </w:r>
      <w:r w:rsidR="009677C2" w:rsidRPr="00707B68">
        <w:rPr>
          <w:rFonts w:asciiTheme="majorHAnsi" w:hAnsiTheme="majorHAnsi"/>
          <w:sz w:val="20"/>
          <w:szCs w:val="20"/>
          <w:lang w:val="es-CL"/>
        </w:rPr>
        <w:t xml:space="preserve">quien </w:t>
      </w:r>
      <w:r w:rsidR="004E6703" w:rsidRPr="00707B68">
        <w:rPr>
          <w:rFonts w:asciiTheme="majorHAnsi" w:hAnsiTheme="majorHAnsi"/>
          <w:sz w:val="20"/>
          <w:szCs w:val="20"/>
          <w:lang w:val="es-CL"/>
        </w:rPr>
        <w:t xml:space="preserve">también atribuyó la autoría material del crimen al paramilitarismo. </w:t>
      </w:r>
      <w:r w:rsidRPr="00707B68">
        <w:rPr>
          <w:rFonts w:asciiTheme="majorHAnsi" w:hAnsiTheme="majorHAnsi"/>
          <w:sz w:val="20"/>
          <w:szCs w:val="20"/>
          <w:lang w:val="es-CL"/>
        </w:rPr>
        <w:t>De esta forma</w:t>
      </w:r>
      <w:r w:rsidR="006F4EFB" w:rsidRPr="00707B68">
        <w:rPr>
          <w:rFonts w:asciiTheme="majorHAnsi" w:hAnsiTheme="majorHAnsi"/>
          <w:sz w:val="20"/>
          <w:szCs w:val="20"/>
          <w:lang w:val="es-CL"/>
        </w:rPr>
        <w:t>,</w:t>
      </w:r>
      <w:r w:rsidRPr="00707B68">
        <w:rPr>
          <w:rFonts w:asciiTheme="majorHAnsi" w:hAnsiTheme="majorHAnsi"/>
          <w:sz w:val="20"/>
          <w:szCs w:val="20"/>
          <w:lang w:val="es-CL"/>
        </w:rPr>
        <w:t xml:space="preserve"> conforme a la información disponible</w:t>
      </w:r>
      <w:r w:rsidR="004E6703" w:rsidRPr="00707B68">
        <w:rPr>
          <w:rFonts w:asciiTheme="majorHAnsi" w:hAnsiTheme="majorHAnsi"/>
          <w:sz w:val="20"/>
          <w:szCs w:val="20"/>
          <w:lang w:val="es-CL"/>
        </w:rPr>
        <w:t xml:space="preserve"> </w:t>
      </w:r>
      <w:r w:rsidRPr="00707B68">
        <w:rPr>
          <w:rFonts w:asciiTheme="majorHAnsi" w:hAnsiTheme="majorHAnsi"/>
          <w:sz w:val="20"/>
          <w:szCs w:val="20"/>
          <w:lang w:val="es-CL"/>
        </w:rPr>
        <w:t xml:space="preserve">la Comisión considera que </w:t>
      </w:r>
      <w:r w:rsidR="004E6703" w:rsidRPr="00707B68">
        <w:rPr>
          <w:rFonts w:asciiTheme="majorHAnsi" w:hAnsiTheme="majorHAnsi"/>
          <w:sz w:val="20"/>
          <w:szCs w:val="20"/>
          <w:lang w:val="es-CL"/>
        </w:rPr>
        <w:t>existe una clara tendencia en los testimonios que atribuyen el hecho directamente a las autodefensas</w:t>
      </w:r>
      <w:r w:rsidRPr="00707B68">
        <w:rPr>
          <w:rFonts w:asciiTheme="majorHAnsi" w:hAnsiTheme="majorHAnsi"/>
          <w:sz w:val="20"/>
          <w:szCs w:val="20"/>
          <w:lang w:val="es-CL"/>
        </w:rPr>
        <w:t xml:space="preserve">, sin que </w:t>
      </w:r>
      <w:r w:rsidR="003B1CDA" w:rsidRPr="00707B68">
        <w:rPr>
          <w:rFonts w:asciiTheme="majorHAnsi" w:hAnsiTheme="majorHAnsi"/>
          <w:sz w:val="20"/>
          <w:szCs w:val="20"/>
          <w:lang w:val="es-CL"/>
        </w:rPr>
        <w:t xml:space="preserve">se cuente con suficiente información que permita </w:t>
      </w:r>
      <w:r w:rsidRPr="00707B68">
        <w:rPr>
          <w:rFonts w:asciiTheme="majorHAnsi" w:hAnsiTheme="majorHAnsi"/>
          <w:sz w:val="20"/>
          <w:szCs w:val="20"/>
          <w:lang w:val="es-CL"/>
        </w:rPr>
        <w:t>identificar</w:t>
      </w:r>
      <w:r w:rsidR="004E6703" w:rsidRPr="00707B68">
        <w:rPr>
          <w:rFonts w:asciiTheme="majorHAnsi" w:hAnsiTheme="majorHAnsi"/>
          <w:sz w:val="20"/>
          <w:szCs w:val="20"/>
          <w:lang w:val="es-CL"/>
        </w:rPr>
        <w:t xml:space="preserve"> </w:t>
      </w:r>
      <w:r w:rsidR="003B1CDA" w:rsidRPr="00707B68">
        <w:rPr>
          <w:rFonts w:asciiTheme="majorHAnsi" w:hAnsiTheme="majorHAnsi"/>
          <w:sz w:val="20"/>
          <w:szCs w:val="20"/>
          <w:lang w:val="es-CL"/>
        </w:rPr>
        <w:t>de forma c</w:t>
      </w:r>
      <w:r w:rsidR="004E6703" w:rsidRPr="00707B68">
        <w:rPr>
          <w:rFonts w:asciiTheme="majorHAnsi" w:hAnsiTheme="majorHAnsi"/>
          <w:sz w:val="20"/>
          <w:szCs w:val="20"/>
          <w:lang w:val="es-CL"/>
        </w:rPr>
        <w:t xml:space="preserve">oncreta </w:t>
      </w:r>
      <w:r w:rsidR="003B1CDA" w:rsidRPr="00707B68">
        <w:rPr>
          <w:rFonts w:asciiTheme="majorHAnsi" w:hAnsiTheme="majorHAnsi"/>
          <w:sz w:val="20"/>
          <w:szCs w:val="20"/>
          <w:lang w:val="es-CL"/>
        </w:rPr>
        <w:t>ç</w:t>
      </w:r>
      <w:r w:rsidR="004E6703" w:rsidRPr="00707B68">
        <w:rPr>
          <w:rFonts w:asciiTheme="majorHAnsi" w:hAnsiTheme="majorHAnsi"/>
          <w:sz w:val="20"/>
          <w:szCs w:val="20"/>
          <w:lang w:val="es-CL"/>
        </w:rPr>
        <w:t xml:space="preserve"> el </w:t>
      </w:r>
      <w:r w:rsidR="003B1CDA" w:rsidRPr="00707B68">
        <w:rPr>
          <w:rFonts w:asciiTheme="majorHAnsi" w:hAnsiTheme="majorHAnsi"/>
          <w:sz w:val="20"/>
          <w:szCs w:val="20"/>
          <w:lang w:val="es-CL"/>
        </w:rPr>
        <w:t xml:space="preserve">ataque </w:t>
      </w:r>
      <w:r w:rsidR="004E6703" w:rsidRPr="00707B68">
        <w:rPr>
          <w:rFonts w:asciiTheme="majorHAnsi" w:hAnsiTheme="majorHAnsi"/>
          <w:sz w:val="20"/>
          <w:szCs w:val="20"/>
          <w:lang w:val="es-CL"/>
        </w:rPr>
        <w:t xml:space="preserve">con agentes estatales </w:t>
      </w:r>
      <w:r w:rsidR="003B1CDA" w:rsidRPr="00707B68">
        <w:rPr>
          <w:rFonts w:asciiTheme="majorHAnsi" w:hAnsiTheme="majorHAnsi"/>
          <w:sz w:val="20"/>
          <w:szCs w:val="20"/>
          <w:lang w:val="es-CL"/>
        </w:rPr>
        <w:t>de tal forma que</w:t>
      </w:r>
      <w:r w:rsidR="004E6703" w:rsidRPr="00707B68">
        <w:rPr>
          <w:rFonts w:asciiTheme="majorHAnsi" w:hAnsiTheme="majorHAnsi"/>
          <w:sz w:val="20"/>
          <w:szCs w:val="20"/>
          <w:lang w:val="es-CL"/>
        </w:rPr>
        <w:t xml:space="preserve"> la muerte del señor Zapata </w:t>
      </w:r>
      <w:r w:rsidR="003B1CDA" w:rsidRPr="00707B68">
        <w:rPr>
          <w:rFonts w:asciiTheme="majorHAnsi" w:hAnsiTheme="majorHAnsi"/>
          <w:sz w:val="20"/>
          <w:szCs w:val="20"/>
          <w:lang w:val="es-CL"/>
        </w:rPr>
        <w:t>resulta atribuible al Estado por una violación al deber de respeto</w:t>
      </w:r>
      <w:r w:rsidR="004E6703" w:rsidRPr="00707B68">
        <w:rPr>
          <w:rFonts w:asciiTheme="majorHAnsi" w:hAnsiTheme="majorHAnsi"/>
          <w:sz w:val="20"/>
          <w:szCs w:val="20"/>
          <w:lang w:val="es-CL"/>
        </w:rPr>
        <w:t>.</w:t>
      </w:r>
    </w:p>
    <w:p w14:paraId="26C815D5" w14:textId="77777777" w:rsidR="00A234BE" w:rsidRPr="00707B68" w:rsidRDefault="00A234BE" w:rsidP="00A234B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jc w:val="both"/>
        <w:rPr>
          <w:rFonts w:asciiTheme="majorHAnsi" w:hAnsiTheme="majorHAnsi"/>
          <w:sz w:val="20"/>
          <w:szCs w:val="20"/>
          <w:lang w:val="es-CL"/>
        </w:rPr>
      </w:pPr>
    </w:p>
    <w:p w14:paraId="18F5F731" w14:textId="77777777" w:rsidR="007B225A" w:rsidRPr="00707B68" w:rsidRDefault="007B225A" w:rsidP="00490654">
      <w:pPr>
        <w:pStyle w:val="Heading3"/>
        <w:numPr>
          <w:ilvl w:val="1"/>
          <w:numId w:val="58"/>
        </w:numPr>
        <w:tabs>
          <w:tab w:val="left" w:pos="360"/>
        </w:tabs>
        <w:ind w:left="0" w:firstLine="0"/>
        <w:jc w:val="both"/>
      </w:pPr>
      <w:r w:rsidRPr="00707B68">
        <w:t>Análisis sobre el deber de prevención</w:t>
      </w:r>
    </w:p>
    <w:p w14:paraId="2F18E167" w14:textId="77777777" w:rsidR="007B225A" w:rsidRPr="00707B68" w:rsidRDefault="007B225A" w:rsidP="00490654">
      <w:pPr>
        <w:tabs>
          <w:tab w:val="left" w:pos="360"/>
        </w:tabs>
        <w:rPr>
          <w:rFonts w:asciiTheme="majorHAnsi" w:hAnsiTheme="majorHAnsi"/>
          <w:sz w:val="20"/>
        </w:rPr>
      </w:pPr>
    </w:p>
    <w:p w14:paraId="688BF4A6" w14:textId="13632BE7" w:rsidR="007A08B3" w:rsidRPr="00707B68" w:rsidRDefault="00036518" w:rsidP="0049065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lang w:val="es-CL"/>
        </w:rPr>
      </w:pPr>
      <w:r w:rsidRPr="00707B68">
        <w:rPr>
          <w:rFonts w:asciiTheme="majorHAnsi" w:hAnsiTheme="majorHAnsi"/>
          <w:sz w:val="20"/>
          <w:szCs w:val="20"/>
          <w:lang w:val="es-CL"/>
        </w:rPr>
        <w:t>En relación con los estándares del deber de prevención, l</w:t>
      </w:r>
      <w:r w:rsidR="007A08B3" w:rsidRPr="00707B68">
        <w:rPr>
          <w:rFonts w:asciiTheme="majorHAnsi" w:hAnsiTheme="majorHAnsi"/>
          <w:sz w:val="20"/>
          <w:szCs w:val="20"/>
          <w:lang w:val="es-CL"/>
        </w:rPr>
        <w:t xml:space="preserve">a Comisión observa que la parte peticionaria señaló que el Estado no realizó un análisis de riesgo. </w:t>
      </w:r>
      <w:r w:rsidR="00364E77" w:rsidRPr="00707B68">
        <w:rPr>
          <w:rFonts w:asciiTheme="majorHAnsi" w:hAnsiTheme="majorHAnsi"/>
          <w:sz w:val="20"/>
          <w:szCs w:val="20"/>
          <w:lang w:val="es-CL"/>
        </w:rPr>
        <w:t>Al respecto</w:t>
      </w:r>
      <w:r w:rsidR="007A08B3" w:rsidRPr="00707B68">
        <w:rPr>
          <w:rFonts w:asciiTheme="majorHAnsi" w:hAnsiTheme="majorHAnsi"/>
          <w:sz w:val="20"/>
          <w:szCs w:val="20"/>
          <w:lang w:val="es-CL"/>
        </w:rPr>
        <w:t xml:space="preserve">, la Comisión </w:t>
      </w:r>
      <w:r w:rsidR="00364E77" w:rsidRPr="00707B68">
        <w:rPr>
          <w:rFonts w:asciiTheme="majorHAnsi" w:hAnsiTheme="majorHAnsi"/>
          <w:sz w:val="20"/>
          <w:szCs w:val="20"/>
          <w:lang w:val="es-CL"/>
        </w:rPr>
        <w:t xml:space="preserve">observa que la hipótesis del Estado sostiene que el señor Zapata sostuvo dos </w:t>
      </w:r>
      <w:r w:rsidR="00244146" w:rsidRPr="00707B68">
        <w:rPr>
          <w:rFonts w:asciiTheme="majorHAnsi" w:hAnsiTheme="majorHAnsi"/>
          <w:sz w:val="20"/>
          <w:szCs w:val="20"/>
          <w:lang w:val="es-CL"/>
        </w:rPr>
        <w:t>narrativas</w:t>
      </w:r>
      <w:r w:rsidR="007A08B3" w:rsidRPr="00707B68">
        <w:rPr>
          <w:rFonts w:asciiTheme="majorHAnsi" w:hAnsiTheme="majorHAnsi"/>
          <w:sz w:val="20"/>
          <w:szCs w:val="20"/>
          <w:lang w:val="es-CL"/>
        </w:rPr>
        <w:t>. Por un lado, señaló con nivel de profundidad suficiente</w:t>
      </w:r>
      <w:r w:rsidR="00364E77" w:rsidRPr="00707B68">
        <w:rPr>
          <w:rFonts w:asciiTheme="majorHAnsi" w:hAnsiTheme="majorHAnsi"/>
          <w:sz w:val="20"/>
          <w:szCs w:val="20"/>
          <w:lang w:val="es-CL"/>
        </w:rPr>
        <w:t>, como consta en la Ayuda Memoria,</w:t>
      </w:r>
      <w:r w:rsidR="007A08B3" w:rsidRPr="00707B68">
        <w:rPr>
          <w:rFonts w:asciiTheme="majorHAnsi" w:hAnsiTheme="majorHAnsi"/>
          <w:sz w:val="20"/>
          <w:szCs w:val="20"/>
          <w:lang w:val="es-CL"/>
        </w:rPr>
        <w:t xml:space="preserve"> que Segovia era </w:t>
      </w:r>
      <w:r w:rsidR="00895C82" w:rsidRPr="00707B68">
        <w:rPr>
          <w:rFonts w:asciiTheme="majorHAnsi" w:hAnsiTheme="majorHAnsi"/>
          <w:sz w:val="20"/>
          <w:szCs w:val="20"/>
          <w:lang w:val="es-CL"/>
        </w:rPr>
        <w:t>un</w:t>
      </w:r>
      <w:r w:rsidR="007A08B3" w:rsidRPr="00707B68">
        <w:rPr>
          <w:rFonts w:asciiTheme="majorHAnsi" w:hAnsiTheme="majorHAnsi"/>
          <w:sz w:val="20"/>
          <w:szCs w:val="20"/>
          <w:lang w:val="es-CL"/>
        </w:rPr>
        <w:t xml:space="preserve"> lugar seguro para su retorno; pero, por otro lado, también indicó que temía por su vida y que las motivaciones de su regreso eran meramente económicas, es decir ser reinstalado en su puesto de trabajo</w:t>
      </w:r>
      <w:r w:rsidR="00244146" w:rsidRPr="00707B68">
        <w:rPr>
          <w:rFonts w:asciiTheme="majorHAnsi" w:hAnsiTheme="majorHAnsi"/>
          <w:sz w:val="20"/>
          <w:szCs w:val="20"/>
          <w:lang w:val="es-CL"/>
        </w:rPr>
        <w:t xml:space="preserve"> para lograr su subsistencia</w:t>
      </w:r>
      <w:r w:rsidR="007A08B3" w:rsidRPr="00707B68">
        <w:rPr>
          <w:rFonts w:asciiTheme="majorHAnsi" w:hAnsiTheme="majorHAnsi"/>
          <w:sz w:val="20"/>
          <w:szCs w:val="20"/>
          <w:lang w:val="es-CL"/>
        </w:rPr>
        <w:t xml:space="preserve">. </w:t>
      </w:r>
    </w:p>
    <w:p w14:paraId="5C35620A" w14:textId="77777777" w:rsidR="007A08B3" w:rsidRPr="00707B68" w:rsidRDefault="007A08B3" w:rsidP="00490654">
      <w:pPr>
        <w:tabs>
          <w:tab w:val="left" w:pos="360"/>
        </w:tabs>
        <w:rPr>
          <w:rFonts w:asciiTheme="majorHAnsi" w:hAnsiTheme="majorHAnsi"/>
          <w:sz w:val="20"/>
        </w:rPr>
      </w:pPr>
    </w:p>
    <w:p w14:paraId="06FEFC64" w14:textId="5E980B84" w:rsidR="007A08B3" w:rsidRPr="00707B68" w:rsidRDefault="002723B9" w:rsidP="0049065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lang w:val="es-CL"/>
        </w:rPr>
      </w:pPr>
      <w:r w:rsidRPr="00707B68">
        <w:rPr>
          <w:rFonts w:asciiTheme="majorHAnsi" w:hAnsiTheme="majorHAnsi"/>
          <w:sz w:val="20"/>
          <w:szCs w:val="20"/>
          <w:lang w:val="es-CL"/>
        </w:rPr>
        <w:t>L</w:t>
      </w:r>
      <w:r w:rsidR="007A08B3" w:rsidRPr="00707B68">
        <w:rPr>
          <w:rFonts w:asciiTheme="majorHAnsi" w:hAnsiTheme="majorHAnsi"/>
          <w:sz w:val="20"/>
          <w:szCs w:val="20"/>
          <w:lang w:val="es-CL"/>
        </w:rPr>
        <w:t xml:space="preserve">a CIDH considera que en cualquier caso, el señor Zapata estaba dispuesto a regresar a Segovia. La Comisión no resta valor al nivel de complejidad que los Estados enfrentan en el despliegue de acciones para la protección de sus ciudadanos en situación de riesgo, la que se agudiza más cuando el propio beneficiario de la protección decide asumir conductas riesgosas o aporta información que no resulta adecuada para la determinación del riesgo. Sin embargo, en el presente caso, </w:t>
      </w:r>
      <w:r w:rsidR="00364E77" w:rsidRPr="00707B68">
        <w:rPr>
          <w:rFonts w:asciiTheme="majorHAnsi" w:hAnsiTheme="majorHAnsi"/>
          <w:sz w:val="20"/>
          <w:szCs w:val="20"/>
          <w:lang w:val="es-CL"/>
        </w:rPr>
        <w:t>la CIDH ya determinó que la motivación del regreso del señor Zapata a Segovia era de tipo económico</w:t>
      </w:r>
      <w:r w:rsidR="0063260D" w:rsidRPr="00707B68">
        <w:rPr>
          <w:rFonts w:asciiTheme="majorHAnsi" w:hAnsiTheme="majorHAnsi"/>
          <w:sz w:val="20"/>
          <w:szCs w:val="20"/>
          <w:lang w:val="es-CL"/>
        </w:rPr>
        <w:t xml:space="preserve"> y que él se encargó de dejar sentado su desacuerdo con lo expresado en la Ayuda Memoria</w:t>
      </w:r>
      <w:r w:rsidR="00364E77" w:rsidRPr="00707B68">
        <w:rPr>
          <w:rFonts w:asciiTheme="majorHAnsi" w:hAnsiTheme="majorHAnsi"/>
          <w:sz w:val="20"/>
          <w:szCs w:val="20"/>
          <w:lang w:val="es-CL"/>
        </w:rPr>
        <w:t xml:space="preserve">. </w:t>
      </w:r>
      <w:r w:rsidR="0063260D" w:rsidRPr="00707B68">
        <w:rPr>
          <w:rFonts w:asciiTheme="majorHAnsi" w:hAnsiTheme="majorHAnsi"/>
          <w:sz w:val="20"/>
          <w:szCs w:val="20"/>
          <w:lang w:val="es-CL"/>
        </w:rPr>
        <w:t xml:space="preserve">Ahora bien, incluso aceptando la hipótesis del Estado, </w:t>
      </w:r>
      <w:r w:rsidR="007A08B3" w:rsidRPr="00707B68">
        <w:rPr>
          <w:rFonts w:asciiTheme="majorHAnsi" w:hAnsiTheme="majorHAnsi"/>
          <w:sz w:val="20"/>
          <w:szCs w:val="20"/>
          <w:lang w:val="es-CL"/>
        </w:rPr>
        <w:t>la Comisión considera que dada la especial y riesgosa</w:t>
      </w:r>
      <w:r w:rsidR="00244146" w:rsidRPr="00707B68">
        <w:rPr>
          <w:rFonts w:asciiTheme="majorHAnsi" w:hAnsiTheme="majorHAnsi"/>
          <w:sz w:val="20"/>
          <w:szCs w:val="20"/>
          <w:lang w:val="es-CL"/>
        </w:rPr>
        <w:t xml:space="preserve"> situación</w:t>
      </w:r>
      <w:r w:rsidR="007A08B3" w:rsidRPr="00707B68">
        <w:rPr>
          <w:rFonts w:asciiTheme="majorHAnsi" w:hAnsiTheme="majorHAnsi"/>
          <w:sz w:val="20"/>
          <w:szCs w:val="20"/>
          <w:lang w:val="es-CL"/>
        </w:rPr>
        <w:t xml:space="preserve"> del señor Zapata</w:t>
      </w:r>
      <w:r w:rsidR="00244146" w:rsidRPr="00707B68">
        <w:rPr>
          <w:rFonts w:asciiTheme="majorHAnsi" w:hAnsiTheme="majorHAnsi"/>
          <w:sz w:val="20"/>
          <w:szCs w:val="20"/>
          <w:lang w:val="es-CL"/>
        </w:rPr>
        <w:t xml:space="preserve"> en 1998</w:t>
      </w:r>
      <w:r w:rsidR="007A08B3" w:rsidRPr="00707B68">
        <w:rPr>
          <w:rFonts w:asciiTheme="majorHAnsi" w:hAnsiTheme="majorHAnsi"/>
          <w:sz w:val="20"/>
          <w:szCs w:val="20"/>
          <w:lang w:val="es-CL"/>
        </w:rPr>
        <w:t>, como defensor de derechos humano</w:t>
      </w:r>
      <w:r w:rsidR="0059322B" w:rsidRPr="00707B68">
        <w:rPr>
          <w:rFonts w:asciiTheme="majorHAnsi" w:hAnsiTheme="majorHAnsi"/>
          <w:sz w:val="20"/>
          <w:szCs w:val="20"/>
          <w:lang w:val="es-CL"/>
        </w:rPr>
        <w:t>s</w:t>
      </w:r>
      <w:r w:rsidR="007A08B3" w:rsidRPr="00707B68">
        <w:rPr>
          <w:rFonts w:asciiTheme="majorHAnsi" w:hAnsiTheme="majorHAnsi"/>
          <w:sz w:val="20"/>
          <w:szCs w:val="20"/>
          <w:lang w:val="es-CL"/>
        </w:rPr>
        <w:t>, ante la existencia de documentos que involucraban incluso a agentes estatales en su persecución su deseo de retorno debió ser objeto de un escrutinio mucho más profundo que hubiera podido determinar el</w:t>
      </w:r>
      <w:r w:rsidR="00244146" w:rsidRPr="00707B68">
        <w:rPr>
          <w:rFonts w:asciiTheme="majorHAnsi" w:hAnsiTheme="majorHAnsi"/>
          <w:sz w:val="20"/>
          <w:szCs w:val="20"/>
          <w:lang w:val="es-CL"/>
        </w:rPr>
        <w:t xml:space="preserve"> nivel de exposición al riesgo y la adopción de medidas adecuadas para su protección. </w:t>
      </w:r>
    </w:p>
    <w:p w14:paraId="7F254B3C" w14:textId="77777777" w:rsidR="007A08B3" w:rsidRPr="00707B68" w:rsidRDefault="007A08B3" w:rsidP="00490654">
      <w:pPr>
        <w:tabs>
          <w:tab w:val="left" w:pos="360"/>
        </w:tabs>
        <w:rPr>
          <w:rFonts w:asciiTheme="majorHAnsi" w:hAnsiTheme="majorHAnsi"/>
          <w:sz w:val="20"/>
        </w:rPr>
      </w:pPr>
    </w:p>
    <w:p w14:paraId="54C444DE" w14:textId="77777777" w:rsidR="007A08B3" w:rsidRPr="00707B68" w:rsidRDefault="00975332" w:rsidP="0049065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lang w:val="es-CL"/>
        </w:rPr>
      </w:pPr>
      <w:r w:rsidRPr="00707B68">
        <w:rPr>
          <w:rFonts w:asciiTheme="majorHAnsi" w:hAnsiTheme="majorHAnsi"/>
          <w:sz w:val="20"/>
          <w:szCs w:val="20"/>
          <w:lang w:val="es-CL"/>
        </w:rPr>
        <w:t>En línea con lo anterior</w:t>
      </w:r>
      <w:r w:rsidR="007A08B3" w:rsidRPr="00707B68">
        <w:rPr>
          <w:rFonts w:asciiTheme="majorHAnsi" w:hAnsiTheme="majorHAnsi"/>
          <w:sz w:val="20"/>
          <w:szCs w:val="20"/>
          <w:lang w:val="es-CL"/>
        </w:rPr>
        <w:t xml:space="preserve">, la CIDH observa que el Estado no ha aportado ningún análisis que de cuenta de la situación económica del señor Zapata y si </w:t>
      </w:r>
      <w:r w:rsidR="00244146" w:rsidRPr="00707B68">
        <w:rPr>
          <w:rFonts w:asciiTheme="majorHAnsi" w:hAnsiTheme="majorHAnsi"/>
          <w:sz w:val="20"/>
          <w:szCs w:val="20"/>
          <w:lang w:val="es-CL"/>
        </w:rPr>
        <w:t xml:space="preserve">descartó que </w:t>
      </w:r>
      <w:r w:rsidR="007A08B3" w:rsidRPr="00707B68">
        <w:rPr>
          <w:rFonts w:asciiTheme="majorHAnsi" w:hAnsiTheme="majorHAnsi"/>
          <w:sz w:val="20"/>
          <w:szCs w:val="20"/>
          <w:lang w:val="es-CL"/>
        </w:rPr>
        <w:t>esta fue el</w:t>
      </w:r>
      <w:r w:rsidR="00244146" w:rsidRPr="00707B68">
        <w:rPr>
          <w:rFonts w:asciiTheme="majorHAnsi" w:hAnsiTheme="majorHAnsi"/>
          <w:sz w:val="20"/>
          <w:szCs w:val="20"/>
          <w:lang w:val="es-CL"/>
        </w:rPr>
        <w:t xml:space="preserve"> único</w:t>
      </w:r>
      <w:r w:rsidR="007A08B3" w:rsidRPr="00707B68">
        <w:rPr>
          <w:rFonts w:asciiTheme="majorHAnsi" w:hAnsiTheme="majorHAnsi"/>
          <w:sz w:val="20"/>
          <w:szCs w:val="20"/>
          <w:lang w:val="es-CL"/>
        </w:rPr>
        <w:t xml:space="preserve"> motivo </w:t>
      </w:r>
      <w:r w:rsidR="00244146" w:rsidRPr="00707B68">
        <w:rPr>
          <w:rFonts w:asciiTheme="majorHAnsi" w:hAnsiTheme="majorHAnsi"/>
          <w:sz w:val="20"/>
          <w:szCs w:val="20"/>
          <w:lang w:val="es-CL"/>
        </w:rPr>
        <w:t xml:space="preserve">para </w:t>
      </w:r>
      <w:r w:rsidR="007A08B3" w:rsidRPr="00707B68">
        <w:rPr>
          <w:rFonts w:asciiTheme="majorHAnsi" w:hAnsiTheme="majorHAnsi"/>
          <w:sz w:val="20"/>
          <w:szCs w:val="20"/>
          <w:lang w:val="es-CL"/>
        </w:rPr>
        <w:t>su regreso a Segovia. En efecto, la Comisión nota que el señor Zapata tenía una sanción vigente cuando decidió volver, y solicitó encarecidamente que lo ayuden a regresar a su puesto de trabajo. Estos indicios pasaron inadvertidos por el Estado, como una demostración de que el principal motivo de su retorno era de tipo económico, y no el libre de</w:t>
      </w:r>
      <w:r w:rsidR="00244146" w:rsidRPr="00707B68">
        <w:rPr>
          <w:rFonts w:asciiTheme="majorHAnsi" w:hAnsiTheme="majorHAnsi"/>
          <w:sz w:val="20"/>
          <w:szCs w:val="20"/>
          <w:lang w:val="es-CL"/>
        </w:rPr>
        <w:t>sarrollo de su vida en Segovia.</w:t>
      </w:r>
    </w:p>
    <w:p w14:paraId="0892CD19" w14:textId="77777777" w:rsidR="0063260D" w:rsidRPr="00707B68" w:rsidRDefault="0063260D" w:rsidP="0049065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jc w:val="both"/>
        <w:rPr>
          <w:rFonts w:asciiTheme="majorHAnsi" w:hAnsiTheme="majorHAnsi"/>
          <w:sz w:val="20"/>
          <w:szCs w:val="20"/>
          <w:lang w:val="es-CL"/>
        </w:rPr>
      </w:pPr>
    </w:p>
    <w:p w14:paraId="02D2E066" w14:textId="77777777" w:rsidR="00975332" w:rsidRPr="00707B68" w:rsidRDefault="0063260D" w:rsidP="0049065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lang w:val="es-CL"/>
        </w:rPr>
      </w:pPr>
      <w:r w:rsidRPr="00707B68">
        <w:rPr>
          <w:rFonts w:asciiTheme="majorHAnsi" w:hAnsiTheme="majorHAnsi"/>
          <w:sz w:val="20"/>
          <w:szCs w:val="20"/>
          <w:lang w:val="es-CL"/>
        </w:rPr>
        <w:t>Sin perjuicio de lo anterior</w:t>
      </w:r>
      <w:r w:rsidR="007A08B3" w:rsidRPr="00707B68">
        <w:rPr>
          <w:rFonts w:asciiTheme="majorHAnsi" w:hAnsiTheme="majorHAnsi"/>
          <w:sz w:val="20"/>
          <w:szCs w:val="20"/>
          <w:lang w:val="es-CL"/>
        </w:rPr>
        <w:t>, la CIDH vuelve a notar que desde el retorno del señor Zapata, hasta la fecha de su muerte, transcurrieron alrededor de dos años. Respecto de este período temporal, no existe información disponible que indique que el señor Zapata realizó algún tipo de denuncia o solicitud de seguimiento y acompaña</w:t>
      </w:r>
      <w:r w:rsidR="00975332" w:rsidRPr="00707B68">
        <w:rPr>
          <w:rFonts w:asciiTheme="majorHAnsi" w:hAnsiTheme="majorHAnsi"/>
          <w:sz w:val="20"/>
          <w:szCs w:val="20"/>
          <w:lang w:val="es-CL"/>
        </w:rPr>
        <w:t>miento a su situación personal</w:t>
      </w:r>
      <w:r w:rsidRPr="00707B68">
        <w:rPr>
          <w:rFonts w:asciiTheme="majorHAnsi" w:hAnsiTheme="majorHAnsi"/>
          <w:sz w:val="20"/>
          <w:szCs w:val="20"/>
          <w:lang w:val="es-CL"/>
        </w:rPr>
        <w:t xml:space="preserve"> que pudiera acercarse al estándar de que el Estado conocía o debía conocer del riesgo real e inmediato</w:t>
      </w:r>
      <w:r w:rsidR="00975332" w:rsidRPr="00707B68">
        <w:rPr>
          <w:rFonts w:asciiTheme="majorHAnsi" w:hAnsiTheme="majorHAnsi"/>
          <w:sz w:val="20"/>
          <w:szCs w:val="20"/>
          <w:lang w:val="es-CL"/>
        </w:rPr>
        <w:t xml:space="preserve">. Pese a lo anterior, no pasa inadvertido para la Comisión que el señor Zapata gozaba de medidas cautelares </w:t>
      </w:r>
      <w:r w:rsidRPr="00707B68">
        <w:rPr>
          <w:rFonts w:asciiTheme="majorHAnsi" w:hAnsiTheme="majorHAnsi"/>
          <w:sz w:val="20"/>
          <w:szCs w:val="20"/>
          <w:lang w:val="es-CL"/>
        </w:rPr>
        <w:t xml:space="preserve">desde el 11 de febrero de 1998 </w:t>
      </w:r>
      <w:r w:rsidR="00975332" w:rsidRPr="00707B68">
        <w:rPr>
          <w:rFonts w:asciiTheme="majorHAnsi" w:hAnsiTheme="majorHAnsi"/>
          <w:sz w:val="20"/>
          <w:szCs w:val="20"/>
          <w:lang w:val="es-CL"/>
        </w:rPr>
        <w:t xml:space="preserve">y que el Estado tenía un deber de reportar cada </w:t>
      </w:r>
      <w:r w:rsidR="007B225A" w:rsidRPr="00707B68">
        <w:rPr>
          <w:rFonts w:asciiTheme="majorHAnsi" w:hAnsiTheme="majorHAnsi"/>
          <w:sz w:val="20"/>
          <w:szCs w:val="20"/>
          <w:lang w:val="es-CL"/>
        </w:rPr>
        <w:t xml:space="preserve">dos meses </w:t>
      </w:r>
      <w:r w:rsidR="00975332" w:rsidRPr="00707B68">
        <w:rPr>
          <w:rFonts w:asciiTheme="majorHAnsi" w:hAnsiTheme="majorHAnsi"/>
          <w:sz w:val="20"/>
          <w:szCs w:val="20"/>
          <w:lang w:val="es-CL"/>
        </w:rPr>
        <w:t>sobre la situación de seguridad del beneficiario de las medidas cautelares</w:t>
      </w:r>
      <w:r w:rsidRPr="00707B68">
        <w:rPr>
          <w:rFonts w:asciiTheme="majorHAnsi" w:hAnsiTheme="majorHAnsi"/>
          <w:sz w:val="20"/>
          <w:szCs w:val="20"/>
          <w:lang w:val="es-CL"/>
        </w:rPr>
        <w:t>, al menos durante el período de vigencia de la protección, que en el caso fueron de seis meses</w:t>
      </w:r>
      <w:r w:rsidR="007B225A" w:rsidRPr="00707B68">
        <w:rPr>
          <w:rFonts w:asciiTheme="majorHAnsi" w:hAnsiTheme="majorHAnsi"/>
          <w:sz w:val="20"/>
          <w:szCs w:val="20"/>
          <w:lang w:val="es-CL"/>
        </w:rPr>
        <w:t xml:space="preserve">. En efecto, la Comisión encuentra que </w:t>
      </w:r>
      <w:r w:rsidR="00B65CAA" w:rsidRPr="00707B68">
        <w:rPr>
          <w:rFonts w:asciiTheme="majorHAnsi" w:hAnsiTheme="majorHAnsi"/>
          <w:sz w:val="20"/>
          <w:szCs w:val="20"/>
          <w:lang w:val="es-CL"/>
        </w:rPr>
        <w:t>el Estado solicitó suspender las medidas cautelares el 12 de mayo d</w:t>
      </w:r>
      <w:r w:rsidRPr="00707B68">
        <w:rPr>
          <w:rFonts w:asciiTheme="majorHAnsi" w:hAnsiTheme="majorHAnsi"/>
          <w:sz w:val="20"/>
          <w:szCs w:val="20"/>
          <w:lang w:val="es-CL"/>
        </w:rPr>
        <w:t>e 1998, sin embargo, esta solicitud no fue atendida por la CIDH</w:t>
      </w:r>
      <w:r w:rsidR="001E5C51" w:rsidRPr="00707B68">
        <w:rPr>
          <w:rFonts w:asciiTheme="majorHAnsi" w:hAnsiTheme="majorHAnsi"/>
          <w:sz w:val="20"/>
          <w:szCs w:val="20"/>
          <w:lang w:val="es-CL"/>
        </w:rPr>
        <w:t>.</w:t>
      </w:r>
    </w:p>
    <w:p w14:paraId="6EF751E3" w14:textId="77777777" w:rsidR="00975332" w:rsidRPr="00707B68" w:rsidRDefault="00975332" w:rsidP="00490654">
      <w:pPr>
        <w:tabs>
          <w:tab w:val="left" w:pos="360"/>
        </w:tabs>
        <w:rPr>
          <w:rFonts w:asciiTheme="majorHAnsi" w:hAnsiTheme="majorHAnsi"/>
          <w:sz w:val="20"/>
          <w:szCs w:val="20"/>
        </w:rPr>
      </w:pPr>
    </w:p>
    <w:p w14:paraId="210D7172" w14:textId="77777777" w:rsidR="007A08B3" w:rsidRPr="00707B68" w:rsidRDefault="001E5C51" w:rsidP="0049065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lang w:val="es-CL"/>
        </w:rPr>
      </w:pPr>
      <w:r w:rsidRPr="00707B68">
        <w:rPr>
          <w:rFonts w:asciiTheme="majorHAnsi" w:hAnsiTheme="majorHAnsi"/>
          <w:sz w:val="20"/>
          <w:szCs w:val="20"/>
          <w:lang w:val="es-CL"/>
        </w:rPr>
        <w:t>En estos términos, si bien el expediente guarda silencio sobre el comportamiento del señor Zapata desde su regreso a Segovia hasta el día de su muerte para la determinación de si comu</w:t>
      </w:r>
      <w:r w:rsidR="00D66323" w:rsidRPr="00707B68">
        <w:rPr>
          <w:rFonts w:asciiTheme="majorHAnsi" w:hAnsiTheme="majorHAnsi"/>
          <w:sz w:val="20"/>
          <w:szCs w:val="20"/>
          <w:lang w:val="es-CL"/>
        </w:rPr>
        <w:t xml:space="preserve">nicó a las autoridades sobre su </w:t>
      </w:r>
      <w:r w:rsidRPr="00707B68">
        <w:rPr>
          <w:rFonts w:asciiTheme="majorHAnsi" w:hAnsiTheme="majorHAnsi"/>
          <w:sz w:val="20"/>
          <w:szCs w:val="20"/>
          <w:lang w:val="es-CL"/>
        </w:rPr>
        <w:t>situación de riesgo, en términos de los estándares sobre el deber de prevención, el contexto de Segovia</w:t>
      </w:r>
      <w:r w:rsidR="00BC77B7" w:rsidRPr="00707B68">
        <w:rPr>
          <w:rFonts w:asciiTheme="majorHAnsi" w:hAnsiTheme="majorHAnsi"/>
          <w:sz w:val="20"/>
          <w:szCs w:val="20"/>
          <w:lang w:val="es-CL"/>
        </w:rPr>
        <w:t xml:space="preserve"> y su calidad de defensor de derechos humanos</w:t>
      </w:r>
      <w:r w:rsidRPr="00707B68">
        <w:rPr>
          <w:rFonts w:asciiTheme="majorHAnsi" w:hAnsiTheme="majorHAnsi"/>
          <w:sz w:val="20"/>
          <w:szCs w:val="20"/>
          <w:lang w:val="es-CL"/>
        </w:rPr>
        <w:t xml:space="preserve">, sumado a las medidas cautelares otorgadas en su favor, permiten concluir que el Estado debía saber que </w:t>
      </w:r>
      <w:r w:rsidR="00D66323" w:rsidRPr="00707B68">
        <w:rPr>
          <w:rFonts w:asciiTheme="majorHAnsi" w:hAnsiTheme="majorHAnsi"/>
          <w:sz w:val="20"/>
          <w:szCs w:val="20"/>
          <w:lang w:val="es-CL"/>
        </w:rPr>
        <w:t xml:space="preserve">este </w:t>
      </w:r>
      <w:r w:rsidRPr="00707B68">
        <w:rPr>
          <w:rFonts w:asciiTheme="majorHAnsi" w:hAnsiTheme="majorHAnsi"/>
          <w:sz w:val="20"/>
          <w:szCs w:val="20"/>
          <w:lang w:val="es-CL"/>
        </w:rPr>
        <w:t xml:space="preserve">se encontraban en un peligro real e </w:t>
      </w:r>
      <w:r w:rsidR="00AB3A35" w:rsidRPr="00707B68">
        <w:rPr>
          <w:rFonts w:asciiTheme="majorHAnsi" w:hAnsiTheme="majorHAnsi"/>
          <w:sz w:val="20"/>
          <w:szCs w:val="20"/>
          <w:lang w:val="es-CL"/>
        </w:rPr>
        <w:t>inmediato</w:t>
      </w:r>
      <w:r w:rsidR="00D66323" w:rsidRPr="00707B68">
        <w:rPr>
          <w:rFonts w:asciiTheme="majorHAnsi" w:hAnsiTheme="majorHAnsi"/>
          <w:sz w:val="20"/>
          <w:szCs w:val="20"/>
          <w:lang w:val="es-CL"/>
        </w:rPr>
        <w:t xml:space="preserve"> y debía adoptar las </w:t>
      </w:r>
      <w:r w:rsidR="00D66323" w:rsidRPr="00707B68">
        <w:rPr>
          <w:rFonts w:asciiTheme="majorHAnsi" w:hAnsiTheme="majorHAnsi"/>
          <w:sz w:val="20"/>
          <w:szCs w:val="20"/>
          <w:lang w:val="es-CL"/>
        </w:rPr>
        <w:lastRenderedPageBreak/>
        <w:t>medidas necesarias para su protección</w:t>
      </w:r>
      <w:r w:rsidRPr="00707B68">
        <w:rPr>
          <w:rFonts w:asciiTheme="majorHAnsi" w:hAnsiTheme="majorHAnsi"/>
          <w:sz w:val="20"/>
          <w:szCs w:val="20"/>
          <w:lang w:val="es-CL"/>
        </w:rPr>
        <w:t xml:space="preserve">. Pese a ello, la última comunicación oficial sobre la situación de seguridad del señor Zapata es del 12 de mayo de 1998, lo que no es consistente con su obligación </w:t>
      </w:r>
      <w:r w:rsidR="00533D32" w:rsidRPr="00707B68">
        <w:rPr>
          <w:rFonts w:asciiTheme="majorHAnsi" w:hAnsiTheme="majorHAnsi"/>
          <w:sz w:val="20"/>
          <w:szCs w:val="20"/>
          <w:lang w:val="es-CL"/>
        </w:rPr>
        <w:t xml:space="preserve">de prevenir violaciones del derecho a la vida. </w:t>
      </w:r>
    </w:p>
    <w:p w14:paraId="1BC5F643" w14:textId="77777777" w:rsidR="007A08B3" w:rsidRPr="00707B68" w:rsidRDefault="007A08B3" w:rsidP="0049065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jc w:val="both"/>
        <w:rPr>
          <w:rFonts w:asciiTheme="majorHAnsi" w:hAnsiTheme="majorHAnsi"/>
          <w:sz w:val="20"/>
          <w:szCs w:val="20"/>
          <w:lang w:val="es-CL"/>
        </w:rPr>
      </w:pPr>
    </w:p>
    <w:p w14:paraId="148525A2" w14:textId="09FEB58D" w:rsidR="00531A33" w:rsidRPr="00707B68" w:rsidRDefault="003B1CDA" w:rsidP="0049065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lang w:val="es-CL"/>
        </w:rPr>
      </w:pPr>
      <w:r w:rsidRPr="00707B68">
        <w:rPr>
          <w:rFonts w:asciiTheme="majorHAnsi" w:hAnsiTheme="majorHAnsi"/>
          <w:sz w:val="20"/>
          <w:szCs w:val="20"/>
          <w:lang w:val="es-CL"/>
        </w:rPr>
        <w:t xml:space="preserve">En consecuencia, la </w:t>
      </w:r>
      <w:r w:rsidR="007A08B3" w:rsidRPr="00707B68">
        <w:rPr>
          <w:rFonts w:asciiTheme="majorHAnsi" w:hAnsiTheme="majorHAnsi"/>
          <w:sz w:val="20"/>
          <w:szCs w:val="20"/>
          <w:lang w:val="es-CL"/>
        </w:rPr>
        <w:t xml:space="preserve">Comisión concluye que el Estado </w:t>
      </w:r>
      <w:r w:rsidR="001E5C51" w:rsidRPr="00707B68">
        <w:rPr>
          <w:rFonts w:asciiTheme="majorHAnsi" w:hAnsiTheme="majorHAnsi"/>
          <w:sz w:val="20"/>
          <w:szCs w:val="20"/>
          <w:lang w:val="es-CL"/>
        </w:rPr>
        <w:t xml:space="preserve">de Colombia </w:t>
      </w:r>
      <w:r w:rsidR="007A08B3" w:rsidRPr="00707B68">
        <w:rPr>
          <w:rFonts w:asciiTheme="majorHAnsi" w:hAnsiTheme="majorHAnsi"/>
          <w:sz w:val="20"/>
          <w:szCs w:val="20"/>
          <w:lang w:val="es-CL"/>
        </w:rPr>
        <w:t xml:space="preserve">es responsable por </w:t>
      </w:r>
      <w:r w:rsidR="001E5C51" w:rsidRPr="00707B68">
        <w:rPr>
          <w:rFonts w:asciiTheme="majorHAnsi" w:hAnsiTheme="majorHAnsi"/>
          <w:sz w:val="20"/>
          <w:szCs w:val="20"/>
          <w:lang w:val="es-CL"/>
        </w:rPr>
        <w:t xml:space="preserve">la falta de prevención de </w:t>
      </w:r>
      <w:r w:rsidR="007A08B3" w:rsidRPr="00707B68">
        <w:rPr>
          <w:rFonts w:asciiTheme="majorHAnsi" w:hAnsiTheme="majorHAnsi"/>
          <w:sz w:val="20"/>
          <w:szCs w:val="20"/>
          <w:lang w:val="es-CL"/>
        </w:rPr>
        <w:t>la violación de</w:t>
      </w:r>
      <w:r w:rsidR="00322BF7" w:rsidRPr="00707B68">
        <w:rPr>
          <w:rFonts w:asciiTheme="majorHAnsi" w:hAnsiTheme="majorHAnsi"/>
          <w:sz w:val="20"/>
          <w:szCs w:val="20"/>
          <w:lang w:val="es-CL"/>
        </w:rPr>
        <w:t>l</w:t>
      </w:r>
      <w:r w:rsidR="00531A33" w:rsidRPr="00707B68">
        <w:rPr>
          <w:rFonts w:asciiTheme="majorHAnsi" w:hAnsiTheme="majorHAnsi"/>
          <w:sz w:val="20"/>
          <w:szCs w:val="20"/>
          <w:lang w:val="es-CL"/>
        </w:rPr>
        <w:t xml:space="preserve"> derecho</w:t>
      </w:r>
      <w:r w:rsidR="007A08B3" w:rsidRPr="00707B68">
        <w:rPr>
          <w:rFonts w:asciiTheme="majorHAnsi" w:hAnsiTheme="majorHAnsi"/>
          <w:sz w:val="20"/>
          <w:szCs w:val="20"/>
          <w:lang w:val="es-CL"/>
        </w:rPr>
        <w:t xml:space="preserve"> </w:t>
      </w:r>
      <w:r w:rsidR="00322BF7" w:rsidRPr="00707B68">
        <w:rPr>
          <w:rFonts w:asciiTheme="majorHAnsi" w:hAnsiTheme="majorHAnsi"/>
          <w:sz w:val="20"/>
          <w:szCs w:val="20"/>
          <w:lang w:val="es-CL"/>
        </w:rPr>
        <w:t xml:space="preserve">a la vida </w:t>
      </w:r>
      <w:r w:rsidR="00531A33" w:rsidRPr="00707B68">
        <w:rPr>
          <w:rFonts w:asciiTheme="majorHAnsi" w:hAnsiTheme="majorHAnsi"/>
          <w:sz w:val="20"/>
          <w:szCs w:val="20"/>
          <w:lang w:val="es-CL"/>
        </w:rPr>
        <w:t>establecido</w:t>
      </w:r>
      <w:r w:rsidR="007A08B3" w:rsidRPr="00707B68">
        <w:rPr>
          <w:rFonts w:asciiTheme="majorHAnsi" w:hAnsiTheme="majorHAnsi"/>
          <w:sz w:val="20"/>
          <w:szCs w:val="20"/>
          <w:lang w:val="es-CL"/>
        </w:rPr>
        <w:t xml:space="preserve"> en </w:t>
      </w:r>
      <w:r w:rsidR="00322BF7" w:rsidRPr="00707B68">
        <w:rPr>
          <w:rFonts w:asciiTheme="majorHAnsi" w:hAnsiTheme="majorHAnsi"/>
          <w:sz w:val="20"/>
          <w:szCs w:val="20"/>
          <w:lang w:val="es-CL"/>
        </w:rPr>
        <w:t xml:space="preserve">el </w:t>
      </w:r>
      <w:r w:rsidR="007A08B3" w:rsidRPr="00707B68">
        <w:rPr>
          <w:rFonts w:asciiTheme="majorHAnsi" w:hAnsiTheme="majorHAnsi"/>
          <w:sz w:val="20"/>
          <w:szCs w:val="20"/>
          <w:lang w:val="es-CL"/>
        </w:rPr>
        <w:t xml:space="preserve">artículo </w:t>
      </w:r>
      <w:r w:rsidR="00322BF7" w:rsidRPr="00707B68">
        <w:rPr>
          <w:rFonts w:asciiTheme="majorHAnsi" w:hAnsiTheme="majorHAnsi"/>
          <w:sz w:val="20"/>
          <w:szCs w:val="20"/>
          <w:lang w:val="es-CL"/>
        </w:rPr>
        <w:t>4</w:t>
      </w:r>
      <w:r w:rsidR="007A08B3" w:rsidRPr="00707B68">
        <w:rPr>
          <w:rFonts w:asciiTheme="majorHAnsi" w:hAnsiTheme="majorHAnsi"/>
          <w:sz w:val="20"/>
          <w:szCs w:val="20"/>
          <w:lang w:val="es-CL"/>
        </w:rPr>
        <w:t xml:space="preserve"> de la Convención Americana, en relación con </w:t>
      </w:r>
      <w:r w:rsidR="00322BF7" w:rsidRPr="00707B68">
        <w:rPr>
          <w:rFonts w:asciiTheme="majorHAnsi" w:hAnsiTheme="majorHAnsi"/>
          <w:sz w:val="20"/>
          <w:szCs w:val="20"/>
          <w:lang w:val="es-CL"/>
        </w:rPr>
        <w:t>su obligaci</w:t>
      </w:r>
      <w:r w:rsidR="00D66323" w:rsidRPr="00707B68">
        <w:rPr>
          <w:rFonts w:asciiTheme="majorHAnsi" w:hAnsiTheme="majorHAnsi"/>
          <w:sz w:val="20"/>
          <w:szCs w:val="20"/>
          <w:lang w:val="es-CL"/>
        </w:rPr>
        <w:t>ón de</w:t>
      </w:r>
      <w:r w:rsidR="00322BF7" w:rsidRPr="00707B68">
        <w:rPr>
          <w:rFonts w:asciiTheme="majorHAnsi" w:hAnsiTheme="majorHAnsi"/>
          <w:sz w:val="20"/>
          <w:szCs w:val="20"/>
          <w:lang w:val="es-CL"/>
        </w:rPr>
        <w:t xml:space="preserve"> garantía </w:t>
      </w:r>
      <w:r w:rsidR="00531A33" w:rsidRPr="00707B68">
        <w:rPr>
          <w:rFonts w:asciiTheme="majorHAnsi" w:hAnsiTheme="majorHAnsi"/>
          <w:sz w:val="20"/>
          <w:szCs w:val="20"/>
          <w:lang w:val="es-CL"/>
        </w:rPr>
        <w:t xml:space="preserve">establecida en </w:t>
      </w:r>
      <w:r w:rsidR="007A08B3" w:rsidRPr="00707B68">
        <w:rPr>
          <w:rFonts w:asciiTheme="majorHAnsi" w:hAnsiTheme="majorHAnsi"/>
          <w:sz w:val="20"/>
          <w:szCs w:val="20"/>
          <w:lang w:val="es-CL"/>
        </w:rPr>
        <w:t>el</w:t>
      </w:r>
      <w:r w:rsidR="00531A33" w:rsidRPr="00707B68">
        <w:rPr>
          <w:rFonts w:asciiTheme="majorHAnsi" w:hAnsiTheme="majorHAnsi"/>
          <w:sz w:val="20"/>
          <w:szCs w:val="20"/>
          <w:lang w:val="es-CL"/>
        </w:rPr>
        <w:t xml:space="preserve"> artí</w:t>
      </w:r>
      <w:r w:rsidR="007A08B3" w:rsidRPr="00707B68">
        <w:rPr>
          <w:rFonts w:asciiTheme="majorHAnsi" w:hAnsiTheme="majorHAnsi"/>
          <w:sz w:val="20"/>
          <w:szCs w:val="20"/>
          <w:lang w:val="es-CL"/>
        </w:rPr>
        <w:t xml:space="preserve">culo 1.1 del mismo instrumento, </w:t>
      </w:r>
      <w:r w:rsidR="00531A33" w:rsidRPr="00707B68">
        <w:rPr>
          <w:rFonts w:asciiTheme="majorHAnsi" w:hAnsiTheme="majorHAnsi"/>
          <w:sz w:val="20"/>
          <w:szCs w:val="20"/>
          <w:lang w:val="es-CL"/>
        </w:rPr>
        <w:t>por la muerte de Jesús Ramiro Zapata.</w:t>
      </w:r>
      <w:r w:rsidR="00D60E31" w:rsidRPr="00707B68">
        <w:rPr>
          <w:rFonts w:asciiTheme="majorHAnsi" w:hAnsiTheme="majorHAnsi"/>
          <w:sz w:val="20"/>
          <w:szCs w:val="20"/>
          <w:lang w:val="es-CL"/>
        </w:rPr>
        <w:t xml:space="preserve"> Asimismo, la Comisión declara que</w:t>
      </w:r>
      <w:r w:rsidR="00D1282D" w:rsidRPr="00707B68">
        <w:rPr>
          <w:rFonts w:asciiTheme="majorHAnsi" w:hAnsiTheme="majorHAnsi"/>
          <w:sz w:val="20"/>
          <w:szCs w:val="20"/>
          <w:lang w:val="es-CL"/>
        </w:rPr>
        <w:t xml:space="preserve"> el análisis de</w:t>
      </w:r>
      <w:r w:rsidR="00D60E31" w:rsidRPr="00707B68">
        <w:rPr>
          <w:rFonts w:asciiTheme="majorHAnsi" w:hAnsiTheme="majorHAnsi"/>
          <w:sz w:val="20"/>
          <w:szCs w:val="20"/>
          <w:lang w:val="es-CL"/>
        </w:rPr>
        <w:t xml:space="preserve"> los alegatos relacionados al derecho a la seguridad personal </w:t>
      </w:r>
      <w:r w:rsidR="00D1282D" w:rsidRPr="00707B68">
        <w:rPr>
          <w:rFonts w:asciiTheme="majorHAnsi" w:hAnsiTheme="majorHAnsi"/>
          <w:sz w:val="20"/>
          <w:szCs w:val="20"/>
          <w:lang w:val="es-CL"/>
        </w:rPr>
        <w:t>(artículo 7.1</w:t>
      </w:r>
      <w:r w:rsidR="000C15F3" w:rsidRPr="00707B68">
        <w:rPr>
          <w:rFonts w:asciiTheme="majorHAnsi" w:hAnsiTheme="majorHAnsi"/>
          <w:sz w:val="20"/>
          <w:szCs w:val="20"/>
          <w:lang w:val="es-CL"/>
        </w:rPr>
        <w:t xml:space="preserve"> de la Convención Americana</w:t>
      </w:r>
      <w:r w:rsidR="00D1282D" w:rsidRPr="00707B68">
        <w:rPr>
          <w:rFonts w:asciiTheme="majorHAnsi" w:hAnsiTheme="majorHAnsi"/>
          <w:sz w:val="20"/>
          <w:szCs w:val="20"/>
          <w:lang w:val="es-CL"/>
        </w:rPr>
        <w:t>) por la falta de adopción de medidas para la protección del señor Zapata fue subsumido en el análisis de prevención, por lo que no se pronunciará al respecto.</w:t>
      </w:r>
    </w:p>
    <w:p w14:paraId="530181A8" w14:textId="77777777" w:rsidR="007A08B3" w:rsidRPr="00707B68" w:rsidRDefault="007A08B3" w:rsidP="0049065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jc w:val="both"/>
        <w:rPr>
          <w:rFonts w:asciiTheme="majorHAnsi" w:hAnsiTheme="majorHAnsi"/>
          <w:color w:val="FF0000"/>
          <w:sz w:val="20"/>
          <w:szCs w:val="20"/>
          <w:lang w:val="es-CL"/>
        </w:rPr>
      </w:pPr>
    </w:p>
    <w:p w14:paraId="7BD7E0A5" w14:textId="2B2C3189" w:rsidR="00BC77B7" w:rsidRPr="00707B68" w:rsidRDefault="007A08B3" w:rsidP="00147351">
      <w:pPr>
        <w:pStyle w:val="Heading2"/>
        <w:numPr>
          <w:ilvl w:val="0"/>
          <w:numId w:val="57"/>
        </w:numPr>
      </w:pPr>
      <w:bookmarkStart w:id="13" w:name="_Toc456358865"/>
      <w:r w:rsidRPr="00707B68">
        <w:t xml:space="preserve">Derechos a </w:t>
      </w:r>
      <w:r w:rsidR="00DB69B2" w:rsidRPr="00707B68">
        <w:t>la integridad</w:t>
      </w:r>
      <w:r w:rsidR="008D04F1" w:rsidRPr="00707B68">
        <w:t xml:space="preserve"> personal</w:t>
      </w:r>
      <w:r w:rsidR="00DB69B2" w:rsidRPr="00707B68">
        <w:t xml:space="preserve">, </w:t>
      </w:r>
      <w:r w:rsidR="008D04F1" w:rsidRPr="00707B68">
        <w:t xml:space="preserve">honra y dignidad, libertad de expresión, asociación, </w:t>
      </w:r>
      <w:r w:rsidR="00E7553A" w:rsidRPr="00707B68">
        <w:t xml:space="preserve">y </w:t>
      </w:r>
      <w:r w:rsidR="00BC77B7" w:rsidRPr="00707B68">
        <w:t>circulación y residencia</w:t>
      </w:r>
      <w:r w:rsidRPr="00707B68">
        <w:t xml:space="preserve"> (artículo</w:t>
      </w:r>
      <w:r w:rsidR="00BC77B7" w:rsidRPr="00707B68">
        <w:t>s 5.1</w:t>
      </w:r>
      <w:r w:rsidR="00BC77B7" w:rsidRPr="00707B68">
        <w:rPr>
          <w:rStyle w:val="FootnoteReference"/>
          <w:rFonts w:asciiTheme="majorHAnsi" w:hAnsiTheme="majorHAnsi"/>
          <w:szCs w:val="20"/>
          <w:lang w:val="es-ES"/>
        </w:rPr>
        <w:footnoteReference w:id="123"/>
      </w:r>
      <w:r w:rsidR="00BC77B7" w:rsidRPr="00707B68">
        <w:t xml:space="preserve">, </w:t>
      </w:r>
      <w:r w:rsidR="00C479A3" w:rsidRPr="00707B68">
        <w:t>11.1</w:t>
      </w:r>
      <w:r w:rsidR="00C479A3" w:rsidRPr="00707B68">
        <w:rPr>
          <w:rStyle w:val="FootnoteReference"/>
          <w:rFonts w:asciiTheme="majorHAnsi" w:hAnsiTheme="majorHAnsi"/>
        </w:rPr>
        <w:footnoteReference w:id="124"/>
      </w:r>
      <w:r w:rsidR="00D57E5E" w:rsidRPr="00707B68">
        <w:t xml:space="preserve">, </w:t>
      </w:r>
      <w:r w:rsidR="00E7553A" w:rsidRPr="00707B68">
        <w:rPr>
          <w:lang w:val="es-ES"/>
        </w:rPr>
        <w:t>13.1</w:t>
      </w:r>
      <w:r w:rsidR="00E7553A" w:rsidRPr="00707B68">
        <w:rPr>
          <w:rStyle w:val="FootnoteReference"/>
          <w:rFonts w:asciiTheme="majorHAnsi" w:hAnsiTheme="majorHAnsi" w:cs="Tahoma"/>
        </w:rPr>
        <w:footnoteReference w:id="125"/>
      </w:r>
      <w:r w:rsidR="00E7553A" w:rsidRPr="00707B68">
        <w:rPr>
          <w:lang w:val="es-ES"/>
        </w:rPr>
        <w:t>, 16.1</w:t>
      </w:r>
      <w:r w:rsidR="00E7553A" w:rsidRPr="00707B68">
        <w:rPr>
          <w:rStyle w:val="FootnoteReference"/>
          <w:rFonts w:asciiTheme="majorHAnsi" w:hAnsiTheme="majorHAnsi" w:cs="Tahoma"/>
        </w:rPr>
        <w:footnoteReference w:id="126"/>
      </w:r>
      <w:r w:rsidR="00D57E5E" w:rsidRPr="00707B68">
        <w:rPr>
          <w:lang w:val="es-ES"/>
        </w:rPr>
        <w:t xml:space="preserve"> </w:t>
      </w:r>
      <w:r w:rsidR="00BC77B7" w:rsidRPr="00707B68">
        <w:t>y 22.1</w:t>
      </w:r>
      <w:r w:rsidR="00BC77B7" w:rsidRPr="00707B68">
        <w:rPr>
          <w:rStyle w:val="FootnoteReference"/>
          <w:rFonts w:asciiTheme="majorHAnsi" w:hAnsiTheme="majorHAnsi"/>
          <w:szCs w:val="20"/>
          <w:lang w:val="es-ES"/>
        </w:rPr>
        <w:footnoteReference w:id="127"/>
      </w:r>
      <w:r w:rsidR="00025AD3" w:rsidRPr="00707B68">
        <w:t xml:space="preserve"> de la Convención Americana </w:t>
      </w:r>
      <w:r w:rsidRPr="00707B68">
        <w:t xml:space="preserve">en relación con el artículo 1.1 </w:t>
      </w:r>
      <w:r w:rsidR="00025AD3" w:rsidRPr="00707B68">
        <w:t>del mismo instrumento)</w:t>
      </w:r>
      <w:bookmarkEnd w:id="13"/>
    </w:p>
    <w:p w14:paraId="23D2193F" w14:textId="77777777" w:rsidR="008569ED" w:rsidRPr="00707B68" w:rsidRDefault="008569ED" w:rsidP="008D2B0D">
      <w:pPr>
        <w:jc w:val="both"/>
        <w:rPr>
          <w:rFonts w:asciiTheme="majorHAnsi" w:hAnsiTheme="majorHAnsi"/>
          <w:sz w:val="20"/>
          <w:szCs w:val="20"/>
        </w:rPr>
      </w:pPr>
    </w:p>
    <w:p w14:paraId="4E1F50BD" w14:textId="7E8B62E7" w:rsidR="00E7553A" w:rsidRPr="00707B68" w:rsidRDefault="00283D01" w:rsidP="008D2B0D">
      <w:pPr>
        <w:pStyle w:val="Heading3"/>
        <w:numPr>
          <w:ilvl w:val="0"/>
          <w:numId w:val="62"/>
        </w:numPr>
        <w:tabs>
          <w:tab w:val="left" w:pos="360"/>
        </w:tabs>
        <w:jc w:val="both"/>
        <w:rPr>
          <w:szCs w:val="20"/>
          <w:lang w:val="es-ES"/>
        </w:rPr>
      </w:pPr>
      <w:r w:rsidRPr="00707B68">
        <w:rPr>
          <w:szCs w:val="20"/>
          <w:lang w:val="es-ES"/>
        </w:rPr>
        <w:t>Consideraciones generales</w:t>
      </w:r>
    </w:p>
    <w:p w14:paraId="22694E1C" w14:textId="77777777" w:rsidR="00E7553A" w:rsidRPr="00707B68" w:rsidRDefault="00E7553A" w:rsidP="008D2B0D">
      <w:pPr>
        <w:rPr>
          <w:rFonts w:asciiTheme="majorHAnsi" w:hAnsiTheme="majorHAnsi"/>
          <w:sz w:val="20"/>
          <w:szCs w:val="20"/>
          <w:lang w:val="es-ES"/>
        </w:rPr>
      </w:pPr>
    </w:p>
    <w:p w14:paraId="57F2FDCC" w14:textId="47CF29E5" w:rsidR="008D2B0D" w:rsidRPr="00707B68" w:rsidRDefault="003B1CDA" w:rsidP="008D2B0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rPr>
      </w:pPr>
      <w:r w:rsidRPr="00707B68">
        <w:rPr>
          <w:rFonts w:asciiTheme="majorHAnsi" w:hAnsiTheme="majorHAnsi"/>
          <w:sz w:val="20"/>
          <w:szCs w:val="20"/>
          <w:lang w:val="es-CL"/>
        </w:rPr>
        <w:t>L</w:t>
      </w:r>
      <w:r w:rsidR="000C0081" w:rsidRPr="00707B68">
        <w:rPr>
          <w:rFonts w:asciiTheme="majorHAnsi" w:hAnsiTheme="majorHAnsi"/>
          <w:sz w:val="20"/>
          <w:szCs w:val="20"/>
        </w:rPr>
        <w:t>a Comisión Interamericana ha establecido que las personas defensoras “enfrentan una serie de obstáculos para el ejercicio de sus actividades de promoción y defensa de los derechos humanos”</w:t>
      </w:r>
      <w:r w:rsidR="00DB3CAE" w:rsidRPr="00707B68">
        <w:rPr>
          <w:rFonts w:asciiTheme="majorHAnsi" w:hAnsiTheme="majorHAnsi"/>
          <w:sz w:val="20"/>
          <w:szCs w:val="20"/>
        </w:rPr>
        <w:t xml:space="preserve"> y ha reconocido con preocupación la ocurrencia de</w:t>
      </w:r>
      <w:r w:rsidR="006F2359" w:rsidRPr="00707B68">
        <w:rPr>
          <w:rFonts w:asciiTheme="majorHAnsi" w:hAnsiTheme="majorHAnsi"/>
          <w:sz w:val="20"/>
          <w:szCs w:val="20"/>
        </w:rPr>
        <w:t xml:space="preserve"> “una creciente sofisticación de las acciones dirigidas a impedir, obstaculizar, o desmotivar la labor de defensa de derechos humanos”</w:t>
      </w:r>
      <w:r w:rsidR="00DB3CAE" w:rsidRPr="00707B68">
        <w:rPr>
          <w:rStyle w:val="FootnoteReference"/>
          <w:rFonts w:asciiTheme="majorHAnsi" w:hAnsiTheme="majorHAnsi"/>
          <w:sz w:val="20"/>
          <w:szCs w:val="20"/>
        </w:rPr>
        <w:footnoteReference w:id="128"/>
      </w:r>
      <w:r w:rsidR="000C0081" w:rsidRPr="00707B68">
        <w:rPr>
          <w:rFonts w:asciiTheme="majorHAnsi" w:hAnsiTheme="majorHAnsi"/>
          <w:sz w:val="20"/>
          <w:szCs w:val="20"/>
        </w:rPr>
        <w:t>.</w:t>
      </w:r>
    </w:p>
    <w:p w14:paraId="25E5AC5A" w14:textId="77777777" w:rsidR="008D2B0D" w:rsidRPr="00707B68" w:rsidRDefault="008D2B0D" w:rsidP="008D2B0D">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jc w:val="both"/>
        <w:rPr>
          <w:rFonts w:asciiTheme="majorHAnsi" w:hAnsiTheme="majorHAnsi"/>
          <w:sz w:val="20"/>
          <w:szCs w:val="20"/>
        </w:rPr>
      </w:pPr>
    </w:p>
    <w:p w14:paraId="60109246" w14:textId="718700BE" w:rsidR="008D2B0D" w:rsidRPr="00707B68" w:rsidRDefault="00105D36" w:rsidP="008D2B0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ind w:left="0" w:firstLine="0"/>
        <w:jc w:val="both"/>
        <w:rPr>
          <w:rFonts w:asciiTheme="majorHAnsi" w:hAnsiTheme="majorHAnsi"/>
          <w:sz w:val="20"/>
          <w:szCs w:val="20"/>
        </w:rPr>
      </w:pPr>
      <w:r w:rsidRPr="00707B68">
        <w:rPr>
          <w:rFonts w:asciiTheme="majorHAnsi" w:hAnsiTheme="majorHAnsi"/>
          <w:sz w:val="20"/>
          <w:szCs w:val="20"/>
        </w:rPr>
        <w:t>L</w:t>
      </w:r>
      <w:r w:rsidR="003159CC" w:rsidRPr="00707B68">
        <w:rPr>
          <w:rFonts w:asciiTheme="majorHAnsi" w:hAnsiTheme="majorHAnsi"/>
          <w:sz w:val="20"/>
          <w:szCs w:val="20"/>
        </w:rPr>
        <w:t xml:space="preserve">a CIDH ha encontrado </w:t>
      </w:r>
      <w:r w:rsidR="00A04E95" w:rsidRPr="00707B68">
        <w:rPr>
          <w:rFonts w:asciiTheme="majorHAnsi" w:hAnsiTheme="majorHAnsi"/>
          <w:sz w:val="20"/>
          <w:szCs w:val="20"/>
        </w:rPr>
        <w:t xml:space="preserve">que </w:t>
      </w:r>
      <w:r w:rsidR="003159CC" w:rsidRPr="00707B68">
        <w:rPr>
          <w:rFonts w:asciiTheme="majorHAnsi" w:hAnsiTheme="majorHAnsi"/>
          <w:sz w:val="20"/>
          <w:szCs w:val="20"/>
        </w:rPr>
        <w:t xml:space="preserve">los diferentes mecanismos para el entorpecimiento e interrupción de la labor de defensa de los derechos humanos puede impactar una multiplicidad de derechos humanos reconocidos </w:t>
      </w:r>
      <w:r w:rsidR="003B1CDA" w:rsidRPr="00707B68">
        <w:rPr>
          <w:rFonts w:asciiTheme="majorHAnsi" w:hAnsiTheme="majorHAnsi"/>
          <w:sz w:val="20"/>
          <w:szCs w:val="20"/>
        </w:rPr>
        <w:t>en la Convención Americana</w:t>
      </w:r>
      <w:r w:rsidR="00C04396" w:rsidRPr="00707B68">
        <w:rPr>
          <w:rFonts w:asciiTheme="majorHAnsi" w:hAnsiTheme="majorHAnsi"/>
          <w:sz w:val="20"/>
          <w:szCs w:val="20"/>
        </w:rPr>
        <w:t>.</w:t>
      </w:r>
      <w:r w:rsidR="00822580" w:rsidRPr="00707B68">
        <w:rPr>
          <w:rFonts w:asciiTheme="majorHAnsi" w:hAnsiTheme="majorHAnsi"/>
          <w:sz w:val="20"/>
          <w:szCs w:val="20"/>
        </w:rPr>
        <w:t xml:space="preserve"> Entre los derechos que, en su conjunto, permiten un ejercicio libre de las actividades de defensa y promoción de los derechos humanos, la CIDH ha señalado que se encuentran el derecho a la vida, a la integridad personal, la libertad de expresión, a la reunión, a la asociación, a las garantías judiciales y protección judicial, entre otros</w:t>
      </w:r>
      <w:r w:rsidR="00822580" w:rsidRPr="00707B68">
        <w:rPr>
          <w:rStyle w:val="FootnoteReference"/>
          <w:rFonts w:asciiTheme="majorHAnsi" w:hAnsiTheme="majorHAnsi"/>
          <w:sz w:val="20"/>
          <w:szCs w:val="20"/>
        </w:rPr>
        <w:footnoteReference w:id="129"/>
      </w:r>
      <w:r w:rsidR="00822580" w:rsidRPr="00707B68">
        <w:rPr>
          <w:rFonts w:asciiTheme="majorHAnsi" w:hAnsiTheme="majorHAnsi"/>
          <w:sz w:val="20"/>
          <w:szCs w:val="20"/>
        </w:rPr>
        <w:t>. Por lo tanto, la Comisión ha sostenido que tales derechos, en su conjunto, permiten un ejercicio libre de las actividades de defensa y promoción de los derechos humanos. Es por ello, que una afectación a una persona defensora en represalia a sus actividades puede conllevar la violación de tales derechos</w:t>
      </w:r>
      <w:r w:rsidR="00822580" w:rsidRPr="00707B68">
        <w:rPr>
          <w:rStyle w:val="FootnoteReference"/>
          <w:rFonts w:asciiTheme="majorHAnsi" w:hAnsiTheme="majorHAnsi"/>
          <w:sz w:val="20"/>
          <w:szCs w:val="20"/>
        </w:rPr>
        <w:footnoteReference w:id="130"/>
      </w:r>
      <w:r w:rsidR="00822580" w:rsidRPr="00707B68">
        <w:rPr>
          <w:rFonts w:asciiTheme="majorHAnsi" w:hAnsiTheme="majorHAnsi"/>
          <w:sz w:val="20"/>
          <w:szCs w:val="20"/>
        </w:rPr>
        <w:t>.</w:t>
      </w:r>
    </w:p>
    <w:p w14:paraId="008D62A3" w14:textId="77777777" w:rsidR="008D2B0D" w:rsidRPr="00707B68" w:rsidRDefault="008D2B0D" w:rsidP="008D2B0D">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s>
        <w:jc w:val="both"/>
        <w:rPr>
          <w:rFonts w:asciiTheme="majorHAnsi" w:hAnsiTheme="majorHAnsi"/>
          <w:sz w:val="20"/>
          <w:szCs w:val="20"/>
        </w:rPr>
      </w:pPr>
    </w:p>
    <w:p w14:paraId="52FDFCB9" w14:textId="77777777" w:rsidR="008D2B0D" w:rsidRPr="00707B68" w:rsidRDefault="00EF1A46" w:rsidP="008D2B0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450"/>
          <w:tab w:val="left" w:pos="1440"/>
        </w:tabs>
        <w:ind w:left="0" w:firstLine="0"/>
        <w:jc w:val="both"/>
        <w:rPr>
          <w:rFonts w:asciiTheme="majorHAnsi" w:hAnsiTheme="majorHAnsi"/>
          <w:sz w:val="20"/>
          <w:szCs w:val="20"/>
        </w:rPr>
      </w:pPr>
      <w:r w:rsidRPr="00707B68">
        <w:rPr>
          <w:rFonts w:asciiTheme="majorHAnsi" w:hAnsiTheme="majorHAnsi"/>
          <w:sz w:val="20"/>
          <w:szCs w:val="20"/>
        </w:rPr>
        <w:t xml:space="preserve">Por su lado, </w:t>
      </w:r>
      <w:r w:rsidR="00852516" w:rsidRPr="00707B68">
        <w:rPr>
          <w:rFonts w:asciiTheme="majorHAnsi" w:hAnsiTheme="majorHAnsi"/>
          <w:sz w:val="20"/>
          <w:szCs w:val="20"/>
        </w:rPr>
        <w:t xml:space="preserve">la </w:t>
      </w:r>
      <w:r w:rsidR="00822580" w:rsidRPr="00707B68">
        <w:rPr>
          <w:rFonts w:asciiTheme="majorHAnsi" w:hAnsiTheme="majorHAnsi"/>
          <w:sz w:val="20"/>
          <w:szCs w:val="20"/>
        </w:rPr>
        <w:t>Corte Interamericana</w:t>
      </w:r>
      <w:r w:rsidRPr="00707B68">
        <w:rPr>
          <w:rFonts w:asciiTheme="majorHAnsi" w:hAnsiTheme="majorHAnsi"/>
          <w:sz w:val="20"/>
          <w:szCs w:val="20"/>
        </w:rPr>
        <w:t xml:space="preserve"> ha señalado que “sin perjuicio de su reconocimiento, las normas interamericanas existentes hasta el momento no establecen un único derecho que garantice la labor de promoción y protección de los derechos humanos. Por el contrario, establecen componentes de múltiples derechos cuya garantía permite que se materialice la labor de las defensoras y defensores. Así, el derecho a defender derechos humanos y el deber correlativo de los Estados de protegerlo, guardan relación con el goce de varios derechos (…) como la vida, integridad personal, libertad de expresión, de asociación, garantías </w:t>
      </w:r>
      <w:r w:rsidRPr="00707B68">
        <w:rPr>
          <w:rFonts w:asciiTheme="majorHAnsi" w:hAnsiTheme="majorHAnsi"/>
          <w:sz w:val="20"/>
          <w:szCs w:val="20"/>
        </w:rPr>
        <w:lastRenderedPageBreak/>
        <w:t>judiciales y protección judicial”</w:t>
      </w:r>
      <w:r w:rsidRPr="00707B68">
        <w:rPr>
          <w:rStyle w:val="FootnoteReference"/>
          <w:rFonts w:asciiTheme="majorHAnsi" w:hAnsiTheme="majorHAnsi"/>
          <w:sz w:val="20"/>
          <w:szCs w:val="20"/>
        </w:rPr>
        <w:footnoteReference w:id="131"/>
      </w:r>
      <w:r w:rsidRPr="00707B68">
        <w:rPr>
          <w:rFonts w:asciiTheme="majorHAnsi" w:hAnsiTheme="majorHAnsi"/>
          <w:sz w:val="20"/>
          <w:szCs w:val="20"/>
        </w:rPr>
        <w:t xml:space="preserve">. Asimismo, la Corte se ha referido al temor que las violaciones de derechos humanos de una persona defensora </w:t>
      </w:r>
      <w:r w:rsidR="00946631" w:rsidRPr="00707B68">
        <w:rPr>
          <w:rFonts w:asciiTheme="majorHAnsi" w:hAnsiTheme="majorHAnsi"/>
          <w:sz w:val="20"/>
          <w:szCs w:val="20"/>
        </w:rPr>
        <w:t>puede infundir a otras personas</w:t>
      </w:r>
      <w:r w:rsidRPr="00707B68">
        <w:rPr>
          <w:rFonts w:asciiTheme="majorHAnsi" w:hAnsiTheme="majorHAnsi"/>
          <w:sz w:val="20"/>
          <w:szCs w:val="20"/>
        </w:rPr>
        <w:t xml:space="preserve"> defensor</w:t>
      </w:r>
      <w:r w:rsidR="00946631" w:rsidRPr="00707B68">
        <w:rPr>
          <w:rFonts w:asciiTheme="majorHAnsi" w:hAnsiTheme="majorHAnsi"/>
          <w:sz w:val="20"/>
          <w:szCs w:val="20"/>
        </w:rPr>
        <w:t>a</w:t>
      </w:r>
      <w:r w:rsidRPr="00707B68">
        <w:rPr>
          <w:rFonts w:asciiTheme="majorHAnsi" w:hAnsiTheme="majorHAnsi"/>
          <w:sz w:val="20"/>
          <w:szCs w:val="20"/>
        </w:rPr>
        <w:t>s</w:t>
      </w:r>
      <w:r w:rsidRPr="00707B68">
        <w:rPr>
          <w:rStyle w:val="FootnoteReference"/>
          <w:rFonts w:asciiTheme="majorHAnsi" w:hAnsiTheme="majorHAnsi"/>
          <w:sz w:val="20"/>
          <w:szCs w:val="20"/>
        </w:rPr>
        <w:footnoteReference w:id="132"/>
      </w:r>
      <w:r w:rsidRPr="00707B68">
        <w:rPr>
          <w:rFonts w:asciiTheme="majorHAnsi" w:hAnsiTheme="majorHAnsi"/>
          <w:sz w:val="20"/>
          <w:szCs w:val="20"/>
        </w:rPr>
        <w:t xml:space="preserve">. </w:t>
      </w:r>
    </w:p>
    <w:p w14:paraId="31AFC307" w14:textId="77777777" w:rsidR="008D2B0D" w:rsidRPr="00707B68" w:rsidRDefault="008D2B0D" w:rsidP="008D2B0D">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450"/>
          <w:tab w:val="left" w:pos="1440"/>
        </w:tabs>
        <w:jc w:val="both"/>
        <w:rPr>
          <w:rFonts w:asciiTheme="majorHAnsi" w:hAnsiTheme="majorHAnsi"/>
          <w:sz w:val="20"/>
          <w:szCs w:val="20"/>
        </w:rPr>
      </w:pPr>
    </w:p>
    <w:p w14:paraId="73CE551D" w14:textId="74D5306D" w:rsidR="005353B6" w:rsidRPr="00707B68" w:rsidRDefault="001D161B" w:rsidP="008D2B0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450"/>
          <w:tab w:val="left" w:pos="1440"/>
        </w:tabs>
        <w:ind w:left="0" w:firstLine="0"/>
        <w:jc w:val="both"/>
        <w:rPr>
          <w:rFonts w:asciiTheme="majorHAnsi" w:hAnsiTheme="majorHAnsi"/>
          <w:sz w:val="20"/>
          <w:szCs w:val="20"/>
        </w:rPr>
      </w:pPr>
      <w:r w:rsidRPr="00707B68">
        <w:rPr>
          <w:rFonts w:asciiTheme="majorHAnsi" w:hAnsiTheme="majorHAnsi"/>
          <w:sz w:val="20"/>
          <w:szCs w:val="20"/>
        </w:rPr>
        <w:t>Como correlato de lo anterior, l</w:t>
      </w:r>
      <w:r w:rsidR="00822580" w:rsidRPr="00707B68">
        <w:rPr>
          <w:rFonts w:asciiTheme="majorHAnsi" w:hAnsiTheme="majorHAnsi"/>
          <w:sz w:val="20"/>
          <w:szCs w:val="20"/>
        </w:rPr>
        <w:t xml:space="preserve">a Comisión </w:t>
      </w:r>
      <w:r w:rsidRPr="00707B68">
        <w:rPr>
          <w:rFonts w:asciiTheme="majorHAnsi" w:hAnsiTheme="majorHAnsi"/>
          <w:sz w:val="20"/>
          <w:szCs w:val="20"/>
        </w:rPr>
        <w:t xml:space="preserve">ha establecido </w:t>
      </w:r>
      <w:r w:rsidR="00822580" w:rsidRPr="00707B68">
        <w:rPr>
          <w:rFonts w:asciiTheme="majorHAnsi" w:hAnsiTheme="majorHAnsi"/>
          <w:sz w:val="20"/>
          <w:szCs w:val="20"/>
        </w:rPr>
        <w:t xml:space="preserve">que los Estados están obligados a desarrollar acciones positivas que se traduzcan en la supresión de ambientes hostiles o peligrosos frente a las labores </w:t>
      </w:r>
      <w:r w:rsidRPr="00707B68">
        <w:rPr>
          <w:rFonts w:asciiTheme="majorHAnsi" w:hAnsiTheme="majorHAnsi"/>
          <w:sz w:val="20"/>
          <w:szCs w:val="20"/>
        </w:rPr>
        <w:t>las personas defensoras</w:t>
      </w:r>
      <w:r w:rsidR="00822580" w:rsidRPr="00707B68">
        <w:rPr>
          <w:rFonts w:asciiTheme="majorHAnsi" w:hAnsiTheme="majorHAnsi"/>
          <w:sz w:val="20"/>
          <w:szCs w:val="20"/>
        </w:rPr>
        <w:t xml:space="preserve"> de derechos humanos</w:t>
      </w:r>
      <w:r w:rsidR="00822580" w:rsidRPr="00707B68">
        <w:rPr>
          <w:rStyle w:val="FootnoteReference"/>
          <w:rFonts w:asciiTheme="majorHAnsi" w:hAnsiTheme="majorHAnsi"/>
          <w:sz w:val="20"/>
          <w:szCs w:val="20"/>
        </w:rPr>
        <w:footnoteReference w:id="133"/>
      </w:r>
      <w:r w:rsidR="00822580" w:rsidRPr="00707B68">
        <w:rPr>
          <w:rFonts w:asciiTheme="majorHAnsi" w:hAnsiTheme="majorHAnsi"/>
          <w:sz w:val="20"/>
          <w:szCs w:val="20"/>
        </w:rPr>
        <w:t xml:space="preserve">. </w:t>
      </w:r>
      <w:r w:rsidRPr="00707B68">
        <w:rPr>
          <w:rFonts w:asciiTheme="majorHAnsi" w:hAnsiTheme="majorHAnsi"/>
          <w:sz w:val="20"/>
          <w:szCs w:val="20"/>
        </w:rPr>
        <w:t xml:space="preserve">Por lo tanto, </w:t>
      </w:r>
      <w:r w:rsidR="00822580" w:rsidRPr="00707B68">
        <w:rPr>
          <w:rFonts w:asciiTheme="majorHAnsi" w:hAnsiTheme="majorHAnsi"/>
          <w:sz w:val="20"/>
          <w:szCs w:val="20"/>
        </w:rPr>
        <w:t>los Estados tienen el deber de generar las condiciones para la erradicación de violaciones por parte de agentes estatales o de particulares de tal manera que las personas puedan ejercer libremente sus actividades de defensa y promoción de los derechos humanos</w:t>
      </w:r>
      <w:r w:rsidR="00822580" w:rsidRPr="00707B68">
        <w:rPr>
          <w:rStyle w:val="FootnoteReference"/>
          <w:rFonts w:asciiTheme="majorHAnsi" w:hAnsiTheme="majorHAnsi"/>
          <w:sz w:val="20"/>
          <w:szCs w:val="20"/>
        </w:rPr>
        <w:footnoteReference w:id="134"/>
      </w:r>
      <w:r w:rsidR="007B0859" w:rsidRPr="00707B68">
        <w:rPr>
          <w:rFonts w:asciiTheme="majorHAnsi" w:hAnsiTheme="majorHAnsi"/>
          <w:sz w:val="20"/>
          <w:szCs w:val="20"/>
        </w:rPr>
        <w:t xml:space="preserve"> y de </w:t>
      </w:r>
      <w:r w:rsidR="00822580" w:rsidRPr="00707B68">
        <w:rPr>
          <w:rFonts w:asciiTheme="majorHAnsi" w:hAnsiTheme="majorHAnsi"/>
          <w:sz w:val="20"/>
          <w:szCs w:val="20"/>
        </w:rPr>
        <w:t>“</w:t>
      </w:r>
      <w:r w:rsidR="00822580" w:rsidRPr="00707B68">
        <w:rPr>
          <w:rFonts w:asciiTheme="majorHAnsi" w:hAnsiTheme="majorHAnsi" w:cs="Arial"/>
          <w:sz w:val="20"/>
          <w:szCs w:val="20"/>
        </w:rPr>
        <w:t>facilitar los medios necesarios para que los defensores de derechos humanos realicen libremente sus actividades; protegerlos cuando son objeto de amenazas (…); abstenerse de imponer obstáculos que dificulten la realización de su labor, e investigar seria y eficazmente las violaciones cometidas en su contra, combatiendo la impunidad</w:t>
      </w:r>
      <w:r w:rsidR="00822580" w:rsidRPr="00707B68">
        <w:rPr>
          <w:rFonts w:asciiTheme="majorHAnsi" w:hAnsiTheme="majorHAnsi"/>
          <w:sz w:val="20"/>
          <w:szCs w:val="20"/>
        </w:rPr>
        <w:t>”</w:t>
      </w:r>
      <w:r w:rsidR="00822580" w:rsidRPr="00707B68">
        <w:rPr>
          <w:rStyle w:val="FootnoteReference"/>
          <w:rFonts w:asciiTheme="majorHAnsi" w:hAnsiTheme="majorHAnsi"/>
          <w:sz w:val="20"/>
          <w:szCs w:val="20"/>
        </w:rPr>
        <w:footnoteReference w:id="135"/>
      </w:r>
      <w:r w:rsidR="00822580" w:rsidRPr="00707B68">
        <w:rPr>
          <w:rFonts w:asciiTheme="majorHAnsi" w:hAnsiTheme="majorHAnsi" w:cs="Verdana"/>
          <w:sz w:val="20"/>
          <w:szCs w:val="20"/>
        </w:rPr>
        <w:t>.</w:t>
      </w:r>
    </w:p>
    <w:p w14:paraId="5EFDE319" w14:textId="77777777" w:rsidR="001A4604" w:rsidRPr="00707B68" w:rsidRDefault="001A4604" w:rsidP="001A4604">
      <w:pPr>
        <w:rPr>
          <w:rFonts w:asciiTheme="majorHAnsi" w:hAnsiTheme="majorHAnsi"/>
          <w:sz w:val="20"/>
          <w:szCs w:val="20"/>
          <w:lang w:val="es-ES"/>
        </w:rPr>
      </w:pPr>
    </w:p>
    <w:p w14:paraId="37A63E57" w14:textId="77777777" w:rsidR="001E12B1" w:rsidRPr="00707B68" w:rsidRDefault="001D161B" w:rsidP="001E12B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360"/>
          <w:tab w:val="left" w:pos="450"/>
        </w:tabs>
        <w:ind w:left="0" w:firstLine="0"/>
        <w:jc w:val="both"/>
        <w:rPr>
          <w:rFonts w:asciiTheme="majorHAnsi" w:hAnsiTheme="majorHAnsi"/>
          <w:sz w:val="20"/>
          <w:szCs w:val="20"/>
          <w:lang w:val="es-ES"/>
        </w:rPr>
      </w:pPr>
      <w:r w:rsidRPr="00707B68">
        <w:rPr>
          <w:rFonts w:asciiTheme="majorHAnsi" w:hAnsiTheme="majorHAnsi"/>
          <w:sz w:val="20"/>
          <w:szCs w:val="20"/>
          <w:lang w:val="es-ES"/>
        </w:rPr>
        <w:t>Siguiendo el razonamiento anterior, los mecanismos para la obstaculización la labor de las personas defensoras pueden tomar varias formas. En esta línea, por ejemplo, e</w:t>
      </w:r>
      <w:r w:rsidR="00D13761" w:rsidRPr="00707B68">
        <w:rPr>
          <w:rFonts w:asciiTheme="majorHAnsi" w:hAnsiTheme="majorHAnsi"/>
          <w:sz w:val="20"/>
          <w:szCs w:val="20"/>
          <w:lang w:val="es-ES"/>
        </w:rPr>
        <w:t>n relación con el derecho a la integridad personal</w:t>
      </w:r>
      <w:r w:rsidR="00D13761" w:rsidRPr="00707B68">
        <w:rPr>
          <w:rFonts w:asciiTheme="majorHAnsi" w:hAnsiTheme="majorHAnsi"/>
          <w:sz w:val="20"/>
          <w:szCs w:val="20"/>
          <w:lang w:val="es-US"/>
        </w:rPr>
        <w:t xml:space="preserve"> la Comisión ha establecido que situaciones de amenaza y hostigamiento constituyen en sí mismas afectaciones a la integridad psíquica y moral de las personas, la cual se ve agravada por la ausencia de protección por parte del Estado</w:t>
      </w:r>
      <w:r w:rsidR="00D13761" w:rsidRPr="00707B68">
        <w:rPr>
          <w:rStyle w:val="FootnoteReference"/>
          <w:rFonts w:asciiTheme="majorHAnsi" w:hAnsiTheme="majorHAnsi"/>
          <w:sz w:val="20"/>
          <w:szCs w:val="20"/>
          <w:lang w:val="es-US"/>
        </w:rPr>
        <w:footnoteReference w:id="136"/>
      </w:r>
      <w:r w:rsidR="00D13761" w:rsidRPr="00707B68">
        <w:rPr>
          <w:rFonts w:asciiTheme="majorHAnsi" w:hAnsiTheme="majorHAnsi"/>
          <w:sz w:val="20"/>
          <w:szCs w:val="20"/>
          <w:lang w:val="es-US"/>
        </w:rPr>
        <w:t>. La Corte ha considerado que la ausencia de respuesta estatal ante una “campaña de amenazas, hostigamientos, vigilancia, detenciones, allanamientos y atentados contra la vida e integridad personal”, produce temor constante y angustia, constituyendo una violación a la integridad personal de las personas afectadas</w:t>
      </w:r>
      <w:r w:rsidR="00D13761" w:rsidRPr="00707B68">
        <w:rPr>
          <w:rFonts w:asciiTheme="majorHAnsi" w:hAnsiTheme="majorHAnsi"/>
          <w:sz w:val="20"/>
          <w:szCs w:val="20"/>
          <w:vertAlign w:val="superscript"/>
        </w:rPr>
        <w:footnoteReference w:id="137"/>
      </w:r>
      <w:r w:rsidR="00D13761" w:rsidRPr="00707B68">
        <w:rPr>
          <w:rFonts w:asciiTheme="majorHAnsi" w:hAnsiTheme="majorHAnsi"/>
          <w:sz w:val="20"/>
          <w:szCs w:val="20"/>
          <w:lang w:val="es-US"/>
        </w:rPr>
        <w:t>. Cabe indicar que la CIDH ha manifestado reiteradamente “la iniciación de acciones penales sin fundamento” a personas defensoras de derechos humanos, podrían caracterizar vulneraciones del derecho a la honra y dignidad</w:t>
      </w:r>
      <w:r w:rsidR="00D13761" w:rsidRPr="00707B68">
        <w:rPr>
          <w:rStyle w:val="FootnoteReference"/>
          <w:rFonts w:asciiTheme="majorHAnsi" w:hAnsiTheme="majorHAnsi"/>
          <w:sz w:val="20"/>
          <w:szCs w:val="20"/>
          <w:lang w:val="es-US"/>
        </w:rPr>
        <w:footnoteReference w:id="138"/>
      </w:r>
      <w:r w:rsidR="00D13761" w:rsidRPr="00707B68">
        <w:rPr>
          <w:rFonts w:asciiTheme="majorHAnsi" w:hAnsiTheme="majorHAnsi"/>
          <w:sz w:val="20"/>
          <w:szCs w:val="20"/>
          <w:lang w:val="es-US"/>
        </w:rPr>
        <w:t xml:space="preserve">. </w:t>
      </w:r>
    </w:p>
    <w:p w14:paraId="79B7F544" w14:textId="77777777" w:rsidR="001E12B1" w:rsidRPr="00707B68" w:rsidRDefault="001E12B1" w:rsidP="001E12B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450"/>
        </w:tabs>
        <w:jc w:val="both"/>
        <w:rPr>
          <w:rFonts w:asciiTheme="majorHAnsi" w:hAnsiTheme="majorHAnsi"/>
          <w:sz w:val="20"/>
          <w:szCs w:val="20"/>
        </w:rPr>
      </w:pPr>
    </w:p>
    <w:p w14:paraId="77AFD2DF" w14:textId="77777777" w:rsidR="001E12B1" w:rsidRPr="00707B68" w:rsidRDefault="00D0298F" w:rsidP="001E12B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360"/>
          <w:tab w:val="left" w:pos="450"/>
        </w:tabs>
        <w:ind w:left="0" w:firstLine="0"/>
        <w:jc w:val="both"/>
        <w:rPr>
          <w:rFonts w:asciiTheme="majorHAnsi" w:hAnsiTheme="majorHAnsi"/>
          <w:sz w:val="20"/>
          <w:szCs w:val="20"/>
          <w:lang w:val="es-ES"/>
        </w:rPr>
      </w:pPr>
      <w:r w:rsidRPr="00707B68">
        <w:rPr>
          <w:rFonts w:asciiTheme="majorHAnsi" w:hAnsiTheme="majorHAnsi"/>
          <w:sz w:val="20"/>
          <w:szCs w:val="20"/>
        </w:rPr>
        <w:t>La Corte ha establecido que el derecho de circulación y de residencia puede resultar afectado cuando una persona es víctima de amenazas u hostigamientos y el Estado no provee las garantías necesarias para que pueda transitar y residir libremente en el territorio de que se trate, incluso cuando las amenazas y hostigamientos provienen de actores no estatales</w:t>
      </w:r>
      <w:r w:rsidRPr="00707B68">
        <w:rPr>
          <w:rStyle w:val="FootnoteReference"/>
          <w:rFonts w:asciiTheme="majorHAnsi" w:hAnsiTheme="majorHAnsi"/>
          <w:sz w:val="20"/>
          <w:szCs w:val="20"/>
        </w:rPr>
        <w:footnoteReference w:id="139"/>
      </w:r>
      <w:r w:rsidRPr="00707B68">
        <w:rPr>
          <w:rFonts w:asciiTheme="majorHAnsi" w:hAnsiTheme="majorHAnsi"/>
          <w:sz w:val="20"/>
          <w:szCs w:val="20"/>
        </w:rPr>
        <w:t xml:space="preserve">. </w:t>
      </w:r>
      <w:r w:rsidR="00A03F1E" w:rsidRPr="00707B68">
        <w:rPr>
          <w:rFonts w:asciiTheme="majorHAnsi" w:hAnsiTheme="majorHAnsi"/>
          <w:sz w:val="20"/>
          <w:szCs w:val="20"/>
          <w:lang w:val="es-US"/>
        </w:rPr>
        <w:t>Sobre la base de lo anterior,</w:t>
      </w:r>
      <w:r w:rsidR="0043576A" w:rsidRPr="00707B68">
        <w:rPr>
          <w:rFonts w:asciiTheme="majorHAnsi" w:hAnsiTheme="majorHAnsi"/>
          <w:sz w:val="20"/>
          <w:szCs w:val="20"/>
          <w:lang w:val="es-US"/>
        </w:rPr>
        <w:t xml:space="preserve"> </w:t>
      </w:r>
      <w:r w:rsidR="001231D3" w:rsidRPr="00707B68">
        <w:rPr>
          <w:rFonts w:asciiTheme="majorHAnsi" w:hAnsiTheme="majorHAnsi"/>
          <w:sz w:val="20"/>
          <w:szCs w:val="20"/>
          <w:lang w:val="es-US"/>
        </w:rPr>
        <w:t>la CIDH considera que</w:t>
      </w:r>
      <w:r w:rsidR="00A03F1E" w:rsidRPr="00707B68">
        <w:rPr>
          <w:rFonts w:asciiTheme="majorHAnsi" w:hAnsiTheme="majorHAnsi"/>
          <w:sz w:val="20"/>
          <w:szCs w:val="20"/>
          <w:lang w:val="es-US"/>
        </w:rPr>
        <w:t xml:space="preserve"> </w:t>
      </w:r>
      <w:r w:rsidR="001231D3" w:rsidRPr="00707B68">
        <w:rPr>
          <w:rFonts w:asciiTheme="majorHAnsi" w:hAnsiTheme="majorHAnsi"/>
          <w:sz w:val="20"/>
          <w:szCs w:val="20"/>
          <w:lang w:val="es-US"/>
        </w:rPr>
        <w:t>la labor de defensa de los derechos humanos puede generar desplazamiento forzado</w:t>
      </w:r>
      <w:r w:rsidR="001231D3" w:rsidRPr="00707B68">
        <w:rPr>
          <w:rStyle w:val="FootnoteReference"/>
          <w:rFonts w:asciiTheme="majorHAnsi" w:hAnsiTheme="majorHAnsi"/>
          <w:sz w:val="20"/>
          <w:szCs w:val="20"/>
          <w:lang w:val="es-US"/>
        </w:rPr>
        <w:footnoteReference w:id="140"/>
      </w:r>
      <w:r w:rsidR="001231D3" w:rsidRPr="00707B68">
        <w:rPr>
          <w:rFonts w:asciiTheme="majorHAnsi" w:hAnsiTheme="majorHAnsi"/>
          <w:sz w:val="20"/>
          <w:szCs w:val="20"/>
          <w:lang w:val="es-US"/>
        </w:rPr>
        <w:t xml:space="preserve">. </w:t>
      </w:r>
      <w:r w:rsidR="00891B10" w:rsidRPr="00707B68">
        <w:rPr>
          <w:rFonts w:asciiTheme="majorHAnsi" w:hAnsiTheme="majorHAnsi"/>
          <w:sz w:val="20"/>
          <w:szCs w:val="20"/>
          <w:lang w:val="es-US"/>
        </w:rPr>
        <w:t>La</w:t>
      </w:r>
      <w:r w:rsidR="00050E8B" w:rsidRPr="00707B68">
        <w:rPr>
          <w:rFonts w:asciiTheme="majorHAnsi" w:hAnsiTheme="majorHAnsi"/>
          <w:sz w:val="20"/>
          <w:szCs w:val="20"/>
          <w:lang w:val="es-US"/>
        </w:rPr>
        <w:t xml:space="preserve"> CIDH </w:t>
      </w:r>
      <w:r w:rsidR="00A03F1E" w:rsidRPr="00707B68">
        <w:rPr>
          <w:rFonts w:asciiTheme="majorHAnsi" w:hAnsiTheme="majorHAnsi"/>
          <w:sz w:val="20"/>
          <w:szCs w:val="20"/>
          <w:lang w:val="es-US"/>
        </w:rPr>
        <w:t>ha entendido que las obligaciones estatales respecto de las personas desplazadas abarca todo el fenómeno del desplazamiento, incluyendo el e</w:t>
      </w:r>
      <w:r w:rsidR="004902A4" w:rsidRPr="00707B68">
        <w:rPr>
          <w:rFonts w:asciiTheme="majorHAnsi" w:hAnsiTheme="majorHAnsi"/>
          <w:sz w:val="20"/>
          <w:szCs w:val="20"/>
          <w:lang w:val="es-US"/>
        </w:rPr>
        <w:t>stablecimiento de condiciones para asegurar un retorno seguro y digno a su hogar</w:t>
      </w:r>
      <w:r w:rsidR="004902A4" w:rsidRPr="00707B68">
        <w:rPr>
          <w:rStyle w:val="FootnoteReference"/>
          <w:rFonts w:asciiTheme="majorHAnsi" w:hAnsiTheme="majorHAnsi"/>
          <w:sz w:val="20"/>
          <w:szCs w:val="20"/>
          <w:lang w:val="es-US"/>
        </w:rPr>
        <w:footnoteReference w:id="141"/>
      </w:r>
      <w:r w:rsidR="004902A4" w:rsidRPr="00707B68">
        <w:rPr>
          <w:rFonts w:asciiTheme="majorHAnsi" w:hAnsiTheme="majorHAnsi"/>
          <w:sz w:val="20"/>
          <w:szCs w:val="20"/>
          <w:lang w:val="es-US"/>
        </w:rPr>
        <w:t>.</w:t>
      </w:r>
      <w:r w:rsidR="00F32D90" w:rsidRPr="00707B68">
        <w:rPr>
          <w:rFonts w:asciiTheme="majorHAnsi" w:hAnsiTheme="majorHAnsi"/>
          <w:sz w:val="20"/>
          <w:szCs w:val="20"/>
          <w:lang w:val="es-US"/>
        </w:rPr>
        <w:t xml:space="preserve"> </w:t>
      </w:r>
      <w:r w:rsidR="008D13CC" w:rsidRPr="00707B68">
        <w:rPr>
          <w:rFonts w:asciiTheme="majorHAnsi" w:hAnsiTheme="majorHAnsi"/>
          <w:sz w:val="20"/>
          <w:szCs w:val="20"/>
        </w:rPr>
        <w:t xml:space="preserve">Asimismo, </w:t>
      </w:r>
      <w:r w:rsidR="004902A4" w:rsidRPr="00707B68">
        <w:rPr>
          <w:rFonts w:asciiTheme="majorHAnsi" w:hAnsiTheme="majorHAnsi"/>
          <w:sz w:val="20"/>
          <w:szCs w:val="20"/>
        </w:rPr>
        <w:t xml:space="preserve">la Corte se ha pronunciado sobre las condiciones materiales del reasentamiento, </w:t>
      </w:r>
      <w:r w:rsidR="00A03F1E" w:rsidRPr="00707B68">
        <w:rPr>
          <w:rFonts w:asciiTheme="majorHAnsi" w:hAnsiTheme="majorHAnsi"/>
          <w:sz w:val="20"/>
          <w:szCs w:val="20"/>
        </w:rPr>
        <w:t xml:space="preserve">incluyendo el acceso de las </w:t>
      </w:r>
      <w:r w:rsidR="00A03F1E" w:rsidRPr="00707B68">
        <w:rPr>
          <w:rFonts w:asciiTheme="majorHAnsi" w:hAnsiTheme="majorHAnsi"/>
          <w:sz w:val="20"/>
          <w:szCs w:val="20"/>
        </w:rPr>
        <w:lastRenderedPageBreak/>
        <w:t xml:space="preserve">personas desplazadas a </w:t>
      </w:r>
      <w:r w:rsidR="004902A4" w:rsidRPr="00707B68">
        <w:rPr>
          <w:rFonts w:asciiTheme="majorHAnsi" w:hAnsiTheme="majorHAnsi"/>
          <w:sz w:val="20"/>
          <w:szCs w:val="20"/>
        </w:rPr>
        <w:t>actividades económicas</w:t>
      </w:r>
      <w:r w:rsidR="00496711" w:rsidRPr="00707B68">
        <w:rPr>
          <w:rFonts w:asciiTheme="majorHAnsi" w:hAnsiTheme="majorHAnsi"/>
          <w:sz w:val="20"/>
          <w:szCs w:val="20"/>
        </w:rPr>
        <w:t xml:space="preserve"> de subsistencia</w:t>
      </w:r>
      <w:r w:rsidR="00496711" w:rsidRPr="00707B68">
        <w:rPr>
          <w:rStyle w:val="FootnoteReference"/>
          <w:rFonts w:asciiTheme="majorHAnsi" w:hAnsiTheme="majorHAnsi"/>
          <w:sz w:val="20"/>
          <w:szCs w:val="20"/>
        </w:rPr>
        <w:footnoteReference w:id="142"/>
      </w:r>
      <w:r w:rsidRPr="00707B68">
        <w:rPr>
          <w:rFonts w:asciiTheme="majorHAnsi" w:hAnsiTheme="majorHAnsi"/>
          <w:sz w:val="20"/>
          <w:szCs w:val="20"/>
        </w:rPr>
        <w:t xml:space="preserve">. </w:t>
      </w:r>
      <w:r w:rsidR="00B37FE3" w:rsidRPr="00707B68">
        <w:rPr>
          <w:rFonts w:asciiTheme="majorHAnsi" w:hAnsiTheme="majorHAnsi"/>
          <w:sz w:val="20"/>
          <w:szCs w:val="20"/>
        </w:rPr>
        <w:t xml:space="preserve">Respecto </w:t>
      </w:r>
      <w:r w:rsidRPr="00707B68">
        <w:rPr>
          <w:rFonts w:asciiTheme="majorHAnsi" w:hAnsiTheme="majorHAnsi"/>
          <w:sz w:val="20"/>
          <w:szCs w:val="20"/>
        </w:rPr>
        <w:t>d</w:t>
      </w:r>
      <w:r w:rsidR="00B37FE3" w:rsidRPr="00707B68">
        <w:rPr>
          <w:rFonts w:asciiTheme="majorHAnsi" w:hAnsiTheme="majorHAnsi"/>
          <w:sz w:val="20"/>
          <w:szCs w:val="20"/>
        </w:rPr>
        <w:t>el regreso voluntario, la Corte ha destacado el deber estatal de establecer garantías y condiciones</w:t>
      </w:r>
      <w:r w:rsidR="00050E8B" w:rsidRPr="00707B68">
        <w:rPr>
          <w:rFonts w:asciiTheme="majorHAnsi" w:hAnsiTheme="majorHAnsi"/>
          <w:sz w:val="20"/>
          <w:szCs w:val="20"/>
        </w:rPr>
        <w:t>, así como provisión de medios</w:t>
      </w:r>
      <w:r w:rsidR="00B37FE3" w:rsidRPr="00707B68">
        <w:rPr>
          <w:rFonts w:asciiTheme="majorHAnsi" w:hAnsiTheme="majorHAnsi"/>
          <w:sz w:val="20"/>
          <w:szCs w:val="20"/>
        </w:rPr>
        <w:t xml:space="preserve"> que permitan el retorno de desplazados a sus comunidades</w:t>
      </w:r>
      <w:r w:rsidR="00B37FE3" w:rsidRPr="00707B68">
        <w:rPr>
          <w:rStyle w:val="FootnoteReference"/>
          <w:rFonts w:asciiTheme="majorHAnsi" w:hAnsiTheme="majorHAnsi"/>
          <w:sz w:val="20"/>
          <w:szCs w:val="20"/>
        </w:rPr>
        <w:footnoteReference w:id="143"/>
      </w:r>
      <w:r w:rsidR="00B37FE3" w:rsidRPr="00707B68">
        <w:rPr>
          <w:rFonts w:asciiTheme="majorHAnsi" w:hAnsiTheme="majorHAnsi"/>
          <w:sz w:val="20"/>
          <w:szCs w:val="20"/>
        </w:rPr>
        <w:t xml:space="preserve">. </w:t>
      </w:r>
    </w:p>
    <w:p w14:paraId="5249038E" w14:textId="77777777" w:rsidR="001E12B1" w:rsidRPr="00707B68" w:rsidRDefault="001E12B1" w:rsidP="001E12B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450"/>
        </w:tabs>
        <w:jc w:val="both"/>
        <w:rPr>
          <w:rFonts w:asciiTheme="majorHAnsi" w:hAnsiTheme="majorHAnsi"/>
          <w:sz w:val="20"/>
          <w:szCs w:val="20"/>
        </w:rPr>
      </w:pPr>
    </w:p>
    <w:p w14:paraId="144300B9" w14:textId="77777777" w:rsidR="001E12B1" w:rsidRPr="00707B68" w:rsidRDefault="005C6848" w:rsidP="001E12B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360"/>
          <w:tab w:val="left" w:pos="450"/>
        </w:tabs>
        <w:ind w:left="0" w:firstLine="0"/>
        <w:jc w:val="both"/>
        <w:rPr>
          <w:rFonts w:asciiTheme="majorHAnsi" w:hAnsiTheme="majorHAnsi"/>
          <w:sz w:val="20"/>
          <w:szCs w:val="20"/>
          <w:lang w:val="es-ES"/>
        </w:rPr>
      </w:pPr>
      <w:r w:rsidRPr="00707B68">
        <w:rPr>
          <w:rFonts w:asciiTheme="majorHAnsi" w:hAnsiTheme="majorHAnsi"/>
          <w:sz w:val="20"/>
          <w:szCs w:val="20"/>
        </w:rPr>
        <w:t>En relación con el derecho a la libertad de asociación, los Estados deben crear condiciones legales y fácticas para su ejercicio, que abarca, de ser pertinente, los deberes de prevenir atentados contra la libre asociación, incluyendo a organizaciones de protección de derechos humanos. La Corte indicó que dicha obligación se mantiene incluso respecto a relaciones entre particulares, si el caso así lo amerita</w:t>
      </w:r>
      <w:r w:rsidRPr="00707B68">
        <w:rPr>
          <w:rStyle w:val="FootnoteReference"/>
          <w:rFonts w:asciiTheme="majorHAnsi" w:hAnsiTheme="majorHAnsi"/>
          <w:sz w:val="20"/>
          <w:szCs w:val="20"/>
        </w:rPr>
        <w:footnoteReference w:id="144"/>
      </w:r>
      <w:r w:rsidRPr="00707B68">
        <w:rPr>
          <w:rFonts w:asciiTheme="majorHAnsi" w:hAnsiTheme="majorHAnsi"/>
          <w:sz w:val="20"/>
          <w:szCs w:val="20"/>
        </w:rPr>
        <w:t>.</w:t>
      </w:r>
    </w:p>
    <w:p w14:paraId="58B5A487" w14:textId="77777777" w:rsidR="001E12B1" w:rsidRPr="00707B68" w:rsidRDefault="001E12B1" w:rsidP="001E12B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450"/>
        </w:tabs>
        <w:jc w:val="both"/>
        <w:rPr>
          <w:rFonts w:asciiTheme="majorHAnsi" w:hAnsiTheme="majorHAnsi"/>
          <w:sz w:val="20"/>
          <w:szCs w:val="20"/>
        </w:rPr>
      </w:pPr>
    </w:p>
    <w:p w14:paraId="7E4F11A2" w14:textId="697F6E41" w:rsidR="005C6848" w:rsidRPr="00707B68" w:rsidRDefault="005C6848" w:rsidP="001E12B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360"/>
          <w:tab w:val="left" w:pos="450"/>
        </w:tabs>
        <w:ind w:left="0" w:firstLine="0"/>
        <w:jc w:val="both"/>
        <w:rPr>
          <w:rFonts w:asciiTheme="majorHAnsi" w:hAnsiTheme="majorHAnsi"/>
          <w:sz w:val="20"/>
          <w:szCs w:val="20"/>
          <w:lang w:val="es-ES"/>
        </w:rPr>
      </w:pPr>
      <w:r w:rsidRPr="00707B68">
        <w:rPr>
          <w:rFonts w:asciiTheme="majorHAnsi" w:hAnsiTheme="majorHAnsi"/>
          <w:sz w:val="20"/>
          <w:szCs w:val="20"/>
        </w:rPr>
        <w:t xml:space="preserve">Respecto del derecho a la libertad de expresión, </w:t>
      </w:r>
      <w:r w:rsidR="0043576A" w:rsidRPr="00707B68">
        <w:rPr>
          <w:rFonts w:asciiTheme="majorHAnsi" w:hAnsiTheme="majorHAnsi"/>
          <w:sz w:val="20"/>
          <w:szCs w:val="20"/>
        </w:rPr>
        <w:t>l</w:t>
      </w:r>
      <w:r w:rsidRPr="00707B68">
        <w:rPr>
          <w:rFonts w:asciiTheme="majorHAnsi" w:hAnsiTheme="majorHAnsi"/>
          <w:sz w:val="20"/>
          <w:szCs w:val="20"/>
        </w:rPr>
        <w:t>a Comisión ha sostenido que este derecho puede verse afectado cuando las personas defensoras de derechos humanos son víctimas de actos de agresión, amenazas y hostigamientos</w:t>
      </w:r>
      <w:r w:rsidRPr="00707B68">
        <w:rPr>
          <w:rStyle w:val="FootnoteReference"/>
          <w:rFonts w:asciiTheme="majorHAnsi" w:hAnsiTheme="majorHAnsi"/>
          <w:sz w:val="20"/>
          <w:szCs w:val="20"/>
        </w:rPr>
        <w:footnoteReference w:id="145"/>
      </w:r>
      <w:r w:rsidRPr="00707B68">
        <w:rPr>
          <w:rFonts w:asciiTheme="majorHAnsi" w:hAnsiTheme="majorHAnsi"/>
          <w:sz w:val="20"/>
          <w:szCs w:val="20"/>
        </w:rPr>
        <w:t>. Ello en tanto tales hechos pueden silenciar o intimidar a quienes ejercen su derecho a expresarse críticamente o a formular denuncias por presuntas violaciones de derechos humanos</w:t>
      </w:r>
      <w:r w:rsidRPr="00707B68">
        <w:rPr>
          <w:rStyle w:val="FootnoteReference"/>
          <w:rFonts w:asciiTheme="majorHAnsi" w:hAnsiTheme="majorHAnsi"/>
          <w:sz w:val="20"/>
          <w:szCs w:val="20"/>
        </w:rPr>
        <w:footnoteReference w:id="146"/>
      </w:r>
      <w:r w:rsidRPr="00707B68">
        <w:rPr>
          <w:rFonts w:asciiTheme="majorHAnsi" w:hAnsiTheme="majorHAnsi"/>
          <w:sz w:val="20"/>
          <w:szCs w:val="20"/>
        </w:rPr>
        <w:t>.</w:t>
      </w:r>
    </w:p>
    <w:p w14:paraId="3A648224" w14:textId="77777777" w:rsidR="007E6729" w:rsidRPr="00707B68" w:rsidRDefault="007E6729" w:rsidP="00E86463">
      <w:pPr>
        <w:rPr>
          <w:rFonts w:asciiTheme="majorHAnsi" w:hAnsiTheme="majorHAnsi"/>
          <w:sz w:val="20"/>
          <w:szCs w:val="20"/>
        </w:rPr>
      </w:pPr>
    </w:p>
    <w:p w14:paraId="3CE17685" w14:textId="36496ABA" w:rsidR="00780221" w:rsidRPr="00707B68" w:rsidRDefault="007E6729" w:rsidP="00905E9F">
      <w:pPr>
        <w:pStyle w:val="Heading3"/>
        <w:numPr>
          <w:ilvl w:val="0"/>
          <w:numId w:val="62"/>
        </w:numPr>
        <w:tabs>
          <w:tab w:val="left" w:pos="360"/>
        </w:tabs>
        <w:ind w:left="0" w:firstLine="0"/>
        <w:jc w:val="both"/>
        <w:rPr>
          <w:szCs w:val="20"/>
        </w:rPr>
      </w:pPr>
      <w:r w:rsidRPr="00707B68">
        <w:rPr>
          <w:szCs w:val="20"/>
        </w:rPr>
        <w:t xml:space="preserve">Análisis del caso </w:t>
      </w:r>
    </w:p>
    <w:p w14:paraId="308CA52F" w14:textId="77777777" w:rsidR="00780221" w:rsidRPr="00707B68" w:rsidRDefault="00780221" w:rsidP="00283D01">
      <w:pPr>
        <w:tabs>
          <w:tab w:val="left" w:pos="450"/>
        </w:tabs>
        <w:jc w:val="both"/>
        <w:rPr>
          <w:rFonts w:asciiTheme="majorHAnsi" w:hAnsiTheme="majorHAnsi"/>
          <w:sz w:val="20"/>
          <w:szCs w:val="20"/>
        </w:rPr>
      </w:pPr>
    </w:p>
    <w:p w14:paraId="1EA9BFE3" w14:textId="77777777" w:rsidR="007E6729" w:rsidRPr="00707B68" w:rsidRDefault="007E6729" w:rsidP="00283D0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ind w:left="0" w:firstLine="0"/>
        <w:jc w:val="both"/>
        <w:rPr>
          <w:rFonts w:asciiTheme="majorHAnsi" w:hAnsiTheme="majorHAnsi"/>
          <w:sz w:val="20"/>
          <w:szCs w:val="20"/>
        </w:rPr>
      </w:pPr>
      <w:r w:rsidRPr="00707B68">
        <w:rPr>
          <w:rFonts w:asciiTheme="majorHAnsi" w:hAnsiTheme="majorHAnsi"/>
          <w:sz w:val="20"/>
          <w:szCs w:val="20"/>
        </w:rPr>
        <w:t xml:space="preserve">En primer lugar, la CIDH ya determinó que el señor Zapata fue objeto de </w:t>
      </w:r>
      <w:r w:rsidR="00ED3396" w:rsidRPr="00707B68">
        <w:rPr>
          <w:rFonts w:asciiTheme="majorHAnsi" w:hAnsiTheme="majorHAnsi"/>
          <w:sz w:val="20"/>
          <w:szCs w:val="20"/>
        </w:rPr>
        <w:t xml:space="preserve">un </w:t>
      </w:r>
      <w:r w:rsidRPr="00707B68">
        <w:rPr>
          <w:rFonts w:asciiTheme="majorHAnsi" w:hAnsiTheme="majorHAnsi"/>
          <w:sz w:val="20"/>
          <w:szCs w:val="20"/>
        </w:rPr>
        <w:t xml:space="preserve">reporte de inteligencia militar por su </w:t>
      </w:r>
      <w:r w:rsidR="00ED3396" w:rsidRPr="00707B68">
        <w:rPr>
          <w:rFonts w:asciiTheme="majorHAnsi" w:hAnsiTheme="majorHAnsi"/>
          <w:sz w:val="20"/>
          <w:szCs w:val="20"/>
        </w:rPr>
        <w:t>labor de defensor de derechos humanos en la que se le identificó como una persona integrante de grupos subversivos. Asimismo, esta calificación se hizo extensiva también al CODEHSEL, grupo del que el señor Zapata era miembro.</w:t>
      </w:r>
    </w:p>
    <w:p w14:paraId="713329B3" w14:textId="77777777" w:rsidR="00ED3396" w:rsidRPr="00707B68" w:rsidRDefault="00ED3396" w:rsidP="00283D01">
      <w:pPr>
        <w:tabs>
          <w:tab w:val="left" w:pos="450"/>
        </w:tabs>
        <w:jc w:val="both"/>
        <w:rPr>
          <w:rFonts w:asciiTheme="majorHAnsi" w:hAnsiTheme="majorHAnsi"/>
          <w:sz w:val="20"/>
          <w:szCs w:val="20"/>
        </w:rPr>
      </w:pPr>
    </w:p>
    <w:p w14:paraId="52D3A7BF" w14:textId="77777777" w:rsidR="00780221" w:rsidRPr="00707B68" w:rsidRDefault="00ED3396" w:rsidP="00283D0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ind w:left="0" w:firstLine="0"/>
        <w:jc w:val="both"/>
        <w:rPr>
          <w:rFonts w:asciiTheme="majorHAnsi" w:hAnsiTheme="majorHAnsi"/>
          <w:sz w:val="20"/>
          <w:szCs w:val="20"/>
        </w:rPr>
      </w:pPr>
      <w:r w:rsidRPr="00707B68">
        <w:rPr>
          <w:rFonts w:asciiTheme="majorHAnsi" w:hAnsiTheme="majorHAnsi"/>
          <w:sz w:val="20"/>
          <w:szCs w:val="20"/>
        </w:rPr>
        <w:t>En segundo lugar, la CIDH ya estableció que el señor Zapata fue objeto de varios procesos judiciales en los que se le vinculó a actividades ilegales realizadas por grupos subversivos. La CIDH encuentra que no resulta contrario a la Convención Americana que los Estados desarrollen investigaciones judiciales ante la ocurrencia de denuncias  por la supuesta comisión de actos ilegales</w:t>
      </w:r>
      <w:r w:rsidR="00732442" w:rsidRPr="00707B68">
        <w:rPr>
          <w:rFonts w:asciiTheme="majorHAnsi" w:hAnsiTheme="majorHAnsi"/>
          <w:sz w:val="20"/>
          <w:szCs w:val="20"/>
        </w:rPr>
        <w:t>.</w:t>
      </w:r>
    </w:p>
    <w:p w14:paraId="1CD71DA2" w14:textId="77777777" w:rsidR="00780221" w:rsidRPr="00707B68" w:rsidRDefault="00780221" w:rsidP="00283D01">
      <w:pPr>
        <w:tabs>
          <w:tab w:val="left" w:pos="450"/>
        </w:tabs>
        <w:jc w:val="both"/>
        <w:rPr>
          <w:rFonts w:asciiTheme="majorHAnsi" w:hAnsiTheme="majorHAnsi"/>
          <w:sz w:val="20"/>
          <w:szCs w:val="20"/>
        </w:rPr>
      </w:pPr>
    </w:p>
    <w:p w14:paraId="0398A220" w14:textId="77777777" w:rsidR="00ED3396" w:rsidRPr="00707B68" w:rsidRDefault="00732442" w:rsidP="00283D0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ind w:left="0" w:firstLine="0"/>
        <w:jc w:val="both"/>
        <w:rPr>
          <w:rFonts w:asciiTheme="majorHAnsi" w:hAnsiTheme="majorHAnsi"/>
          <w:sz w:val="20"/>
          <w:szCs w:val="20"/>
        </w:rPr>
      </w:pPr>
      <w:r w:rsidRPr="00707B68">
        <w:rPr>
          <w:rFonts w:asciiTheme="majorHAnsi" w:hAnsiTheme="majorHAnsi"/>
          <w:sz w:val="20"/>
          <w:szCs w:val="20"/>
        </w:rPr>
        <w:t>Sin perjuicio de lo anterior</w:t>
      </w:r>
      <w:r w:rsidR="00ED3396" w:rsidRPr="00707B68">
        <w:rPr>
          <w:rFonts w:asciiTheme="majorHAnsi" w:hAnsiTheme="majorHAnsi"/>
          <w:sz w:val="20"/>
          <w:szCs w:val="20"/>
        </w:rPr>
        <w:t xml:space="preserve">, la Comisión debe establecer si las investigaciones en las que se vinculó el señor Zapata </w:t>
      </w:r>
      <w:r w:rsidR="007A3B93" w:rsidRPr="00707B68">
        <w:rPr>
          <w:rFonts w:asciiTheme="majorHAnsi" w:hAnsiTheme="majorHAnsi"/>
          <w:sz w:val="20"/>
          <w:szCs w:val="20"/>
        </w:rPr>
        <w:t xml:space="preserve">fueron un instrumento para obstaculizar su labor de derechos humanos </w:t>
      </w:r>
      <w:r w:rsidRPr="00707B68">
        <w:rPr>
          <w:rFonts w:asciiTheme="majorHAnsi" w:hAnsiTheme="majorHAnsi"/>
          <w:sz w:val="20"/>
          <w:szCs w:val="20"/>
        </w:rPr>
        <w:t>e infundirle miedo</w:t>
      </w:r>
      <w:r w:rsidR="007A3B93" w:rsidRPr="00707B68">
        <w:rPr>
          <w:rFonts w:asciiTheme="majorHAnsi" w:hAnsiTheme="majorHAnsi"/>
          <w:sz w:val="20"/>
          <w:szCs w:val="20"/>
        </w:rPr>
        <w:t xml:space="preserve">. En este sentido, tomando en consideración el contexto de Segovia en dicha época, la </w:t>
      </w:r>
      <w:r w:rsidR="00812258" w:rsidRPr="00707B68">
        <w:rPr>
          <w:rFonts w:asciiTheme="majorHAnsi" w:hAnsiTheme="majorHAnsi"/>
          <w:sz w:val="20"/>
          <w:szCs w:val="20"/>
        </w:rPr>
        <w:t>CIDH considera que: i</w:t>
      </w:r>
      <w:r w:rsidR="000D74D7" w:rsidRPr="00707B68">
        <w:rPr>
          <w:rFonts w:asciiTheme="majorHAnsi" w:hAnsiTheme="majorHAnsi"/>
          <w:sz w:val="20"/>
          <w:szCs w:val="20"/>
        </w:rPr>
        <w:t>.</w:t>
      </w:r>
      <w:r w:rsidR="00812258" w:rsidRPr="00707B68">
        <w:rPr>
          <w:rFonts w:asciiTheme="majorHAnsi" w:hAnsiTheme="majorHAnsi"/>
          <w:sz w:val="20"/>
          <w:szCs w:val="20"/>
        </w:rPr>
        <w:t xml:space="preserve"> </w:t>
      </w:r>
      <w:r w:rsidR="000D74D7" w:rsidRPr="00707B68">
        <w:rPr>
          <w:rFonts w:asciiTheme="majorHAnsi" w:hAnsiTheme="majorHAnsi"/>
          <w:sz w:val="20"/>
          <w:szCs w:val="20"/>
        </w:rPr>
        <w:t xml:space="preserve">el proceso 20.573 contó con allanamiento a la vivienda del señor Zapata que fue ejecutado por un destacamento militar; ii. durante el mencionado allanamiento existen testimonios no investigados que indicaron que el personal militar trató “sembrar pruebas” (explosivos) durante la diligencia;  iii. el Fiscal cuestionó la legitimidad de la información de las actas de la diligencia de allanamiento; iv. </w:t>
      </w:r>
      <w:r w:rsidR="00B35475" w:rsidRPr="00707B68">
        <w:rPr>
          <w:rFonts w:asciiTheme="majorHAnsi" w:hAnsiTheme="majorHAnsi"/>
          <w:sz w:val="20"/>
          <w:szCs w:val="20"/>
        </w:rPr>
        <w:t xml:space="preserve">el proceso 20.702 fue iniciado sobre la base de una declaración que luego fue descartada dado que la Fiscalía encontró que era falsa; </w:t>
      </w:r>
      <w:r w:rsidR="009C4D82" w:rsidRPr="00707B68">
        <w:rPr>
          <w:rFonts w:asciiTheme="majorHAnsi" w:hAnsiTheme="majorHAnsi"/>
          <w:sz w:val="20"/>
          <w:szCs w:val="20"/>
        </w:rPr>
        <w:t xml:space="preserve">v. el señor Zapata fue detenido dos veces, dos días consecutivos, sin orden judicial </w:t>
      </w:r>
      <w:r w:rsidR="00B35475" w:rsidRPr="00707B68">
        <w:rPr>
          <w:rFonts w:asciiTheme="majorHAnsi" w:hAnsiTheme="majorHAnsi"/>
          <w:sz w:val="20"/>
          <w:szCs w:val="20"/>
        </w:rPr>
        <w:t>y v</w:t>
      </w:r>
      <w:r w:rsidR="009C4D82" w:rsidRPr="00707B68">
        <w:rPr>
          <w:rFonts w:asciiTheme="majorHAnsi" w:hAnsiTheme="majorHAnsi"/>
          <w:sz w:val="20"/>
          <w:szCs w:val="20"/>
        </w:rPr>
        <w:t>i</w:t>
      </w:r>
      <w:r w:rsidR="00B35475" w:rsidRPr="00707B68">
        <w:rPr>
          <w:rFonts w:asciiTheme="majorHAnsi" w:hAnsiTheme="majorHAnsi"/>
          <w:sz w:val="20"/>
          <w:szCs w:val="20"/>
        </w:rPr>
        <w:t xml:space="preserve">. </w:t>
      </w:r>
      <w:r w:rsidR="009C4D82" w:rsidRPr="00707B68">
        <w:rPr>
          <w:rFonts w:asciiTheme="majorHAnsi" w:hAnsiTheme="majorHAnsi"/>
          <w:sz w:val="20"/>
          <w:szCs w:val="20"/>
        </w:rPr>
        <w:t>el Informe de Inteligencia es contempor</w:t>
      </w:r>
      <w:r w:rsidR="00780221" w:rsidRPr="00707B68">
        <w:rPr>
          <w:rFonts w:asciiTheme="majorHAnsi" w:hAnsiTheme="majorHAnsi"/>
          <w:sz w:val="20"/>
          <w:szCs w:val="20"/>
        </w:rPr>
        <w:t>áneo a estas investigaciones y detenciones.</w:t>
      </w:r>
    </w:p>
    <w:p w14:paraId="11906A0A" w14:textId="77777777" w:rsidR="00ED3396" w:rsidRPr="00707B68" w:rsidRDefault="00ED3396" w:rsidP="00283D01">
      <w:pPr>
        <w:tabs>
          <w:tab w:val="left" w:pos="450"/>
        </w:tabs>
        <w:jc w:val="both"/>
        <w:rPr>
          <w:rFonts w:asciiTheme="majorHAnsi" w:hAnsiTheme="majorHAnsi"/>
          <w:sz w:val="20"/>
          <w:szCs w:val="20"/>
        </w:rPr>
      </w:pPr>
    </w:p>
    <w:p w14:paraId="6C40AEE3" w14:textId="77777777" w:rsidR="00780221" w:rsidRPr="00707B68" w:rsidRDefault="009C4D82" w:rsidP="00283D0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ind w:left="0" w:firstLine="0"/>
        <w:jc w:val="both"/>
        <w:rPr>
          <w:rFonts w:asciiTheme="majorHAnsi" w:hAnsiTheme="majorHAnsi"/>
          <w:sz w:val="20"/>
          <w:szCs w:val="20"/>
        </w:rPr>
      </w:pPr>
      <w:r w:rsidRPr="00707B68">
        <w:rPr>
          <w:rFonts w:asciiTheme="majorHAnsi" w:hAnsiTheme="majorHAnsi"/>
          <w:sz w:val="20"/>
          <w:szCs w:val="20"/>
        </w:rPr>
        <w:t xml:space="preserve">En virtud de lo anterior la CIDH considera que existen indicios suficientes para concluir que el señor Zapata fue víctima de hostigamiento judicial y que esta criminalización estuvo motivada en su labor de defensa de los derechos humanos. </w:t>
      </w:r>
    </w:p>
    <w:p w14:paraId="08822F95" w14:textId="77777777" w:rsidR="00780221" w:rsidRPr="00707B68" w:rsidRDefault="00780221" w:rsidP="00283D01">
      <w:pPr>
        <w:tabs>
          <w:tab w:val="left" w:pos="450"/>
        </w:tabs>
        <w:jc w:val="both"/>
        <w:rPr>
          <w:rFonts w:asciiTheme="majorHAnsi" w:hAnsiTheme="majorHAnsi"/>
          <w:sz w:val="20"/>
          <w:szCs w:val="20"/>
        </w:rPr>
      </w:pPr>
    </w:p>
    <w:p w14:paraId="05681703" w14:textId="77777777" w:rsidR="00B57D50" w:rsidRPr="00707B68" w:rsidRDefault="00ED3396" w:rsidP="00283D0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ind w:left="0" w:firstLine="0"/>
        <w:jc w:val="both"/>
        <w:rPr>
          <w:rFonts w:asciiTheme="majorHAnsi" w:hAnsiTheme="majorHAnsi"/>
          <w:sz w:val="20"/>
          <w:szCs w:val="20"/>
        </w:rPr>
      </w:pPr>
      <w:r w:rsidRPr="00707B68">
        <w:rPr>
          <w:rFonts w:asciiTheme="majorHAnsi" w:hAnsiTheme="majorHAnsi"/>
          <w:sz w:val="20"/>
          <w:szCs w:val="20"/>
        </w:rPr>
        <w:t>En tercer lugar, la Comisión encuentra q</w:t>
      </w:r>
      <w:r w:rsidR="00780221" w:rsidRPr="00707B68">
        <w:rPr>
          <w:rFonts w:asciiTheme="majorHAnsi" w:hAnsiTheme="majorHAnsi"/>
          <w:sz w:val="20"/>
          <w:szCs w:val="20"/>
        </w:rPr>
        <w:t>ue los hechos anteriormente descritos motivaron su salida de Segovia. En consecuencia, el traslado a Medellín, motivado por las condicionantes anteriores,</w:t>
      </w:r>
      <w:r w:rsidR="00732442" w:rsidRPr="00707B68">
        <w:rPr>
          <w:rFonts w:asciiTheme="majorHAnsi" w:hAnsiTheme="majorHAnsi"/>
          <w:sz w:val="20"/>
          <w:szCs w:val="20"/>
        </w:rPr>
        <w:t xml:space="preserve"> constituye en sí mismo un </w:t>
      </w:r>
      <w:r w:rsidR="00780221" w:rsidRPr="00707B68">
        <w:rPr>
          <w:rFonts w:asciiTheme="majorHAnsi" w:hAnsiTheme="majorHAnsi"/>
          <w:sz w:val="20"/>
          <w:szCs w:val="20"/>
        </w:rPr>
        <w:t>desplazamiento forzado. Ahora bien, en relación con el reasentamiento</w:t>
      </w:r>
      <w:r w:rsidR="000873BA" w:rsidRPr="00707B68">
        <w:rPr>
          <w:rFonts w:asciiTheme="majorHAnsi" w:hAnsiTheme="majorHAnsi"/>
          <w:sz w:val="20"/>
          <w:szCs w:val="20"/>
        </w:rPr>
        <w:t xml:space="preserve"> </w:t>
      </w:r>
      <w:r w:rsidR="00780221" w:rsidRPr="00707B68">
        <w:rPr>
          <w:rFonts w:asciiTheme="majorHAnsi" w:hAnsiTheme="majorHAnsi"/>
          <w:sz w:val="20"/>
          <w:szCs w:val="20"/>
        </w:rPr>
        <w:t>del señor Zapata</w:t>
      </w:r>
      <w:r w:rsidR="000873BA" w:rsidRPr="00707B68">
        <w:rPr>
          <w:rFonts w:asciiTheme="majorHAnsi" w:hAnsiTheme="majorHAnsi"/>
          <w:sz w:val="20"/>
          <w:szCs w:val="20"/>
        </w:rPr>
        <w:t xml:space="preserve"> y las obligaciones del Estado en dicha materia</w:t>
      </w:r>
      <w:r w:rsidR="00B57D50" w:rsidRPr="00707B68">
        <w:rPr>
          <w:rFonts w:asciiTheme="majorHAnsi" w:hAnsiTheme="majorHAnsi"/>
          <w:sz w:val="20"/>
          <w:szCs w:val="20"/>
        </w:rPr>
        <w:t xml:space="preserve"> l</w:t>
      </w:r>
      <w:r w:rsidR="000873BA" w:rsidRPr="00707B68">
        <w:rPr>
          <w:rFonts w:asciiTheme="majorHAnsi" w:hAnsiTheme="majorHAnsi"/>
          <w:sz w:val="20"/>
          <w:szCs w:val="20"/>
        </w:rPr>
        <w:t xml:space="preserve">a Comisión advierte el señor Zapata buscó el traslado de su plaza </w:t>
      </w:r>
      <w:r w:rsidR="000873BA" w:rsidRPr="00707B68">
        <w:rPr>
          <w:rFonts w:asciiTheme="majorHAnsi" w:hAnsiTheme="majorHAnsi"/>
          <w:sz w:val="20"/>
          <w:szCs w:val="20"/>
        </w:rPr>
        <w:lastRenderedPageBreak/>
        <w:t>docente, pero las propuestas ofrecidas no fueron aceptadas por él dado que no en su entender no garantizaban su seguridad</w:t>
      </w:r>
      <w:r w:rsidR="00B57D50" w:rsidRPr="00707B68">
        <w:rPr>
          <w:rFonts w:asciiTheme="majorHAnsi" w:hAnsiTheme="majorHAnsi"/>
          <w:sz w:val="20"/>
          <w:szCs w:val="20"/>
        </w:rPr>
        <w:t xml:space="preserve"> y la Secretaría de Educación le impuso una </w:t>
      </w:r>
      <w:r w:rsidR="00780221" w:rsidRPr="00707B68">
        <w:rPr>
          <w:rFonts w:asciiTheme="majorHAnsi" w:hAnsiTheme="majorHAnsi"/>
          <w:sz w:val="20"/>
          <w:szCs w:val="20"/>
        </w:rPr>
        <w:t>sanción laboral por falta de prestación del servicio</w:t>
      </w:r>
      <w:r w:rsidR="00B57D50" w:rsidRPr="00707B68">
        <w:rPr>
          <w:rFonts w:asciiTheme="majorHAnsi" w:hAnsiTheme="majorHAnsi"/>
          <w:sz w:val="20"/>
          <w:szCs w:val="20"/>
        </w:rPr>
        <w:t xml:space="preserve">. </w:t>
      </w:r>
    </w:p>
    <w:p w14:paraId="05478431" w14:textId="77777777" w:rsidR="00B57D50" w:rsidRPr="00707B68" w:rsidRDefault="00B57D50" w:rsidP="00283D01">
      <w:pPr>
        <w:tabs>
          <w:tab w:val="left" w:pos="450"/>
        </w:tabs>
        <w:jc w:val="both"/>
        <w:rPr>
          <w:rFonts w:asciiTheme="majorHAnsi" w:hAnsiTheme="majorHAnsi"/>
          <w:sz w:val="20"/>
          <w:szCs w:val="20"/>
        </w:rPr>
      </w:pPr>
    </w:p>
    <w:p w14:paraId="23A704D3" w14:textId="77777777" w:rsidR="000873BA" w:rsidRPr="00707B68" w:rsidRDefault="00B57D50" w:rsidP="00283D0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ind w:left="0" w:firstLine="0"/>
        <w:jc w:val="both"/>
        <w:rPr>
          <w:rFonts w:asciiTheme="majorHAnsi" w:hAnsiTheme="majorHAnsi"/>
          <w:sz w:val="20"/>
          <w:szCs w:val="20"/>
        </w:rPr>
      </w:pPr>
      <w:r w:rsidRPr="00707B68">
        <w:rPr>
          <w:rFonts w:asciiTheme="majorHAnsi" w:hAnsiTheme="majorHAnsi"/>
          <w:sz w:val="20"/>
          <w:szCs w:val="20"/>
          <w:lang w:val="es-ES"/>
        </w:rPr>
        <w:t>En el presente caso, la CIDH ya dejó constancia de una supuesta discrepancia en relación con los motivos que llevaron al señor Zapata a regresar a Segovia, descartando dicha contradicción y concluyendo que el principal motivo de su retorno fue de índole económica. Más aún, incluso aceptando la contradicción de la información provista por el Estado sobre las motivaciones del retorno del señor Zapata al Estado, la CIDH ya indicó en este informe que dadas las condiciones de su seguridad en 1998 el escrutinio sobre el riesgo debió ser mayor, de modo tal que pudiera advertir las razones económicas de su regreso para adoptar las salvaguardas necesarias.</w:t>
      </w:r>
    </w:p>
    <w:p w14:paraId="2F73DEFE" w14:textId="77777777" w:rsidR="00E046C4" w:rsidRPr="00707B68" w:rsidRDefault="00E046C4" w:rsidP="00283D01">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720"/>
          <w:tab w:val="left" w:pos="1440"/>
        </w:tabs>
        <w:jc w:val="both"/>
        <w:rPr>
          <w:rFonts w:asciiTheme="majorHAnsi" w:hAnsiTheme="majorHAnsi"/>
          <w:sz w:val="20"/>
          <w:szCs w:val="20"/>
        </w:rPr>
      </w:pPr>
    </w:p>
    <w:p w14:paraId="0B3E89F9" w14:textId="4F453731" w:rsidR="00780221" w:rsidRPr="00707B68" w:rsidRDefault="00283D01" w:rsidP="00283D0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ind w:left="0" w:firstLine="0"/>
        <w:jc w:val="both"/>
        <w:rPr>
          <w:rFonts w:asciiTheme="majorHAnsi" w:hAnsiTheme="majorHAnsi"/>
          <w:sz w:val="20"/>
          <w:szCs w:val="20"/>
        </w:rPr>
      </w:pPr>
      <w:r w:rsidRPr="00707B68">
        <w:rPr>
          <w:rFonts w:asciiTheme="majorHAnsi" w:hAnsiTheme="majorHAnsi"/>
          <w:sz w:val="20"/>
          <w:szCs w:val="20"/>
        </w:rPr>
        <w:t>En conclusión, l</w:t>
      </w:r>
      <w:r w:rsidR="00780221" w:rsidRPr="00707B68">
        <w:rPr>
          <w:rFonts w:asciiTheme="majorHAnsi" w:hAnsiTheme="majorHAnsi"/>
          <w:sz w:val="20"/>
          <w:szCs w:val="20"/>
        </w:rPr>
        <w:t xml:space="preserve">a Comisión considera que el repertorio de situaciones hostiles experimentadas por el señor Zapata en la década de los noventa hasta su retorno a Segovia en 1998, en el contexto colombiano de dicha época y específicamente en </w:t>
      </w:r>
      <w:r w:rsidR="00F3515F" w:rsidRPr="00707B68">
        <w:rPr>
          <w:rFonts w:asciiTheme="majorHAnsi" w:hAnsiTheme="majorHAnsi"/>
          <w:sz w:val="20"/>
          <w:szCs w:val="20"/>
        </w:rPr>
        <w:t>Segovia</w:t>
      </w:r>
      <w:r w:rsidR="00780221" w:rsidRPr="00707B68">
        <w:rPr>
          <w:rFonts w:asciiTheme="majorHAnsi" w:hAnsiTheme="majorHAnsi"/>
          <w:sz w:val="20"/>
          <w:szCs w:val="20"/>
        </w:rPr>
        <w:t xml:space="preserve">, </w:t>
      </w:r>
      <w:r w:rsidR="00F3515F" w:rsidRPr="00707B68">
        <w:rPr>
          <w:rFonts w:asciiTheme="majorHAnsi" w:hAnsiTheme="majorHAnsi"/>
          <w:sz w:val="20"/>
          <w:szCs w:val="20"/>
        </w:rPr>
        <w:t>estuvieron orientadas a obstaculizar su labor de defensa de derechos humanos afectando su pertenencia a sus organizaciones</w:t>
      </w:r>
      <w:r w:rsidR="004E06FE" w:rsidRPr="00707B68">
        <w:rPr>
          <w:rFonts w:asciiTheme="majorHAnsi" w:hAnsiTheme="majorHAnsi"/>
          <w:sz w:val="20"/>
          <w:szCs w:val="20"/>
        </w:rPr>
        <w:t xml:space="preserve"> y el funcionamiento de las mismas</w:t>
      </w:r>
      <w:r w:rsidR="00F3515F" w:rsidRPr="00707B68">
        <w:rPr>
          <w:rFonts w:asciiTheme="majorHAnsi" w:hAnsiTheme="majorHAnsi"/>
          <w:sz w:val="20"/>
          <w:szCs w:val="20"/>
        </w:rPr>
        <w:t xml:space="preserve">. Esta situación le generó </w:t>
      </w:r>
      <w:r w:rsidR="00780221" w:rsidRPr="00707B68">
        <w:rPr>
          <w:rFonts w:asciiTheme="majorHAnsi" w:hAnsiTheme="majorHAnsi"/>
          <w:sz w:val="20"/>
          <w:szCs w:val="20"/>
        </w:rPr>
        <w:t xml:space="preserve">sufrimiento </w:t>
      </w:r>
      <w:r w:rsidR="00F3515F" w:rsidRPr="00707B68">
        <w:rPr>
          <w:rFonts w:asciiTheme="majorHAnsi" w:hAnsiTheme="majorHAnsi"/>
          <w:sz w:val="20"/>
          <w:szCs w:val="20"/>
        </w:rPr>
        <w:t xml:space="preserve">y miedo, provocando su desplazamiento forzado. </w:t>
      </w:r>
      <w:r w:rsidR="00780221" w:rsidRPr="00707B68">
        <w:rPr>
          <w:rFonts w:asciiTheme="majorHAnsi" w:hAnsiTheme="majorHAnsi"/>
          <w:sz w:val="20"/>
          <w:szCs w:val="20"/>
        </w:rPr>
        <w:t>En estos términos, la Comisión concluye que el Estado vul</w:t>
      </w:r>
      <w:r w:rsidR="00F3515F" w:rsidRPr="00707B68">
        <w:rPr>
          <w:rFonts w:asciiTheme="majorHAnsi" w:hAnsiTheme="majorHAnsi"/>
          <w:sz w:val="20"/>
          <w:szCs w:val="20"/>
        </w:rPr>
        <w:t xml:space="preserve">neró los derechos a la integridad, la honra y dignidad, </w:t>
      </w:r>
      <w:r w:rsidR="00A42770" w:rsidRPr="00707B68">
        <w:rPr>
          <w:rFonts w:asciiTheme="majorHAnsi" w:hAnsiTheme="majorHAnsi"/>
          <w:sz w:val="20"/>
          <w:szCs w:val="20"/>
        </w:rPr>
        <w:t xml:space="preserve">a la </w:t>
      </w:r>
      <w:r w:rsidR="00732442" w:rsidRPr="00707B68">
        <w:rPr>
          <w:rFonts w:asciiTheme="majorHAnsi" w:hAnsiTheme="majorHAnsi"/>
          <w:sz w:val="20"/>
          <w:szCs w:val="20"/>
        </w:rPr>
        <w:t>libertad de expresión, a la libertad de asociación</w:t>
      </w:r>
      <w:r w:rsidR="003B1E5D" w:rsidRPr="00707B68">
        <w:rPr>
          <w:rFonts w:asciiTheme="majorHAnsi" w:hAnsiTheme="majorHAnsi"/>
          <w:sz w:val="20"/>
          <w:szCs w:val="20"/>
        </w:rPr>
        <w:t xml:space="preserve"> y a la libertad de circulación consagrados en los artículos 5.1, 11.1, 13.1, 16.1 y 22.1 de la Convención Americana en conexión con el artículo 1.1 del mismo instrumento. </w:t>
      </w:r>
    </w:p>
    <w:p w14:paraId="793FC4CF" w14:textId="77777777" w:rsidR="00780221" w:rsidRPr="00707B68" w:rsidRDefault="00780221" w:rsidP="00905E9F">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jc w:val="both"/>
        <w:rPr>
          <w:rFonts w:asciiTheme="majorHAnsi" w:hAnsiTheme="majorHAnsi"/>
          <w:sz w:val="20"/>
        </w:rPr>
      </w:pPr>
    </w:p>
    <w:p w14:paraId="1E6E319D" w14:textId="449626F4" w:rsidR="004C7ADE" w:rsidRPr="00707B68" w:rsidRDefault="004C7ADE" w:rsidP="00147351">
      <w:pPr>
        <w:pStyle w:val="Heading2"/>
        <w:numPr>
          <w:ilvl w:val="0"/>
          <w:numId w:val="57"/>
        </w:numPr>
        <w:rPr>
          <w:lang w:val="es-ES"/>
        </w:rPr>
      </w:pPr>
      <w:bookmarkStart w:id="14" w:name="_Toc520804263"/>
      <w:bookmarkStart w:id="15" w:name="_Toc4170577"/>
      <w:bookmarkStart w:id="16" w:name="_Toc456358866"/>
      <w:r w:rsidRPr="00707B68">
        <w:rPr>
          <w:lang w:val="es-ES"/>
        </w:rPr>
        <w:t>Derecho a las garantías judiciales y la protección judicial (artículos 8</w:t>
      </w:r>
      <w:r w:rsidR="005A158F" w:rsidRPr="00707B68">
        <w:rPr>
          <w:lang w:val="es-ES"/>
        </w:rPr>
        <w:t>.1</w:t>
      </w:r>
      <w:r w:rsidRPr="00707B68">
        <w:rPr>
          <w:vertAlign w:val="superscript"/>
        </w:rPr>
        <w:footnoteReference w:id="147"/>
      </w:r>
      <w:r w:rsidRPr="00707B68">
        <w:rPr>
          <w:vertAlign w:val="superscript"/>
          <w:lang w:val="es-ES"/>
        </w:rPr>
        <w:t xml:space="preserve"> </w:t>
      </w:r>
      <w:r w:rsidRPr="00707B68">
        <w:rPr>
          <w:lang w:val="es-ES"/>
        </w:rPr>
        <w:t>y  artículo 25.1</w:t>
      </w:r>
      <w:r w:rsidRPr="00707B68">
        <w:rPr>
          <w:vertAlign w:val="superscript"/>
        </w:rPr>
        <w:footnoteReference w:id="148"/>
      </w:r>
      <w:r w:rsidR="00905E9F" w:rsidRPr="00707B68">
        <w:rPr>
          <w:lang w:val="es-ES"/>
        </w:rPr>
        <w:t xml:space="preserve"> de la Convención Americana</w:t>
      </w:r>
      <w:r w:rsidRPr="00707B68">
        <w:rPr>
          <w:lang w:val="es-ES"/>
        </w:rPr>
        <w:t xml:space="preserve"> en relación con el artículo 1.1 </w:t>
      </w:r>
      <w:bookmarkEnd w:id="14"/>
      <w:bookmarkEnd w:id="15"/>
      <w:r w:rsidR="000C15F3" w:rsidRPr="00707B68">
        <w:rPr>
          <w:lang w:val="es-ES"/>
        </w:rPr>
        <w:t>del mismo instrumento</w:t>
      </w:r>
      <w:r w:rsidR="00905E9F" w:rsidRPr="00707B68">
        <w:rPr>
          <w:lang w:val="es-ES"/>
        </w:rPr>
        <w:t>)</w:t>
      </w:r>
      <w:bookmarkEnd w:id="16"/>
    </w:p>
    <w:p w14:paraId="0472039E" w14:textId="77777777" w:rsidR="007A08B3" w:rsidRPr="00707B68" w:rsidRDefault="007A08B3" w:rsidP="007A08B3">
      <w:pPr>
        <w:ind w:left="720"/>
        <w:rPr>
          <w:rFonts w:asciiTheme="majorHAnsi" w:hAnsiTheme="majorHAnsi"/>
          <w:sz w:val="20"/>
          <w:lang w:val="es-ES"/>
        </w:rPr>
      </w:pPr>
    </w:p>
    <w:p w14:paraId="250184FD" w14:textId="66A81D51" w:rsidR="007A08B3" w:rsidRPr="00707B68" w:rsidRDefault="007A08B3" w:rsidP="00905E9F">
      <w:pPr>
        <w:pStyle w:val="Heading3"/>
        <w:numPr>
          <w:ilvl w:val="0"/>
          <w:numId w:val="63"/>
        </w:numPr>
        <w:tabs>
          <w:tab w:val="left" w:pos="360"/>
        </w:tabs>
        <w:rPr>
          <w:lang w:val="es-ES"/>
        </w:rPr>
      </w:pPr>
      <w:r w:rsidRPr="00707B68">
        <w:rPr>
          <w:lang w:val="es-ES"/>
        </w:rPr>
        <w:t xml:space="preserve">Consideraciones generales </w:t>
      </w:r>
    </w:p>
    <w:p w14:paraId="4657A76A" w14:textId="77777777" w:rsidR="005F784A" w:rsidRPr="00707B68" w:rsidRDefault="005F784A" w:rsidP="00750012">
      <w:pPr>
        <w:jc w:val="both"/>
        <w:rPr>
          <w:rFonts w:asciiTheme="majorHAnsi" w:hAnsiTheme="majorHAnsi"/>
          <w:sz w:val="20"/>
          <w:szCs w:val="20"/>
          <w:lang w:val="es-ES"/>
        </w:rPr>
      </w:pPr>
    </w:p>
    <w:p w14:paraId="2BBE6E9E" w14:textId="77777777" w:rsidR="004C7ADE" w:rsidRPr="00707B68" w:rsidRDefault="004C7ADE" w:rsidP="00750012">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ind w:left="0" w:firstLine="0"/>
        <w:jc w:val="both"/>
        <w:rPr>
          <w:rFonts w:asciiTheme="majorHAnsi" w:hAnsiTheme="majorHAnsi"/>
          <w:sz w:val="20"/>
          <w:szCs w:val="20"/>
          <w:lang w:val="es-ES"/>
        </w:rPr>
      </w:pPr>
      <w:r w:rsidRPr="00707B68">
        <w:rPr>
          <w:rFonts w:asciiTheme="majorHAnsi" w:hAnsiTheme="majorHAnsi"/>
          <w:sz w:val="20"/>
          <w:szCs w:val="20"/>
          <w:lang w:val="es-ES"/>
        </w:rPr>
        <w:t>La Comisión</w:t>
      </w:r>
      <w:r w:rsidR="00592ADE" w:rsidRPr="00707B68">
        <w:rPr>
          <w:rFonts w:asciiTheme="majorHAnsi" w:hAnsiTheme="majorHAnsi"/>
          <w:sz w:val="20"/>
          <w:szCs w:val="20"/>
          <w:lang w:val="es-ES"/>
        </w:rPr>
        <w:t xml:space="preserve"> </w:t>
      </w:r>
      <w:r w:rsidRPr="00707B68">
        <w:rPr>
          <w:rFonts w:asciiTheme="majorHAnsi" w:hAnsiTheme="majorHAnsi"/>
          <w:sz w:val="20"/>
          <w:szCs w:val="20"/>
          <w:lang w:val="es-ES"/>
        </w:rPr>
        <w:t>y la Corte han resaltado que existe una obligación de investigar, esclarecer, enjuiciar y sancionar los delitos cometidos contra las personas defensoras y han resaltado que el medio más eficaz para proteger</w:t>
      </w:r>
      <w:r w:rsidR="005F784A" w:rsidRPr="00707B68">
        <w:rPr>
          <w:rFonts w:asciiTheme="majorHAnsi" w:hAnsiTheme="majorHAnsi"/>
          <w:sz w:val="20"/>
          <w:szCs w:val="20"/>
          <w:lang w:val="es-ES"/>
        </w:rPr>
        <w:t>las</w:t>
      </w:r>
      <w:r w:rsidRPr="00707B68">
        <w:rPr>
          <w:rFonts w:asciiTheme="majorHAnsi" w:hAnsiTheme="majorHAnsi"/>
          <w:sz w:val="20"/>
          <w:szCs w:val="20"/>
          <w:lang w:val="es-ES"/>
        </w:rPr>
        <w:t xml:space="preserve"> es investigar eficazmente los actos de violencia en su contra y sancionar a los responsables</w:t>
      </w:r>
      <w:r w:rsidR="00592ADE" w:rsidRPr="00707B68">
        <w:rPr>
          <w:rStyle w:val="FootnoteReference"/>
          <w:rFonts w:asciiTheme="majorHAnsi" w:hAnsiTheme="majorHAnsi"/>
          <w:sz w:val="20"/>
          <w:szCs w:val="20"/>
          <w:lang w:val="es-ES"/>
        </w:rPr>
        <w:footnoteReference w:id="149"/>
      </w:r>
      <w:r w:rsidRPr="00707B68">
        <w:rPr>
          <w:rFonts w:asciiTheme="majorHAnsi" w:hAnsiTheme="majorHAnsi"/>
          <w:sz w:val="20"/>
          <w:szCs w:val="20"/>
          <w:lang w:val="es-ES"/>
        </w:rPr>
        <w:t>. Al respecto, la C</w:t>
      </w:r>
      <w:r w:rsidRPr="00707B68">
        <w:rPr>
          <w:rFonts w:asciiTheme="majorHAnsi" w:hAnsiTheme="majorHAnsi" w:cs="Verdana"/>
          <w:sz w:val="20"/>
          <w:szCs w:val="20"/>
          <w:lang w:val="es-ES"/>
        </w:rPr>
        <w:t>omisión recuerda que “[la]</w:t>
      </w:r>
      <w:r w:rsidRPr="00707B68">
        <w:rPr>
          <w:rFonts w:asciiTheme="majorHAnsi" w:hAnsiTheme="majorHAnsi"/>
          <w:sz w:val="20"/>
          <w:szCs w:val="20"/>
          <w:lang w:val="es-ES"/>
        </w:rPr>
        <w:t xml:space="preserve"> investigación debe ser realizada a través de todos los medios legales disponibles para la determinación de la verdad y la investigación, enjuiciamiento y castigo de todos los responsables de los hechos, especialmente cuando están o puedan estar involucrados agentes estatales”</w:t>
      </w:r>
      <w:r w:rsidRPr="00707B68">
        <w:rPr>
          <w:rStyle w:val="FootnoteReference"/>
          <w:rFonts w:asciiTheme="majorHAnsi" w:hAnsiTheme="majorHAnsi"/>
          <w:sz w:val="20"/>
          <w:szCs w:val="20"/>
          <w:lang w:val="es-ES"/>
        </w:rPr>
        <w:footnoteReference w:id="150"/>
      </w:r>
      <w:r w:rsidRPr="00707B68">
        <w:rPr>
          <w:rFonts w:asciiTheme="majorHAnsi" w:hAnsiTheme="majorHAnsi"/>
          <w:sz w:val="20"/>
          <w:szCs w:val="20"/>
          <w:lang w:val="es-ES"/>
        </w:rPr>
        <w:t>. Así, el deber de investigar debe cumplirse con seriedad y no como una simple formalidad condenada de antemano a ser infructuosa y debe tener un sentido y ser asumida por los Estados como un deber jurídico propio y no como una simple gestión de intereses</w:t>
      </w:r>
      <w:r w:rsidRPr="00707B68">
        <w:rPr>
          <w:rStyle w:val="FootnoteReference"/>
          <w:rFonts w:asciiTheme="majorHAnsi" w:hAnsiTheme="majorHAnsi"/>
          <w:sz w:val="20"/>
          <w:szCs w:val="20"/>
          <w:lang w:val="es-ES"/>
        </w:rPr>
        <w:footnoteReference w:id="151"/>
      </w:r>
      <w:r w:rsidRPr="00707B68">
        <w:rPr>
          <w:rFonts w:asciiTheme="majorHAnsi" w:hAnsiTheme="majorHAnsi"/>
          <w:sz w:val="20"/>
          <w:szCs w:val="20"/>
          <w:lang w:val="es-ES"/>
        </w:rPr>
        <w:t xml:space="preserve">. </w:t>
      </w:r>
    </w:p>
    <w:p w14:paraId="43A66676" w14:textId="77777777" w:rsidR="005F784A" w:rsidRPr="00707B68" w:rsidRDefault="005F784A" w:rsidP="0075001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Theme="majorHAnsi" w:hAnsiTheme="majorHAnsi"/>
          <w:sz w:val="20"/>
          <w:szCs w:val="20"/>
          <w:lang w:val="es-ES"/>
        </w:rPr>
      </w:pPr>
    </w:p>
    <w:p w14:paraId="6CF25AA2" w14:textId="77777777" w:rsidR="00750012" w:rsidRPr="00707B68" w:rsidRDefault="005F784A" w:rsidP="00750012">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ind w:left="0" w:firstLine="0"/>
        <w:jc w:val="both"/>
        <w:rPr>
          <w:rFonts w:asciiTheme="majorHAnsi" w:hAnsiTheme="majorHAnsi"/>
          <w:sz w:val="20"/>
          <w:szCs w:val="20"/>
        </w:rPr>
      </w:pPr>
      <w:r w:rsidRPr="00707B68">
        <w:rPr>
          <w:rFonts w:asciiTheme="majorHAnsi" w:hAnsiTheme="majorHAnsi"/>
          <w:sz w:val="20"/>
          <w:szCs w:val="20"/>
        </w:rPr>
        <w:t xml:space="preserve">Asimismo, en relación con la finalidad de garantizar la debida diligencia en la realización de una investigación exhaustiva e imparcial de una muerte violenta, la Comisión destaca algunos estándares del </w:t>
      </w:r>
      <w:r w:rsidRPr="00707B68">
        <w:rPr>
          <w:rFonts w:asciiTheme="majorHAnsi" w:hAnsiTheme="majorHAnsi"/>
          <w:sz w:val="20"/>
          <w:szCs w:val="20"/>
          <w:lang w:val="es-ES"/>
        </w:rPr>
        <w:t>Protocolo</w:t>
      </w:r>
      <w:r w:rsidRPr="00707B68">
        <w:rPr>
          <w:rFonts w:asciiTheme="majorHAnsi" w:hAnsiTheme="majorHAnsi"/>
          <w:sz w:val="20"/>
          <w:szCs w:val="20"/>
        </w:rPr>
        <w:t xml:space="preserve"> de Minnesota</w:t>
      </w:r>
      <w:r w:rsidRPr="00707B68">
        <w:rPr>
          <w:rStyle w:val="FootnoteReference"/>
          <w:rFonts w:asciiTheme="majorHAnsi" w:hAnsiTheme="majorHAnsi" w:cs="Verdana"/>
          <w:sz w:val="20"/>
          <w:szCs w:val="20"/>
        </w:rPr>
        <w:footnoteReference w:id="152"/>
      </w:r>
      <w:r w:rsidRPr="00707B68">
        <w:rPr>
          <w:rFonts w:asciiTheme="majorHAnsi" w:hAnsiTheme="majorHAnsi"/>
          <w:sz w:val="20"/>
          <w:szCs w:val="20"/>
        </w:rPr>
        <w:t>, recogidos, aplicados y concordados como “principios rectores” en materia de investigación por la Corte Interamericana</w:t>
      </w:r>
      <w:r w:rsidRPr="00707B68">
        <w:rPr>
          <w:rStyle w:val="FootnoteReference"/>
          <w:rFonts w:asciiTheme="majorHAnsi" w:hAnsiTheme="majorHAnsi" w:cs="Verdana"/>
          <w:sz w:val="20"/>
          <w:szCs w:val="20"/>
        </w:rPr>
        <w:footnoteReference w:id="153"/>
      </w:r>
      <w:r w:rsidRPr="00707B68">
        <w:rPr>
          <w:rFonts w:asciiTheme="majorHAnsi" w:hAnsiTheme="majorHAnsi"/>
          <w:sz w:val="20"/>
          <w:szCs w:val="20"/>
        </w:rPr>
        <w:t xml:space="preserve"> en casos que han involucrado la investigación de tales muertes, incluidas las de personas defensoras. Así, se distinguen, de modo no exhaustivo, los siguientes: </w:t>
      </w:r>
      <w:r w:rsidRPr="00707B68">
        <w:rPr>
          <w:rFonts w:asciiTheme="majorHAnsi" w:hAnsiTheme="majorHAnsi" w:cs="Tahoma"/>
          <w:sz w:val="20"/>
          <w:szCs w:val="20"/>
          <w:lang w:val="es-MX"/>
        </w:rPr>
        <w:t xml:space="preserve">la identificación </w:t>
      </w:r>
      <w:r w:rsidRPr="00707B68">
        <w:rPr>
          <w:rFonts w:asciiTheme="majorHAnsi" w:hAnsiTheme="majorHAnsi" w:cs="Tahoma"/>
          <w:sz w:val="20"/>
          <w:szCs w:val="20"/>
          <w:lang w:val="es-MX"/>
        </w:rPr>
        <w:lastRenderedPageBreak/>
        <w:t>de la víctima, la recolección y preservación de pruebas relacionadas con la muerte con el fin de ayudar en el potencial procesamiento de los responsables, la identificación de posibles testigos y la obtención de sus declaraciones en relación con la muerte, la determinación de la causa, manera, lugar y tiempo de la muerte, así como cualquier patrón o práctica que pueda haber provocado la muerte, la distinción entre muerte natural, suicidio y homicidio, la identificación y aprehensión de la o las personas involucradas en la muerte y la presentación de los presuntos perpetradores ante un tribunal competente establecido por ley</w:t>
      </w:r>
      <w:r w:rsidRPr="00707B68">
        <w:rPr>
          <w:rStyle w:val="FootnoteReference"/>
          <w:rFonts w:asciiTheme="majorHAnsi" w:hAnsiTheme="majorHAnsi"/>
          <w:sz w:val="20"/>
          <w:szCs w:val="20"/>
        </w:rPr>
        <w:footnoteReference w:id="154"/>
      </w:r>
      <w:r w:rsidRPr="00707B68">
        <w:rPr>
          <w:rFonts w:asciiTheme="majorHAnsi" w:hAnsiTheme="majorHAnsi"/>
          <w:sz w:val="20"/>
          <w:szCs w:val="20"/>
        </w:rPr>
        <w:t>, así como la investigación exhaustiva de la escena del crimen, ya que su falta de protección adecuada puede afectar el conjunto de indagación</w:t>
      </w:r>
      <w:r w:rsidRPr="00707B68">
        <w:rPr>
          <w:rStyle w:val="FootnoteReference"/>
          <w:rFonts w:asciiTheme="majorHAnsi" w:hAnsiTheme="majorHAnsi"/>
          <w:sz w:val="20"/>
          <w:szCs w:val="20"/>
        </w:rPr>
        <w:footnoteReference w:id="155"/>
      </w:r>
      <w:r w:rsidRPr="00707B68">
        <w:rPr>
          <w:rFonts w:asciiTheme="majorHAnsi" w:hAnsiTheme="majorHAnsi"/>
          <w:sz w:val="20"/>
          <w:szCs w:val="20"/>
        </w:rPr>
        <w:t xml:space="preserve">. </w:t>
      </w:r>
    </w:p>
    <w:p w14:paraId="1885F1CF" w14:textId="77777777" w:rsidR="00750012" w:rsidRPr="00707B68" w:rsidRDefault="00750012" w:rsidP="00750012">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jc w:val="both"/>
        <w:rPr>
          <w:rFonts w:asciiTheme="majorHAnsi" w:hAnsiTheme="majorHAnsi"/>
          <w:sz w:val="20"/>
          <w:szCs w:val="20"/>
        </w:rPr>
      </w:pPr>
    </w:p>
    <w:p w14:paraId="24048AE9" w14:textId="77777777" w:rsidR="00750012" w:rsidRPr="00707B68" w:rsidRDefault="0031440C" w:rsidP="00750012">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ind w:left="0" w:firstLine="0"/>
        <w:jc w:val="both"/>
        <w:rPr>
          <w:rFonts w:asciiTheme="majorHAnsi" w:hAnsiTheme="majorHAnsi"/>
          <w:sz w:val="20"/>
          <w:szCs w:val="20"/>
        </w:rPr>
      </w:pPr>
      <w:r w:rsidRPr="00707B68">
        <w:rPr>
          <w:rFonts w:asciiTheme="majorHAnsi" w:hAnsiTheme="majorHAnsi" w:cs="Tahoma"/>
          <w:sz w:val="20"/>
          <w:szCs w:val="20"/>
          <w:lang w:val="es-MX"/>
        </w:rPr>
        <w:t xml:space="preserve">Ligado a lo anterior, en relación con la construcción del acervo probatorio </w:t>
      </w:r>
      <w:r w:rsidRPr="00707B68">
        <w:rPr>
          <w:rFonts w:asciiTheme="majorHAnsi" w:hAnsiTheme="majorHAnsi"/>
          <w:sz w:val="20"/>
          <w:szCs w:val="20"/>
        </w:rPr>
        <w:t>testimonial, el Protocolo de Minnesota otorga capital importancia a la seguridad y bienestar de los entrevistados y de los entrevistadores. Así, indica que “antes de comunicarse con un testigo, deberá realizarse una evaluación del riesgo para confirmar que los beneficios de la comunicación superen los riesgos. Cuando sea necesario, y siempre que se cuente con el consentimiento de la persona o personas interesadas, los investigadores deben adoptar medidas para proteger a la persona entrevistada y a otras contra malos tratos o intimidación como consecuencia de haber aportado información”</w:t>
      </w:r>
      <w:r w:rsidRPr="00707B68">
        <w:rPr>
          <w:rStyle w:val="FootnoteReference"/>
          <w:rFonts w:asciiTheme="majorHAnsi" w:hAnsiTheme="majorHAnsi"/>
          <w:sz w:val="20"/>
          <w:szCs w:val="20"/>
        </w:rPr>
        <w:footnoteReference w:id="156"/>
      </w:r>
      <w:r w:rsidRPr="00707B68">
        <w:rPr>
          <w:rFonts w:asciiTheme="majorHAnsi" w:hAnsiTheme="majorHAnsi"/>
          <w:sz w:val="20"/>
          <w:szCs w:val="20"/>
        </w:rPr>
        <w:t xml:space="preserve">. </w:t>
      </w:r>
    </w:p>
    <w:p w14:paraId="296E7B72" w14:textId="77777777" w:rsidR="00750012" w:rsidRPr="00707B68" w:rsidRDefault="00750012" w:rsidP="00750012">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jc w:val="both"/>
        <w:rPr>
          <w:rFonts w:asciiTheme="majorHAnsi" w:hAnsiTheme="majorHAnsi"/>
          <w:sz w:val="20"/>
          <w:szCs w:val="20"/>
        </w:rPr>
      </w:pPr>
    </w:p>
    <w:p w14:paraId="15FC50D6" w14:textId="77777777" w:rsidR="00750012" w:rsidRPr="00707B68" w:rsidRDefault="0031440C" w:rsidP="00750012">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ind w:left="0" w:firstLine="0"/>
        <w:jc w:val="both"/>
        <w:rPr>
          <w:rFonts w:asciiTheme="majorHAnsi" w:hAnsiTheme="majorHAnsi"/>
          <w:sz w:val="20"/>
          <w:szCs w:val="20"/>
        </w:rPr>
      </w:pPr>
      <w:r w:rsidRPr="00707B68">
        <w:rPr>
          <w:rFonts w:asciiTheme="majorHAnsi" w:hAnsiTheme="majorHAnsi"/>
          <w:sz w:val="20"/>
          <w:szCs w:val="20"/>
        </w:rPr>
        <w:t xml:space="preserve">En relación con los estándares interamericanos sobre las líneas lógicas de investigación la Comisión </w:t>
      </w:r>
      <w:r w:rsidR="00F36AB1" w:rsidRPr="00707B68">
        <w:rPr>
          <w:rFonts w:asciiTheme="majorHAnsi" w:hAnsiTheme="majorHAnsi"/>
          <w:sz w:val="20"/>
          <w:szCs w:val="20"/>
        </w:rPr>
        <w:t xml:space="preserve">y la Corte </w:t>
      </w:r>
      <w:r w:rsidRPr="00707B68">
        <w:rPr>
          <w:rFonts w:asciiTheme="majorHAnsi" w:hAnsiTheme="majorHAnsi"/>
          <w:sz w:val="20"/>
          <w:szCs w:val="20"/>
        </w:rPr>
        <w:t>ha</w:t>
      </w:r>
      <w:r w:rsidR="00F36AB1" w:rsidRPr="00707B68">
        <w:rPr>
          <w:rFonts w:asciiTheme="majorHAnsi" w:hAnsiTheme="majorHAnsi"/>
          <w:sz w:val="20"/>
          <w:szCs w:val="20"/>
        </w:rPr>
        <w:t>n</w:t>
      </w:r>
      <w:r w:rsidRPr="00707B68">
        <w:rPr>
          <w:rFonts w:asciiTheme="majorHAnsi" w:hAnsiTheme="majorHAnsi"/>
          <w:sz w:val="20"/>
          <w:szCs w:val="20"/>
        </w:rPr>
        <w:t xml:space="preserve"> señalado que como parte de la debida diligencia requerida en investigaciones sobre violaciones a los derechos de un[a] [persona defensora] de derechos humanos, la autoridad investigadora debe tomar en cuenta la actividad del defensor agredido para identificar los intereses que podrían haber sido afectados en el ejercicio de la misma y así poder establecer líneas de investigación e hipótesis del delito</w:t>
      </w:r>
      <w:r w:rsidR="00F36AB1" w:rsidRPr="00707B68">
        <w:rPr>
          <w:rFonts w:asciiTheme="majorHAnsi" w:hAnsiTheme="majorHAnsi"/>
          <w:sz w:val="20"/>
          <w:szCs w:val="20"/>
        </w:rPr>
        <w:t xml:space="preserve"> y si el móvil de su muerte se relaciona con su labor de defensa de los derechos humanos</w:t>
      </w:r>
      <w:r w:rsidR="00F36AB1" w:rsidRPr="00707B68">
        <w:rPr>
          <w:rStyle w:val="FootnoteReference"/>
          <w:rFonts w:asciiTheme="majorHAnsi" w:hAnsiTheme="majorHAnsi"/>
          <w:sz w:val="20"/>
          <w:szCs w:val="20"/>
        </w:rPr>
        <w:t xml:space="preserve"> </w:t>
      </w:r>
      <w:r w:rsidRPr="00707B68">
        <w:rPr>
          <w:rStyle w:val="FootnoteReference"/>
          <w:rFonts w:asciiTheme="majorHAnsi" w:hAnsiTheme="majorHAnsi"/>
          <w:sz w:val="20"/>
          <w:szCs w:val="20"/>
        </w:rPr>
        <w:footnoteReference w:id="157"/>
      </w:r>
      <w:r w:rsidRPr="00707B68">
        <w:rPr>
          <w:rFonts w:asciiTheme="majorHAnsi" w:hAnsiTheme="majorHAnsi"/>
          <w:sz w:val="20"/>
          <w:szCs w:val="20"/>
        </w:rPr>
        <w:t xml:space="preserve">. </w:t>
      </w:r>
      <w:r w:rsidR="00E86463" w:rsidRPr="00707B68">
        <w:rPr>
          <w:rFonts w:asciiTheme="majorHAnsi" w:hAnsiTheme="majorHAnsi"/>
          <w:sz w:val="20"/>
          <w:szCs w:val="20"/>
        </w:rPr>
        <w:t xml:space="preserve">Dichas obligaciones también se encuentran incorporadas en </w:t>
      </w:r>
      <w:r w:rsidRPr="00707B68">
        <w:rPr>
          <w:rFonts w:asciiTheme="majorHAnsi" w:hAnsiTheme="majorHAnsi"/>
          <w:sz w:val="20"/>
          <w:szCs w:val="20"/>
        </w:rPr>
        <w:t>las Directrices básicas para la investigación de violaciones a los derechos de las personas defensoras de derechos humanos en las Américas adoptadas por la CIDH</w:t>
      </w:r>
      <w:r w:rsidRPr="00707B68">
        <w:rPr>
          <w:rStyle w:val="FootnoteReference"/>
          <w:rFonts w:asciiTheme="majorHAnsi" w:hAnsiTheme="majorHAnsi"/>
          <w:sz w:val="20"/>
          <w:szCs w:val="20"/>
        </w:rPr>
        <w:footnoteReference w:id="158"/>
      </w:r>
      <w:r w:rsidRPr="00707B68">
        <w:rPr>
          <w:rFonts w:asciiTheme="majorHAnsi" w:hAnsiTheme="majorHAnsi"/>
          <w:sz w:val="20"/>
          <w:szCs w:val="20"/>
        </w:rPr>
        <w:t xml:space="preserve">. </w:t>
      </w:r>
    </w:p>
    <w:p w14:paraId="5CEF126A" w14:textId="77777777" w:rsidR="00750012" w:rsidRPr="00707B68" w:rsidRDefault="00750012" w:rsidP="00750012">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jc w:val="both"/>
        <w:rPr>
          <w:rFonts w:asciiTheme="majorHAnsi" w:hAnsiTheme="majorHAnsi"/>
          <w:sz w:val="20"/>
          <w:szCs w:val="20"/>
        </w:rPr>
      </w:pPr>
    </w:p>
    <w:p w14:paraId="0826AD88" w14:textId="0BB5EA6D" w:rsidR="007A08B3" w:rsidRPr="00707B68" w:rsidRDefault="002F2AF1" w:rsidP="00C452A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ind w:left="0" w:firstLine="0"/>
        <w:jc w:val="both"/>
        <w:rPr>
          <w:rFonts w:asciiTheme="majorHAnsi" w:hAnsiTheme="majorHAnsi"/>
          <w:sz w:val="20"/>
          <w:szCs w:val="20"/>
        </w:rPr>
      </w:pPr>
      <w:r w:rsidRPr="00707B68">
        <w:rPr>
          <w:rFonts w:asciiTheme="majorHAnsi" w:hAnsiTheme="majorHAnsi"/>
          <w:sz w:val="20"/>
          <w:szCs w:val="20"/>
        </w:rPr>
        <w:t>Finalmente, con respecto a la garantía de plazo razonable contemplada en el artículo 8.1 de la Convención Americana, la Corte Interamericana ha establecido que es preciso tomar en cuenta tres elementos para determinar la razonabilidad del plazo en el que se desarrolla un proceso: a) la complejidad del asunto, b) la actividad procesal del interesado, y c) la conducta de las autoridades judiciales</w:t>
      </w:r>
      <w:r w:rsidRPr="00707B68">
        <w:rPr>
          <w:rStyle w:val="FootnoteReference"/>
          <w:rFonts w:asciiTheme="majorHAnsi" w:hAnsiTheme="majorHAnsi" w:cs="Verdana"/>
          <w:sz w:val="20"/>
          <w:szCs w:val="20"/>
        </w:rPr>
        <w:footnoteReference w:id="159"/>
      </w:r>
      <w:r w:rsidRPr="00707B68">
        <w:rPr>
          <w:rFonts w:asciiTheme="majorHAnsi" w:hAnsiTheme="majorHAnsi"/>
          <w:sz w:val="20"/>
          <w:szCs w:val="20"/>
        </w:rPr>
        <w:t>. Asimismo, la Comisión y la Corte han considerado que también es necesario que se tome en consideración el interés afectado</w:t>
      </w:r>
      <w:r w:rsidRPr="00707B68">
        <w:rPr>
          <w:rStyle w:val="FootnoteReference"/>
          <w:rFonts w:asciiTheme="majorHAnsi" w:hAnsiTheme="majorHAnsi" w:cs="Verdana"/>
          <w:sz w:val="20"/>
          <w:szCs w:val="20"/>
        </w:rPr>
        <w:footnoteReference w:id="160"/>
      </w:r>
      <w:r w:rsidRPr="00707B68">
        <w:rPr>
          <w:rFonts w:asciiTheme="majorHAnsi" w:hAnsiTheme="majorHAnsi"/>
          <w:sz w:val="20"/>
          <w:szCs w:val="20"/>
        </w:rPr>
        <w:t xml:space="preserve">. </w:t>
      </w:r>
    </w:p>
    <w:p w14:paraId="01728B15" w14:textId="77777777" w:rsidR="004B54EB" w:rsidRPr="00707B68" w:rsidRDefault="004B54EB" w:rsidP="00C452A1">
      <w:pPr>
        <w:jc w:val="both"/>
        <w:rPr>
          <w:rFonts w:asciiTheme="majorHAnsi" w:hAnsiTheme="majorHAnsi"/>
          <w:sz w:val="20"/>
          <w:szCs w:val="20"/>
        </w:rPr>
      </w:pPr>
    </w:p>
    <w:p w14:paraId="4EDBF107" w14:textId="10B2CC04" w:rsidR="007A08B3" w:rsidRPr="00707B68" w:rsidRDefault="002F2AF1" w:rsidP="00C452A1">
      <w:pPr>
        <w:pStyle w:val="Heading3"/>
        <w:tabs>
          <w:tab w:val="left" w:pos="360"/>
        </w:tabs>
        <w:ind w:left="270" w:hanging="270"/>
        <w:jc w:val="both"/>
        <w:rPr>
          <w:szCs w:val="20"/>
          <w:lang w:val="es-ES"/>
        </w:rPr>
      </w:pPr>
      <w:r w:rsidRPr="00707B68">
        <w:rPr>
          <w:szCs w:val="20"/>
          <w:lang w:val="es-ES"/>
        </w:rPr>
        <w:t xml:space="preserve">Análisis </w:t>
      </w:r>
      <w:r w:rsidR="000C15F3" w:rsidRPr="00707B68">
        <w:rPr>
          <w:szCs w:val="20"/>
          <w:lang w:val="es-ES"/>
        </w:rPr>
        <w:t>del caso</w:t>
      </w:r>
    </w:p>
    <w:p w14:paraId="66BA8357" w14:textId="77777777" w:rsidR="00D921A6" w:rsidRPr="00707B68" w:rsidRDefault="00D921A6" w:rsidP="00C452A1">
      <w:pPr>
        <w:jc w:val="both"/>
        <w:rPr>
          <w:rFonts w:asciiTheme="majorHAnsi" w:hAnsiTheme="majorHAnsi"/>
          <w:sz w:val="20"/>
          <w:szCs w:val="20"/>
        </w:rPr>
      </w:pPr>
    </w:p>
    <w:p w14:paraId="6319EB67" w14:textId="5EB5F348" w:rsidR="00750012" w:rsidRPr="00707B68" w:rsidRDefault="00D921A6" w:rsidP="00C452A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ind w:left="0" w:firstLine="0"/>
        <w:jc w:val="both"/>
        <w:rPr>
          <w:rFonts w:asciiTheme="majorHAnsi" w:hAnsiTheme="majorHAnsi"/>
          <w:sz w:val="20"/>
          <w:szCs w:val="20"/>
        </w:rPr>
      </w:pPr>
      <w:r w:rsidRPr="00707B68">
        <w:rPr>
          <w:rFonts w:asciiTheme="majorHAnsi" w:hAnsiTheme="majorHAnsi"/>
          <w:sz w:val="20"/>
          <w:szCs w:val="20"/>
        </w:rPr>
        <w:t>En primer lugar, la Comisión observa que la muerte del señor Zapata ocurrió en la noche del 3 de mayo de 2000. En ese momento, cuando su sobrino Adrián Alberto da noticia del hecho criminal, las</w:t>
      </w:r>
      <w:r w:rsidR="003D3CDF" w:rsidRPr="00707B68">
        <w:rPr>
          <w:rFonts w:asciiTheme="majorHAnsi" w:hAnsiTheme="majorHAnsi"/>
          <w:sz w:val="20"/>
          <w:szCs w:val="20"/>
        </w:rPr>
        <w:t xml:space="preserve"> autoridades le dijeron que é</w:t>
      </w:r>
      <w:r w:rsidRPr="00707B68">
        <w:rPr>
          <w:rFonts w:asciiTheme="majorHAnsi" w:hAnsiTheme="majorHAnsi"/>
          <w:sz w:val="20"/>
          <w:szCs w:val="20"/>
        </w:rPr>
        <w:t xml:space="preserve">l </w:t>
      </w:r>
      <w:r w:rsidR="00C24E58" w:rsidRPr="00707B68">
        <w:rPr>
          <w:rFonts w:asciiTheme="majorHAnsi" w:hAnsiTheme="majorHAnsi"/>
          <w:sz w:val="20"/>
          <w:szCs w:val="20"/>
        </w:rPr>
        <w:t>se encargara del levantar</w:t>
      </w:r>
      <w:r w:rsidRPr="00707B68">
        <w:rPr>
          <w:rFonts w:asciiTheme="majorHAnsi" w:hAnsiTheme="majorHAnsi"/>
          <w:sz w:val="20"/>
          <w:szCs w:val="20"/>
        </w:rPr>
        <w:t xml:space="preserve"> el cadáver de su tío. </w:t>
      </w:r>
      <w:r w:rsidR="003D3CDF" w:rsidRPr="00707B68">
        <w:rPr>
          <w:rFonts w:asciiTheme="majorHAnsi" w:hAnsiTheme="majorHAnsi"/>
          <w:sz w:val="20"/>
          <w:szCs w:val="20"/>
        </w:rPr>
        <w:t>Esto consta no solo en las declaraciones, sino en el acta de autopsia, en la que se consignó que la posición del señor Zapata era “artificial”. La CIDH considera que este hecho resulta de suma gravedad, ya que la manipulación del cadáver de su tío, contaminó la escena del crimen, impactando cualquier evidencia que podría haber contribuido con la identificación de los perpetradores del crimen y sus conexiones. En estos términos, la Comisión considera que el Estado no cumplió con sus obligación de debida diligencia de aseguramiento de la escena criminal, del cadáver del señor Zapata y del recojo de la evidencia del lugar de los hechos en el momento que tuvo conoc</w:t>
      </w:r>
      <w:r w:rsidR="00284EB9" w:rsidRPr="00707B68">
        <w:rPr>
          <w:rFonts w:asciiTheme="majorHAnsi" w:hAnsiTheme="majorHAnsi"/>
          <w:sz w:val="20"/>
          <w:szCs w:val="20"/>
        </w:rPr>
        <w:t>imiento de la noticia criminal.</w:t>
      </w:r>
    </w:p>
    <w:p w14:paraId="729AC924" w14:textId="77777777" w:rsidR="00750012" w:rsidRPr="00707B68" w:rsidRDefault="00750012" w:rsidP="00C452A1">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jc w:val="both"/>
        <w:rPr>
          <w:rFonts w:asciiTheme="majorHAnsi" w:hAnsiTheme="majorHAnsi"/>
          <w:sz w:val="20"/>
          <w:szCs w:val="20"/>
        </w:rPr>
      </w:pPr>
    </w:p>
    <w:p w14:paraId="176A49D9" w14:textId="77777777" w:rsidR="00750012" w:rsidRPr="00707B68" w:rsidRDefault="00285E2D" w:rsidP="00C452A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ind w:left="0" w:firstLine="0"/>
        <w:jc w:val="both"/>
        <w:rPr>
          <w:rFonts w:asciiTheme="majorHAnsi" w:hAnsiTheme="majorHAnsi"/>
          <w:sz w:val="20"/>
          <w:szCs w:val="20"/>
        </w:rPr>
      </w:pPr>
      <w:r w:rsidRPr="00707B68">
        <w:rPr>
          <w:rFonts w:asciiTheme="majorHAnsi" w:hAnsiTheme="majorHAnsi"/>
          <w:sz w:val="20"/>
          <w:szCs w:val="20"/>
        </w:rPr>
        <w:t>En segundo lugar, la CIDH no encuentra en la investigación que exista una clara dirección en el establecimiento de una línea lógica principal, que busque esclarecer si la muerte del señor Zapata estuvo relacionada con su labor de defensor de derechos humanos como hubiera correspondido en su calidad de tal. As</w:t>
      </w:r>
      <w:r w:rsidR="003A6838" w:rsidRPr="00707B68">
        <w:rPr>
          <w:rFonts w:asciiTheme="majorHAnsi" w:hAnsiTheme="majorHAnsi"/>
          <w:sz w:val="20"/>
          <w:szCs w:val="20"/>
        </w:rPr>
        <w:t>í, pese a que los testimonios y la labor pública del señor Zapata vinculada a la defensa de los derechos humanos, por ejemplo, no consta en el expediente ningún documento que enliste las denuncias que este impulsó, sobre todo en los dos últimos años tra</w:t>
      </w:r>
      <w:r w:rsidR="00F439B6" w:rsidRPr="00707B68">
        <w:rPr>
          <w:rFonts w:asciiTheme="majorHAnsi" w:hAnsiTheme="majorHAnsi"/>
          <w:sz w:val="20"/>
          <w:szCs w:val="20"/>
        </w:rPr>
        <w:t>s su regreso a Segovia en 1998, ni contra qué personas estuvo d</w:t>
      </w:r>
      <w:r w:rsidR="00284EB9" w:rsidRPr="00707B68">
        <w:rPr>
          <w:rFonts w:asciiTheme="majorHAnsi" w:hAnsiTheme="majorHAnsi"/>
          <w:sz w:val="20"/>
          <w:szCs w:val="20"/>
        </w:rPr>
        <w:t>irigida su labor como defensor, para la identificación de posibles perpetradores.</w:t>
      </w:r>
    </w:p>
    <w:p w14:paraId="0547ADAE" w14:textId="77777777" w:rsidR="00750012" w:rsidRPr="00707B68" w:rsidRDefault="00750012" w:rsidP="00C452A1">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jc w:val="both"/>
        <w:rPr>
          <w:rFonts w:asciiTheme="majorHAnsi" w:hAnsiTheme="majorHAnsi"/>
          <w:sz w:val="20"/>
          <w:szCs w:val="20"/>
        </w:rPr>
      </w:pPr>
    </w:p>
    <w:p w14:paraId="2029B830" w14:textId="298D1D74" w:rsidR="00750012" w:rsidRPr="00707B68" w:rsidRDefault="003A6838" w:rsidP="00C452A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ind w:left="0" w:firstLine="0"/>
        <w:jc w:val="both"/>
        <w:rPr>
          <w:rFonts w:asciiTheme="majorHAnsi" w:hAnsiTheme="majorHAnsi"/>
          <w:sz w:val="20"/>
          <w:szCs w:val="20"/>
        </w:rPr>
      </w:pPr>
      <w:r w:rsidRPr="00707B68">
        <w:rPr>
          <w:rFonts w:asciiTheme="majorHAnsi" w:hAnsiTheme="majorHAnsi"/>
          <w:sz w:val="20"/>
          <w:szCs w:val="20"/>
        </w:rPr>
        <w:t xml:space="preserve">En tercer lugar, respecto de la conformación de la prueba testimonial, la Comisión observa con preocupación que uno de los testigos que culpó materialmente a varios paramilitares por la muerte del señor Zapata, y estableció algunas conexiones con agentes de seguridad del Estado, murió en un atentado tiempo después de sentar su declaración. </w:t>
      </w:r>
      <w:r w:rsidR="00715C8C" w:rsidRPr="00707B68">
        <w:rPr>
          <w:rFonts w:asciiTheme="majorHAnsi" w:hAnsiTheme="majorHAnsi"/>
          <w:sz w:val="20"/>
          <w:szCs w:val="20"/>
        </w:rPr>
        <w:t xml:space="preserve">Asimismo, según se ha indicado, Adrián Zapata, fue asesinado el 16 marzo de 2019. </w:t>
      </w:r>
      <w:r w:rsidRPr="00707B68">
        <w:rPr>
          <w:rFonts w:asciiTheme="majorHAnsi" w:hAnsiTheme="majorHAnsi"/>
          <w:sz w:val="20"/>
          <w:szCs w:val="20"/>
        </w:rPr>
        <w:t>Si bien, la</w:t>
      </w:r>
      <w:r w:rsidR="00284EB9" w:rsidRPr="00707B68">
        <w:rPr>
          <w:rFonts w:asciiTheme="majorHAnsi" w:hAnsiTheme="majorHAnsi"/>
          <w:sz w:val="20"/>
          <w:szCs w:val="20"/>
        </w:rPr>
        <w:t>s</w:t>
      </w:r>
      <w:r w:rsidRPr="00707B68">
        <w:rPr>
          <w:rFonts w:asciiTheme="majorHAnsi" w:hAnsiTheme="majorHAnsi"/>
          <w:sz w:val="20"/>
          <w:szCs w:val="20"/>
        </w:rPr>
        <w:t xml:space="preserve"> circunstancias de </w:t>
      </w:r>
      <w:r w:rsidR="00715C8C" w:rsidRPr="00707B68">
        <w:rPr>
          <w:rFonts w:asciiTheme="majorHAnsi" w:hAnsiTheme="majorHAnsi"/>
          <w:sz w:val="20"/>
          <w:szCs w:val="20"/>
        </w:rPr>
        <w:t xml:space="preserve">la </w:t>
      </w:r>
      <w:r w:rsidRPr="00707B68">
        <w:rPr>
          <w:rFonts w:asciiTheme="majorHAnsi" w:hAnsiTheme="majorHAnsi"/>
          <w:sz w:val="20"/>
          <w:szCs w:val="20"/>
        </w:rPr>
        <w:t xml:space="preserve">muerte no han sido esclarecidas, la Comisión nota que existe un deber de protección de los testigos </w:t>
      </w:r>
      <w:r w:rsidR="00715C8C" w:rsidRPr="00707B68">
        <w:rPr>
          <w:rFonts w:asciiTheme="majorHAnsi" w:hAnsiTheme="majorHAnsi"/>
          <w:sz w:val="20"/>
          <w:szCs w:val="20"/>
        </w:rPr>
        <w:t>que,</w:t>
      </w:r>
      <w:r w:rsidRPr="00707B68">
        <w:rPr>
          <w:rFonts w:asciiTheme="majorHAnsi" w:hAnsiTheme="majorHAnsi"/>
          <w:sz w:val="20"/>
          <w:szCs w:val="20"/>
        </w:rPr>
        <w:t xml:space="preserve"> por su situación, primordialmente por su seguridad en sí misma, pero también por el efecto que este tipo de represalias, si fueran tales, podrían generar en otras personas que pudieran aportar información en el </w:t>
      </w:r>
      <w:r w:rsidR="00715C8C" w:rsidRPr="00707B68">
        <w:rPr>
          <w:rFonts w:asciiTheme="majorHAnsi" w:hAnsiTheme="majorHAnsi"/>
          <w:sz w:val="20"/>
          <w:szCs w:val="20"/>
        </w:rPr>
        <w:t>caso teniendo por consecuencia que el caso se mantenga en una situación de impunidad</w:t>
      </w:r>
      <w:r w:rsidRPr="00707B68">
        <w:rPr>
          <w:rFonts w:asciiTheme="majorHAnsi" w:hAnsiTheme="majorHAnsi"/>
          <w:sz w:val="20"/>
          <w:szCs w:val="20"/>
        </w:rPr>
        <w:t xml:space="preserve">. </w:t>
      </w:r>
    </w:p>
    <w:p w14:paraId="3BC9C3F2" w14:textId="77777777" w:rsidR="00750012" w:rsidRPr="00707B68" w:rsidRDefault="00750012" w:rsidP="00C452A1">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jc w:val="both"/>
        <w:rPr>
          <w:rFonts w:asciiTheme="majorHAnsi" w:hAnsiTheme="majorHAnsi"/>
          <w:sz w:val="20"/>
          <w:szCs w:val="20"/>
        </w:rPr>
      </w:pPr>
    </w:p>
    <w:p w14:paraId="5E166872" w14:textId="77777777" w:rsidR="00750012" w:rsidRPr="00707B68" w:rsidRDefault="009905E6" w:rsidP="00C452A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ind w:left="0" w:firstLine="0"/>
        <w:jc w:val="both"/>
        <w:rPr>
          <w:rFonts w:asciiTheme="majorHAnsi" w:hAnsiTheme="majorHAnsi"/>
          <w:sz w:val="20"/>
          <w:szCs w:val="20"/>
        </w:rPr>
      </w:pPr>
      <w:r w:rsidRPr="00707B68">
        <w:rPr>
          <w:rFonts w:asciiTheme="majorHAnsi" w:hAnsiTheme="majorHAnsi"/>
          <w:sz w:val="20"/>
          <w:szCs w:val="20"/>
        </w:rPr>
        <w:t xml:space="preserve">En cuarto lugar, existe un repertorio de varias investigaciones que incluyen falsos testimonios y el Informe de Inteligencia que </w:t>
      </w:r>
      <w:r w:rsidR="00812258" w:rsidRPr="00707B68">
        <w:rPr>
          <w:rFonts w:asciiTheme="majorHAnsi" w:hAnsiTheme="majorHAnsi"/>
          <w:sz w:val="20"/>
          <w:szCs w:val="20"/>
        </w:rPr>
        <w:t>no fueron</w:t>
      </w:r>
      <w:r w:rsidRPr="00707B68">
        <w:rPr>
          <w:rFonts w:asciiTheme="majorHAnsi" w:hAnsiTheme="majorHAnsi"/>
          <w:sz w:val="20"/>
          <w:szCs w:val="20"/>
        </w:rPr>
        <w:t xml:space="preserve"> atraídos en la investigación y cuya intencionalidad ya ha sido determinada por la CIDH como hostigamiento a la labor de defensor de derechos humanos del señor Zapata. La Comisión observa que una debida determinación de las líneas lógicas de investigació</w:t>
      </w:r>
      <w:r w:rsidR="002549EE" w:rsidRPr="00707B68">
        <w:rPr>
          <w:rFonts w:asciiTheme="majorHAnsi" w:hAnsiTheme="majorHAnsi"/>
          <w:sz w:val="20"/>
          <w:szCs w:val="20"/>
        </w:rPr>
        <w:t>n hubiera seguido el rastro de, por ejemplo, la o las personas que calificaron al señor Zapata como “extremista” en el Informe de Inteligencia y cuáles fueron sus conexiones con el paramilitarismo. Sin embargo, estas hipótesis no fueron exploradas, lo que no se corresponde con el deber de debida diligencia</w:t>
      </w:r>
      <w:r w:rsidR="00FC76C4" w:rsidRPr="00707B68">
        <w:rPr>
          <w:rFonts w:asciiTheme="majorHAnsi" w:hAnsiTheme="majorHAnsi"/>
          <w:sz w:val="20"/>
          <w:szCs w:val="20"/>
        </w:rPr>
        <w:t xml:space="preserve"> en las investigaciones de muertes violentas</w:t>
      </w:r>
      <w:r w:rsidR="002549EE" w:rsidRPr="00707B68">
        <w:rPr>
          <w:rFonts w:asciiTheme="majorHAnsi" w:hAnsiTheme="majorHAnsi"/>
          <w:sz w:val="20"/>
          <w:szCs w:val="20"/>
        </w:rPr>
        <w:t xml:space="preserve">. </w:t>
      </w:r>
    </w:p>
    <w:p w14:paraId="6D3117D8" w14:textId="77777777" w:rsidR="00750012" w:rsidRPr="00707B68" w:rsidRDefault="00750012" w:rsidP="00C452A1">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jc w:val="both"/>
        <w:rPr>
          <w:rFonts w:asciiTheme="majorHAnsi" w:hAnsiTheme="majorHAnsi"/>
          <w:sz w:val="20"/>
          <w:szCs w:val="20"/>
        </w:rPr>
      </w:pPr>
    </w:p>
    <w:p w14:paraId="3FF6F42F" w14:textId="77777777" w:rsidR="00750012" w:rsidRPr="00707B68" w:rsidRDefault="00FC76C4" w:rsidP="00C452A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ind w:left="0" w:firstLine="0"/>
        <w:jc w:val="both"/>
        <w:rPr>
          <w:rFonts w:asciiTheme="majorHAnsi" w:hAnsiTheme="majorHAnsi"/>
          <w:sz w:val="20"/>
          <w:szCs w:val="20"/>
        </w:rPr>
      </w:pPr>
      <w:r w:rsidRPr="00707B68">
        <w:rPr>
          <w:rFonts w:asciiTheme="majorHAnsi" w:hAnsiTheme="majorHAnsi"/>
          <w:sz w:val="20"/>
          <w:szCs w:val="20"/>
        </w:rPr>
        <w:t xml:space="preserve">En quinto lugar, la Comisión encuentra que </w:t>
      </w:r>
      <w:r w:rsidR="00251427" w:rsidRPr="00707B68">
        <w:rPr>
          <w:rFonts w:asciiTheme="majorHAnsi" w:hAnsiTheme="majorHAnsi"/>
          <w:sz w:val="20"/>
          <w:szCs w:val="20"/>
        </w:rPr>
        <w:t xml:space="preserve">la investigación inició al día siguiente de la muerte del señor </w:t>
      </w:r>
      <w:r w:rsidR="00982C17" w:rsidRPr="00707B68">
        <w:rPr>
          <w:rFonts w:asciiTheme="majorHAnsi" w:hAnsiTheme="majorHAnsi"/>
          <w:sz w:val="20"/>
          <w:szCs w:val="20"/>
        </w:rPr>
        <w:t>Zapata y se ha prolongado hasta la actualidad, es decir, esta investigación previa lleva 19 años en estudio. Considerando los elementos del plazo razonable en la investigación,</w:t>
      </w:r>
      <w:r w:rsidR="00FE6142" w:rsidRPr="00707B68">
        <w:rPr>
          <w:rFonts w:asciiTheme="majorHAnsi" w:hAnsiTheme="majorHAnsi"/>
          <w:sz w:val="20"/>
          <w:szCs w:val="20"/>
        </w:rPr>
        <w:t xml:space="preserve"> </w:t>
      </w:r>
      <w:r w:rsidR="00982C17" w:rsidRPr="00707B68">
        <w:rPr>
          <w:rFonts w:asciiTheme="majorHAnsi" w:hAnsiTheme="majorHAnsi"/>
          <w:sz w:val="20"/>
          <w:szCs w:val="20"/>
        </w:rPr>
        <w:t xml:space="preserve">la CIDH encuentra que en principio la investigación de la muerte del señor Zapata fue un hecho presenciado por un testigo, que el día de los hechos se dio noticia a las autoridades, que los sospechosos de la autoría material de su muerte fueron dibujados y la autodefensa a la que pertenecían </w:t>
      </w:r>
      <w:r w:rsidR="000F6A89" w:rsidRPr="00707B68">
        <w:rPr>
          <w:rFonts w:asciiTheme="majorHAnsi" w:hAnsiTheme="majorHAnsi"/>
          <w:sz w:val="20"/>
          <w:szCs w:val="20"/>
        </w:rPr>
        <w:t>fue revelada por ellos mismos. La Comisión deduce que la seguridad con la que cometieron el asesinato es reflejo de que no existía voluntad de ocultar la autoría del crimen</w:t>
      </w:r>
      <w:r w:rsidR="00982C17" w:rsidRPr="00707B68">
        <w:rPr>
          <w:rFonts w:asciiTheme="majorHAnsi" w:hAnsiTheme="majorHAnsi"/>
          <w:sz w:val="20"/>
          <w:szCs w:val="20"/>
        </w:rPr>
        <w:t>. Con esta información accesible al órgano investigador, la CIDH considera que</w:t>
      </w:r>
      <w:r w:rsidR="00224503" w:rsidRPr="00707B68">
        <w:rPr>
          <w:rFonts w:asciiTheme="majorHAnsi" w:hAnsiTheme="majorHAnsi"/>
          <w:sz w:val="20"/>
          <w:szCs w:val="20"/>
        </w:rPr>
        <w:t xml:space="preserve">, al menos en su primer año, la investigación no revestía elementos de </w:t>
      </w:r>
      <w:r w:rsidR="00414BB0" w:rsidRPr="00707B68">
        <w:rPr>
          <w:rFonts w:asciiTheme="majorHAnsi" w:hAnsiTheme="majorHAnsi"/>
          <w:sz w:val="20"/>
          <w:szCs w:val="20"/>
        </w:rPr>
        <w:t xml:space="preserve">alta </w:t>
      </w:r>
      <w:r w:rsidR="00224503" w:rsidRPr="00707B68">
        <w:rPr>
          <w:rFonts w:asciiTheme="majorHAnsi" w:hAnsiTheme="majorHAnsi"/>
          <w:sz w:val="20"/>
          <w:szCs w:val="20"/>
        </w:rPr>
        <w:t xml:space="preserve">complejidad. </w:t>
      </w:r>
    </w:p>
    <w:p w14:paraId="7B84F39A" w14:textId="77777777" w:rsidR="00750012" w:rsidRPr="00707B68" w:rsidRDefault="00750012" w:rsidP="00C452A1">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jc w:val="both"/>
        <w:rPr>
          <w:rFonts w:asciiTheme="majorHAnsi" w:hAnsiTheme="majorHAnsi"/>
          <w:sz w:val="20"/>
          <w:szCs w:val="20"/>
        </w:rPr>
      </w:pPr>
    </w:p>
    <w:p w14:paraId="0968D896" w14:textId="77777777" w:rsidR="00750012" w:rsidRPr="00707B68" w:rsidRDefault="00224503" w:rsidP="00C452A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ind w:left="0" w:firstLine="0"/>
        <w:jc w:val="both"/>
        <w:rPr>
          <w:rFonts w:asciiTheme="majorHAnsi" w:hAnsiTheme="majorHAnsi"/>
          <w:sz w:val="20"/>
          <w:szCs w:val="20"/>
        </w:rPr>
      </w:pPr>
      <w:r w:rsidRPr="00707B68">
        <w:rPr>
          <w:rFonts w:asciiTheme="majorHAnsi" w:hAnsiTheme="majorHAnsi"/>
          <w:sz w:val="20"/>
          <w:szCs w:val="20"/>
        </w:rPr>
        <w:t>Ahora bien, efectivamente, en los años subsecuentes, los posibles perpetradores y un testigo fueron asesinados, lo que sin duda permite a la CID</w:t>
      </w:r>
      <w:r w:rsidR="00414BB0" w:rsidRPr="00707B68">
        <w:rPr>
          <w:rFonts w:asciiTheme="majorHAnsi" w:hAnsiTheme="majorHAnsi"/>
          <w:sz w:val="20"/>
          <w:szCs w:val="20"/>
        </w:rPr>
        <w:t>H concluir que a partir del año 2002</w:t>
      </w:r>
      <w:r w:rsidRPr="00707B68">
        <w:rPr>
          <w:rFonts w:asciiTheme="majorHAnsi" w:hAnsiTheme="majorHAnsi"/>
          <w:sz w:val="20"/>
          <w:szCs w:val="20"/>
        </w:rPr>
        <w:t xml:space="preserve"> se volvi</w:t>
      </w:r>
      <w:r w:rsidR="000F6A89" w:rsidRPr="00707B68">
        <w:rPr>
          <w:rFonts w:asciiTheme="majorHAnsi" w:hAnsiTheme="majorHAnsi"/>
          <w:sz w:val="20"/>
          <w:szCs w:val="20"/>
        </w:rPr>
        <w:t>ó compleja</w:t>
      </w:r>
      <w:r w:rsidR="007B0859" w:rsidRPr="00707B68">
        <w:rPr>
          <w:rFonts w:asciiTheme="majorHAnsi" w:hAnsiTheme="majorHAnsi"/>
          <w:sz w:val="20"/>
          <w:szCs w:val="20"/>
        </w:rPr>
        <w:t>, dada la eliminación de testimonios esenciales</w:t>
      </w:r>
      <w:r w:rsidR="000F6A89" w:rsidRPr="00707B68">
        <w:rPr>
          <w:rFonts w:asciiTheme="majorHAnsi" w:hAnsiTheme="majorHAnsi"/>
          <w:sz w:val="20"/>
          <w:szCs w:val="20"/>
        </w:rPr>
        <w:t xml:space="preserve">. Sin embargo, esta complejidad fue precisamente provocada por el comportamiento procesal del propio Estado en la falta de vinculación de los indicios que inicialmente estuvieron a su disposición. Luego de la complejización del caso, </w:t>
      </w:r>
      <w:r w:rsidR="001135BF" w:rsidRPr="00707B68">
        <w:rPr>
          <w:rFonts w:asciiTheme="majorHAnsi" w:hAnsiTheme="majorHAnsi"/>
          <w:sz w:val="20"/>
          <w:szCs w:val="20"/>
        </w:rPr>
        <w:t>el órgano investigador</w:t>
      </w:r>
      <w:r w:rsidR="000F6A89" w:rsidRPr="00707B68">
        <w:rPr>
          <w:rFonts w:asciiTheme="majorHAnsi" w:hAnsiTheme="majorHAnsi"/>
          <w:sz w:val="20"/>
          <w:szCs w:val="20"/>
        </w:rPr>
        <w:t xml:space="preserve"> integró muchas listas de personas en la investigación, pero no consta en el expediente un documento en el que se integre toda la actividad que permita identificar con qué sentido u objetivo se pretend</w:t>
      </w:r>
      <w:r w:rsidR="00906C97" w:rsidRPr="00707B68">
        <w:rPr>
          <w:rFonts w:asciiTheme="majorHAnsi" w:hAnsiTheme="majorHAnsi"/>
          <w:sz w:val="20"/>
          <w:szCs w:val="20"/>
        </w:rPr>
        <w:t xml:space="preserve">ió vincular a </w:t>
      </w:r>
      <w:r w:rsidR="001135BF" w:rsidRPr="00707B68">
        <w:rPr>
          <w:rFonts w:asciiTheme="majorHAnsi" w:hAnsiTheme="majorHAnsi"/>
          <w:sz w:val="20"/>
          <w:szCs w:val="20"/>
        </w:rPr>
        <w:t xml:space="preserve">todos a los </w:t>
      </w:r>
      <w:r w:rsidR="000F6A89" w:rsidRPr="00707B68">
        <w:rPr>
          <w:rFonts w:asciiTheme="majorHAnsi" w:hAnsiTheme="majorHAnsi"/>
          <w:sz w:val="20"/>
          <w:szCs w:val="20"/>
        </w:rPr>
        <w:t xml:space="preserve">paramilitares y agentes de la fuerza pública </w:t>
      </w:r>
      <w:r w:rsidR="00906C97" w:rsidRPr="00707B68">
        <w:rPr>
          <w:rFonts w:asciiTheme="majorHAnsi" w:hAnsiTheme="majorHAnsi"/>
          <w:sz w:val="20"/>
          <w:szCs w:val="20"/>
        </w:rPr>
        <w:t xml:space="preserve">sospechosos de tener </w:t>
      </w:r>
      <w:r w:rsidR="000F6A89" w:rsidRPr="00707B68">
        <w:rPr>
          <w:rFonts w:asciiTheme="majorHAnsi" w:hAnsiTheme="majorHAnsi"/>
          <w:sz w:val="20"/>
          <w:szCs w:val="20"/>
        </w:rPr>
        <w:t xml:space="preserve">con vínculos con los paramilitares </w:t>
      </w:r>
      <w:r w:rsidR="00906C97" w:rsidRPr="00707B68">
        <w:rPr>
          <w:rFonts w:asciiTheme="majorHAnsi" w:hAnsiTheme="majorHAnsi"/>
          <w:sz w:val="20"/>
          <w:szCs w:val="20"/>
        </w:rPr>
        <w:t>en la investigación</w:t>
      </w:r>
      <w:r w:rsidR="001135BF" w:rsidRPr="00707B68">
        <w:rPr>
          <w:rFonts w:asciiTheme="majorHAnsi" w:hAnsiTheme="majorHAnsi"/>
          <w:sz w:val="20"/>
          <w:szCs w:val="20"/>
        </w:rPr>
        <w:t xml:space="preserve"> ya mencionados en este informe</w:t>
      </w:r>
      <w:r w:rsidR="00906C97" w:rsidRPr="00707B68">
        <w:rPr>
          <w:rFonts w:asciiTheme="majorHAnsi" w:hAnsiTheme="majorHAnsi"/>
          <w:sz w:val="20"/>
          <w:szCs w:val="20"/>
        </w:rPr>
        <w:t>, más allá del hecho de haber operado en Segovia</w:t>
      </w:r>
      <w:r w:rsidR="00414BB0" w:rsidRPr="00707B68">
        <w:rPr>
          <w:rFonts w:asciiTheme="majorHAnsi" w:hAnsiTheme="majorHAnsi"/>
          <w:sz w:val="20"/>
          <w:szCs w:val="20"/>
        </w:rPr>
        <w:t xml:space="preserve"> en algún momento de su vida</w:t>
      </w:r>
      <w:r w:rsidR="00906C97" w:rsidRPr="00707B68">
        <w:rPr>
          <w:rFonts w:asciiTheme="majorHAnsi" w:hAnsiTheme="majorHAnsi"/>
          <w:sz w:val="20"/>
          <w:szCs w:val="20"/>
        </w:rPr>
        <w:t xml:space="preserve">. En estos términos, la Comisión observa que si bien existe actividad e impulso de oficio del órgano investigador de modo constante, también corrobora que el comportamiento procesal del órgano investigador solo continuó ampliando </w:t>
      </w:r>
      <w:r w:rsidR="001135BF" w:rsidRPr="00707B68">
        <w:rPr>
          <w:rFonts w:asciiTheme="majorHAnsi" w:hAnsiTheme="majorHAnsi"/>
          <w:sz w:val="20"/>
          <w:szCs w:val="20"/>
        </w:rPr>
        <w:t>la</w:t>
      </w:r>
      <w:r w:rsidR="00906C97" w:rsidRPr="00707B68">
        <w:rPr>
          <w:rFonts w:asciiTheme="majorHAnsi" w:hAnsiTheme="majorHAnsi"/>
          <w:sz w:val="20"/>
          <w:szCs w:val="20"/>
        </w:rPr>
        <w:t xml:space="preserve"> lista de personas que podrían llegar eventualmente a convertirse en sospechos</w:t>
      </w:r>
      <w:r w:rsidR="00414BB0" w:rsidRPr="00707B68">
        <w:rPr>
          <w:rFonts w:asciiTheme="majorHAnsi" w:hAnsiTheme="majorHAnsi"/>
          <w:sz w:val="20"/>
          <w:szCs w:val="20"/>
        </w:rPr>
        <w:t>a</w:t>
      </w:r>
      <w:r w:rsidR="00906C97" w:rsidRPr="00707B68">
        <w:rPr>
          <w:rFonts w:asciiTheme="majorHAnsi" w:hAnsiTheme="majorHAnsi"/>
          <w:sz w:val="20"/>
          <w:szCs w:val="20"/>
        </w:rPr>
        <w:t xml:space="preserve">s, pero </w:t>
      </w:r>
      <w:r w:rsidR="00414BB0" w:rsidRPr="00707B68">
        <w:rPr>
          <w:rFonts w:asciiTheme="majorHAnsi" w:hAnsiTheme="majorHAnsi"/>
          <w:sz w:val="20"/>
          <w:szCs w:val="20"/>
        </w:rPr>
        <w:t>sin que se puedan evidenciar resultados fructíferos de esta actividad, o al menos, una determinación de</w:t>
      </w:r>
      <w:r w:rsidR="001135BF" w:rsidRPr="00707B68">
        <w:rPr>
          <w:rFonts w:asciiTheme="majorHAnsi" w:hAnsiTheme="majorHAnsi"/>
          <w:sz w:val="20"/>
          <w:szCs w:val="20"/>
        </w:rPr>
        <w:t xml:space="preserve"> </w:t>
      </w:r>
      <w:r w:rsidR="00414BB0" w:rsidRPr="00707B68">
        <w:rPr>
          <w:rFonts w:asciiTheme="majorHAnsi" w:hAnsiTheme="majorHAnsi"/>
          <w:sz w:val="20"/>
          <w:szCs w:val="20"/>
        </w:rPr>
        <w:t>l</w:t>
      </w:r>
      <w:r w:rsidR="001135BF" w:rsidRPr="00707B68">
        <w:rPr>
          <w:rFonts w:asciiTheme="majorHAnsi" w:hAnsiTheme="majorHAnsi"/>
          <w:sz w:val="20"/>
          <w:szCs w:val="20"/>
        </w:rPr>
        <w:t xml:space="preserve">a situación </w:t>
      </w:r>
      <w:r w:rsidR="00414BB0" w:rsidRPr="00707B68">
        <w:rPr>
          <w:rFonts w:asciiTheme="majorHAnsi" w:hAnsiTheme="majorHAnsi"/>
          <w:sz w:val="20"/>
          <w:szCs w:val="20"/>
        </w:rPr>
        <w:t>de las investigaciones.</w:t>
      </w:r>
    </w:p>
    <w:p w14:paraId="25146E60" w14:textId="77777777" w:rsidR="00750012" w:rsidRPr="00707B68" w:rsidRDefault="00750012" w:rsidP="00C452A1">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jc w:val="both"/>
        <w:rPr>
          <w:rFonts w:asciiTheme="majorHAnsi" w:hAnsiTheme="majorHAnsi"/>
          <w:sz w:val="20"/>
          <w:szCs w:val="20"/>
        </w:rPr>
      </w:pPr>
    </w:p>
    <w:p w14:paraId="3F9DF03D" w14:textId="77777777" w:rsidR="00750012" w:rsidRPr="00707B68" w:rsidRDefault="00414BB0" w:rsidP="00C452A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ind w:left="0" w:firstLine="0"/>
        <w:jc w:val="both"/>
        <w:rPr>
          <w:rFonts w:asciiTheme="majorHAnsi" w:hAnsiTheme="majorHAnsi"/>
          <w:sz w:val="20"/>
          <w:szCs w:val="20"/>
        </w:rPr>
      </w:pPr>
      <w:r w:rsidRPr="00707B68">
        <w:rPr>
          <w:rFonts w:asciiTheme="majorHAnsi" w:hAnsiTheme="majorHAnsi"/>
          <w:sz w:val="20"/>
          <w:szCs w:val="20"/>
        </w:rPr>
        <w:t>En relación con la actividad procesal de la parte interesada, la Comisión no observa obstaculización de la justicia por parte de los familiares de las víctimas.</w:t>
      </w:r>
      <w:r w:rsidR="00FE6142" w:rsidRPr="00707B68">
        <w:rPr>
          <w:rFonts w:asciiTheme="majorHAnsi" w:hAnsiTheme="majorHAnsi"/>
          <w:sz w:val="20"/>
          <w:szCs w:val="20"/>
        </w:rPr>
        <w:t xml:space="preserve"> Así, contemplando todos los elementos analizados sobre el </w:t>
      </w:r>
      <w:r w:rsidR="00FE6142" w:rsidRPr="00707B68">
        <w:rPr>
          <w:rFonts w:asciiTheme="majorHAnsi" w:hAnsiTheme="majorHAnsi"/>
          <w:sz w:val="20"/>
          <w:szCs w:val="20"/>
        </w:rPr>
        <w:lastRenderedPageBreak/>
        <w:t>plazo razonable, la CIDH considera que la investigación por la muerte del señor Zapata no se ha llevado dentro de un plazo razonable.</w:t>
      </w:r>
    </w:p>
    <w:p w14:paraId="522370DA" w14:textId="77777777" w:rsidR="00750012" w:rsidRPr="00707B68" w:rsidRDefault="00750012" w:rsidP="00C452A1">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jc w:val="both"/>
        <w:rPr>
          <w:rFonts w:asciiTheme="majorHAnsi" w:hAnsiTheme="majorHAnsi"/>
          <w:sz w:val="20"/>
          <w:szCs w:val="20"/>
        </w:rPr>
      </w:pPr>
    </w:p>
    <w:p w14:paraId="60D1F47B" w14:textId="5345259A" w:rsidR="002549EE" w:rsidRPr="00707B68" w:rsidRDefault="00FE6142" w:rsidP="00C452A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ind w:left="0" w:firstLine="0"/>
        <w:jc w:val="both"/>
        <w:rPr>
          <w:rFonts w:asciiTheme="majorHAnsi" w:hAnsiTheme="majorHAnsi"/>
          <w:sz w:val="20"/>
          <w:szCs w:val="20"/>
        </w:rPr>
      </w:pPr>
      <w:r w:rsidRPr="00707B68">
        <w:rPr>
          <w:rFonts w:asciiTheme="majorHAnsi" w:hAnsiTheme="majorHAnsi"/>
          <w:sz w:val="20"/>
          <w:szCs w:val="20"/>
        </w:rPr>
        <w:t>En virtud de las anteriores consideraciones, la Comisión concluye que el Estado colombiano violó los derechos a las garantías judiciales y a la protección judicial establecidos en los artículos 8.1 y 25.1 de la Convención Americana en relación con las obligaciones consagradas en el artículo 1.1 del mismo instrumento, en perjuicio de los familiares del señor Zapata</w:t>
      </w:r>
      <w:r w:rsidR="00DD1277" w:rsidRPr="00707B68">
        <w:rPr>
          <w:rFonts w:asciiTheme="majorHAnsi" w:hAnsiTheme="majorHAnsi"/>
          <w:sz w:val="20"/>
          <w:szCs w:val="20"/>
        </w:rPr>
        <w:t xml:space="preserve"> identificados en el presente informe</w:t>
      </w:r>
      <w:r w:rsidRPr="00707B68">
        <w:rPr>
          <w:rFonts w:asciiTheme="majorHAnsi" w:hAnsiTheme="majorHAnsi"/>
          <w:sz w:val="20"/>
          <w:szCs w:val="20"/>
        </w:rPr>
        <w:t xml:space="preserve">. </w:t>
      </w:r>
    </w:p>
    <w:p w14:paraId="719CF86F" w14:textId="77777777" w:rsidR="007A08B3" w:rsidRPr="00707B68" w:rsidRDefault="007A08B3" w:rsidP="00C452A1">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720"/>
          <w:tab w:val="left" w:pos="1440"/>
        </w:tabs>
        <w:jc w:val="both"/>
        <w:rPr>
          <w:rFonts w:asciiTheme="majorHAnsi" w:hAnsiTheme="majorHAnsi"/>
          <w:sz w:val="20"/>
          <w:szCs w:val="20"/>
          <w:lang w:val="es-ES"/>
        </w:rPr>
      </w:pPr>
    </w:p>
    <w:p w14:paraId="2DF3ADCA" w14:textId="1E318C49" w:rsidR="002F2AF1" w:rsidRPr="00707B68" w:rsidRDefault="002F2AF1" w:rsidP="00147351">
      <w:pPr>
        <w:pStyle w:val="Heading2"/>
      </w:pPr>
      <w:bookmarkStart w:id="17" w:name="_Toc506095189"/>
      <w:bookmarkStart w:id="18" w:name="_Toc4170592"/>
      <w:bookmarkStart w:id="19" w:name="_Toc456358867"/>
      <w:r w:rsidRPr="00707B68">
        <w:t>El derecho a la integrida</w:t>
      </w:r>
      <w:r w:rsidR="007710BA" w:rsidRPr="00707B68">
        <w:t xml:space="preserve">d personal de la familia de Jesús Ramiro Zapata </w:t>
      </w:r>
      <w:r w:rsidR="00147351" w:rsidRPr="00707B68">
        <w:t>(artículo 5.1 de la Convención Americana</w:t>
      </w:r>
      <w:r w:rsidRPr="00707B68">
        <w:t xml:space="preserve">  en relación con el artículo 1.1 </w:t>
      </w:r>
      <w:bookmarkEnd w:id="17"/>
      <w:bookmarkEnd w:id="18"/>
      <w:r w:rsidR="00147351" w:rsidRPr="00707B68">
        <w:t>del mismo instrumento)</w:t>
      </w:r>
      <w:bookmarkEnd w:id="19"/>
    </w:p>
    <w:p w14:paraId="785EF4C6" w14:textId="77777777" w:rsidR="004E1A7A" w:rsidRPr="00707B68" w:rsidRDefault="004E1A7A" w:rsidP="00C452A1">
      <w:pPr>
        <w:tabs>
          <w:tab w:val="left" w:pos="450"/>
        </w:tabs>
        <w:jc w:val="both"/>
        <w:rPr>
          <w:rFonts w:asciiTheme="majorHAnsi" w:hAnsiTheme="majorHAnsi"/>
          <w:sz w:val="20"/>
          <w:szCs w:val="20"/>
        </w:rPr>
      </w:pPr>
    </w:p>
    <w:p w14:paraId="6DE13A53" w14:textId="18ECE620" w:rsidR="001135BF" w:rsidRPr="00707B68" w:rsidRDefault="00DD1277" w:rsidP="00C452A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ind w:left="0" w:firstLine="0"/>
        <w:jc w:val="both"/>
        <w:rPr>
          <w:rFonts w:asciiTheme="majorHAnsi" w:hAnsiTheme="majorHAnsi"/>
          <w:sz w:val="20"/>
          <w:szCs w:val="20"/>
        </w:rPr>
      </w:pPr>
      <w:r w:rsidRPr="00707B68">
        <w:rPr>
          <w:rFonts w:asciiTheme="majorHAnsi" w:hAnsiTheme="majorHAnsi"/>
          <w:sz w:val="20"/>
          <w:szCs w:val="20"/>
        </w:rPr>
        <w:t>En relación con</w:t>
      </w:r>
      <w:r w:rsidR="001135BF" w:rsidRPr="00707B68">
        <w:rPr>
          <w:rFonts w:asciiTheme="majorHAnsi" w:hAnsiTheme="majorHAnsi"/>
          <w:sz w:val="20"/>
          <w:szCs w:val="20"/>
        </w:rPr>
        <w:t xml:space="preserve"> los familiares de víctimas de ciertas violaciones de derechos humanos, la Comisión y la Corte Interamericana han indicado que éstos pueden ser considerados, a su vez, como víctimas</w:t>
      </w:r>
      <w:r w:rsidR="001135BF" w:rsidRPr="00707B68">
        <w:rPr>
          <w:rFonts w:asciiTheme="majorHAnsi" w:hAnsiTheme="majorHAnsi"/>
          <w:sz w:val="20"/>
          <w:szCs w:val="20"/>
          <w:vertAlign w:val="superscript"/>
        </w:rPr>
        <w:footnoteReference w:id="161"/>
      </w:r>
      <w:r w:rsidR="001135BF" w:rsidRPr="00707B68">
        <w:rPr>
          <w:rFonts w:asciiTheme="majorHAnsi" w:hAnsiTheme="majorHAnsi"/>
          <w:sz w:val="20"/>
          <w:szCs w:val="20"/>
        </w:rPr>
        <w:t>. Al respecto, la Corte ha dispuesto que pueden verse afectados en su integridad psíquica y moral como consecuencia de las situaciones particulares que padecieron las víctimas, así como de las posteriores actuaciones u omisiones de las autoridades internas frente a estos hechos</w:t>
      </w:r>
      <w:r w:rsidR="001135BF" w:rsidRPr="00707B68">
        <w:rPr>
          <w:rFonts w:asciiTheme="majorHAnsi" w:hAnsiTheme="majorHAnsi"/>
          <w:sz w:val="20"/>
          <w:szCs w:val="20"/>
          <w:vertAlign w:val="superscript"/>
        </w:rPr>
        <w:footnoteReference w:id="162"/>
      </w:r>
      <w:r w:rsidR="001135BF" w:rsidRPr="00707B68">
        <w:rPr>
          <w:rFonts w:asciiTheme="majorHAnsi" w:hAnsiTheme="majorHAnsi"/>
          <w:sz w:val="20"/>
          <w:szCs w:val="20"/>
        </w:rPr>
        <w:t>.</w:t>
      </w:r>
    </w:p>
    <w:p w14:paraId="74877FA8" w14:textId="77777777" w:rsidR="001135BF" w:rsidRPr="00707B68" w:rsidRDefault="001135BF" w:rsidP="00C452A1">
      <w:pPr>
        <w:tabs>
          <w:tab w:val="left" w:pos="450"/>
        </w:tabs>
        <w:jc w:val="both"/>
        <w:rPr>
          <w:rFonts w:asciiTheme="majorHAnsi" w:hAnsiTheme="majorHAnsi"/>
          <w:sz w:val="20"/>
          <w:szCs w:val="20"/>
          <w:lang w:val="es-ES"/>
        </w:rPr>
      </w:pPr>
    </w:p>
    <w:p w14:paraId="0D393377" w14:textId="2208DB2D" w:rsidR="001135BF" w:rsidRPr="00707B68" w:rsidRDefault="001135BF" w:rsidP="00C452A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ind w:left="0" w:firstLine="0"/>
        <w:jc w:val="both"/>
        <w:rPr>
          <w:rFonts w:asciiTheme="majorHAnsi" w:hAnsiTheme="majorHAnsi"/>
          <w:sz w:val="20"/>
          <w:szCs w:val="20"/>
        </w:rPr>
      </w:pPr>
      <w:r w:rsidRPr="00707B68">
        <w:rPr>
          <w:rFonts w:asciiTheme="majorHAnsi" w:hAnsiTheme="majorHAnsi"/>
          <w:sz w:val="20"/>
          <w:szCs w:val="20"/>
        </w:rPr>
        <w:t>En el presente caso la Comisión dio por establecida la violación de las garantías judiciales y la protección judicial de los familiares del señor Zapata</w:t>
      </w:r>
      <w:r w:rsidR="00F34FF7" w:rsidRPr="00707B68">
        <w:rPr>
          <w:rFonts w:asciiTheme="majorHAnsi" w:hAnsiTheme="majorHAnsi"/>
          <w:sz w:val="20"/>
          <w:szCs w:val="20"/>
        </w:rPr>
        <w:t xml:space="preserve">, </w:t>
      </w:r>
      <w:r w:rsidR="00953A9B" w:rsidRPr="00707B68">
        <w:rPr>
          <w:rFonts w:asciiTheme="majorHAnsi" w:hAnsiTheme="majorHAnsi"/>
          <w:sz w:val="20"/>
          <w:szCs w:val="20"/>
        </w:rPr>
        <w:t>particularmente, la Comisión</w:t>
      </w:r>
      <w:r w:rsidR="00F34FF7" w:rsidRPr="00707B68">
        <w:rPr>
          <w:rFonts w:asciiTheme="majorHAnsi" w:hAnsiTheme="majorHAnsi"/>
          <w:sz w:val="20"/>
          <w:szCs w:val="20"/>
        </w:rPr>
        <w:t xml:space="preserve"> observa que en el caso de Adrián Zapata los peticionarios informaron </w:t>
      </w:r>
      <w:r w:rsidR="00953A9B" w:rsidRPr="00707B68">
        <w:rPr>
          <w:rFonts w:asciiTheme="majorHAnsi" w:hAnsiTheme="majorHAnsi"/>
          <w:sz w:val="20"/>
          <w:szCs w:val="20"/>
        </w:rPr>
        <w:t>sobre hostigamientos,</w:t>
      </w:r>
      <w:r w:rsidR="00F34FF7" w:rsidRPr="00707B68">
        <w:rPr>
          <w:rFonts w:asciiTheme="majorHAnsi" w:hAnsiTheme="majorHAnsi"/>
          <w:sz w:val="20"/>
          <w:szCs w:val="20"/>
        </w:rPr>
        <w:t xml:space="preserve"> </w:t>
      </w:r>
      <w:r w:rsidR="00953A9B" w:rsidRPr="00707B68">
        <w:rPr>
          <w:rFonts w:asciiTheme="majorHAnsi" w:hAnsiTheme="majorHAnsi"/>
          <w:sz w:val="20"/>
          <w:szCs w:val="20"/>
        </w:rPr>
        <w:t>y amenazas que le motivaron a desplazarse, siendo incluso posteriormente asesinato en circunstancias que no han sido todavía esclarecidas</w:t>
      </w:r>
      <w:r w:rsidRPr="00707B68">
        <w:rPr>
          <w:rFonts w:asciiTheme="majorHAnsi" w:hAnsiTheme="majorHAnsi"/>
          <w:sz w:val="20"/>
          <w:szCs w:val="20"/>
        </w:rPr>
        <w:t>. E</w:t>
      </w:r>
      <w:r w:rsidR="00F34FF7" w:rsidRPr="00707B68">
        <w:rPr>
          <w:rFonts w:asciiTheme="majorHAnsi" w:hAnsiTheme="majorHAnsi"/>
          <w:sz w:val="20"/>
          <w:szCs w:val="20"/>
        </w:rPr>
        <w:t xml:space="preserve">n </w:t>
      </w:r>
      <w:r w:rsidR="00953A9B" w:rsidRPr="00707B68">
        <w:rPr>
          <w:rFonts w:asciiTheme="majorHAnsi" w:hAnsiTheme="majorHAnsi"/>
          <w:sz w:val="20"/>
          <w:szCs w:val="20"/>
        </w:rPr>
        <w:t>virtud de lo anterior</w:t>
      </w:r>
      <w:r w:rsidR="00F34FF7" w:rsidRPr="00707B68">
        <w:rPr>
          <w:rFonts w:asciiTheme="majorHAnsi" w:hAnsiTheme="majorHAnsi"/>
          <w:sz w:val="20"/>
          <w:szCs w:val="20"/>
        </w:rPr>
        <w:t xml:space="preserve">, la Comisión observa que los familiares enfrentaron ante la falta de debida diligencia estatal </w:t>
      </w:r>
      <w:r w:rsidRPr="00707B68">
        <w:rPr>
          <w:rFonts w:asciiTheme="majorHAnsi" w:hAnsiTheme="majorHAnsi"/>
          <w:sz w:val="20"/>
          <w:szCs w:val="20"/>
        </w:rPr>
        <w:t>de modo autónomo una fuente de sufrimiento</w:t>
      </w:r>
      <w:r w:rsidR="00715C8C" w:rsidRPr="00707B68">
        <w:rPr>
          <w:rFonts w:asciiTheme="majorHAnsi" w:hAnsiTheme="majorHAnsi"/>
          <w:sz w:val="20"/>
          <w:szCs w:val="20"/>
        </w:rPr>
        <w:t>, quienes han sufrido actos de violencia y</w:t>
      </w:r>
      <w:r w:rsidRPr="00707B68">
        <w:rPr>
          <w:rFonts w:asciiTheme="majorHAnsi" w:hAnsiTheme="majorHAnsi"/>
          <w:sz w:val="20"/>
          <w:szCs w:val="20"/>
        </w:rPr>
        <w:t xml:space="preserve"> la fecha no tienen certeza de la causa y las circunstancia</w:t>
      </w:r>
      <w:r w:rsidR="00715C8C" w:rsidRPr="00707B68">
        <w:rPr>
          <w:rFonts w:asciiTheme="majorHAnsi" w:hAnsiTheme="majorHAnsi"/>
          <w:sz w:val="20"/>
          <w:szCs w:val="20"/>
        </w:rPr>
        <w:t>s de la</w:t>
      </w:r>
      <w:r w:rsidRPr="00707B68">
        <w:rPr>
          <w:rFonts w:asciiTheme="majorHAnsi" w:hAnsiTheme="majorHAnsi"/>
          <w:sz w:val="20"/>
          <w:szCs w:val="20"/>
        </w:rPr>
        <w:t xml:space="preserve"> muerte</w:t>
      </w:r>
      <w:r w:rsidR="00715C8C" w:rsidRPr="00707B68">
        <w:rPr>
          <w:rFonts w:asciiTheme="majorHAnsi" w:hAnsiTheme="majorHAnsi"/>
          <w:sz w:val="20"/>
          <w:szCs w:val="20"/>
        </w:rPr>
        <w:t xml:space="preserve"> de su ser querido</w:t>
      </w:r>
      <w:r w:rsidRPr="00707B68">
        <w:rPr>
          <w:rFonts w:asciiTheme="majorHAnsi" w:hAnsiTheme="majorHAnsi"/>
          <w:sz w:val="20"/>
          <w:szCs w:val="20"/>
        </w:rPr>
        <w:t xml:space="preserve">. </w:t>
      </w:r>
      <w:r w:rsidR="00715C8C" w:rsidRPr="00707B68">
        <w:rPr>
          <w:rFonts w:asciiTheme="majorHAnsi" w:hAnsiTheme="majorHAnsi"/>
          <w:sz w:val="20"/>
          <w:szCs w:val="20"/>
        </w:rPr>
        <w:t>Sobre este punto</w:t>
      </w:r>
      <w:r w:rsidRPr="00707B68">
        <w:rPr>
          <w:rFonts w:asciiTheme="majorHAnsi" w:hAnsiTheme="majorHAnsi"/>
          <w:sz w:val="20"/>
          <w:szCs w:val="20"/>
        </w:rPr>
        <w:t>, la Corte ha indicado que</w:t>
      </w:r>
      <w:r w:rsidR="00DD1277" w:rsidRPr="00707B68">
        <w:rPr>
          <w:rFonts w:asciiTheme="majorHAnsi" w:hAnsiTheme="majorHAnsi"/>
          <w:sz w:val="20"/>
          <w:szCs w:val="20"/>
        </w:rPr>
        <w:t xml:space="preserve"> “</w:t>
      </w:r>
      <w:r w:rsidRPr="00707B68">
        <w:rPr>
          <w:rFonts w:asciiTheme="majorHAnsi" w:hAnsiTheme="majorHAnsi"/>
          <w:sz w:val="20"/>
          <w:szCs w:val="20"/>
        </w:rPr>
        <w:t>la ausencia de una investigación completa y efectiva sobre los hechos constituye una fuente de sufrimiento y angustia adicional para las víctimas y sus familiares, quienes tienen el derecho de conocer la verdad de lo ocurrido</w:t>
      </w:r>
      <w:r w:rsidR="00DD1277" w:rsidRPr="00707B68">
        <w:rPr>
          <w:rFonts w:asciiTheme="majorHAnsi" w:hAnsiTheme="majorHAnsi"/>
          <w:sz w:val="20"/>
          <w:szCs w:val="20"/>
        </w:rPr>
        <w:t>”</w:t>
      </w:r>
      <w:r w:rsidRPr="00707B68">
        <w:rPr>
          <w:rFonts w:asciiTheme="majorHAnsi" w:hAnsiTheme="majorHAnsi"/>
          <w:sz w:val="20"/>
          <w:szCs w:val="20"/>
        </w:rPr>
        <w:t>.</w:t>
      </w:r>
      <w:r w:rsidR="00DD1277" w:rsidRPr="00707B68">
        <w:rPr>
          <w:rFonts w:asciiTheme="majorHAnsi" w:hAnsiTheme="majorHAnsi"/>
          <w:sz w:val="20"/>
          <w:szCs w:val="20"/>
        </w:rPr>
        <w:t xml:space="preserve"> La Corte agregó que d</w:t>
      </w:r>
      <w:r w:rsidRPr="00707B68">
        <w:rPr>
          <w:rFonts w:asciiTheme="majorHAnsi" w:hAnsiTheme="majorHAnsi"/>
          <w:sz w:val="20"/>
          <w:szCs w:val="20"/>
        </w:rPr>
        <w:t>icho derecho a la verdad exige la determinación procesal de la más completa verdad histórica posible, lo cual incluye la determinación judicial de los patrones de actuación conjunta y de todas las personas que de diversas formas participaron en dichas violaciones y sus correspondientes responsabilidades</w:t>
      </w:r>
      <w:r w:rsidRPr="00707B68">
        <w:rPr>
          <w:rFonts w:asciiTheme="majorHAnsi" w:hAnsiTheme="majorHAnsi"/>
          <w:sz w:val="20"/>
          <w:szCs w:val="20"/>
          <w:vertAlign w:val="superscript"/>
        </w:rPr>
        <w:footnoteReference w:id="163"/>
      </w:r>
      <w:r w:rsidRPr="00707B68">
        <w:rPr>
          <w:rFonts w:asciiTheme="majorHAnsi" w:hAnsiTheme="majorHAnsi"/>
          <w:sz w:val="20"/>
          <w:szCs w:val="20"/>
          <w:vertAlign w:val="superscript"/>
        </w:rPr>
        <w:t>.</w:t>
      </w:r>
      <w:r w:rsidRPr="00707B68">
        <w:rPr>
          <w:rFonts w:asciiTheme="majorHAnsi" w:hAnsiTheme="majorHAnsi"/>
          <w:sz w:val="20"/>
          <w:szCs w:val="20"/>
        </w:rPr>
        <w:t xml:space="preserve">  </w:t>
      </w:r>
    </w:p>
    <w:p w14:paraId="66781134" w14:textId="77777777" w:rsidR="001135BF" w:rsidRPr="00707B68" w:rsidRDefault="001135BF" w:rsidP="00C452A1">
      <w:pPr>
        <w:tabs>
          <w:tab w:val="left" w:pos="450"/>
        </w:tabs>
        <w:jc w:val="both"/>
        <w:rPr>
          <w:rFonts w:asciiTheme="majorHAnsi" w:hAnsiTheme="majorHAnsi"/>
          <w:sz w:val="20"/>
          <w:szCs w:val="20"/>
          <w:lang w:val="es-ES"/>
        </w:rPr>
      </w:pPr>
    </w:p>
    <w:p w14:paraId="2738E1D7" w14:textId="0E3506BE" w:rsidR="001135BF" w:rsidRPr="00707B68" w:rsidRDefault="00715C8C" w:rsidP="00C452A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ind w:left="0" w:firstLine="0"/>
        <w:jc w:val="both"/>
        <w:rPr>
          <w:rFonts w:asciiTheme="majorHAnsi" w:hAnsiTheme="majorHAnsi"/>
          <w:sz w:val="20"/>
          <w:szCs w:val="20"/>
        </w:rPr>
      </w:pPr>
      <w:r w:rsidRPr="00707B68">
        <w:rPr>
          <w:rFonts w:asciiTheme="majorHAnsi" w:hAnsiTheme="majorHAnsi"/>
          <w:sz w:val="20"/>
          <w:szCs w:val="20"/>
        </w:rPr>
        <w:t>De acuerdo a lo anterior,</w:t>
      </w:r>
      <w:r w:rsidR="00102FFC" w:rsidRPr="00707B68">
        <w:rPr>
          <w:rFonts w:asciiTheme="majorHAnsi" w:hAnsiTheme="majorHAnsi"/>
          <w:sz w:val="20"/>
          <w:szCs w:val="20"/>
        </w:rPr>
        <w:t xml:space="preserve"> </w:t>
      </w:r>
      <w:r w:rsidR="001135BF" w:rsidRPr="00707B68">
        <w:rPr>
          <w:rFonts w:asciiTheme="majorHAnsi" w:hAnsiTheme="majorHAnsi"/>
          <w:sz w:val="20"/>
          <w:szCs w:val="20"/>
        </w:rPr>
        <w:t>la Comisión considera que la pérdida de su ser querido en circunstancias como las descritas en el presente informe, así como la ausencia de verdad y justicia, y el retardo en las investigaciones ocasionaron sufrimiento</w:t>
      </w:r>
      <w:r w:rsidRPr="00707B68">
        <w:rPr>
          <w:rFonts w:asciiTheme="majorHAnsi" w:hAnsiTheme="majorHAnsi"/>
          <w:sz w:val="20"/>
          <w:szCs w:val="20"/>
        </w:rPr>
        <w:t>, una situación de riesgo</w:t>
      </w:r>
      <w:r w:rsidR="001135BF" w:rsidRPr="00707B68">
        <w:rPr>
          <w:rFonts w:asciiTheme="majorHAnsi" w:hAnsiTheme="majorHAnsi"/>
          <w:sz w:val="20"/>
          <w:szCs w:val="20"/>
        </w:rPr>
        <w:t xml:space="preserve"> y angustia</w:t>
      </w:r>
      <w:r w:rsidRPr="00707B68">
        <w:rPr>
          <w:rFonts w:asciiTheme="majorHAnsi" w:hAnsiTheme="majorHAnsi"/>
          <w:sz w:val="20"/>
          <w:szCs w:val="20"/>
        </w:rPr>
        <w:t xml:space="preserve"> constantes</w:t>
      </w:r>
      <w:r w:rsidR="001135BF" w:rsidRPr="00707B68">
        <w:rPr>
          <w:rFonts w:asciiTheme="majorHAnsi" w:hAnsiTheme="majorHAnsi"/>
          <w:sz w:val="20"/>
          <w:szCs w:val="20"/>
        </w:rPr>
        <w:t xml:space="preserve"> en perjuicio de los familiares </w:t>
      </w:r>
      <w:r w:rsidR="00102FFC" w:rsidRPr="00707B68">
        <w:rPr>
          <w:rFonts w:asciiTheme="majorHAnsi" w:hAnsiTheme="majorHAnsi"/>
          <w:sz w:val="20"/>
          <w:szCs w:val="20"/>
        </w:rPr>
        <w:t>de Jesús Ramiro Zapata</w:t>
      </w:r>
      <w:r w:rsidR="002848CE" w:rsidRPr="00707B68">
        <w:rPr>
          <w:rFonts w:asciiTheme="majorHAnsi" w:hAnsiTheme="majorHAnsi"/>
          <w:sz w:val="20"/>
          <w:szCs w:val="20"/>
        </w:rPr>
        <w:t xml:space="preserve"> identificados en el presente informe</w:t>
      </w:r>
      <w:r w:rsidR="007F50D4" w:rsidRPr="00707B68">
        <w:rPr>
          <w:rFonts w:asciiTheme="majorHAnsi" w:hAnsiTheme="majorHAnsi"/>
          <w:sz w:val="20"/>
          <w:szCs w:val="20"/>
        </w:rPr>
        <w:t xml:space="preserve"> (ver supra párr. 29)</w:t>
      </w:r>
      <w:r w:rsidR="001135BF" w:rsidRPr="00707B68">
        <w:rPr>
          <w:rFonts w:asciiTheme="majorHAnsi" w:hAnsiTheme="majorHAnsi"/>
          <w:sz w:val="20"/>
          <w:szCs w:val="20"/>
        </w:rPr>
        <w:t xml:space="preserve">, en violación de su derecho a la integridad psíquica y moral establecido en el artículo 5.1 de la Convención Americana en relación con las obligaciones contenidas en el artículo 1.1 del mismo instrumento. </w:t>
      </w:r>
    </w:p>
    <w:p w14:paraId="4C3CC8CD" w14:textId="77777777" w:rsidR="004D3FB7" w:rsidRPr="00707B68" w:rsidRDefault="004D3FB7" w:rsidP="00C452A1">
      <w:pPr>
        <w:jc w:val="both"/>
        <w:rPr>
          <w:rFonts w:asciiTheme="majorHAnsi" w:hAnsiTheme="majorHAnsi"/>
          <w:sz w:val="20"/>
          <w:szCs w:val="20"/>
          <w:lang w:val="es-ES"/>
        </w:rPr>
      </w:pPr>
    </w:p>
    <w:p w14:paraId="52F03631" w14:textId="77777777" w:rsidR="007A08B3" w:rsidRPr="00707B68" w:rsidRDefault="007A08B3" w:rsidP="008E5267">
      <w:pPr>
        <w:pStyle w:val="Heading1"/>
      </w:pPr>
      <w:bookmarkStart w:id="20" w:name="_Toc456358868"/>
      <w:r w:rsidRPr="00707B68">
        <w:t>CONCLUSIONES Y RECOMENDACIONES</w:t>
      </w:r>
      <w:bookmarkEnd w:id="20"/>
      <w:r w:rsidRPr="00707B68">
        <w:t xml:space="preserve"> </w:t>
      </w:r>
    </w:p>
    <w:p w14:paraId="0A9BD8AE" w14:textId="77777777" w:rsidR="00BF21F5" w:rsidRPr="00707B68" w:rsidRDefault="00BF21F5" w:rsidP="00BF21F5">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jc w:val="both"/>
        <w:rPr>
          <w:rFonts w:asciiTheme="majorHAnsi" w:hAnsiTheme="majorHAnsi"/>
          <w:sz w:val="20"/>
          <w:szCs w:val="20"/>
        </w:rPr>
      </w:pPr>
    </w:p>
    <w:p w14:paraId="7B0F6805" w14:textId="3B98CA5A" w:rsidR="00346ED7" w:rsidRPr="00707B68" w:rsidRDefault="00346ED7" w:rsidP="00346ED7">
      <w:pPr>
        <w:pStyle w:val="parrafos"/>
        <w:numPr>
          <w:ilvl w:val="0"/>
          <w:numId w:val="55"/>
        </w:numPr>
        <w:tabs>
          <w:tab w:val="left" w:pos="450"/>
        </w:tabs>
        <w:ind w:left="0" w:firstLine="0"/>
        <w:rPr>
          <w:color w:val="auto"/>
        </w:rPr>
      </w:pPr>
      <w:r w:rsidRPr="00707B68">
        <w:rPr>
          <w:color w:val="auto"/>
          <w:lang w:val="es-ES_tradnl"/>
        </w:rPr>
        <w:t>La</w:t>
      </w:r>
      <w:r w:rsidRPr="00707B68">
        <w:rPr>
          <w:color w:val="auto"/>
        </w:rPr>
        <w:t xml:space="preserve"> </w:t>
      </w:r>
      <w:r w:rsidRPr="00707B68">
        <w:rPr>
          <w:color w:val="auto"/>
          <w:lang w:val="es-ES_tradnl"/>
        </w:rPr>
        <w:t>Comisión</w:t>
      </w:r>
      <w:r w:rsidRPr="00707B68">
        <w:rPr>
          <w:color w:val="auto"/>
        </w:rPr>
        <w:t xml:space="preserve"> concluye que el Estado colombiano es responsable por la violación de los derechos </w:t>
      </w:r>
      <w:r w:rsidRPr="00707B68">
        <w:rPr>
          <w:color w:val="auto"/>
          <w:lang w:val="es-ES_tradnl"/>
        </w:rPr>
        <w:t>establecidos</w:t>
      </w:r>
      <w:r w:rsidRPr="00707B68">
        <w:rPr>
          <w:color w:val="auto"/>
        </w:rPr>
        <w:t xml:space="preserve"> en </w:t>
      </w:r>
      <w:r w:rsidRPr="00707B68">
        <w:rPr>
          <w:color w:val="auto"/>
          <w:lang w:val="es-ES_tradnl"/>
        </w:rPr>
        <w:t>los</w:t>
      </w:r>
      <w:r w:rsidRPr="00707B68">
        <w:rPr>
          <w:color w:val="auto"/>
        </w:rPr>
        <w:t xml:space="preserve"> artículos </w:t>
      </w:r>
      <w:r w:rsidR="002848CE" w:rsidRPr="00707B68">
        <w:rPr>
          <w:color w:val="auto"/>
        </w:rPr>
        <w:t>4.1, 5.1, 8.1, 11.1, 13.1, 16.1, 22.1 y 25.1</w:t>
      </w:r>
      <w:r w:rsidRPr="00707B68">
        <w:rPr>
          <w:color w:val="auto"/>
        </w:rPr>
        <w:t xml:space="preserve"> de la Convención Americana sobre Derechos Humanos, en relación con las obligaciones establecidas en el artículo 1.1 del mismo instrumento en perjuicio de las  personas </w:t>
      </w:r>
      <w:r w:rsidR="002848CE" w:rsidRPr="00707B68">
        <w:rPr>
          <w:color w:val="auto"/>
        </w:rPr>
        <w:t>indicadas en cada una de las secciones del presente informe</w:t>
      </w:r>
      <w:r w:rsidRPr="00707B68">
        <w:rPr>
          <w:color w:val="auto"/>
        </w:rPr>
        <w:t xml:space="preserve">. </w:t>
      </w:r>
    </w:p>
    <w:p w14:paraId="19167271" w14:textId="77777777" w:rsidR="00346ED7" w:rsidRPr="00707B68" w:rsidRDefault="00346ED7" w:rsidP="00BF21F5">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jc w:val="both"/>
        <w:rPr>
          <w:rFonts w:asciiTheme="majorHAnsi" w:hAnsiTheme="majorHAnsi"/>
          <w:sz w:val="20"/>
          <w:szCs w:val="20"/>
        </w:rPr>
      </w:pPr>
    </w:p>
    <w:p w14:paraId="300EA5B3" w14:textId="45BEBD34" w:rsidR="007A08B3" w:rsidRPr="00707B68" w:rsidRDefault="00BF21F5" w:rsidP="00C452A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s>
        <w:ind w:left="0" w:firstLine="0"/>
        <w:jc w:val="both"/>
        <w:rPr>
          <w:rFonts w:asciiTheme="majorHAnsi" w:hAnsiTheme="majorHAnsi"/>
          <w:sz w:val="20"/>
          <w:szCs w:val="20"/>
        </w:rPr>
      </w:pPr>
      <w:r w:rsidRPr="00707B68">
        <w:rPr>
          <w:rFonts w:asciiTheme="majorHAnsi" w:hAnsiTheme="majorHAnsi"/>
          <w:sz w:val="20"/>
          <w:szCs w:val="20"/>
        </w:rPr>
        <w:t>Asimismo, e</w:t>
      </w:r>
      <w:r w:rsidR="007A08B3" w:rsidRPr="00707B68">
        <w:rPr>
          <w:rFonts w:asciiTheme="majorHAnsi" w:hAnsiTheme="majorHAnsi"/>
          <w:sz w:val="20"/>
          <w:szCs w:val="20"/>
        </w:rPr>
        <w:t xml:space="preserve">n virtud del principio de complementariedad, las recomendaciones que se formulan a continuación se limitan a los componentes de una reparación integral aún no contemplados en las medidas </w:t>
      </w:r>
      <w:r w:rsidR="00102FFC" w:rsidRPr="00707B68">
        <w:rPr>
          <w:rFonts w:asciiTheme="majorHAnsi" w:hAnsiTheme="majorHAnsi"/>
          <w:sz w:val="20"/>
          <w:szCs w:val="20"/>
        </w:rPr>
        <w:t>ya implementadas a partir del proceso administrativo de reparación directa iniciado internamente</w:t>
      </w:r>
      <w:r w:rsidRPr="00707B68">
        <w:rPr>
          <w:rFonts w:asciiTheme="majorHAnsi" w:hAnsiTheme="majorHAnsi"/>
          <w:sz w:val="20"/>
          <w:szCs w:val="20"/>
        </w:rPr>
        <w:t>.</w:t>
      </w:r>
    </w:p>
    <w:p w14:paraId="3CF7A403" w14:textId="77777777" w:rsidR="007A08B3" w:rsidRPr="00707B68" w:rsidRDefault="007A08B3" w:rsidP="00BF21F5">
      <w:pPr>
        <w:suppressAutoHyphens/>
        <w:jc w:val="both"/>
        <w:rPr>
          <w:rFonts w:asciiTheme="majorHAnsi" w:hAnsiTheme="majorHAnsi"/>
          <w:sz w:val="20"/>
          <w:szCs w:val="20"/>
        </w:rPr>
      </w:pPr>
    </w:p>
    <w:p w14:paraId="035BD4B8" w14:textId="77777777" w:rsidR="00C86B09" w:rsidRPr="00707B68" w:rsidRDefault="007A08B3" w:rsidP="00BF21F5">
      <w:pPr>
        <w:jc w:val="center"/>
        <w:rPr>
          <w:rFonts w:asciiTheme="majorHAnsi" w:hAnsiTheme="majorHAnsi"/>
          <w:b/>
          <w:sz w:val="20"/>
          <w:szCs w:val="20"/>
        </w:rPr>
      </w:pPr>
      <w:r w:rsidRPr="00707B68">
        <w:rPr>
          <w:rFonts w:asciiTheme="majorHAnsi" w:hAnsiTheme="majorHAnsi"/>
          <w:b/>
          <w:sz w:val="20"/>
          <w:szCs w:val="20"/>
        </w:rPr>
        <w:lastRenderedPageBreak/>
        <w:t>LA COMISIÓN INTE</w:t>
      </w:r>
      <w:r w:rsidR="00C86B09" w:rsidRPr="00707B68">
        <w:rPr>
          <w:rFonts w:asciiTheme="majorHAnsi" w:hAnsiTheme="majorHAnsi"/>
          <w:b/>
          <w:sz w:val="20"/>
          <w:szCs w:val="20"/>
        </w:rPr>
        <w:t>RAMERICANA DE DERECHOS HUMANOS</w:t>
      </w:r>
    </w:p>
    <w:p w14:paraId="74FC5136" w14:textId="77777777" w:rsidR="007A08B3" w:rsidRPr="00707B68" w:rsidRDefault="007A08B3" w:rsidP="00BF21F5">
      <w:pPr>
        <w:jc w:val="center"/>
        <w:rPr>
          <w:rFonts w:asciiTheme="majorHAnsi" w:hAnsiTheme="majorHAnsi"/>
          <w:b/>
          <w:sz w:val="20"/>
          <w:szCs w:val="20"/>
        </w:rPr>
      </w:pPr>
      <w:r w:rsidRPr="00707B68">
        <w:rPr>
          <w:rFonts w:asciiTheme="majorHAnsi" w:hAnsiTheme="majorHAnsi"/>
          <w:b/>
          <w:sz w:val="20"/>
          <w:szCs w:val="20"/>
        </w:rPr>
        <w:t xml:space="preserve">RECOMIENDA AL ESTADO DE </w:t>
      </w:r>
      <w:r w:rsidR="00102FFC" w:rsidRPr="00707B68">
        <w:rPr>
          <w:rFonts w:asciiTheme="majorHAnsi" w:hAnsiTheme="majorHAnsi"/>
          <w:b/>
          <w:sz w:val="20"/>
          <w:szCs w:val="20"/>
        </w:rPr>
        <w:t>COLOMBIA</w:t>
      </w:r>
      <w:r w:rsidRPr="00707B68">
        <w:rPr>
          <w:rFonts w:asciiTheme="majorHAnsi" w:hAnsiTheme="majorHAnsi"/>
          <w:b/>
          <w:sz w:val="20"/>
          <w:szCs w:val="20"/>
        </w:rPr>
        <w:t>,</w:t>
      </w:r>
    </w:p>
    <w:p w14:paraId="0EC47191" w14:textId="77777777" w:rsidR="007A08B3" w:rsidRPr="00707B68" w:rsidRDefault="007A08B3" w:rsidP="005A158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color w:val="666666"/>
          <w:sz w:val="20"/>
          <w:szCs w:val="20"/>
          <w:bdr w:val="none" w:sz="0" w:space="0" w:color="auto"/>
          <w:lang w:val="es-US"/>
        </w:rPr>
      </w:pPr>
    </w:p>
    <w:p w14:paraId="21457F5A" w14:textId="5EC3ACCA" w:rsidR="007A08B3" w:rsidRPr="00707B68" w:rsidRDefault="007A08B3" w:rsidP="005A158F">
      <w:pPr>
        <w:pStyle w:val="ListParagraph"/>
        <w:numPr>
          <w:ilvl w:val="0"/>
          <w:numId w:val="75"/>
        </w:numPr>
        <w:ind w:left="0" w:firstLine="0"/>
        <w:rPr>
          <w:sz w:val="20"/>
          <w:szCs w:val="20"/>
          <w:bdr w:val="none" w:sz="0" w:space="0" w:color="auto"/>
        </w:rPr>
      </w:pPr>
      <w:r w:rsidRPr="00707B68">
        <w:rPr>
          <w:sz w:val="20"/>
          <w:szCs w:val="20"/>
          <w:bdr w:val="none" w:sz="0" w:space="0" w:color="auto"/>
        </w:rPr>
        <w:t>Reparar integralmente las violaciones de derechos humanos declaradas en el presente informe tanto en el aspecto material como inmaterial. El Estado deberá adoptar las medidas de compens</w:t>
      </w:r>
      <w:r w:rsidR="00102FFC" w:rsidRPr="00707B68">
        <w:rPr>
          <w:sz w:val="20"/>
          <w:szCs w:val="20"/>
          <w:bdr w:val="none" w:sz="0" w:space="0" w:color="auto"/>
        </w:rPr>
        <w:t>ación económica y satisfacción complementarias a las ya otorgadas</w:t>
      </w:r>
      <w:r w:rsidR="00147351" w:rsidRPr="00707B68">
        <w:rPr>
          <w:sz w:val="20"/>
          <w:szCs w:val="20"/>
          <w:bdr w:val="none" w:sz="0" w:space="0" w:color="auto"/>
        </w:rPr>
        <w:t>.</w:t>
      </w:r>
    </w:p>
    <w:p w14:paraId="0233519A" w14:textId="77777777" w:rsidR="007A08B3" w:rsidRPr="00707B68" w:rsidRDefault="007A08B3" w:rsidP="005A158F">
      <w:pPr>
        <w:tabs>
          <w:tab w:val="left" w:pos="360"/>
        </w:tabs>
        <w:jc w:val="both"/>
        <w:rPr>
          <w:rFonts w:asciiTheme="majorHAnsi" w:hAnsiTheme="majorHAnsi"/>
          <w:sz w:val="20"/>
          <w:szCs w:val="20"/>
          <w:bdr w:val="none" w:sz="0" w:space="0" w:color="auto"/>
          <w:lang w:val="es-ES"/>
        </w:rPr>
      </w:pPr>
    </w:p>
    <w:p w14:paraId="05CE3360" w14:textId="3B6E3664" w:rsidR="007A08B3" w:rsidRPr="00707B68" w:rsidRDefault="007A08B3" w:rsidP="005A158F">
      <w:pPr>
        <w:pStyle w:val="ListParagraph"/>
        <w:numPr>
          <w:ilvl w:val="0"/>
          <w:numId w:val="75"/>
        </w:numPr>
        <w:ind w:left="0" w:firstLine="0"/>
        <w:rPr>
          <w:sz w:val="20"/>
          <w:szCs w:val="20"/>
          <w:bdr w:val="none" w:sz="0" w:space="0" w:color="auto"/>
        </w:rPr>
      </w:pPr>
      <w:r w:rsidRPr="00707B68">
        <w:rPr>
          <w:sz w:val="20"/>
          <w:szCs w:val="20"/>
          <w:bdr w:val="none" w:sz="0" w:space="0" w:color="auto"/>
        </w:rPr>
        <w:t xml:space="preserve">Disponer las medidas de atención en salud física y mental necesarias para la rehabilitación de </w:t>
      </w:r>
      <w:r w:rsidR="00102FFC" w:rsidRPr="00707B68">
        <w:rPr>
          <w:sz w:val="20"/>
          <w:szCs w:val="20"/>
          <w:bdr w:val="none" w:sz="0" w:space="0" w:color="auto"/>
        </w:rPr>
        <w:t>los familiares del señor Zapata</w:t>
      </w:r>
      <w:r w:rsidRPr="00707B68">
        <w:rPr>
          <w:sz w:val="20"/>
          <w:szCs w:val="20"/>
          <w:bdr w:val="none" w:sz="0" w:space="0" w:color="auto"/>
        </w:rPr>
        <w:t>, de ser su voluntad y de manera concertada.</w:t>
      </w:r>
    </w:p>
    <w:p w14:paraId="5295A6B8" w14:textId="77777777" w:rsidR="007A08B3" w:rsidRPr="00707B68" w:rsidRDefault="007A08B3" w:rsidP="005A158F">
      <w:pPr>
        <w:tabs>
          <w:tab w:val="left" w:pos="360"/>
        </w:tabs>
        <w:jc w:val="both"/>
        <w:rPr>
          <w:rFonts w:asciiTheme="majorHAnsi" w:hAnsiTheme="majorHAnsi"/>
          <w:sz w:val="20"/>
          <w:szCs w:val="20"/>
          <w:lang w:val="es-ES"/>
        </w:rPr>
      </w:pPr>
    </w:p>
    <w:p w14:paraId="5229BE32" w14:textId="77777777" w:rsidR="007A08B3" w:rsidRPr="00707B68" w:rsidRDefault="00102FFC" w:rsidP="005A158F">
      <w:pPr>
        <w:pStyle w:val="ListParagraph"/>
        <w:numPr>
          <w:ilvl w:val="0"/>
          <w:numId w:val="75"/>
        </w:numPr>
        <w:ind w:left="0" w:firstLine="0"/>
        <w:rPr>
          <w:sz w:val="20"/>
          <w:szCs w:val="20"/>
          <w:bdr w:val="none" w:sz="0" w:space="0" w:color="auto"/>
        </w:rPr>
      </w:pPr>
      <w:r w:rsidRPr="00707B68">
        <w:rPr>
          <w:color w:val="auto"/>
          <w:sz w:val="20"/>
          <w:szCs w:val="20"/>
          <w:bdr w:val="none" w:sz="0" w:space="0" w:color="auto"/>
        </w:rPr>
        <w:t>Continuar</w:t>
      </w:r>
      <w:r w:rsidR="007A08B3" w:rsidRPr="00707B68">
        <w:rPr>
          <w:color w:val="auto"/>
          <w:sz w:val="20"/>
          <w:szCs w:val="20"/>
          <w:bdr w:val="none" w:sz="0" w:space="0" w:color="auto"/>
        </w:rPr>
        <w:t xml:space="preserve"> la </w:t>
      </w:r>
      <w:r w:rsidR="007A08B3" w:rsidRPr="00707B68">
        <w:rPr>
          <w:sz w:val="20"/>
          <w:szCs w:val="20"/>
          <w:bdr w:val="none" w:sz="0" w:space="0" w:color="auto"/>
        </w:rPr>
        <w:t xml:space="preserve">investigación penal de manera diligente, efectiva y dentro de un plazo razonable con el objeto de esclarecer los hechos en forma completa, identificar todas las posibles responsabilidades e imponer las sanciones que correspondan respecto de las violaciones de derechos humanos declaradas en el presente informe. </w:t>
      </w:r>
    </w:p>
    <w:p w14:paraId="26725B28" w14:textId="77777777" w:rsidR="007A08B3" w:rsidRPr="00707B68" w:rsidRDefault="007A08B3" w:rsidP="005A158F">
      <w:pPr>
        <w:tabs>
          <w:tab w:val="left" w:pos="360"/>
        </w:tabs>
        <w:jc w:val="both"/>
        <w:rPr>
          <w:rFonts w:asciiTheme="majorHAnsi" w:hAnsiTheme="majorHAnsi"/>
          <w:sz w:val="20"/>
          <w:szCs w:val="20"/>
          <w:bdr w:val="none" w:sz="0" w:space="0" w:color="auto"/>
          <w:lang w:val="es-ES"/>
        </w:rPr>
      </w:pPr>
    </w:p>
    <w:p w14:paraId="0C1FE2F4" w14:textId="77777777" w:rsidR="00E534AD" w:rsidRPr="00707B68" w:rsidRDefault="007A08B3" w:rsidP="005A158F">
      <w:pPr>
        <w:pStyle w:val="ListParagraph"/>
        <w:numPr>
          <w:ilvl w:val="0"/>
          <w:numId w:val="75"/>
        </w:numPr>
        <w:ind w:left="0" w:firstLine="0"/>
        <w:rPr>
          <w:sz w:val="20"/>
          <w:szCs w:val="20"/>
        </w:rPr>
      </w:pPr>
      <w:r w:rsidRPr="00707B68">
        <w:rPr>
          <w:sz w:val="20"/>
          <w:szCs w:val="20"/>
          <w:bdr w:val="none" w:sz="0" w:space="0" w:color="auto"/>
        </w:rPr>
        <w:t xml:space="preserve">Disponer mecanismos de no repetición que incluyan: </w:t>
      </w:r>
    </w:p>
    <w:p w14:paraId="3E5260D0" w14:textId="77777777" w:rsidR="004D3FB7" w:rsidRPr="00707B68" w:rsidRDefault="004D3FB7" w:rsidP="005A158F">
      <w:pPr>
        <w:jc w:val="both"/>
        <w:rPr>
          <w:rFonts w:asciiTheme="majorHAnsi" w:hAnsiTheme="majorHAnsi"/>
          <w:sz w:val="20"/>
          <w:szCs w:val="20"/>
        </w:rPr>
      </w:pPr>
    </w:p>
    <w:p w14:paraId="7958F1E9" w14:textId="2DAF46D1" w:rsidR="00E534AD" w:rsidRPr="00707B68" w:rsidRDefault="00BB16DC" w:rsidP="005A158F">
      <w:pPr>
        <w:pStyle w:val="ListParagraph"/>
        <w:numPr>
          <w:ilvl w:val="1"/>
          <w:numId w:val="65"/>
        </w:numPr>
        <w:ind w:firstLine="0"/>
        <w:rPr>
          <w:b/>
          <w:sz w:val="20"/>
          <w:szCs w:val="20"/>
          <w:bdr w:val="none" w:sz="0" w:space="0" w:color="auto"/>
        </w:rPr>
      </w:pPr>
      <w:r>
        <w:rPr>
          <w:sz w:val="20"/>
          <w:szCs w:val="20"/>
        </w:rPr>
        <w:t xml:space="preserve"> </w:t>
      </w:r>
      <w:r w:rsidR="00E534AD" w:rsidRPr="00707B68">
        <w:rPr>
          <w:sz w:val="20"/>
          <w:szCs w:val="20"/>
        </w:rPr>
        <w:t xml:space="preserve">Fortalecer la capacidad institucional para combatir el patrón de impunidad frente a casos de amenazas y muertes de defensoras y defensores, </w:t>
      </w:r>
      <w:r w:rsidR="00C24E58" w:rsidRPr="00707B68">
        <w:rPr>
          <w:sz w:val="20"/>
          <w:szCs w:val="20"/>
        </w:rPr>
        <w:t>a través de</w:t>
      </w:r>
      <w:r w:rsidR="00E534AD" w:rsidRPr="00707B68">
        <w:rPr>
          <w:sz w:val="20"/>
          <w:szCs w:val="20"/>
        </w:rPr>
        <w:t xml:space="preserve"> protocolos de investigación que teniendo en cuenta los riesgos inherentes a la labor de defensa de los derechos humanos </w:t>
      </w:r>
      <w:r w:rsidR="00E30F86" w:rsidRPr="00707B68">
        <w:rPr>
          <w:sz w:val="20"/>
          <w:szCs w:val="20"/>
        </w:rPr>
        <w:t xml:space="preserve">señalen como un componente esencial de la debida diligencia </w:t>
      </w:r>
      <w:r w:rsidR="00E534AD" w:rsidRPr="00707B68">
        <w:rPr>
          <w:sz w:val="20"/>
          <w:szCs w:val="20"/>
        </w:rPr>
        <w:t xml:space="preserve">un desarrollo exhaustivo de la investigación bajo esta hipótesis. </w:t>
      </w:r>
    </w:p>
    <w:p w14:paraId="64457C7E" w14:textId="3A0924BA" w:rsidR="00E534AD" w:rsidRPr="00707B68" w:rsidRDefault="00E534AD" w:rsidP="00BB16DC">
      <w:pPr>
        <w:tabs>
          <w:tab w:val="left" w:pos="360"/>
          <w:tab w:val="left" w:pos="1080"/>
        </w:tabs>
        <w:jc w:val="both"/>
        <w:rPr>
          <w:rFonts w:asciiTheme="majorHAnsi" w:hAnsiTheme="majorHAnsi"/>
          <w:sz w:val="20"/>
          <w:szCs w:val="20"/>
          <w:bdr w:val="none" w:sz="0" w:space="0" w:color="auto"/>
        </w:rPr>
      </w:pPr>
    </w:p>
    <w:p w14:paraId="58C5C98F" w14:textId="624AA0C4" w:rsidR="007A08B3" w:rsidRPr="00BB16DC" w:rsidRDefault="00BB16DC" w:rsidP="005A158F">
      <w:pPr>
        <w:pStyle w:val="ListParagraph"/>
        <w:numPr>
          <w:ilvl w:val="1"/>
          <w:numId w:val="65"/>
        </w:numPr>
        <w:ind w:firstLine="0"/>
        <w:rPr>
          <w:b/>
          <w:sz w:val="20"/>
          <w:szCs w:val="20"/>
          <w:bdr w:val="none" w:sz="0" w:space="0" w:color="auto"/>
        </w:rPr>
      </w:pPr>
      <w:r>
        <w:rPr>
          <w:sz w:val="20"/>
          <w:szCs w:val="20"/>
          <w:lang w:val="es-ES_tradnl"/>
        </w:rPr>
        <w:t xml:space="preserve"> </w:t>
      </w:r>
      <w:r w:rsidR="00E534AD" w:rsidRPr="00707B68">
        <w:rPr>
          <w:sz w:val="20"/>
          <w:szCs w:val="20"/>
        </w:rPr>
        <w:t>Desarrollar medidas adecuadas y expeditas de respuesta institucional que permitan proteger eficazmente a defensoras y defensores de derechos humanos en situaciones de riesgo. En concreto, adoptar medidas para asegurar la implementación efectiva las medidas especiales de protección dictados por los órganos del sistema interamericano</w:t>
      </w:r>
      <w:r w:rsidR="00C24E58" w:rsidRPr="00707B68">
        <w:rPr>
          <w:sz w:val="20"/>
          <w:szCs w:val="20"/>
        </w:rPr>
        <w:t xml:space="preserve"> mediante la realización de análisis de riesgo oportunos que permitan determinar las medidas idóneas y efectivas de protección atendiendo a las circunstancias concretas de las personas defensoras de derechos humanos, incluyendo situaciones relacionadas con el cambio de residencia o desplazamientos vinculados con el ejercicio de sus labores</w:t>
      </w:r>
    </w:p>
    <w:p w14:paraId="64065FC9" w14:textId="7007C04C" w:rsidR="00BB16DC" w:rsidRDefault="00BB16DC" w:rsidP="00BB16DC">
      <w:pPr>
        <w:pStyle w:val="ListParagraph"/>
        <w:numPr>
          <w:ilvl w:val="0"/>
          <w:numId w:val="0"/>
        </w:numPr>
        <w:ind w:left="450"/>
        <w:rPr>
          <w:b/>
          <w:sz w:val="20"/>
          <w:szCs w:val="20"/>
          <w:bdr w:val="none" w:sz="0" w:space="0" w:color="auto"/>
        </w:rPr>
      </w:pPr>
    </w:p>
    <w:p w14:paraId="0976E529" w14:textId="77777777" w:rsidR="00BB16DC" w:rsidRDefault="00BB16DC" w:rsidP="00BB16DC">
      <w:pPr>
        <w:ind w:firstLine="360"/>
        <w:jc w:val="both"/>
        <w:rPr>
          <w:rFonts w:ascii="Cambria" w:hAnsi="Cambria"/>
          <w:spacing w:val="-2"/>
          <w:sz w:val="20"/>
          <w:szCs w:val="20"/>
          <w:lang w:val="es-CL"/>
        </w:rPr>
      </w:pPr>
      <w:r>
        <w:rPr>
          <w:rFonts w:ascii="Cambria" w:hAnsi="Cambria"/>
          <w:spacing w:val="-2"/>
          <w:sz w:val="20"/>
          <w:szCs w:val="20"/>
          <w:lang w:val="es-CL"/>
        </w:rPr>
        <w:t xml:space="preserve">Aprobado por la Comisión Interamericana de Derechos Humanos a los </w:t>
      </w:r>
      <w:r w:rsidRPr="00E60CFC">
        <w:rPr>
          <w:rFonts w:ascii="Cambria" w:hAnsi="Cambria"/>
          <w:spacing w:val="-2"/>
          <w:sz w:val="20"/>
          <w:szCs w:val="20"/>
          <w:lang w:val="es-CL"/>
        </w:rPr>
        <w:t>29 días del mes de octubre de 2020</w:t>
      </w:r>
      <w:r>
        <w:rPr>
          <w:rFonts w:ascii="Cambria" w:hAnsi="Cambria"/>
          <w:spacing w:val="-2"/>
          <w:sz w:val="20"/>
          <w:szCs w:val="20"/>
          <w:lang w:val="es-CL"/>
        </w:rPr>
        <w:t>.  (Firmado):</w:t>
      </w:r>
      <w:r w:rsidRPr="00E02D8D">
        <w:rPr>
          <w:rFonts w:ascii="Cambria" w:hAnsi="Cambria"/>
          <w:spacing w:val="-2"/>
          <w:sz w:val="20"/>
          <w:szCs w:val="20"/>
          <w:lang w:val="es-CL"/>
        </w:rPr>
        <w:t xml:space="preserve"> </w:t>
      </w:r>
      <w:r>
        <w:rPr>
          <w:rFonts w:ascii="Cambria" w:hAnsi="Cambria"/>
          <w:spacing w:val="-2"/>
          <w:sz w:val="20"/>
          <w:szCs w:val="20"/>
          <w:lang w:val="es-CL"/>
        </w:rPr>
        <w:t xml:space="preserve">Joel Hernández García, Presidente; Antonia Urrejola Noguera, Primera Vicepresidenta; </w:t>
      </w:r>
      <w:r w:rsidRPr="00E02D8D">
        <w:rPr>
          <w:rFonts w:ascii="Cambria" w:hAnsi="Cambria"/>
          <w:spacing w:val="-2"/>
          <w:sz w:val="20"/>
          <w:lang w:val="es-US"/>
        </w:rPr>
        <w:t>Flávia Piovesan</w:t>
      </w:r>
      <w:r>
        <w:rPr>
          <w:rFonts w:ascii="Cambria" w:hAnsi="Cambria"/>
          <w:spacing w:val="-2"/>
          <w:sz w:val="20"/>
          <w:lang w:val="es-US"/>
        </w:rPr>
        <w:t>,</w:t>
      </w:r>
      <w:r>
        <w:rPr>
          <w:rFonts w:ascii="Cambria" w:hAnsi="Cambria"/>
          <w:spacing w:val="-2"/>
          <w:sz w:val="20"/>
          <w:szCs w:val="20"/>
          <w:lang w:val="es-CL"/>
        </w:rPr>
        <w:t xml:space="preserve"> Segunda Vicepresidenta; Margarette May Macaulay, Esmeralda Arosemena de Troitiño y </w:t>
      </w:r>
      <w:r w:rsidRPr="00E02D8D">
        <w:rPr>
          <w:rFonts w:ascii="Cambria" w:hAnsi="Cambria"/>
          <w:spacing w:val="-2"/>
          <w:sz w:val="20"/>
          <w:lang w:val="es-US"/>
        </w:rPr>
        <w:t>Julissa Mantilla Falcón</w:t>
      </w:r>
      <w:r>
        <w:rPr>
          <w:rFonts w:ascii="Cambria" w:hAnsi="Cambria"/>
          <w:spacing w:val="-2"/>
          <w:sz w:val="20"/>
          <w:lang w:val="es-US"/>
        </w:rPr>
        <w:t>,</w:t>
      </w:r>
      <w:r>
        <w:rPr>
          <w:rFonts w:ascii="Cambria" w:hAnsi="Cambria"/>
          <w:spacing w:val="-2"/>
          <w:sz w:val="20"/>
          <w:szCs w:val="20"/>
          <w:lang w:val="es-CL"/>
        </w:rPr>
        <w:t xml:space="preserve"> Miembros de la Comisión.</w:t>
      </w:r>
      <w:r>
        <w:rPr>
          <w:rFonts w:ascii="Cambria" w:hAnsi="Cambria"/>
          <w:sz w:val="20"/>
          <w:szCs w:val="20"/>
          <w:lang w:val="es-CL"/>
        </w:rPr>
        <w:t xml:space="preserve"> </w:t>
      </w:r>
    </w:p>
    <w:p w14:paraId="31420DF1" w14:textId="77777777" w:rsidR="00BB16DC" w:rsidRDefault="00BB16DC" w:rsidP="00BB16DC">
      <w:pPr>
        <w:ind w:firstLine="360"/>
        <w:jc w:val="both"/>
        <w:rPr>
          <w:rFonts w:ascii="Cambria" w:hAnsi="Cambria"/>
          <w:spacing w:val="-2"/>
          <w:sz w:val="20"/>
          <w:szCs w:val="20"/>
          <w:lang w:val="es-CL"/>
        </w:rPr>
      </w:pPr>
    </w:p>
    <w:sectPr w:rsidR="00BB16DC"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0FBB4" w14:textId="77777777" w:rsidR="00475A99" w:rsidRDefault="00475A99">
      <w:r>
        <w:separator/>
      </w:r>
    </w:p>
  </w:endnote>
  <w:endnote w:type="continuationSeparator" w:id="0">
    <w:p w14:paraId="201B6B62" w14:textId="77777777" w:rsidR="00475A99" w:rsidRDefault="0047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Italic">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auto"/>
    <w:pitch w:val="variable"/>
    <w:sig w:usb0="E00002FF" w:usb1="5000205A"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Bold">
    <w:altName w:val="Verdana"/>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886631"/>
      <w:docPartObj>
        <w:docPartGallery w:val="Page Numbers (Bottom of Page)"/>
        <w:docPartUnique/>
      </w:docPartObj>
    </w:sdtPr>
    <w:sdtEndPr>
      <w:rPr>
        <w:noProof/>
        <w:sz w:val="16"/>
        <w:szCs w:val="22"/>
      </w:rPr>
    </w:sdtEndPr>
    <w:sdtContent>
      <w:p w14:paraId="64595522" w14:textId="27CC59C7" w:rsidR="00475A99" w:rsidRPr="00934A2C" w:rsidRDefault="00475A99">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A61D4">
          <w:rPr>
            <w:noProof/>
            <w:sz w:val="16"/>
            <w:szCs w:val="22"/>
          </w:rPr>
          <w:t>28</w:t>
        </w:r>
        <w:r w:rsidRPr="00934A2C">
          <w:rPr>
            <w:noProof/>
            <w:sz w:val="16"/>
            <w:szCs w:val="22"/>
          </w:rPr>
          <w:fldChar w:fldCharType="end"/>
        </w:r>
      </w:p>
    </w:sdtContent>
  </w:sdt>
  <w:p w14:paraId="5223D583" w14:textId="77777777" w:rsidR="00475A99" w:rsidRDefault="00475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5DF5" w14:textId="77777777" w:rsidR="00475A99" w:rsidRPr="00934A2C" w:rsidRDefault="00475A99">
    <w:pPr>
      <w:pStyle w:val="Footer"/>
      <w:jc w:val="center"/>
      <w:rPr>
        <w:sz w:val="16"/>
        <w:szCs w:val="22"/>
      </w:rPr>
    </w:pPr>
  </w:p>
  <w:p w14:paraId="317F59D8" w14:textId="77777777" w:rsidR="00475A99" w:rsidRDefault="00475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5B0F" w14:textId="77777777" w:rsidR="00475A99" w:rsidRPr="000F35ED" w:rsidRDefault="00475A99">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153A0AE2" w14:textId="77777777" w:rsidR="00475A99" w:rsidRPr="000F35ED" w:rsidRDefault="00475A99" w:rsidP="000F35ED">
      <w:pPr>
        <w:rPr>
          <w:rFonts w:asciiTheme="majorHAnsi" w:hAnsiTheme="majorHAnsi"/>
          <w:sz w:val="16"/>
          <w:szCs w:val="16"/>
        </w:rPr>
      </w:pPr>
      <w:r w:rsidRPr="000F35ED">
        <w:rPr>
          <w:rFonts w:asciiTheme="majorHAnsi" w:hAnsiTheme="majorHAnsi"/>
          <w:sz w:val="16"/>
          <w:szCs w:val="16"/>
        </w:rPr>
        <w:separator/>
      </w:r>
    </w:p>
    <w:p w14:paraId="6EC04449" w14:textId="77777777" w:rsidR="00475A99" w:rsidRPr="000F35ED" w:rsidRDefault="00475A99"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1F938DC6" w14:textId="77777777" w:rsidR="00475A99" w:rsidRPr="000F35ED" w:rsidRDefault="00475A99"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324FC597" w14:textId="036DC93B" w:rsidR="00475A99" w:rsidRPr="004863F4" w:rsidRDefault="00475A99" w:rsidP="00AF0365">
      <w:pPr>
        <w:pStyle w:val="FootnoteText"/>
        <w:rPr>
          <w:color w:val="auto"/>
          <w:lang w:val="es-ES"/>
        </w:rPr>
      </w:pPr>
      <w:r w:rsidRPr="004863F4">
        <w:rPr>
          <w:rStyle w:val="FootnoteReference"/>
          <w:color w:val="auto"/>
        </w:rPr>
        <w:footnoteRef/>
      </w:r>
      <w:r w:rsidRPr="004863F4">
        <w:rPr>
          <w:color w:val="auto"/>
          <w:lang w:val="es-ES"/>
        </w:rPr>
        <w:t xml:space="preserve"> La CIDH deja constancia que el 26 de junio de 2000 los familiares </w:t>
      </w:r>
      <w:r>
        <w:rPr>
          <w:color w:val="auto"/>
          <w:lang w:val="es-ES"/>
        </w:rPr>
        <w:t>del señor Zapata</w:t>
      </w:r>
      <w:r w:rsidRPr="004863F4">
        <w:rPr>
          <w:color w:val="auto"/>
          <w:lang w:val="es-ES"/>
        </w:rPr>
        <w:t xml:space="preserve"> otorgaron poder de representación al abogado Javier Posadas Villegas como </w:t>
      </w:r>
      <w:r>
        <w:rPr>
          <w:color w:val="auto"/>
          <w:lang w:val="es-ES"/>
        </w:rPr>
        <w:t>parte peticionaria</w:t>
      </w:r>
      <w:r w:rsidRPr="004863F4">
        <w:rPr>
          <w:color w:val="auto"/>
          <w:lang w:val="es-ES"/>
        </w:rPr>
        <w:t>. Asimismo, el 11 de julio de 2000 dicho poder fue revocado. La prueba que fue aportada</w:t>
      </w:r>
      <w:r>
        <w:rPr>
          <w:color w:val="auto"/>
          <w:lang w:val="es-ES"/>
        </w:rPr>
        <w:t xml:space="preserve"> en el marco de la actividad como parte peticionaria </w:t>
      </w:r>
      <w:r w:rsidRPr="004863F4">
        <w:rPr>
          <w:color w:val="auto"/>
          <w:lang w:val="es-ES"/>
        </w:rPr>
        <w:t xml:space="preserve">forma parte del expediente y fue debidamente trasladada al Estado. </w:t>
      </w:r>
    </w:p>
  </w:footnote>
  <w:footnote w:id="3">
    <w:p w14:paraId="17094D94" w14:textId="2DB7E0F4" w:rsidR="00475A99" w:rsidRPr="004863F4" w:rsidRDefault="00475A99" w:rsidP="00AF0365">
      <w:pPr>
        <w:pStyle w:val="FootnoteText"/>
        <w:rPr>
          <w:color w:val="auto"/>
          <w:lang w:val="es-ES"/>
        </w:rPr>
      </w:pPr>
      <w:r w:rsidRPr="004863F4">
        <w:rPr>
          <w:rStyle w:val="FootnoteReference"/>
          <w:color w:val="auto"/>
        </w:rPr>
        <w:footnoteRef/>
      </w:r>
      <w:r w:rsidRPr="004863F4">
        <w:rPr>
          <w:color w:val="auto"/>
          <w:lang w:val="es-ES"/>
        </w:rPr>
        <w:t xml:space="preserve"> La CIDH aclara que </w:t>
      </w:r>
      <w:r>
        <w:rPr>
          <w:color w:val="auto"/>
          <w:lang w:val="es-ES"/>
        </w:rPr>
        <w:t>la parte peticionaria aclaró</w:t>
      </w:r>
      <w:r w:rsidRPr="004863F4">
        <w:rPr>
          <w:color w:val="auto"/>
          <w:lang w:val="es-ES"/>
        </w:rPr>
        <w:t xml:space="preserve"> el nombre de la presunta víctima en su escrito de observaciones de fondo. La CIDH aclara que en el presente informe utilizará el nombre de “Jesús Ramiro Zapata” (“Jesús Ramiro” como nombres y “Zapata” como apellido único) y que se trata de la misma persona denominada “Jesús Ramiro Zapata Hoyos”, tal como fue identificada anteriormente en su Informe de Admisibilidad. </w:t>
      </w:r>
    </w:p>
  </w:footnote>
  <w:footnote w:id="4">
    <w:p w14:paraId="5AF1DC6A" w14:textId="34F939AB" w:rsidR="00475A99" w:rsidRPr="004863F4" w:rsidRDefault="00475A99" w:rsidP="00AF0365">
      <w:pPr>
        <w:pStyle w:val="FootnoteText"/>
        <w:rPr>
          <w:color w:val="auto"/>
          <w:lang w:val="es-ES"/>
        </w:rPr>
      </w:pPr>
      <w:r w:rsidRPr="004863F4">
        <w:rPr>
          <w:rStyle w:val="FootnoteReference"/>
          <w:color w:val="auto"/>
        </w:rPr>
        <w:footnoteRef/>
      </w:r>
      <w:r w:rsidRPr="004863F4">
        <w:rPr>
          <w:color w:val="auto"/>
          <w:lang w:val="es-ES"/>
        </w:rPr>
        <w:t xml:space="preserve"> CIDH. Informe No. 41/1.3. </w:t>
      </w:r>
      <w:r w:rsidRPr="004863F4">
        <w:rPr>
          <w:color w:val="auto"/>
          <w:lang w:val="es-US"/>
        </w:rPr>
        <w:t>Petición 12.295. Admisibilida</w:t>
      </w:r>
      <w:r>
        <w:rPr>
          <w:color w:val="auto"/>
          <w:lang w:val="es-US"/>
        </w:rPr>
        <w:t>d. Jesús Ramiro Zapata y Otros. Colombia</w:t>
      </w:r>
      <w:r w:rsidRPr="004863F4">
        <w:rPr>
          <w:color w:val="auto"/>
          <w:lang w:val="es-ES"/>
        </w:rPr>
        <w:t>. 11 de julio de 2013. La Comisión declaró admisibles los hechos relacionados con los artículos 4, 5, 7, 8, 11, 13, 16, 22 y 25 de la Convención Americana</w:t>
      </w:r>
      <w:r>
        <w:rPr>
          <w:color w:val="auto"/>
          <w:lang w:val="es-ES"/>
        </w:rPr>
        <w:t>,</w:t>
      </w:r>
      <w:r w:rsidRPr="004863F4">
        <w:rPr>
          <w:color w:val="auto"/>
          <w:lang w:val="es-ES"/>
        </w:rPr>
        <w:t xml:space="preserve"> e inadmisible el artículo 2 del mismo instrumento. </w:t>
      </w:r>
    </w:p>
  </w:footnote>
  <w:footnote w:id="5">
    <w:p w14:paraId="0BA1AA73" w14:textId="178AC86B" w:rsidR="00475A99" w:rsidRPr="004863F4" w:rsidRDefault="00475A99" w:rsidP="004863F4">
      <w:pPr>
        <w:pStyle w:val="FootnoteText"/>
        <w:rPr>
          <w:color w:val="auto"/>
          <w:lang w:val="es-CO"/>
        </w:rPr>
      </w:pPr>
      <w:r w:rsidRPr="004863F4">
        <w:rPr>
          <w:rStyle w:val="FootnoteReference"/>
          <w:color w:val="auto"/>
        </w:rPr>
        <w:footnoteRef/>
      </w:r>
      <w:r w:rsidRPr="004863F4">
        <w:rPr>
          <w:color w:val="auto"/>
          <w:lang w:val="es-CO"/>
        </w:rPr>
        <w:t xml:space="preserve"> CIDH. Informe Anual de la Comisión Interamerica</w:t>
      </w:r>
      <w:r>
        <w:rPr>
          <w:color w:val="auto"/>
          <w:lang w:val="es-CO"/>
        </w:rPr>
        <w:t xml:space="preserve">na de Derechos Humanos de 1996. </w:t>
      </w:r>
      <w:r w:rsidRPr="004863F4">
        <w:rPr>
          <w:color w:val="auto"/>
          <w:lang w:val="es-CO"/>
        </w:rPr>
        <w:t>14 de marzo de 1997, pág. 663.</w:t>
      </w:r>
    </w:p>
  </w:footnote>
  <w:footnote w:id="6">
    <w:p w14:paraId="5414AC62" w14:textId="77777777" w:rsidR="00475A99" w:rsidRPr="004863F4" w:rsidRDefault="00475A99" w:rsidP="004863F4">
      <w:pPr>
        <w:pStyle w:val="FootnoteText"/>
        <w:rPr>
          <w:color w:val="auto"/>
          <w:lang w:val="es-CO"/>
        </w:rPr>
      </w:pPr>
      <w:r w:rsidRPr="004863F4">
        <w:rPr>
          <w:rStyle w:val="FootnoteReference"/>
          <w:color w:val="auto"/>
        </w:rPr>
        <w:footnoteRef/>
      </w:r>
      <w:r w:rsidRPr="004863F4">
        <w:rPr>
          <w:color w:val="auto"/>
          <w:lang w:val="es-CO"/>
        </w:rPr>
        <w:t xml:space="preserve"> CIDH. </w:t>
      </w:r>
      <w:hyperlink r:id="rId1" w:history="1">
        <w:r w:rsidRPr="004863F4">
          <w:rPr>
            <w:rStyle w:val="Hyperlink"/>
            <w:color w:val="auto"/>
            <w:u w:val="none"/>
            <w:lang w:val="es-CO"/>
          </w:rPr>
          <w:t>Segundo Informe sobre la Situación de los Derechos Humanos en Colombia</w:t>
        </w:r>
      </w:hyperlink>
      <w:r w:rsidRPr="004863F4">
        <w:rPr>
          <w:color w:val="auto"/>
          <w:lang w:val="es-CO"/>
        </w:rPr>
        <w:t xml:space="preserve">, 14 de octubre de 1993. </w:t>
      </w:r>
    </w:p>
  </w:footnote>
  <w:footnote w:id="7">
    <w:p w14:paraId="382604B1" w14:textId="67268A68" w:rsidR="00475A99" w:rsidRPr="004863F4" w:rsidRDefault="00475A99" w:rsidP="004863F4">
      <w:pPr>
        <w:pStyle w:val="FootnoteText"/>
        <w:rPr>
          <w:color w:val="auto"/>
          <w:lang w:val="es-ES_tradnl"/>
        </w:rPr>
      </w:pPr>
      <w:r w:rsidRPr="004863F4">
        <w:rPr>
          <w:color w:val="auto"/>
          <w:vertAlign w:val="superscript"/>
          <w:lang w:val="es-ES_tradnl"/>
        </w:rPr>
        <w:footnoteRef/>
      </w:r>
      <w:r>
        <w:rPr>
          <w:color w:val="auto"/>
          <w:lang w:val="es-ES_tradnl"/>
        </w:rPr>
        <w:t xml:space="preserve"> E</w:t>
      </w:r>
      <w:r w:rsidRPr="004863F4">
        <w:rPr>
          <w:color w:val="auto"/>
          <w:lang w:val="es-ES_tradnl"/>
        </w:rPr>
        <w:t xml:space="preserve">l Decreto 3398 del 1965 (Ley de Defensa Nacional) y la Ley 48 de 1968 autorizaron la creación de patrullas civiles que recibían armas de uso privativo de las fuerzas de seguridad del Estado por autorización del Ministerio de Defensa. Los artículos 25 y 33 del Decreto Legislativo 3398 (Ley de Defensa nacional) y la Ley 48 de 1968 dieron fundamento legal a la creación de “grupos de autodefensa”. Corte IDH. </w:t>
      </w:r>
      <w:r w:rsidRPr="002D17A2">
        <w:rPr>
          <w:i/>
          <w:color w:val="auto"/>
          <w:lang w:val="es-ES_tradnl"/>
        </w:rPr>
        <w:t>Caso 19 Comerciantes Vs. Colombia</w:t>
      </w:r>
      <w:r w:rsidRPr="004863F4">
        <w:rPr>
          <w:color w:val="auto"/>
          <w:lang w:val="es-ES_tradnl"/>
        </w:rPr>
        <w:t>. Fondo, Reparaciones y Costas. Sentencia de 5 de julio de 2004. Serie C No. 109, párr. 84 g). El artículo 25 del Decreto 3398 de 1965 establecía que “Todos los colombianos, hombres y mujeres, no comprendidos en el llamamiento al servicio militar obligatorio, podrán ser utilizados por el Gobierno en actividades y trabajos con los cuales contribuyan al restab</w:t>
      </w:r>
      <w:r>
        <w:rPr>
          <w:color w:val="auto"/>
          <w:lang w:val="es-ES_tradnl"/>
        </w:rPr>
        <w:t xml:space="preserve">lecimiento de la normalidad”. </w:t>
      </w:r>
      <w:r w:rsidRPr="004863F4">
        <w:rPr>
          <w:color w:val="auto"/>
          <w:lang w:val="es-ES_tradnl"/>
        </w:rPr>
        <w:t>CIDH</w:t>
      </w:r>
      <w:r>
        <w:rPr>
          <w:color w:val="auto"/>
          <w:lang w:val="es-ES_tradnl"/>
        </w:rPr>
        <w:t>. Informe No. 75/06. Jesús María Valle Jaramillo.</w:t>
      </w:r>
      <w:r w:rsidRPr="004863F4">
        <w:rPr>
          <w:color w:val="auto"/>
          <w:lang w:val="es-ES_tradnl"/>
        </w:rPr>
        <w:t xml:space="preserve"> 16 de octubre de 2006, párr. 61.</w:t>
      </w:r>
    </w:p>
  </w:footnote>
  <w:footnote w:id="8">
    <w:p w14:paraId="258ED305" w14:textId="0F2625E2" w:rsidR="00475A99" w:rsidRPr="004863F4" w:rsidRDefault="00475A99" w:rsidP="004863F4">
      <w:pPr>
        <w:pStyle w:val="FootnoteText"/>
        <w:rPr>
          <w:color w:val="auto"/>
          <w:lang w:val="es-ES_tradnl"/>
        </w:rPr>
      </w:pPr>
      <w:r w:rsidRPr="004863F4">
        <w:rPr>
          <w:rStyle w:val="FootnoteReference"/>
          <w:color w:val="auto"/>
          <w:lang w:val="es-AR"/>
        </w:rPr>
        <w:footnoteRef/>
      </w:r>
      <w:r w:rsidRPr="004863F4">
        <w:rPr>
          <w:color w:val="auto"/>
          <w:lang w:val="es-AR"/>
        </w:rPr>
        <w:t xml:space="preserve"> C</w:t>
      </w:r>
      <w:r w:rsidRPr="004863F4">
        <w:rPr>
          <w:color w:val="auto"/>
          <w:lang w:val="es-ES_tradnl"/>
        </w:rPr>
        <w:t xml:space="preserve">IDH. </w:t>
      </w:r>
      <w:hyperlink r:id="rId2" w:history="1">
        <w:r w:rsidRPr="004863F4">
          <w:rPr>
            <w:rStyle w:val="Hyperlink"/>
            <w:iCs/>
            <w:color w:val="auto"/>
            <w:u w:val="none"/>
            <w:lang w:val="es-ES_tradnl"/>
          </w:rPr>
          <w:t>Tercer Informe sobre la Situación de los Derechos Humanos en Colombia</w:t>
        </w:r>
      </w:hyperlink>
      <w:r w:rsidRPr="004863F4">
        <w:rPr>
          <w:iCs/>
          <w:color w:val="auto"/>
          <w:lang w:val="es-ES_tradnl"/>
        </w:rPr>
        <w:t xml:space="preserve">. </w:t>
      </w:r>
      <w:r w:rsidRPr="004863F4">
        <w:rPr>
          <w:color w:val="auto"/>
          <w:lang w:val="es-ES_tradnl"/>
        </w:rPr>
        <w:t>26 de febrero de 1999, párrs.7-19. CIDH</w:t>
      </w:r>
      <w:r>
        <w:rPr>
          <w:color w:val="auto"/>
          <w:lang w:val="es-ES_tradnl"/>
        </w:rPr>
        <w:t>.</w:t>
      </w:r>
      <w:r w:rsidRPr="004863F4">
        <w:rPr>
          <w:color w:val="auto"/>
          <w:lang w:val="es-ES_tradnl"/>
        </w:rPr>
        <w:t xml:space="preserve"> Informe No</w:t>
      </w:r>
      <w:r>
        <w:rPr>
          <w:color w:val="auto"/>
          <w:lang w:val="es-ES_tradnl"/>
        </w:rPr>
        <w:t>. 75/06.</w:t>
      </w:r>
      <w:r w:rsidRPr="004863F4">
        <w:rPr>
          <w:color w:val="auto"/>
          <w:lang w:val="es-ES_tradnl"/>
        </w:rPr>
        <w:t xml:space="preserve"> </w:t>
      </w:r>
      <w:r>
        <w:rPr>
          <w:iCs/>
          <w:color w:val="auto"/>
          <w:lang w:val="es-ES_tradnl"/>
        </w:rPr>
        <w:t>Jesús María Valle Jaramillo.</w:t>
      </w:r>
      <w:r w:rsidRPr="004863F4">
        <w:rPr>
          <w:color w:val="auto"/>
          <w:lang w:val="es-ES_tradnl"/>
        </w:rPr>
        <w:t xml:space="preserve"> 16 de octubre de 2006, párr. 62.</w:t>
      </w:r>
    </w:p>
  </w:footnote>
  <w:footnote w:id="9">
    <w:p w14:paraId="73421CB0" w14:textId="77777777" w:rsidR="00475A99" w:rsidRPr="004863F4" w:rsidRDefault="00475A99" w:rsidP="004863F4">
      <w:pPr>
        <w:pStyle w:val="FootnoteText"/>
        <w:rPr>
          <w:color w:val="auto"/>
          <w:lang w:val="es-CO"/>
        </w:rPr>
      </w:pPr>
      <w:r w:rsidRPr="004863F4">
        <w:rPr>
          <w:rStyle w:val="FootnoteReference"/>
          <w:color w:val="auto"/>
        </w:rPr>
        <w:footnoteRef/>
      </w:r>
      <w:r w:rsidRPr="004863F4">
        <w:rPr>
          <w:color w:val="auto"/>
          <w:lang w:val="es-CO"/>
        </w:rPr>
        <w:t xml:space="preserve"> </w:t>
      </w:r>
      <w:r w:rsidRPr="004863F4">
        <w:rPr>
          <w:color w:val="auto"/>
          <w:lang w:val="es-ES"/>
        </w:rPr>
        <w:t xml:space="preserve">Corte IDH. </w:t>
      </w:r>
      <w:r w:rsidRPr="004863F4">
        <w:rPr>
          <w:i/>
          <w:color w:val="auto"/>
          <w:lang w:val="it-IT"/>
        </w:rPr>
        <w:t>Caso de la “Masacre de Mapiripán” Vs. Colombia</w:t>
      </w:r>
      <w:r w:rsidRPr="004863F4">
        <w:rPr>
          <w:color w:val="auto"/>
          <w:lang w:val="it-IT"/>
        </w:rPr>
        <w:t xml:space="preserve">. </w:t>
      </w:r>
      <w:r w:rsidRPr="004863F4">
        <w:rPr>
          <w:color w:val="auto"/>
          <w:lang w:val="es-ES"/>
        </w:rPr>
        <w:t>Excepciones Preliminares. Sentencia de 7 de marzo de 2005. Serie C No. 122, párrs. 96.1–96.5 y 125.</w:t>
      </w:r>
    </w:p>
  </w:footnote>
  <w:footnote w:id="10">
    <w:p w14:paraId="4A537CC7" w14:textId="77777777" w:rsidR="00475A99" w:rsidRPr="004863F4" w:rsidRDefault="00475A99" w:rsidP="004863F4">
      <w:pPr>
        <w:pStyle w:val="FootnoteText"/>
        <w:rPr>
          <w:color w:val="auto"/>
          <w:lang w:val="es-ES_tradnl"/>
        </w:rPr>
      </w:pPr>
      <w:r w:rsidRPr="004863F4">
        <w:rPr>
          <w:color w:val="auto"/>
          <w:vertAlign w:val="superscript"/>
          <w:lang w:val="es-ES_tradnl"/>
        </w:rPr>
        <w:footnoteRef/>
      </w:r>
      <w:r w:rsidRPr="004863F4">
        <w:rPr>
          <w:color w:val="auto"/>
          <w:lang w:val="es-ES_tradnl"/>
        </w:rPr>
        <w:t xml:space="preserve"> Decretos 1194 del 8 de junio de 1989 y 2266 de 1991. CIDH. Informe No. 75/06 Jesús María Valle Jaramillo, 16 de octubre de 2006, párr. 62.</w:t>
      </w:r>
    </w:p>
  </w:footnote>
  <w:footnote w:id="11">
    <w:p w14:paraId="7FE6CD68" w14:textId="77777777" w:rsidR="00475A99" w:rsidRPr="004863F4" w:rsidRDefault="00475A99" w:rsidP="004863F4">
      <w:pPr>
        <w:pStyle w:val="FootnoteText"/>
        <w:rPr>
          <w:color w:val="auto"/>
          <w:lang w:val="es-ES_tradnl"/>
        </w:rPr>
      </w:pPr>
      <w:r w:rsidRPr="004863F4">
        <w:rPr>
          <w:color w:val="auto"/>
          <w:vertAlign w:val="superscript"/>
          <w:lang w:val="es-ES_tradnl"/>
        </w:rPr>
        <w:footnoteRef/>
      </w:r>
      <w:r w:rsidRPr="004863F4">
        <w:rPr>
          <w:color w:val="auto"/>
          <w:lang w:val="es-ES_tradnl"/>
        </w:rPr>
        <w:t xml:space="preserve"> CIDH. </w:t>
      </w:r>
      <w:hyperlink r:id="rId3" w:history="1">
        <w:r w:rsidRPr="004863F4">
          <w:rPr>
            <w:rStyle w:val="Hyperlink"/>
            <w:iCs/>
            <w:color w:val="auto"/>
            <w:u w:val="none"/>
            <w:lang w:val="es-ES_tradnl"/>
          </w:rPr>
          <w:t>Tercer Informe sobre la Situación de los Derechos Humanos en Colombia</w:t>
        </w:r>
      </w:hyperlink>
      <w:r w:rsidRPr="004863F4">
        <w:rPr>
          <w:iCs/>
          <w:color w:val="auto"/>
          <w:lang w:val="es-ES_tradnl"/>
        </w:rPr>
        <w:t>.</w:t>
      </w:r>
      <w:r w:rsidRPr="004863F4">
        <w:rPr>
          <w:color w:val="auto"/>
          <w:lang w:val="es-ES_tradnl"/>
        </w:rPr>
        <w:t xml:space="preserve"> OEA/Ser.L/V/II.102 Doc. 9 rev. 1, 26 de febrero de 1999, Cap. IV, párrs. 17-19,y 37-39. CIDH. Informe No. 75/06. Jesús María Valle Jaramillo. 16 de octubre de 2006, párr. 62.</w:t>
      </w:r>
      <w:r w:rsidRPr="004863F4">
        <w:rPr>
          <w:color w:val="auto"/>
          <w:lang w:val="es-ES"/>
        </w:rPr>
        <w:t xml:space="preserve"> </w:t>
      </w:r>
    </w:p>
  </w:footnote>
  <w:footnote w:id="12">
    <w:p w14:paraId="54631D4B" w14:textId="77777777"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CNMH. El derecho a la justicia como garantía de no repetición. Volumen I. </w:t>
      </w:r>
      <w:hyperlink r:id="rId4" w:history="1">
        <w:r w:rsidRPr="004863F4">
          <w:rPr>
            <w:rStyle w:val="Hyperlink"/>
            <w:color w:val="auto"/>
            <w:u w:val="none"/>
            <w:lang w:val="es-ES"/>
          </w:rPr>
          <w:t>Graves violaciones de derecho humanos: luchas sociales y cambios normativos e institucionales 1985-2012</w:t>
        </w:r>
      </w:hyperlink>
      <w:r w:rsidRPr="004863F4">
        <w:rPr>
          <w:color w:val="auto"/>
          <w:lang w:val="es-ES"/>
        </w:rPr>
        <w:t>, pág. 17.</w:t>
      </w:r>
    </w:p>
  </w:footnote>
  <w:footnote w:id="13">
    <w:p w14:paraId="7967B2AA" w14:textId="77777777" w:rsidR="00475A99" w:rsidRPr="004863F4" w:rsidRDefault="00475A99" w:rsidP="004863F4">
      <w:pPr>
        <w:pStyle w:val="FootnoteText"/>
        <w:tabs>
          <w:tab w:val="left" w:pos="9356"/>
        </w:tabs>
        <w:rPr>
          <w:color w:val="auto"/>
          <w:lang w:val="es-CO"/>
        </w:rPr>
      </w:pPr>
      <w:r w:rsidRPr="004863F4">
        <w:rPr>
          <w:rStyle w:val="FootnoteReference"/>
          <w:color w:val="auto"/>
        </w:rPr>
        <w:footnoteRef/>
      </w:r>
      <w:r w:rsidRPr="004863F4">
        <w:rPr>
          <w:color w:val="auto"/>
          <w:lang w:val="es-CO"/>
        </w:rPr>
        <w:t xml:space="preserve"> CNMH. </w:t>
      </w:r>
      <w:hyperlink r:id="rId5" w:history="1">
        <w:r w:rsidRPr="004863F4">
          <w:rPr>
            <w:rStyle w:val="Hyperlink"/>
            <w:color w:val="auto"/>
            <w:u w:val="none"/>
            <w:lang w:val="es-CO"/>
          </w:rPr>
          <w:t>Huellas y Rostros de la Desaparición Forzada (1970-2010). Tomo II. Caso 4.  Víctor Manuel Isaza Uribe: Desaparición Forzada y Represión Antisindical.</w:t>
        </w:r>
      </w:hyperlink>
      <w:r w:rsidRPr="004863F4">
        <w:rPr>
          <w:color w:val="auto"/>
          <w:lang w:val="es-CO"/>
        </w:rPr>
        <w:t xml:space="preserve"> Este informe destaca los siguientes: a) Reglamento de combate de contraguerrillas – EJC 3-10, del Comando General de las Fuerzas Militares, Disposición No. 005 de 9 de abril de 1969; b) El Manual de Guerrillas y Contraguerrillas urbanas – EJC 3-18, del Ejército Nacional, Disposición No. 00006 de 1977; c) Las Instrucciones generales para operaciones de contraguerrillas, del Comando General del Ejército de 1979; d) El Manual ECJ-3-101, del Comando General del Ejército, de 25 de junio de 1982; y e) el Reglamento de combate de contraguerrilla – EJC-3-10, del Comando General de las Fuerzas Militares, de 1987. </w:t>
      </w:r>
    </w:p>
  </w:footnote>
  <w:footnote w:id="14">
    <w:p w14:paraId="1A3E1D98" w14:textId="77777777" w:rsidR="00475A99" w:rsidRPr="004863F4" w:rsidRDefault="00475A99" w:rsidP="004863F4">
      <w:pPr>
        <w:tabs>
          <w:tab w:val="left" w:pos="9356"/>
        </w:tabs>
        <w:jc w:val="both"/>
        <w:rPr>
          <w:rFonts w:asciiTheme="majorHAnsi" w:hAnsiTheme="majorHAnsi"/>
          <w:sz w:val="16"/>
          <w:szCs w:val="16"/>
          <w:lang w:val="es-CO"/>
        </w:rPr>
      </w:pPr>
      <w:r w:rsidRPr="004863F4">
        <w:rPr>
          <w:rStyle w:val="FootnoteReference"/>
          <w:rFonts w:asciiTheme="majorHAnsi" w:hAnsiTheme="majorHAnsi"/>
          <w:sz w:val="16"/>
          <w:szCs w:val="16"/>
        </w:rPr>
        <w:footnoteRef/>
      </w:r>
      <w:r w:rsidRPr="004863F4">
        <w:rPr>
          <w:rFonts w:asciiTheme="majorHAnsi" w:hAnsiTheme="majorHAnsi"/>
          <w:sz w:val="16"/>
          <w:szCs w:val="16"/>
          <w:lang w:val="es-CO"/>
        </w:rPr>
        <w:t xml:space="preserve"> CNMH. </w:t>
      </w:r>
      <w:hyperlink r:id="rId6" w:history="1">
        <w:r w:rsidRPr="004863F4">
          <w:rPr>
            <w:rStyle w:val="Hyperlink"/>
            <w:rFonts w:asciiTheme="majorHAnsi" w:hAnsiTheme="majorHAnsi"/>
            <w:sz w:val="16"/>
            <w:szCs w:val="16"/>
            <w:u w:val="none"/>
            <w:lang w:val="es-CO"/>
          </w:rPr>
          <w:t>Huellas y Rostros de la Desaparición Forzada (1970-2010). Tomo II. Caso 4.  Víctor Manuel Isaza Uribe: Desaparición Forzada y Represión Antisindical.</w:t>
        </w:r>
      </w:hyperlink>
    </w:p>
  </w:footnote>
  <w:footnote w:id="15">
    <w:p w14:paraId="5C02112E" w14:textId="77777777"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CNMH. El derecho a la justicia como garantía de no repetición. Volumen I. </w:t>
      </w:r>
      <w:hyperlink r:id="rId7" w:history="1">
        <w:r w:rsidRPr="004863F4">
          <w:rPr>
            <w:rStyle w:val="Hyperlink"/>
            <w:color w:val="auto"/>
            <w:u w:val="none"/>
            <w:lang w:val="es-ES"/>
          </w:rPr>
          <w:t>Graves violaciones de derecho humanos: luchas sociales y cambios normativos e institucionales 1985-2012</w:t>
        </w:r>
      </w:hyperlink>
      <w:r w:rsidRPr="004863F4">
        <w:rPr>
          <w:color w:val="auto"/>
          <w:lang w:val="es-ES"/>
        </w:rPr>
        <w:t>, pág. 76-77.</w:t>
      </w:r>
    </w:p>
  </w:footnote>
  <w:footnote w:id="16">
    <w:p w14:paraId="5659FE0E" w14:textId="77777777" w:rsidR="00475A99" w:rsidRPr="004863F4" w:rsidRDefault="00475A99" w:rsidP="004863F4">
      <w:pPr>
        <w:tabs>
          <w:tab w:val="left" w:pos="9356"/>
        </w:tabs>
        <w:jc w:val="both"/>
        <w:rPr>
          <w:rFonts w:asciiTheme="majorHAnsi" w:hAnsiTheme="majorHAnsi"/>
          <w:sz w:val="16"/>
          <w:szCs w:val="16"/>
          <w:lang w:val="es-CO"/>
        </w:rPr>
      </w:pPr>
      <w:r w:rsidRPr="004863F4">
        <w:rPr>
          <w:rStyle w:val="FootnoteReference"/>
          <w:rFonts w:asciiTheme="majorHAnsi" w:hAnsiTheme="majorHAnsi"/>
          <w:sz w:val="16"/>
          <w:szCs w:val="16"/>
        </w:rPr>
        <w:footnoteRef/>
      </w:r>
      <w:r w:rsidRPr="004863F4">
        <w:rPr>
          <w:rFonts w:asciiTheme="majorHAnsi" w:hAnsiTheme="majorHAnsi"/>
          <w:sz w:val="16"/>
          <w:szCs w:val="16"/>
          <w:lang w:val="es-CO"/>
        </w:rPr>
        <w:t xml:space="preserve"> CNMH. </w:t>
      </w:r>
      <w:hyperlink r:id="rId8" w:history="1">
        <w:r w:rsidRPr="004863F4">
          <w:rPr>
            <w:rStyle w:val="Hyperlink"/>
            <w:rFonts w:asciiTheme="majorHAnsi" w:hAnsiTheme="majorHAnsi"/>
            <w:sz w:val="16"/>
            <w:szCs w:val="16"/>
            <w:u w:val="none"/>
            <w:lang w:val="es-CO"/>
          </w:rPr>
          <w:t>Huellas y Rostros de la Desaparición Forzada (1970-2010). Tomo II. Caso 4.  Víctor Manuel Isaza Uribe: Desaparición Forzada y Represión Antisindical</w:t>
        </w:r>
      </w:hyperlink>
      <w:r w:rsidRPr="004863F4">
        <w:rPr>
          <w:rFonts w:asciiTheme="majorHAnsi" w:hAnsiTheme="majorHAnsi"/>
          <w:sz w:val="16"/>
          <w:szCs w:val="16"/>
          <w:lang w:val="es-CO"/>
        </w:rPr>
        <w:t xml:space="preserve">. Citando. Informe Conjunto del Relator Especial encargado de la cuestión de la tortura, Sr. Nigel S. Rodley, y del Relator Especial encargado de la cuestión de las ejecuciones extrajudiciales, sumarias o arbitrarias, Sr. Bacre Waly Ndiaye. E/CN.4/1995/111 de 16 de enero de 1995. </w:t>
      </w:r>
    </w:p>
  </w:footnote>
  <w:footnote w:id="17">
    <w:p w14:paraId="557451F3" w14:textId="77777777" w:rsidR="00475A99" w:rsidRPr="004863F4" w:rsidRDefault="00475A99" w:rsidP="004863F4">
      <w:pPr>
        <w:pStyle w:val="FootnoteText"/>
        <w:tabs>
          <w:tab w:val="left" w:pos="9356"/>
        </w:tabs>
        <w:rPr>
          <w:color w:val="auto"/>
          <w:lang w:val="es-CO"/>
        </w:rPr>
      </w:pPr>
      <w:r w:rsidRPr="004863F4">
        <w:rPr>
          <w:rStyle w:val="FootnoteReference"/>
          <w:color w:val="auto"/>
        </w:rPr>
        <w:footnoteRef/>
      </w:r>
      <w:r w:rsidRPr="004863F4">
        <w:rPr>
          <w:color w:val="auto"/>
          <w:lang w:val="es-CO"/>
        </w:rPr>
        <w:t xml:space="preserve"> Ver: Consejo de Estado. Sala de lo Contencioso Administrativo. Sección Primera. 5 de febrero de 2009. Expediente 11001-03-15-000-2008-01400-01. Actor, Javier Giraldo Moreno. Entre los manuales que se destacan por la parte peticionaria se encuentran: El Reglamento de combate de contraguerrilla- EJC 3-10, del Comando General de las Fuerzas Militares, Disposición No. 005 de 9 de abril de 1969; El Manual de Guerrillas y Contraguerrillas Urbanas -EJC 3-18, del Ejército Nacional, Disposición No. 00006 de 1977; Las Instrucciones generales para operaciones de contraguerrilla, del Comando General del Ejército de 1979; El Manual ECJ-3-101, del Comando General del Ejército, de 25 de junio de 1982; y El Reglamento de combate de contraguerrilla EJC-1-10, del Comando General de las Fuerzas Militares, de 1987. Cfr. Centro Nacional de Memoria Histórica (2013). pp. 133-136. En el mismo sentido ilustró la declaración del perito Sr. Alberto Yepes propuesto por la CIDH en la Audiencia del caso </w:t>
      </w:r>
      <w:r w:rsidRPr="004863F4">
        <w:rPr>
          <w:iCs/>
          <w:color w:val="auto"/>
          <w:lang w:val="es-CO"/>
        </w:rPr>
        <w:t>Isaza Uribe vs Colombia</w:t>
      </w:r>
      <w:r w:rsidRPr="004863F4">
        <w:rPr>
          <w:color w:val="auto"/>
          <w:lang w:val="es-CO"/>
        </w:rPr>
        <w:t>, de fecha 31 de enero de 2018.</w:t>
      </w:r>
    </w:p>
  </w:footnote>
  <w:footnote w:id="18">
    <w:p w14:paraId="6A78C293" w14:textId="77777777" w:rsidR="00475A99" w:rsidRPr="004863F4" w:rsidRDefault="00475A99" w:rsidP="004863F4">
      <w:pPr>
        <w:pStyle w:val="FootnoteText"/>
        <w:rPr>
          <w:color w:val="auto"/>
          <w:lang w:val="es-US"/>
        </w:rPr>
      </w:pPr>
      <w:r w:rsidRPr="004863F4">
        <w:rPr>
          <w:rStyle w:val="FootnoteReference"/>
          <w:color w:val="auto"/>
        </w:rPr>
        <w:footnoteRef/>
      </w:r>
      <w:r w:rsidRPr="004863F4">
        <w:rPr>
          <w:color w:val="auto"/>
          <w:lang w:val="pt-BR"/>
        </w:rPr>
        <w:t xml:space="preserve">  Corte IDH. </w:t>
      </w:r>
      <w:r w:rsidRPr="00586D0A">
        <w:rPr>
          <w:i/>
          <w:color w:val="auto"/>
          <w:lang w:val="pt-BR"/>
        </w:rPr>
        <w:t xml:space="preserve">Caso Blake Vs. </w:t>
      </w:r>
      <w:r w:rsidRPr="00586D0A">
        <w:rPr>
          <w:i/>
          <w:color w:val="auto"/>
          <w:lang w:val="es-ES"/>
        </w:rPr>
        <w:t>Guatemala</w:t>
      </w:r>
      <w:r w:rsidRPr="004863F4">
        <w:rPr>
          <w:color w:val="auto"/>
          <w:lang w:val="es-ES"/>
        </w:rPr>
        <w:t xml:space="preserve">. </w:t>
      </w:r>
      <w:r w:rsidRPr="004863F4">
        <w:rPr>
          <w:color w:val="auto"/>
          <w:lang w:val="es-ES_tradnl"/>
        </w:rPr>
        <w:t xml:space="preserve">Fondo. Sentencia de 24 de enero de 1998. Serie C No. 36, </w:t>
      </w:r>
      <w:r w:rsidRPr="004863F4">
        <w:rPr>
          <w:color w:val="auto"/>
          <w:lang w:val="es-US"/>
        </w:rPr>
        <w:t>párr.76.</w:t>
      </w:r>
    </w:p>
  </w:footnote>
  <w:footnote w:id="19">
    <w:p w14:paraId="35CD5F70" w14:textId="77777777" w:rsidR="00475A99" w:rsidRPr="004863F4" w:rsidRDefault="00475A99" w:rsidP="004863F4">
      <w:pPr>
        <w:pStyle w:val="FootnoteText"/>
        <w:rPr>
          <w:color w:val="auto"/>
          <w:lang w:val="es-AR"/>
        </w:rPr>
      </w:pPr>
      <w:r w:rsidRPr="004863F4">
        <w:rPr>
          <w:color w:val="auto"/>
          <w:vertAlign w:val="superscript"/>
          <w:lang w:val="es-ES_tradnl"/>
        </w:rPr>
        <w:footnoteRef/>
      </w:r>
      <w:r w:rsidRPr="004863F4">
        <w:rPr>
          <w:color w:val="auto"/>
          <w:lang w:val="es-ES_tradnl"/>
        </w:rPr>
        <w:t xml:space="preserve"> CIDH. Informe No.37/00 Monseñor Oscar Arnulfo Romero y Galdámez, párr. 64. CIDH. Informe No. 75/06 Jesús María Valle Jaramillo, 16 de octubre de 2006, párr. 63.</w:t>
      </w:r>
    </w:p>
  </w:footnote>
  <w:footnote w:id="20">
    <w:p w14:paraId="1917206F" w14:textId="671287A1"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w:t>
      </w:r>
      <w:r w:rsidRPr="004863F4">
        <w:rPr>
          <w:color w:val="auto"/>
          <w:lang w:val="es-ES_tradnl"/>
        </w:rPr>
        <w:t xml:space="preserve">CIDH. </w:t>
      </w:r>
      <w:r w:rsidRPr="004863F4">
        <w:rPr>
          <w:iCs/>
          <w:color w:val="auto"/>
          <w:lang w:val="es-ES_tradnl"/>
        </w:rPr>
        <w:t>Tercer Informe sobre la Situación de los Derechos Humanos en Colombia.</w:t>
      </w:r>
      <w:r w:rsidRPr="004863F4">
        <w:rPr>
          <w:color w:val="auto"/>
          <w:lang w:val="es-ES_tradnl"/>
        </w:rPr>
        <w:t xml:space="preserve"> </w:t>
      </w:r>
      <w:hyperlink r:id="rId9" w:history="1">
        <w:r w:rsidRPr="004863F4">
          <w:rPr>
            <w:rStyle w:val="Hyperlink"/>
            <w:iCs/>
            <w:color w:val="auto"/>
            <w:u w:val="none"/>
            <w:lang w:val="es-ES_tradnl"/>
          </w:rPr>
          <w:t>Capítulo VII: Defensores de los derechos humanos.</w:t>
        </w:r>
      </w:hyperlink>
      <w:r w:rsidRPr="004863F4">
        <w:rPr>
          <w:iCs/>
          <w:color w:val="auto"/>
          <w:lang w:val="es-ES_tradnl"/>
        </w:rPr>
        <w:t xml:space="preserve"> </w:t>
      </w:r>
      <w:r w:rsidRPr="004863F4">
        <w:rPr>
          <w:color w:val="auto"/>
          <w:lang w:val="es-ES_tradnl"/>
        </w:rPr>
        <w:t>OEA/Ser.L/V/II.102 Doc. 9 rev. 1, 26 de febrero de 1999, Cap. IV, párrs. 6 y 8.</w:t>
      </w:r>
    </w:p>
  </w:footnote>
  <w:footnote w:id="21">
    <w:p w14:paraId="2743FF2B" w14:textId="7CD013EA"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ECOSOC. Informe del ACNUDHC. E/CN.4/1998/16. 24 de enero de 1998, párr. 111; E/CN.4/1999/8. 16 de marzo de 1999, párrs. 102-107; E/CN.4/2000/11. 9 de marzo de 2000, párrs. 32, 76, 119-125; E/CN.4/2001/15. 20 de marzo de 2001, párrs. 169-173; y E/CN.4/2002/17. 28 de febrero de 2002, párrs. 273-288.</w:t>
      </w:r>
    </w:p>
  </w:footnote>
  <w:footnote w:id="22">
    <w:p w14:paraId="686823FB" w14:textId="4F96B783"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CNDH. </w:t>
      </w:r>
      <w:hyperlink r:id="rId10" w:history="1">
        <w:r w:rsidRPr="004863F4">
          <w:rPr>
            <w:rStyle w:val="Hyperlink"/>
            <w:color w:val="auto"/>
            <w:u w:val="none"/>
            <w:lang w:val="es-ES"/>
          </w:rPr>
          <w:t>Silencia la democracia. Las Masacres de Remedios y Segovia 1982 – 1997, p</w:t>
        </w:r>
      </w:hyperlink>
      <w:r w:rsidRPr="004863F4">
        <w:rPr>
          <w:color w:val="auto"/>
          <w:lang w:val="es-ES"/>
        </w:rPr>
        <w:t>ág. 23</w:t>
      </w:r>
    </w:p>
  </w:footnote>
  <w:footnote w:id="23">
    <w:p w14:paraId="7E3930B7" w14:textId="6C2B692B"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w:t>
      </w:r>
      <w:r w:rsidRPr="004863F4">
        <w:rPr>
          <w:color w:val="auto"/>
          <w:lang w:val="es-ES_tradnl"/>
        </w:rPr>
        <w:t xml:space="preserve">CIDH. </w:t>
      </w:r>
      <w:r w:rsidRPr="004863F4">
        <w:rPr>
          <w:iCs/>
          <w:color w:val="auto"/>
          <w:lang w:val="es-ES_tradnl"/>
        </w:rPr>
        <w:t xml:space="preserve">Tercer Informe sobre la Situación de los Derechos Humanos en Colombia. </w:t>
      </w:r>
      <w:r w:rsidRPr="004863F4">
        <w:rPr>
          <w:color w:val="auto"/>
          <w:lang w:val="es-ES_tradnl"/>
        </w:rPr>
        <w:t xml:space="preserve">26 febrero 1999, párr. 281 y ss. </w:t>
      </w:r>
    </w:p>
  </w:footnote>
  <w:footnote w:id="24">
    <w:p w14:paraId="730EE931" w14:textId="77777777"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CIDH. Informe No. 38/15, Petición 108-00. Solución Amistosa. Masacre de Segovia. Colombia. 24 de julio de 2015</w:t>
      </w:r>
    </w:p>
  </w:footnote>
  <w:footnote w:id="25">
    <w:p w14:paraId="1E1501CD" w14:textId="4CB2C824"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w:t>
      </w:r>
      <w:r w:rsidRPr="004863F4">
        <w:rPr>
          <w:color w:val="auto"/>
          <w:lang w:val="es-ES_tradnl"/>
        </w:rPr>
        <w:t xml:space="preserve">CIDH. </w:t>
      </w:r>
      <w:r w:rsidRPr="004863F4">
        <w:rPr>
          <w:iCs/>
          <w:color w:val="auto"/>
          <w:lang w:val="es-ES_tradnl"/>
        </w:rPr>
        <w:t xml:space="preserve">Tercer Informe sobre la Situación de los Derechos Humanos en Colombia. </w:t>
      </w:r>
      <w:r w:rsidRPr="004863F4">
        <w:rPr>
          <w:color w:val="auto"/>
          <w:lang w:val="es-ES_tradnl"/>
        </w:rPr>
        <w:t xml:space="preserve">26 </w:t>
      </w:r>
      <w:r>
        <w:rPr>
          <w:color w:val="auto"/>
          <w:lang w:val="es-ES_tradnl"/>
        </w:rPr>
        <w:t xml:space="preserve">de </w:t>
      </w:r>
      <w:r w:rsidRPr="004863F4">
        <w:rPr>
          <w:color w:val="auto"/>
          <w:lang w:val="es-ES_tradnl"/>
        </w:rPr>
        <w:t xml:space="preserve">febrero </w:t>
      </w:r>
      <w:r>
        <w:rPr>
          <w:color w:val="auto"/>
          <w:lang w:val="es-ES_tradnl"/>
        </w:rPr>
        <w:t xml:space="preserve">de </w:t>
      </w:r>
      <w:r w:rsidRPr="004863F4">
        <w:rPr>
          <w:color w:val="auto"/>
          <w:lang w:val="es-ES_tradnl"/>
        </w:rPr>
        <w:t xml:space="preserve">1999, párr. 282. </w:t>
      </w:r>
      <w:r w:rsidRPr="004863F4">
        <w:rPr>
          <w:color w:val="auto"/>
          <w:lang w:val="es-ES"/>
        </w:rPr>
        <w:t xml:space="preserve">CNDH. </w:t>
      </w:r>
      <w:hyperlink r:id="rId11" w:history="1">
        <w:r w:rsidRPr="004863F4">
          <w:rPr>
            <w:rStyle w:val="Hyperlink"/>
            <w:color w:val="auto"/>
            <w:u w:val="none"/>
            <w:lang w:val="es-ES"/>
          </w:rPr>
          <w:t>Silencia la democracia. Las Masacres de Remedios y Segovia 1982 – 1997,</w:t>
        </w:r>
      </w:hyperlink>
      <w:r w:rsidRPr="004863F4">
        <w:rPr>
          <w:color w:val="auto"/>
          <w:lang w:val="es-ES"/>
        </w:rPr>
        <w:t xml:space="preserve"> pág. 111.</w:t>
      </w:r>
    </w:p>
  </w:footnote>
  <w:footnote w:id="26">
    <w:p w14:paraId="4D754888" w14:textId="264625F8"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w:t>
      </w:r>
      <w:r w:rsidRPr="004863F4">
        <w:rPr>
          <w:color w:val="auto"/>
          <w:lang w:val="es-ES_tradnl"/>
        </w:rPr>
        <w:t xml:space="preserve">CIDH. </w:t>
      </w:r>
      <w:r w:rsidRPr="004863F4">
        <w:rPr>
          <w:iCs/>
          <w:color w:val="auto"/>
          <w:lang w:val="es-ES_tradnl"/>
        </w:rPr>
        <w:t xml:space="preserve">Tercer Informe sobre la Situación de los Derechos Humanos en Colombia. </w:t>
      </w:r>
      <w:r>
        <w:rPr>
          <w:color w:val="auto"/>
          <w:lang w:val="es-ES_tradnl"/>
        </w:rPr>
        <w:t>26 de febrero de 1999</w:t>
      </w:r>
      <w:r w:rsidRPr="004863F4">
        <w:rPr>
          <w:color w:val="auto"/>
          <w:lang w:val="es-ES_tradnl"/>
        </w:rPr>
        <w:t>, párrs. 31-32.</w:t>
      </w:r>
    </w:p>
  </w:footnote>
  <w:footnote w:id="27">
    <w:p w14:paraId="276C6B7D" w14:textId="77777777"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CIDH. MC-23-98. Jesús Ramiro Zapata. La medida cautelar fue otorgada 11 de febrero de 1998 y levantada el 8 de julio de 2013.</w:t>
      </w:r>
    </w:p>
  </w:footnote>
  <w:footnote w:id="28">
    <w:p w14:paraId="05646B56" w14:textId="28FB2F83"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CIDH. Informe Anual de la Comisión Interamericana de Derechos Humanos 2000. </w:t>
      </w:r>
      <w:hyperlink r:id="rId12" w:history="1">
        <w:r w:rsidRPr="004863F4">
          <w:rPr>
            <w:rStyle w:val="Hyperlink"/>
            <w:color w:val="auto"/>
            <w:u w:val="none"/>
            <w:lang w:val="es-ES"/>
          </w:rPr>
          <w:t>Capítulo IV. Desarrollo de los derechos humanos en la región. Colombia</w:t>
        </w:r>
      </w:hyperlink>
      <w:r w:rsidRPr="004863F4">
        <w:rPr>
          <w:color w:val="auto"/>
          <w:lang w:val="es-ES"/>
        </w:rPr>
        <w:t>. 16 de abril de</w:t>
      </w:r>
      <w:r>
        <w:rPr>
          <w:color w:val="auto"/>
          <w:lang w:val="es-ES"/>
        </w:rPr>
        <w:t xml:space="preserve"> 2001, p</w:t>
      </w:r>
      <w:r w:rsidRPr="004863F4">
        <w:rPr>
          <w:color w:val="auto"/>
          <w:lang w:val="es-ES"/>
        </w:rPr>
        <w:t>árrs. 76-77</w:t>
      </w:r>
      <w:r>
        <w:rPr>
          <w:color w:val="auto"/>
          <w:lang w:val="es-ES"/>
        </w:rPr>
        <w:t>.</w:t>
      </w:r>
    </w:p>
  </w:footnote>
  <w:footnote w:id="29">
    <w:p w14:paraId="78767C4F" w14:textId="108EF7C3"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CD. Cédula de ciudadanía. Anexo al escrito de la parte peticionaria de 25 de mayo de 2012.</w:t>
      </w:r>
    </w:p>
  </w:footnote>
  <w:footnote w:id="30">
    <w:p w14:paraId="748BDA22" w14:textId="5153CEAC"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CD. Carta sobre información sobre el docente JESUS RAMIRO ZAPATA. Anexo CD: FGN. Versión libre y espontánea que rinde Jesús Ramiro Zapata de 17 de septiembre de 1997. </w:t>
      </w:r>
    </w:p>
  </w:footnote>
  <w:footnote w:id="31">
    <w:p w14:paraId="343C38DF" w14:textId="172C8FA7"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CD. Municipio de Segovia. Constancia de defensor de 24 de febrero de 1997. </w:t>
      </w:r>
    </w:p>
  </w:footnote>
  <w:footnote w:id="32">
    <w:p w14:paraId="055E99DC" w14:textId="77777777"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CD. Ministerio del Interior. Of. 3265. Declaración de Carlos Holmes Trujillo García de 7 de octubre de 1997.</w:t>
      </w:r>
    </w:p>
  </w:footnote>
  <w:footnote w:id="33">
    <w:p w14:paraId="19412E0B" w14:textId="7F80DDAD"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Escrito</w:t>
      </w:r>
      <w:r>
        <w:rPr>
          <w:color w:val="auto"/>
          <w:lang w:val="es-ES"/>
        </w:rPr>
        <w:t>s</w:t>
      </w:r>
      <w:r w:rsidRPr="004863F4">
        <w:rPr>
          <w:color w:val="auto"/>
          <w:lang w:val="es-ES"/>
        </w:rPr>
        <w:t xml:space="preserve"> de la parte peticionaria de 25 de mayo de 2012</w:t>
      </w:r>
      <w:r>
        <w:rPr>
          <w:color w:val="auto"/>
          <w:lang w:val="es-ES"/>
        </w:rPr>
        <w:t xml:space="preserve"> y 6 de diciembre de 2019</w:t>
      </w:r>
      <w:r w:rsidRPr="004863F4">
        <w:rPr>
          <w:color w:val="auto"/>
          <w:lang w:val="es-ES"/>
        </w:rPr>
        <w:t>. La CIDH deja constancia de que la madre y la hermana María Fanny fallecieron el 2007 y 2006 respectivamente.</w:t>
      </w:r>
      <w:r>
        <w:rPr>
          <w:color w:val="auto"/>
          <w:lang w:val="es-ES"/>
        </w:rPr>
        <w:t xml:space="preserve"> La Comisión toma nota de que Adrián Alberto Zapata fue asesinado el 16 de marzo de 2019.</w:t>
      </w:r>
      <w:r w:rsidRPr="004863F4">
        <w:rPr>
          <w:color w:val="auto"/>
          <w:lang w:val="es-ES"/>
        </w:rPr>
        <w:t xml:space="preserve"> Asimismo, la parte peticionaria señaló que el propio señor Zapata reconoció a la señora Higuita como su compañera en el siguiente documento: Anexo CD. FGN. Versión libre y espontánea que rinde Jesús Ramiro Zapata de 17 de septiembre de 1997. </w:t>
      </w:r>
    </w:p>
  </w:footnote>
  <w:footnote w:id="34">
    <w:p w14:paraId="4CBFDDEC" w14:textId="77777777" w:rsidR="00475A99" w:rsidRPr="009513F8" w:rsidRDefault="00475A99" w:rsidP="001015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Times"/>
          <w:sz w:val="16"/>
          <w:szCs w:val="16"/>
          <w:lang w:val="es-US" w:eastAsia="es-ES"/>
        </w:rPr>
      </w:pPr>
      <w:r w:rsidRPr="005A7296">
        <w:rPr>
          <w:rStyle w:val="FootnoteReference"/>
          <w:rFonts w:asciiTheme="majorHAnsi" w:hAnsiTheme="majorHAnsi"/>
          <w:sz w:val="16"/>
          <w:szCs w:val="16"/>
        </w:rPr>
        <w:footnoteRef/>
      </w:r>
      <w:r w:rsidRPr="005A7296">
        <w:rPr>
          <w:rFonts w:asciiTheme="majorHAnsi" w:hAnsiTheme="majorHAnsi"/>
          <w:sz w:val="16"/>
          <w:szCs w:val="16"/>
          <w:lang w:val="es-ES"/>
        </w:rPr>
        <w:t xml:space="preserve"> Anexo 1. FGN. </w:t>
      </w:r>
      <w:r w:rsidRPr="00522093">
        <w:rPr>
          <w:rFonts w:asciiTheme="majorHAnsi" w:hAnsiTheme="majorHAnsi" w:cs="Arial"/>
          <w:sz w:val="16"/>
          <w:szCs w:val="16"/>
          <w:lang w:val="es-US" w:eastAsia="es-ES"/>
        </w:rPr>
        <w:t xml:space="preserve">Fiscalía 69 DECVDH, Rad. 789, cuadernos 10, 11 y 12. </w:t>
      </w:r>
      <w:r w:rsidRPr="009513F8">
        <w:rPr>
          <w:rFonts w:asciiTheme="majorHAnsi" w:hAnsiTheme="majorHAnsi" w:cs="Arial"/>
          <w:sz w:val="16"/>
          <w:szCs w:val="16"/>
          <w:lang w:val="es-US" w:eastAsia="es-ES"/>
        </w:rPr>
        <w:t xml:space="preserve">Anexo a la comunicación de la parte peticionaria de 6 de diciembre de 2019. </w:t>
      </w:r>
    </w:p>
  </w:footnote>
  <w:footnote w:id="35">
    <w:p w14:paraId="74901A69" w14:textId="77777777"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Investigación No. 14.807 por el secuestro del registrador municipal de Segovia. Tras su liberación la víctima de secuestro descartó la participación del señor Zapata y sus posibles vínculos subversivos. Anexo CD. Declaración de Damián Orlando Álvarez Serna de 31 de mayo de 1994. Anexo al escrito de la parte peticionaria de 25 de mayo de 2012.</w:t>
      </w:r>
    </w:p>
  </w:footnote>
  <w:footnote w:id="36">
    <w:p w14:paraId="575213BF" w14:textId="2DD2BA8F"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Investigación </w:t>
      </w:r>
      <w:r w:rsidRPr="004863F4">
        <w:rPr>
          <w:color w:val="auto"/>
          <w:lang w:val="es-ES_tradnl"/>
        </w:rPr>
        <w:t>No. 20.564</w:t>
      </w:r>
      <w:r w:rsidRPr="004863F4">
        <w:rPr>
          <w:color w:val="auto"/>
          <w:lang w:val="es-ES"/>
        </w:rPr>
        <w:t xml:space="preserve"> que vinculó al señor Zapata a raíz de varias denuncias con reserva de identidad  por sus presuntas conexiones con personas y actividades subversivas. La Fiscalía Regional de Medellín emitió resolución inhibitoria por falta de pruebas en 1997. Anexo CD. Radicado No. 20.564. FGN. Dirección Regional de Fiscalías. Fiscalía Regional Delegada. Resolución de 7 de mayo de 1997.</w:t>
      </w:r>
    </w:p>
  </w:footnote>
  <w:footnote w:id="37">
    <w:p w14:paraId="02CC6BEB" w14:textId="084BCF3A"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CD. Unidad Seccional de Fiscalía. Oficio No. 0699 de 26 de mayo de 1996..</w:t>
      </w:r>
    </w:p>
  </w:footnote>
  <w:footnote w:id="38">
    <w:p w14:paraId="7754CE90" w14:textId="5F599E4A" w:rsidR="00475A99" w:rsidRPr="004863F4" w:rsidRDefault="00475A99" w:rsidP="004863F4">
      <w:pPr>
        <w:pStyle w:val="FootnoteText"/>
        <w:rPr>
          <w:color w:val="auto"/>
          <w:lang w:val="es-ES_tradnl"/>
        </w:rPr>
      </w:pPr>
      <w:r w:rsidRPr="004863F4">
        <w:rPr>
          <w:rStyle w:val="FootnoteReference"/>
          <w:color w:val="auto"/>
        </w:rPr>
        <w:footnoteRef/>
      </w:r>
      <w:r w:rsidRPr="004863F4">
        <w:rPr>
          <w:color w:val="auto"/>
          <w:lang w:val="es-ES"/>
        </w:rPr>
        <w:t xml:space="preserve"> </w:t>
      </w:r>
      <w:r w:rsidRPr="004863F4">
        <w:rPr>
          <w:color w:val="auto"/>
          <w:lang w:val="es-ES_tradnl"/>
        </w:rPr>
        <w:t xml:space="preserve">Anexo CD.  Acción Urgente. Pronunciamiento del CODEHSEL de 27 de mayo de 1996. </w:t>
      </w:r>
    </w:p>
  </w:footnote>
  <w:footnote w:id="39">
    <w:p w14:paraId="0B85735D" w14:textId="0C1A5BE5" w:rsidR="00475A99" w:rsidRPr="004863F4" w:rsidRDefault="00475A99" w:rsidP="004863F4">
      <w:pPr>
        <w:pStyle w:val="FootnoteText"/>
        <w:rPr>
          <w:color w:val="auto"/>
          <w:lang w:val="es-ES_tradnl"/>
        </w:rPr>
      </w:pPr>
      <w:r w:rsidRPr="004863F4">
        <w:rPr>
          <w:rStyle w:val="FootnoteReference"/>
          <w:color w:val="auto"/>
        </w:rPr>
        <w:footnoteRef/>
      </w:r>
      <w:r w:rsidRPr="004863F4">
        <w:rPr>
          <w:color w:val="auto"/>
          <w:lang w:val="es-ES"/>
        </w:rPr>
        <w:t xml:space="preserve"> </w:t>
      </w:r>
      <w:r w:rsidRPr="004863F4">
        <w:rPr>
          <w:color w:val="auto"/>
          <w:lang w:val="es-ES_tradnl"/>
        </w:rPr>
        <w:t xml:space="preserve">Anexo CD. Fiscalía Regional de Medellín. 7 de junio de 1996. Definición de situación jurídica de William García Cartagena y Adrián Alberto Zapata Zapata. </w:t>
      </w:r>
    </w:p>
  </w:footnote>
  <w:footnote w:id="40">
    <w:p w14:paraId="19A7635F" w14:textId="307E1335" w:rsidR="00475A99" w:rsidRPr="004863F4" w:rsidRDefault="00475A99" w:rsidP="004863F4">
      <w:pPr>
        <w:pStyle w:val="FootnoteText"/>
        <w:rPr>
          <w:color w:val="auto"/>
          <w:lang w:val="es-ES_tradnl"/>
        </w:rPr>
      </w:pPr>
      <w:r w:rsidRPr="004863F4">
        <w:rPr>
          <w:rStyle w:val="FootnoteReference"/>
          <w:color w:val="auto"/>
        </w:rPr>
        <w:footnoteRef/>
      </w:r>
      <w:r w:rsidRPr="004863F4">
        <w:rPr>
          <w:color w:val="auto"/>
          <w:lang w:val="es-ES"/>
        </w:rPr>
        <w:t xml:space="preserve"> </w:t>
      </w:r>
      <w:r w:rsidRPr="004863F4">
        <w:rPr>
          <w:color w:val="auto"/>
          <w:lang w:val="es-ES_tradnl"/>
        </w:rPr>
        <w:t xml:space="preserve">Anexo CD. Fiscal Regional Cuerpo Técnico de Investigación. Declaración con reserva de identidad de 25 de septiembre de 1996. </w:t>
      </w:r>
    </w:p>
  </w:footnote>
  <w:footnote w:id="41">
    <w:p w14:paraId="459BE9E9" w14:textId="6FB39731" w:rsidR="00475A99" w:rsidRPr="004863F4" w:rsidRDefault="00475A99" w:rsidP="004863F4">
      <w:pPr>
        <w:pStyle w:val="FootnoteText"/>
        <w:rPr>
          <w:caps/>
          <w:color w:val="auto"/>
          <w:lang w:val="es-ES"/>
        </w:rPr>
      </w:pPr>
      <w:r w:rsidRPr="004863F4">
        <w:rPr>
          <w:rStyle w:val="FootnoteReference"/>
          <w:color w:val="auto"/>
        </w:rPr>
        <w:footnoteRef/>
      </w:r>
      <w:r w:rsidRPr="004863F4">
        <w:rPr>
          <w:color w:val="auto"/>
          <w:lang w:val="es-ES"/>
        </w:rPr>
        <w:t xml:space="preserve"> Anexo CD. Oficio 1125. Cuerpo Técnico de Investigación. Medellín 26 de diciembre de 1996. </w:t>
      </w:r>
    </w:p>
  </w:footnote>
  <w:footnote w:id="42">
    <w:p w14:paraId="0969648B" w14:textId="57BC22D1"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CD. Fiscalía Regional Delegada. Actuación Avoca Conocimiento. 26 de septiembre de 1997. </w:t>
      </w:r>
    </w:p>
  </w:footnote>
  <w:footnote w:id="43">
    <w:p w14:paraId="2B42D441" w14:textId="67909B0B"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CD. DAS. Antioquia. Unidad Regional de Policía Judicial. Denuncia penal de 8 de mayo de 1996. </w:t>
      </w:r>
    </w:p>
  </w:footnote>
  <w:footnote w:id="44">
    <w:p w14:paraId="3DD59E73" w14:textId="3198DD26" w:rsidR="00475A99" w:rsidRPr="009513F8" w:rsidRDefault="00475A99" w:rsidP="004863F4">
      <w:pPr>
        <w:pStyle w:val="FootnoteText"/>
        <w:rPr>
          <w:color w:val="auto"/>
          <w:lang w:val="pt-BR"/>
        </w:rPr>
      </w:pPr>
      <w:r w:rsidRPr="004863F4">
        <w:rPr>
          <w:rStyle w:val="FootnoteReference"/>
          <w:color w:val="auto"/>
        </w:rPr>
        <w:footnoteRef/>
      </w:r>
      <w:r w:rsidRPr="009513F8">
        <w:rPr>
          <w:color w:val="auto"/>
          <w:lang w:val="es-ES"/>
        </w:rPr>
        <w:t xml:space="preserve"> Anexo CD. </w:t>
      </w:r>
      <w:r w:rsidRPr="004863F4">
        <w:rPr>
          <w:color w:val="auto"/>
          <w:lang w:val="pt-BR"/>
        </w:rPr>
        <w:t xml:space="preserve">Oficio. No. 002867/BR20-BITES-S2-JD-INT2-259 de 22 de agosto de 1997. </w:t>
      </w:r>
    </w:p>
  </w:footnote>
  <w:footnote w:id="45">
    <w:p w14:paraId="472C7DA4" w14:textId="5068C0B6" w:rsidR="00475A99" w:rsidRPr="009513F8" w:rsidRDefault="00475A99" w:rsidP="004863F4">
      <w:pPr>
        <w:pStyle w:val="FootnoteText"/>
        <w:rPr>
          <w:color w:val="auto"/>
          <w:lang w:val="pt-BR"/>
        </w:rPr>
      </w:pPr>
      <w:r w:rsidRPr="004863F4">
        <w:rPr>
          <w:rStyle w:val="FootnoteReference"/>
          <w:color w:val="auto"/>
        </w:rPr>
        <w:footnoteRef/>
      </w:r>
      <w:r w:rsidRPr="009513F8">
        <w:rPr>
          <w:color w:val="auto"/>
          <w:lang w:val="pt-BR"/>
        </w:rPr>
        <w:t xml:space="preserve"> Anexo CD. Fiscalía Regional Cuarta Brigada. Resolución N.- 074 de 22 de agosto de 1997.  </w:t>
      </w:r>
    </w:p>
  </w:footnote>
  <w:footnote w:id="46">
    <w:p w14:paraId="01546CFB" w14:textId="6F788440" w:rsidR="00475A99" w:rsidRPr="009513F8" w:rsidRDefault="00475A99" w:rsidP="004863F4">
      <w:pPr>
        <w:pStyle w:val="FootnoteText"/>
        <w:rPr>
          <w:color w:val="auto"/>
          <w:lang w:val="pt-BR"/>
        </w:rPr>
      </w:pPr>
      <w:r w:rsidRPr="004863F4">
        <w:rPr>
          <w:rStyle w:val="FootnoteReference"/>
          <w:color w:val="auto"/>
        </w:rPr>
        <w:footnoteRef/>
      </w:r>
      <w:r w:rsidRPr="004863F4">
        <w:rPr>
          <w:color w:val="auto"/>
          <w:lang w:val="pt-BR"/>
        </w:rPr>
        <w:t xml:space="preserve"> Anexo CD. Informe de Inteligencia No. 002772/BR2O-BITE6-S3-JD-710. </w:t>
      </w:r>
    </w:p>
  </w:footnote>
  <w:footnote w:id="47">
    <w:p w14:paraId="1EE58B2A" w14:textId="38C515E8"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CD. Fiscalía Regional Cuarta Brigada. Resolución del 6 de septiembre de 1996. </w:t>
      </w:r>
    </w:p>
  </w:footnote>
  <w:footnote w:id="48">
    <w:p w14:paraId="671883A7" w14:textId="7BE6317B"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CD. Unidad Nacional de Derechos Humanos. Inspección judicial de 30 de mayo de 2000. </w:t>
      </w:r>
    </w:p>
  </w:footnote>
  <w:footnote w:id="49">
    <w:p w14:paraId="327F8841" w14:textId="49053178"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CD. Fiscalía Regional Delegada. Actuación Compulsan Copias 27 de octubre de 1997. </w:t>
      </w:r>
    </w:p>
  </w:footnote>
  <w:footnote w:id="50">
    <w:p w14:paraId="619AFB08" w14:textId="77777777"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Escrito de la parte peticionaria de 2 de marzo de 2016.</w:t>
      </w:r>
    </w:p>
  </w:footnote>
  <w:footnote w:id="51">
    <w:p w14:paraId="119D3E72" w14:textId="6747B71C"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pt-BR"/>
        </w:rPr>
        <w:t xml:space="preserve"> Anexo CD. CDHNA. Denuncia pública. </w:t>
      </w:r>
      <w:r w:rsidRPr="004863F4">
        <w:rPr>
          <w:color w:val="auto"/>
          <w:lang w:val="es-ES"/>
        </w:rPr>
        <w:t xml:space="preserve">4 de mayo de 2000. </w:t>
      </w:r>
    </w:p>
  </w:footnote>
  <w:footnote w:id="52">
    <w:p w14:paraId="58715B67" w14:textId="4548AA4D"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CD. Denuncia penal que formula el señor Jesús Ramiro Zapata de 5 de marzo de 1997. </w:t>
      </w:r>
    </w:p>
  </w:footnote>
  <w:footnote w:id="53">
    <w:p w14:paraId="0FCC5CE8" w14:textId="3CD5D49B"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Escrito de la parte peticionaria de 25 de mayo de 2012.</w:t>
      </w:r>
    </w:p>
  </w:footnote>
  <w:footnote w:id="54">
    <w:p w14:paraId="2E14E5A2" w14:textId="724A057D"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pt-BR"/>
        </w:rPr>
        <w:t xml:space="preserve"> Anexo CD. CDHNA. Denuncia pública. </w:t>
      </w:r>
      <w:r w:rsidRPr="004863F4">
        <w:rPr>
          <w:color w:val="auto"/>
          <w:lang w:val="es-ES"/>
        </w:rPr>
        <w:t xml:space="preserve">4 de mayo de 2000. </w:t>
      </w:r>
    </w:p>
  </w:footnote>
  <w:footnote w:id="55">
    <w:p w14:paraId="72BA37EA" w14:textId="1CC17BAE"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CD. Declaración del señor Adrian Alberto Zapata Zapata de 4 de mayo de 2000. </w:t>
      </w:r>
    </w:p>
  </w:footnote>
  <w:footnote w:id="56">
    <w:p w14:paraId="6CFFF175" w14:textId="45B29202" w:rsidR="00475A99" w:rsidRPr="009513F8" w:rsidRDefault="00475A99" w:rsidP="004863F4">
      <w:pPr>
        <w:pStyle w:val="FootnoteText"/>
        <w:rPr>
          <w:color w:val="auto"/>
          <w:lang w:val="pt-BR"/>
        </w:rPr>
      </w:pPr>
      <w:r w:rsidRPr="004863F4">
        <w:rPr>
          <w:rStyle w:val="FootnoteReference"/>
          <w:color w:val="auto"/>
        </w:rPr>
        <w:footnoteRef/>
      </w:r>
      <w:r w:rsidRPr="004863F4">
        <w:rPr>
          <w:color w:val="auto"/>
          <w:lang w:val="es-ES"/>
        </w:rPr>
        <w:t xml:space="preserve"> Anexo CD. Ministerio del Interior. Ayuda Memoria. </w:t>
      </w:r>
      <w:r w:rsidRPr="004863F4">
        <w:rPr>
          <w:color w:val="auto"/>
          <w:lang w:val="pt-BR"/>
        </w:rPr>
        <w:t xml:space="preserve">Caso Jesús Ramiro Zapata. 18 de marzo de 1998. </w:t>
      </w:r>
    </w:p>
  </w:footnote>
  <w:footnote w:id="57">
    <w:p w14:paraId="5F63D9DC" w14:textId="77777777"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La CIDH deja constancia de que el documento remitido por la parte peticionaria del que se extrae esta declaración del señor Zapata, no se encuentra firmada por él, solo por dos personas llamadas “Fernando Torres” y “Mónica Peñuela Jaramillo”.  Asimismo, la CIDH nota que este el Estado también se refiere al contenido de este documento en los mismos términos, aunque no lo adjuntó en sus diferentes escritos. Asimismo, se observa que estas mismas ideas fueron expresadas por el señor Zapata a la abogada Denise Gilman, como consta en carta manuscrita que forma parte del expediente en: Anexo CD. Carta del señor Zapata Denise Gilman de 16 de junio de 1998. </w:t>
      </w:r>
    </w:p>
  </w:footnote>
  <w:footnote w:id="58">
    <w:p w14:paraId="5600161F" w14:textId="5BC6F1FE"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CD. FGN. Declaración Jurada que rinde: Jesús Ramiro Zapata de 3 de febrero de 1998. </w:t>
      </w:r>
    </w:p>
  </w:footnote>
  <w:footnote w:id="59">
    <w:p w14:paraId="5C5D83EB" w14:textId="5DB7833B"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w:t>
      </w:r>
      <w:r>
        <w:rPr>
          <w:color w:val="auto"/>
          <w:lang w:val="es-ES"/>
        </w:rPr>
        <w:t>2</w:t>
      </w:r>
      <w:r w:rsidRPr="004863F4">
        <w:rPr>
          <w:color w:val="auto"/>
          <w:lang w:val="es-ES"/>
        </w:rPr>
        <w:t>. Carta</w:t>
      </w:r>
      <w:r>
        <w:rPr>
          <w:color w:val="auto"/>
          <w:lang w:val="es-ES"/>
        </w:rPr>
        <w:t xml:space="preserve"> manuscrita del señor Zapata de</w:t>
      </w:r>
      <w:r w:rsidRPr="004863F4">
        <w:rPr>
          <w:color w:val="auto"/>
          <w:lang w:val="es-ES"/>
        </w:rPr>
        <w:t xml:space="preserve"> 28 de abril de 1998. En: documentos entregados por el Estado en la audiencia del caso de 26 de febrero de 2001 en el marco del 110º Periodo Ordinario de Sesiones de la CIDH. </w:t>
      </w:r>
    </w:p>
  </w:footnote>
  <w:footnote w:id="60">
    <w:p w14:paraId="419E232A" w14:textId="77777777" w:rsidR="00475A99" w:rsidRPr="009513F8" w:rsidRDefault="00475A99" w:rsidP="001564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Times"/>
          <w:sz w:val="16"/>
          <w:szCs w:val="16"/>
          <w:lang w:val="es-US" w:eastAsia="es-ES"/>
        </w:rPr>
      </w:pPr>
      <w:r w:rsidRPr="005A7296">
        <w:rPr>
          <w:rStyle w:val="FootnoteReference"/>
          <w:rFonts w:asciiTheme="majorHAnsi" w:hAnsiTheme="majorHAnsi"/>
          <w:sz w:val="16"/>
          <w:szCs w:val="16"/>
        </w:rPr>
        <w:footnoteRef/>
      </w:r>
      <w:r w:rsidRPr="005A7296">
        <w:rPr>
          <w:rFonts w:asciiTheme="majorHAnsi" w:hAnsiTheme="majorHAnsi"/>
          <w:sz w:val="16"/>
          <w:szCs w:val="16"/>
          <w:lang w:val="es-ES"/>
        </w:rPr>
        <w:t xml:space="preserve"> Anexo 1. FGN. </w:t>
      </w:r>
      <w:r w:rsidRPr="00522093">
        <w:rPr>
          <w:rFonts w:asciiTheme="majorHAnsi" w:hAnsiTheme="majorHAnsi" w:cs="Arial"/>
          <w:sz w:val="16"/>
          <w:szCs w:val="16"/>
          <w:lang w:val="es-US" w:eastAsia="es-ES"/>
        </w:rPr>
        <w:t xml:space="preserve">Fiscalía 69 DECVDH, Rad. 789, cuadernos 10, 11 y 12. </w:t>
      </w:r>
      <w:r w:rsidRPr="009513F8">
        <w:rPr>
          <w:rFonts w:asciiTheme="majorHAnsi" w:hAnsiTheme="majorHAnsi" w:cs="Arial"/>
          <w:sz w:val="16"/>
          <w:szCs w:val="16"/>
          <w:lang w:val="es-US" w:eastAsia="es-ES"/>
        </w:rPr>
        <w:t xml:space="preserve">Anexo a la comunicación de la parte peticionaria de 6 de diciembre de 2019. </w:t>
      </w:r>
    </w:p>
  </w:footnote>
  <w:footnote w:id="61">
    <w:p w14:paraId="0A9AB45A" w14:textId="7A3E75B0"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CD. Ministerio del Interior. Carta de envío de tiquete aéreo de 6 de marzo de 1998. </w:t>
      </w:r>
    </w:p>
  </w:footnote>
  <w:footnote w:id="62">
    <w:p w14:paraId="6C059C56" w14:textId="4935C7AA"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CD. Ministerio del interior. Convocatoria a reunión de 123 de marzo de 1998. </w:t>
      </w:r>
    </w:p>
  </w:footnote>
  <w:footnote w:id="63">
    <w:p w14:paraId="2E4B7F90" w14:textId="29B6A641"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CD. Carta del Ministerio del Interior a la Secretario de Educación de Antioquia de 26 de marzo de 1998. Anexo CD. Carta del Ministerio del Interior al Jefe de Recursos Humanos de la Secretaría de Educación de Antioquia de 26 de marzo de 1998. Anexo CD. Carta del Ministerio del Interior Comandante Distrito de Policía de Segovia de 16 de abril de 1998. </w:t>
      </w:r>
    </w:p>
  </w:footnote>
  <w:footnote w:id="64">
    <w:p w14:paraId="21697595" w14:textId="5F14DFD5"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CD. FGN. Unidad Delegada ante el Juzgado Penal del Circuito. 4 de mayo de 2000. </w:t>
      </w:r>
    </w:p>
  </w:footnote>
  <w:footnote w:id="65">
    <w:p w14:paraId="65D0866E" w14:textId="0C454222" w:rsidR="00475A99" w:rsidRPr="004863F4" w:rsidRDefault="00475A99" w:rsidP="004863F4">
      <w:pPr>
        <w:pStyle w:val="FootnoteText"/>
        <w:rPr>
          <w:color w:val="auto"/>
          <w:lang w:val="es-ES"/>
        </w:rPr>
      </w:pPr>
      <w:r w:rsidRPr="004863F4">
        <w:rPr>
          <w:rStyle w:val="FootnoteReference"/>
          <w:color w:val="auto"/>
        </w:rPr>
        <w:footnoteRef/>
      </w:r>
      <w:r w:rsidRPr="009513F8">
        <w:rPr>
          <w:color w:val="auto"/>
          <w:lang w:val="es-US"/>
        </w:rPr>
        <w:t xml:space="preserve"> Anexo CD: Radicado I.P 3006. </w:t>
      </w:r>
      <w:r w:rsidRPr="004863F4">
        <w:rPr>
          <w:color w:val="auto"/>
          <w:lang w:val="es-ES"/>
        </w:rPr>
        <w:t xml:space="preserve">Diligencia de inspección judicial y levantamiento de un cadáver de 4 de mayo 2000. </w:t>
      </w:r>
    </w:p>
  </w:footnote>
  <w:footnote w:id="66">
    <w:p w14:paraId="0BC217BC" w14:textId="10834226"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CD. Declaración que rinde el señor Jaime de Jesús Castañeda García de 5 de mayo de 2000. </w:t>
      </w:r>
    </w:p>
  </w:footnote>
  <w:footnote w:id="67">
    <w:p w14:paraId="30153EBF" w14:textId="77C0D38C"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CD. FGN. Declaración de Adrián Alberto. </w:t>
      </w:r>
    </w:p>
  </w:footnote>
  <w:footnote w:id="68">
    <w:p w14:paraId="3A14E8BF" w14:textId="168D565E"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CD. FGN. Unidad Delegada ante el Juzgado Penal del Circuito. 4 de mayo de 2000. </w:t>
      </w:r>
    </w:p>
  </w:footnote>
  <w:footnote w:id="69">
    <w:p w14:paraId="4F31CC8A" w14:textId="193A62C4"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CD. FGN. Denuncia formulada por el doctor Luis Guillermo Pérez Casas de 4 de mayo de 2000. Anexo CD. Carta del señor Zapata al señor Pérez de 2 de mayo de 2000. </w:t>
      </w:r>
    </w:p>
  </w:footnote>
  <w:footnote w:id="70">
    <w:p w14:paraId="4480AC37" w14:textId="2350F392"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CD. Fuerzas Militares de Colombia. Of. No. 019 de 8 de mayo de 2000. </w:t>
      </w:r>
    </w:p>
  </w:footnote>
  <w:footnote w:id="71">
    <w:p w14:paraId="175B8AE8" w14:textId="739CF0CB"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CD. Formato Nacional de Levantamiento de Cadáver de 4 de mayo de 2000. </w:t>
      </w:r>
    </w:p>
  </w:footnote>
  <w:footnote w:id="72">
    <w:p w14:paraId="69D06DC4" w14:textId="6FEBB944" w:rsidR="00475A99" w:rsidRPr="004863F4" w:rsidRDefault="00475A99" w:rsidP="004863F4">
      <w:pPr>
        <w:pStyle w:val="FootnoteText"/>
        <w:rPr>
          <w:color w:val="auto"/>
          <w:lang w:val="es-ES_tradnl"/>
        </w:rPr>
      </w:pPr>
      <w:r w:rsidRPr="004863F4">
        <w:rPr>
          <w:rStyle w:val="FootnoteReference"/>
          <w:color w:val="auto"/>
          <w:lang w:val="es-ES_tradnl"/>
        </w:rPr>
        <w:footnoteRef/>
      </w:r>
      <w:r w:rsidRPr="004863F4">
        <w:rPr>
          <w:color w:val="auto"/>
          <w:lang w:val="es-ES_tradnl"/>
        </w:rPr>
        <w:t xml:space="preserve"> Anexo CD. FGN. Diligencia de Inspección Judicial de 4 de mayo de 2000. </w:t>
      </w:r>
    </w:p>
  </w:footnote>
  <w:footnote w:id="73">
    <w:p w14:paraId="7C0FE692" w14:textId="412F4B28" w:rsidR="00475A99" w:rsidRPr="004863F4" w:rsidRDefault="00475A99" w:rsidP="004863F4">
      <w:pPr>
        <w:pStyle w:val="FootnoteText"/>
        <w:rPr>
          <w:color w:val="auto"/>
          <w:lang w:val="es-ES_tradnl"/>
        </w:rPr>
      </w:pPr>
      <w:r w:rsidRPr="004863F4">
        <w:rPr>
          <w:rStyle w:val="FootnoteReference"/>
          <w:color w:val="auto"/>
          <w:lang w:val="es-ES_tradnl"/>
        </w:rPr>
        <w:footnoteRef/>
      </w:r>
      <w:r w:rsidRPr="004863F4">
        <w:rPr>
          <w:color w:val="auto"/>
          <w:lang w:val="es-ES_tradnl"/>
        </w:rPr>
        <w:t xml:space="preserve"> Anexo CD. Necropsia No. 11 de 4 de mayo de 2000. </w:t>
      </w:r>
    </w:p>
  </w:footnote>
  <w:footnote w:id="74">
    <w:p w14:paraId="090D5E3C" w14:textId="4E631546" w:rsidR="00475A99" w:rsidRPr="004863F4" w:rsidRDefault="00475A99" w:rsidP="004863F4">
      <w:pPr>
        <w:pStyle w:val="FootnoteText"/>
        <w:rPr>
          <w:color w:val="auto"/>
          <w:lang w:val="es-ES_tradnl"/>
        </w:rPr>
      </w:pPr>
      <w:r w:rsidRPr="004863F4">
        <w:rPr>
          <w:rStyle w:val="FootnoteReference"/>
          <w:color w:val="auto"/>
          <w:lang w:val="es-ES_tradnl"/>
        </w:rPr>
        <w:footnoteRef/>
      </w:r>
      <w:r w:rsidRPr="004863F4">
        <w:rPr>
          <w:color w:val="auto"/>
          <w:lang w:val="es-ES_tradnl"/>
        </w:rPr>
        <w:t xml:space="preserve"> Anexo CD. FGN. Resolución No. 0443 de 5 de mayo de 2000. </w:t>
      </w:r>
    </w:p>
  </w:footnote>
  <w:footnote w:id="75">
    <w:p w14:paraId="60E4EC8D" w14:textId="235322C8" w:rsidR="00475A99" w:rsidRPr="004863F4" w:rsidRDefault="00475A99" w:rsidP="004863F4">
      <w:pPr>
        <w:pStyle w:val="FootnoteText"/>
        <w:rPr>
          <w:color w:val="auto"/>
          <w:lang w:val="es-ES_tradnl"/>
        </w:rPr>
      </w:pPr>
      <w:r w:rsidRPr="004863F4">
        <w:rPr>
          <w:rStyle w:val="FootnoteReference"/>
          <w:color w:val="auto"/>
          <w:lang w:val="es-ES_tradnl"/>
        </w:rPr>
        <w:footnoteRef/>
      </w:r>
      <w:r w:rsidRPr="004863F4">
        <w:rPr>
          <w:color w:val="auto"/>
          <w:lang w:val="es-ES_tradnl"/>
        </w:rPr>
        <w:t xml:space="preserve"> Anexo CD. FGN. Orden de traslado de expediente 10 de mayo de 2000.</w:t>
      </w:r>
    </w:p>
  </w:footnote>
  <w:footnote w:id="76">
    <w:p w14:paraId="4953C55F" w14:textId="476A0DED" w:rsidR="00475A99" w:rsidRPr="004863F4" w:rsidRDefault="00475A99" w:rsidP="004863F4">
      <w:pPr>
        <w:pStyle w:val="FootnoteText"/>
        <w:rPr>
          <w:color w:val="auto"/>
          <w:lang w:val="es-ES_tradnl"/>
        </w:rPr>
      </w:pPr>
      <w:r w:rsidRPr="004863F4">
        <w:rPr>
          <w:rStyle w:val="FootnoteReference"/>
          <w:color w:val="auto"/>
          <w:lang w:val="es-ES_tradnl"/>
        </w:rPr>
        <w:footnoteRef/>
      </w:r>
      <w:r w:rsidRPr="004863F4">
        <w:rPr>
          <w:color w:val="auto"/>
          <w:lang w:val="es-ES_tradnl"/>
        </w:rPr>
        <w:t xml:space="preserve"> Anexo CD. FGN. Orden de práctica de diligencias de 17 de mayo de 2000. </w:t>
      </w:r>
    </w:p>
  </w:footnote>
  <w:footnote w:id="77">
    <w:p w14:paraId="2DC7B9C9" w14:textId="4AA50A93"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CD. FGN. Radicado 782 UDH de 24 de mayo de 2000. </w:t>
      </w:r>
    </w:p>
  </w:footnote>
  <w:footnote w:id="78">
    <w:p w14:paraId="7D3103D1" w14:textId="77777777" w:rsidR="00475A99" w:rsidRPr="004863F4" w:rsidRDefault="00475A99" w:rsidP="00B83911">
      <w:pPr>
        <w:pStyle w:val="FootnoteText"/>
        <w:rPr>
          <w:color w:val="auto"/>
          <w:lang w:val="es-ES"/>
        </w:rPr>
      </w:pPr>
      <w:r w:rsidRPr="004863F4">
        <w:rPr>
          <w:rStyle w:val="FootnoteReference"/>
          <w:color w:val="auto"/>
        </w:rPr>
        <w:footnoteRef/>
      </w:r>
      <w:r w:rsidRPr="004863F4">
        <w:rPr>
          <w:color w:val="auto"/>
          <w:lang w:val="es-ES"/>
        </w:rPr>
        <w:t xml:space="preserve"> Anexo CD. Radicado 728 UNDH. Dispone práctica de diligencias. 29 de mayo de 2000. Informe No. 97 de 30 de mayo de 2000. UNDH. Inspección judicial de 30 de mayo de 2000.</w:t>
      </w:r>
    </w:p>
  </w:footnote>
  <w:footnote w:id="79">
    <w:p w14:paraId="622F198D" w14:textId="38937C33" w:rsidR="00475A99" w:rsidRPr="004863F4" w:rsidRDefault="00475A99" w:rsidP="004863F4">
      <w:pPr>
        <w:pStyle w:val="FootnoteText"/>
        <w:rPr>
          <w:color w:val="auto"/>
          <w:lang w:val="es-ES_tradnl"/>
        </w:rPr>
      </w:pPr>
      <w:r w:rsidRPr="004863F4">
        <w:rPr>
          <w:rStyle w:val="FootnoteReference"/>
          <w:color w:val="auto"/>
          <w:lang w:val="es-ES_tradnl"/>
        </w:rPr>
        <w:footnoteRef/>
      </w:r>
      <w:r w:rsidRPr="004863F4">
        <w:rPr>
          <w:color w:val="auto"/>
          <w:lang w:val="es-ES_tradnl"/>
        </w:rPr>
        <w:t xml:space="preserve"> Anexo CD FGN. Declaración de Manuel Oswaldo Herrera Gallo de 17 de mayo de 2000; Anexo CD. FGN. Declaración de Jaime de Jesús Castañeda de 18 de mayo de 2000; Anexo CD. Declaración de Julio César García Benjumea de 29 de mayo de 2000. </w:t>
      </w:r>
    </w:p>
  </w:footnote>
  <w:footnote w:id="80">
    <w:p w14:paraId="43F425A4" w14:textId="0D107F5B" w:rsidR="00475A99" w:rsidRPr="004863F4" w:rsidRDefault="00475A99" w:rsidP="004863F4">
      <w:pPr>
        <w:pStyle w:val="FootnoteText"/>
        <w:rPr>
          <w:color w:val="auto"/>
          <w:lang w:val="es-ES_tradnl"/>
        </w:rPr>
      </w:pPr>
      <w:r w:rsidRPr="004863F4">
        <w:rPr>
          <w:rStyle w:val="FootnoteReference"/>
          <w:color w:val="auto"/>
          <w:lang w:val="es-ES_tradnl"/>
        </w:rPr>
        <w:footnoteRef/>
      </w:r>
      <w:r w:rsidRPr="004863F4">
        <w:rPr>
          <w:color w:val="auto"/>
          <w:lang w:val="es-ES_tradnl"/>
        </w:rPr>
        <w:t xml:space="preserve"> Anexo CD. FGN. Declaración de Joaquín Julián Lezcano Ortíz de 29 de mayo de 2000. </w:t>
      </w:r>
    </w:p>
  </w:footnote>
  <w:footnote w:id="81">
    <w:p w14:paraId="0854E23E" w14:textId="4CF27CD5" w:rsidR="00475A99" w:rsidRPr="004863F4" w:rsidRDefault="00475A99" w:rsidP="004863F4">
      <w:pPr>
        <w:pStyle w:val="FootnoteText"/>
        <w:rPr>
          <w:color w:val="auto"/>
          <w:lang w:val="es-ES_tradnl"/>
        </w:rPr>
      </w:pPr>
      <w:r w:rsidRPr="004863F4">
        <w:rPr>
          <w:rStyle w:val="FootnoteReference"/>
          <w:color w:val="auto"/>
        </w:rPr>
        <w:footnoteRef/>
      </w:r>
      <w:r w:rsidRPr="004863F4">
        <w:rPr>
          <w:color w:val="auto"/>
          <w:lang w:val="es-ES"/>
        </w:rPr>
        <w:t xml:space="preserve"> Anexo CD. FGN. Radicado 728 U.D.H. de 31 de mayo de 2000.  </w:t>
      </w:r>
    </w:p>
  </w:footnote>
  <w:footnote w:id="82">
    <w:p w14:paraId="69AB76D0" w14:textId="1B96BD35" w:rsidR="00475A99" w:rsidRPr="004863F4" w:rsidRDefault="00475A99" w:rsidP="00822A2A">
      <w:pPr>
        <w:pStyle w:val="FootnoteText"/>
        <w:rPr>
          <w:color w:val="auto"/>
          <w:lang w:val="es-ES"/>
        </w:rPr>
      </w:pPr>
      <w:r w:rsidRPr="004863F4">
        <w:rPr>
          <w:rStyle w:val="FootnoteReference"/>
          <w:color w:val="auto"/>
        </w:rPr>
        <w:footnoteRef/>
      </w:r>
      <w:r w:rsidRPr="004863F4">
        <w:rPr>
          <w:color w:val="auto"/>
          <w:lang w:val="es-ES"/>
        </w:rPr>
        <w:t xml:space="preserve"> Anexo CD. FGN. Radicado 782 U</w:t>
      </w:r>
      <w:r>
        <w:rPr>
          <w:color w:val="auto"/>
          <w:lang w:val="es-ES"/>
        </w:rPr>
        <w:t>.</w:t>
      </w:r>
      <w:r w:rsidRPr="004863F4">
        <w:rPr>
          <w:color w:val="auto"/>
          <w:lang w:val="es-ES"/>
        </w:rPr>
        <w:t>D</w:t>
      </w:r>
      <w:r>
        <w:rPr>
          <w:color w:val="auto"/>
          <w:lang w:val="es-ES"/>
        </w:rPr>
        <w:t>.</w:t>
      </w:r>
      <w:r w:rsidRPr="004863F4">
        <w:rPr>
          <w:color w:val="auto"/>
          <w:lang w:val="es-ES"/>
        </w:rPr>
        <w:t>H</w:t>
      </w:r>
      <w:r>
        <w:rPr>
          <w:color w:val="auto"/>
          <w:lang w:val="es-ES"/>
        </w:rPr>
        <w:t>.</w:t>
      </w:r>
      <w:r w:rsidRPr="004863F4">
        <w:rPr>
          <w:color w:val="auto"/>
          <w:lang w:val="es-ES"/>
        </w:rPr>
        <w:t xml:space="preserve"> de 1 de junio de 2000. </w:t>
      </w:r>
    </w:p>
  </w:footnote>
  <w:footnote w:id="83">
    <w:p w14:paraId="71FA09B0" w14:textId="77777777" w:rsidR="00475A99" w:rsidRPr="004863F4" w:rsidRDefault="00475A99" w:rsidP="00822A2A">
      <w:pPr>
        <w:pStyle w:val="FootnoteText"/>
        <w:rPr>
          <w:color w:val="auto"/>
          <w:lang w:val="es-ES"/>
        </w:rPr>
      </w:pPr>
      <w:r w:rsidRPr="004863F4">
        <w:rPr>
          <w:rStyle w:val="FootnoteReference"/>
          <w:color w:val="auto"/>
        </w:rPr>
        <w:footnoteRef/>
      </w:r>
      <w:r w:rsidRPr="004863F4">
        <w:rPr>
          <w:color w:val="auto"/>
          <w:lang w:val="es-ES"/>
        </w:rPr>
        <w:t xml:space="preserve"> Anexo CD. FGN. Estudio balístico de 18 de septiembre de 2000. </w:t>
      </w:r>
    </w:p>
  </w:footnote>
  <w:footnote w:id="84">
    <w:p w14:paraId="3B7819F3" w14:textId="56820B7E"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CD. FGN. Radicado 728 U.D.H. de 12 de junio de 2000</w:t>
      </w:r>
      <w:r w:rsidRPr="004863F4">
        <w:rPr>
          <w:color w:val="auto"/>
          <w:lang w:val="es-ES_tradnl"/>
        </w:rPr>
        <w:t>.</w:t>
      </w:r>
    </w:p>
  </w:footnote>
  <w:footnote w:id="85">
    <w:p w14:paraId="398FB811" w14:textId="77777777" w:rsidR="00475A99" w:rsidRPr="004863F4" w:rsidRDefault="00475A99" w:rsidP="0032106F">
      <w:pPr>
        <w:pStyle w:val="FootnoteText"/>
        <w:rPr>
          <w:color w:val="auto"/>
          <w:lang w:val="es-ES"/>
        </w:rPr>
      </w:pPr>
      <w:r w:rsidRPr="004863F4">
        <w:rPr>
          <w:rStyle w:val="FootnoteReference"/>
          <w:color w:val="auto"/>
        </w:rPr>
        <w:footnoteRef/>
      </w:r>
      <w:r w:rsidRPr="004863F4">
        <w:rPr>
          <w:color w:val="auto"/>
          <w:lang w:val="es-ES"/>
        </w:rPr>
        <w:t xml:space="preserve"> Anexo CD. FGN. Radicado 782 U.D.H. de 17 de junio de 2000 y 17 de abril de 2001. </w:t>
      </w:r>
    </w:p>
  </w:footnote>
  <w:footnote w:id="86">
    <w:p w14:paraId="42C2F421" w14:textId="77777777" w:rsidR="00475A99" w:rsidRPr="004863F4" w:rsidRDefault="00475A99" w:rsidP="00BF784B">
      <w:pPr>
        <w:pStyle w:val="FootnoteText"/>
        <w:rPr>
          <w:color w:val="auto"/>
          <w:lang w:val="es-ES"/>
        </w:rPr>
      </w:pPr>
      <w:r w:rsidRPr="004863F4">
        <w:rPr>
          <w:rStyle w:val="FootnoteReference"/>
          <w:color w:val="auto"/>
        </w:rPr>
        <w:footnoteRef/>
      </w:r>
      <w:r w:rsidRPr="004863F4">
        <w:rPr>
          <w:color w:val="auto"/>
          <w:lang w:val="es-ES"/>
        </w:rPr>
        <w:t xml:space="preserve"> Anexo CD. Exposición de Policía Judicial No. 205-4589 de 22 de agosto de 2001. </w:t>
      </w:r>
    </w:p>
  </w:footnote>
  <w:footnote w:id="87">
    <w:p w14:paraId="04E1395F" w14:textId="77777777" w:rsidR="00475A99" w:rsidRPr="004863F4" w:rsidRDefault="00475A99" w:rsidP="009F2A2F">
      <w:pPr>
        <w:pStyle w:val="FootnoteText"/>
        <w:rPr>
          <w:color w:val="auto"/>
          <w:lang w:val="es-ES_tradnl"/>
        </w:rPr>
      </w:pPr>
      <w:r w:rsidRPr="004863F4">
        <w:rPr>
          <w:rStyle w:val="FootnoteReference"/>
          <w:color w:val="auto"/>
        </w:rPr>
        <w:footnoteRef/>
      </w:r>
      <w:r w:rsidRPr="004863F4">
        <w:rPr>
          <w:color w:val="auto"/>
          <w:lang w:val="es-ES"/>
        </w:rPr>
        <w:t xml:space="preserve"> </w:t>
      </w:r>
      <w:r w:rsidRPr="004863F4">
        <w:rPr>
          <w:color w:val="auto"/>
          <w:lang w:val="es-ES_tradnl"/>
        </w:rPr>
        <w:t xml:space="preserve">Anexo CD. FGN. Informe 20142.FGN.DN.CTI.GDH-IJ-0343-0262 de 16 de noviembre de 2004. </w:t>
      </w:r>
    </w:p>
  </w:footnote>
  <w:footnote w:id="88">
    <w:p w14:paraId="53F08D11" w14:textId="77777777" w:rsidR="00475A99" w:rsidRPr="004863F4" w:rsidRDefault="00475A99" w:rsidP="009F2A2F">
      <w:pPr>
        <w:pStyle w:val="FootnoteText"/>
        <w:rPr>
          <w:color w:val="auto"/>
          <w:lang w:val="es-ES"/>
        </w:rPr>
      </w:pPr>
      <w:r w:rsidRPr="004863F4">
        <w:rPr>
          <w:rStyle w:val="FootnoteReference"/>
          <w:color w:val="auto"/>
        </w:rPr>
        <w:footnoteRef/>
      </w:r>
      <w:r w:rsidRPr="004863F4">
        <w:rPr>
          <w:color w:val="auto"/>
          <w:lang w:val="es-ES"/>
        </w:rPr>
        <w:t xml:space="preserve"> Anexo CD. UNDH. Declaración de Adrian Alberto Zapata Zapata de 7 de noviembre de 2004. </w:t>
      </w:r>
    </w:p>
  </w:footnote>
  <w:footnote w:id="89">
    <w:p w14:paraId="09884650" w14:textId="55FFC866" w:rsidR="00475A99" w:rsidRPr="004863F4" w:rsidRDefault="00475A99" w:rsidP="004863F4">
      <w:pPr>
        <w:pStyle w:val="FootnoteText"/>
        <w:rPr>
          <w:color w:val="auto"/>
          <w:lang w:val="es-ES_tradnl"/>
        </w:rPr>
      </w:pPr>
      <w:r w:rsidRPr="004863F4">
        <w:rPr>
          <w:rStyle w:val="FootnoteReference"/>
          <w:color w:val="auto"/>
        </w:rPr>
        <w:footnoteRef/>
      </w:r>
      <w:r w:rsidRPr="004863F4">
        <w:rPr>
          <w:color w:val="auto"/>
          <w:lang w:val="es-ES"/>
        </w:rPr>
        <w:t xml:space="preserve"> </w:t>
      </w:r>
      <w:r w:rsidRPr="004863F4">
        <w:rPr>
          <w:color w:val="auto"/>
          <w:lang w:val="es-ES_tradnl"/>
        </w:rPr>
        <w:t xml:space="preserve">Anexo CD. FGN. Informe No. 258368 de 1 de noviembre de 2005. </w:t>
      </w:r>
    </w:p>
  </w:footnote>
  <w:footnote w:id="90">
    <w:p w14:paraId="07BC5B3D" w14:textId="4C28DAFE" w:rsidR="00475A99" w:rsidRPr="004863F4" w:rsidRDefault="00475A99" w:rsidP="00822A2A">
      <w:pPr>
        <w:pStyle w:val="FootnoteText"/>
        <w:rPr>
          <w:color w:val="auto"/>
          <w:lang w:val="es-ES_tradnl"/>
        </w:rPr>
      </w:pPr>
      <w:r w:rsidRPr="004863F4">
        <w:rPr>
          <w:rStyle w:val="FootnoteReference"/>
          <w:color w:val="auto"/>
        </w:rPr>
        <w:footnoteRef/>
      </w:r>
      <w:r w:rsidRPr="004863F4">
        <w:rPr>
          <w:color w:val="auto"/>
          <w:lang w:val="es-ES"/>
        </w:rPr>
        <w:t xml:space="preserve"> </w:t>
      </w:r>
      <w:r w:rsidRPr="004863F4">
        <w:rPr>
          <w:color w:val="auto"/>
          <w:lang w:val="es-ES_tradnl"/>
        </w:rPr>
        <w:t xml:space="preserve">Anexo CD. UNDH. </w:t>
      </w:r>
      <w:r>
        <w:rPr>
          <w:color w:val="auto"/>
          <w:lang w:val="es-ES_tradnl"/>
        </w:rPr>
        <w:t>Oficio 176</w:t>
      </w:r>
      <w:r w:rsidRPr="004863F4">
        <w:rPr>
          <w:color w:val="auto"/>
          <w:lang w:val="es-ES_tradnl"/>
        </w:rPr>
        <w:t xml:space="preserve"> de 10 de octubre de 2005. </w:t>
      </w:r>
    </w:p>
  </w:footnote>
  <w:footnote w:id="91">
    <w:p w14:paraId="6004E18A" w14:textId="77777777" w:rsidR="00475A99" w:rsidRPr="004863F4" w:rsidRDefault="00475A99" w:rsidP="00822A2A">
      <w:pPr>
        <w:pStyle w:val="FootnoteText"/>
        <w:rPr>
          <w:color w:val="auto"/>
          <w:lang w:val="es-ES_tradnl"/>
        </w:rPr>
      </w:pPr>
      <w:r w:rsidRPr="004863F4">
        <w:rPr>
          <w:rStyle w:val="FootnoteReference"/>
          <w:color w:val="auto"/>
        </w:rPr>
        <w:footnoteRef/>
      </w:r>
      <w:r w:rsidRPr="004863F4">
        <w:rPr>
          <w:color w:val="auto"/>
          <w:lang w:val="es-ES"/>
        </w:rPr>
        <w:t xml:space="preserve"> </w:t>
      </w:r>
      <w:r w:rsidRPr="004863F4">
        <w:rPr>
          <w:color w:val="auto"/>
          <w:lang w:val="es-ES_tradnl"/>
        </w:rPr>
        <w:t xml:space="preserve">Anexo CD. FGN. Informe No. 308430 de 10 de octubre de 2006. </w:t>
      </w:r>
    </w:p>
  </w:footnote>
  <w:footnote w:id="92">
    <w:p w14:paraId="4BFE2608" w14:textId="50B7D2E9" w:rsidR="00475A99" w:rsidRPr="004863F4" w:rsidRDefault="00475A99" w:rsidP="004863F4">
      <w:pPr>
        <w:pStyle w:val="FootnoteText"/>
        <w:rPr>
          <w:color w:val="auto"/>
          <w:lang w:val="es-ES_tradnl"/>
        </w:rPr>
      </w:pPr>
      <w:r w:rsidRPr="004863F4">
        <w:rPr>
          <w:rStyle w:val="FootnoteReference"/>
          <w:color w:val="auto"/>
        </w:rPr>
        <w:footnoteRef/>
      </w:r>
      <w:r w:rsidRPr="004863F4">
        <w:rPr>
          <w:color w:val="auto"/>
          <w:lang w:val="es-ES_tradnl"/>
        </w:rPr>
        <w:t xml:space="preserve"> Anexo CD. FGN. Informe 20142.FGN.DN.CTI.GDH-IJ-0343-0262 de 16 de noviembre de 2004. </w:t>
      </w:r>
    </w:p>
  </w:footnote>
  <w:footnote w:id="93">
    <w:p w14:paraId="7005D8DF" w14:textId="638C1902" w:rsidR="00475A99" w:rsidRPr="004863F4" w:rsidRDefault="00475A99" w:rsidP="004863F4">
      <w:pPr>
        <w:pStyle w:val="FootnoteText"/>
        <w:rPr>
          <w:color w:val="auto"/>
          <w:lang w:val="es-ES_tradnl"/>
        </w:rPr>
      </w:pPr>
      <w:r w:rsidRPr="004863F4">
        <w:rPr>
          <w:rStyle w:val="FootnoteReference"/>
          <w:color w:val="auto"/>
        </w:rPr>
        <w:footnoteRef/>
      </w:r>
      <w:r w:rsidRPr="004863F4">
        <w:rPr>
          <w:color w:val="auto"/>
          <w:lang w:val="es-ES"/>
        </w:rPr>
        <w:t xml:space="preserve"> </w:t>
      </w:r>
      <w:r w:rsidRPr="004863F4">
        <w:rPr>
          <w:color w:val="auto"/>
          <w:lang w:val="es-ES_tradnl"/>
        </w:rPr>
        <w:t xml:space="preserve">Anexo CD. FGN. Declaración de William García Cartagena de 21 de marzo de 2007. </w:t>
      </w:r>
    </w:p>
  </w:footnote>
  <w:footnote w:id="94">
    <w:p w14:paraId="2B5DC64B" w14:textId="4F3FFEE0"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USB. FGN. Ampliación de declaratoria de Adrian Alberto Zapata de 9 de abril de 2013. Informe de Policía Judicial No. 776362 de 22 de mayo de 2013. Anexos  al escrito de la parte peticionaria de 2 de marzo de 2016.  </w:t>
      </w:r>
    </w:p>
  </w:footnote>
  <w:footnote w:id="95">
    <w:p w14:paraId="478CF8A6" w14:textId="34450BB6"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Anexo USB. Declaración de Jhon Jairo Guzmán Restrepo de 7 de mayo de 2014; Declaración de Luz Elena Guzmán Retrepo de 7 de mayo de 2014; Declaración de Luis Fernando Álvarez Arango de 8 de mayo de 2014; Declaración de Blanca Lucía Valencia Molina de 24 de junio de 2014; Declaración de José Nicolás Rendón Bustamante de 13 de agosto de 2014; Declaración de María Eva Cardona Castañeda de 15 de agosto de 2014; Declaración de Jhon Jairo Ramírez Hernández de 15 de agosto de 2014. </w:t>
      </w:r>
    </w:p>
  </w:footnote>
  <w:footnote w:id="96">
    <w:p w14:paraId="25E324FE" w14:textId="77777777" w:rsidR="00475A99" w:rsidRPr="009513F8" w:rsidRDefault="00475A99" w:rsidP="00865588">
      <w:pPr>
        <w:pStyle w:val="FootnoteText"/>
        <w:rPr>
          <w:color w:val="auto"/>
          <w:lang w:val="pt-BR"/>
        </w:rPr>
      </w:pPr>
      <w:r w:rsidRPr="004863F4">
        <w:rPr>
          <w:rStyle w:val="FootnoteReference"/>
          <w:color w:val="auto"/>
        </w:rPr>
        <w:footnoteRef/>
      </w:r>
      <w:r w:rsidRPr="009513F8">
        <w:rPr>
          <w:color w:val="auto"/>
          <w:lang w:val="pt-BR"/>
        </w:rPr>
        <w:t xml:space="preserve"> Anexo CD. FGN. Informe No. 338388-DNCTI-DI-SIA-C12 de 17 de abril de 2007. </w:t>
      </w:r>
    </w:p>
  </w:footnote>
  <w:footnote w:id="97">
    <w:p w14:paraId="24F9C087" w14:textId="77777777" w:rsidR="00475A99" w:rsidRPr="004863F4" w:rsidRDefault="00475A99" w:rsidP="00047157">
      <w:pPr>
        <w:pStyle w:val="FootnoteText"/>
        <w:rPr>
          <w:color w:val="auto"/>
          <w:lang w:val="es-ES_tradnl"/>
        </w:rPr>
      </w:pPr>
      <w:r w:rsidRPr="004863F4">
        <w:rPr>
          <w:rStyle w:val="FootnoteReference"/>
          <w:color w:val="auto"/>
        </w:rPr>
        <w:footnoteRef/>
      </w:r>
      <w:r w:rsidRPr="009513F8">
        <w:rPr>
          <w:color w:val="auto"/>
          <w:lang w:val="pt-BR"/>
        </w:rPr>
        <w:t xml:space="preserve"> Anexo CD. FGN. </w:t>
      </w:r>
      <w:r w:rsidRPr="004863F4">
        <w:rPr>
          <w:color w:val="auto"/>
          <w:lang w:val="es-ES"/>
        </w:rPr>
        <w:t xml:space="preserve">Solicitud de 21 de julio de 2008. </w:t>
      </w:r>
    </w:p>
  </w:footnote>
  <w:footnote w:id="98">
    <w:p w14:paraId="19B8757C" w14:textId="77777777" w:rsidR="00475A99" w:rsidRPr="004863F4" w:rsidRDefault="00475A99" w:rsidP="00F364BA">
      <w:pPr>
        <w:pStyle w:val="FootnoteText"/>
        <w:rPr>
          <w:color w:val="auto"/>
          <w:lang w:val="es-ES_tradnl"/>
        </w:rPr>
      </w:pPr>
      <w:r w:rsidRPr="004863F4">
        <w:rPr>
          <w:rStyle w:val="FootnoteReference"/>
          <w:color w:val="auto"/>
        </w:rPr>
        <w:footnoteRef/>
      </w:r>
      <w:r w:rsidRPr="004863F4">
        <w:rPr>
          <w:color w:val="auto"/>
          <w:lang w:val="es-ES"/>
        </w:rPr>
        <w:t xml:space="preserve"> Anexo CD.  FGN. Resolución 19 Fiscalía. 4 de enero de 2010. </w:t>
      </w:r>
    </w:p>
  </w:footnote>
  <w:footnote w:id="99">
    <w:p w14:paraId="547FE129" w14:textId="77777777" w:rsidR="00475A99" w:rsidRPr="004863F4" w:rsidRDefault="00475A99" w:rsidP="00F364BA">
      <w:pPr>
        <w:pStyle w:val="FootnoteText"/>
        <w:rPr>
          <w:color w:val="auto"/>
          <w:lang w:val="es-ES"/>
        </w:rPr>
      </w:pPr>
      <w:r w:rsidRPr="004863F4">
        <w:rPr>
          <w:rStyle w:val="FootnoteReference"/>
          <w:color w:val="auto"/>
        </w:rPr>
        <w:footnoteRef/>
      </w:r>
      <w:r w:rsidRPr="004863F4">
        <w:rPr>
          <w:color w:val="auto"/>
          <w:lang w:val="es-ES"/>
        </w:rPr>
        <w:t xml:space="preserve"> Anexo USB. FGN. Declaración del señor Cifuentes de 16 de marzo 2012. </w:t>
      </w:r>
    </w:p>
  </w:footnote>
  <w:footnote w:id="100">
    <w:p w14:paraId="2A207971" w14:textId="77777777" w:rsidR="00475A99" w:rsidRPr="004863F4" w:rsidRDefault="00475A99" w:rsidP="00F364BA">
      <w:pPr>
        <w:pStyle w:val="FootnoteText"/>
        <w:rPr>
          <w:color w:val="auto"/>
          <w:lang w:val="es-ES"/>
        </w:rPr>
      </w:pPr>
      <w:r w:rsidRPr="004863F4">
        <w:rPr>
          <w:rStyle w:val="FootnoteReference"/>
          <w:color w:val="auto"/>
        </w:rPr>
        <w:footnoteRef/>
      </w:r>
      <w:r w:rsidRPr="004863F4">
        <w:rPr>
          <w:color w:val="auto"/>
          <w:lang w:val="es-ES"/>
        </w:rPr>
        <w:t xml:space="preserve"> Anexo USB. FGN. Comisión Fiscal de 16 de marzo de 2012. Oficio 45F-19 UNDH-DIH de 20 de marzo de 2012. </w:t>
      </w:r>
    </w:p>
  </w:footnote>
  <w:footnote w:id="101">
    <w:p w14:paraId="3ADFA0BE" w14:textId="77777777" w:rsidR="00475A99" w:rsidRPr="004863F4" w:rsidRDefault="00475A99" w:rsidP="00F364BA">
      <w:pPr>
        <w:pStyle w:val="FootnoteText"/>
        <w:rPr>
          <w:color w:val="auto"/>
          <w:lang w:val="es-ES"/>
        </w:rPr>
      </w:pPr>
      <w:r w:rsidRPr="004863F4">
        <w:rPr>
          <w:rStyle w:val="FootnoteReference"/>
          <w:color w:val="auto"/>
        </w:rPr>
        <w:footnoteRef/>
      </w:r>
      <w:r w:rsidRPr="004863F4">
        <w:rPr>
          <w:color w:val="auto"/>
          <w:lang w:val="es-ES"/>
        </w:rPr>
        <w:t xml:space="preserve"> Anexo USB. FGN. Carta UNJP No. 003068 de 10 de abril de 2012.</w:t>
      </w:r>
    </w:p>
  </w:footnote>
  <w:footnote w:id="102">
    <w:p w14:paraId="302677CF" w14:textId="77777777" w:rsidR="00475A99" w:rsidRPr="004863F4" w:rsidRDefault="00475A99" w:rsidP="00F364BA">
      <w:pPr>
        <w:pStyle w:val="FootnoteText"/>
        <w:rPr>
          <w:color w:val="auto"/>
          <w:lang w:val="es-ES"/>
        </w:rPr>
      </w:pPr>
      <w:r w:rsidRPr="004863F4">
        <w:rPr>
          <w:rStyle w:val="FootnoteReference"/>
          <w:color w:val="auto"/>
        </w:rPr>
        <w:footnoteRef/>
      </w:r>
      <w:r w:rsidRPr="004863F4">
        <w:rPr>
          <w:color w:val="auto"/>
          <w:lang w:val="es-ES"/>
        </w:rPr>
        <w:t xml:space="preserve"> Cr. Jhon Jairo Zuluaga Morales, Cr. Jorge Luis Mejía Rojas, Ct. Rodrigo Cañas Forero, Sp. Luis Alberto Aguirre Amórtegui, Sp. Luna Guzmán Paul, Sp. Juan Carlos Cárdenas Rocancio. Anexo USB. Radicado No. 20128000302991 de 27 de marzo de 2012. </w:t>
      </w:r>
    </w:p>
  </w:footnote>
  <w:footnote w:id="103">
    <w:p w14:paraId="4ECF116C" w14:textId="77777777" w:rsidR="00475A99" w:rsidRPr="004863F4" w:rsidRDefault="00475A99" w:rsidP="00F364BA">
      <w:pPr>
        <w:pStyle w:val="FootnoteText"/>
        <w:rPr>
          <w:color w:val="auto"/>
          <w:lang w:val="es-ES"/>
        </w:rPr>
      </w:pPr>
      <w:r w:rsidRPr="004863F4">
        <w:rPr>
          <w:rStyle w:val="FootnoteReference"/>
          <w:color w:val="auto"/>
        </w:rPr>
        <w:footnoteRef/>
      </w:r>
      <w:r w:rsidRPr="004863F4">
        <w:rPr>
          <w:color w:val="auto"/>
          <w:lang w:val="es-ES"/>
        </w:rPr>
        <w:t xml:space="preserve"> Anexo USB. FGN. Resolución de 5 de junio de 2012. </w:t>
      </w:r>
    </w:p>
  </w:footnote>
  <w:footnote w:id="104">
    <w:p w14:paraId="2D78CEC0" w14:textId="7FE9AF9D" w:rsidR="00475A99" w:rsidRPr="009513F8" w:rsidRDefault="00475A99" w:rsidP="004863F4">
      <w:pPr>
        <w:pStyle w:val="FootnoteText"/>
        <w:rPr>
          <w:color w:val="auto"/>
          <w:lang w:val="pt-BR"/>
        </w:rPr>
      </w:pPr>
      <w:r w:rsidRPr="004863F4">
        <w:rPr>
          <w:rStyle w:val="FootnoteReference"/>
          <w:color w:val="auto"/>
        </w:rPr>
        <w:footnoteRef/>
      </w:r>
      <w:r w:rsidRPr="004863F4">
        <w:rPr>
          <w:color w:val="auto"/>
          <w:lang w:val="pt-BR"/>
        </w:rPr>
        <w:t xml:space="preserve"> Anexo USB. FGN. Oficio No. 1028-FGN-DNFJYP de 14 de agosto de 2012. </w:t>
      </w:r>
    </w:p>
  </w:footnote>
  <w:footnote w:id="105">
    <w:p w14:paraId="0EA05706" w14:textId="43032088" w:rsidR="00475A99" w:rsidRPr="009513F8" w:rsidRDefault="00475A99" w:rsidP="004863F4">
      <w:pPr>
        <w:pStyle w:val="FootnoteText"/>
        <w:rPr>
          <w:color w:val="auto"/>
          <w:lang w:val="pt-BR"/>
        </w:rPr>
      </w:pPr>
      <w:r w:rsidRPr="004863F4">
        <w:rPr>
          <w:rStyle w:val="FootnoteReference"/>
          <w:color w:val="auto"/>
        </w:rPr>
        <w:footnoteRef/>
      </w:r>
      <w:r w:rsidRPr="009513F8">
        <w:rPr>
          <w:color w:val="auto"/>
          <w:lang w:val="pt-BR"/>
        </w:rPr>
        <w:t xml:space="preserve"> Anexo USB. Diligencia de indagatoria de Edwin Jair Arango Calderón de 14 de noviembre de 2012. </w:t>
      </w:r>
    </w:p>
  </w:footnote>
  <w:footnote w:id="106">
    <w:p w14:paraId="120077CB" w14:textId="77777777" w:rsidR="00475A99" w:rsidRPr="009513F8" w:rsidRDefault="00475A99" w:rsidP="005A7296">
      <w:pPr>
        <w:pStyle w:val="FootnoteText"/>
        <w:rPr>
          <w:color w:val="auto"/>
          <w:lang w:val="pt-BR"/>
        </w:rPr>
      </w:pPr>
      <w:r w:rsidRPr="004863F4">
        <w:rPr>
          <w:rStyle w:val="FootnoteReference"/>
          <w:color w:val="auto"/>
        </w:rPr>
        <w:footnoteRef/>
      </w:r>
      <w:r w:rsidRPr="009513F8">
        <w:rPr>
          <w:color w:val="auto"/>
          <w:lang w:val="pt-BR"/>
        </w:rPr>
        <w:t xml:space="preserve"> Anexo USB. FGN. Diligencia de inspección judicial de 7 de mayo de 2013. </w:t>
      </w:r>
    </w:p>
  </w:footnote>
  <w:footnote w:id="107">
    <w:p w14:paraId="6AE7D32A" w14:textId="45DE17BA" w:rsidR="00475A99" w:rsidRPr="005A7296" w:rsidRDefault="00475A99" w:rsidP="005A7296">
      <w:pPr>
        <w:pStyle w:val="FootnoteText"/>
        <w:rPr>
          <w:color w:val="auto"/>
          <w:lang w:val="es-ES"/>
        </w:rPr>
      </w:pPr>
      <w:r w:rsidRPr="005A7296">
        <w:rPr>
          <w:rStyle w:val="FootnoteReference"/>
          <w:color w:val="auto"/>
        </w:rPr>
        <w:footnoteRef/>
      </w:r>
      <w:r w:rsidRPr="005A7296">
        <w:rPr>
          <w:color w:val="auto"/>
          <w:lang w:val="es-ES"/>
        </w:rPr>
        <w:t xml:space="preserve"> Anexo USB. FGN. Resolución de 24 de febrero de 2014. </w:t>
      </w:r>
    </w:p>
  </w:footnote>
  <w:footnote w:id="108">
    <w:p w14:paraId="3C9C97E0" w14:textId="316DFAF4" w:rsidR="00475A99" w:rsidRPr="003979EC" w:rsidRDefault="00475A99" w:rsidP="00953A9B">
      <w:pPr>
        <w:pStyle w:val="FootnoteText"/>
        <w:rPr>
          <w:lang w:val="es-ES_tradnl"/>
        </w:rPr>
      </w:pPr>
      <w:r>
        <w:rPr>
          <w:rStyle w:val="FootnoteReference"/>
        </w:rPr>
        <w:footnoteRef/>
      </w:r>
      <w:r w:rsidRPr="003979EC">
        <w:rPr>
          <w:lang w:val="es-US"/>
        </w:rPr>
        <w:t xml:space="preserve"> </w:t>
      </w:r>
      <w:r>
        <w:rPr>
          <w:lang w:val="es-ES_tradnl"/>
        </w:rPr>
        <w:t>Anexo 3. Ampliación de la declaración de Adrián Alberto Zapata Zapata, 17 de mayo de 2017. Escrito de los peticionarios de 6 de diciembre de 2019.</w:t>
      </w:r>
    </w:p>
  </w:footnote>
  <w:footnote w:id="109">
    <w:p w14:paraId="19D46EE0" w14:textId="77777777" w:rsidR="00475A99" w:rsidRPr="009513F8" w:rsidRDefault="00475A99" w:rsidP="00B36D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Times"/>
          <w:sz w:val="16"/>
          <w:szCs w:val="16"/>
          <w:lang w:val="es-US" w:eastAsia="es-ES"/>
        </w:rPr>
      </w:pPr>
      <w:r w:rsidRPr="005A7296">
        <w:rPr>
          <w:rStyle w:val="FootnoteReference"/>
          <w:rFonts w:asciiTheme="majorHAnsi" w:hAnsiTheme="majorHAnsi"/>
          <w:sz w:val="16"/>
          <w:szCs w:val="16"/>
        </w:rPr>
        <w:footnoteRef/>
      </w:r>
      <w:r w:rsidRPr="005A7296">
        <w:rPr>
          <w:rFonts w:asciiTheme="majorHAnsi" w:hAnsiTheme="majorHAnsi"/>
          <w:sz w:val="16"/>
          <w:szCs w:val="16"/>
          <w:lang w:val="es-ES"/>
        </w:rPr>
        <w:t xml:space="preserve"> Anexo 1. FGN. </w:t>
      </w:r>
      <w:r w:rsidRPr="00522093">
        <w:rPr>
          <w:rFonts w:asciiTheme="majorHAnsi" w:hAnsiTheme="majorHAnsi" w:cs="Arial"/>
          <w:sz w:val="16"/>
          <w:szCs w:val="16"/>
          <w:lang w:val="es-US" w:eastAsia="es-ES"/>
        </w:rPr>
        <w:t xml:space="preserve">Fiscalía 69 DECVDH, Rad. 789, cuadernos 10, 11 y 12. </w:t>
      </w:r>
      <w:r w:rsidRPr="009513F8">
        <w:rPr>
          <w:rFonts w:asciiTheme="majorHAnsi" w:hAnsiTheme="majorHAnsi" w:cs="Arial"/>
          <w:sz w:val="16"/>
          <w:szCs w:val="16"/>
          <w:lang w:val="es-US" w:eastAsia="es-ES"/>
        </w:rPr>
        <w:t xml:space="preserve">Anexo a la comunicación de la parte peticionaria de 6 de diciembre de 2019. </w:t>
      </w:r>
    </w:p>
  </w:footnote>
  <w:footnote w:id="110">
    <w:p w14:paraId="66C1831C" w14:textId="63412BB2" w:rsidR="00475A99" w:rsidRPr="003979EC" w:rsidRDefault="00475A99" w:rsidP="00953A9B">
      <w:pPr>
        <w:pStyle w:val="FootnoteText"/>
        <w:rPr>
          <w:lang w:val="es-ES_tradnl"/>
        </w:rPr>
      </w:pPr>
      <w:r>
        <w:rPr>
          <w:rStyle w:val="FootnoteReference"/>
        </w:rPr>
        <w:footnoteRef/>
      </w:r>
      <w:r>
        <w:rPr>
          <w:lang w:val="es-ES_tradnl"/>
        </w:rPr>
        <w:t xml:space="preserve"> Escrito de la parte peticionaria de fecha 6 de diciembre de 2019.</w:t>
      </w:r>
    </w:p>
  </w:footnote>
  <w:footnote w:id="111">
    <w:p w14:paraId="5A470B83" w14:textId="69427149" w:rsidR="00475A99" w:rsidRPr="005A7296" w:rsidRDefault="00475A99" w:rsidP="005A7296">
      <w:pPr>
        <w:pStyle w:val="FootnoteText"/>
        <w:rPr>
          <w:color w:val="auto"/>
          <w:lang w:val="es-ES"/>
        </w:rPr>
      </w:pPr>
      <w:r w:rsidRPr="005A7296">
        <w:rPr>
          <w:rStyle w:val="FootnoteReference"/>
          <w:color w:val="auto"/>
        </w:rPr>
        <w:footnoteRef/>
      </w:r>
      <w:r w:rsidRPr="005A7296">
        <w:rPr>
          <w:color w:val="auto"/>
          <w:lang w:val="es-ES"/>
        </w:rPr>
        <w:t xml:space="preserve"> Anexo CD. Procuraduría General de la Nación. Auto No. 01110 de 12 de junio de 2000. </w:t>
      </w:r>
    </w:p>
  </w:footnote>
  <w:footnote w:id="112">
    <w:p w14:paraId="72917ED9" w14:textId="3500FBC6" w:rsidR="00475A99" w:rsidRPr="005A7296" w:rsidRDefault="00475A99" w:rsidP="005A7296">
      <w:pPr>
        <w:pStyle w:val="FootnoteText"/>
        <w:rPr>
          <w:color w:val="auto"/>
          <w:lang w:val="es-ES"/>
        </w:rPr>
      </w:pPr>
      <w:r w:rsidRPr="005A7296">
        <w:rPr>
          <w:rStyle w:val="FootnoteReference"/>
          <w:color w:val="auto"/>
        </w:rPr>
        <w:footnoteRef/>
      </w:r>
      <w:r w:rsidRPr="005A7296">
        <w:rPr>
          <w:color w:val="auto"/>
          <w:lang w:val="es-ES"/>
        </w:rPr>
        <w:t xml:space="preserve"> Anexo CD. Procuraduría General de la Nación. Oficio No. 5927/09 de 30 de enero de 2009. </w:t>
      </w:r>
    </w:p>
  </w:footnote>
  <w:footnote w:id="113">
    <w:p w14:paraId="52BC3800" w14:textId="01C7B73F" w:rsidR="00475A99" w:rsidRPr="004863F4" w:rsidRDefault="00475A99" w:rsidP="005A7296">
      <w:pPr>
        <w:pStyle w:val="FootnoteText"/>
        <w:rPr>
          <w:color w:val="auto"/>
          <w:lang w:val="es-ES"/>
        </w:rPr>
      </w:pPr>
      <w:r w:rsidRPr="005A7296">
        <w:rPr>
          <w:rStyle w:val="FootnoteReference"/>
          <w:color w:val="auto"/>
        </w:rPr>
        <w:footnoteRef/>
      </w:r>
      <w:r w:rsidRPr="005A7296">
        <w:rPr>
          <w:color w:val="auto"/>
          <w:lang w:val="pt-BR"/>
        </w:rPr>
        <w:t xml:space="preserve"> Anexo USB. Radicado 05000-</w:t>
      </w:r>
      <w:r w:rsidRPr="004863F4">
        <w:rPr>
          <w:color w:val="auto"/>
          <w:lang w:val="pt-BR"/>
        </w:rPr>
        <w:t xml:space="preserve">23-31-000-2002-02322-01. Tribunal Administrativo de Antioquia. </w:t>
      </w:r>
      <w:r w:rsidRPr="004863F4">
        <w:rPr>
          <w:color w:val="auto"/>
          <w:lang w:val="es-ES"/>
        </w:rPr>
        <w:t xml:space="preserve">Sentencia de 20 de junio de 2014. </w:t>
      </w:r>
    </w:p>
  </w:footnote>
  <w:footnote w:id="114">
    <w:p w14:paraId="54A18CD7" w14:textId="77777777"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Artículo 4.1: Toda persona tiene derecho a que se respete su vida. (…)  Nadie puede ser privado de la vida arbitrariamente. (…)</w:t>
      </w:r>
    </w:p>
  </w:footnote>
  <w:footnote w:id="115">
    <w:p w14:paraId="7B739129" w14:textId="51F5880C" w:rsidR="00475A99" w:rsidRPr="004863F4" w:rsidRDefault="00475A99" w:rsidP="004863F4">
      <w:pPr>
        <w:pStyle w:val="FootnoteText"/>
        <w:rPr>
          <w:color w:val="auto"/>
          <w:lang w:val="es-CO"/>
        </w:rPr>
      </w:pPr>
      <w:r w:rsidRPr="004863F4">
        <w:rPr>
          <w:rStyle w:val="FootnoteReference"/>
          <w:color w:val="auto"/>
          <w:lang w:val="es-ES"/>
        </w:rPr>
        <w:footnoteRef/>
      </w:r>
      <w:r>
        <w:rPr>
          <w:color w:val="auto"/>
          <w:lang w:val="es-ES"/>
        </w:rPr>
        <w:t xml:space="preserve"> CIDH. Informe No. 25/02.</w:t>
      </w:r>
      <w:r w:rsidRPr="004863F4">
        <w:rPr>
          <w:color w:val="auto"/>
          <w:lang w:val="es-ES"/>
        </w:rPr>
        <w:t xml:space="preserve"> Caso 11.7</w:t>
      </w:r>
      <w:r>
        <w:rPr>
          <w:color w:val="auto"/>
          <w:lang w:val="es-ES"/>
        </w:rPr>
        <w:t xml:space="preserve">63. Masacre de Plan de Sánchez. </w:t>
      </w:r>
      <w:r w:rsidRPr="004863F4">
        <w:rPr>
          <w:color w:val="auto"/>
          <w:lang w:val="es-ES"/>
        </w:rPr>
        <w:t>Guatemala</w:t>
      </w:r>
      <w:r>
        <w:rPr>
          <w:color w:val="auto"/>
          <w:lang w:val="es-ES"/>
        </w:rPr>
        <w:t>.</w:t>
      </w:r>
      <w:r w:rsidRPr="004863F4">
        <w:rPr>
          <w:color w:val="auto"/>
          <w:lang w:val="es-ES"/>
        </w:rPr>
        <w:t xml:space="preserve"> 28 de febrero de 2002, párr. </w:t>
      </w:r>
      <w:r w:rsidRPr="004863F4">
        <w:rPr>
          <w:color w:val="auto"/>
          <w:lang w:val="es-CO"/>
        </w:rPr>
        <w:t xml:space="preserve">114. </w:t>
      </w:r>
    </w:p>
  </w:footnote>
  <w:footnote w:id="116">
    <w:p w14:paraId="1B94D087" w14:textId="5B10A07B" w:rsidR="00475A99" w:rsidRPr="004863F4" w:rsidRDefault="00475A99" w:rsidP="004863F4">
      <w:pPr>
        <w:pStyle w:val="FootnoteText"/>
        <w:rPr>
          <w:color w:val="auto"/>
          <w:lang w:val="es-ES"/>
        </w:rPr>
      </w:pPr>
      <w:r w:rsidRPr="004863F4">
        <w:rPr>
          <w:rStyle w:val="FootnoteReference"/>
          <w:color w:val="auto"/>
        </w:rPr>
        <w:footnoteRef/>
      </w:r>
      <w:r>
        <w:rPr>
          <w:color w:val="auto"/>
          <w:lang w:val="es-ES"/>
        </w:rPr>
        <w:t xml:space="preserve"> CIDH. Informe No. 120/10. Caso 12.605. Fondo.</w:t>
      </w:r>
      <w:r w:rsidRPr="004863F4">
        <w:rPr>
          <w:color w:val="auto"/>
          <w:lang w:val="es-ES"/>
        </w:rPr>
        <w:t xml:space="preserve"> Jo</w:t>
      </w:r>
      <w:r>
        <w:rPr>
          <w:color w:val="auto"/>
          <w:lang w:val="es-ES"/>
        </w:rPr>
        <w:t>e Luis Castillo González. Venezuela.</w:t>
      </w:r>
      <w:r w:rsidRPr="004863F4">
        <w:rPr>
          <w:color w:val="auto"/>
          <w:lang w:val="es-ES"/>
        </w:rPr>
        <w:t xml:space="preserve"> 22 de octubre de 2010, párr. 109.</w:t>
      </w:r>
    </w:p>
  </w:footnote>
  <w:footnote w:id="117">
    <w:p w14:paraId="37107D9F" w14:textId="3AC72C51"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CIDH. Informe No. 100/17. Fondo. Juan Francisco Arrom Shuhurt y otros. Paraguay. 5 de septiembre de 2017, párr. 189 y ss.</w:t>
      </w:r>
    </w:p>
  </w:footnote>
  <w:footnote w:id="118">
    <w:p w14:paraId="0EB0078B" w14:textId="77777777" w:rsidR="00475A99" w:rsidRPr="004863F4" w:rsidRDefault="00475A99" w:rsidP="004863F4">
      <w:pPr>
        <w:pStyle w:val="FootnoteText"/>
        <w:rPr>
          <w:color w:val="auto"/>
          <w:lang w:val="pt-BR"/>
        </w:rPr>
      </w:pPr>
      <w:r w:rsidRPr="004863F4">
        <w:rPr>
          <w:rStyle w:val="FootnoteReference"/>
          <w:color w:val="auto"/>
        </w:rPr>
        <w:footnoteRef/>
      </w:r>
      <w:r w:rsidRPr="004863F4">
        <w:rPr>
          <w:color w:val="auto"/>
          <w:lang w:val="es-ES"/>
        </w:rPr>
        <w:t xml:space="preserve"> Corte IDH. </w:t>
      </w:r>
      <w:hyperlink r:id="rId13" w:history="1">
        <w:r w:rsidRPr="004863F4">
          <w:rPr>
            <w:rStyle w:val="Hyperlink"/>
            <w:i/>
            <w:color w:val="auto"/>
            <w:u w:val="none"/>
            <w:shd w:val="clear" w:color="auto" w:fill="FFFFFF"/>
            <w:lang w:val="es-ES"/>
          </w:rPr>
          <w:t>Caso J. Vs. Perú</w:t>
        </w:r>
        <w:r w:rsidRPr="004863F4">
          <w:rPr>
            <w:rStyle w:val="Hyperlink"/>
            <w:color w:val="auto"/>
            <w:u w:val="none"/>
            <w:shd w:val="clear" w:color="auto" w:fill="FFFFFF"/>
            <w:lang w:val="es-ES"/>
          </w:rPr>
          <w:t xml:space="preserve">. Excepción Preliminar, Fondo, Reparaciones y Costas. Sentencia de 27 de noviembre de 2013. </w:t>
        </w:r>
        <w:r w:rsidRPr="004863F4">
          <w:rPr>
            <w:rStyle w:val="Hyperlink"/>
            <w:color w:val="auto"/>
            <w:u w:val="none"/>
            <w:shd w:val="clear" w:color="auto" w:fill="FFFFFF"/>
            <w:lang w:val="pt-BR"/>
          </w:rPr>
          <w:t>Serie C No. 275</w:t>
        </w:r>
      </w:hyperlink>
      <w:r w:rsidRPr="004863F4">
        <w:rPr>
          <w:color w:val="auto"/>
          <w:lang w:val="pt-BR"/>
        </w:rPr>
        <w:t>, párr. 354.</w:t>
      </w:r>
    </w:p>
  </w:footnote>
  <w:footnote w:id="119">
    <w:p w14:paraId="121E1D9D" w14:textId="77777777" w:rsidR="00475A99" w:rsidRPr="004863F4" w:rsidRDefault="00475A99" w:rsidP="004863F4">
      <w:pPr>
        <w:pStyle w:val="FootnoteText"/>
        <w:tabs>
          <w:tab w:val="left" w:pos="270"/>
        </w:tabs>
        <w:rPr>
          <w:color w:val="auto"/>
          <w:lang w:val="es-ES_tradnl"/>
        </w:rPr>
      </w:pPr>
      <w:r w:rsidRPr="004863F4">
        <w:rPr>
          <w:rStyle w:val="FootnoteReference"/>
          <w:color w:val="auto"/>
        </w:rPr>
        <w:footnoteRef/>
      </w:r>
      <w:r w:rsidRPr="004863F4">
        <w:rPr>
          <w:color w:val="auto"/>
          <w:lang w:val="pt-BR"/>
        </w:rPr>
        <w:t xml:space="preserve"> </w:t>
      </w:r>
      <w:r w:rsidRPr="004863F4">
        <w:rPr>
          <w:color w:val="auto"/>
          <w:lang w:val="pt-BR"/>
        </w:rPr>
        <w:tab/>
        <w:t xml:space="preserve">Corte IDH. </w:t>
      </w:r>
      <w:r w:rsidRPr="004863F4">
        <w:rPr>
          <w:i/>
          <w:color w:val="auto"/>
          <w:lang w:val="pt-BR"/>
        </w:rPr>
        <w:t xml:space="preserve">Caso Kawas Fernández Vs. </w:t>
      </w:r>
      <w:r w:rsidRPr="004863F4">
        <w:rPr>
          <w:i/>
          <w:color w:val="auto"/>
          <w:lang w:val="es-CO"/>
        </w:rPr>
        <w:t>Honduras</w:t>
      </w:r>
      <w:r w:rsidRPr="004863F4">
        <w:rPr>
          <w:color w:val="auto"/>
          <w:lang w:val="es-CO"/>
        </w:rPr>
        <w:t xml:space="preserve">. Fondo, Reparaciones y Costas. </w:t>
      </w:r>
      <w:r w:rsidRPr="004863F4">
        <w:rPr>
          <w:color w:val="auto"/>
          <w:lang w:val="es-ES"/>
        </w:rPr>
        <w:t>Sentencia de 3 de abril de 2009 Serie C No. 196, párr. 97.</w:t>
      </w:r>
    </w:p>
  </w:footnote>
  <w:footnote w:id="120">
    <w:p w14:paraId="2862D9C4" w14:textId="580B42A7" w:rsidR="00475A99" w:rsidRPr="004863F4" w:rsidRDefault="00475A99" w:rsidP="004863F4">
      <w:pPr>
        <w:pStyle w:val="FootnoteText"/>
        <w:rPr>
          <w:color w:val="auto"/>
          <w:lang w:val="es-CO"/>
        </w:rPr>
      </w:pPr>
      <w:r w:rsidRPr="004863F4">
        <w:rPr>
          <w:rStyle w:val="FootnoteReference"/>
          <w:color w:val="auto"/>
        </w:rPr>
        <w:footnoteRef/>
      </w:r>
      <w:r w:rsidRPr="004863F4">
        <w:rPr>
          <w:color w:val="auto"/>
          <w:lang w:val="es-CO"/>
        </w:rPr>
        <w:t xml:space="preserve"> CIDH. Informe No. 11/10. Caso 12.488. </w:t>
      </w:r>
      <w:r w:rsidRPr="004863F4">
        <w:rPr>
          <w:color w:val="auto"/>
          <w:lang w:val="es-ES"/>
        </w:rPr>
        <w:t xml:space="preserve">Fondo. Miembros de la familia Barrios. </w:t>
      </w:r>
      <w:r w:rsidRPr="004863F4">
        <w:rPr>
          <w:color w:val="auto"/>
          <w:lang w:val="pt-BR"/>
        </w:rPr>
        <w:t xml:space="preserve">Venezuela. 16 de marzo de 2010, párr.167; Informe 24/98. Joao Canuto de Oliveira. </w:t>
      </w:r>
      <w:r w:rsidRPr="004863F4">
        <w:rPr>
          <w:color w:val="auto"/>
          <w:lang w:val="es-CO"/>
        </w:rPr>
        <w:t>Brasil. 7 de abril de 1998, párr. 53.</w:t>
      </w:r>
    </w:p>
  </w:footnote>
  <w:footnote w:id="121">
    <w:p w14:paraId="734903D9" w14:textId="45916FC7" w:rsidR="00475A99" w:rsidRPr="004863F4" w:rsidRDefault="00475A99" w:rsidP="004863F4">
      <w:pPr>
        <w:pStyle w:val="FootnoteText"/>
        <w:tabs>
          <w:tab w:val="left" w:pos="720"/>
        </w:tabs>
        <w:rPr>
          <w:color w:val="auto"/>
          <w:lang w:val="es-ES_tradnl"/>
        </w:rPr>
      </w:pPr>
      <w:r w:rsidRPr="004863F4">
        <w:rPr>
          <w:rStyle w:val="FootnoteReference"/>
          <w:color w:val="auto"/>
          <w:lang w:val="es-ES_tradnl"/>
        </w:rPr>
        <w:footnoteRef/>
      </w:r>
      <w:r w:rsidRPr="004863F4">
        <w:rPr>
          <w:color w:val="auto"/>
          <w:lang w:val="es-CO"/>
        </w:rPr>
        <w:t xml:space="preserve"> </w:t>
      </w:r>
      <w:r w:rsidRPr="004863F4">
        <w:rPr>
          <w:bCs/>
          <w:color w:val="auto"/>
          <w:lang w:val="es-CO"/>
        </w:rPr>
        <w:t xml:space="preserve">Corte IDH. </w:t>
      </w:r>
      <w:r w:rsidRPr="004863F4">
        <w:rPr>
          <w:bCs/>
          <w:i/>
          <w:color w:val="auto"/>
          <w:lang w:val="es-CO"/>
        </w:rPr>
        <w:t>Caso Valle Jaramillo y otros Vs. Colombia</w:t>
      </w:r>
      <w:r w:rsidRPr="004863F4">
        <w:rPr>
          <w:bCs/>
          <w:color w:val="auto"/>
          <w:lang w:val="es-CO"/>
        </w:rPr>
        <w:t>. Fondo, Reparaciones y Costas. Sentencia de 27 de noviembre de 2008. Serie C No. 192, párr. 78</w:t>
      </w:r>
      <w:r w:rsidRPr="004863F4">
        <w:rPr>
          <w:b/>
          <w:bCs/>
          <w:color w:val="auto"/>
          <w:lang w:val="es-CO"/>
        </w:rPr>
        <w:t>.</w:t>
      </w:r>
    </w:p>
  </w:footnote>
  <w:footnote w:id="122">
    <w:p w14:paraId="53259F41" w14:textId="596078B6" w:rsidR="00475A99" w:rsidRPr="004863F4" w:rsidRDefault="00475A99" w:rsidP="004863F4">
      <w:pPr>
        <w:jc w:val="both"/>
        <w:rPr>
          <w:rFonts w:asciiTheme="majorHAnsi" w:eastAsia="Times New Roman" w:hAnsiTheme="majorHAnsi"/>
          <w:sz w:val="16"/>
          <w:szCs w:val="16"/>
        </w:rPr>
      </w:pPr>
      <w:r w:rsidRPr="004863F4">
        <w:rPr>
          <w:rStyle w:val="FootnoteReference"/>
          <w:rFonts w:asciiTheme="majorHAnsi" w:hAnsiTheme="majorHAnsi"/>
          <w:sz w:val="16"/>
          <w:szCs w:val="16"/>
        </w:rPr>
        <w:footnoteRef/>
      </w:r>
      <w:r w:rsidRPr="004863F4">
        <w:rPr>
          <w:rFonts w:asciiTheme="majorHAnsi" w:hAnsiTheme="majorHAnsi" w:cs="Arial"/>
          <w:sz w:val="16"/>
          <w:szCs w:val="16"/>
        </w:rPr>
        <w:t xml:space="preserve"> </w:t>
      </w:r>
      <w:r w:rsidRPr="004863F4">
        <w:rPr>
          <w:rFonts w:asciiTheme="majorHAnsi" w:eastAsia="Times New Roman" w:hAnsiTheme="majorHAnsi"/>
          <w:bCs/>
          <w:sz w:val="16"/>
          <w:szCs w:val="16"/>
          <w:shd w:val="clear" w:color="auto" w:fill="FFFFFF"/>
        </w:rPr>
        <w:t xml:space="preserve">Corte IDH. </w:t>
      </w:r>
      <w:r w:rsidRPr="004863F4">
        <w:rPr>
          <w:rFonts w:asciiTheme="majorHAnsi" w:eastAsia="Times New Roman" w:hAnsiTheme="majorHAnsi"/>
          <w:bCs/>
          <w:i/>
          <w:sz w:val="16"/>
          <w:szCs w:val="16"/>
          <w:shd w:val="clear" w:color="auto" w:fill="FFFFFF"/>
        </w:rPr>
        <w:t>Caso de la Masacre de Pueblo Bello Vs. Colombia</w:t>
      </w:r>
      <w:r w:rsidRPr="004863F4">
        <w:rPr>
          <w:rFonts w:asciiTheme="majorHAnsi" w:eastAsia="Times New Roman" w:hAnsiTheme="majorHAnsi"/>
          <w:bCs/>
          <w:sz w:val="16"/>
          <w:szCs w:val="16"/>
          <w:shd w:val="clear" w:color="auto" w:fill="FFFFFF"/>
        </w:rPr>
        <w:t xml:space="preserve">. Sentencia de 31 de enero de 2006. Serie C No. 140, párr. 124; y </w:t>
      </w:r>
      <w:r w:rsidRPr="004863F4">
        <w:rPr>
          <w:rFonts w:asciiTheme="majorHAnsi" w:eastAsia="Times New Roman" w:hAnsiTheme="majorHAnsi"/>
          <w:bCs/>
          <w:i/>
          <w:sz w:val="16"/>
          <w:szCs w:val="16"/>
          <w:shd w:val="clear" w:color="auto" w:fill="FFFFFF"/>
        </w:rPr>
        <w:t>Caso González y otras (“Campo Algodonero”) Vs. México</w:t>
      </w:r>
      <w:r w:rsidRPr="004863F4">
        <w:rPr>
          <w:rFonts w:asciiTheme="majorHAnsi" w:eastAsia="Times New Roman" w:hAnsiTheme="majorHAnsi"/>
          <w:bCs/>
          <w:sz w:val="16"/>
          <w:szCs w:val="16"/>
          <w:shd w:val="clear" w:color="auto" w:fill="FFFFFF"/>
        </w:rPr>
        <w:t>. Excepción Preliminar, Fondo, Reparaciones y Costas. Sentencia de 16 de noviembre de 2009. Serie C No.205, párr. 284.</w:t>
      </w:r>
    </w:p>
  </w:footnote>
  <w:footnote w:id="123">
    <w:p w14:paraId="655B7187" w14:textId="77777777" w:rsidR="00475A99" w:rsidRPr="004863F4" w:rsidRDefault="00475A99" w:rsidP="004863F4">
      <w:pPr>
        <w:pStyle w:val="FootnoteText"/>
        <w:rPr>
          <w:color w:val="auto"/>
          <w:lang w:val="es-ES_tradnl"/>
        </w:rPr>
      </w:pPr>
      <w:r w:rsidRPr="004863F4">
        <w:rPr>
          <w:rStyle w:val="FootnoteReference"/>
          <w:color w:val="auto"/>
        </w:rPr>
        <w:footnoteRef/>
      </w:r>
      <w:r w:rsidRPr="004863F4">
        <w:rPr>
          <w:color w:val="auto"/>
          <w:lang w:val="es-VE"/>
        </w:rPr>
        <w:t xml:space="preserve"> Artí</w:t>
      </w:r>
      <w:r w:rsidRPr="004863F4">
        <w:rPr>
          <w:color w:val="auto"/>
          <w:lang w:val="es-ES_tradnl"/>
        </w:rPr>
        <w:t>culo 5.1: Toda persona tiene derecho a que se respete su integridad física, psíquica y moral.</w:t>
      </w:r>
    </w:p>
  </w:footnote>
  <w:footnote w:id="124">
    <w:p w14:paraId="001F3DFC" w14:textId="2C26881E" w:rsidR="00475A99" w:rsidRPr="009513F8" w:rsidRDefault="00475A99" w:rsidP="004863F4">
      <w:pPr>
        <w:jc w:val="both"/>
        <w:rPr>
          <w:rFonts w:asciiTheme="majorHAnsi" w:eastAsia="Times New Roman" w:hAnsiTheme="majorHAnsi"/>
          <w:sz w:val="16"/>
          <w:szCs w:val="16"/>
          <w:bdr w:val="none" w:sz="0" w:space="0" w:color="auto"/>
          <w:lang w:val="es-US"/>
        </w:rPr>
      </w:pPr>
      <w:r w:rsidRPr="004863F4">
        <w:rPr>
          <w:rStyle w:val="FootnoteReference"/>
          <w:rFonts w:asciiTheme="majorHAnsi" w:hAnsiTheme="majorHAnsi"/>
          <w:sz w:val="16"/>
          <w:szCs w:val="16"/>
        </w:rPr>
        <w:footnoteRef/>
      </w:r>
      <w:r w:rsidRPr="004863F4">
        <w:rPr>
          <w:rFonts w:asciiTheme="majorHAnsi" w:hAnsiTheme="majorHAnsi"/>
          <w:sz w:val="16"/>
          <w:szCs w:val="16"/>
          <w:lang w:val="es-ES"/>
        </w:rPr>
        <w:t xml:space="preserve"> Artículo 11.1: </w:t>
      </w:r>
      <w:r w:rsidRPr="009513F8">
        <w:rPr>
          <w:rFonts w:asciiTheme="majorHAnsi" w:eastAsia="Times New Roman" w:hAnsiTheme="majorHAnsi" w:cs="Tahoma"/>
          <w:sz w:val="16"/>
          <w:szCs w:val="16"/>
          <w:bdr w:val="none" w:sz="0" w:space="0" w:color="auto"/>
          <w:lang w:val="es-US"/>
        </w:rPr>
        <w:t>Toda persona tiene derecho al respeto de su honra y al reconocimiento de su dignidad.</w:t>
      </w:r>
    </w:p>
  </w:footnote>
  <w:footnote w:id="125">
    <w:p w14:paraId="49999C47" w14:textId="77777777"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Artículo 13.1: </w:t>
      </w:r>
      <w:r w:rsidRPr="004863F4">
        <w:rPr>
          <w:rFonts w:cs="Tahoma"/>
          <w:color w:val="auto"/>
          <w:lang w:val="es-ES"/>
        </w:rPr>
        <w:t>Toda persona tiene derecho a la libertad de pensamiento y de expresión.  Este derecho comprende la libertad de buscar, recibir y difundir informaciones e ideas de toda índole, sin consideración de fronteras, ya sea oralmente, por escrito o en forma impresa o artística, o por cualquier otro procedimiento de su elección.</w:t>
      </w:r>
    </w:p>
  </w:footnote>
  <w:footnote w:id="126">
    <w:p w14:paraId="250D1E52" w14:textId="77777777"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Artículo 16.1: </w:t>
      </w:r>
      <w:r w:rsidRPr="004863F4">
        <w:rPr>
          <w:rFonts w:cs="Tahoma"/>
          <w:color w:val="auto"/>
          <w:lang w:val="es-ES"/>
        </w:rPr>
        <w:t>Todas las personas tienen derecho a asociarse libremente con fines ideológicos, religiosos, políticos, económicos, laborales, sociales, culturales, deportivos o de cualquiera otra índole</w:t>
      </w:r>
    </w:p>
  </w:footnote>
  <w:footnote w:id="127">
    <w:p w14:paraId="0350FF71" w14:textId="335E7162" w:rsidR="00475A99" w:rsidRPr="004863F4" w:rsidRDefault="00475A99" w:rsidP="004863F4">
      <w:pPr>
        <w:shd w:val="clear" w:color="auto" w:fill="FFFFFF"/>
        <w:tabs>
          <w:tab w:val="num" w:pos="720"/>
          <w:tab w:val="left" w:pos="1440"/>
          <w:tab w:val="num" w:pos="2040"/>
        </w:tabs>
        <w:jc w:val="both"/>
        <w:rPr>
          <w:rFonts w:asciiTheme="majorHAnsi" w:hAnsiTheme="majorHAnsi"/>
          <w:sz w:val="16"/>
          <w:szCs w:val="16"/>
        </w:rPr>
      </w:pPr>
      <w:r w:rsidRPr="004863F4">
        <w:rPr>
          <w:rStyle w:val="FootnoteReference"/>
          <w:rFonts w:asciiTheme="majorHAnsi" w:hAnsiTheme="majorHAnsi"/>
          <w:sz w:val="16"/>
          <w:szCs w:val="16"/>
        </w:rPr>
        <w:footnoteRef/>
      </w:r>
      <w:r w:rsidRPr="004863F4">
        <w:rPr>
          <w:rFonts w:asciiTheme="majorHAnsi" w:hAnsiTheme="majorHAnsi"/>
          <w:sz w:val="16"/>
          <w:szCs w:val="16"/>
          <w:lang w:val="es-VE"/>
        </w:rPr>
        <w:t xml:space="preserve"> </w:t>
      </w:r>
      <w:r w:rsidRPr="004863F4">
        <w:rPr>
          <w:rFonts w:asciiTheme="majorHAnsi" w:eastAsia="Cambria" w:hAnsiTheme="majorHAnsi" w:cs="Cambria"/>
          <w:sz w:val="16"/>
          <w:szCs w:val="16"/>
        </w:rPr>
        <w:t>Artículo 22.1: Toda persona que se halle legalmente en el territorio de un Estado tiene derecho a circular por el mismo y, a residir en él con sujeción a las disposiciones legales.</w:t>
      </w:r>
    </w:p>
  </w:footnote>
  <w:footnote w:id="128">
    <w:p w14:paraId="0347B829" w14:textId="1B592B89"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CIDH. </w:t>
      </w:r>
      <w:hyperlink r:id="rId14" w:history="1">
        <w:r w:rsidRPr="004863F4">
          <w:rPr>
            <w:rStyle w:val="Hyperlink"/>
            <w:color w:val="auto"/>
            <w:u w:val="none"/>
            <w:lang w:val="es-ES"/>
          </w:rPr>
          <w:t>Criminalización de la labor de las defensoras y los defensores de derechos humanos.</w:t>
        </w:r>
      </w:hyperlink>
      <w:r w:rsidRPr="004863F4">
        <w:rPr>
          <w:color w:val="auto"/>
          <w:lang w:val="es-ES"/>
        </w:rPr>
        <w:t xml:space="preserve"> 31 diciembre 2015, párr. 10.</w:t>
      </w:r>
    </w:p>
  </w:footnote>
  <w:footnote w:id="129">
    <w:p w14:paraId="7170AF2B" w14:textId="46E7E662"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CIDH. </w:t>
      </w:r>
      <w:hyperlink r:id="rId15" w:history="1">
        <w:r w:rsidRPr="004863F4">
          <w:rPr>
            <w:rStyle w:val="Hyperlink"/>
            <w:color w:val="auto"/>
            <w:u w:val="none"/>
            <w:lang w:val="es-ES_tradnl"/>
          </w:rPr>
          <w:t>Hacia una política integral de protección a personas defensoras de derechos humanos</w:t>
        </w:r>
      </w:hyperlink>
      <w:r w:rsidRPr="004863F4">
        <w:rPr>
          <w:color w:val="auto"/>
          <w:lang w:val="es-ES_tradnl"/>
        </w:rPr>
        <w:t xml:space="preserve">. </w:t>
      </w:r>
      <w:r w:rsidRPr="004863F4">
        <w:rPr>
          <w:color w:val="auto"/>
          <w:lang w:val="es-ES"/>
        </w:rPr>
        <w:t xml:space="preserve">29 diciembre 2017, párr. 113; </w:t>
      </w:r>
      <w:hyperlink r:id="rId16" w:history="1">
        <w:r w:rsidRPr="004863F4">
          <w:rPr>
            <w:rStyle w:val="Hyperlink"/>
            <w:color w:val="auto"/>
            <w:u w:val="none"/>
            <w:lang w:val="es-ES_tradnl"/>
          </w:rPr>
          <w:t>Segundo Informe sobre la situación de las defensoras y los defensores de derechos humanos en las Américas</w:t>
        </w:r>
      </w:hyperlink>
      <w:r w:rsidRPr="004863F4">
        <w:rPr>
          <w:color w:val="auto"/>
          <w:lang w:val="es-ES_tradnl"/>
        </w:rPr>
        <w:t xml:space="preserve">. </w:t>
      </w:r>
      <w:r w:rsidRPr="004863F4">
        <w:rPr>
          <w:color w:val="auto"/>
          <w:lang w:val="es-ES"/>
        </w:rPr>
        <w:t xml:space="preserve">31 diciembre 2011, párr. 19; e </w:t>
      </w:r>
      <w:hyperlink r:id="rId17" w:history="1">
        <w:r w:rsidRPr="004863F4">
          <w:rPr>
            <w:rStyle w:val="Hyperlink"/>
            <w:bCs/>
            <w:color w:val="auto"/>
            <w:u w:val="none"/>
            <w:lang w:val="es-ES_tradnl"/>
          </w:rPr>
          <w:t>Informe sobre la situación de las defensoras y defensores de los derechos humanos en las Américas</w:t>
        </w:r>
      </w:hyperlink>
      <w:r w:rsidRPr="004863F4">
        <w:rPr>
          <w:bCs/>
          <w:color w:val="auto"/>
          <w:lang w:val="es-ES_tradnl"/>
        </w:rPr>
        <w:t xml:space="preserve">, 7 marzo 2006, </w:t>
      </w:r>
      <w:r w:rsidRPr="004863F4">
        <w:rPr>
          <w:color w:val="auto"/>
          <w:lang w:val="es-ES"/>
        </w:rPr>
        <w:t>párr. 35.</w:t>
      </w:r>
    </w:p>
  </w:footnote>
  <w:footnote w:id="130">
    <w:p w14:paraId="0AFD0042" w14:textId="46BD058D"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CIDH. Segundo Informe sobre la situación de las defensoras y los defensores de derechos humanos en las Américas. 31 de diciembre de 2011, párr. 119.</w:t>
      </w:r>
    </w:p>
  </w:footnote>
  <w:footnote w:id="131">
    <w:p w14:paraId="26FFA34B" w14:textId="77777777"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w:t>
      </w:r>
      <w:r w:rsidRPr="004863F4">
        <w:rPr>
          <w:bCs/>
          <w:color w:val="auto"/>
          <w:lang w:val="es-ES_tradnl"/>
        </w:rPr>
        <w:t xml:space="preserve">Corte IDH. </w:t>
      </w:r>
      <w:r w:rsidRPr="004863F4">
        <w:rPr>
          <w:bCs/>
          <w:i/>
          <w:color w:val="auto"/>
          <w:lang w:val="es-ES_tradnl"/>
        </w:rPr>
        <w:t>Caso Escaleras Mejía y otros Vs. Honduras</w:t>
      </w:r>
      <w:r w:rsidRPr="004863F4">
        <w:rPr>
          <w:bCs/>
          <w:color w:val="auto"/>
          <w:lang w:val="es-ES_tradnl"/>
        </w:rPr>
        <w:t>. Sentencia de 26 de septiembre de 2018. Serie C No. 361, párr. 60.</w:t>
      </w:r>
    </w:p>
  </w:footnote>
  <w:footnote w:id="132">
    <w:p w14:paraId="38283A61" w14:textId="068F6DA1" w:rsidR="00475A99" w:rsidRPr="004863F4" w:rsidRDefault="00475A99" w:rsidP="004863F4">
      <w:pPr>
        <w:pStyle w:val="FootnoteText"/>
        <w:rPr>
          <w:bCs/>
          <w:color w:val="auto"/>
          <w:lang w:val="es-ES_tradnl"/>
        </w:rPr>
      </w:pPr>
      <w:r w:rsidRPr="004863F4">
        <w:rPr>
          <w:rStyle w:val="FootnoteReference"/>
          <w:color w:val="auto"/>
        </w:rPr>
        <w:footnoteRef/>
      </w:r>
      <w:r w:rsidRPr="004863F4">
        <w:rPr>
          <w:color w:val="auto"/>
          <w:lang w:val="es-ES"/>
        </w:rPr>
        <w:t xml:space="preserve"> </w:t>
      </w:r>
      <w:r w:rsidRPr="004863F4">
        <w:rPr>
          <w:bCs/>
          <w:color w:val="auto"/>
          <w:lang w:val="es-ES_tradnl"/>
        </w:rPr>
        <w:t xml:space="preserve">Corte IDH. </w:t>
      </w:r>
      <w:r w:rsidRPr="004863F4">
        <w:rPr>
          <w:bCs/>
          <w:i/>
          <w:color w:val="auto"/>
          <w:lang w:val="es-ES_tradnl"/>
        </w:rPr>
        <w:t>Caso Acosta y otros Vs. Nicaragua</w:t>
      </w:r>
      <w:r w:rsidRPr="004863F4">
        <w:rPr>
          <w:bCs/>
          <w:color w:val="auto"/>
          <w:lang w:val="es-ES_tradnl"/>
        </w:rPr>
        <w:t xml:space="preserve">. Excepciones Preliminares, Fondo, Reparaciones y Costas. Sentencia de 25 de marzo de 2017. Serie C No. 334, párr. 2007; y </w:t>
      </w:r>
      <w:r w:rsidRPr="004863F4">
        <w:rPr>
          <w:bCs/>
          <w:i/>
          <w:color w:val="auto"/>
          <w:lang w:val="es-ES_tradnl"/>
        </w:rPr>
        <w:t>Caso Valle Jaramillo y otros Vs. Colombia</w:t>
      </w:r>
      <w:r w:rsidRPr="004863F4">
        <w:rPr>
          <w:bCs/>
          <w:color w:val="auto"/>
          <w:lang w:val="es-ES_tradnl"/>
        </w:rPr>
        <w:t>. Fondo, Reparaciones y Costas. Sentencia de 27 de noviembre de 2008. Serie C No. 192, párr. 96.</w:t>
      </w:r>
    </w:p>
  </w:footnote>
  <w:footnote w:id="133">
    <w:p w14:paraId="7A5475AC" w14:textId="2D3EFC4B" w:rsidR="00475A99" w:rsidRPr="004863F4" w:rsidRDefault="00475A99" w:rsidP="004863F4">
      <w:pPr>
        <w:pStyle w:val="FootnoteText"/>
        <w:rPr>
          <w:color w:val="auto"/>
          <w:lang w:val="es-ES"/>
        </w:rPr>
      </w:pPr>
      <w:r w:rsidRPr="004863F4">
        <w:rPr>
          <w:rStyle w:val="FootnoteReference"/>
          <w:color w:val="auto"/>
          <w:lang w:val="es-ES"/>
        </w:rPr>
        <w:footnoteRef/>
      </w:r>
      <w:r w:rsidRPr="004863F4">
        <w:rPr>
          <w:color w:val="auto"/>
          <w:lang w:val="es-ES"/>
        </w:rPr>
        <w:t xml:space="preserve"> CIDH. Informe sobre la Situación de las Defensoras y Defensores de los Derechos Humanos en las Américas. 7 de marzo de 2006, párr. 45. </w:t>
      </w:r>
    </w:p>
  </w:footnote>
  <w:footnote w:id="134">
    <w:p w14:paraId="153350E8" w14:textId="77777777" w:rsidR="00475A99" w:rsidRPr="004863F4" w:rsidRDefault="00475A99" w:rsidP="004863F4">
      <w:pPr>
        <w:autoSpaceDE w:val="0"/>
        <w:autoSpaceDN w:val="0"/>
        <w:adjustRightInd w:val="0"/>
        <w:jc w:val="both"/>
        <w:rPr>
          <w:rFonts w:asciiTheme="majorHAnsi" w:hAnsiTheme="majorHAnsi"/>
          <w:sz w:val="16"/>
          <w:szCs w:val="16"/>
          <w:lang w:val="es-ES"/>
        </w:rPr>
      </w:pPr>
      <w:r w:rsidRPr="004863F4">
        <w:rPr>
          <w:rStyle w:val="FootnoteReference"/>
          <w:rFonts w:asciiTheme="majorHAnsi" w:hAnsiTheme="majorHAnsi"/>
          <w:sz w:val="16"/>
          <w:szCs w:val="16"/>
          <w:lang w:val="es-ES"/>
        </w:rPr>
        <w:footnoteRef/>
      </w:r>
      <w:r w:rsidRPr="004863F4">
        <w:rPr>
          <w:rFonts w:asciiTheme="majorHAnsi" w:hAnsiTheme="majorHAnsi"/>
          <w:sz w:val="16"/>
          <w:szCs w:val="16"/>
          <w:lang w:val="es-ES"/>
        </w:rPr>
        <w:t xml:space="preserve"> </w:t>
      </w:r>
      <w:r w:rsidRPr="004863F4">
        <w:rPr>
          <w:rFonts w:asciiTheme="majorHAnsi" w:hAnsiTheme="majorHAnsi" w:cs="TimesNewRoman"/>
          <w:sz w:val="16"/>
          <w:szCs w:val="16"/>
          <w:lang w:val="es-ES"/>
        </w:rPr>
        <w:t xml:space="preserve">Asamblea General de las Naciones Unidas, A/65/223, Informe de la Relatora Especial sobre la situación de los defensores de derechos humanos, 4 de agosto de 2010. </w:t>
      </w:r>
    </w:p>
  </w:footnote>
  <w:footnote w:id="135">
    <w:p w14:paraId="6CB38CDA" w14:textId="77777777" w:rsidR="00475A99" w:rsidRPr="004863F4" w:rsidRDefault="00475A99" w:rsidP="004863F4">
      <w:pPr>
        <w:pStyle w:val="FootnoteText"/>
        <w:rPr>
          <w:color w:val="auto"/>
          <w:lang w:val="es-ES"/>
        </w:rPr>
      </w:pPr>
      <w:r w:rsidRPr="004863F4">
        <w:rPr>
          <w:rStyle w:val="FootnoteReference"/>
          <w:color w:val="auto"/>
          <w:lang w:val="es-ES"/>
        </w:rPr>
        <w:footnoteRef/>
      </w:r>
      <w:r w:rsidRPr="004863F4">
        <w:rPr>
          <w:color w:val="auto"/>
          <w:lang w:val="pt-BR"/>
        </w:rPr>
        <w:t xml:space="preserve"> Corte IDH. </w:t>
      </w:r>
      <w:r w:rsidRPr="004863F4">
        <w:rPr>
          <w:rFonts w:cs="Verdana-Bold"/>
          <w:bCs/>
          <w:i/>
          <w:color w:val="auto"/>
          <w:lang w:val="pt-BR" w:bidi="en-US"/>
        </w:rPr>
        <w:t xml:space="preserve">Caso Nogueira de Carvalho y otro Vs. </w:t>
      </w:r>
      <w:r w:rsidRPr="004863F4">
        <w:rPr>
          <w:rFonts w:cs="Verdana-Bold"/>
          <w:bCs/>
          <w:i/>
          <w:color w:val="auto"/>
          <w:lang w:val="es-ES" w:bidi="en-US"/>
        </w:rPr>
        <w:t>Brasil</w:t>
      </w:r>
      <w:r w:rsidRPr="004863F4">
        <w:rPr>
          <w:rFonts w:cs="Verdana-Bold"/>
          <w:bCs/>
          <w:color w:val="auto"/>
          <w:lang w:val="es-ES" w:bidi="en-US"/>
        </w:rPr>
        <w:t xml:space="preserve">. </w:t>
      </w:r>
      <w:r w:rsidRPr="004863F4">
        <w:rPr>
          <w:rFonts w:cs="Verdana"/>
          <w:color w:val="auto"/>
          <w:lang w:val="es-ES" w:bidi="en-US"/>
        </w:rPr>
        <w:t>Excepciones Preliminares y Fondo. Sentencia de 28 de noviembre de 2006. Serie C No. 161</w:t>
      </w:r>
      <w:r w:rsidRPr="004863F4">
        <w:rPr>
          <w:color w:val="auto"/>
          <w:lang w:val="es-ES"/>
        </w:rPr>
        <w:t xml:space="preserve">, </w:t>
      </w:r>
      <w:r w:rsidRPr="004863F4">
        <w:rPr>
          <w:rFonts w:cs="Verdana"/>
          <w:color w:val="auto"/>
          <w:lang w:val="es-ES"/>
        </w:rPr>
        <w:t>párr. 77.</w:t>
      </w:r>
    </w:p>
  </w:footnote>
  <w:footnote w:id="136">
    <w:p w14:paraId="3F2F665B" w14:textId="25FAD99F" w:rsidR="00475A99" w:rsidRPr="004863F4" w:rsidRDefault="00475A99" w:rsidP="004863F4">
      <w:pPr>
        <w:jc w:val="both"/>
        <w:rPr>
          <w:rFonts w:asciiTheme="majorHAnsi" w:hAnsiTheme="majorHAnsi"/>
          <w:sz w:val="16"/>
          <w:szCs w:val="16"/>
        </w:rPr>
      </w:pPr>
      <w:r w:rsidRPr="004863F4">
        <w:rPr>
          <w:rStyle w:val="FootnoteReference"/>
          <w:rFonts w:asciiTheme="majorHAnsi" w:hAnsiTheme="majorHAnsi"/>
          <w:sz w:val="16"/>
          <w:szCs w:val="16"/>
        </w:rPr>
        <w:footnoteRef/>
      </w:r>
      <w:r w:rsidRPr="004863F4">
        <w:rPr>
          <w:rFonts w:asciiTheme="majorHAnsi" w:hAnsiTheme="majorHAnsi"/>
          <w:sz w:val="16"/>
          <w:szCs w:val="16"/>
        </w:rPr>
        <w:t xml:space="preserve"> CIDH. Informe No. 45/17. Caso 10.455. Fondo. Valentín Basto Calderón y otros. Colombia. 25 de mayo de 2017</w:t>
      </w:r>
      <w:r>
        <w:rPr>
          <w:rFonts w:asciiTheme="majorHAnsi" w:hAnsiTheme="majorHAnsi"/>
          <w:sz w:val="16"/>
          <w:szCs w:val="16"/>
        </w:rPr>
        <w:t>, p</w:t>
      </w:r>
      <w:r w:rsidRPr="004863F4">
        <w:rPr>
          <w:rFonts w:asciiTheme="majorHAnsi" w:hAnsiTheme="majorHAnsi"/>
          <w:sz w:val="16"/>
          <w:szCs w:val="16"/>
        </w:rPr>
        <w:t xml:space="preserve">árr. 139.  </w:t>
      </w:r>
    </w:p>
  </w:footnote>
  <w:footnote w:id="137">
    <w:p w14:paraId="18767EE9" w14:textId="268E6210" w:rsidR="00475A99" w:rsidRPr="004863F4" w:rsidRDefault="00475A99" w:rsidP="004863F4">
      <w:pPr>
        <w:pStyle w:val="FootnoteText"/>
        <w:rPr>
          <w:rFonts w:cs="Arial"/>
          <w:color w:val="auto"/>
          <w:lang w:val="es-ES_tradnl"/>
        </w:rPr>
      </w:pPr>
      <w:r w:rsidRPr="004863F4">
        <w:rPr>
          <w:rStyle w:val="FootnoteReference"/>
          <w:rFonts w:cs="Arial"/>
          <w:color w:val="auto"/>
          <w:lang w:val="es-ES_tradnl"/>
        </w:rPr>
        <w:footnoteRef/>
      </w:r>
      <w:r w:rsidRPr="004863F4">
        <w:rPr>
          <w:rFonts w:cs="Arial"/>
          <w:color w:val="auto"/>
          <w:lang w:val="es-ES"/>
        </w:rPr>
        <w:t xml:space="preserve"> </w:t>
      </w:r>
      <w:r>
        <w:rPr>
          <w:color w:val="auto"/>
          <w:lang w:val="es-ES"/>
        </w:rPr>
        <w:t>Corte IDH.</w:t>
      </w:r>
      <w:r w:rsidRPr="004863F4">
        <w:rPr>
          <w:color w:val="auto"/>
          <w:lang w:val="es-ES"/>
        </w:rPr>
        <w:t xml:space="preserve"> </w:t>
      </w:r>
      <w:r w:rsidRPr="004863F4">
        <w:rPr>
          <w:bCs/>
          <w:i/>
          <w:color w:val="auto"/>
          <w:lang w:val="es-ES"/>
        </w:rPr>
        <w:t xml:space="preserve">Caso Gutiérrez Soler Vs. </w:t>
      </w:r>
      <w:r w:rsidRPr="004863F4">
        <w:rPr>
          <w:bCs/>
          <w:i/>
          <w:color w:val="auto"/>
          <w:lang w:val="es-ES_tradnl"/>
        </w:rPr>
        <w:t>Colombia</w:t>
      </w:r>
      <w:r w:rsidRPr="004863F4">
        <w:rPr>
          <w:bCs/>
          <w:color w:val="auto"/>
          <w:lang w:val="es-ES_tradnl"/>
        </w:rPr>
        <w:t xml:space="preserve">. </w:t>
      </w:r>
      <w:r w:rsidRPr="004863F4">
        <w:rPr>
          <w:color w:val="auto"/>
          <w:lang w:val="es-ES_tradnl"/>
        </w:rPr>
        <w:t>Fondo, Reparaciones y Costas. Sentencia de 12 de septiembre de 2005. Serie C No. 132, párrs. 56-57</w:t>
      </w:r>
      <w:r w:rsidRPr="004863F4">
        <w:rPr>
          <w:rFonts w:cs="Arial"/>
          <w:color w:val="auto"/>
          <w:lang w:val="es-ES_tradnl"/>
        </w:rPr>
        <w:t xml:space="preserve">. </w:t>
      </w:r>
    </w:p>
  </w:footnote>
  <w:footnote w:id="138">
    <w:p w14:paraId="14EF7FEC" w14:textId="0921D3C1" w:rsidR="00475A99" w:rsidRPr="004863F4" w:rsidRDefault="00475A99" w:rsidP="004863F4">
      <w:pPr>
        <w:pStyle w:val="FootnoteText"/>
        <w:tabs>
          <w:tab w:val="left" w:pos="5940"/>
        </w:tabs>
        <w:rPr>
          <w:color w:val="auto"/>
          <w:lang w:val="es-ES"/>
        </w:rPr>
      </w:pPr>
      <w:r w:rsidRPr="004863F4">
        <w:rPr>
          <w:rStyle w:val="FootnoteReference"/>
          <w:color w:val="auto"/>
        </w:rPr>
        <w:footnoteRef/>
      </w:r>
      <w:r w:rsidRPr="004863F4">
        <w:rPr>
          <w:color w:val="auto"/>
          <w:lang w:val="es-ES"/>
        </w:rPr>
        <w:t xml:space="preserve"> CIDH. </w:t>
      </w:r>
      <w:hyperlink r:id="rId18" w:history="1">
        <w:r w:rsidRPr="004863F4">
          <w:rPr>
            <w:rStyle w:val="Hyperlink"/>
            <w:color w:val="auto"/>
            <w:u w:val="none"/>
            <w:lang w:val="es-ES_tradnl"/>
          </w:rPr>
          <w:t>Segundo Informe sobre la situación de las defensoras y los defensores de derechos humanos en las Américas</w:t>
        </w:r>
      </w:hyperlink>
      <w:r w:rsidRPr="004863F4">
        <w:rPr>
          <w:color w:val="auto"/>
          <w:lang w:val="es-ES_tradnl"/>
        </w:rPr>
        <w:t xml:space="preserve">. </w:t>
      </w:r>
      <w:r w:rsidRPr="004863F4">
        <w:rPr>
          <w:color w:val="auto"/>
          <w:lang w:val="es-ES"/>
        </w:rPr>
        <w:t xml:space="preserve">31 </w:t>
      </w:r>
      <w:r>
        <w:rPr>
          <w:color w:val="auto"/>
          <w:lang w:val="es-ES"/>
        </w:rPr>
        <w:t xml:space="preserve">de </w:t>
      </w:r>
      <w:r w:rsidRPr="004863F4">
        <w:rPr>
          <w:color w:val="auto"/>
          <w:lang w:val="es-ES"/>
        </w:rPr>
        <w:t xml:space="preserve">diciembre </w:t>
      </w:r>
      <w:r>
        <w:rPr>
          <w:color w:val="auto"/>
          <w:lang w:val="es-ES"/>
        </w:rPr>
        <w:t xml:space="preserve">de </w:t>
      </w:r>
      <w:r w:rsidRPr="004863F4">
        <w:rPr>
          <w:color w:val="auto"/>
          <w:lang w:val="es-ES"/>
        </w:rPr>
        <w:t>2011</w:t>
      </w:r>
      <w:r>
        <w:rPr>
          <w:color w:val="auto"/>
          <w:lang w:val="es-ES"/>
        </w:rPr>
        <w:t>, p</w:t>
      </w:r>
      <w:r w:rsidRPr="004863F4">
        <w:rPr>
          <w:color w:val="auto"/>
          <w:lang w:val="es-ES"/>
        </w:rPr>
        <w:t xml:space="preserve">árr. 81; </w:t>
      </w:r>
      <w:hyperlink r:id="rId19" w:history="1">
        <w:r w:rsidRPr="004863F4">
          <w:rPr>
            <w:rStyle w:val="Hyperlink"/>
            <w:color w:val="auto"/>
            <w:u w:val="none"/>
            <w:lang w:val="es-ES"/>
          </w:rPr>
          <w:t>I</w:t>
        </w:r>
        <w:r w:rsidRPr="004863F4">
          <w:rPr>
            <w:rStyle w:val="Hyperlink"/>
            <w:bCs/>
            <w:color w:val="auto"/>
            <w:u w:val="none"/>
            <w:lang w:val="es-ES_tradnl"/>
          </w:rPr>
          <w:t>nforme sobre la situación de las defensoras y defensores de los derechos humanos en las Américas</w:t>
        </w:r>
      </w:hyperlink>
      <w:r>
        <w:rPr>
          <w:bCs/>
          <w:color w:val="auto"/>
          <w:lang w:val="es-ES_tradnl"/>
        </w:rPr>
        <w:t xml:space="preserve">. </w:t>
      </w:r>
      <w:r w:rsidRPr="004863F4">
        <w:rPr>
          <w:bCs/>
          <w:color w:val="auto"/>
          <w:lang w:val="es-ES_tradnl"/>
        </w:rPr>
        <w:t xml:space="preserve">7 </w:t>
      </w:r>
      <w:r>
        <w:rPr>
          <w:bCs/>
          <w:color w:val="auto"/>
          <w:lang w:val="es-ES_tradnl"/>
        </w:rPr>
        <w:t xml:space="preserve">de </w:t>
      </w:r>
      <w:r w:rsidRPr="004863F4">
        <w:rPr>
          <w:bCs/>
          <w:color w:val="auto"/>
          <w:lang w:val="es-ES_tradnl"/>
        </w:rPr>
        <w:t xml:space="preserve">marzo </w:t>
      </w:r>
      <w:r>
        <w:rPr>
          <w:bCs/>
          <w:color w:val="auto"/>
          <w:lang w:val="es-ES_tradnl"/>
        </w:rPr>
        <w:t xml:space="preserve">de </w:t>
      </w:r>
      <w:r w:rsidRPr="004863F4">
        <w:rPr>
          <w:bCs/>
          <w:color w:val="auto"/>
          <w:lang w:val="es-ES_tradnl"/>
        </w:rPr>
        <w:t xml:space="preserve">2006, </w:t>
      </w:r>
      <w:r>
        <w:rPr>
          <w:color w:val="auto"/>
          <w:lang w:val="es-ES"/>
        </w:rPr>
        <w:t>p</w:t>
      </w:r>
      <w:r w:rsidRPr="004863F4">
        <w:rPr>
          <w:color w:val="auto"/>
          <w:lang w:val="es-ES"/>
        </w:rPr>
        <w:t>árr. 96</w:t>
      </w:r>
      <w:r>
        <w:rPr>
          <w:color w:val="auto"/>
          <w:lang w:val="es-ES"/>
        </w:rPr>
        <w:t xml:space="preserve"> e Informe sobre </w:t>
      </w:r>
      <w:hyperlink r:id="rId20" w:history="1">
        <w:r w:rsidRPr="004863F4">
          <w:rPr>
            <w:rStyle w:val="Hyperlink"/>
            <w:color w:val="auto"/>
            <w:u w:val="none"/>
            <w:lang w:val="es-ES"/>
          </w:rPr>
          <w:t>Criminalización de la labor de las defensoras y los defensores de derechos humanos.</w:t>
        </w:r>
      </w:hyperlink>
      <w:r w:rsidRPr="004863F4">
        <w:rPr>
          <w:color w:val="auto"/>
          <w:lang w:val="es-ES"/>
        </w:rPr>
        <w:t xml:space="preserve"> 31 </w:t>
      </w:r>
      <w:r>
        <w:rPr>
          <w:color w:val="auto"/>
          <w:lang w:val="es-ES"/>
        </w:rPr>
        <w:t xml:space="preserve">de </w:t>
      </w:r>
      <w:r w:rsidRPr="004863F4">
        <w:rPr>
          <w:color w:val="auto"/>
          <w:lang w:val="es-ES"/>
        </w:rPr>
        <w:t xml:space="preserve">diciembre </w:t>
      </w:r>
      <w:r>
        <w:rPr>
          <w:color w:val="auto"/>
          <w:lang w:val="es-ES"/>
        </w:rPr>
        <w:t xml:space="preserve">de </w:t>
      </w:r>
      <w:r w:rsidRPr="004863F4">
        <w:rPr>
          <w:color w:val="auto"/>
          <w:lang w:val="es-ES"/>
        </w:rPr>
        <w:t>2015</w:t>
      </w:r>
      <w:r>
        <w:rPr>
          <w:color w:val="auto"/>
          <w:lang w:val="es-ES"/>
        </w:rPr>
        <w:t>,</w:t>
      </w:r>
      <w:r w:rsidRPr="004863F4">
        <w:rPr>
          <w:color w:val="auto"/>
          <w:lang w:val="es-ES"/>
        </w:rPr>
        <w:t xml:space="preserve"> párr. 173. </w:t>
      </w:r>
    </w:p>
  </w:footnote>
  <w:footnote w:id="139">
    <w:p w14:paraId="430B3AF4" w14:textId="4F1FC75C" w:rsidR="00475A99" w:rsidRPr="004863F4" w:rsidRDefault="00475A99" w:rsidP="004863F4">
      <w:pPr>
        <w:pStyle w:val="FootnoteText"/>
        <w:rPr>
          <w:color w:val="auto"/>
          <w:lang w:val="es-US"/>
        </w:rPr>
      </w:pPr>
      <w:r w:rsidRPr="004863F4">
        <w:rPr>
          <w:rStyle w:val="FootnoteReference"/>
          <w:color w:val="auto"/>
        </w:rPr>
        <w:footnoteRef/>
      </w:r>
      <w:r w:rsidRPr="004863F4">
        <w:rPr>
          <w:color w:val="auto"/>
          <w:lang w:val="es-US"/>
        </w:rPr>
        <w:t xml:space="preserve"> </w:t>
      </w:r>
      <w:r w:rsidRPr="004863F4">
        <w:rPr>
          <w:noProof/>
          <w:color w:val="auto"/>
          <w:lang w:val="es-ES"/>
        </w:rPr>
        <w:t xml:space="preserve">Corte </w:t>
      </w:r>
      <w:r w:rsidRPr="004863F4">
        <w:rPr>
          <w:color w:val="auto"/>
          <w:lang w:val="es-ES"/>
        </w:rPr>
        <w:t>IDH.</w:t>
      </w:r>
      <w:r w:rsidRPr="004863F4">
        <w:rPr>
          <w:noProof/>
          <w:color w:val="auto"/>
          <w:lang w:val="es-ES"/>
        </w:rPr>
        <w:t xml:space="preserve"> </w:t>
      </w:r>
      <w:r w:rsidRPr="004863F4">
        <w:rPr>
          <w:i/>
          <w:noProof/>
          <w:color w:val="auto"/>
          <w:lang w:val="es-ES"/>
        </w:rPr>
        <w:t>Caso Valle Jaramillo y otros Vs. Colombia</w:t>
      </w:r>
      <w:r w:rsidRPr="004863F4">
        <w:rPr>
          <w:noProof/>
          <w:color w:val="auto"/>
          <w:lang w:val="es-ES"/>
        </w:rPr>
        <w:t xml:space="preserve">. Fondo, Reparaciones y Costas. Sentencia de 27 de noviembre de 2008. Serie C No. 192, párr. </w:t>
      </w:r>
      <w:r w:rsidRPr="004863F4">
        <w:rPr>
          <w:color w:val="auto"/>
          <w:lang w:val="es-US"/>
        </w:rPr>
        <w:t xml:space="preserve">139. </w:t>
      </w:r>
    </w:p>
  </w:footnote>
  <w:footnote w:id="140">
    <w:p w14:paraId="20E181A7" w14:textId="77777777"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w:t>
      </w:r>
      <w:r w:rsidRPr="004863F4">
        <w:rPr>
          <w:color w:val="auto"/>
          <w:lang w:val="es-US"/>
        </w:rPr>
        <w:t>Principios Rectores de los Desplazamientos Internos de Naciones Unidas. Principio 2: “(…) todas las personas o grupo de personas que se han visto forzadas u obligadas a escapar de su lugar de residencia habitual, como resultado o para evitar los efectos de un conflicto armado, de situaciones de violencia generalizada, de violaciones de los derechos humanos o de catástrofes naturales o provocadas por el ser humano, y que no han cruzado una frontera estatal internacionalmente reconocida.”</w:t>
      </w:r>
    </w:p>
  </w:footnote>
  <w:footnote w:id="141">
    <w:p w14:paraId="0637A370" w14:textId="1D6FA7FD" w:rsidR="00475A99" w:rsidRPr="004863F4" w:rsidRDefault="00475A99" w:rsidP="004863F4">
      <w:pPr>
        <w:pStyle w:val="FootnoteText"/>
        <w:rPr>
          <w:color w:val="auto"/>
          <w:lang w:val="es-ES_tradnl"/>
        </w:rPr>
      </w:pPr>
      <w:r w:rsidRPr="004863F4">
        <w:rPr>
          <w:rStyle w:val="FootnoteReference"/>
          <w:color w:val="auto"/>
        </w:rPr>
        <w:footnoteRef/>
      </w:r>
      <w:r w:rsidRPr="004863F4">
        <w:rPr>
          <w:color w:val="auto"/>
          <w:lang w:val="es-ES"/>
        </w:rPr>
        <w:t xml:space="preserve"> CIDH. </w:t>
      </w:r>
      <w:hyperlink r:id="rId21" w:history="1">
        <w:r w:rsidRPr="004863F4">
          <w:rPr>
            <w:rStyle w:val="Hyperlink"/>
            <w:color w:val="auto"/>
            <w:u w:val="none"/>
            <w:lang w:val="es-ES_tradnl"/>
          </w:rPr>
          <w:t>Derechos humanos de migrantes, refugiados, apátridas, víctimas de trata de personas y desplazados internos: Normas y Estándares del Sistema Interamericano de Derechos Humanos.</w:t>
        </w:r>
      </w:hyperlink>
      <w:r w:rsidRPr="004863F4">
        <w:rPr>
          <w:color w:val="auto"/>
          <w:lang w:val="es-ES_tradnl"/>
        </w:rPr>
        <w:t xml:space="preserve"> </w:t>
      </w:r>
      <w:r w:rsidRPr="004863F4">
        <w:rPr>
          <w:color w:val="auto"/>
          <w:lang w:val="es-ES"/>
        </w:rPr>
        <w:t>31 de diciembre de 2015</w:t>
      </w:r>
      <w:r w:rsidRPr="004863F4">
        <w:rPr>
          <w:color w:val="auto"/>
          <w:lang w:val="es-ES_tradnl"/>
        </w:rPr>
        <w:t>, párr. 246.</w:t>
      </w:r>
    </w:p>
  </w:footnote>
  <w:footnote w:id="142">
    <w:p w14:paraId="1F85A2E8" w14:textId="77777777"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w:t>
      </w:r>
      <w:r w:rsidRPr="004863F4">
        <w:rPr>
          <w:bCs/>
          <w:color w:val="auto"/>
          <w:lang w:val="es-ES"/>
        </w:rPr>
        <w:t xml:space="preserve">Corte IDH. </w:t>
      </w:r>
      <w:r w:rsidRPr="00C4652F">
        <w:rPr>
          <w:bCs/>
          <w:i/>
          <w:color w:val="auto"/>
          <w:lang w:val="es-ES"/>
        </w:rPr>
        <w:t xml:space="preserve">Caso Masacres de Río Negro Vs. </w:t>
      </w:r>
      <w:r w:rsidRPr="00C4652F">
        <w:rPr>
          <w:bCs/>
          <w:i/>
          <w:color w:val="auto"/>
          <w:lang w:val="es-ES_tradnl"/>
        </w:rPr>
        <w:t>Guatemala</w:t>
      </w:r>
      <w:r w:rsidRPr="004863F4">
        <w:rPr>
          <w:bCs/>
          <w:color w:val="auto"/>
          <w:lang w:val="es-ES_tradnl"/>
        </w:rPr>
        <w:t>. Excepción Preliminar, Fondo, Reparaciones y Costas. Sentencia de 4 de septiembre de 2012. Serie C No. 250, párr. 183.</w:t>
      </w:r>
    </w:p>
  </w:footnote>
  <w:footnote w:id="143">
    <w:p w14:paraId="64C75FFE" w14:textId="66463885"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w:t>
      </w:r>
      <w:r w:rsidRPr="004863F4">
        <w:rPr>
          <w:bCs/>
          <w:color w:val="auto"/>
          <w:lang w:val="es-ES_tradnl"/>
        </w:rPr>
        <w:t xml:space="preserve">Corte IDH. </w:t>
      </w:r>
      <w:r w:rsidRPr="00C4652F">
        <w:rPr>
          <w:bCs/>
          <w:i/>
          <w:color w:val="auto"/>
          <w:lang w:val="es-ES_tradnl"/>
        </w:rPr>
        <w:t>Caso de la Comunidad Moiwana Vs. Surinam</w:t>
      </w:r>
      <w:r w:rsidRPr="004863F4">
        <w:rPr>
          <w:bCs/>
          <w:color w:val="auto"/>
          <w:lang w:val="es-ES_tradnl"/>
        </w:rPr>
        <w:t>. Excepciones Preliminares, Fondo, Reparaciones y Costas. Sentencia de 15 de</w:t>
      </w:r>
      <w:r>
        <w:rPr>
          <w:bCs/>
          <w:color w:val="auto"/>
          <w:lang w:val="es-ES_tradnl"/>
        </w:rPr>
        <w:t xml:space="preserve"> junio de 2005. Serie C No. 124, p</w:t>
      </w:r>
      <w:r w:rsidRPr="004863F4">
        <w:rPr>
          <w:bCs/>
          <w:color w:val="auto"/>
          <w:lang w:val="es-ES_tradnl"/>
        </w:rPr>
        <w:t xml:space="preserve">árrs. 120 y 121; </w:t>
      </w:r>
      <w:r>
        <w:rPr>
          <w:bCs/>
          <w:color w:val="auto"/>
          <w:lang w:val="es-ES_tradnl"/>
        </w:rPr>
        <w:t>y</w:t>
      </w:r>
      <w:r w:rsidRPr="004863F4">
        <w:rPr>
          <w:bCs/>
          <w:color w:val="auto"/>
          <w:lang w:val="es-ES_tradnl"/>
        </w:rPr>
        <w:t xml:space="preserve"> </w:t>
      </w:r>
      <w:r w:rsidRPr="00C4652F">
        <w:rPr>
          <w:bCs/>
          <w:i/>
          <w:color w:val="auto"/>
          <w:lang w:val="es-ES_tradnl"/>
        </w:rPr>
        <w:t>Caso Familia Barrios Vs. Venezuela</w:t>
      </w:r>
      <w:r w:rsidRPr="004863F4">
        <w:rPr>
          <w:bCs/>
          <w:color w:val="auto"/>
          <w:lang w:val="es-ES_tradnl"/>
        </w:rPr>
        <w:t>. Fondo, Reparaciones y Costas. Sentencia de 24 de noviembre de 2011. Serie C No. 237, párr. 165.</w:t>
      </w:r>
      <w:r w:rsidRPr="004863F4">
        <w:rPr>
          <w:b/>
          <w:bCs/>
          <w:color w:val="auto"/>
          <w:lang w:val="es-ES_tradnl"/>
        </w:rPr>
        <w:t xml:space="preserve"> </w:t>
      </w:r>
    </w:p>
  </w:footnote>
  <w:footnote w:id="144">
    <w:p w14:paraId="3FB08F6C" w14:textId="77777777"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Corte IDH. </w:t>
      </w:r>
      <w:r w:rsidRPr="004863F4">
        <w:rPr>
          <w:i/>
          <w:color w:val="auto"/>
          <w:lang w:val="es-ES"/>
        </w:rPr>
        <w:t>Caso Yarce y otras Vs. Colombia</w:t>
      </w:r>
      <w:r w:rsidRPr="004863F4">
        <w:rPr>
          <w:color w:val="auto"/>
          <w:lang w:val="es-ES"/>
        </w:rPr>
        <w:t>. Excepción Preliminar, Fondo, Reparaciones y Costas. Sentencia de 22 de noviembre de 2016. Serie C No. 325, párr. 271.</w:t>
      </w:r>
    </w:p>
  </w:footnote>
  <w:footnote w:id="145">
    <w:p w14:paraId="737AEAE9" w14:textId="7F11FFF4"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CIDH. Informe No. 88/10. Caso 12.661. Fondo. Néstor José y Luis Uzcátegui y otros. Venezuela. 22 de octubre de 2010, párr. 288.</w:t>
      </w:r>
    </w:p>
  </w:footnote>
  <w:footnote w:id="146">
    <w:p w14:paraId="4D92F430" w14:textId="7BAD906C"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CIDH. Segundo Informe sobre la situación de las defensoras y los defensores de derechos humanos en las Américas. 31 de diciembre de 2011, párr. 98.</w:t>
      </w:r>
    </w:p>
  </w:footnote>
  <w:footnote w:id="147">
    <w:p w14:paraId="19AEC5E8" w14:textId="77777777" w:rsidR="00475A99" w:rsidRPr="004863F4" w:rsidRDefault="00475A99" w:rsidP="004863F4">
      <w:pPr>
        <w:pStyle w:val="FootnoteText"/>
        <w:rPr>
          <w:color w:val="auto"/>
          <w:lang w:val="es-US"/>
        </w:rPr>
      </w:pPr>
      <w:r w:rsidRPr="004863F4">
        <w:rPr>
          <w:rStyle w:val="FootnoteReference"/>
          <w:color w:val="auto"/>
        </w:rPr>
        <w:footnoteRef/>
      </w:r>
      <w:r w:rsidRPr="004863F4">
        <w:rPr>
          <w:color w:val="auto"/>
          <w:lang w:val="es-US"/>
        </w:rPr>
        <w:t xml:space="preserve"> Artículo 8.1: </w:t>
      </w:r>
      <w:r w:rsidRPr="004863F4">
        <w:rPr>
          <w:color w:val="auto"/>
          <w:lang w:val="es-US" w:bidi="en-US"/>
        </w:rPr>
        <w:t>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r w:rsidRPr="004863F4">
        <w:rPr>
          <w:color w:val="auto"/>
          <w:lang w:val="es-US"/>
        </w:rPr>
        <w:t xml:space="preserve"> </w:t>
      </w:r>
    </w:p>
  </w:footnote>
  <w:footnote w:id="148">
    <w:p w14:paraId="60EB2168" w14:textId="77777777"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Artículo 25.1: Toda persona tiene derecho a un recurso sencillo y rápido o a cualquier otro recurso efectivo ante los jueces o tribunales competentes, que la ampare contra actos que violen sus derechos fundamentales reconocidos por la Constitución, la ley o la presente Convención, aun cuando tal violación sea cometida por personas que actúen en ejercicio de sus funciones oficiales.</w:t>
      </w:r>
    </w:p>
  </w:footnote>
  <w:footnote w:id="149">
    <w:p w14:paraId="376D819A" w14:textId="758F8C26"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CIDH. Directrices básicas para la investigación de violaciones a los derechos de las personas defensoras de derechos humanos en las Américas. 31 diciembre 2017, párr. 27; Segundo Informe sobre la situación de las defensoras y los defensores de derechos humanos en las Américas. 31 de diciembre de 2011, párr. 233. </w:t>
      </w:r>
      <w:r w:rsidRPr="004863F4">
        <w:rPr>
          <w:bCs/>
          <w:color w:val="auto"/>
          <w:lang w:val="es-ES"/>
        </w:rPr>
        <w:t xml:space="preserve">Corte IDH. </w:t>
      </w:r>
      <w:r w:rsidRPr="004863F4">
        <w:rPr>
          <w:bCs/>
          <w:i/>
          <w:color w:val="auto"/>
          <w:lang w:val="es-ES"/>
        </w:rPr>
        <w:t>Caso Luna López Vs. Honduras</w:t>
      </w:r>
      <w:r w:rsidRPr="004863F4">
        <w:rPr>
          <w:bCs/>
          <w:color w:val="auto"/>
          <w:lang w:val="es-ES"/>
        </w:rPr>
        <w:t>. Fondo, Reparaciones y Costas. Sentencia de 10 de octubre de 2013. Serie C No. 269., párr. 153 y ss.</w:t>
      </w:r>
    </w:p>
  </w:footnote>
  <w:footnote w:id="150">
    <w:p w14:paraId="7F11BD38" w14:textId="58D89BF4"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vertAlign w:val="superscript"/>
          <w:lang w:val="es-ES"/>
        </w:rPr>
        <w:t xml:space="preserve"> </w:t>
      </w:r>
      <w:r w:rsidRPr="004863F4">
        <w:rPr>
          <w:color w:val="auto"/>
          <w:lang w:val="es-ES"/>
        </w:rPr>
        <w:t xml:space="preserve">Corte IDH. </w:t>
      </w:r>
      <w:r w:rsidRPr="004863F4">
        <w:rPr>
          <w:i/>
          <w:color w:val="auto"/>
          <w:lang w:val="es-ES"/>
        </w:rPr>
        <w:t>Caso Mendoza y otros Vs. Argentina</w:t>
      </w:r>
      <w:r w:rsidRPr="004863F4">
        <w:rPr>
          <w:color w:val="auto"/>
          <w:lang w:val="es-ES"/>
        </w:rPr>
        <w:t xml:space="preserve">. Excepciones Preliminares, Fondo y Reparaciones. Sentencia de 14 de mayo de 2013. Serie C No. 260, párr. 218. </w:t>
      </w:r>
    </w:p>
  </w:footnote>
  <w:footnote w:id="151">
    <w:p w14:paraId="66950A19" w14:textId="77777777"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Corte IDH. </w:t>
      </w:r>
      <w:r w:rsidRPr="004863F4">
        <w:rPr>
          <w:i/>
          <w:color w:val="auto"/>
          <w:lang w:val="es-ES"/>
        </w:rPr>
        <w:t>Velásquez Rodríguez Vs. Honduras</w:t>
      </w:r>
      <w:r w:rsidRPr="004863F4">
        <w:rPr>
          <w:color w:val="auto"/>
          <w:lang w:val="es-ES"/>
        </w:rPr>
        <w:t>. Fondo. Sentencia del 29 de julio de 1988. Serie C, No. 6, párr. 177.</w:t>
      </w:r>
    </w:p>
  </w:footnote>
  <w:footnote w:id="152">
    <w:p w14:paraId="7EB14B8D" w14:textId="2C56AF4C"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ONU. Protocolo de Minnesota sobre la Investigación de Muertes Potencialmente Ilícitas (2016).</w:t>
      </w:r>
    </w:p>
  </w:footnote>
  <w:footnote w:id="153">
    <w:p w14:paraId="72AC64B1" w14:textId="532B8856"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w:t>
      </w:r>
      <w:r w:rsidRPr="004863F4">
        <w:rPr>
          <w:bCs/>
          <w:color w:val="auto"/>
          <w:lang w:val="es-ES"/>
        </w:rPr>
        <w:t xml:space="preserve">Corte IDH. </w:t>
      </w:r>
      <w:r w:rsidRPr="004863F4">
        <w:rPr>
          <w:bCs/>
          <w:i/>
          <w:color w:val="auto"/>
          <w:lang w:val="es-ES"/>
        </w:rPr>
        <w:t>Caso Acosta y otros Vs. Nicaragua</w:t>
      </w:r>
      <w:r w:rsidRPr="004863F4">
        <w:rPr>
          <w:bCs/>
          <w:color w:val="auto"/>
          <w:lang w:val="es-ES"/>
        </w:rPr>
        <w:t xml:space="preserve">. Excepciones Preliminares, Fondo, Reparaciones y Costas. Sentencia de 25 de marzo de 2017. Serie C No. 334, párr. 135; y </w:t>
      </w:r>
      <w:r w:rsidRPr="004863F4">
        <w:rPr>
          <w:bCs/>
          <w:i/>
          <w:color w:val="auto"/>
          <w:lang w:val="es-ES"/>
        </w:rPr>
        <w:t>Caso Luna López Vs. Honduras</w:t>
      </w:r>
      <w:r w:rsidRPr="004863F4">
        <w:rPr>
          <w:bCs/>
          <w:color w:val="auto"/>
          <w:lang w:val="es-ES"/>
        </w:rPr>
        <w:t>. Fondo, Reparaciones y Costas. Sentencia de 10 de octubre de 2013. Serie C No. 269, párr. 164</w:t>
      </w:r>
    </w:p>
  </w:footnote>
  <w:footnote w:id="154">
    <w:p w14:paraId="5A9FDFE6" w14:textId="1B9C9114" w:rsidR="00475A99" w:rsidRPr="004863F4" w:rsidRDefault="00475A99" w:rsidP="004863F4">
      <w:pPr>
        <w:pStyle w:val="FootnoteText"/>
        <w:rPr>
          <w:color w:val="auto"/>
          <w:lang w:val="es-ES"/>
        </w:rPr>
      </w:pPr>
      <w:r w:rsidRPr="004863F4">
        <w:rPr>
          <w:rStyle w:val="FootnoteReference"/>
          <w:color w:val="auto"/>
        </w:rPr>
        <w:footnoteRef/>
      </w:r>
      <w:r w:rsidRPr="009513F8">
        <w:rPr>
          <w:rStyle w:val="FootnoteReference"/>
          <w:color w:val="auto"/>
          <w:lang w:val="es-US"/>
        </w:rPr>
        <w:t xml:space="preserve"> </w:t>
      </w:r>
      <w:r w:rsidRPr="004863F4">
        <w:rPr>
          <w:color w:val="auto"/>
          <w:lang w:val="es-ES"/>
        </w:rPr>
        <w:t xml:space="preserve">Corte IDH. </w:t>
      </w:r>
      <w:r w:rsidRPr="004863F4">
        <w:rPr>
          <w:i/>
          <w:color w:val="auto"/>
          <w:lang w:val="es-ES"/>
        </w:rPr>
        <w:t>Caso Ortiz Hernández y otros Vs. Venezuela</w:t>
      </w:r>
      <w:r w:rsidRPr="004863F4">
        <w:rPr>
          <w:color w:val="auto"/>
          <w:lang w:val="es-ES"/>
        </w:rPr>
        <w:t xml:space="preserve">. Fondo, Reparaciones y Costas. Sentencia de 22 de agosto de 2017. Serie C No. 338, párr. 161. </w:t>
      </w:r>
    </w:p>
  </w:footnote>
  <w:footnote w:id="155">
    <w:p w14:paraId="425D4F4C" w14:textId="63D345B8"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w:t>
      </w:r>
      <w:r w:rsidRPr="004863F4">
        <w:rPr>
          <w:bCs/>
          <w:color w:val="auto"/>
          <w:lang w:val="es-ES"/>
        </w:rPr>
        <w:t xml:space="preserve">Corte IDH. </w:t>
      </w:r>
      <w:r w:rsidRPr="004863F4">
        <w:rPr>
          <w:bCs/>
          <w:i/>
          <w:color w:val="auto"/>
          <w:lang w:val="es-ES"/>
        </w:rPr>
        <w:t>Caso Véliz Franco y otros Vs. Guatemala</w:t>
      </w:r>
      <w:r w:rsidRPr="004863F4">
        <w:rPr>
          <w:bCs/>
          <w:color w:val="auto"/>
          <w:lang w:val="es-ES"/>
        </w:rPr>
        <w:t>. Excepciones Preliminares, Fondo, Reparaciones y Costas. Sentencia de 19 de mayo de 2014. Serie C No. 277</w:t>
      </w:r>
      <w:r w:rsidRPr="004863F4">
        <w:rPr>
          <w:b/>
          <w:bCs/>
          <w:color w:val="auto"/>
          <w:lang w:val="es-ES"/>
        </w:rPr>
        <w:t xml:space="preserve">, </w:t>
      </w:r>
      <w:r w:rsidRPr="004863F4">
        <w:rPr>
          <w:bCs/>
          <w:color w:val="auto"/>
          <w:lang w:val="es-ES"/>
        </w:rPr>
        <w:t xml:space="preserve">párr. 191. </w:t>
      </w:r>
    </w:p>
  </w:footnote>
  <w:footnote w:id="156">
    <w:p w14:paraId="10B80129" w14:textId="12C9D3E9"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ONU. Protocolo de Minnesota sobre la Investigación de Muertes Potencialmente Ilícitas (2016), párr. 86.</w:t>
      </w:r>
    </w:p>
  </w:footnote>
  <w:footnote w:id="157">
    <w:p w14:paraId="7E11409B" w14:textId="3DCADCA5"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CIDH. Informe No. 22/15. Caso 12.792. Fondo. María Luisa Acosta y otros. Nicaragua. 26 de marzo de 2015, párr. 84; e Informe No. 56/12 Fondo (Florentín Gudiel Ramos, Makrina Gudiel Álvarez y otros) Guatemala. 21 de marzo de 2012, párr. 126. </w:t>
      </w:r>
      <w:r w:rsidRPr="004863F4">
        <w:rPr>
          <w:bCs/>
          <w:color w:val="auto"/>
          <w:lang w:val="es-ES"/>
        </w:rPr>
        <w:t xml:space="preserve">Corte IDH. </w:t>
      </w:r>
      <w:r w:rsidRPr="004863F4">
        <w:rPr>
          <w:bCs/>
          <w:i/>
          <w:color w:val="auto"/>
          <w:lang w:val="es-ES"/>
        </w:rPr>
        <w:t>Caso Escaleras Mejía y otros Vs. Honduras</w:t>
      </w:r>
      <w:r w:rsidRPr="004863F4">
        <w:rPr>
          <w:bCs/>
          <w:color w:val="auto"/>
          <w:lang w:val="es-ES"/>
        </w:rPr>
        <w:t>. Sentencia de 26 de septiembre de 2018. Serie C No. 361, párr. 47.</w:t>
      </w:r>
    </w:p>
  </w:footnote>
  <w:footnote w:id="158">
    <w:p w14:paraId="76E87BC8" w14:textId="73E0A9AA"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CIDH. Directrices básicas para la investigación de violaciones a los derechos de las personas defensoras de derechos humanos en las Américas. 31 de diciembre de 2017, párr. 49. </w:t>
      </w:r>
    </w:p>
  </w:footnote>
  <w:footnote w:id="159">
    <w:p w14:paraId="4FE1A310" w14:textId="4DF50CA8" w:rsidR="00475A99" w:rsidRPr="004863F4" w:rsidRDefault="00475A99" w:rsidP="004863F4">
      <w:pPr>
        <w:pStyle w:val="FootnoteText"/>
        <w:rPr>
          <w:color w:val="auto"/>
          <w:lang w:val="es-ES"/>
        </w:rPr>
      </w:pPr>
      <w:r w:rsidRPr="004863F4">
        <w:rPr>
          <w:rStyle w:val="FootnoteReference"/>
          <w:color w:val="auto"/>
        </w:rPr>
        <w:footnoteRef/>
      </w:r>
      <w:r w:rsidRPr="009513F8">
        <w:rPr>
          <w:b/>
          <w:bCs/>
          <w:color w:val="auto"/>
          <w:lang w:val="es-ES"/>
        </w:rPr>
        <w:t xml:space="preserve"> </w:t>
      </w:r>
      <w:r w:rsidRPr="009513F8">
        <w:rPr>
          <w:bCs/>
          <w:color w:val="auto"/>
          <w:lang w:val="es-ES"/>
        </w:rPr>
        <w:t xml:space="preserve">Corte IDH. </w:t>
      </w:r>
      <w:r w:rsidRPr="009513F8">
        <w:rPr>
          <w:bCs/>
          <w:i/>
          <w:color w:val="auto"/>
          <w:lang w:val="es-ES"/>
        </w:rPr>
        <w:t xml:space="preserve">Caso Vargas Areco Vs. </w:t>
      </w:r>
      <w:r w:rsidRPr="004863F4">
        <w:rPr>
          <w:bCs/>
          <w:i/>
          <w:color w:val="auto"/>
          <w:lang w:val="es-ES"/>
        </w:rPr>
        <w:t>Paraguay</w:t>
      </w:r>
      <w:r w:rsidRPr="004863F4">
        <w:rPr>
          <w:bCs/>
          <w:color w:val="auto"/>
          <w:lang w:val="es-ES"/>
        </w:rPr>
        <w:t xml:space="preserve">. Sentencia de 26 de septiembre de 2006. </w:t>
      </w:r>
      <w:r w:rsidRPr="004863F4">
        <w:rPr>
          <w:bCs/>
          <w:color w:val="auto"/>
          <w:lang w:val="es-US"/>
        </w:rPr>
        <w:t>Serie C No. 155</w:t>
      </w:r>
      <w:r w:rsidRPr="004863F4">
        <w:rPr>
          <w:rStyle w:val="FootnoteTextChar"/>
          <w:color w:val="auto"/>
          <w:lang w:val="es-ES"/>
        </w:rPr>
        <w:t xml:space="preserve">, párr. 196; </w:t>
      </w:r>
      <w:hyperlink r:id="rId22" w:history="1">
        <w:r w:rsidRPr="004863F4">
          <w:rPr>
            <w:rStyle w:val="FootnoteTextChar"/>
            <w:color w:val="auto"/>
            <w:lang w:val="es-ES"/>
          </w:rPr>
          <w:t>Caso de las Masacres de Ituango Vs. Colombia. Sentencia de 1 de julio de 2006 Serie C No. 148</w:t>
        </w:r>
      </w:hyperlink>
      <w:r w:rsidRPr="004863F4">
        <w:rPr>
          <w:rStyle w:val="FootnoteTextChar"/>
          <w:color w:val="auto"/>
          <w:lang w:val="es-ES"/>
        </w:rPr>
        <w:t>, párr. 289.</w:t>
      </w:r>
    </w:p>
  </w:footnote>
  <w:footnote w:id="160">
    <w:p w14:paraId="1E397CF3" w14:textId="77777777" w:rsidR="00475A99" w:rsidRPr="004863F4" w:rsidRDefault="00475A99" w:rsidP="004863F4">
      <w:pPr>
        <w:pStyle w:val="FootnoteText"/>
        <w:rPr>
          <w:color w:val="auto"/>
          <w:lang w:val="es-ES"/>
        </w:rPr>
      </w:pPr>
      <w:r w:rsidRPr="004863F4">
        <w:rPr>
          <w:rStyle w:val="FootnoteReference"/>
          <w:color w:val="auto"/>
        </w:rPr>
        <w:footnoteRef/>
      </w:r>
      <w:r w:rsidRPr="004863F4">
        <w:rPr>
          <w:color w:val="auto"/>
          <w:lang w:val="es-ES"/>
        </w:rPr>
        <w:t xml:space="preserve"> </w:t>
      </w:r>
      <w:r w:rsidRPr="004863F4">
        <w:rPr>
          <w:noProof/>
          <w:color w:val="auto"/>
          <w:lang w:val="es-ES"/>
        </w:rPr>
        <w:t xml:space="preserve">Corte IDH. </w:t>
      </w:r>
      <w:r w:rsidRPr="004863F4">
        <w:rPr>
          <w:i/>
          <w:noProof/>
          <w:color w:val="auto"/>
          <w:lang w:val="es-ES"/>
        </w:rPr>
        <w:t>Caso Valle Jaramillo y otros Vs. Colombia</w:t>
      </w:r>
      <w:r w:rsidRPr="004863F4">
        <w:rPr>
          <w:noProof/>
          <w:color w:val="auto"/>
          <w:lang w:val="es-ES"/>
        </w:rPr>
        <w:t>. Fondo, Reparaciones y Costas. Sentencia de 27 de noviembre de 2008. Serie C No. 192, párr. 155.</w:t>
      </w:r>
    </w:p>
  </w:footnote>
  <w:footnote w:id="161">
    <w:p w14:paraId="1E7B2B7B" w14:textId="488E2561" w:rsidR="00475A99" w:rsidRPr="004863F4" w:rsidRDefault="00475A99" w:rsidP="004863F4">
      <w:pPr>
        <w:tabs>
          <w:tab w:val="left" w:pos="720"/>
          <w:tab w:val="left" w:pos="900"/>
          <w:tab w:val="left" w:pos="1080"/>
        </w:tabs>
        <w:jc w:val="both"/>
        <w:rPr>
          <w:rFonts w:asciiTheme="majorHAnsi" w:hAnsiTheme="majorHAnsi"/>
          <w:sz w:val="16"/>
          <w:szCs w:val="16"/>
        </w:rPr>
      </w:pPr>
      <w:r w:rsidRPr="004863F4">
        <w:rPr>
          <w:rStyle w:val="FootnoteReference"/>
          <w:rFonts w:asciiTheme="majorHAnsi" w:hAnsiTheme="majorHAnsi" w:cs="Arial"/>
          <w:sz w:val="16"/>
          <w:szCs w:val="16"/>
          <w:lang w:val="es-SV"/>
        </w:rPr>
        <w:footnoteRef/>
      </w:r>
      <w:r w:rsidRPr="004863F4">
        <w:rPr>
          <w:rFonts w:asciiTheme="majorHAnsi" w:hAnsiTheme="majorHAnsi" w:cs="Arial"/>
          <w:sz w:val="16"/>
          <w:szCs w:val="16"/>
          <w:lang w:val="es-CL"/>
        </w:rPr>
        <w:t xml:space="preserve"> </w:t>
      </w:r>
      <w:r w:rsidRPr="004863F4">
        <w:rPr>
          <w:rFonts w:asciiTheme="majorHAnsi" w:hAnsiTheme="majorHAnsi"/>
          <w:sz w:val="16"/>
          <w:szCs w:val="16"/>
          <w:lang w:val="es-CO"/>
        </w:rPr>
        <w:t>CIDH. Informe No. 11/10. Caso 12.488. Fondo. Miembros de la Familia Barrios. Venezuela. 16 de marzo de 2010. 91</w:t>
      </w:r>
      <w:r>
        <w:rPr>
          <w:rFonts w:asciiTheme="majorHAnsi" w:hAnsiTheme="majorHAnsi"/>
          <w:sz w:val="16"/>
          <w:szCs w:val="16"/>
          <w:lang w:val="es-CO"/>
        </w:rPr>
        <w:t xml:space="preserve">; y </w:t>
      </w:r>
      <w:r w:rsidRPr="004863F4">
        <w:rPr>
          <w:rFonts w:asciiTheme="majorHAnsi" w:hAnsiTheme="majorHAnsi" w:cs="Arial"/>
          <w:i/>
          <w:sz w:val="16"/>
          <w:szCs w:val="16"/>
        </w:rPr>
        <w:t>Caso Bueno Alves Vs. Argentina</w:t>
      </w:r>
      <w:r w:rsidRPr="004863F4">
        <w:rPr>
          <w:rFonts w:asciiTheme="majorHAnsi" w:hAnsiTheme="majorHAnsi" w:cs="Arial"/>
          <w:sz w:val="16"/>
          <w:szCs w:val="16"/>
        </w:rPr>
        <w:t xml:space="preserve">. Fondo, Reparaciones y Costas. </w:t>
      </w:r>
      <w:r w:rsidRPr="004863F4">
        <w:rPr>
          <w:rFonts w:asciiTheme="majorHAnsi" w:hAnsiTheme="majorHAnsi" w:cs="Arial"/>
          <w:sz w:val="16"/>
          <w:szCs w:val="16"/>
          <w:lang w:val="es-ES"/>
        </w:rPr>
        <w:t xml:space="preserve">Sentencia de 11 de mayo de 2007. Serie C. No. 164. </w:t>
      </w:r>
      <w:r w:rsidRPr="004863F4">
        <w:rPr>
          <w:rFonts w:asciiTheme="majorHAnsi" w:hAnsiTheme="majorHAnsi" w:cs="Arial"/>
          <w:sz w:val="16"/>
          <w:szCs w:val="16"/>
        </w:rPr>
        <w:t>párr. 102.</w:t>
      </w:r>
      <w:r w:rsidRPr="004863F4">
        <w:rPr>
          <w:rFonts w:asciiTheme="majorHAnsi" w:hAnsiTheme="majorHAnsi" w:cs="Arial"/>
          <w:sz w:val="16"/>
          <w:szCs w:val="16"/>
          <w:lang w:val="es-CL"/>
        </w:rPr>
        <w:t xml:space="preserve"> </w:t>
      </w:r>
    </w:p>
  </w:footnote>
  <w:footnote w:id="162">
    <w:p w14:paraId="763FBFCF" w14:textId="77777777" w:rsidR="00475A99" w:rsidRPr="004863F4" w:rsidRDefault="00475A99" w:rsidP="004863F4">
      <w:pPr>
        <w:tabs>
          <w:tab w:val="left" w:pos="720"/>
          <w:tab w:val="left" w:pos="900"/>
          <w:tab w:val="left" w:pos="1080"/>
        </w:tabs>
        <w:jc w:val="both"/>
        <w:rPr>
          <w:rFonts w:asciiTheme="majorHAnsi" w:hAnsiTheme="majorHAnsi"/>
          <w:sz w:val="16"/>
          <w:szCs w:val="16"/>
        </w:rPr>
      </w:pPr>
      <w:r w:rsidRPr="004863F4">
        <w:rPr>
          <w:rStyle w:val="FootnoteReference"/>
          <w:rFonts w:asciiTheme="majorHAnsi" w:hAnsiTheme="majorHAnsi" w:cs="Arial"/>
          <w:sz w:val="16"/>
          <w:szCs w:val="16"/>
          <w:lang w:val="es-SV"/>
        </w:rPr>
        <w:footnoteRef/>
      </w:r>
      <w:r w:rsidRPr="004863F4">
        <w:rPr>
          <w:rFonts w:asciiTheme="majorHAnsi" w:hAnsiTheme="majorHAnsi" w:cs="Arial"/>
          <w:sz w:val="16"/>
          <w:szCs w:val="16"/>
          <w:lang w:val="es-ES"/>
        </w:rPr>
        <w:t xml:space="preserve"> </w:t>
      </w:r>
      <w:r w:rsidRPr="004863F4">
        <w:rPr>
          <w:rFonts w:asciiTheme="majorHAnsi" w:hAnsiTheme="majorHAnsi" w:cs="Arial"/>
          <w:sz w:val="16"/>
          <w:szCs w:val="16"/>
        </w:rPr>
        <w:t xml:space="preserve">Corte IDH. </w:t>
      </w:r>
      <w:r w:rsidRPr="004863F4">
        <w:rPr>
          <w:rFonts w:asciiTheme="majorHAnsi" w:hAnsiTheme="majorHAnsi" w:cs="Arial"/>
          <w:bCs/>
          <w:i/>
          <w:sz w:val="16"/>
          <w:szCs w:val="16"/>
        </w:rPr>
        <w:t>Caso Cantoral Huamaní y García Santa Cruz Vs. Perú</w:t>
      </w:r>
      <w:r w:rsidRPr="004863F4">
        <w:rPr>
          <w:rFonts w:asciiTheme="majorHAnsi" w:hAnsiTheme="majorHAnsi" w:cs="Arial"/>
          <w:bCs/>
          <w:sz w:val="16"/>
          <w:szCs w:val="16"/>
        </w:rPr>
        <w:t xml:space="preserve">. </w:t>
      </w:r>
      <w:r w:rsidRPr="004863F4">
        <w:rPr>
          <w:rFonts w:asciiTheme="majorHAnsi" w:hAnsiTheme="majorHAnsi" w:cs="Arial"/>
          <w:sz w:val="16"/>
          <w:szCs w:val="16"/>
        </w:rPr>
        <w:t xml:space="preserve">Excepción Preliminar, Fondo, Reparaciones y Costas. Sentencia de 10 de julio de 2007. Serie C No. 167. </w:t>
      </w:r>
      <w:r w:rsidRPr="004863F4">
        <w:rPr>
          <w:rFonts w:asciiTheme="majorHAnsi" w:hAnsiTheme="majorHAnsi" w:cs="Arial"/>
          <w:sz w:val="16"/>
          <w:szCs w:val="16"/>
          <w:lang w:val="es-CL"/>
        </w:rPr>
        <w:t>párr.</w:t>
      </w:r>
      <w:r w:rsidRPr="004863F4">
        <w:rPr>
          <w:rFonts w:asciiTheme="majorHAnsi" w:hAnsiTheme="majorHAnsi" w:cs="Arial"/>
          <w:sz w:val="16"/>
          <w:szCs w:val="16"/>
          <w:lang w:val="es-ES"/>
        </w:rPr>
        <w:t xml:space="preserve"> 112; </w:t>
      </w:r>
      <w:r w:rsidRPr="004863F4">
        <w:rPr>
          <w:rFonts w:asciiTheme="majorHAnsi" w:hAnsiTheme="majorHAnsi" w:cs="Arial"/>
          <w:sz w:val="16"/>
          <w:szCs w:val="16"/>
        </w:rPr>
        <w:t xml:space="preserve">y </w:t>
      </w:r>
      <w:r w:rsidRPr="004863F4">
        <w:rPr>
          <w:rFonts w:asciiTheme="majorHAnsi" w:hAnsiTheme="majorHAnsi" w:cs="Arial"/>
          <w:i/>
          <w:sz w:val="16"/>
          <w:szCs w:val="16"/>
        </w:rPr>
        <w:t>Caso Vargas Areco Vs. Paraguay</w:t>
      </w:r>
      <w:r w:rsidRPr="004863F4">
        <w:rPr>
          <w:rFonts w:asciiTheme="majorHAnsi" w:hAnsiTheme="majorHAnsi" w:cs="Arial"/>
          <w:sz w:val="16"/>
          <w:szCs w:val="16"/>
        </w:rPr>
        <w:t xml:space="preserve">. Sentencia de 26 de septiembre de 2006. Serie C No. 155. párr. </w:t>
      </w:r>
      <w:r w:rsidRPr="004863F4">
        <w:rPr>
          <w:rFonts w:asciiTheme="majorHAnsi" w:hAnsiTheme="majorHAnsi" w:cs="Arial"/>
          <w:sz w:val="16"/>
          <w:szCs w:val="16"/>
          <w:lang w:val="es-ES"/>
        </w:rPr>
        <w:t>96.</w:t>
      </w:r>
    </w:p>
  </w:footnote>
  <w:footnote w:id="163">
    <w:p w14:paraId="06AE55E6" w14:textId="6E1CE243" w:rsidR="00475A99" w:rsidRPr="004863F4" w:rsidRDefault="00475A99" w:rsidP="004863F4">
      <w:pPr>
        <w:pStyle w:val="FootnoteText"/>
        <w:tabs>
          <w:tab w:val="left" w:pos="720"/>
          <w:tab w:val="left" w:pos="900"/>
          <w:tab w:val="left" w:pos="1080"/>
        </w:tabs>
        <w:rPr>
          <w:color w:val="auto"/>
          <w:lang w:val="es-CO"/>
        </w:rPr>
      </w:pPr>
      <w:r w:rsidRPr="004863F4">
        <w:rPr>
          <w:rStyle w:val="FootnoteReference"/>
          <w:color w:val="auto"/>
        </w:rPr>
        <w:footnoteRef/>
      </w:r>
      <w:r w:rsidRPr="004863F4">
        <w:rPr>
          <w:color w:val="auto"/>
          <w:lang w:val="es-ES_tradnl"/>
        </w:rPr>
        <w:t xml:space="preserve"> </w:t>
      </w:r>
      <w:r w:rsidRPr="004863F4">
        <w:rPr>
          <w:noProof/>
          <w:color w:val="auto"/>
          <w:lang w:val="es-ES"/>
        </w:rPr>
        <w:t xml:space="preserve">Corte IDH. </w:t>
      </w:r>
      <w:r w:rsidRPr="004863F4">
        <w:rPr>
          <w:i/>
          <w:noProof/>
          <w:color w:val="auto"/>
          <w:lang w:val="es-ES"/>
        </w:rPr>
        <w:t>Caso Valle Jaramillo y otros Vs. Colombia</w:t>
      </w:r>
      <w:r w:rsidRPr="004863F4">
        <w:rPr>
          <w:noProof/>
          <w:color w:val="auto"/>
          <w:lang w:val="es-ES"/>
        </w:rPr>
        <w:t>. Fondo, Reparaciones y Costas. Sentencia de 27 de noviembre de 2008. Serie C No. 192</w:t>
      </w:r>
      <w:r w:rsidRPr="004863F4">
        <w:rPr>
          <w:color w:val="auto"/>
          <w:lang w:val="es-ES_tradnl"/>
        </w:rPr>
        <w:t xml:space="preserve">, párr. 102; y </w:t>
      </w:r>
      <w:r w:rsidRPr="004863F4">
        <w:rPr>
          <w:i/>
          <w:color w:val="auto"/>
          <w:lang w:val="es-ES_tradnl"/>
        </w:rPr>
        <w:t>Caso de la Masacre de la Rochela Vs. Colombia</w:t>
      </w:r>
      <w:r w:rsidRPr="004863F4">
        <w:rPr>
          <w:color w:val="auto"/>
          <w:lang w:val="es-ES_tradnl"/>
        </w:rPr>
        <w:t>. Fondo, Reparaciones y Costas. Sentencia de 11 de mayo de 2007, Serie C No. 163, párr. 195</w:t>
      </w:r>
      <w:r w:rsidRPr="004863F4">
        <w:rPr>
          <w:color w:val="auto"/>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51C6" w14:textId="77777777" w:rsidR="00475A99" w:rsidRDefault="00475A99" w:rsidP="001531A9">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491B0640" w14:textId="77777777" w:rsidR="00475A99" w:rsidRDefault="00475A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2620" w14:textId="77777777" w:rsidR="00475A99" w:rsidRDefault="00475A99" w:rsidP="00A50FCF">
    <w:pPr>
      <w:pStyle w:val="Header"/>
      <w:tabs>
        <w:tab w:val="clear" w:pos="4320"/>
        <w:tab w:val="clear" w:pos="8640"/>
      </w:tabs>
      <w:jc w:val="center"/>
      <w:rPr>
        <w:sz w:val="22"/>
        <w:szCs w:val="22"/>
      </w:rPr>
    </w:pPr>
    <w:r>
      <w:rPr>
        <w:noProof/>
        <w:sz w:val="22"/>
        <w:szCs w:val="22"/>
        <w:lang w:val="en-US"/>
      </w:rPr>
      <w:drawing>
        <wp:inline distT="0" distB="0" distL="0" distR="0" wp14:anchorId="78E2BCE4" wp14:editId="2D756FFD">
          <wp:extent cx="1972237" cy="104775"/>
          <wp:effectExtent l="0" t="0" r="9525" b="0"/>
          <wp:docPr id="13" name="Picture 13"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7F3E562A" w14:textId="77777777" w:rsidR="00475A99" w:rsidRPr="00EC7D62" w:rsidRDefault="0066762C" w:rsidP="00A50FCF">
    <w:pPr>
      <w:pStyle w:val="Header"/>
      <w:tabs>
        <w:tab w:val="clear" w:pos="4320"/>
        <w:tab w:val="clear" w:pos="8640"/>
      </w:tabs>
      <w:jc w:val="center"/>
      <w:rPr>
        <w:sz w:val="22"/>
        <w:szCs w:val="22"/>
      </w:rPr>
    </w:pPr>
    <w:r>
      <w:rPr>
        <w:sz w:val="22"/>
        <w:szCs w:val="22"/>
      </w:rPr>
      <w:pict w14:anchorId="0D560BD0">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960"/>
        </w:tabs>
        <w:ind w:left="96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990"/>
        </w:tabs>
        <w:ind w:left="99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290"/>
        </w:tabs>
        <w:ind w:left="129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290"/>
        </w:tabs>
        <w:ind w:left="129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620"/>
        </w:tabs>
        <w:ind w:left="162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620"/>
        </w:tabs>
        <w:ind w:left="162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950"/>
        </w:tabs>
        <w:ind w:left="195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950"/>
        </w:tabs>
        <w:ind w:left="195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280"/>
        </w:tabs>
        <w:ind w:left="228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3C81228"/>
    <w:multiLevelType w:val="hybridMultilevel"/>
    <w:tmpl w:val="93B89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23A22"/>
    <w:multiLevelType w:val="multilevel"/>
    <w:tmpl w:val="04E89A6C"/>
    <w:lvl w:ilvl="0">
      <w:start w:val="4"/>
      <w:numFmt w:val="decimal"/>
      <w:lvlText w:val="%1"/>
      <w:lvlJc w:val="left"/>
      <w:pPr>
        <w:ind w:left="360" w:hanging="360"/>
      </w:pPr>
      <w:rPr>
        <w:rFonts w:hint="default"/>
        <w:b w:val="0"/>
        <w:sz w:val="24"/>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360" w:hanging="36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720" w:hanging="720"/>
      </w:pPr>
      <w:rPr>
        <w:rFonts w:hint="default"/>
        <w:b w:val="0"/>
        <w:sz w:val="24"/>
      </w:rPr>
    </w:lvl>
    <w:lvl w:ilvl="5">
      <w:start w:val="1"/>
      <w:numFmt w:val="decimal"/>
      <w:lvlText w:val="%1.%2.%3.%4.%5.%6"/>
      <w:lvlJc w:val="left"/>
      <w:pPr>
        <w:ind w:left="720" w:hanging="720"/>
      </w:pPr>
      <w:rPr>
        <w:rFonts w:hint="default"/>
        <w:b w:val="0"/>
        <w:sz w:val="24"/>
      </w:rPr>
    </w:lvl>
    <w:lvl w:ilvl="6">
      <w:start w:val="1"/>
      <w:numFmt w:val="decimal"/>
      <w:lvlText w:val="%1.%2.%3.%4.%5.%6.%7"/>
      <w:lvlJc w:val="left"/>
      <w:pPr>
        <w:ind w:left="720" w:hanging="720"/>
      </w:pPr>
      <w:rPr>
        <w:rFonts w:hint="default"/>
        <w:b w:val="0"/>
        <w:sz w:val="24"/>
      </w:rPr>
    </w:lvl>
    <w:lvl w:ilvl="7">
      <w:start w:val="1"/>
      <w:numFmt w:val="decimal"/>
      <w:lvlText w:val="%1.%2.%3.%4.%5.%6.%7.%8"/>
      <w:lvlJc w:val="left"/>
      <w:pPr>
        <w:ind w:left="1080" w:hanging="1080"/>
      </w:pPr>
      <w:rPr>
        <w:rFonts w:hint="default"/>
        <w:b w:val="0"/>
        <w:sz w:val="24"/>
      </w:rPr>
    </w:lvl>
    <w:lvl w:ilvl="8">
      <w:start w:val="1"/>
      <w:numFmt w:val="decimal"/>
      <w:lvlText w:val="%1.%2.%3.%4.%5.%6.%7.%8.%9"/>
      <w:lvlJc w:val="left"/>
      <w:pPr>
        <w:ind w:left="1080" w:hanging="1080"/>
      </w:pPr>
      <w:rPr>
        <w:rFonts w:hint="default"/>
        <w:b w:val="0"/>
        <w:sz w:val="24"/>
      </w:r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7E81B7F"/>
    <w:multiLevelType w:val="hybridMultilevel"/>
    <w:tmpl w:val="D388B9A4"/>
    <w:lvl w:ilvl="0" w:tplc="9E0CAF0C">
      <w:start w:val="1"/>
      <w:numFmt w:val="decimal"/>
      <w:lvlText w:val="%1."/>
      <w:lvlJc w:val="left"/>
      <w:pPr>
        <w:ind w:left="540" w:hanging="360"/>
      </w:pPr>
      <w:rPr>
        <w:rFonts w:ascii="Cambria" w:hAnsi="Cambria"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EE66212"/>
    <w:multiLevelType w:val="hybridMultilevel"/>
    <w:tmpl w:val="3748522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45024A2"/>
    <w:multiLevelType w:val="hybridMultilevel"/>
    <w:tmpl w:val="1362D646"/>
    <w:lvl w:ilvl="0" w:tplc="D85007B8">
      <w:start w:val="28"/>
      <w:numFmt w:val="bullet"/>
      <w:lvlText w:val="-"/>
      <w:lvlJc w:val="left"/>
      <w:pPr>
        <w:ind w:left="720" w:hanging="360"/>
      </w:pPr>
      <w:rPr>
        <w:rFonts w:ascii="Cambria" w:eastAsia="Arial Unicode MS"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AC7760"/>
    <w:multiLevelType w:val="hybridMultilevel"/>
    <w:tmpl w:val="14A2D2FC"/>
    <w:lvl w:ilvl="0" w:tplc="B7D6FE70">
      <w:start w:val="1"/>
      <w:numFmt w:val="decimal"/>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2A0BA1"/>
    <w:multiLevelType w:val="hybridMultilevel"/>
    <w:tmpl w:val="E14A6004"/>
    <w:lvl w:ilvl="0" w:tplc="F9AAA438">
      <w:start w:val="1"/>
      <w:numFmt w:val="upperRoman"/>
      <w:pStyle w:val="Heading1"/>
      <w:lvlText w:val="%1."/>
      <w:lvlJc w:val="left"/>
      <w:pPr>
        <w:ind w:left="72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2"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3"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2DF19D7"/>
    <w:multiLevelType w:val="multilevel"/>
    <w:tmpl w:val="E7265BB0"/>
    <w:styleLink w:val="List51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8535BAF"/>
    <w:multiLevelType w:val="hybridMultilevel"/>
    <w:tmpl w:val="0862D120"/>
    <w:lvl w:ilvl="0" w:tplc="2B000E7C">
      <w:start w:val="26"/>
      <w:numFmt w:val="bullet"/>
      <w:lvlText w:val="-"/>
      <w:lvlJc w:val="left"/>
      <w:pPr>
        <w:ind w:left="720" w:hanging="360"/>
      </w:pPr>
      <w:rPr>
        <w:rFonts w:ascii="Cambria" w:eastAsia="Cambria"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92723E7"/>
    <w:multiLevelType w:val="multilevel"/>
    <w:tmpl w:val="0CF8CC36"/>
    <w:styleLink w:val="List21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5C3360A6"/>
    <w:multiLevelType w:val="multilevel"/>
    <w:tmpl w:val="5CC8BE02"/>
    <w:lvl w:ilvl="0">
      <w:start w:val="1"/>
      <w:numFmt w:val="decimal"/>
      <w:pStyle w:val="Heading3"/>
      <w:lvlText w:val="%1."/>
      <w:lvlJc w:val="left"/>
      <w:pPr>
        <w:ind w:left="360" w:hanging="360"/>
      </w:pPr>
      <w:rPr>
        <w:rFonts w:ascii="Cambria" w:hAnsi="Cambria" w:hint="default"/>
        <w:b/>
        <w:color w:val="auto"/>
        <w:sz w:val="20"/>
        <w:szCs w:val="20"/>
        <w:lang w:val="es-ES_tradnl"/>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5D7D4B9D"/>
    <w:multiLevelType w:val="hybridMultilevel"/>
    <w:tmpl w:val="86248E0C"/>
    <w:lvl w:ilvl="0" w:tplc="E4760606">
      <w:start w:val="1"/>
      <w:numFmt w:val="decimal"/>
      <w:lvlText w:val="%1."/>
      <w:lvlJc w:val="left"/>
      <w:pPr>
        <w:ind w:left="360" w:hanging="360"/>
      </w:pPr>
      <w:rPr>
        <w:rFonts w:ascii="Cambria" w:hAnsi="Cambria" w:hint="default"/>
        <w:b w:val="0"/>
        <w:color w:val="auto"/>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019715A"/>
    <w:multiLevelType w:val="hybridMultilevel"/>
    <w:tmpl w:val="9D30DE02"/>
    <w:lvl w:ilvl="0" w:tplc="B07AA4DE">
      <w:start w:val="1"/>
      <w:numFmt w:val="upperLetter"/>
      <w:pStyle w:val="Heading2"/>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2"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4"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5"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3A671A3"/>
    <w:multiLevelType w:val="hybridMultilevel"/>
    <w:tmpl w:val="1042FC20"/>
    <w:lvl w:ilvl="0" w:tplc="A3E07230">
      <w:start w:val="10"/>
      <w:numFmt w:val="bullet"/>
      <w:lvlText w:val="-"/>
      <w:lvlJc w:val="left"/>
      <w:pPr>
        <w:ind w:left="720" w:hanging="360"/>
      </w:pPr>
      <w:rPr>
        <w:rFonts w:ascii="Cambria" w:eastAsia="Cambria"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5A711E"/>
    <w:multiLevelType w:val="multilevel"/>
    <w:tmpl w:val="ED88159C"/>
    <w:styleLink w:val="List41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8C26FCF"/>
    <w:multiLevelType w:val="multilevel"/>
    <w:tmpl w:val="2FCAD168"/>
    <w:styleLink w:val="List31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0"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A91616D"/>
    <w:multiLevelType w:val="hybridMultilevel"/>
    <w:tmpl w:val="61C88F82"/>
    <w:lvl w:ilvl="0" w:tplc="E49498C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119905887">
    <w:abstractNumId w:val="3"/>
  </w:num>
  <w:num w:numId="2" w16cid:durableId="262734996">
    <w:abstractNumId w:val="4"/>
  </w:num>
  <w:num w:numId="3" w16cid:durableId="1008217266">
    <w:abstractNumId w:val="59"/>
  </w:num>
  <w:num w:numId="4" w16cid:durableId="408963203">
    <w:abstractNumId w:val="23"/>
  </w:num>
  <w:num w:numId="5" w16cid:durableId="88044531">
    <w:abstractNumId w:val="53"/>
  </w:num>
  <w:num w:numId="6" w16cid:durableId="173809097">
    <w:abstractNumId w:val="31"/>
  </w:num>
  <w:num w:numId="7" w16cid:durableId="1439908677">
    <w:abstractNumId w:val="7"/>
  </w:num>
  <w:num w:numId="8" w16cid:durableId="1700616807">
    <w:abstractNumId w:val="18"/>
  </w:num>
  <w:num w:numId="9" w16cid:durableId="990256001">
    <w:abstractNumId w:val="46"/>
  </w:num>
  <w:num w:numId="10" w16cid:durableId="1255743065">
    <w:abstractNumId w:val="0"/>
  </w:num>
  <w:num w:numId="11" w16cid:durableId="1706832441">
    <w:abstractNumId w:val="41"/>
  </w:num>
  <w:num w:numId="12" w16cid:durableId="680471337">
    <w:abstractNumId w:val="42"/>
  </w:num>
  <w:num w:numId="13" w16cid:durableId="1063025806">
    <w:abstractNumId w:val="47"/>
  </w:num>
  <w:num w:numId="14" w16cid:durableId="1386829892">
    <w:abstractNumId w:val="1"/>
  </w:num>
  <w:num w:numId="15" w16cid:durableId="1559710662">
    <w:abstractNumId w:val="2"/>
  </w:num>
  <w:num w:numId="16" w16cid:durableId="1085492325">
    <w:abstractNumId w:val="8"/>
  </w:num>
  <w:num w:numId="17" w16cid:durableId="765230620">
    <w:abstractNumId w:val="9"/>
  </w:num>
  <w:num w:numId="18" w16cid:durableId="749040250">
    <w:abstractNumId w:val="10"/>
  </w:num>
  <w:num w:numId="19" w16cid:durableId="1413233238">
    <w:abstractNumId w:val="11"/>
  </w:num>
  <w:num w:numId="20" w16cid:durableId="1283683812">
    <w:abstractNumId w:val="12"/>
  </w:num>
  <w:num w:numId="21" w16cid:durableId="562060419">
    <w:abstractNumId w:val="13"/>
  </w:num>
  <w:num w:numId="22" w16cid:durableId="1291786550">
    <w:abstractNumId w:val="14"/>
  </w:num>
  <w:num w:numId="23" w16cid:durableId="1277100855">
    <w:abstractNumId w:val="15"/>
  </w:num>
  <w:num w:numId="24" w16cid:durableId="1960448259">
    <w:abstractNumId w:val="16"/>
  </w:num>
  <w:num w:numId="25" w16cid:durableId="287981234">
    <w:abstractNumId w:val="19"/>
  </w:num>
  <w:num w:numId="26" w16cid:durableId="1514539078">
    <w:abstractNumId w:val="20"/>
  </w:num>
  <w:num w:numId="27" w16cid:durableId="1542939576">
    <w:abstractNumId w:val="24"/>
  </w:num>
  <w:num w:numId="28" w16cid:durableId="1402560752">
    <w:abstractNumId w:val="25"/>
  </w:num>
  <w:num w:numId="29" w16cid:durableId="1609702801">
    <w:abstractNumId w:val="26"/>
  </w:num>
  <w:num w:numId="30" w16cid:durableId="1747919751">
    <w:abstractNumId w:val="30"/>
  </w:num>
  <w:num w:numId="31" w16cid:durableId="1144203665">
    <w:abstractNumId w:val="32"/>
  </w:num>
  <w:num w:numId="32" w16cid:durableId="193926961">
    <w:abstractNumId w:val="33"/>
  </w:num>
  <w:num w:numId="33" w16cid:durableId="2096391885">
    <w:abstractNumId w:val="34"/>
  </w:num>
  <w:num w:numId="34" w16cid:durableId="2041273846">
    <w:abstractNumId w:val="35"/>
  </w:num>
  <w:num w:numId="35" w16cid:durableId="1205481758">
    <w:abstractNumId w:val="36"/>
  </w:num>
  <w:num w:numId="36" w16cid:durableId="134105002">
    <w:abstractNumId w:val="37"/>
  </w:num>
  <w:num w:numId="37" w16cid:durableId="399643206">
    <w:abstractNumId w:val="39"/>
  </w:num>
  <w:num w:numId="38" w16cid:durableId="1945919326">
    <w:abstractNumId w:val="40"/>
  </w:num>
  <w:num w:numId="39" w16cid:durableId="1249080457">
    <w:abstractNumId w:val="43"/>
  </w:num>
  <w:num w:numId="40" w16cid:durableId="1892765972">
    <w:abstractNumId w:val="44"/>
  </w:num>
  <w:num w:numId="41" w16cid:durableId="1990858751">
    <w:abstractNumId w:val="52"/>
  </w:num>
  <w:num w:numId="42" w16cid:durableId="1097022859">
    <w:abstractNumId w:val="54"/>
  </w:num>
  <w:num w:numId="43" w16cid:durableId="633222463">
    <w:abstractNumId w:val="55"/>
  </w:num>
  <w:num w:numId="44" w16cid:durableId="1367439774">
    <w:abstractNumId w:val="57"/>
  </w:num>
  <w:num w:numId="45" w16cid:durableId="36976885">
    <w:abstractNumId w:val="58"/>
  </w:num>
  <w:num w:numId="46" w16cid:durableId="1755781665">
    <w:abstractNumId w:val="60"/>
  </w:num>
  <w:num w:numId="47" w16cid:durableId="1908763816">
    <w:abstractNumId w:val="62"/>
  </w:num>
  <w:num w:numId="48" w16cid:durableId="239409553">
    <w:abstractNumId w:val="63"/>
  </w:num>
  <w:num w:numId="49" w16cid:durableId="351029416">
    <w:abstractNumId w:val="64"/>
  </w:num>
  <w:num w:numId="50" w16cid:durableId="891893137">
    <w:abstractNumId w:val="65"/>
  </w:num>
  <w:num w:numId="51" w16cid:durableId="1396902374">
    <w:abstractNumId w:val="22"/>
  </w:num>
  <w:num w:numId="52" w16cid:durableId="1080100234">
    <w:abstractNumId w:val="45"/>
  </w:num>
  <w:num w:numId="53" w16cid:durableId="1482115542">
    <w:abstractNumId w:val="48"/>
  </w:num>
  <w:num w:numId="54" w16cid:durableId="481965252">
    <w:abstractNumId w:val="29"/>
  </w:num>
  <w:num w:numId="55" w16cid:durableId="174391661">
    <w:abstractNumId w:val="50"/>
  </w:num>
  <w:num w:numId="56" w16cid:durableId="856579400">
    <w:abstractNumId w:val="51"/>
  </w:num>
  <w:num w:numId="57" w16cid:durableId="678777481">
    <w:abstractNumId w:val="51"/>
    <w:lvlOverride w:ilvl="0">
      <w:startOverride w:val="1"/>
    </w:lvlOverride>
  </w:num>
  <w:num w:numId="58" w16cid:durableId="1426461349">
    <w:abstractNumId w:val="49"/>
  </w:num>
  <w:num w:numId="59" w16cid:durableId="88121397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68374864">
    <w:abstractNumId w:val="51"/>
    <w:lvlOverride w:ilvl="0">
      <w:startOverride w:val="1"/>
    </w:lvlOverride>
  </w:num>
  <w:num w:numId="61" w16cid:durableId="56754367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4244260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059742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88059154">
    <w:abstractNumId w:val="50"/>
    <w:lvlOverride w:ilvl="0">
      <w:startOverride w:val="1"/>
    </w:lvlOverride>
  </w:num>
  <w:num w:numId="65" w16cid:durableId="1468352296">
    <w:abstractNumId w:val="6"/>
  </w:num>
  <w:num w:numId="66" w16cid:durableId="1099062851">
    <w:abstractNumId w:val="17"/>
  </w:num>
  <w:num w:numId="67" w16cid:durableId="1032416381">
    <w:abstractNumId w:val="49"/>
  </w:num>
  <w:num w:numId="68" w16cid:durableId="1488478098">
    <w:abstractNumId w:val="49"/>
  </w:num>
  <w:num w:numId="69" w16cid:durableId="664016418">
    <w:abstractNumId w:val="27"/>
  </w:num>
  <w:num w:numId="70" w16cid:durableId="740756287">
    <w:abstractNumId w:val="61"/>
  </w:num>
  <w:num w:numId="71" w16cid:durableId="499390166">
    <w:abstractNumId w:val="56"/>
  </w:num>
  <w:num w:numId="72" w16cid:durableId="691417949">
    <w:abstractNumId w:val="38"/>
  </w:num>
  <w:num w:numId="73" w16cid:durableId="119809911">
    <w:abstractNumId w:val="21"/>
  </w:num>
  <w:num w:numId="74" w16cid:durableId="1393891988">
    <w:abstractNumId w:val="28"/>
  </w:num>
  <w:num w:numId="75" w16cid:durableId="1980844405">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30722"/>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CDA"/>
    <w:rsid w:val="00001BD0"/>
    <w:rsid w:val="00003978"/>
    <w:rsid w:val="000058F0"/>
    <w:rsid w:val="00006896"/>
    <w:rsid w:val="00006E1F"/>
    <w:rsid w:val="000070D7"/>
    <w:rsid w:val="00012FCC"/>
    <w:rsid w:val="00014F16"/>
    <w:rsid w:val="000158FD"/>
    <w:rsid w:val="0001788C"/>
    <w:rsid w:val="0002080D"/>
    <w:rsid w:val="000208A3"/>
    <w:rsid w:val="00020DBB"/>
    <w:rsid w:val="00023EAE"/>
    <w:rsid w:val="0002473D"/>
    <w:rsid w:val="00025AD3"/>
    <w:rsid w:val="00027A6B"/>
    <w:rsid w:val="00030460"/>
    <w:rsid w:val="00031058"/>
    <w:rsid w:val="000313DF"/>
    <w:rsid w:val="00032267"/>
    <w:rsid w:val="00036518"/>
    <w:rsid w:val="00040C3A"/>
    <w:rsid w:val="00042F12"/>
    <w:rsid w:val="00047157"/>
    <w:rsid w:val="00050E8B"/>
    <w:rsid w:val="0005696C"/>
    <w:rsid w:val="00062172"/>
    <w:rsid w:val="00064E46"/>
    <w:rsid w:val="0006509B"/>
    <w:rsid w:val="00067A5D"/>
    <w:rsid w:val="000716C5"/>
    <w:rsid w:val="0007338B"/>
    <w:rsid w:val="00074BD9"/>
    <w:rsid w:val="00075E23"/>
    <w:rsid w:val="00077DA8"/>
    <w:rsid w:val="00083ABD"/>
    <w:rsid w:val="00086A61"/>
    <w:rsid w:val="000873BA"/>
    <w:rsid w:val="0008768F"/>
    <w:rsid w:val="0009344A"/>
    <w:rsid w:val="00097941"/>
    <w:rsid w:val="000A02B5"/>
    <w:rsid w:val="000A32AF"/>
    <w:rsid w:val="000A392E"/>
    <w:rsid w:val="000A39E4"/>
    <w:rsid w:val="000A575F"/>
    <w:rsid w:val="000A576A"/>
    <w:rsid w:val="000A65DC"/>
    <w:rsid w:val="000B084B"/>
    <w:rsid w:val="000B34CF"/>
    <w:rsid w:val="000B4C3B"/>
    <w:rsid w:val="000B60A0"/>
    <w:rsid w:val="000B7F13"/>
    <w:rsid w:val="000C0081"/>
    <w:rsid w:val="000C04E7"/>
    <w:rsid w:val="000C15F3"/>
    <w:rsid w:val="000C3E53"/>
    <w:rsid w:val="000C3EDB"/>
    <w:rsid w:val="000C53FF"/>
    <w:rsid w:val="000C5F9D"/>
    <w:rsid w:val="000C7F67"/>
    <w:rsid w:val="000D0E46"/>
    <w:rsid w:val="000D10DB"/>
    <w:rsid w:val="000D2ADA"/>
    <w:rsid w:val="000D496E"/>
    <w:rsid w:val="000D5D23"/>
    <w:rsid w:val="000D74D7"/>
    <w:rsid w:val="000E0C8F"/>
    <w:rsid w:val="000E47F2"/>
    <w:rsid w:val="000E5EB5"/>
    <w:rsid w:val="000F0250"/>
    <w:rsid w:val="000F30E0"/>
    <w:rsid w:val="000F35ED"/>
    <w:rsid w:val="000F4EA1"/>
    <w:rsid w:val="000F543F"/>
    <w:rsid w:val="000F6A89"/>
    <w:rsid w:val="00100AFE"/>
    <w:rsid w:val="00101546"/>
    <w:rsid w:val="00102FFC"/>
    <w:rsid w:val="00105D36"/>
    <w:rsid w:val="00107131"/>
    <w:rsid w:val="0010736F"/>
    <w:rsid w:val="00107DF7"/>
    <w:rsid w:val="0011299D"/>
    <w:rsid w:val="001135BF"/>
    <w:rsid w:val="00113F73"/>
    <w:rsid w:val="00121CC2"/>
    <w:rsid w:val="001231D3"/>
    <w:rsid w:val="00123D43"/>
    <w:rsid w:val="00133103"/>
    <w:rsid w:val="00133EE5"/>
    <w:rsid w:val="001379E6"/>
    <w:rsid w:val="00140D33"/>
    <w:rsid w:val="001429E5"/>
    <w:rsid w:val="00144588"/>
    <w:rsid w:val="00147351"/>
    <w:rsid w:val="001531A9"/>
    <w:rsid w:val="00154DD5"/>
    <w:rsid w:val="00156404"/>
    <w:rsid w:val="00160655"/>
    <w:rsid w:val="00161D34"/>
    <w:rsid w:val="00162079"/>
    <w:rsid w:val="00166189"/>
    <w:rsid w:val="00166902"/>
    <w:rsid w:val="00166CE7"/>
    <w:rsid w:val="00167A34"/>
    <w:rsid w:val="00172468"/>
    <w:rsid w:val="00181F34"/>
    <w:rsid w:val="0019388E"/>
    <w:rsid w:val="001953DD"/>
    <w:rsid w:val="00195DBD"/>
    <w:rsid w:val="00197960"/>
    <w:rsid w:val="00197E24"/>
    <w:rsid w:val="001A0106"/>
    <w:rsid w:val="001A44A8"/>
    <w:rsid w:val="001A4604"/>
    <w:rsid w:val="001A4D23"/>
    <w:rsid w:val="001A7870"/>
    <w:rsid w:val="001A7ED4"/>
    <w:rsid w:val="001B0813"/>
    <w:rsid w:val="001B4831"/>
    <w:rsid w:val="001C103F"/>
    <w:rsid w:val="001C1B00"/>
    <w:rsid w:val="001C1B41"/>
    <w:rsid w:val="001C38C8"/>
    <w:rsid w:val="001C3FA5"/>
    <w:rsid w:val="001C4AC8"/>
    <w:rsid w:val="001C4F23"/>
    <w:rsid w:val="001C6B04"/>
    <w:rsid w:val="001D161B"/>
    <w:rsid w:val="001D18C7"/>
    <w:rsid w:val="001D4297"/>
    <w:rsid w:val="001D4FE0"/>
    <w:rsid w:val="001D53B8"/>
    <w:rsid w:val="001D65EF"/>
    <w:rsid w:val="001E12B1"/>
    <w:rsid w:val="001E15B6"/>
    <w:rsid w:val="001E3535"/>
    <w:rsid w:val="001E5C51"/>
    <w:rsid w:val="001F5F71"/>
    <w:rsid w:val="0020191D"/>
    <w:rsid w:val="00201CBE"/>
    <w:rsid w:val="00202589"/>
    <w:rsid w:val="00203440"/>
    <w:rsid w:val="00204B61"/>
    <w:rsid w:val="0021101B"/>
    <w:rsid w:val="00213A03"/>
    <w:rsid w:val="002160FE"/>
    <w:rsid w:val="00221218"/>
    <w:rsid w:val="0022273F"/>
    <w:rsid w:val="00223A61"/>
    <w:rsid w:val="00224503"/>
    <w:rsid w:val="002250A3"/>
    <w:rsid w:val="00231058"/>
    <w:rsid w:val="00231914"/>
    <w:rsid w:val="002349F9"/>
    <w:rsid w:val="00235217"/>
    <w:rsid w:val="00235A31"/>
    <w:rsid w:val="00236991"/>
    <w:rsid w:val="00242F08"/>
    <w:rsid w:val="00244146"/>
    <w:rsid w:val="00246D1F"/>
    <w:rsid w:val="00247403"/>
    <w:rsid w:val="00247542"/>
    <w:rsid w:val="00250C66"/>
    <w:rsid w:val="00251427"/>
    <w:rsid w:val="00253606"/>
    <w:rsid w:val="00253635"/>
    <w:rsid w:val="002549EE"/>
    <w:rsid w:val="00261A07"/>
    <w:rsid w:val="002659CA"/>
    <w:rsid w:val="00265C1E"/>
    <w:rsid w:val="00266B61"/>
    <w:rsid w:val="0026712A"/>
    <w:rsid w:val="002704DB"/>
    <w:rsid w:val="00271065"/>
    <w:rsid w:val="00271A5D"/>
    <w:rsid w:val="002723B9"/>
    <w:rsid w:val="002739EE"/>
    <w:rsid w:val="0027686C"/>
    <w:rsid w:val="00276DF8"/>
    <w:rsid w:val="00277EF9"/>
    <w:rsid w:val="00282228"/>
    <w:rsid w:val="00282653"/>
    <w:rsid w:val="002827DD"/>
    <w:rsid w:val="00283D01"/>
    <w:rsid w:val="002848CE"/>
    <w:rsid w:val="00284EB9"/>
    <w:rsid w:val="00285E2D"/>
    <w:rsid w:val="00286A95"/>
    <w:rsid w:val="002A0AAE"/>
    <w:rsid w:val="002A0C05"/>
    <w:rsid w:val="002A3114"/>
    <w:rsid w:val="002A4461"/>
    <w:rsid w:val="002A464E"/>
    <w:rsid w:val="002A5820"/>
    <w:rsid w:val="002B1233"/>
    <w:rsid w:val="002B553D"/>
    <w:rsid w:val="002B5E80"/>
    <w:rsid w:val="002B5F1B"/>
    <w:rsid w:val="002C4E54"/>
    <w:rsid w:val="002C5E9B"/>
    <w:rsid w:val="002C7238"/>
    <w:rsid w:val="002D17A2"/>
    <w:rsid w:val="002D26BB"/>
    <w:rsid w:val="002D2B26"/>
    <w:rsid w:val="002D4103"/>
    <w:rsid w:val="002D7EA2"/>
    <w:rsid w:val="002E1390"/>
    <w:rsid w:val="002E187C"/>
    <w:rsid w:val="002E2E14"/>
    <w:rsid w:val="002E42C2"/>
    <w:rsid w:val="002E4AEA"/>
    <w:rsid w:val="002E7785"/>
    <w:rsid w:val="002F2AF1"/>
    <w:rsid w:val="002F64BF"/>
    <w:rsid w:val="003017CC"/>
    <w:rsid w:val="0030230A"/>
    <w:rsid w:val="00302733"/>
    <w:rsid w:val="00303382"/>
    <w:rsid w:val="00303D52"/>
    <w:rsid w:val="00307ABC"/>
    <w:rsid w:val="00307B45"/>
    <w:rsid w:val="00310AB0"/>
    <w:rsid w:val="0031160D"/>
    <w:rsid w:val="00314078"/>
    <w:rsid w:val="00314405"/>
    <w:rsid w:val="0031440C"/>
    <w:rsid w:val="0031535D"/>
    <w:rsid w:val="003159CC"/>
    <w:rsid w:val="0032106F"/>
    <w:rsid w:val="003213A3"/>
    <w:rsid w:val="00322B86"/>
    <w:rsid w:val="00322BF7"/>
    <w:rsid w:val="0032742E"/>
    <w:rsid w:val="0033028D"/>
    <w:rsid w:val="0033169F"/>
    <w:rsid w:val="0033242C"/>
    <w:rsid w:val="00334368"/>
    <w:rsid w:val="00334B83"/>
    <w:rsid w:val="0033577A"/>
    <w:rsid w:val="00346C95"/>
    <w:rsid w:val="00346ED7"/>
    <w:rsid w:val="0035086B"/>
    <w:rsid w:val="00354165"/>
    <w:rsid w:val="00356185"/>
    <w:rsid w:val="003576DB"/>
    <w:rsid w:val="00357B84"/>
    <w:rsid w:val="00360380"/>
    <w:rsid w:val="00361415"/>
    <w:rsid w:val="003636F7"/>
    <w:rsid w:val="00364E77"/>
    <w:rsid w:val="00364FC7"/>
    <w:rsid w:val="00365872"/>
    <w:rsid w:val="00366921"/>
    <w:rsid w:val="00367DEF"/>
    <w:rsid w:val="00370221"/>
    <w:rsid w:val="003714F4"/>
    <w:rsid w:val="0037465F"/>
    <w:rsid w:val="0037519E"/>
    <w:rsid w:val="00376066"/>
    <w:rsid w:val="00376E92"/>
    <w:rsid w:val="00380617"/>
    <w:rsid w:val="0038098A"/>
    <w:rsid w:val="00381253"/>
    <w:rsid w:val="00384E25"/>
    <w:rsid w:val="00384EA1"/>
    <w:rsid w:val="0038612E"/>
    <w:rsid w:val="00386CF0"/>
    <w:rsid w:val="0039089A"/>
    <w:rsid w:val="003910EA"/>
    <w:rsid w:val="0039498F"/>
    <w:rsid w:val="003979EC"/>
    <w:rsid w:val="003A0971"/>
    <w:rsid w:val="003A22CC"/>
    <w:rsid w:val="003A23C5"/>
    <w:rsid w:val="003A2B8A"/>
    <w:rsid w:val="003A6838"/>
    <w:rsid w:val="003B1CDA"/>
    <w:rsid w:val="003B1E5D"/>
    <w:rsid w:val="003B30FC"/>
    <w:rsid w:val="003B4200"/>
    <w:rsid w:val="003B65A1"/>
    <w:rsid w:val="003C022F"/>
    <w:rsid w:val="003C053F"/>
    <w:rsid w:val="003C261C"/>
    <w:rsid w:val="003C3941"/>
    <w:rsid w:val="003C676B"/>
    <w:rsid w:val="003C6F13"/>
    <w:rsid w:val="003C75F0"/>
    <w:rsid w:val="003D38BD"/>
    <w:rsid w:val="003D3BC2"/>
    <w:rsid w:val="003D3CDF"/>
    <w:rsid w:val="003D67C7"/>
    <w:rsid w:val="003D7C03"/>
    <w:rsid w:val="003E0A13"/>
    <w:rsid w:val="003E432F"/>
    <w:rsid w:val="003E6CA1"/>
    <w:rsid w:val="003F0031"/>
    <w:rsid w:val="003F0712"/>
    <w:rsid w:val="003F29D6"/>
    <w:rsid w:val="003F6CD2"/>
    <w:rsid w:val="003F7F64"/>
    <w:rsid w:val="00401A56"/>
    <w:rsid w:val="00401CDB"/>
    <w:rsid w:val="00403C18"/>
    <w:rsid w:val="00407B67"/>
    <w:rsid w:val="00411837"/>
    <w:rsid w:val="004148B2"/>
    <w:rsid w:val="00414BB0"/>
    <w:rsid w:val="004165C2"/>
    <w:rsid w:val="004175B6"/>
    <w:rsid w:val="00421AE9"/>
    <w:rsid w:val="004238B4"/>
    <w:rsid w:val="00424586"/>
    <w:rsid w:val="00425A21"/>
    <w:rsid w:val="00426114"/>
    <w:rsid w:val="00427042"/>
    <w:rsid w:val="00427175"/>
    <w:rsid w:val="00434DA4"/>
    <w:rsid w:val="0043528A"/>
    <w:rsid w:val="0043576A"/>
    <w:rsid w:val="00435CB0"/>
    <w:rsid w:val="00437655"/>
    <w:rsid w:val="0044149B"/>
    <w:rsid w:val="00441ECB"/>
    <w:rsid w:val="00442ADD"/>
    <w:rsid w:val="00443678"/>
    <w:rsid w:val="00450604"/>
    <w:rsid w:val="00451251"/>
    <w:rsid w:val="004512E7"/>
    <w:rsid w:val="00455189"/>
    <w:rsid w:val="00463D76"/>
    <w:rsid w:val="00466C46"/>
    <w:rsid w:val="004675EF"/>
    <w:rsid w:val="00467B7E"/>
    <w:rsid w:val="00470C6E"/>
    <w:rsid w:val="00475311"/>
    <w:rsid w:val="00475A99"/>
    <w:rsid w:val="00477592"/>
    <w:rsid w:val="00482EC8"/>
    <w:rsid w:val="00484222"/>
    <w:rsid w:val="004863F4"/>
    <w:rsid w:val="00486F1C"/>
    <w:rsid w:val="004902A4"/>
    <w:rsid w:val="00490654"/>
    <w:rsid w:val="00492821"/>
    <w:rsid w:val="0049419D"/>
    <w:rsid w:val="0049429D"/>
    <w:rsid w:val="00495DC3"/>
    <w:rsid w:val="00496711"/>
    <w:rsid w:val="004A13AE"/>
    <w:rsid w:val="004A1F61"/>
    <w:rsid w:val="004A2AC1"/>
    <w:rsid w:val="004A426B"/>
    <w:rsid w:val="004B0984"/>
    <w:rsid w:val="004B54EB"/>
    <w:rsid w:val="004B757D"/>
    <w:rsid w:val="004C20D2"/>
    <w:rsid w:val="004C4B62"/>
    <w:rsid w:val="004C54C9"/>
    <w:rsid w:val="004C790D"/>
    <w:rsid w:val="004C7ADE"/>
    <w:rsid w:val="004D195F"/>
    <w:rsid w:val="004D2720"/>
    <w:rsid w:val="004D34B8"/>
    <w:rsid w:val="004D3FB7"/>
    <w:rsid w:val="004D4266"/>
    <w:rsid w:val="004D6025"/>
    <w:rsid w:val="004D6618"/>
    <w:rsid w:val="004D727B"/>
    <w:rsid w:val="004E06FE"/>
    <w:rsid w:val="004E1A7A"/>
    <w:rsid w:val="004E2649"/>
    <w:rsid w:val="004E32D7"/>
    <w:rsid w:val="004E6703"/>
    <w:rsid w:val="004F36EA"/>
    <w:rsid w:val="004F47A6"/>
    <w:rsid w:val="004F627D"/>
    <w:rsid w:val="00501399"/>
    <w:rsid w:val="00504084"/>
    <w:rsid w:val="0050633D"/>
    <w:rsid w:val="00507BC4"/>
    <w:rsid w:val="00511995"/>
    <w:rsid w:val="005128E4"/>
    <w:rsid w:val="00512B52"/>
    <w:rsid w:val="00512D0D"/>
    <w:rsid w:val="00513310"/>
    <w:rsid w:val="005133DB"/>
    <w:rsid w:val="00515F43"/>
    <w:rsid w:val="005162C6"/>
    <w:rsid w:val="00516980"/>
    <w:rsid w:val="00522093"/>
    <w:rsid w:val="005221E5"/>
    <w:rsid w:val="00522678"/>
    <w:rsid w:val="00525560"/>
    <w:rsid w:val="00531A33"/>
    <w:rsid w:val="00533D32"/>
    <w:rsid w:val="0053449A"/>
    <w:rsid w:val="005353B6"/>
    <w:rsid w:val="005354F3"/>
    <w:rsid w:val="00536923"/>
    <w:rsid w:val="0053749E"/>
    <w:rsid w:val="005405ED"/>
    <w:rsid w:val="005421C7"/>
    <w:rsid w:val="005430CE"/>
    <w:rsid w:val="005434BF"/>
    <w:rsid w:val="00544C49"/>
    <w:rsid w:val="00545BE3"/>
    <w:rsid w:val="005516A1"/>
    <w:rsid w:val="00554274"/>
    <w:rsid w:val="005572EF"/>
    <w:rsid w:val="005606B3"/>
    <w:rsid w:val="005609E6"/>
    <w:rsid w:val="005615E2"/>
    <w:rsid w:val="00561CB7"/>
    <w:rsid w:val="0056314F"/>
    <w:rsid w:val="00565744"/>
    <w:rsid w:val="00567E15"/>
    <w:rsid w:val="00571544"/>
    <w:rsid w:val="0057402A"/>
    <w:rsid w:val="00574875"/>
    <w:rsid w:val="005771D0"/>
    <w:rsid w:val="00577DBF"/>
    <w:rsid w:val="005800EA"/>
    <w:rsid w:val="00580427"/>
    <w:rsid w:val="00580FF9"/>
    <w:rsid w:val="0058170B"/>
    <w:rsid w:val="00583ED1"/>
    <w:rsid w:val="0058638C"/>
    <w:rsid w:val="00586D0A"/>
    <w:rsid w:val="0059191A"/>
    <w:rsid w:val="005921FF"/>
    <w:rsid w:val="00592ADE"/>
    <w:rsid w:val="0059322B"/>
    <w:rsid w:val="005937F1"/>
    <w:rsid w:val="00593CE0"/>
    <w:rsid w:val="00595C1D"/>
    <w:rsid w:val="005A158F"/>
    <w:rsid w:val="005A1AAC"/>
    <w:rsid w:val="005A52E8"/>
    <w:rsid w:val="005A6D0E"/>
    <w:rsid w:val="005A7026"/>
    <w:rsid w:val="005A7296"/>
    <w:rsid w:val="005B00F3"/>
    <w:rsid w:val="005B0873"/>
    <w:rsid w:val="005B0C40"/>
    <w:rsid w:val="005B2258"/>
    <w:rsid w:val="005B34CD"/>
    <w:rsid w:val="005B47E3"/>
    <w:rsid w:val="005B4838"/>
    <w:rsid w:val="005B52B0"/>
    <w:rsid w:val="005B60BC"/>
    <w:rsid w:val="005B6806"/>
    <w:rsid w:val="005C0F4C"/>
    <w:rsid w:val="005C196F"/>
    <w:rsid w:val="005C2C8B"/>
    <w:rsid w:val="005C4225"/>
    <w:rsid w:val="005C4512"/>
    <w:rsid w:val="005C4CA5"/>
    <w:rsid w:val="005C4FD7"/>
    <w:rsid w:val="005C532C"/>
    <w:rsid w:val="005C6848"/>
    <w:rsid w:val="005C6FB2"/>
    <w:rsid w:val="005C75FE"/>
    <w:rsid w:val="005D064C"/>
    <w:rsid w:val="005D0DB1"/>
    <w:rsid w:val="005D775C"/>
    <w:rsid w:val="005E1E1F"/>
    <w:rsid w:val="005F0703"/>
    <w:rsid w:val="005F084C"/>
    <w:rsid w:val="005F0DAD"/>
    <w:rsid w:val="005F0F33"/>
    <w:rsid w:val="005F309E"/>
    <w:rsid w:val="005F69CB"/>
    <w:rsid w:val="005F784A"/>
    <w:rsid w:val="006009D6"/>
    <w:rsid w:val="00600DEB"/>
    <w:rsid w:val="00607CAF"/>
    <w:rsid w:val="006125C3"/>
    <w:rsid w:val="006154CD"/>
    <w:rsid w:val="00621C14"/>
    <w:rsid w:val="00627C9F"/>
    <w:rsid w:val="006311E9"/>
    <w:rsid w:val="00632354"/>
    <w:rsid w:val="0063260D"/>
    <w:rsid w:val="0063703E"/>
    <w:rsid w:val="00640676"/>
    <w:rsid w:val="00642810"/>
    <w:rsid w:val="006439F7"/>
    <w:rsid w:val="00644DDE"/>
    <w:rsid w:val="00645038"/>
    <w:rsid w:val="00645348"/>
    <w:rsid w:val="006470E7"/>
    <w:rsid w:val="00647FCE"/>
    <w:rsid w:val="00652333"/>
    <w:rsid w:val="00655B8E"/>
    <w:rsid w:val="0065781C"/>
    <w:rsid w:val="00661546"/>
    <w:rsid w:val="00667187"/>
    <w:rsid w:val="0066762C"/>
    <w:rsid w:val="00674683"/>
    <w:rsid w:val="0068009E"/>
    <w:rsid w:val="00681494"/>
    <w:rsid w:val="006914A3"/>
    <w:rsid w:val="00692219"/>
    <w:rsid w:val="006A17D2"/>
    <w:rsid w:val="006A4B39"/>
    <w:rsid w:val="006A73E6"/>
    <w:rsid w:val="006B25DE"/>
    <w:rsid w:val="006B2D5C"/>
    <w:rsid w:val="006B37FC"/>
    <w:rsid w:val="006B4D40"/>
    <w:rsid w:val="006C017E"/>
    <w:rsid w:val="006C1A20"/>
    <w:rsid w:val="006C4EB1"/>
    <w:rsid w:val="006C60B3"/>
    <w:rsid w:val="006C767B"/>
    <w:rsid w:val="006D0861"/>
    <w:rsid w:val="006D2305"/>
    <w:rsid w:val="006D231D"/>
    <w:rsid w:val="006D4328"/>
    <w:rsid w:val="006E0166"/>
    <w:rsid w:val="006E1292"/>
    <w:rsid w:val="006E6AB0"/>
    <w:rsid w:val="006E7B34"/>
    <w:rsid w:val="006F2359"/>
    <w:rsid w:val="006F4EFB"/>
    <w:rsid w:val="00700388"/>
    <w:rsid w:val="007006B7"/>
    <w:rsid w:val="00704E0D"/>
    <w:rsid w:val="00706590"/>
    <w:rsid w:val="0070697F"/>
    <w:rsid w:val="00707B68"/>
    <w:rsid w:val="00715C8C"/>
    <w:rsid w:val="00715EF3"/>
    <w:rsid w:val="0072199C"/>
    <w:rsid w:val="00722C9F"/>
    <w:rsid w:val="007234D4"/>
    <w:rsid w:val="007236BE"/>
    <w:rsid w:val="007253B8"/>
    <w:rsid w:val="00725BB5"/>
    <w:rsid w:val="00727475"/>
    <w:rsid w:val="00730A5B"/>
    <w:rsid w:val="00730E59"/>
    <w:rsid w:val="00732442"/>
    <w:rsid w:val="0073342A"/>
    <w:rsid w:val="0073631B"/>
    <w:rsid w:val="00736FEB"/>
    <w:rsid w:val="0073741F"/>
    <w:rsid w:val="00750012"/>
    <w:rsid w:val="007514F8"/>
    <w:rsid w:val="0075256D"/>
    <w:rsid w:val="00757388"/>
    <w:rsid w:val="007611DE"/>
    <w:rsid w:val="007613B5"/>
    <w:rsid w:val="00763C60"/>
    <w:rsid w:val="0076643F"/>
    <w:rsid w:val="007710BA"/>
    <w:rsid w:val="007721C9"/>
    <w:rsid w:val="0077278C"/>
    <w:rsid w:val="007739CB"/>
    <w:rsid w:val="00773FB2"/>
    <w:rsid w:val="00777F63"/>
    <w:rsid w:val="00780221"/>
    <w:rsid w:val="007823B5"/>
    <w:rsid w:val="00784B7B"/>
    <w:rsid w:val="00787173"/>
    <w:rsid w:val="00793CCB"/>
    <w:rsid w:val="00794CDD"/>
    <w:rsid w:val="007A08B3"/>
    <w:rsid w:val="007A133D"/>
    <w:rsid w:val="007A199B"/>
    <w:rsid w:val="007A232D"/>
    <w:rsid w:val="007A26DE"/>
    <w:rsid w:val="007A3782"/>
    <w:rsid w:val="007A3B93"/>
    <w:rsid w:val="007A4B8F"/>
    <w:rsid w:val="007A5817"/>
    <w:rsid w:val="007A5853"/>
    <w:rsid w:val="007B0859"/>
    <w:rsid w:val="007B225A"/>
    <w:rsid w:val="007B233E"/>
    <w:rsid w:val="007B60E9"/>
    <w:rsid w:val="007B69E8"/>
    <w:rsid w:val="007B6CC3"/>
    <w:rsid w:val="007C2B92"/>
    <w:rsid w:val="007C3334"/>
    <w:rsid w:val="007C756A"/>
    <w:rsid w:val="007C7C22"/>
    <w:rsid w:val="007D2B98"/>
    <w:rsid w:val="007E21BC"/>
    <w:rsid w:val="007E3A80"/>
    <w:rsid w:val="007E6729"/>
    <w:rsid w:val="007F4E56"/>
    <w:rsid w:val="007F50D4"/>
    <w:rsid w:val="007F5976"/>
    <w:rsid w:val="007F60C2"/>
    <w:rsid w:val="007F7E9A"/>
    <w:rsid w:val="00803F1C"/>
    <w:rsid w:val="0080600E"/>
    <w:rsid w:val="00810BEC"/>
    <w:rsid w:val="00812258"/>
    <w:rsid w:val="00813005"/>
    <w:rsid w:val="00815021"/>
    <w:rsid w:val="00816E24"/>
    <w:rsid w:val="00817012"/>
    <w:rsid w:val="00817612"/>
    <w:rsid w:val="008217E6"/>
    <w:rsid w:val="00822580"/>
    <w:rsid w:val="00822A2A"/>
    <w:rsid w:val="008266A7"/>
    <w:rsid w:val="00827340"/>
    <w:rsid w:val="00831647"/>
    <w:rsid w:val="008338A4"/>
    <w:rsid w:val="00835116"/>
    <w:rsid w:val="008377D9"/>
    <w:rsid w:val="00837C45"/>
    <w:rsid w:val="00844730"/>
    <w:rsid w:val="00845435"/>
    <w:rsid w:val="008457C2"/>
    <w:rsid w:val="0084706F"/>
    <w:rsid w:val="00852516"/>
    <w:rsid w:val="00852CD6"/>
    <w:rsid w:val="008559E4"/>
    <w:rsid w:val="008569ED"/>
    <w:rsid w:val="00857A82"/>
    <w:rsid w:val="00861282"/>
    <w:rsid w:val="00863BAF"/>
    <w:rsid w:val="00865588"/>
    <w:rsid w:val="00865597"/>
    <w:rsid w:val="00867F6A"/>
    <w:rsid w:val="00871C00"/>
    <w:rsid w:val="00873555"/>
    <w:rsid w:val="00873836"/>
    <w:rsid w:val="008739D8"/>
    <w:rsid w:val="00873E19"/>
    <w:rsid w:val="00875DCD"/>
    <w:rsid w:val="00877CE4"/>
    <w:rsid w:val="008821E9"/>
    <w:rsid w:val="00883727"/>
    <w:rsid w:val="00885737"/>
    <w:rsid w:val="0088696C"/>
    <w:rsid w:val="00886EAF"/>
    <w:rsid w:val="00890650"/>
    <w:rsid w:val="00891B10"/>
    <w:rsid w:val="00892C2C"/>
    <w:rsid w:val="008948D3"/>
    <w:rsid w:val="00894ADE"/>
    <w:rsid w:val="0089592E"/>
    <w:rsid w:val="00895C82"/>
    <w:rsid w:val="00897E12"/>
    <w:rsid w:val="008A078F"/>
    <w:rsid w:val="008A299B"/>
    <w:rsid w:val="008A7E0F"/>
    <w:rsid w:val="008B12F5"/>
    <w:rsid w:val="008B30A3"/>
    <w:rsid w:val="008B30D0"/>
    <w:rsid w:val="008C0C91"/>
    <w:rsid w:val="008C1BFC"/>
    <w:rsid w:val="008C3098"/>
    <w:rsid w:val="008C7015"/>
    <w:rsid w:val="008D04F1"/>
    <w:rsid w:val="008D13CC"/>
    <w:rsid w:val="008D2B0D"/>
    <w:rsid w:val="008D4ECC"/>
    <w:rsid w:val="008D768D"/>
    <w:rsid w:val="008D7739"/>
    <w:rsid w:val="008D7931"/>
    <w:rsid w:val="008E1EBF"/>
    <w:rsid w:val="008E2356"/>
    <w:rsid w:val="008E2E59"/>
    <w:rsid w:val="008E34C5"/>
    <w:rsid w:val="008E3759"/>
    <w:rsid w:val="008E3EF9"/>
    <w:rsid w:val="008E487F"/>
    <w:rsid w:val="008E5267"/>
    <w:rsid w:val="008E7B1E"/>
    <w:rsid w:val="008F1912"/>
    <w:rsid w:val="008F1B28"/>
    <w:rsid w:val="008F3C40"/>
    <w:rsid w:val="008F5F81"/>
    <w:rsid w:val="008F604B"/>
    <w:rsid w:val="008F74E3"/>
    <w:rsid w:val="008F7BEC"/>
    <w:rsid w:val="008F7C7F"/>
    <w:rsid w:val="009014A4"/>
    <w:rsid w:val="0090270B"/>
    <w:rsid w:val="0090357A"/>
    <w:rsid w:val="009038C6"/>
    <w:rsid w:val="009041DC"/>
    <w:rsid w:val="0090555D"/>
    <w:rsid w:val="00905E9F"/>
    <w:rsid w:val="00906C97"/>
    <w:rsid w:val="00910791"/>
    <w:rsid w:val="009113FE"/>
    <w:rsid w:val="00912E53"/>
    <w:rsid w:val="0091503D"/>
    <w:rsid w:val="00917B5A"/>
    <w:rsid w:val="009209BE"/>
    <w:rsid w:val="00920A58"/>
    <w:rsid w:val="00920A8C"/>
    <w:rsid w:val="0092111F"/>
    <w:rsid w:val="009220E8"/>
    <w:rsid w:val="009260E0"/>
    <w:rsid w:val="0093042E"/>
    <w:rsid w:val="00930EC8"/>
    <w:rsid w:val="00931259"/>
    <w:rsid w:val="00934A2C"/>
    <w:rsid w:val="009358C1"/>
    <w:rsid w:val="00937D4C"/>
    <w:rsid w:val="00941C6B"/>
    <w:rsid w:val="00942474"/>
    <w:rsid w:val="00946631"/>
    <w:rsid w:val="0095127A"/>
    <w:rsid w:val="009513F8"/>
    <w:rsid w:val="0095182A"/>
    <w:rsid w:val="00951CBC"/>
    <w:rsid w:val="00953A9B"/>
    <w:rsid w:val="009575F8"/>
    <w:rsid w:val="00960326"/>
    <w:rsid w:val="009609E8"/>
    <w:rsid w:val="00961903"/>
    <w:rsid w:val="0096210A"/>
    <w:rsid w:val="00964318"/>
    <w:rsid w:val="0096706E"/>
    <w:rsid w:val="009677C2"/>
    <w:rsid w:val="00975332"/>
    <w:rsid w:val="00975C4E"/>
    <w:rsid w:val="0097621D"/>
    <w:rsid w:val="00976DB7"/>
    <w:rsid w:val="0097725A"/>
    <w:rsid w:val="0098040C"/>
    <w:rsid w:val="00981FBA"/>
    <w:rsid w:val="00982C17"/>
    <w:rsid w:val="0098479A"/>
    <w:rsid w:val="00987950"/>
    <w:rsid w:val="009905E6"/>
    <w:rsid w:val="00991866"/>
    <w:rsid w:val="00996A61"/>
    <w:rsid w:val="009978C9"/>
    <w:rsid w:val="0099798F"/>
    <w:rsid w:val="00997BC5"/>
    <w:rsid w:val="00997C2A"/>
    <w:rsid w:val="009A0BE3"/>
    <w:rsid w:val="009A4F41"/>
    <w:rsid w:val="009B24C7"/>
    <w:rsid w:val="009B381B"/>
    <w:rsid w:val="009C2922"/>
    <w:rsid w:val="009C4D82"/>
    <w:rsid w:val="009C4EAA"/>
    <w:rsid w:val="009D0718"/>
    <w:rsid w:val="009D09D5"/>
    <w:rsid w:val="009D0DD5"/>
    <w:rsid w:val="009D1180"/>
    <w:rsid w:val="009D1753"/>
    <w:rsid w:val="009D28C8"/>
    <w:rsid w:val="009D2B60"/>
    <w:rsid w:val="009D3BB7"/>
    <w:rsid w:val="009D5C1A"/>
    <w:rsid w:val="009D7611"/>
    <w:rsid w:val="009E0B61"/>
    <w:rsid w:val="009E3326"/>
    <w:rsid w:val="009E4E7D"/>
    <w:rsid w:val="009E53DE"/>
    <w:rsid w:val="009F03D6"/>
    <w:rsid w:val="009F2A2F"/>
    <w:rsid w:val="009F434D"/>
    <w:rsid w:val="00A01B78"/>
    <w:rsid w:val="00A03A30"/>
    <w:rsid w:val="00A03CB1"/>
    <w:rsid w:val="00A03F1E"/>
    <w:rsid w:val="00A04042"/>
    <w:rsid w:val="00A04E95"/>
    <w:rsid w:val="00A04F0D"/>
    <w:rsid w:val="00A059AE"/>
    <w:rsid w:val="00A059C4"/>
    <w:rsid w:val="00A17192"/>
    <w:rsid w:val="00A2118C"/>
    <w:rsid w:val="00A234BE"/>
    <w:rsid w:val="00A23D45"/>
    <w:rsid w:val="00A2598E"/>
    <w:rsid w:val="00A30291"/>
    <w:rsid w:val="00A3059F"/>
    <w:rsid w:val="00A30BE9"/>
    <w:rsid w:val="00A328B3"/>
    <w:rsid w:val="00A32EA9"/>
    <w:rsid w:val="00A33B1E"/>
    <w:rsid w:val="00A37AD9"/>
    <w:rsid w:val="00A37EA7"/>
    <w:rsid w:val="00A426D2"/>
    <w:rsid w:val="00A42770"/>
    <w:rsid w:val="00A44228"/>
    <w:rsid w:val="00A4469C"/>
    <w:rsid w:val="00A451D5"/>
    <w:rsid w:val="00A47F90"/>
    <w:rsid w:val="00A50FCF"/>
    <w:rsid w:val="00A528D1"/>
    <w:rsid w:val="00A56527"/>
    <w:rsid w:val="00A570AD"/>
    <w:rsid w:val="00A57DE8"/>
    <w:rsid w:val="00A6093F"/>
    <w:rsid w:val="00A610CD"/>
    <w:rsid w:val="00A6388C"/>
    <w:rsid w:val="00A7225D"/>
    <w:rsid w:val="00A74DBA"/>
    <w:rsid w:val="00A75E63"/>
    <w:rsid w:val="00A7644A"/>
    <w:rsid w:val="00A76711"/>
    <w:rsid w:val="00A814FA"/>
    <w:rsid w:val="00A8290F"/>
    <w:rsid w:val="00A8664D"/>
    <w:rsid w:val="00A86D8E"/>
    <w:rsid w:val="00A91B18"/>
    <w:rsid w:val="00A922B1"/>
    <w:rsid w:val="00AA0359"/>
    <w:rsid w:val="00AA09A2"/>
    <w:rsid w:val="00AA1A38"/>
    <w:rsid w:val="00AA2E74"/>
    <w:rsid w:val="00AA53A2"/>
    <w:rsid w:val="00AA6FF6"/>
    <w:rsid w:val="00AA768B"/>
    <w:rsid w:val="00AA7996"/>
    <w:rsid w:val="00AB3058"/>
    <w:rsid w:val="00AB3A35"/>
    <w:rsid w:val="00AB6C66"/>
    <w:rsid w:val="00AC19CB"/>
    <w:rsid w:val="00AC55D4"/>
    <w:rsid w:val="00AC6A1B"/>
    <w:rsid w:val="00AC7EEB"/>
    <w:rsid w:val="00AD22AE"/>
    <w:rsid w:val="00AD603A"/>
    <w:rsid w:val="00AE0C86"/>
    <w:rsid w:val="00AE5488"/>
    <w:rsid w:val="00AE6F91"/>
    <w:rsid w:val="00AF0365"/>
    <w:rsid w:val="00AF12D3"/>
    <w:rsid w:val="00AF35E8"/>
    <w:rsid w:val="00AF4213"/>
    <w:rsid w:val="00AF5571"/>
    <w:rsid w:val="00AF5DE6"/>
    <w:rsid w:val="00AF7988"/>
    <w:rsid w:val="00B00453"/>
    <w:rsid w:val="00B025EC"/>
    <w:rsid w:val="00B04D88"/>
    <w:rsid w:val="00B05998"/>
    <w:rsid w:val="00B07184"/>
    <w:rsid w:val="00B07341"/>
    <w:rsid w:val="00B108BB"/>
    <w:rsid w:val="00B112A9"/>
    <w:rsid w:val="00B13CC4"/>
    <w:rsid w:val="00B174B1"/>
    <w:rsid w:val="00B23088"/>
    <w:rsid w:val="00B24BDB"/>
    <w:rsid w:val="00B30539"/>
    <w:rsid w:val="00B314DB"/>
    <w:rsid w:val="00B34CE7"/>
    <w:rsid w:val="00B35475"/>
    <w:rsid w:val="00B361F2"/>
    <w:rsid w:val="00B36D7D"/>
    <w:rsid w:val="00B3718B"/>
    <w:rsid w:val="00B37FE3"/>
    <w:rsid w:val="00B405AB"/>
    <w:rsid w:val="00B43326"/>
    <w:rsid w:val="00B444D3"/>
    <w:rsid w:val="00B4632A"/>
    <w:rsid w:val="00B46B6F"/>
    <w:rsid w:val="00B475D4"/>
    <w:rsid w:val="00B513B1"/>
    <w:rsid w:val="00B52811"/>
    <w:rsid w:val="00B52A25"/>
    <w:rsid w:val="00B530F1"/>
    <w:rsid w:val="00B54A0C"/>
    <w:rsid w:val="00B54BF8"/>
    <w:rsid w:val="00B55EA8"/>
    <w:rsid w:val="00B57D50"/>
    <w:rsid w:val="00B632D6"/>
    <w:rsid w:val="00B65CAA"/>
    <w:rsid w:val="00B65EE4"/>
    <w:rsid w:val="00B67783"/>
    <w:rsid w:val="00B67999"/>
    <w:rsid w:val="00B754F7"/>
    <w:rsid w:val="00B7647E"/>
    <w:rsid w:val="00B81E03"/>
    <w:rsid w:val="00B83911"/>
    <w:rsid w:val="00B841BB"/>
    <w:rsid w:val="00B86C42"/>
    <w:rsid w:val="00B92D29"/>
    <w:rsid w:val="00BA276C"/>
    <w:rsid w:val="00BA461E"/>
    <w:rsid w:val="00BA61D4"/>
    <w:rsid w:val="00BB16DC"/>
    <w:rsid w:val="00BB306F"/>
    <w:rsid w:val="00BB5AAB"/>
    <w:rsid w:val="00BB5D01"/>
    <w:rsid w:val="00BB679B"/>
    <w:rsid w:val="00BC1180"/>
    <w:rsid w:val="00BC2923"/>
    <w:rsid w:val="00BC4981"/>
    <w:rsid w:val="00BC54B9"/>
    <w:rsid w:val="00BC77B7"/>
    <w:rsid w:val="00BD4B89"/>
    <w:rsid w:val="00BD4F1B"/>
    <w:rsid w:val="00BD5317"/>
    <w:rsid w:val="00BD6EBA"/>
    <w:rsid w:val="00BE0F7F"/>
    <w:rsid w:val="00BE3534"/>
    <w:rsid w:val="00BE7BCF"/>
    <w:rsid w:val="00BF02CB"/>
    <w:rsid w:val="00BF11D3"/>
    <w:rsid w:val="00BF1664"/>
    <w:rsid w:val="00BF21F5"/>
    <w:rsid w:val="00BF397C"/>
    <w:rsid w:val="00BF6FD8"/>
    <w:rsid w:val="00BF784B"/>
    <w:rsid w:val="00BF791D"/>
    <w:rsid w:val="00BF7B01"/>
    <w:rsid w:val="00C01F54"/>
    <w:rsid w:val="00C03680"/>
    <w:rsid w:val="00C04396"/>
    <w:rsid w:val="00C054DF"/>
    <w:rsid w:val="00C122EE"/>
    <w:rsid w:val="00C21762"/>
    <w:rsid w:val="00C24543"/>
    <w:rsid w:val="00C24E58"/>
    <w:rsid w:val="00C2519B"/>
    <w:rsid w:val="00C256A2"/>
    <w:rsid w:val="00C26970"/>
    <w:rsid w:val="00C27875"/>
    <w:rsid w:val="00C30C14"/>
    <w:rsid w:val="00C36D74"/>
    <w:rsid w:val="00C40789"/>
    <w:rsid w:val="00C44A28"/>
    <w:rsid w:val="00C452A1"/>
    <w:rsid w:val="00C4652F"/>
    <w:rsid w:val="00C46EE5"/>
    <w:rsid w:val="00C479A3"/>
    <w:rsid w:val="00C51515"/>
    <w:rsid w:val="00C5512E"/>
    <w:rsid w:val="00C55F44"/>
    <w:rsid w:val="00C56437"/>
    <w:rsid w:val="00C5660B"/>
    <w:rsid w:val="00C57CE7"/>
    <w:rsid w:val="00C62A75"/>
    <w:rsid w:val="00C636A2"/>
    <w:rsid w:val="00C66B72"/>
    <w:rsid w:val="00C73654"/>
    <w:rsid w:val="00C73DC1"/>
    <w:rsid w:val="00C75282"/>
    <w:rsid w:val="00C75993"/>
    <w:rsid w:val="00C76549"/>
    <w:rsid w:val="00C8078D"/>
    <w:rsid w:val="00C810D8"/>
    <w:rsid w:val="00C81B92"/>
    <w:rsid w:val="00C86B09"/>
    <w:rsid w:val="00C91058"/>
    <w:rsid w:val="00C91BC7"/>
    <w:rsid w:val="00C92A38"/>
    <w:rsid w:val="00C941B5"/>
    <w:rsid w:val="00C9567A"/>
    <w:rsid w:val="00C96567"/>
    <w:rsid w:val="00C97129"/>
    <w:rsid w:val="00C9780E"/>
    <w:rsid w:val="00CA1EA3"/>
    <w:rsid w:val="00CA20C9"/>
    <w:rsid w:val="00CA49DF"/>
    <w:rsid w:val="00CA5165"/>
    <w:rsid w:val="00CA67AD"/>
    <w:rsid w:val="00CB212D"/>
    <w:rsid w:val="00CB2583"/>
    <w:rsid w:val="00CB2660"/>
    <w:rsid w:val="00CB76EE"/>
    <w:rsid w:val="00CC4D3A"/>
    <w:rsid w:val="00CC5E90"/>
    <w:rsid w:val="00CC63CF"/>
    <w:rsid w:val="00CD046C"/>
    <w:rsid w:val="00CD3C45"/>
    <w:rsid w:val="00CD5BF3"/>
    <w:rsid w:val="00CE076C"/>
    <w:rsid w:val="00CE31F1"/>
    <w:rsid w:val="00CE5199"/>
    <w:rsid w:val="00CE5629"/>
    <w:rsid w:val="00CE5DD1"/>
    <w:rsid w:val="00CE66D5"/>
    <w:rsid w:val="00CE7F85"/>
    <w:rsid w:val="00CF0122"/>
    <w:rsid w:val="00CF267E"/>
    <w:rsid w:val="00CF27DC"/>
    <w:rsid w:val="00CF3494"/>
    <w:rsid w:val="00CF5A7A"/>
    <w:rsid w:val="00CF637A"/>
    <w:rsid w:val="00D0298F"/>
    <w:rsid w:val="00D04E47"/>
    <w:rsid w:val="00D059DE"/>
    <w:rsid w:val="00D06837"/>
    <w:rsid w:val="00D12193"/>
    <w:rsid w:val="00D1282D"/>
    <w:rsid w:val="00D1309A"/>
    <w:rsid w:val="00D13761"/>
    <w:rsid w:val="00D13FCE"/>
    <w:rsid w:val="00D1408B"/>
    <w:rsid w:val="00D14093"/>
    <w:rsid w:val="00D1440C"/>
    <w:rsid w:val="00D147E7"/>
    <w:rsid w:val="00D16546"/>
    <w:rsid w:val="00D232EC"/>
    <w:rsid w:val="00D306D1"/>
    <w:rsid w:val="00D32354"/>
    <w:rsid w:val="00D334D7"/>
    <w:rsid w:val="00D34786"/>
    <w:rsid w:val="00D3624B"/>
    <w:rsid w:val="00D3676C"/>
    <w:rsid w:val="00D37BFC"/>
    <w:rsid w:val="00D45EE3"/>
    <w:rsid w:val="00D46C44"/>
    <w:rsid w:val="00D47A8E"/>
    <w:rsid w:val="00D50517"/>
    <w:rsid w:val="00D510C1"/>
    <w:rsid w:val="00D5229C"/>
    <w:rsid w:val="00D52D14"/>
    <w:rsid w:val="00D54F18"/>
    <w:rsid w:val="00D55717"/>
    <w:rsid w:val="00D559F0"/>
    <w:rsid w:val="00D57E5E"/>
    <w:rsid w:val="00D60E31"/>
    <w:rsid w:val="00D60F41"/>
    <w:rsid w:val="00D61743"/>
    <w:rsid w:val="00D61E0D"/>
    <w:rsid w:val="00D66323"/>
    <w:rsid w:val="00D66981"/>
    <w:rsid w:val="00D712D3"/>
    <w:rsid w:val="00D71422"/>
    <w:rsid w:val="00D72BEA"/>
    <w:rsid w:val="00D72DC6"/>
    <w:rsid w:val="00D743AE"/>
    <w:rsid w:val="00D74DDD"/>
    <w:rsid w:val="00D7558D"/>
    <w:rsid w:val="00D77075"/>
    <w:rsid w:val="00D77085"/>
    <w:rsid w:val="00D80149"/>
    <w:rsid w:val="00D81D92"/>
    <w:rsid w:val="00D82878"/>
    <w:rsid w:val="00D83D73"/>
    <w:rsid w:val="00D85551"/>
    <w:rsid w:val="00D91A43"/>
    <w:rsid w:val="00D921A6"/>
    <w:rsid w:val="00D94780"/>
    <w:rsid w:val="00D965D2"/>
    <w:rsid w:val="00D96E66"/>
    <w:rsid w:val="00DA046B"/>
    <w:rsid w:val="00DA0D50"/>
    <w:rsid w:val="00DA6626"/>
    <w:rsid w:val="00DA7B5F"/>
    <w:rsid w:val="00DB118E"/>
    <w:rsid w:val="00DB3547"/>
    <w:rsid w:val="00DB3CAE"/>
    <w:rsid w:val="00DB56B7"/>
    <w:rsid w:val="00DB5C6C"/>
    <w:rsid w:val="00DB69B2"/>
    <w:rsid w:val="00DB7D27"/>
    <w:rsid w:val="00DC11E7"/>
    <w:rsid w:val="00DC13A1"/>
    <w:rsid w:val="00DC34D7"/>
    <w:rsid w:val="00DC5A79"/>
    <w:rsid w:val="00DC7023"/>
    <w:rsid w:val="00DC769A"/>
    <w:rsid w:val="00DD1277"/>
    <w:rsid w:val="00DD3D86"/>
    <w:rsid w:val="00DD7C88"/>
    <w:rsid w:val="00DE6726"/>
    <w:rsid w:val="00DE7A0C"/>
    <w:rsid w:val="00DF0155"/>
    <w:rsid w:val="00DF1307"/>
    <w:rsid w:val="00DF1EC4"/>
    <w:rsid w:val="00DF4550"/>
    <w:rsid w:val="00DF52A8"/>
    <w:rsid w:val="00DF6C27"/>
    <w:rsid w:val="00E02080"/>
    <w:rsid w:val="00E0340B"/>
    <w:rsid w:val="00E046C4"/>
    <w:rsid w:val="00E049D4"/>
    <w:rsid w:val="00E04A90"/>
    <w:rsid w:val="00E10C21"/>
    <w:rsid w:val="00E11690"/>
    <w:rsid w:val="00E140B0"/>
    <w:rsid w:val="00E219C7"/>
    <w:rsid w:val="00E22DB4"/>
    <w:rsid w:val="00E24540"/>
    <w:rsid w:val="00E30F86"/>
    <w:rsid w:val="00E3625A"/>
    <w:rsid w:val="00E41912"/>
    <w:rsid w:val="00E43157"/>
    <w:rsid w:val="00E461CE"/>
    <w:rsid w:val="00E467AE"/>
    <w:rsid w:val="00E5189D"/>
    <w:rsid w:val="00E534AD"/>
    <w:rsid w:val="00E55209"/>
    <w:rsid w:val="00E55EB7"/>
    <w:rsid w:val="00E572E1"/>
    <w:rsid w:val="00E62A46"/>
    <w:rsid w:val="00E6303B"/>
    <w:rsid w:val="00E63D13"/>
    <w:rsid w:val="00E64B8D"/>
    <w:rsid w:val="00E6676D"/>
    <w:rsid w:val="00E66BCA"/>
    <w:rsid w:val="00E70CDA"/>
    <w:rsid w:val="00E720CA"/>
    <w:rsid w:val="00E73E29"/>
    <w:rsid w:val="00E7553A"/>
    <w:rsid w:val="00E76D8C"/>
    <w:rsid w:val="00E810C3"/>
    <w:rsid w:val="00E84933"/>
    <w:rsid w:val="00E84EB5"/>
    <w:rsid w:val="00E8511B"/>
    <w:rsid w:val="00E85662"/>
    <w:rsid w:val="00E86463"/>
    <w:rsid w:val="00E87446"/>
    <w:rsid w:val="00E874EB"/>
    <w:rsid w:val="00E8789F"/>
    <w:rsid w:val="00E909AA"/>
    <w:rsid w:val="00E942E4"/>
    <w:rsid w:val="00E94F44"/>
    <w:rsid w:val="00E953C0"/>
    <w:rsid w:val="00E95DF3"/>
    <w:rsid w:val="00E95FC5"/>
    <w:rsid w:val="00E96554"/>
    <w:rsid w:val="00E97B71"/>
    <w:rsid w:val="00EA0EEC"/>
    <w:rsid w:val="00EA315C"/>
    <w:rsid w:val="00EA36A8"/>
    <w:rsid w:val="00EA3D34"/>
    <w:rsid w:val="00EA6705"/>
    <w:rsid w:val="00EB0DFC"/>
    <w:rsid w:val="00EB15FA"/>
    <w:rsid w:val="00EB1D82"/>
    <w:rsid w:val="00EB2434"/>
    <w:rsid w:val="00EB2551"/>
    <w:rsid w:val="00EB318D"/>
    <w:rsid w:val="00EB454D"/>
    <w:rsid w:val="00EB5201"/>
    <w:rsid w:val="00EC0303"/>
    <w:rsid w:val="00EC513C"/>
    <w:rsid w:val="00ED073E"/>
    <w:rsid w:val="00ED0E3D"/>
    <w:rsid w:val="00ED11BD"/>
    <w:rsid w:val="00ED3396"/>
    <w:rsid w:val="00ED5935"/>
    <w:rsid w:val="00ED6BF6"/>
    <w:rsid w:val="00ED6DD6"/>
    <w:rsid w:val="00ED76BE"/>
    <w:rsid w:val="00EE11D2"/>
    <w:rsid w:val="00EE2447"/>
    <w:rsid w:val="00EF1A46"/>
    <w:rsid w:val="00EF23BB"/>
    <w:rsid w:val="00EF619B"/>
    <w:rsid w:val="00F00B55"/>
    <w:rsid w:val="00F01801"/>
    <w:rsid w:val="00F02AD1"/>
    <w:rsid w:val="00F05DC5"/>
    <w:rsid w:val="00F06DDA"/>
    <w:rsid w:val="00F06E2A"/>
    <w:rsid w:val="00F10692"/>
    <w:rsid w:val="00F13031"/>
    <w:rsid w:val="00F14F91"/>
    <w:rsid w:val="00F22C41"/>
    <w:rsid w:val="00F23A55"/>
    <w:rsid w:val="00F253CC"/>
    <w:rsid w:val="00F2759A"/>
    <w:rsid w:val="00F32D90"/>
    <w:rsid w:val="00F34F21"/>
    <w:rsid w:val="00F34FF7"/>
    <w:rsid w:val="00F3515F"/>
    <w:rsid w:val="00F354C4"/>
    <w:rsid w:val="00F3585B"/>
    <w:rsid w:val="00F364BA"/>
    <w:rsid w:val="00F36AB1"/>
    <w:rsid w:val="00F37106"/>
    <w:rsid w:val="00F40679"/>
    <w:rsid w:val="00F41E28"/>
    <w:rsid w:val="00F439B6"/>
    <w:rsid w:val="00F50DA8"/>
    <w:rsid w:val="00F51135"/>
    <w:rsid w:val="00F519CF"/>
    <w:rsid w:val="00F53207"/>
    <w:rsid w:val="00F551E4"/>
    <w:rsid w:val="00F5530F"/>
    <w:rsid w:val="00F5648D"/>
    <w:rsid w:val="00F56BA5"/>
    <w:rsid w:val="00F60E22"/>
    <w:rsid w:val="00F66FF9"/>
    <w:rsid w:val="00F673D4"/>
    <w:rsid w:val="00F7182A"/>
    <w:rsid w:val="00F72DAC"/>
    <w:rsid w:val="00F73104"/>
    <w:rsid w:val="00F752B9"/>
    <w:rsid w:val="00F76BE2"/>
    <w:rsid w:val="00F805FB"/>
    <w:rsid w:val="00F81395"/>
    <w:rsid w:val="00F871FF"/>
    <w:rsid w:val="00F902EB"/>
    <w:rsid w:val="00F914EE"/>
    <w:rsid w:val="00F917D1"/>
    <w:rsid w:val="00F91A10"/>
    <w:rsid w:val="00F91BC0"/>
    <w:rsid w:val="00F9653B"/>
    <w:rsid w:val="00F97F2A"/>
    <w:rsid w:val="00FA2254"/>
    <w:rsid w:val="00FA337C"/>
    <w:rsid w:val="00FA4217"/>
    <w:rsid w:val="00FA4FE1"/>
    <w:rsid w:val="00FB1110"/>
    <w:rsid w:val="00FB20A5"/>
    <w:rsid w:val="00FB4437"/>
    <w:rsid w:val="00FB62CF"/>
    <w:rsid w:val="00FC3BF3"/>
    <w:rsid w:val="00FC5158"/>
    <w:rsid w:val="00FC5789"/>
    <w:rsid w:val="00FC6D5C"/>
    <w:rsid w:val="00FC73D2"/>
    <w:rsid w:val="00FC76C4"/>
    <w:rsid w:val="00FD3C3B"/>
    <w:rsid w:val="00FD3FC1"/>
    <w:rsid w:val="00FD5A99"/>
    <w:rsid w:val="00FE07DD"/>
    <w:rsid w:val="00FE11C9"/>
    <w:rsid w:val="00FE3357"/>
    <w:rsid w:val="00FE6142"/>
    <w:rsid w:val="00FE670C"/>
    <w:rsid w:val="00FE6B45"/>
    <w:rsid w:val="00FF0984"/>
    <w:rsid w:val="00FF5189"/>
    <w:rsid w:val="00FF55F3"/>
    <w:rsid w:val="00FF5851"/>
    <w:rsid w:val="00FF6D23"/>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2"/>
    <o:shapelayout v:ext="edit">
      <o:idmap v:ext="edit" data="1"/>
    </o:shapelayout>
  </w:shapeDefaults>
  <w:decimalSymbol w:val="."/>
  <w:listSeparator w:val=","/>
  <w14:docId w14:val="1D6E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s-ES_tradnl" w:eastAsia="en-US"/>
    </w:rPr>
  </w:style>
  <w:style w:type="paragraph" w:styleId="Heading1">
    <w:name w:val="heading 1"/>
    <w:basedOn w:val="ListParagraph"/>
    <w:next w:val="Normal"/>
    <w:link w:val="Heading1Char"/>
    <w:autoRedefine/>
    <w:uiPriority w:val="9"/>
    <w:qFormat/>
    <w:rsid w:val="00346ED7"/>
    <w:pPr>
      <w:numPr>
        <w:numId w:val="54"/>
      </w:numPr>
      <w:tabs>
        <w:tab w:val="clear" w:pos="450"/>
      </w:tabs>
      <w:suppressAutoHyphens/>
      <w:ind w:left="0" w:firstLine="0"/>
      <w:outlineLvl w:val="0"/>
    </w:pPr>
    <w:rPr>
      <w:rFonts w:asciiTheme="majorHAnsi" w:hAnsiTheme="majorHAnsi"/>
      <w:b/>
      <w:sz w:val="20"/>
      <w:szCs w:val="20"/>
      <w:lang w:val="es-ES_tradnl"/>
    </w:rPr>
  </w:style>
  <w:style w:type="paragraph" w:styleId="Heading2">
    <w:name w:val="heading 2"/>
    <w:basedOn w:val="Normal"/>
    <w:next w:val="Normal"/>
    <w:link w:val="Heading2Char"/>
    <w:autoRedefine/>
    <w:qFormat/>
    <w:rsid w:val="00147351"/>
    <w:pPr>
      <w:keepNext/>
      <w:numPr>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outlineLvl w:val="1"/>
    </w:pPr>
    <w:rPr>
      <w:rFonts w:ascii="Cambria" w:eastAsia="Times New Roman" w:hAnsi="Cambria" w:cs="Arial"/>
      <w:b/>
      <w:bCs/>
      <w:iCs/>
      <w:sz w:val="20"/>
      <w:szCs w:val="28"/>
      <w:bdr w:val="none" w:sz="0" w:space="0" w:color="auto"/>
    </w:rPr>
  </w:style>
  <w:style w:type="paragraph" w:styleId="Heading3">
    <w:name w:val="heading 3"/>
    <w:basedOn w:val="Normal"/>
    <w:next w:val="Normal"/>
    <w:link w:val="Heading3Char"/>
    <w:qFormat/>
    <w:rsid w:val="00161D34"/>
    <w:pPr>
      <w:keepNext/>
      <w:numPr>
        <w:numId w:val="58"/>
      </w:numPr>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asciiTheme="majorHAnsi" w:eastAsia="Times New Roman" w:hAnsiTheme="majorHAnsi" w:cs="Arial"/>
      <w:b/>
      <w:bCs/>
      <w:sz w:val="20"/>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link w:val="BodyTextIndentChar"/>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Subtle Emphasis1,Footnote1"/>
    <w:link w:val="ListParagraphChar"/>
    <w:autoRedefine/>
    <w:uiPriority w:val="99"/>
    <w:qFormat/>
    <w:rsid w:val="008E5267"/>
    <w:pPr>
      <w:widowControl w:val="0"/>
      <w:numPr>
        <w:numId w:val="7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450"/>
        <w:tab w:val="left" w:pos="630"/>
      </w:tabs>
      <w:autoSpaceDE w:val="0"/>
      <w:autoSpaceDN w:val="0"/>
      <w:adjustRightInd w:val="0"/>
      <w:ind w:left="450" w:right="720" w:hanging="90"/>
      <w:jc w:val="both"/>
    </w:pPr>
    <w:rPr>
      <w:rFonts w:ascii="Cambria" w:eastAsia="Cambria" w:hAnsi="Cambria" w:cs="Cambria"/>
      <w:color w:val="000000"/>
      <w:sz w:val="18"/>
      <w:szCs w:val="18"/>
      <w:u w:color="000000"/>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3"/>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1">
    <w:name w:val="List 21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1">
    <w:name w:val="List 31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uiPriority w:val="99"/>
    <w:qFormat/>
    <w:rsid w:val="00A03A30"/>
    <w:pPr>
      <w:jc w:val="both"/>
    </w:pPr>
    <w:rPr>
      <w:rFonts w:asciiTheme="majorHAnsi" w:eastAsia="Calibri" w:hAnsiTheme="majorHAnsi" w:cs="Calibri"/>
      <w:color w:val="000000"/>
      <w:sz w:val="16"/>
      <w:szCs w:val="16"/>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1">
    <w:name w:val="List 41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1">
    <w:name w:val="List 51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346ED7"/>
    <w:rPr>
      <w:rFonts w:asciiTheme="majorHAnsi" w:eastAsia="Cambria" w:hAnsiTheme="majorHAnsi" w:cs="Cambria"/>
      <w:b/>
      <w:color w:val="000000"/>
      <w:u w:color="000000"/>
      <w:lang w:val="es-ES_tradnl"/>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77278C"/>
    <w:pPr>
      <w:tabs>
        <w:tab w:val="left" w:pos="1170"/>
        <w:tab w:val="right" w:leader="dot" w:pos="9350"/>
      </w:tabs>
      <w:spacing w:after="100"/>
      <w:ind w:left="1170" w:hanging="630"/>
    </w:pPr>
  </w:style>
  <w:style w:type="paragraph" w:styleId="TOC1">
    <w:name w:val="toc 1"/>
    <w:basedOn w:val="Normal"/>
    <w:next w:val="Normal"/>
    <w:autoRedefine/>
    <w:uiPriority w:val="39"/>
    <w:unhideWhenUsed/>
    <w:rsid w:val="0077278C"/>
    <w:pPr>
      <w:tabs>
        <w:tab w:val="left" w:pos="540"/>
        <w:tab w:val="right" w:leader="dot" w:pos="9350"/>
      </w:tabs>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1,4_G,16 Point,Superscript 6 Point,Footnote symbol,Footnote,Texto nota al pie,Footnote Reference Cha"/>
    <w:basedOn w:val="DefaultParagraphFont"/>
    <w:link w:val="FootnotesrefssChar1Char"/>
    <w:uiPriority w:val="99"/>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uiPriority w:val="99"/>
    <w:qFormat/>
    <w:locked/>
    <w:rsid w:val="00A03A30"/>
    <w:rPr>
      <w:rFonts w:asciiTheme="majorHAnsi" w:eastAsia="Calibri" w:hAnsiTheme="majorHAnsi" w:cs="Calibri"/>
      <w:color w:val="000000"/>
      <w:sz w:val="16"/>
      <w:szCs w:val="16"/>
      <w:u w:color="000000"/>
      <w:lang w:val="en-US"/>
    </w:rPr>
  </w:style>
  <w:style w:type="character" w:customStyle="1" w:styleId="Heading2Char">
    <w:name w:val="Heading 2 Char"/>
    <w:basedOn w:val="DefaultParagraphFont"/>
    <w:link w:val="Heading2"/>
    <w:rsid w:val="00147351"/>
    <w:rPr>
      <w:rFonts w:ascii="Cambria" w:eastAsia="Times New Roman" w:hAnsi="Cambria" w:cs="Arial"/>
      <w:b/>
      <w:bCs/>
      <w:iCs/>
      <w:szCs w:val="28"/>
      <w:bdr w:val="none" w:sz="0" w:space="0" w:color="auto"/>
      <w:lang w:val="es-ES_tradnl" w:eastAsia="en-US"/>
    </w:rPr>
  </w:style>
  <w:style w:type="character" w:customStyle="1" w:styleId="Heading3Char">
    <w:name w:val="Heading 3 Char"/>
    <w:basedOn w:val="DefaultParagraphFont"/>
    <w:link w:val="Heading3"/>
    <w:rsid w:val="00161D34"/>
    <w:rPr>
      <w:rFonts w:asciiTheme="majorHAnsi" w:eastAsia="Times New Roman" w:hAnsiTheme="majorHAnsi" w:cs="Arial"/>
      <w:b/>
      <w:bCs/>
      <w:szCs w:val="26"/>
      <w:bdr w:val="none" w:sz="0" w:space="0" w:color="auto"/>
      <w:lang w:val="es-ES_tradnl"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link w:val="FootnoteReference"/>
    <w:uiPriority w:val="99"/>
    <w:qFormat/>
    <w:rsid w:val="009014A4"/>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uiPriority w:val="99"/>
    <w:rsid w:val="004D6618"/>
    <w:pPr>
      <w:pBdr>
        <w:top w:val="none" w:sz="0" w:space="0" w:color="auto"/>
        <w:left w:val="none" w:sz="0" w:space="0" w:color="auto"/>
        <w:bottom w:val="none" w:sz="0" w:space="0" w:color="auto"/>
        <w:right w:val="none" w:sz="0" w:space="0" w:color="auto"/>
        <w:between w:val="none" w:sz="0" w:space="0" w:color="auto"/>
        <w:bar w:val="none" w:sz="0" w:color="auto"/>
      </w:pBdr>
      <w:spacing w:before="200" w:after="160" w:line="240" w:lineRule="exact"/>
    </w:pPr>
    <w:rPr>
      <w:rFonts w:ascii="Verdana" w:hAnsi="Verdana"/>
      <w:sz w:val="22"/>
      <w:szCs w:val="20"/>
      <w:bdr w:val="none" w:sz="0" w:space="0" w:color="auto"/>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Lista vistosa - Énfasis 11 Char,Subtle Emphasis1 Char,Footnote1 Char"/>
    <w:link w:val="ListParagraph"/>
    <w:uiPriority w:val="99"/>
    <w:locked/>
    <w:rsid w:val="008E5267"/>
    <w:rPr>
      <w:rFonts w:ascii="Cambria" w:eastAsia="Cambria" w:hAnsi="Cambria" w:cs="Cambria"/>
      <w:color w:val="000000"/>
      <w:sz w:val="18"/>
      <w:szCs w:val="18"/>
      <w:u w:color="000000"/>
    </w:rPr>
  </w:style>
  <w:style w:type="paragraph" w:styleId="NoSpacing">
    <w:name w:val="No Spacing"/>
    <w:uiPriority w:val="1"/>
    <w:qFormat/>
    <w:rsid w:val="00161D34"/>
    <w:rPr>
      <w:sz w:val="24"/>
      <w:szCs w:val="24"/>
      <w:lang w:val="en-US" w:eastAsia="en-US"/>
    </w:rPr>
  </w:style>
  <w:style w:type="character" w:customStyle="1" w:styleId="BodyTextIndentChar">
    <w:name w:val="Body Text Indent Char"/>
    <w:basedOn w:val="DefaultParagraphFont"/>
    <w:link w:val="BodyTextIndent"/>
    <w:rsid w:val="006E1292"/>
    <w:rPr>
      <w:rFonts w:eastAsia="Times New Roman"/>
      <w:color w:val="000000"/>
      <w:sz w:val="24"/>
      <w:szCs w:val="24"/>
      <w:u w:color="000000"/>
      <w:lang w:val="es-ES_tradnl"/>
    </w:rPr>
  </w:style>
  <w:style w:type="paragraph" w:customStyle="1" w:styleId="2Footnotes">
    <w:name w:val="2. Footnotes"/>
    <w:basedOn w:val="FootnoteText"/>
    <w:autoRedefine/>
    <w:qFormat/>
    <w:rsid w:val="006E1292"/>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120"/>
    </w:pPr>
    <w:rPr>
      <w:rFonts w:eastAsiaTheme="majorEastAsia" w:cs="Palatino-Italic"/>
      <w:iCs/>
      <w:noProof/>
      <w:color w:val="auto"/>
      <w:bdr w:val="none" w:sz="0" w:space="0" w:color="auto"/>
      <w:lang w:val="es-ES" w:eastAsia="en-US"/>
    </w:rPr>
  </w:style>
  <w:style w:type="character" w:styleId="FollowedHyperlink">
    <w:name w:val="FollowedHyperlink"/>
    <w:basedOn w:val="DefaultParagraphFont"/>
    <w:uiPriority w:val="99"/>
    <w:semiHidden/>
    <w:unhideWhenUsed/>
    <w:rsid w:val="00384E25"/>
    <w:rPr>
      <w:color w:val="800080" w:themeColor="followedHyperlink"/>
      <w:u w:val="single"/>
    </w:rPr>
  </w:style>
  <w:style w:type="character" w:styleId="CommentReference">
    <w:name w:val="annotation reference"/>
    <w:basedOn w:val="DefaultParagraphFont"/>
    <w:uiPriority w:val="99"/>
    <w:semiHidden/>
    <w:unhideWhenUsed/>
    <w:rsid w:val="00B108BB"/>
    <w:rPr>
      <w:sz w:val="18"/>
      <w:szCs w:val="18"/>
    </w:rPr>
  </w:style>
  <w:style w:type="paragraph" w:styleId="CommentText">
    <w:name w:val="annotation text"/>
    <w:basedOn w:val="Normal"/>
    <w:link w:val="CommentTextChar"/>
    <w:uiPriority w:val="99"/>
    <w:semiHidden/>
    <w:unhideWhenUsed/>
    <w:rsid w:val="00B108BB"/>
  </w:style>
  <w:style w:type="character" w:customStyle="1" w:styleId="CommentTextChar">
    <w:name w:val="Comment Text Char"/>
    <w:basedOn w:val="DefaultParagraphFont"/>
    <w:link w:val="CommentText"/>
    <w:uiPriority w:val="99"/>
    <w:semiHidden/>
    <w:rsid w:val="00B108BB"/>
    <w:rPr>
      <w:sz w:val="24"/>
      <w:szCs w:val="24"/>
      <w:lang w:val="es-ES_tradnl" w:eastAsia="en-US"/>
    </w:rPr>
  </w:style>
  <w:style w:type="paragraph" w:styleId="CommentSubject">
    <w:name w:val="annotation subject"/>
    <w:basedOn w:val="CommentText"/>
    <w:next w:val="CommentText"/>
    <w:link w:val="CommentSubjectChar"/>
    <w:uiPriority w:val="99"/>
    <w:semiHidden/>
    <w:unhideWhenUsed/>
    <w:rsid w:val="00B108BB"/>
    <w:rPr>
      <w:b/>
      <w:bCs/>
      <w:sz w:val="20"/>
      <w:szCs w:val="20"/>
    </w:rPr>
  </w:style>
  <w:style w:type="character" w:customStyle="1" w:styleId="CommentSubjectChar">
    <w:name w:val="Comment Subject Char"/>
    <w:basedOn w:val="CommentTextChar"/>
    <w:link w:val="CommentSubject"/>
    <w:uiPriority w:val="99"/>
    <w:semiHidden/>
    <w:rsid w:val="00B108BB"/>
    <w:rPr>
      <w:b/>
      <w:bCs/>
      <w:sz w:val="24"/>
      <w:szCs w:val="24"/>
      <w:lang w:val="es-ES_tradnl" w:eastAsia="en-US"/>
    </w:rPr>
  </w:style>
  <w:style w:type="character" w:styleId="Emphasis">
    <w:name w:val="Emphasis"/>
    <w:basedOn w:val="DefaultParagraphFont"/>
    <w:uiPriority w:val="20"/>
    <w:qFormat/>
    <w:rsid w:val="0097725A"/>
    <w:rPr>
      <w:i/>
      <w:iCs/>
    </w:rPr>
  </w:style>
  <w:style w:type="paragraph" w:styleId="BodyText3">
    <w:name w:val="Body Text 3"/>
    <w:basedOn w:val="Normal"/>
    <w:link w:val="BodyText3Char"/>
    <w:uiPriority w:val="99"/>
    <w:unhideWhenUsed/>
    <w:rsid w:val="00E534AD"/>
    <w:pPr>
      <w:spacing w:after="120"/>
    </w:pPr>
    <w:rPr>
      <w:sz w:val="16"/>
      <w:szCs w:val="16"/>
    </w:rPr>
  </w:style>
  <w:style w:type="character" w:customStyle="1" w:styleId="BodyText3Char">
    <w:name w:val="Body Text 3 Char"/>
    <w:basedOn w:val="DefaultParagraphFont"/>
    <w:link w:val="BodyText3"/>
    <w:uiPriority w:val="99"/>
    <w:rsid w:val="00E534AD"/>
    <w:rPr>
      <w:sz w:val="16"/>
      <w:szCs w:val="16"/>
      <w:lang w:val="es-ES_tradnl" w:eastAsia="en-US"/>
    </w:rPr>
  </w:style>
  <w:style w:type="character" w:styleId="Strong">
    <w:name w:val="Strong"/>
    <w:uiPriority w:val="22"/>
    <w:qFormat/>
    <w:rsid w:val="00D13761"/>
    <w:rPr>
      <w:b/>
      <w:bCs/>
    </w:rPr>
  </w:style>
  <w:style w:type="paragraph" w:customStyle="1" w:styleId="parrafos">
    <w:name w:val="parrafos"/>
    <w:basedOn w:val="Normal"/>
    <w:link w:val="parrafosChar"/>
    <w:qFormat/>
    <w:rsid w:val="00346ED7"/>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360" w:hanging="360"/>
      <w:jc w:val="both"/>
    </w:pPr>
    <w:rPr>
      <w:rFonts w:asciiTheme="majorHAnsi" w:hAnsiTheme="majorHAnsi"/>
      <w:color w:val="000000" w:themeColor="text1"/>
      <w:sz w:val="20"/>
      <w:szCs w:val="20"/>
      <w:lang w:val="es-VE"/>
    </w:rPr>
  </w:style>
  <w:style w:type="character" w:customStyle="1" w:styleId="parrafosChar">
    <w:name w:val="parrafos Char"/>
    <w:basedOn w:val="DefaultParagraphFont"/>
    <w:link w:val="parrafos"/>
    <w:rsid w:val="00346ED7"/>
    <w:rPr>
      <w:rFonts w:asciiTheme="majorHAnsi" w:hAnsiTheme="majorHAnsi"/>
      <w:color w:val="000000" w:themeColor="text1"/>
      <w:lang w:val="es-VE" w:eastAsia="en-US"/>
    </w:rPr>
  </w:style>
  <w:style w:type="paragraph" w:styleId="TOC5">
    <w:name w:val="toc 5"/>
    <w:basedOn w:val="Normal"/>
    <w:next w:val="Normal"/>
    <w:autoRedefine/>
    <w:uiPriority w:val="39"/>
    <w:unhideWhenUsed/>
    <w:rsid w:val="0077278C"/>
    <w:pPr>
      <w:ind w:left="960"/>
    </w:pPr>
  </w:style>
  <w:style w:type="paragraph" w:styleId="TOC6">
    <w:name w:val="toc 6"/>
    <w:basedOn w:val="Normal"/>
    <w:next w:val="Normal"/>
    <w:autoRedefine/>
    <w:uiPriority w:val="39"/>
    <w:unhideWhenUsed/>
    <w:rsid w:val="0077278C"/>
    <w:pPr>
      <w:ind w:left="1200"/>
    </w:pPr>
  </w:style>
  <w:style w:type="paragraph" w:styleId="TOC7">
    <w:name w:val="toc 7"/>
    <w:basedOn w:val="Normal"/>
    <w:next w:val="Normal"/>
    <w:autoRedefine/>
    <w:uiPriority w:val="39"/>
    <w:unhideWhenUsed/>
    <w:rsid w:val="0077278C"/>
    <w:pPr>
      <w:ind w:left="1440"/>
    </w:pPr>
  </w:style>
  <w:style w:type="paragraph" w:styleId="TOC8">
    <w:name w:val="toc 8"/>
    <w:basedOn w:val="Normal"/>
    <w:next w:val="Normal"/>
    <w:autoRedefine/>
    <w:uiPriority w:val="39"/>
    <w:unhideWhenUsed/>
    <w:rsid w:val="0077278C"/>
    <w:pPr>
      <w:ind w:left="1680"/>
    </w:pPr>
  </w:style>
  <w:style w:type="paragraph" w:styleId="TOC9">
    <w:name w:val="toc 9"/>
    <w:basedOn w:val="Normal"/>
    <w:next w:val="Normal"/>
    <w:autoRedefine/>
    <w:uiPriority w:val="39"/>
    <w:unhideWhenUsed/>
    <w:rsid w:val="0077278C"/>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6645">
      <w:bodyDiv w:val="1"/>
      <w:marLeft w:val="0"/>
      <w:marRight w:val="0"/>
      <w:marTop w:val="0"/>
      <w:marBottom w:val="0"/>
      <w:divBdr>
        <w:top w:val="none" w:sz="0" w:space="0" w:color="auto"/>
        <w:left w:val="none" w:sz="0" w:space="0" w:color="auto"/>
        <w:bottom w:val="none" w:sz="0" w:space="0" w:color="auto"/>
        <w:right w:val="none" w:sz="0" w:space="0" w:color="auto"/>
      </w:divBdr>
    </w:div>
    <w:div w:id="312876986">
      <w:bodyDiv w:val="1"/>
      <w:marLeft w:val="0"/>
      <w:marRight w:val="0"/>
      <w:marTop w:val="0"/>
      <w:marBottom w:val="0"/>
      <w:divBdr>
        <w:top w:val="none" w:sz="0" w:space="0" w:color="auto"/>
        <w:left w:val="none" w:sz="0" w:space="0" w:color="auto"/>
        <w:bottom w:val="none" w:sz="0" w:space="0" w:color="auto"/>
        <w:right w:val="none" w:sz="0" w:space="0" w:color="auto"/>
      </w:divBdr>
    </w:div>
    <w:div w:id="801001336">
      <w:bodyDiv w:val="1"/>
      <w:marLeft w:val="0"/>
      <w:marRight w:val="0"/>
      <w:marTop w:val="0"/>
      <w:marBottom w:val="0"/>
      <w:divBdr>
        <w:top w:val="none" w:sz="0" w:space="0" w:color="auto"/>
        <w:left w:val="none" w:sz="0" w:space="0" w:color="auto"/>
        <w:bottom w:val="none" w:sz="0" w:space="0" w:color="auto"/>
        <w:right w:val="none" w:sz="0" w:space="0" w:color="auto"/>
      </w:divBdr>
    </w:div>
    <w:div w:id="1270553144">
      <w:bodyDiv w:val="1"/>
      <w:marLeft w:val="0"/>
      <w:marRight w:val="0"/>
      <w:marTop w:val="0"/>
      <w:marBottom w:val="0"/>
      <w:divBdr>
        <w:top w:val="none" w:sz="0" w:space="0" w:color="auto"/>
        <w:left w:val="none" w:sz="0" w:space="0" w:color="auto"/>
        <w:bottom w:val="none" w:sz="0" w:space="0" w:color="auto"/>
        <w:right w:val="none" w:sz="0" w:space="0" w:color="auto"/>
      </w:divBdr>
    </w:div>
    <w:div w:id="1480270087">
      <w:bodyDiv w:val="1"/>
      <w:marLeft w:val="0"/>
      <w:marRight w:val="0"/>
      <w:marTop w:val="0"/>
      <w:marBottom w:val="0"/>
      <w:divBdr>
        <w:top w:val="none" w:sz="0" w:space="0" w:color="auto"/>
        <w:left w:val="none" w:sz="0" w:space="0" w:color="auto"/>
        <w:bottom w:val="none" w:sz="0" w:space="0" w:color="auto"/>
        <w:right w:val="none" w:sz="0" w:space="0" w:color="auto"/>
      </w:divBdr>
    </w:div>
    <w:div w:id="1596547302">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centrodememoriahistorica.gov.co/micrositios/desaparicionForzada/libros-tomo2.html." TargetMode="External"/><Relationship Id="rId13" Type="http://schemas.openxmlformats.org/officeDocument/2006/relationships/hyperlink" Target="http://joomla.corteidh.or.cr:8080/joomla/es/casos-contenciosos/38-jurisprudencia/2120-corte-idh-caso-j-vs-peru-excepcion-preliminar-fondo-reparaciones-y-costas-sentencia-de-27-de-noviembre-de-2013-serie-c-no-275" TargetMode="External"/><Relationship Id="rId18" Type="http://schemas.openxmlformats.org/officeDocument/2006/relationships/hyperlink" Target="http://www.oas.org/es/cidh/defensores/docs/pdf/defensores2011.pdf" TargetMode="External"/><Relationship Id="rId3" Type="http://schemas.openxmlformats.org/officeDocument/2006/relationships/hyperlink" Target="http://www.cidh.org/countryrep/Colom99sp/indice.htm." TargetMode="External"/><Relationship Id="rId21" Type="http://schemas.openxmlformats.org/officeDocument/2006/relationships/hyperlink" Target="http://www.oas.org/es/cidh/informes/pdfs/movilidadhumana.pdf" TargetMode="External"/><Relationship Id="rId7" Type="http://schemas.openxmlformats.org/officeDocument/2006/relationships/hyperlink" Target="http://centrodememoriahistorica.gov.co/descargas/informes2016/derecho-justicia/el-derecho-de-justicia-como-garantia-de-no-repeticion-tomo-1.pdf" TargetMode="External"/><Relationship Id="rId12" Type="http://schemas.openxmlformats.org/officeDocument/2006/relationships/hyperlink" Target="http://cidh.org/annualrep/2000sp/cap.4a.htm" TargetMode="External"/><Relationship Id="rId17" Type="http://schemas.openxmlformats.org/officeDocument/2006/relationships/hyperlink" Target="http://www.cidh.org/countryrep/Defensores/defensoresindice.htm" TargetMode="External"/><Relationship Id="rId2" Type="http://schemas.openxmlformats.org/officeDocument/2006/relationships/hyperlink" Target="http://www.cidh.org/countryrep/Colom99sp/indice.htm." TargetMode="External"/><Relationship Id="rId16" Type="http://schemas.openxmlformats.org/officeDocument/2006/relationships/hyperlink" Target="http://www.oas.org/es/cidh/defensores/docs/pdf/defensores2011.pdf" TargetMode="External"/><Relationship Id="rId20" Type="http://schemas.openxmlformats.org/officeDocument/2006/relationships/hyperlink" Target="http://www.oas.org/es/cidh/informes/pdfs/criminalizacion2016.pdf" TargetMode="External"/><Relationship Id="rId1" Type="http://schemas.openxmlformats.org/officeDocument/2006/relationships/hyperlink" Target="http://www.cidh.org/countryrep/Colombia93sp/indice.htm" TargetMode="External"/><Relationship Id="rId6" Type="http://schemas.openxmlformats.org/officeDocument/2006/relationships/hyperlink" Target="http://www.centrodememoriahistorica.gov.co/micrositios/desaparicionForzada/libros-tomo2.html." TargetMode="External"/><Relationship Id="rId11" Type="http://schemas.openxmlformats.org/officeDocument/2006/relationships/hyperlink" Target="http://www.centrodememoriahistorica.gov.co/descargas/informes2011/silenciar-democracia-edicion2-2015.pdf" TargetMode="External"/><Relationship Id="rId5" Type="http://schemas.openxmlformats.org/officeDocument/2006/relationships/hyperlink" Target="http://www.centrodememoriahistorica.gov.co/micrositios/desaparicionForzada/libros-tomo2.html." TargetMode="External"/><Relationship Id="rId15" Type="http://schemas.openxmlformats.org/officeDocument/2006/relationships/hyperlink" Target="http://www.oas.org/es/cidh/informes/pdfs/Proteccion-Personas-Defensoras.pdf" TargetMode="External"/><Relationship Id="rId10" Type="http://schemas.openxmlformats.org/officeDocument/2006/relationships/hyperlink" Target="http://www.centrodememoriahistorica.gov.co/descargas/informes2011/silenciar-democracia-edicion2-2015.pdf" TargetMode="External"/><Relationship Id="rId19" Type="http://schemas.openxmlformats.org/officeDocument/2006/relationships/hyperlink" Target="http://www.cidh.org/countryrep/Defensores/defensoresindice.htm" TargetMode="External"/><Relationship Id="rId4" Type="http://schemas.openxmlformats.org/officeDocument/2006/relationships/hyperlink" Target="http://centrodememoriahistorica.gov.co/descargas/informes2016/derecho-justicia/el-derecho-de-justicia-como-garantia-de-no-repeticion-tomo-1.pdf" TargetMode="External"/><Relationship Id="rId9" Type="http://schemas.openxmlformats.org/officeDocument/2006/relationships/hyperlink" Target="http://www.cidh.org/countryrep/Colom99sp/indice.htm" TargetMode="External"/><Relationship Id="rId14" Type="http://schemas.openxmlformats.org/officeDocument/2006/relationships/hyperlink" Target="http://www.oas.org/es/cidh/informes/pdfs/criminalizacion2016.pdf" TargetMode="External"/><Relationship Id="rId22" Type="http://schemas.openxmlformats.org/officeDocument/2006/relationships/hyperlink" Target="http://joomla.corteidh.or.cr:8080/joomla/es/jurisprudencia-oc-2/38-jurisprudencia/731-corte-idh-caso-de-las-masacres-de-ituango-vs-colombia-sentencia-de-1-de-julio-de-2006-serie-c-no-14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D3F51-F3BA-4CF2-A5A6-7AF102510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15233</Words>
  <Characters>86834</Characters>
  <Application>Microsoft Office Word</Application>
  <DocSecurity>0</DocSecurity>
  <Lines>723</Lines>
  <Paragraphs>203</Paragraphs>
  <ScaleCrop>false</ScaleCrop>
  <Company/>
  <LinksUpToDate>false</LinksUpToDate>
  <CharactersWithSpaces>101864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2026-01-21T20:25:00Z</dcterms:created>
  <dcterms:modified xsi:type="dcterms:W3CDTF">2026-01-21T20:26:00Z</dcterms:modified>
</cp:coreProperties>
</file>