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CC08" w14:textId="77777777" w:rsidR="009C66B4" w:rsidRPr="007A319A" w:rsidRDefault="009C66B4" w:rsidP="009C66B4">
      <w:pPr>
        <w:spacing w:after="0" w:line="240" w:lineRule="auto"/>
        <w:jc w:val="both"/>
        <w:rPr>
          <w:rFonts w:ascii="Cambria" w:hAnsi="Cambria" w:cs="Calibri"/>
          <w:b/>
          <w:color w:val="000000"/>
          <w:sz w:val="16"/>
          <w:szCs w:val="16"/>
          <w:lang w:val="es-CO"/>
        </w:rPr>
      </w:pPr>
    </w:p>
    <w:p w14:paraId="62B00ED1" w14:textId="367012DE" w:rsidR="009C66B4" w:rsidRPr="007900F7" w:rsidRDefault="009C66B4" w:rsidP="009C66B4">
      <w:pPr>
        <w:spacing w:after="0" w:line="240" w:lineRule="auto"/>
        <w:jc w:val="right"/>
        <w:rPr>
          <w:rFonts w:ascii="Cambria" w:hAnsi="Cambria" w:cs="Calibri"/>
          <w:b/>
          <w:color w:val="000000"/>
          <w:sz w:val="20"/>
          <w:szCs w:val="20"/>
          <w:lang w:val="pt-BR"/>
        </w:rPr>
      </w:pPr>
      <w:r w:rsidRPr="007900F7">
        <w:rPr>
          <w:rFonts w:ascii="Cambria" w:hAnsi="Cambria" w:cs="Calibri"/>
          <w:color w:val="000000"/>
          <w:sz w:val="20"/>
          <w:szCs w:val="20"/>
          <w:lang w:val="pt-BR"/>
        </w:rPr>
        <w:t xml:space="preserve">1 de </w:t>
      </w:r>
      <w:r w:rsidR="008C7C88" w:rsidRPr="007900F7">
        <w:rPr>
          <w:rFonts w:ascii="Cambria" w:hAnsi="Cambria" w:cs="Calibri"/>
          <w:color w:val="000000"/>
          <w:sz w:val="20"/>
          <w:szCs w:val="20"/>
          <w:lang w:val="pt-BR"/>
        </w:rPr>
        <w:t>agosto</w:t>
      </w:r>
      <w:r w:rsidRPr="007900F7">
        <w:rPr>
          <w:rFonts w:ascii="Cambria" w:hAnsi="Cambria" w:cs="Calibri"/>
          <w:color w:val="000000"/>
          <w:sz w:val="20"/>
          <w:szCs w:val="20"/>
          <w:lang w:val="pt-BR"/>
        </w:rPr>
        <w:t xml:space="preserve"> de 2025</w:t>
      </w:r>
    </w:p>
    <w:p w14:paraId="173565CF" w14:textId="3187EADF" w:rsidR="009C66B4" w:rsidRPr="007900F7" w:rsidRDefault="009C66B4" w:rsidP="009C66B4">
      <w:pPr>
        <w:spacing w:after="0" w:line="240" w:lineRule="auto"/>
        <w:jc w:val="both"/>
        <w:rPr>
          <w:rFonts w:ascii="Cambria" w:hAnsi="Cambria" w:cs="Calibri"/>
          <w:b/>
          <w:color w:val="000000"/>
          <w:sz w:val="20"/>
          <w:szCs w:val="20"/>
          <w:lang w:val="pt-BR"/>
        </w:rPr>
      </w:pPr>
      <w:r w:rsidRPr="007900F7">
        <w:rPr>
          <w:rFonts w:ascii="Cambria" w:hAnsi="Cambria" w:cs="Calibri"/>
          <w:b/>
          <w:color w:val="000000"/>
          <w:sz w:val="20"/>
          <w:szCs w:val="20"/>
          <w:lang w:val="pt-BR"/>
        </w:rPr>
        <w:t>REF.:</w:t>
      </w:r>
      <w:bookmarkStart w:id="0" w:name="Peticion_n"/>
      <w:bookmarkEnd w:id="0"/>
      <w:r w:rsidRPr="007900F7">
        <w:rPr>
          <w:rFonts w:ascii="Cambria" w:hAnsi="Cambria" w:cs="Calibri"/>
          <w:b/>
          <w:color w:val="000000"/>
          <w:sz w:val="20"/>
          <w:szCs w:val="20"/>
          <w:lang w:val="pt-BR"/>
        </w:rPr>
        <w:tab/>
        <w:t xml:space="preserve">Caso Nº </w:t>
      </w:r>
      <w:r w:rsidR="008C7C88" w:rsidRPr="007900F7">
        <w:rPr>
          <w:rFonts w:ascii="Cambria" w:hAnsi="Cambria"/>
          <w:b/>
          <w:sz w:val="20"/>
          <w:szCs w:val="20"/>
          <w:lang w:val="pt-BR"/>
        </w:rPr>
        <w:t>13.068</w:t>
      </w:r>
    </w:p>
    <w:p w14:paraId="6A2B8F3A" w14:textId="77777777" w:rsidR="008C7C88" w:rsidRPr="007A319A" w:rsidRDefault="008C7C88" w:rsidP="008C7C88">
      <w:pPr>
        <w:spacing w:after="0" w:line="240" w:lineRule="auto"/>
        <w:ind w:left="720"/>
        <w:jc w:val="both"/>
        <w:rPr>
          <w:rFonts w:ascii="Cambria" w:hAnsi="Cambria"/>
          <w:b/>
          <w:sz w:val="20"/>
          <w:szCs w:val="20"/>
          <w:lang w:val="es-CO"/>
        </w:rPr>
      </w:pPr>
      <w:bookmarkStart w:id="1" w:name="_Hlk204937863"/>
      <w:r w:rsidRPr="007A319A">
        <w:rPr>
          <w:rFonts w:ascii="Cambria" w:hAnsi="Cambria"/>
          <w:b/>
          <w:sz w:val="20"/>
          <w:szCs w:val="20"/>
          <w:lang w:val="es-CO"/>
        </w:rPr>
        <w:t xml:space="preserve">Adrián Hernando Brunettini </w:t>
      </w:r>
    </w:p>
    <w:bookmarkEnd w:id="1"/>
    <w:p w14:paraId="77BBD92C" w14:textId="033D8532" w:rsidR="009C66B4" w:rsidRPr="007A319A" w:rsidRDefault="009C66B4" w:rsidP="008C7C88">
      <w:pPr>
        <w:spacing w:after="0" w:line="240" w:lineRule="auto"/>
        <w:ind w:left="720"/>
        <w:jc w:val="both"/>
        <w:rPr>
          <w:rFonts w:ascii="Cambria" w:hAnsi="Cambria"/>
          <w:b/>
          <w:sz w:val="20"/>
          <w:szCs w:val="20"/>
          <w:lang w:val="es-CO"/>
        </w:rPr>
      </w:pPr>
      <w:r w:rsidRPr="007A319A">
        <w:rPr>
          <w:rFonts w:ascii="Cambria" w:hAnsi="Cambria" w:cs="Calibri"/>
          <w:b/>
          <w:color w:val="000000"/>
          <w:sz w:val="20"/>
          <w:szCs w:val="20"/>
          <w:lang w:val="es-CO"/>
        </w:rPr>
        <w:t>Argentina</w:t>
      </w:r>
    </w:p>
    <w:p w14:paraId="7C87561B" w14:textId="77777777" w:rsidR="009C66B4" w:rsidRPr="007A319A" w:rsidRDefault="009C66B4" w:rsidP="009C66B4">
      <w:pPr>
        <w:spacing w:after="0" w:line="240" w:lineRule="auto"/>
        <w:jc w:val="both"/>
        <w:rPr>
          <w:rFonts w:ascii="Cambria" w:hAnsi="Cambria" w:cs="Calibri"/>
          <w:b/>
          <w:color w:val="000000"/>
          <w:sz w:val="20"/>
          <w:szCs w:val="20"/>
          <w:lang w:val="es-CO"/>
        </w:rPr>
      </w:pPr>
    </w:p>
    <w:p w14:paraId="6EFF4404" w14:textId="77777777" w:rsidR="009C66B4" w:rsidRPr="007A319A" w:rsidRDefault="009C66B4" w:rsidP="009C66B4">
      <w:pPr>
        <w:spacing w:after="0" w:line="240" w:lineRule="auto"/>
        <w:jc w:val="both"/>
        <w:rPr>
          <w:rFonts w:ascii="Cambria" w:hAnsi="Cambria" w:cs="Calibri"/>
          <w:color w:val="000000"/>
          <w:sz w:val="20"/>
          <w:szCs w:val="20"/>
          <w:lang w:val="es-CO"/>
        </w:rPr>
      </w:pPr>
      <w:r w:rsidRPr="007A319A">
        <w:rPr>
          <w:rFonts w:ascii="Cambria" w:hAnsi="Cambria" w:cs="Calibri"/>
          <w:color w:val="000000"/>
          <w:sz w:val="20"/>
          <w:szCs w:val="20"/>
          <w:lang w:val="es-CO"/>
        </w:rPr>
        <w:t xml:space="preserve">Señor </w:t>
      </w:r>
      <w:proofErr w:type="gramStart"/>
      <w:r w:rsidRPr="007A319A">
        <w:rPr>
          <w:rFonts w:ascii="Cambria" w:hAnsi="Cambria" w:cs="Calibri"/>
          <w:color w:val="000000"/>
          <w:sz w:val="20"/>
          <w:szCs w:val="20"/>
          <w:lang w:val="es-CO"/>
        </w:rPr>
        <w:t>Secretario</w:t>
      </w:r>
      <w:proofErr w:type="gramEnd"/>
      <w:r w:rsidRPr="007A319A">
        <w:rPr>
          <w:rFonts w:ascii="Cambria" w:hAnsi="Cambria" w:cs="Calibri"/>
          <w:color w:val="000000"/>
          <w:sz w:val="20"/>
          <w:szCs w:val="20"/>
          <w:lang w:val="es-CO"/>
        </w:rPr>
        <w:t>:</w:t>
      </w:r>
    </w:p>
    <w:p w14:paraId="51E1312F" w14:textId="77777777" w:rsidR="009C66B4" w:rsidRPr="007A319A" w:rsidRDefault="009C66B4" w:rsidP="009C66B4">
      <w:pPr>
        <w:spacing w:after="0" w:line="240" w:lineRule="auto"/>
        <w:jc w:val="both"/>
        <w:rPr>
          <w:rFonts w:ascii="Cambria" w:hAnsi="Cambria" w:cs="Calibri"/>
          <w:color w:val="000000"/>
          <w:sz w:val="16"/>
          <w:szCs w:val="16"/>
          <w:lang w:val="es-CO"/>
        </w:rPr>
      </w:pPr>
    </w:p>
    <w:p w14:paraId="36DCE59C" w14:textId="4A4C95E5" w:rsidR="008C7C88" w:rsidRPr="007A319A" w:rsidRDefault="009C66B4"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r w:rsidRPr="007A319A">
        <w:rPr>
          <w:rFonts w:ascii="Cambria" w:hAnsi="Cambria" w:cs="Calibri"/>
          <w:color w:val="000000"/>
          <w:sz w:val="20"/>
          <w:szCs w:val="20"/>
          <w:lang w:val="es-CO"/>
        </w:rPr>
        <w:tab/>
        <w:t xml:space="preserve">Tengo el agrado de dirigirme a usted, en nombre de la Comisión Interamericana de Derechos Humanos, con el objeto de someter a la jurisdicción de la Honorable Corte Interamericana de Derechos Humanos, el Caso </w:t>
      </w:r>
      <w:r w:rsidR="008C7C88" w:rsidRPr="007A319A">
        <w:rPr>
          <w:rFonts w:ascii="Cambria" w:hAnsi="Cambria" w:cs="Calibri"/>
          <w:color w:val="000000"/>
          <w:sz w:val="20"/>
          <w:szCs w:val="20"/>
          <w:lang w:val="es-CO"/>
        </w:rPr>
        <w:t xml:space="preserve">13.068 </w:t>
      </w:r>
      <w:r w:rsidRPr="007A319A">
        <w:rPr>
          <w:rFonts w:ascii="Cambria" w:hAnsi="Cambria" w:cs="Calibri"/>
          <w:color w:val="000000"/>
          <w:sz w:val="20"/>
          <w:szCs w:val="20"/>
          <w:lang w:val="es-CO"/>
        </w:rPr>
        <w:t xml:space="preserve">- </w:t>
      </w:r>
      <w:r w:rsidR="008C7C88" w:rsidRPr="007A319A">
        <w:rPr>
          <w:rFonts w:ascii="Cambria" w:hAnsi="Cambria" w:cs="Calibri"/>
          <w:color w:val="000000"/>
          <w:sz w:val="20"/>
          <w:szCs w:val="20"/>
          <w:lang w:val="es-CO"/>
        </w:rPr>
        <w:t xml:space="preserve">Adrián Hernando Brunettini </w:t>
      </w:r>
      <w:r w:rsidRPr="007A319A">
        <w:rPr>
          <w:rFonts w:ascii="Cambria" w:hAnsi="Cambria" w:cs="Calibri"/>
          <w:color w:val="000000"/>
          <w:sz w:val="20"/>
          <w:szCs w:val="20"/>
          <w:lang w:val="es-CO"/>
        </w:rPr>
        <w:t xml:space="preserve">de la República Argentina (en adelante “el Estado”, “el Estado argentino” o “Argentina”). </w:t>
      </w:r>
      <w:r w:rsidR="008C7C88" w:rsidRPr="007A319A">
        <w:rPr>
          <w:rFonts w:ascii="Cambria" w:eastAsia="Cambria" w:hAnsi="Cambria" w:cs="Cambria"/>
          <w:sz w:val="20"/>
          <w:szCs w:val="20"/>
          <w:lang w:val="es-CO"/>
        </w:rPr>
        <w:t xml:space="preserve">El caso </w:t>
      </w:r>
      <w:r w:rsidR="00AD666E">
        <w:rPr>
          <w:rFonts w:ascii="Cambria" w:eastAsia="Cambria" w:hAnsi="Cambria" w:cs="Cambria"/>
          <w:sz w:val="20"/>
          <w:szCs w:val="20"/>
          <w:lang w:val="es-CO"/>
        </w:rPr>
        <w:t xml:space="preserve">se </w:t>
      </w:r>
      <w:r w:rsidR="008C7C88" w:rsidRPr="007A319A">
        <w:rPr>
          <w:rFonts w:ascii="Cambria" w:eastAsia="Cambria" w:hAnsi="Cambria" w:cs="Cambria"/>
          <w:sz w:val="20"/>
          <w:szCs w:val="20"/>
          <w:lang w:val="es-CO"/>
        </w:rPr>
        <w:t xml:space="preserve">refiere </w:t>
      </w:r>
      <w:r w:rsidR="007527BD">
        <w:rPr>
          <w:rFonts w:ascii="Cambria" w:eastAsia="Cambria" w:hAnsi="Cambria" w:cs="Cambria"/>
          <w:sz w:val="20"/>
          <w:szCs w:val="20"/>
          <w:lang w:val="es-CO"/>
        </w:rPr>
        <w:t>a</w:t>
      </w:r>
      <w:r w:rsidR="00AD666E">
        <w:rPr>
          <w:rFonts w:ascii="Cambria" w:eastAsia="Cambria" w:hAnsi="Cambria" w:cs="Cambria"/>
          <w:sz w:val="20"/>
          <w:szCs w:val="20"/>
          <w:lang w:val="es-CO"/>
        </w:rPr>
        <w:t xml:space="preserve"> </w:t>
      </w:r>
      <w:r w:rsidR="008C7C88" w:rsidRPr="007A319A">
        <w:rPr>
          <w:rFonts w:ascii="Cambria" w:eastAsia="Cambria" w:hAnsi="Cambria" w:cs="Cambria"/>
          <w:sz w:val="20"/>
          <w:szCs w:val="20"/>
          <w:lang w:val="es-CO"/>
        </w:rPr>
        <w:t>la responsabilidad internacional del Estado argentino por la muerte de Adrián Hernando Brunetti</w:t>
      </w:r>
      <w:r w:rsidR="008A52C3">
        <w:rPr>
          <w:rFonts w:ascii="Cambria" w:eastAsia="Cambria" w:hAnsi="Cambria" w:cs="Cambria"/>
          <w:sz w:val="20"/>
          <w:szCs w:val="20"/>
          <w:lang w:val="es-CO"/>
        </w:rPr>
        <w:t>ni</w:t>
      </w:r>
      <w:r w:rsidR="008C7C88" w:rsidRPr="007A319A">
        <w:rPr>
          <w:rFonts w:ascii="Cambria" w:eastAsia="Cambria" w:hAnsi="Cambria" w:cs="Cambria"/>
          <w:sz w:val="20"/>
          <w:szCs w:val="20"/>
          <w:lang w:val="es-CO"/>
        </w:rPr>
        <w:t xml:space="preserve"> ocurrida el 24 de diciembre de 1993 por parte de agentes policiales, así como por la impunidad</w:t>
      </w:r>
      <w:r w:rsidR="00627224" w:rsidRPr="007A319A">
        <w:rPr>
          <w:rFonts w:ascii="Cambria" w:eastAsia="Cambria" w:hAnsi="Cambria" w:cs="Cambria"/>
          <w:sz w:val="20"/>
          <w:szCs w:val="20"/>
          <w:lang w:val="es-CO"/>
        </w:rPr>
        <w:t xml:space="preserve"> de estos hechos</w:t>
      </w:r>
      <w:r w:rsidR="008C7C88" w:rsidRPr="007A319A">
        <w:rPr>
          <w:rFonts w:ascii="Cambria" w:eastAsia="Cambria" w:hAnsi="Cambria" w:cs="Cambria"/>
          <w:sz w:val="20"/>
          <w:szCs w:val="20"/>
          <w:lang w:val="es-CO"/>
        </w:rPr>
        <w:t xml:space="preserve">. </w:t>
      </w:r>
    </w:p>
    <w:p w14:paraId="1AAECFD9" w14:textId="77777777" w:rsidR="008C7C88" w:rsidRPr="007A319A" w:rsidRDefault="008C7C88"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p>
    <w:p w14:paraId="66993815" w14:textId="63DA1E76" w:rsidR="009A5F1E" w:rsidRPr="007A319A" w:rsidRDefault="00AD0313" w:rsidP="004D66CA">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 xml:space="preserve">Adrián Brunettini tenía 16 años, vivía en la provincia de Buenos Aires y trabajaba en la zapatería de su padre. </w:t>
      </w:r>
      <w:r w:rsidR="008C7C88" w:rsidRPr="007A319A">
        <w:rPr>
          <w:rFonts w:ascii="Cambria" w:eastAsia="Cambria" w:hAnsi="Cambria" w:cs="Cambria"/>
          <w:sz w:val="20"/>
          <w:szCs w:val="20"/>
          <w:lang w:val="es-CO"/>
        </w:rPr>
        <w:t>El 24 de diciembre de 1993 se encontraba montando una moto</w:t>
      </w:r>
      <w:r w:rsidRPr="007A319A">
        <w:rPr>
          <w:rFonts w:ascii="Cambria" w:eastAsia="Cambria" w:hAnsi="Cambria" w:cs="Cambria"/>
          <w:sz w:val="20"/>
          <w:szCs w:val="20"/>
          <w:lang w:val="es-CO"/>
        </w:rPr>
        <w:t xml:space="preserve"> junto con su amigo</w:t>
      </w:r>
      <w:r w:rsidR="00134EE1" w:rsidRPr="007A319A">
        <w:rPr>
          <w:rFonts w:ascii="Cambria" w:eastAsia="Cambria" w:hAnsi="Cambria" w:cs="Cambria"/>
          <w:sz w:val="20"/>
          <w:szCs w:val="20"/>
          <w:lang w:val="es-CO"/>
        </w:rPr>
        <w:t xml:space="preserve"> Guillermo Andrés Casas</w:t>
      </w:r>
      <w:r w:rsidR="008C7C88" w:rsidRPr="007A319A">
        <w:rPr>
          <w:rFonts w:ascii="Cambria" w:eastAsia="Cambria" w:hAnsi="Cambria" w:cs="Cambria"/>
          <w:sz w:val="20"/>
          <w:szCs w:val="20"/>
          <w:lang w:val="es-CO"/>
        </w:rPr>
        <w:t xml:space="preserve">, cerca de Ciudad Evita. Mientras manejaban pasaron al lado de un patrullero, donde se encontraban los agentes policiales Gerardo Rodolfo </w:t>
      </w:r>
      <w:proofErr w:type="spellStart"/>
      <w:r w:rsidR="008C7C88" w:rsidRPr="007A319A">
        <w:rPr>
          <w:rFonts w:ascii="Cambria" w:eastAsia="Cambria" w:hAnsi="Cambria" w:cs="Cambria"/>
          <w:sz w:val="20"/>
          <w:szCs w:val="20"/>
          <w:lang w:val="es-CO"/>
        </w:rPr>
        <w:t>Azame</w:t>
      </w:r>
      <w:proofErr w:type="spellEnd"/>
      <w:r w:rsidR="008C7C88" w:rsidRPr="007A319A">
        <w:rPr>
          <w:rFonts w:ascii="Cambria" w:eastAsia="Cambria" w:hAnsi="Cambria" w:cs="Cambria"/>
          <w:sz w:val="20"/>
          <w:szCs w:val="20"/>
          <w:lang w:val="es-CO"/>
        </w:rPr>
        <w:t xml:space="preserve"> y Horacio Albino Morales</w:t>
      </w:r>
      <w:r w:rsidR="00AD606F" w:rsidRPr="007A319A">
        <w:rPr>
          <w:rFonts w:ascii="Cambria" w:eastAsia="Cambria" w:hAnsi="Cambria" w:cs="Cambria"/>
          <w:sz w:val="20"/>
          <w:szCs w:val="20"/>
          <w:lang w:val="es-CO"/>
        </w:rPr>
        <w:t xml:space="preserve">. </w:t>
      </w:r>
    </w:p>
    <w:p w14:paraId="44F7620F" w14:textId="77777777" w:rsidR="009A5F1E" w:rsidRPr="007A319A" w:rsidRDefault="009A5F1E" w:rsidP="00AD0313">
      <w:pPr>
        <w:pBdr>
          <w:top w:val="nil"/>
          <w:left w:val="nil"/>
          <w:bottom w:val="nil"/>
          <w:right w:val="nil"/>
          <w:between w:val="nil"/>
        </w:pBdr>
        <w:spacing w:after="0" w:line="240" w:lineRule="auto"/>
        <w:jc w:val="both"/>
        <w:rPr>
          <w:rFonts w:ascii="Cambria" w:eastAsia="Cambria" w:hAnsi="Cambria" w:cs="Cambria"/>
          <w:sz w:val="20"/>
          <w:szCs w:val="20"/>
          <w:lang w:val="es-CO"/>
        </w:rPr>
      </w:pPr>
    </w:p>
    <w:p w14:paraId="7D2CB6DF" w14:textId="086C8916" w:rsidR="0037118F" w:rsidRPr="007A319A" w:rsidRDefault="0066384F" w:rsidP="0037118F">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 xml:space="preserve">Según lo indicado por la parte peticionaria, </w:t>
      </w:r>
      <w:r w:rsidR="00EA25B8" w:rsidRPr="007A319A">
        <w:rPr>
          <w:rFonts w:ascii="Cambria" w:eastAsia="Cambria" w:hAnsi="Cambria" w:cs="Cambria"/>
          <w:sz w:val="20"/>
          <w:szCs w:val="20"/>
          <w:lang w:val="es-CO"/>
        </w:rPr>
        <w:t>los agentes policiales les pidieron detenerse, por lo que procedieron a bajar la velocidad para estacionarse</w:t>
      </w:r>
      <w:r w:rsidR="00AD606F" w:rsidRPr="007A319A">
        <w:rPr>
          <w:rFonts w:ascii="Cambria" w:eastAsia="Cambria" w:hAnsi="Cambria" w:cs="Cambria"/>
          <w:sz w:val="20"/>
          <w:szCs w:val="20"/>
          <w:lang w:val="es-CO"/>
        </w:rPr>
        <w:t xml:space="preserve"> y, s</w:t>
      </w:r>
      <w:r w:rsidR="00EA25B8" w:rsidRPr="007A319A">
        <w:rPr>
          <w:rFonts w:ascii="Cambria" w:eastAsia="Cambria" w:hAnsi="Cambria" w:cs="Cambria"/>
          <w:sz w:val="20"/>
          <w:szCs w:val="20"/>
          <w:lang w:val="es-CO"/>
        </w:rPr>
        <w:t xml:space="preserve">in ningún aviso previo un agente policial realizó un disparo al aire, lo cual generó mucho temor en el joven Brunettini, </w:t>
      </w:r>
      <w:r w:rsidR="006868D0" w:rsidRPr="007A319A">
        <w:rPr>
          <w:rFonts w:ascii="Cambria" w:eastAsia="Cambria" w:hAnsi="Cambria" w:cs="Cambria"/>
          <w:sz w:val="20"/>
          <w:szCs w:val="20"/>
          <w:lang w:val="es-CO"/>
        </w:rPr>
        <w:t>quien</w:t>
      </w:r>
      <w:r w:rsidR="00EA25B8" w:rsidRPr="007A319A">
        <w:rPr>
          <w:rFonts w:ascii="Cambria" w:eastAsia="Cambria" w:hAnsi="Cambria" w:cs="Cambria"/>
          <w:sz w:val="20"/>
          <w:szCs w:val="20"/>
          <w:lang w:val="es-CO"/>
        </w:rPr>
        <w:t xml:space="preserve"> decidió avanzar en la motocicleta. </w:t>
      </w:r>
      <w:r w:rsidR="006868D0" w:rsidRPr="007A319A">
        <w:rPr>
          <w:rFonts w:ascii="Cambria" w:eastAsia="Cambria" w:hAnsi="Cambria" w:cs="Cambria"/>
          <w:sz w:val="20"/>
          <w:szCs w:val="20"/>
          <w:lang w:val="es-CO"/>
        </w:rPr>
        <w:t xml:space="preserve">La parte peticionaria señaló que </w:t>
      </w:r>
      <w:r w:rsidR="00EA25B8" w:rsidRPr="007A319A">
        <w:rPr>
          <w:rFonts w:ascii="Cambria" w:eastAsia="Cambria" w:hAnsi="Cambria" w:cs="Cambria"/>
          <w:sz w:val="20"/>
          <w:szCs w:val="20"/>
          <w:lang w:val="es-CO"/>
        </w:rPr>
        <w:t>los agentes policiales empezaron a disparar de manera directa en contra de las personas, y que una de las balas disparada</w:t>
      </w:r>
      <w:r w:rsidR="005437DB">
        <w:rPr>
          <w:rFonts w:ascii="Cambria" w:eastAsia="Cambria" w:hAnsi="Cambria" w:cs="Cambria"/>
          <w:sz w:val="20"/>
          <w:szCs w:val="20"/>
          <w:lang w:val="es-CO"/>
        </w:rPr>
        <w:t>s</w:t>
      </w:r>
      <w:r w:rsidR="00EA25B8" w:rsidRPr="007A319A">
        <w:rPr>
          <w:rFonts w:ascii="Cambria" w:eastAsia="Cambria" w:hAnsi="Cambria" w:cs="Cambria"/>
          <w:sz w:val="20"/>
          <w:szCs w:val="20"/>
          <w:lang w:val="es-CO"/>
        </w:rPr>
        <w:t xml:space="preserve"> por el señor Albino impactó en el hombro derecho de Guillermo Casas, atravesándolo hasta el cráneo de Adrián Brunettini, lo que le provocó la muerte instantánea. </w:t>
      </w:r>
    </w:p>
    <w:p w14:paraId="6FBABDDA" w14:textId="77777777" w:rsidR="0037118F" w:rsidRPr="007A319A" w:rsidRDefault="0037118F" w:rsidP="0037118F">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p>
    <w:p w14:paraId="244B3F21" w14:textId="37707163" w:rsidR="00AD606F" w:rsidRPr="007A319A" w:rsidRDefault="00EA25B8" w:rsidP="0037118F">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 xml:space="preserve">Sobre esto, </w:t>
      </w:r>
      <w:r w:rsidR="009A5F1E" w:rsidRPr="007A319A">
        <w:rPr>
          <w:rFonts w:ascii="Cambria" w:eastAsia="Cambria" w:hAnsi="Cambria" w:cs="Cambria"/>
          <w:sz w:val="20"/>
          <w:szCs w:val="20"/>
          <w:lang w:val="es-CO"/>
        </w:rPr>
        <w:t>inicialmente los agentes policiales involucrados señalaron que los disparos realizados se dieron debido a un presunto ataque del joven Brunettini con un arma de fuego. No obstante, dicha versión fue descartada mediante un dictamen jurídico del Ministerio de Justicia y Derechos Humanos de Argentina</w:t>
      </w:r>
      <w:r w:rsidR="008B0BC4" w:rsidRPr="007A319A">
        <w:rPr>
          <w:rFonts w:ascii="Cambria" w:eastAsia="Cambria" w:hAnsi="Cambria" w:cs="Cambria"/>
          <w:sz w:val="20"/>
          <w:szCs w:val="20"/>
          <w:lang w:val="es-CO"/>
        </w:rPr>
        <w:t>, en donde se indicó</w:t>
      </w:r>
      <w:r w:rsidR="00377741" w:rsidRPr="007A319A">
        <w:rPr>
          <w:rFonts w:ascii="Cambria" w:eastAsia="Cambria" w:hAnsi="Cambria" w:cs="Cambria"/>
          <w:sz w:val="20"/>
          <w:szCs w:val="20"/>
          <w:lang w:val="es-CO"/>
        </w:rPr>
        <w:t xml:space="preserve"> que los policías involucrados </w:t>
      </w:r>
      <w:r w:rsidR="001C5958" w:rsidRPr="007A319A">
        <w:rPr>
          <w:rFonts w:ascii="Cambria" w:eastAsia="Cambria" w:hAnsi="Cambria" w:cs="Cambria"/>
          <w:sz w:val="20"/>
          <w:szCs w:val="20"/>
          <w:lang w:val="es-CO"/>
        </w:rPr>
        <w:t xml:space="preserve">fingieron un enfrentamiento para justificar lo ocurrido. </w:t>
      </w:r>
      <w:r w:rsidR="00AD606F" w:rsidRPr="007A319A">
        <w:rPr>
          <w:rFonts w:ascii="Cambria" w:eastAsia="Cambria" w:hAnsi="Cambria" w:cs="Cambria"/>
          <w:sz w:val="20"/>
          <w:szCs w:val="20"/>
          <w:lang w:val="es-CO"/>
        </w:rPr>
        <w:t xml:space="preserve">No existe controversia entre las partes con respecto a que el joven Brunettini falleció como consecuencia de un disparo. </w:t>
      </w:r>
    </w:p>
    <w:p w14:paraId="23B009F6" w14:textId="77777777" w:rsidR="008C7C88" w:rsidRPr="007A319A" w:rsidRDefault="008C7C88" w:rsidP="008C7C88">
      <w:pPr>
        <w:pBdr>
          <w:top w:val="nil"/>
          <w:left w:val="nil"/>
          <w:bottom w:val="nil"/>
          <w:right w:val="nil"/>
          <w:between w:val="nil"/>
        </w:pBdr>
        <w:spacing w:after="0" w:line="240" w:lineRule="auto"/>
        <w:jc w:val="both"/>
        <w:rPr>
          <w:rFonts w:ascii="Cambria" w:eastAsia="Cambria" w:hAnsi="Cambria" w:cs="Cambria"/>
          <w:sz w:val="16"/>
          <w:szCs w:val="16"/>
          <w:lang w:val="es-CO"/>
        </w:rPr>
      </w:pPr>
    </w:p>
    <w:p w14:paraId="16E321C0" w14:textId="40297AAB" w:rsidR="009D7D29" w:rsidRPr="007A319A" w:rsidRDefault="009D7D29" w:rsidP="004D66CA">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La investigación penal se inició el mismo día ante el Juzgado de Transición</w:t>
      </w:r>
      <w:r w:rsidR="004D66CA" w:rsidRPr="007A319A">
        <w:rPr>
          <w:rFonts w:ascii="Cambria" w:eastAsia="Cambria" w:hAnsi="Cambria" w:cs="Cambria"/>
          <w:sz w:val="20"/>
          <w:szCs w:val="20"/>
          <w:lang w:val="es-CO"/>
        </w:rPr>
        <w:t xml:space="preserve"> </w:t>
      </w:r>
      <w:r w:rsidRPr="007A319A">
        <w:rPr>
          <w:rFonts w:ascii="Cambria" w:eastAsia="Cambria" w:hAnsi="Cambria" w:cs="Cambria"/>
          <w:sz w:val="20"/>
          <w:szCs w:val="20"/>
          <w:lang w:val="es-CO"/>
        </w:rPr>
        <w:t>No. 2 del departamento judicial de Morón. Conforme al dictamen jurídico del Ministerio de Justicia y</w:t>
      </w:r>
      <w:r w:rsidR="004D66CA" w:rsidRPr="007A319A">
        <w:rPr>
          <w:rFonts w:ascii="Cambria" w:eastAsia="Cambria" w:hAnsi="Cambria" w:cs="Cambria"/>
          <w:sz w:val="20"/>
          <w:szCs w:val="20"/>
          <w:lang w:val="es-CO"/>
        </w:rPr>
        <w:t xml:space="preserve"> </w:t>
      </w:r>
      <w:r w:rsidRPr="007A319A">
        <w:rPr>
          <w:rFonts w:ascii="Cambria" w:eastAsia="Cambria" w:hAnsi="Cambria" w:cs="Cambria"/>
          <w:sz w:val="20"/>
          <w:szCs w:val="20"/>
          <w:lang w:val="es-CO"/>
        </w:rPr>
        <w:t>Derechos Humanos de Argentina, la causa estuvo caratulada inicialmente como “resistencia a la autoridad y abuso de armas” por parte del joven Brunettini</w:t>
      </w:r>
      <w:r w:rsidR="00FF6A6C" w:rsidRPr="007A319A">
        <w:rPr>
          <w:rFonts w:ascii="Cambria" w:eastAsia="Cambria" w:hAnsi="Cambria" w:cs="Cambria"/>
          <w:sz w:val="20"/>
          <w:szCs w:val="20"/>
          <w:lang w:val="es-CO"/>
        </w:rPr>
        <w:t xml:space="preserve">. De acuerdo con lo manifestado por los padres del joven Brunettini, los agentes policiales modificaron la escena del crimen, incluso colocando un arma de fuego </w:t>
      </w:r>
      <w:r w:rsidR="0037118F" w:rsidRPr="007A319A">
        <w:rPr>
          <w:rFonts w:ascii="Cambria" w:eastAsia="Cambria" w:hAnsi="Cambria" w:cs="Cambria"/>
          <w:sz w:val="20"/>
          <w:szCs w:val="20"/>
          <w:lang w:val="es-CO"/>
        </w:rPr>
        <w:t>cerca de</w:t>
      </w:r>
      <w:r w:rsidR="00FF6A6C" w:rsidRPr="007A319A">
        <w:rPr>
          <w:rFonts w:ascii="Cambria" w:eastAsia="Cambria" w:hAnsi="Cambria" w:cs="Cambria"/>
          <w:sz w:val="20"/>
          <w:szCs w:val="20"/>
          <w:lang w:val="es-CO"/>
        </w:rPr>
        <w:t xml:space="preserve"> su cuerpo. Explicaron que las autoridades fiscales, al llegar a la escena del crimen, no realizaron una pericia de huellas dactilares sobre el arma y</w:t>
      </w:r>
      <w:r w:rsidR="00E01908" w:rsidRPr="007A319A">
        <w:rPr>
          <w:rFonts w:ascii="Cambria" w:eastAsia="Cambria" w:hAnsi="Cambria" w:cs="Cambria"/>
          <w:sz w:val="20"/>
          <w:szCs w:val="20"/>
          <w:lang w:val="es-CO"/>
        </w:rPr>
        <w:t xml:space="preserve"> que</w:t>
      </w:r>
      <w:r w:rsidR="00FF6A6C" w:rsidRPr="007A319A">
        <w:rPr>
          <w:rFonts w:ascii="Cambria" w:eastAsia="Cambria" w:hAnsi="Cambria" w:cs="Cambria"/>
          <w:sz w:val="20"/>
          <w:szCs w:val="20"/>
          <w:lang w:val="es-CO"/>
        </w:rPr>
        <w:t xml:space="preserve"> no se hizo una prueba para determinar si se encontraba pólvora de arma de fuego en las manos de</w:t>
      </w:r>
      <w:r w:rsidR="00CA4375" w:rsidRPr="007A319A">
        <w:rPr>
          <w:rFonts w:ascii="Cambria" w:eastAsia="Cambria" w:hAnsi="Cambria" w:cs="Cambria"/>
          <w:sz w:val="20"/>
          <w:szCs w:val="20"/>
          <w:lang w:val="es-CO"/>
        </w:rPr>
        <w:t xml:space="preserve"> la víctima</w:t>
      </w:r>
      <w:r w:rsidR="00FF6A6C" w:rsidRPr="007A319A">
        <w:rPr>
          <w:rFonts w:ascii="Cambria" w:eastAsia="Cambria" w:hAnsi="Cambria" w:cs="Cambria"/>
          <w:sz w:val="20"/>
          <w:szCs w:val="20"/>
          <w:lang w:val="es-CO"/>
        </w:rPr>
        <w:t xml:space="preserve">. </w:t>
      </w:r>
    </w:p>
    <w:p w14:paraId="03C398A7" w14:textId="77777777" w:rsidR="007D57C6" w:rsidRPr="007A319A" w:rsidRDefault="007D57C6" w:rsidP="009D7D29">
      <w:pPr>
        <w:pBdr>
          <w:top w:val="nil"/>
          <w:left w:val="nil"/>
          <w:bottom w:val="nil"/>
          <w:right w:val="nil"/>
          <w:between w:val="nil"/>
        </w:pBdr>
        <w:spacing w:after="0" w:line="240" w:lineRule="auto"/>
        <w:jc w:val="both"/>
        <w:rPr>
          <w:rFonts w:ascii="Cambria" w:eastAsia="Cambria" w:hAnsi="Cambria" w:cs="Cambria"/>
          <w:sz w:val="16"/>
          <w:szCs w:val="16"/>
          <w:lang w:val="es-CO"/>
        </w:rPr>
      </w:pPr>
    </w:p>
    <w:p w14:paraId="56A2F64D" w14:textId="0A67738D" w:rsidR="007D57C6" w:rsidRPr="007A319A" w:rsidRDefault="00E7255E" w:rsidP="004D66CA">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El 29 de noviembre de 2006 el Juzgado de Transición No. 2 del departamento judicial de Morón emitió una</w:t>
      </w:r>
      <w:r w:rsidR="004D66CA" w:rsidRPr="007A319A">
        <w:rPr>
          <w:rFonts w:ascii="Cambria" w:eastAsia="Cambria" w:hAnsi="Cambria" w:cs="Cambria"/>
          <w:sz w:val="20"/>
          <w:szCs w:val="20"/>
          <w:lang w:val="es-CO"/>
        </w:rPr>
        <w:t xml:space="preserve"> </w:t>
      </w:r>
      <w:r w:rsidRPr="007A319A">
        <w:rPr>
          <w:rFonts w:ascii="Cambria" w:eastAsia="Cambria" w:hAnsi="Cambria" w:cs="Cambria"/>
          <w:sz w:val="20"/>
          <w:szCs w:val="20"/>
          <w:lang w:val="es-CO"/>
        </w:rPr>
        <w:t>sentencia en donde condenó al agente policial Horacio Morales a la pena de catorce años de prisión, accesorias legales y costas e inhabilitación especial para ocupar cualquier cargo público y tener o portar arma de fuego por el término de cinco años. El Juzgado lo encontró autor del delito de homicidio simple de Adrián Brunettini, y homicidio simple en grado de tentativa de Guillermo Casas</w:t>
      </w:r>
      <w:r w:rsidR="000F3E2C" w:rsidRPr="007A319A">
        <w:rPr>
          <w:rFonts w:ascii="Cambria" w:eastAsia="Cambria" w:hAnsi="Cambria" w:cs="Cambria"/>
          <w:sz w:val="20"/>
          <w:szCs w:val="20"/>
          <w:lang w:val="es-CO"/>
        </w:rPr>
        <w:t xml:space="preserve">. </w:t>
      </w:r>
      <w:r w:rsidR="00CA4375" w:rsidRPr="007A319A">
        <w:rPr>
          <w:rFonts w:ascii="Cambria" w:eastAsia="Cambria" w:hAnsi="Cambria" w:cs="Cambria"/>
          <w:sz w:val="20"/>
          <w:szCs w:val="20"/>
          <w:lang w:val="es-CO"/>
        </w:rPr>
        <w:t>E</w:t>
      </w:r>
      <w:r w:rsidR="000F3E2C" w:rsidRPr="007A319A">
        <w:rPr>
          <w:rFonts w:ascii="Cambria" w:eastAsia="Cambria" w:hAnsi="Cambria" w:cs="Cambria"/>
          <w:sz w:val="20"/>
          <w:szCs w:val="20"/>
          <w:lang w:val="es-CO"/>
        </w:rPr>
        <w:t>l señor Morales fue excarcelado el 4 de abril de 2011 bajo caución juratoria</w:t>
      </w:r>
      <w:r w:rsidR="00CA4375" w:rsidRPr="007A319A">
        <w:rPr>
          <w:rFonts w:ascii="Cambria" w:eastAsia="Cambria" w:hAnsi="Cambria" w:cs="Cambria"/>
          <w:sz w:val="20"/>
          <w:szCs w:val="20"/>
          <w:lang w:val="es-CO"/>
        </w:rPr>
        <w:t>, sin que se cuente con las razones de tal excarcelación</w:t>
      </w:r>
      <w:r w:rsidR="000F3E2C" w:rsidRPr="007A319A">
        <w:rPr>
          <w:rFonts w:ascii="Cambria" w:eastAsia="Cambria" w:hAnsi="Cambria" w:cs="Cambria"/>
          <w:sz w:val="20"/>
          <w:szCs w:val="20"/>
          <w:lang w:val="es-CO"/>
        </w:rPr>
        <w:t xml:space="preserve">. </w:t>
      </w:r>
    </w:p>
    <w:p w14:paraId="561ADBE7" w14:textId="77777777" w:rsidR="00CA4375" w:rsidRPr="007A319A" w:rsidRDefault="00CA4375" w:rsidP="004D66CA">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p>
    <w:p w14:paraId="2BE94324" w14:textId="77777777" w:rsidR="004D66CA" w:rsidRPr="007A319A" w:rsidRDefault="004D66CA" w:rsidP="004D66CA">
      <w:pPr>
        <w:spacing w:after="0" w:line="240" w:lineRule="auto"/>
        <w:jc w:val="both"/>
        <w:rPr>
          <w:rFonts w:ascii="Cambria" w:hAnsi="Cambria" w:cs="Calibri"/>
          <w:color w:val="000000"/>
          <w:sz w:val="20"/>
          <w:szCs w:val="20"/>
          <w:lang w:val="es-CO"/>
        </w:rPr>
      </w:pPr>
      <w:r w:rsidRPr="007A319A">
        <w:rPr>
          <w:rFonts w:ascii="Cambria" w:hAnsi="Cambria" w:cs="Calibri"/>
          <w:color w:val="000000"/>
          <w:sz w:val="20"/>
          <w:szCs w:val="20"/>
          <w:lang w:val="es-CO"/>
        </w:rPr>
        <w:t>Señor</w:t>
      </w:r>
    </w:p>
    <w:p w14:paraId="2EC1867C" w14:textId="77777777" w:rsidR="004D66CA" w:rsidRPr="007A319A" w:rsidRDefault="004D66CA" w:rsidP="004D66CA">
      <w:pPr>
        <w:spacing w:after="0" w:line="240" w:lineRule="auto"/>
        <w:jc w:val="both"/>
        <w:rPr>
          <w:rFonts w:ascii="Cambria" w:hAnsi="Cambria" w:cs="Calibri"/>
          <w:color w:val="000000"/>
          <w:sz w:val="20"/>
          <w:szCs w:val="20"/>
          <w:lang w:val="es-CO"/>
        </w:rPr>
      </w:pPr>
      <w:r w:rsidRPr="007A319A">
        <w:rPr>
          <w:rFonts w:ascii="Cambria" w:hAnsi="Cambria" w:cs="Calibri"/>
          <w:color w:val="000000"/>
          <w:sz w:val="20"/>
          <w:szCs w:val="20"/>
          <w:lang w:val="es-CO"/>
        </w:rPr>
        <w:t>Pablo Saavedra Alessandri</w:t>
      </w:r>
    </w:p>
    <w:p w14:paraId="515104AF" w14:textId="77777777" w:rsidR="004D66CA" w:rsidRPr="007A319A" w:rsidRDefault="004D66CA" w:rsidP="004D66CA">
      <w:pPr>
        <w:spacing w:after="0" w:line="240" w:lineRule="auto"/>
        <w:jc w:val="both"/>
        <w:rPr>
          <w:rFonts w:ascii="Cambria" w:hAnsi="Cambria" w:cs="Calibri"/>
          <w:color w:val="000000"/>
          <w:sz w:val="20"/>
          <w:szCs w:val="20"/>
          <w:lang w:val="es-CO"/>
        </w:rPr>
      </w:pPr>
      <w:r w:rsidRPr="007A319A">
        <w:rPr>
          <w:rFonts w:ascii="Cambria" w:hAnsi="Cambria" w:cs="Calibri"/>
          <w:color w:val="000000"/>
          <w:sz w:val="20"/>
          <w:szCs w:val="20"/>
          <w:lang w:val="es-CO"/>
        </w:rPr>
        <w:t>Secretario</w:t>
      </w:r>
    </w:p>
    <w:p w14:paraId="2C2D8BE9" w14:textId="77777777" w:rsidR="004D66CA" w:rsidRPr="007A319A" w:rsidRDefault="004D66CA" w:rsidP="004D66CA">
      <w:pPr>
        <w:spacing w:after="0" w:line="240" w:lineRule="auto"/>
        <w:jc w:val="both"/>
        <w:rPr>
          <w:rFonts w:ascii="Cambria" w:hAnsi="Cambria" w:cs="Calibri"/>
          <w:color w:val="000000"/>
          <w:sz w:val="20"/>
          <w:szCs w:val="20"/>
          <w:lang w:val="es-CO"/>
        </w:rPr>
      </w:pPr>
      <w:r w:rsidRPr="007A319A">
        <w:rPr>
          <w:rFonts w:ascii="Cambria" w:hAnsi="Cambria" w:cs="Calibri"/>
          <w:color w:val="000000"/>
          <w:sz w:val="20"/>
          <w:szCs w:val="20"/>
          <w:lang w:val="es-CO"/>
        </w:rPr>
        <w:t>Corte Interamericana de Derechos Humanos</w:t>
      </w:r>
    </w:p>
    <w:p w14:paraId="46B540B4" w14:textId="51364DF7" w:rsidR="004D66CA" w:rsidRPr="007A319A" w:rsidRDefault="004D66CA" w:rsidP="004D66CA">
      <w:pPr>
        <w:spacing w:after="0" w:line="240" w:lineRule="auto"/>
        <w:jc w:val="both"/>
        <w:rPr>
          <w:rFonts w:ascii="Cambria" w:hAnsi="Cambria" w:cs="Calibri"/>
          <w:color w:val="000000"/>
          <w:sz w:val="20"/>
          <w:szCs w:val="20"/>
          <w:lang w:val="es-CO"/>
        </w:rPr>
      </w:pPr>
      <w:r w:rsidRPr="007A319A">
        <w:rPr>
          <w:rFonts w:ascii="Cambria" w:hAnsi="Cambria" w:cs="Calibri"/>
          <w:color w:val="000000"/>
          <w:sz w:val="20"/>
          <w:szCs w:val="20"/>
          <w:lang w:val="es-CO"/>
        </w:rPr>
        <w:t>San José, Costa Rica</w:t>
      </w:r>
      <w:r w:rsidRPr="007A319A">
        <w:rPr>
          <w:rFonts w:ascii="Cambria" w:hAnsi="Cambria"/>
          <w:sz w:val="20"/>
          <w:szCs w:val="20"/>
          <w:lang w:val="es-CO"/>
          <w14:ligatures w14:val="standardContextual"/>
        </w:rPr>
        <w:t xml:space="preserve"> </w:t>
      </w:r>
    </w:p>
    <w:p w14:paraId="77770434" w14:textId="77777777" w:rsidR="004D66CA" w:rsidRPr="007A319A" w:rsidRDefault="004D66CA"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p>
    <w:p w14:paraId="0B33C817" w14:textId="5D193D7F" w:rsidR="008C7C88" w:rsidRPr="007A319A" w:rsidRDefault="000447DE" w:rsidP="00CA4375">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lastRenderedPageBreak/>
        <w:t xml:space="preserve">La </w:t>
      </w:r>
      <w:r w:rsidR="00CA4375" w:rsidRPr="007A319A">
        <w:rPr>
          <w:rFonts w:ascii="Cambria" w:eastAsia="Cambria" w:hAnsi="Cambria" w:cs="Cambria"/>
          <w:sz w:val="20"/>
          <w:szCs w:val="20"/>
          <w:lang w:val="es-CO"/>
        </w:rPr>
        <w:t>sentencia</w:t>
      </w:r>
      <w:r w:rsidRPr="007A319A">
        <w:rPr>
          <w:rFonts w:ascii="Cambria" w:eastAsia="Cambria" w:hAnsi="Cambria" w:cs="Cambria"/>
          <w:sz w:val="20"/>
          <w:szCs w:val="20"/>
          <w:lang w:val="es-CO"/>
        </w:rPr>
        <w:t xml:space="preserve"> de primera instancia fue recurrida y el 8 de noviembre de 2011 la Sala III del Tribunal de Casación emitió una </w:t>
      </w:r>
      <w:r w:rsidR="00CA4375" w:rsidRPr="007A319A">
        <w:rPr>
          <w:rFonts w:ascii="Cambria" w:eastAsia="Cambria" w:hAnsi="Cambria" w:cs="Cambria"/>
          <w:sz w:val="20"/>
          <w:szCs w:val="20"/>
          <w:lang w:val="es-CO"/>
        </w:rPr>
        <w:t>decisión</w:t>
      </w:r>
      <w:r w:rsidRPr="007A319A">
        <w:rPr>
          <w:rFonts w:ascii="Cambria" w:eastAsia="Cambria" w:hAnsi="Cambria" w:cs="Cambria"/>
          <w:sz w:val="20"/>
          <w:szCs w:val="20"/>
          <w:lang w:val="es-CO"/>
        </w:rPr>
        <w:t xml:space="preserve">, en donde modificó la pena del señor Morales a once años de prisión. La Sala confirmó al señor Morales como autor del delito de homicidio simple y homicidio simple en grado de tentativa en concurso ideal. </w:t>
      </w:r>
      <w:r w:rsidR="009B07C2" w:rsidRPr="007A319A">
        <w:rPr>
          <w:rFonts w:ascii="Cambria" w:eastAsia="Cambria" w:hAnsi="Cambria" w:cs="Cambria"/>
          <w:sz w:val="20"/>
          <w:szCs w:val="20"/>
          <w:lang w:val="es-CO"/>
        </w:rPr>
        <w:t>N</w:t>
      </w:r>
      <w:r w:rsidRPr="007A319A">
        <w:rPr>
          <w:rFonts w:ascii="Cambria" w:eastAsia="Cambria" w:hAnsi="Cambria" w:cs="Cambria"/>
          <w:sz w:val="20"/>
          <w:szCs w:val="20"/>
          <w:lang w:val="es-CO"/>
        </w:rPr>
        <w:t xml:space="preserve">o se presentó información sobre si el señor Morales fue detenido nuevamente y si cumplió la pena señalada. Al respecto, Teresa </w:t>
      </w:r>
      <w:proofErr w:type="spellStart"/>
      <w:r w:rsidRPr="007A319A">
        <w:rPr>
          <w:rFonts w:ascii="Cambria" w:eastAsia="Cambria" w:hAnsi="Cambria" w:cs="Cambria"/>
          <w:sz w:val="20"/>
          <w:szCs w:val="20"/>
          <w:lang w:val="es-CO"/>
        </w:rPr>
        <w:t>Caffaro</w:t>
      </w:r>
      <w:proofErr w:type="spellEnd"/>
      <w:r w:rsidRPr="007A319A">
        <w:rPr>
          <w:rFonts w:ascii="Cambria" w:eastAsia="Cambria" w:hAnsi="Cambria" w:cs="Cambria"/>
          <w:sz w:val="20"/>
          <w:szCs w:val="20"/>
          <w:lang w:val="es-CO"/>
        </w:rPr>
        <w:t>, madre del joven Brunettini sostuvo que el señor Morales no volvió a ser detenido y agregó que “la condena del asesino de mi hijo era de 14 años y solo cumplió 4 por ser un policía</w:t>
      </w:r>
      <w:r w:rsidR="009B07C2" w:rsidRPr="007A319A">
        <w:rPr>
          <w:rFonts w:ascii="Cambria" w:eastAsia="Cambria" w:hAnsi="Cambria" w:cs="Cambria"/>
          <w:sz w:val="20"/>
          <w:szCs w:val="20"/>
          <w:lang w:val="es-CO"/>
        </w:rPr>
        <w:t>”</w:t>
      </w:r>
      <w:r w:rsidRPr="007A319A">
        <w:rPr>
          <w:rFonts w:ascii="Cambria" w:eastAsia="Cambria" w:hAnsi="Cambria" w:cs="Cambria"/>
          <w:sz w:val="20"/>
          <w:szCs w:val="20"/>
          <w:lang w:val="es-CO"/>
        </w:rPr>
        <w:t xml:space="preserve">. </w:t>
      </w:r>
    </w:p>
    <w:p w14:paraId="1EA098D7" w14:textId="77777777" w:rsidR="004D66CA" w:rsidRPr="007A319A" w:rsidRDefault="004D66CA"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p>
    <w:p w14:paraId="7AEC3195" w14:textId="609A8A98" w:rsidR="000447DE" w:rsidRPr="007A319A" w:rsidRDefault="00F95E9D" w:rsidP="009B07C2">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La parte peticionaria informó que ha presentado varios recursos dentro el proceso interno ante diversas entidades a efectos de cuestionar las decisiones de las autoridades judiciales y evitar la situación de impunidad en la que se encuentra la muerte del joven Brunettini</w:t>
      </w:r>
      <w:r w:rsidR="00265C56" w:rsidRPr="007A319A">
        <w:rPr>
          <w:rFonts w:ascii="Cambria" w:eastAsia="Cambria" w:hAnsi="Cambria" w:cs="Cambria"/>
          <w:sz w:val="20"/>
          <w:szCs w:val="20"/>
          <w:lang w:val="es-CO"/>
        </w:rPr>
        <w:t xml:space="preserve">, sin obtener resultados positivos. </w:t>
      </w:r>
      <w:r w:rsidR="003802A0" w:rsidRPr="007A319A">
        <w:rPr>
          <w:rFonts w:ascii="Cambria" w:eastAsia="Cambria" w:hAnsi="Cambria" w:cs="Cambria"/>
          <w:sz w:val="20"/>
          <w:szCs w:val="20"/>
          <w:lang w:val="es-CO"/>
        </w:rPr>
        <w:t xml:space="preserve">Desde el 15 de diciembre de 2017 la causa penal se encuentra archivada. </w:t>
      </w:r>
    </w:p>
    <w:p w14:paraId="2A667423" w14:textId="77777777" w:rsidR="004D66CA" w:rsidRPr="007A319A" w:rsidRDefault="004D66CA"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p>
    <w:p w14:paraId="31D241DD" w14:textId="06524501" w:rsidR="00A653CC" w:rsidRPr="007A319A" w:rsidRDefault="00265C56" w:rsidP="00265C56">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E</w:t>
      </w:r>
      <w:r w:rsidR="00A653CC" w:rsidRPr="007A319A">
        <w:rPr>
          <w:rFonts w:ascii="Cambria" w:eastAsia="Cambria" w:hAnsi="Cambria" w:cs="Cambria"/>
          <w:sz w:val="20"/>
          <w:szCs w:val="20"/>
          <w:lang w:val="es-CO"/>
        </w:rPr>
        <w:t>l 10 de junio de 1999 los familiares del joven Brunettini presentaron un recurso civil de daños y perjuicios contra la Policía Bonaerense</w:t>
      </w:r>
      <w:r w:rsidR="004D66CA" w:rsidRPr="007A319A">
        <w:rPr>
          <w:rFonts w:ascii="Cambria" w:eastAsia="Cambria" w:hAnsi="Cambria" w:cs="Cambria"/>
          <w:sz w:val="20"/>
          <w:szCs w:val="20"/>
          <w:lang w:val="es-CO"/>
        </w:rPr>
        <w:t xml:space="preserve">. </w:t>
      </w:r>
      <w:r w:rsidR="001B02D2" w:rsidRPr="007A319A">
        <w:rPr>
          <w:rFonts w:ascii="Cambria" w:eastAsia="Cambria" w:hAnsi="Cambria" w:cs="Cambria"/>
          <w:sz w:val="20"/>
          <w:szCs w:val="20"/>
          <w:lang w:val="es-CO"/>
        </w:rPr>
        <w:t>El 20 de diciembre de 2012 el Juzgado Civil y Comercial dictó una sentencia definitiva condenando a la parte demandada la suma de $180.000 más intereses. El 10 de abril de 2014 la Cámara Segunda de Apelación elevó el monto de indemnización por pérdida de chance a la suma total de $89.180, y el rubro daño moral a la de $178.360. El 23 de diciembre de 2014 la Cámara de Apelaciones elevó el monto reconocido en concepto de indemnización por pérdida de chance y en concepto de daño moral</w:t>
      </w:r>
      <w:r w:rsidR="00C63B7D" w:rsidRPr="007A319A">
        <w:rPr>
          <w:rFonts w:ascii="Cambria" w:eastAsia="Cambria" w:hAnsi="Cambria" w:cs="Cambria"/>
          <w:sz w:val="20"/>
          <w:szCs w:val="20"/>
          <w:lang w:val="es-CO"/>
        </w:rPr>
        <w:t xml:space="preserve">. En relación con el efectivo pago de la indemnización, la parte peticionaria señaló que ésta no se habría cumplido totalmente y que se vio afectada por el contexto de crisis económica en Argentina, lo cual fue controvertido por el Estado. </w:t>
      </w:r>
    </w:p>
    <w:p w14:paraId="5467EC98" w14:textId="77777777" w:rsidR="001B02D2" w:rsidRPr="007A319A" w:rsidRDefault="001B02D2"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p>
    <w:p w14:paraId="0D4BF20B" w14:textId="09A1D43B" w:rsidR="008C7C88" w:rsidRPr="007A319A" w:rsidRDefault="008C7C88" w:rsidP="00E87993">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En su Informe de Admisibilidad y Fondo No. 100/23, la Comisión consideró que no hay controversia entre las partes sobre que la muerte de Adrián Brunettini fue ocasionada por un agente policial, lo cual fue confirmado a nivel interno mediante sentencia condenatoria. Asimismo, la Comisión consideró que existieron irregularidades en la investigación</w:t>
      </w:r>
      <w:r w:rsidR="00E87993" w:rsidRPr="007A319A">
        <w:rPr>
          <w:rFonts w:ascii="Cambria" w:eastAsia="Cambria" w:hAnsi="Cambria" w:cs="Cambria"/>
          <w:sz w:val="20"/>
          <w:szCs w:val="20"/>
          <w:lang w:val="es-CO"/>
        </w:rPr>
        <w:t>. Entre otros elementos, la Comisión tomó nota de</w:t>
      </w:r>
      <w:r w:rsidRPr="007A319A">
        <w:rPr>
          <w:rFonts w:ascii="Cambria" w:eastAsia="Cambria" w:hAnsi="Cambria" w:cs="Cambria"/>
          <w:sz w:val="20"/>
          <w:szCs w:val="20"/>
          <w:lang w:val="es-CO"/>
        </w:rPr>
        <w:t xml:space="preserve"> la manipulación de la escena del crimen, la colocación de un arma de fuego al costado del cuerpo del joven Brunetti para aparentar un enfrentamiento, la falta de pruebas para determinar si dicha arma habría sido disparada y la toma de declaración de un testigo presentado por los policías que acreditó inicialmente que fue un entrenamiento armado pero que</w:t>
      </w:r>
      <w:r w:rsidR="00AF2919" w:rsidRPr="007A319A">
        <w:rPr>
          <w:rFonts w:ascii="Cambria" w:eastAsia="Cambria" w:hAnsi="Cambria" w:cs="Cambria"/>
          <w:sz w:val="20"/>
          <w:szCs w:val="20"/>
          <w:lang w:val="es-CO"/>
        </w:rPr>
        <w:t xml:space="preserve">, </w:t>
      </w:r>
      <w:r w:rsidRPr="007A319A">
        <w:rPr>
          <w:rFonts w:ascii="Cambria" w:eastAsia="Cambria" w:hAnsi="Cambria" w:cs="Cambria"/>
          <w:sz w:val="20"/>
          <w:szCs w:val="20"/>
          <w:lang w:val="es-CO"/>
        </w:rPr>
        <w:t>posteriormente</w:t>
      </w:r>
      <w:r w:rsidR="00AF2919" w:rsidRPr="007A319A">
        <w:rPr>
          <w:rFonts w:ascii="Cambria" w:eastAsia="Cambria" w:hAnsi="Cambria" w:cs="Cambria"/>
          <w:sz w:val="20"/>
          <w:szCs w:val="20"/>
          <w:lang w:val="es-CO"/>
        </w:rPr>
        <w:t>,</w:t>
      </w:r>
      <w:r w:rsidRPr="007A319A">
        <w:rPr>
          <w:rFonts w:ascii="Cambria" w:eastAsia="Cambria" w:hAnsi="Cambria" w:cs="Cambria"/>
          <w:sz w:val="20"/>
          <w:szCs w:val="20"/>
          <w:lang w:val="es-CO"/>
        </w:rPr>
        <w:t xml:space="preserve"> sostuvo que los agentes policiales lo habían presionado para brindar dicha versión. </w:t>
      </w:r>
      <w:r w:rsidR="009C02F4" w:rsidRPr="007A319A">
        <w:rPr>
          <w:rFonts w:ascii="Cambria" w:eastAsia="Cambria" w:hAnsi="Cambria" w:cs="Cambria"/>
          <w:sz w:val="20"/>
          <w:szCs w:val="20"/>
          <w:lang w:val="es-CO"/>
        </w:rPr>
        <w:t>La Comisión también observó múltiples elementos que descartan un enfrentamiento de la víctima con los agentes policiales a efectos de justificar un eventual uso de la fuerza letal.</w:t>
      </w:r>
    </w:p>
    <w:p w14:paraId="168A1704" w14:textId="77777777" w:rsidR="008C7C88" w:rsidRPr="007A319A" w:rsidRDefault="008C7C88"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p>
    <w:p w14:paraId="22183C26" w14:textId="43019FD3" w:rsidR="008C7C88" w:rsidRPr="007A319A" w:rsidRDefault="009C02F4" w:rsidP="003F7661">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En este sentido, l</w:t>
      </w:r>
      <w:r w:rsidR="008C7C88" w:rsidRPr="007A319A">
        <w:rPr>
          <w:rFonts w:ascii="Cambria" w:eastAsia="Cambria" w:hAnsi="Cambria" w:cs="Cambria"/>
          <w:sz w:val="20"/>
          <w:szCs w:val="20"/>
          <w:lang w:val="es-CO"/>
        </w:rPr>
        <w:t>a Comisión determinó que en el presente caso el Estado no demostró haber realizado un uso legítimo, necesario y proporcionado de la fuerza por parte de sus agentes, lo cual generó la muerte del joven Brunettini.</w:t>
      </w:r>
      <w:r w:rsidR="0016758F" w:rsidRPr="007A319A">
        <w:rPr>
          <w:rFonts w:ascii="Cambria" w:eastAsia="Cambria" w:hAnsi="Cambria" w:cs="Cambria"/>
          <w:sz w:val="20"/>
          <w:szCs w:val="20"/>
          <w:lang w:val="es-CO"/>
        </w:rPr>
        <w:t xml:space="preserve"> De esta forma, tomando en cuenta su muerte y el sufrimiento previo como consecuencia de los diversos disparos de armas de fuego antes de que le causen la muerte, la Comisión concluyó que Argentina es responsable por la violación de los derechos a la vida e</w:t>
      </w:r>
      <w:r w:rsidR="004D66CA" w:rsidRPr="007A319A">
        <w:rPr>
          <w:rFonts w:ascii="Cambria" w:eastAsia="Cambria" w:hAnsi="Cambria" w:cs="Cambria"/>
          <w:sz w:val="20"/>
          <w:szCs w:val="20"/>
          <w:lang w:val="es-CO"/>
        </w:rPr>
        <w:t xml:space="preserve"> </w:t>
      </w:r>
      <w:r w:rsidR="0016758F" w:rsidRPr="007A319A">
        <w:rPr>
          <w:rFonts w:ascii="Cambria" w:eastAsia="Cambria" w:hAnsi="Cambria" w:cs="Cambria"/>
          <w:sz w:val="20"/>
          <w:szCs w:val="20"/>
          <w:lang w:val="es-CO"/>
        </w:rPr>
        <w:t>integridad personal</w:t>
      </w:r>
      <w:r w:rsidR="004D66CA" w:rsidRPr="007A319A">
        <w:rPr>
          <w:rFonts w:ascii="Cambria" w:eastAsia="Cambria" w:hAnsi="Cambria" w:cs="Cambria"/>
          <w:sz w:val="20"/>
          <w:szCs w:val="20"/>
          <w:lang w:val="es-CO"/>
        </w:rPr>
        <w:t xml:space="preserve">. </w:t>
      </w:r>
      <w:r w:rsidR="008C7C88" w:rsidRPr="007A319A">
        <w:rPr>
          <w:rFonts w:ascii="Cambria" w:eastAsia="Cambria" w:hAnsi="Cambria" w:cs="Cambria"/>
          <w:sz w:val="20"/>
          <w:szCs w:val="20"/>
          <w:lang w:val="es-CO"/>
        </w:rPr>
        <w:t xml:space="preserve">Asimismo, consideró que debido a la edad de 16 años que tenía </w:t>
      </w:r>
      <w:r w:rsidR="000A3B18" w:rsidRPr="007A319A">
        <w:rPr>
          <w:rFonts w:ascii="Cambria" w:eastAsia="Cambria" w:hAnsi="Cambria" w:cs="Cambria"/>
          <w:sz w:val="20"/>
          <w:szCs w:val="20"/>
          <w:lang w:val="es-CO"/>
        </w:rPr>
        <w:t xml:space="preserve">la víctima </w:t>
      </w:r>
      <w:r w:rsidR="008C7C88" w:rsidRPr="007A319A">
        <w:rPr>
          <w:rFonts w:ascii="Cambria" w:eastAsia="Cambria" w:hAnsi="Cambria" w:cs="Cambria"/>
          <w:sz w:val="20"/>
          <w:szCs w:val="20"/>
          <w:lang w:val="es-CO"/>
        </w:rPr>
        <w:t xml:space="preserve">en la época de los hechos, el Estado vulneró sus deberes de especial protección de la niñez. </w:t>
      </w:r>
    </w:p>
    <w:p w14:paraId="1C30DD96" w14:textId="77777777" w:rsidR="004D66CA" w:rsidRPr="007A319A" w:rsidRDefault="004D66CA" w:rsidP="004D66CA">
      <w:pPr>
        <w:pBdr>
          <w:top w:val="nil"/>
          <w:left w:val="nil"/>
          <w:bottom w:val="nil"/>
          <w:right w:val="nil"/>
          <w:between w:val="nil"/>
        </w:pBdr>
        <w:spacing w:after="0" w:line="240" w:lineRule="auto"/>
        <w:jc w:val="both"/>
        <w:rPr>
          <w:rFonts w:ascii="Cambria" w:eastAsia="Cambria" w:hAnsi="Cambria" w:cs="Cambria"/>
          <w:sz w:val="20"/>
          <w:szCs w:val="20"/>
          <w:lang w:val="es-CO"/>
        </w:rPr>
      </w:pPr>
    </w:p>
    <w:p w14:paraId="45E260EC" w14:textId="0172DCF6" w:rsidR="009C6F79" w:rsidRPr="007A319A" w:rsidRDefault="00A42A69" w:rsidP="00FC77A5">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 xml:space="preserve">Adicionalmente, la CIDH analizó si en el presente caso el Estado llevó </w:t>
      </w:r>
      <w:r w:rsidR="00FC77A5" w:rsidRPr="007A319A">
        <w:rPr>
          <w:rFonts w:ascii="Cambria" w:eastAsia="Cambria" w:hAnsi="Cambria" w:cs="Cambria"/>
          <w:sz w:val="20"/>
          <w:szCs w:val="20"/>
          <w:lang w:val="es-CO"/>
        </w:rPr>
        <w:t xml:space="preserve">a cabo una investigación seria y diligente a efectos de esclarecer los hechos de la muerte de Adrián Brunettini, y si ésta se realizó en un plazo razonable. La Comisión notó que </w:t>
      </w:r>
      <w:r w:rsidR="002C7848" w:rsidRPr="007A319A">
        <w:rPr>
          <w:rFonts w:ascii="Cambria" w:eastAsia="Cambria" w:hAnsi="Cambria" w:cs="Cambria"/>
          <w:sz w:val="20"/>
          <w:szCs w:val="20"/>
          <w:lang w:val="es-CO"/>
        </w:rPr>
        <w:t>el Estado no presentó documentación que acredite las diligencias realizadas inmediatamente después de ocurridos los hechos, tales como el adecuado manejo de la escena del crimen, el levantamiento y tratamiento del cadáver de la víctima, la necropsia, así como el mantenimiento de la cadena de custodia de todo elemento de prueba forense. Por el contrario, la CIDH observ</w:t>
      </w:r>
      <w:r w:rsidR="003F7661" w:rsidRPr="007A319A">
        <w:rPr>
          <w:rFonts w:ascii="Cambria" w:eastAsia="Cambria" w:hAnsi="Cambria" w:cs="Cambria"/>
          <w:sz w:val="20"/>
          <w:szCs w:val="20"/>
          <w:lang w:val="es-CO"/>
        </w:rPr>
        <w:t>ó</w:t>
      </w:r>
      <w:r w:rsidR="002C7848" w:rsidRPr="007A319A">
        <w:rPr>
          <w:rFonts w:ascii="Cambria" w:eastAsia="Cambria" w:hAnsi="Cambria" w:cs="Cambria"/>
          <w:sz w:val="20"/>
          <w:szCs w:val="20"/>
          <w:lang w:val="es-CO"/>
        </w:rPr>
        <w:t xml:space="preserve"> que los agentes policiales estuvieron involucrados en la modificación de la escena del crimen, lo cual constituyó una grave afectación al deber de diligencia. Asimismo, que las primeras diligencias estuvieron enfocadas en apoyar la versión de los agentes policiales sobre que existió un enfrentamiento con el joven Brunettini y su acompañante</w:t>
      </w:r>
      <w:r w:rsidR="00497ABB" w:rsidRPr="007A319A">
        <w:rPr>
          <w:rFonts w:ascii="Cambria" w:eastAsia="Cambria" w:hAnsi="Cambria" w:cs="Cambria"/>
          <w:sz w:val="20"/>
          <w:szCs w:val="20"/>
          <w:lang w:val="es-CO"/>
        </w:rPr>
        <w:t xml:space="preserve">. </w:t>
      </w:r>
    </w:p>
    <w:p w14:paraId="0116ABB6" w14:textId="77777777" w:rsidR="007227EA" w:rsidRPr="007A319A" w:rsidRDefault="007227EA" w:rsidP="00041352">
      <w:pPr>
        <w:pBdr>
          <w:top w:val="nil"/>
          <w:left w:val="nil"/>
          <w:bottom w:val="nil"/>
          <w:right w:val="nil"/>
          <w:between w:val="nil"/>
        </w:pBdr>
        <w:spacing w:after="0" w:line="240" w:lineRule="auto"/>
        <w:jc w:val="both"/>
        <w:rPr>
          <w:rFonts w:ascii="Cambria" w:eastAsia="Cambria" w:hAnsi="Cambria" w:cs="Cambria"/>
          <w:sz w:val="20"/>
          <w:szCs w:val="20"/>
          <w:lang w:val="es-CO"/>
        </w:rPr>
      </w:pPr>
    </w:p>
    <w:p w14:paraId="18D82BAD" w14:textId="62ADBC9B" w:rsidR="008C7C88" w:rsidRPr="007A319A" w:rsidRDefault="007A42E8" w:rsidP="00920C35">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L</w:t>
      </w:r>
      <w:r w:rsidR="00497ABB" w:rsidRPr="007A319A">
        <w:rPr>
          <w:rFonts w:ascii="Cambria" w:eastAsia="Cambria" w:hAnsi="Cambria" w:cs="Cambria"/>
          <w:sz w:val="20"/>
          <w:szCs w:val="20"/>
          <w:lang w:val="es-CO"/>
        </w:rPr>
        <w:t xml:space="preserve">a Comisión observó que </w:t>
      </w:r>
      <w:r w:rsidR="00113A9D" w:rsidRPr="007A319A">
        <w:rPr>
          <w:rFonts w:ascii="Cambria" w:eastAsia="Cambria" w:hAnsi="Cambria" w:cs="Cambria"/>
          <w:sz w:val="20"/>
          <w:szCs w:val="20"/>
          <w:lang w:val="es-CO"/>
        </w:rPr>
        <w:t xml:space="preserve">la parte peticionaria informó que se presentaron diversas reclamaciones a las autoridades judiciales para la realización de “diligencias investigativas”, las cuales fueron negadas de manera reiterada, lo cual no fue controvertido por el Estado, así como que </w:t>
      </w:r>
      <w:r w:rsidR="001A77DE" w:rsidRPr="007A319A">
        <w:rPr>
          <w:rFonts w:ascii="Cambria" w:eastAsia="Cambria" w:hAnsi="Cambria" w:cs="Cambria"/>
          <w:sz w:val="20"/>
          <w:szCs w:val="20"/>
          <w:lang w:val="es-CO"/>
        </w:rPr>
        <w:t>existió inactividad procesal por parte de las autoridades judiciales durante largos períodos de tiempo</w:t>
      </w:r>
      <w:r w:rsidR="00507E26" w:rsidRPr="007A319A">
        <w:rPr>
          <w:rFonts w:ascii="Cambria" w:eastAsia="Cambria" w:hAnsi="Cambria" w:cs="Cambria"/>
          <w:sz w:val="20"/>
          <w:szCs w:val="20"/>
          <w:lang w:val="es-CO"/>
        </w:rPr>
        <w:t>.</w:t>
      </w:r>
      <w:r w:rsidR="00920C35" w:rsidRPr="007A319A">
        <w:rPr>
          <w:rFonts w:ascii="Cambria" w:eastAsia="Cambria" w:hAnsi="Cambria" w:cs="Cambria"/>
          <w:sz w:val="20"/>
          <w:szCs w:val="20"/>
          <w:lang w:val="es-CO"/>
        </w:rPr>
        <w:t xml:space="preserve"> </w:t>
      </w:r>
      <w:r w:rsidR="009C6F79" w:rsidRPr="007A319A">
        <w:rPr>
          <w:rFonts w:ascii="Cambria" w:eastAsia="Cambria" w:hAnsi="Cambria" w:cs="Cambria"/>
          <w:sz w:val="20"/>
          <w:szCs w:val="20"/>
          <w:lang w:val="es-CO"/>
        </w:rPr>
        <w:t xml:space="preserve">En este sentido, </w:t>
      </w:r>
      <w:r w:rsidR="004D66CA" w:rsidRPr="007A319A">
        <w:rPr>
          <w:rFonts w:ascii="Cambria" w:eastAsia="Cambria" w:hAnsi="Cambria" w:cs="Cambria"/>
          <w:sz w:val="20"/>
          <w:szCs w:val="20"/>
          <w:lang w:val="es-CO"/>
        </w:rPr>
        <w:t>l</w:t>
      </w:r>
      <w:r w:rsidR="008C7C88" w:rsidRPr="007A319A">
        <w:rPr>
          <w:rFonts w:ascii="Cambria" w:eastAsia="Cambria" w:hAnsi="Cambria" w:cs="Cambria"/>
          <w:sz w:val="20"/>
          <w:szCs w:val="20"/>
          <w:lang w:val="es-CO"/>
        </w:rPr>
        <w:t xml:space="preserve">a Comisión concluyó que, si bien el responsable de la muerte de Adrián Brunettini fue condenado a una pena de reclusión por parte de las autoridades, se configuraron en su conjunto ciertas deficiencias e irregularidades en los procesos internos que llevaron a esa condena, las cuales constituyen violaciones autónomas de los derechos a las garantías judiciales y a la protección judicial. </w:t>
      </w:r>
    </w:p>
    <w:p w14:paraId="02F7B871" w14:textId="77777777" w:rsidR="00D73E59" w:rsidRPr="007A319A" w:rsidRDefault="00D73E59" w:rsidP="00920C35">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p>
    <w:p w14:paraId="5A9E9AD6" w14:textId="7AE1E1A9" w:rsidR="00D73E59" w:rsidRPr="007A319A" w:rsidRDefault="00D73E59" w:rsidP="00D73E59">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En relación con la garantía del plazo razonable, la Comisión resaltó que el proceso penal tuvo una duración de casi 24 años, desde que ocurrió la muerte del joven Brunettini en 1993 hasta que la causa fue archivada en 2017 a más de 20 años de ocurridos los hechos. En ese sentido, la Comisión determinó que el proceso penal no cumplió con un plazo razonable</w:t>
      </w:r>
      <w:r w:rsidR="000A3B18" w:rsidRPr="007A319A">
        <w:rPr>
          <w:rFonts w:ascii="Cambria" w:eastAsia="Cambria" w:hAnsi="Cambria" w:cs="Cambria"/>
          <w:sz w:val="20"/>
          <w:szCs w:val="20"/>
          <w:lang w:val="es-CO"/>
        </w:rPr>
        <w:t xml:space="preserve"> por lo cual el Estado es responsable por la violación del derecho a las garantías judiciales</w:t>
      </w:r>
      <w:r w:rsidRPr="007A319A">
        <w:rPr>
          <w:rFonts w:ascii="Cambria" w:eastAsia="Cambria" w:hAnsi="Cambria" w:cs="Cambria"/>
          <w:sz w:val="20"/>
          <w:szCs w:val="20"/>
          <w:lang w:val="es-CO"/>
        </w:rPr>
        <w:t xml:space="preserve">. </w:t>
      </w:r>
    </w:p>
    <w:p w14:paraId="129F7A98" w14:textId="77777777" w:rsidR="007A42E8" w:rsidRPr="007A319A" w:rsidRDefault="007A42E8" w:rsidP="008C7C88">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p>
    <w:p w14:paraId="1C58C6E2" w14:textId="743919A0" w:rsidR="007A42E8" w:rsidRPr="007A319A" w:rsidRDefault="007A42E8" w:rsidP="008C7C88">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 xml:space="preserve">Finalmente, la Comisión </w:t>
      </w:r>
      <w:r w:rsidR="0030498A" w:rsidRPr="007A319A">
        <w:rPr>
          <w:rFonts w:ascii="Cambria" w:eastAsia="Cambria" w:hAnsi="Cambria" w:cs="Cambria"/>
          <w:sz w:val="20"/>
          <w:szCs w:val="20"/>
          <w:lang w:val="es-CO"/>
        </w:rPr>
        <w:t>consideró que la pérdida de un ser querido en circunstancias como las descritas en el presente informe, así como la ausencia de verdad y justicia, ocasionaron sufrimiento y angustia en perjuicio de los familiares del joven Brunettini</w:t>
      </w:r>
      <w:r w:rsidR="0008715A">
        <w:rPr>
          <w:rFonts w:ascii="Cambria" w:eastAsia="Cambria" w:hAnsi="Cambria" w:cs="Cambria"/>
          <w:sz w:val="20"/>
          <w:szCs w:val="20"/>
          <w:lang w:val="es-CO"/>
        </w:rPr>
        <w:t>, por lo cual el Estado es responsable por la violación al derecho a la integridad personal</w:t>
      </w:r>
      <w:r w:rsidR="0030498A" w:rsidRPr="007A319A">
        <w:rPr>
          <w:rFonts w:ascii="Cambria" w:eastAsia="Cambria" w:hAnsi="Cambria" w:cs="Cambria"/>
          <w:sz w:val="20"/>
          <w:szCs w:val="20"/>
          <w:lang w:val="es-CO"/>
        </w:rPr>
        <w:t>.</w:t>
      </w:r>
    </w:p>
    <w:p w14:paraId="390A0E61" w14:textId="77777777" w:rsidR="008C7C88" w:rsidRPr="007A319A" w:rsidRDefault="008C7C88"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p>
    <w:p w14:paraId="31439829" w14:textId="4688C134" w:rsidR="00ED4115" w:rsidRPr="007A319A" w:rsidRDefault="008C7C88" w:rsidP="008C7C88">
      <w:pPr>
        <w:pBdr>
          <w:top w:val="nil"/>
          <w:left w:val="nil"/>
          <w:bottom w:val="nil"/>
          <w:right w:val="nil"/>
          <w:between w:val="nil"/>
        </w:pBdr>
        <w:spacing w:after="0" w:line="240" w:lineRule="auto"/>
        <w:ind w:firstLine="720"/>
        <w:jc w:val="both"/>
        <w:rPr>
          <w:rFonts w:ascii="Cambria" w:eastAsia="Cambria" w:hAnsi="Cambria" w:cs="Cambria"/>
          <w:sz w:val="20"/>
          <w:szCs w:val="20"/>
          <w:lang w:val="es-CO"/>
        </w:rPr>
      </w:pPr>
      <w:r w:rsidRPr="007A319A">
        <w:rPr>
          <w:rFonts w:ascii="Cambria" w:eastAsia="Cambria" w:hAnsi="Cambria" w:cs="Cambria"/>
          <w:sz w:val="20"/>
          <w:szCs w:val="20"/>
          <w:lang w:val="es-CO"/>
        </w:rPr>
        <w:t>Con base en las determinaciones de hecho y de derecho, la Comisión Interamericana concluyó que el Estado argentino es responsable por la violación de los artículos 4.1 (derecho a la vida), 5.1 (derecho a la integridad personal), 8.1 (garantías judiciales) 19 (derechos de la niñez) y 25.1 (protección judicial) de la Convención American sobre Derechos Humanos, en relación con las obligaciones establecidas en el artículo 1.1 del mismo instrumento, en perjuicio de las víctimas identificadas en las diversas secciones del informe.</w:t>
      </w:r>
    </w:p>
    <w:p w14:paraId="2CECBA8F" w14:textId="77777777" w:rsidR="008C7C88" w:rsidRPr="007A319A" w:rsidRDefault="008C7C88" w:rsidP="008C7C88">
      <w:pPr>
        <w:pBdr>
          <w:top w:val="nil"/>
          <w:left w:val="nil"/>
          <w:bottom w:val="nil"/>
          <w:right w:val="nil"/>
          <w:between w:val="nil"/>
        </w:pBdr>
        <w:spacing w:after="0" w:line="240" w:lineRule="auto"/>
        <w:jc w:val="both"/>
        <w:rPr>
          <w:rFonts w:ascii="Cambria" w:eastAsia="Cambria" w:hAnsi="Cambria" w:cs="Cambria"/>
          <w:sz w:val="20"/>
          <w:szCs w:val="20"/>
          <w:lang w:val="es-CO"/>
        </w:rPr>
      </w:pPr>
    </w:p>
    <w:p w14:paraId="6D7486B5" w14:textId="10BDC7F5" w:rsidR="009C66B4" w:rsidRPr="007A319A" w:rsidRDefault="008F573C" w:rsidP="008F573C">
      <w:pPr>
        <w:tabs>
          <w:tab w:val="left" w:pos="540"/>
        </w:tabs>
        <w:spacing w:after="0" w:line="240" w:lineRule="auto"/>
        <w:jc w:val="both"/>
        <w:rPr>
          <w:rFonts w:ascii="Cambria" w:hAnsi="Cambria"/>
          <w:sz w:val="20"/>
          <w:szCs w:val="20"/>
          <w:lang w:val="es-CO"/>
        </w:rPr>
      </w:pPr>
      <w:r w:rsidRPr="007A319A">
        <w:rPr>
          <w:rFonts w:ascii="Cambria" w:hAnsi="Cambria"/>
          <w:sz w:val="20"/>
          <w:szCs w:val="20"/>
          <w:lang w:val="es-CO"/>
        </w:rPr>
        <w:tab/>
      </w:r>
      <w:r w:rsidR="008C7C88" w:rsidRPr="007A319A">
        <w:rPr>
          <w:rFonts w:ascii="Cambria" w:hAnsi="Cambria"/>
          <w:sz w:val="20"/>
          <w:szCs w:val="20"/>
          <w:lang w:val="es-CO"/>
        </w:rPr>
        <w:tab/>
      </w:r>
      <w:r w:rsidR="009C66B4" w:rsidRPr="007A319A">
        <w:rPr>
          <w:rFonts w:ascii="Cambria" w:hAnsi="Cambria"/>
          <w:sz w:val="20"/>
          <w:szCs w:val="20"/>
          <w:lang w:val="es-CO"/>
        </w:rPr>
        <w:t>El Estado argentino depositó el instrumento de ratificación de la Convención Americana sobre Derechos Humanos y aceptó la competencia contenciosa de la Corte Interamericana el 5 de septiembre de 1984.</w:t>
      </w:r>
    </w:p>
    <w:p w14:paraId="2A60D095" w14:textId="77777777" w:rsidR="009C66B4" w:rsidRPr="007A319A" w:rsidRDefault="009C66B4" w:rsidP="009C66B4">
      <w:pPr>
        <w:pStyle w:val="parrafos"/>
        <w:tabs>
          <w:tab w:val="left" w:pos="360"/>
        </w:tabs>
        <w:rPr>
          <w:rFonts w:cs="Calibri"/>
          <w:lang w:val="es-CO"/>
        </w:rPr>
      </w:pPr>
    </w:p>
    <w:p w14:paraId="5F2E9D4C" w14:textId="4284A589" w:rsidR="009C66B4" w:rsidRPr="007A319A" w:rsidRDefault="009C66B4" w:rsidP="008F573C">
      <w:pPr>
        <w:pStyle w:val="parrafos"/>
        <w:tabs>
          <w:tab w:val="left" w:pos="540"/>
        </w:tabs>
        <w:rPr>
          <w:lang w:val="es-CO"/>
        </w:rPr>
      </w:pPr>
      <w:r w:rsidRPr="007A319A">
        <w:rPr>
          <w:rFonts w:cs="Calibri"/>
          <w:lang w:val="es-CO"/>
        </w:rPr>
        <w:tab/>
        <w:t xml:space="preserve">La Comisión ha designado al Comisionado Stuardo </w:t>
      </w:r>
      <w:proofErr w:type="spellStart"/>
      <w:r w:rsidRPr="007A319A">
        <w:rPr>
          <w:rFonts w:cs="Calibri"/>
          <w:lang w:val="es-CO"/>
        </w:rPr>
        <w:t>Ralón</w:t>
      </w:r>
      <w:proofErr w:type="spellEnd"/>
      <w:r w:rsidRPr="007A319A">
        <w:rPr>
          <w:rFonts w:cs="Calibri"/>
          <w:lang w:val="es-CO"/>
        </w:rPr>
        <w:t xml:space="preserve"> </w:t>
      </w:r>
      <w:r w:rsidRPr="007A319A">
        <w:rPr>
          <w:lang w:val="es-CO"/>
        </w:rPr>
        <w:t xml:space="preserve">y a la </w:t>
      </w:r>
      <w:proofErr w:type="gramStart"/>
      <w:r w:rsidRPr="007A319A">
        <w:rPr>
          <w:lang w:val="es-CO"/>
        </w:rPr>
        <w:t>Secretaria Ejecutiva</w:t>
      </w:r>
      <w:proofErr w:type="gramEnd"/>
      <w:r w:rsidRPr="007A319A">
        <w:rPr>
          <w:lang w:val="es-CO"/>
        </w:rPr>
        <w:t xml:space="preserve">, Tania Reneaum Panszi, como su delegado y delegada. Asimismo, Jorge Meza Flores, </w:t>
      </w:r>
      <w:proofErr w:type="gramStart"/>
      <w:r w:rsidRPr="007A319A">
        <w:rPr>
          <w:lang w:val="es-CO"/>
        </w:rPr>
        <w:t>Secretario Ejecutivo</w:t>
      </w:r>
      <w:proofErr w:type="gramEnd"/>
      <w:r w:rsidRPr="007A319A">
        <w:rPr>
          <w:lang w:val="es-CO"/>
        </w:rPr>
        <w:t xml:space="preserve"> Adjunto</w:t>
      </w:r>
      <w:r w:rsidR="000623CF" w:rsidRPr="007A319A">
        <w:rPr>
          <w:lang w:val="es-CO"/>
        </w:rPr>
        <w:t xml:space="preserve"> y </w:t>
      </w:r>
      <w:r w:rsidR="008C7C88" w:rsidRPr="007A319A">
        <w:rPr>
          <w:lang w:val="es-CO"/>
        </w:rPr>
        <w:t xml:space="preserve">Erick Acuña </w:t>
      </w:r>
      <w:r w:rsidR="00714A84" w:rsidRPr="007A319A">
        <w:rPr>
          <w:lang w:val="es-CO"/>
        </w:rPr>
        <w:t xml:space="preserve">coordinador de la sección de casos </w:t>
      </w:r>
      <w:r w:rsidRPr="007A319A">
        <w:rPr>
          <w:lang w:val="es-CO"/>
        </w:rPr>
        <w:t>de la Secretaría Ejecutiva de la CIDH, actuarán como asesores legales.</w:t>
      </w:r>
    </w:p>
    <w:p w14:paraId="1A555D27" w14:textId="77777777" w:rsidR="009C66B4" w:rsidRPr="00B316B4" w:rsidRDefault="009C66B4" w:rsidP="009C66B4">
      <w:pPr>
        <w:pStyle w:val="parrafos"/>
        <w:tabs>
          <w:tab w:val="left" w:pos="360"/>
        </w:tabs>
        <w:rPr>
          <w:lang w:val="es-CO"/>
        </w:rPr>
      </w:pPr>
    </w:p>
    <w:p w14:paraId="4BF0190A" w14:textId="10C37DE0" w:rsidR="009C66B4" w:rsidRPr="00B316B4" w:rsidRDefault="009C66B4" w:rsidP="008F573C">
      <w:pPr>
        <w:tabs>
          <w:tab w:val="left" w:pos="540"/>
        </w:tabs>
        <w:spacing w:after="0" w:line="240" w:lineRule="auto"/>
        <w:jc w:val="both"/>
        <w:rPr>
          <w:rFonts w:ascii="Cambria" w:hAnsi="Cambria" w:cs="Calibri"/>
          <w:color w:val="000000"/>
          <w:sz w:val="20"/>
          <w:szCs w:val="20"/>
          <w:lang w:val="es-CO"/>
        </w:rPr>
      </w:pPr>
      <w:r w:rsidRPr="00B316B4">
        <w:rPr>
          <w:rFonts w:ascii="Cambria" w:hAnsi="Cambria" w:cs="Calibri"/>
          <w:color w:val="000000"/>
          <w:sz w:val="20"/>
          <w:szCs w:val="20"/>
          <w:lang w:val="es-CO"/>
        </w:rPr>
        <w:tab/>
        <w:t>De conformidad con el artículo 35 del Reglamento de la Corte Interamericana, la Comisión adjunta copia del Informe de</w:t>
      </w:r>
      <w:r w:rsidR="00A82589" w:rsidRPr="00B316B4">
        <w:rPr>
          <w:rFonts w:ascii="Cambria" w:hAnsi="Cambria" w:cs="Calibri"/>
          <w:color w:val="000000"/>
          <w:sz w:val="20"/>
          <w:szCs w:val="20"/>
          <w:lang w:val="es-CO"/>
        </w:rPr>
        <w:t xml:space="preserve"> </w:t>
      </w:r>
      <w:r w:rsidR="008C7C88" w:rsidRPr="00B316B4">
        <w:rPr>
          <w:rFonts w:ascii="Cambria" w:hAnsi="Cambria" w:cs="Calibri"/>
          <w:color w:val="000000"/>
          <w:sz w:val="20"/>
          <w:szCs w:val="20"/>
          <w:lang w:val="es-CO"/>
        </w:rPr>
        <w:t xml:space="preserve">Admisibilidad y </w:t>
      </w:r>
      <w:r w:rsidRPr="00B316B4">
        <w:rPr>
          <w:rFonts w:ascii="Cambria" w:hAnsi="Cambria" w:cs="Calibri"/>
          <w:color w:val="000000"/>
          <w:sz w:val="20"/>
          <w:szCs w:val="20"/>
          <w:lang w:val="es-CO"/>
        </w:rPr>
        <w:t xml:space="preserve">Fondo No. </w:t>
      </w:r>
      <w:r w:rsidR="008C7C88" w:rsidRPr="00B316B4">
        <w:rPr>
          <w:rFonts w:ascii="Cambria" w:eastAsia="Arial Unicode MS" w:hAnsi="Cambria"/>
          <w:sz w:val="20"/>
          <w:szCs w:val="20"/>
          <w:lang w:val="es-CO"/>
        </w:rPr>
        <w:t xml:space="preserve">100/23 </w:t>
      </w:r>
      <w:r w:rsidRPr="00B316B4">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8D5561" w:rsidRPr="00B316B4">
        <w:rPr>
          <w:rFonts w:ascii="Cambria" w:eastAsia="Arial Unicode MS" w:hAnsi="Cambria"/>
          <w:sz w:val="20"/>
          <w:szCs w:val="20"/>
          <w:lang w:val="es-CO"/>
        </w:rPr>
        <w:t xml:space="preserve">100/23 </w:t>
      </w:r>
      <w:r w:rsidRPr="00B316B4">
        <w:rPr>
          <w:rFonts w:ascii="Cambria" w:hAnsi="Cambria" w:cs="Calibri"/>
          <w:color w:val="000000"/>
          <w:sz w:val="20"/>
          <w:szCs w:val="20"/>
          <w:lang w:val="es-CO"/>
        </w:rPr>
        <w:t xml:space="preserve">(Anexos). </w:t>
      </w:r>
    </w:p>
    <w:p w14:paraId="32545512" w14:textId="77777777" w:rsidR="00AB0097" w:rsidRPr="00B316B4" w:rsidRDefault="00AB0097" w:rsidP="009C66B4">
      <w:pPr>
        <w:tabs>
          <w:tab w:val="left" w:pos="360"/>
        </w:tabs>
        <w:spacing w:after="0" w:line="240" w:lineRule="auto"/>
        <w:jc w:val="both"/>
        <w:rPr>
          <w:rFonts w:ascii="Cambria" w:hAnsi="Cambria" w:cs="Calibri"/>
          <w:color w:val="000000"/>
          <w:sz w:val="20"/>
          <w:szCs w:val="20"/>
          <w:lang w:val="es-CO"/>
        </w:rPr>
      </w:pPr>
    </w:p>
    <w:p w14:paraId="4B7977DD" w14:textId="57079B92" w:rsidR="006044D4" w:rsidRPr="00B316B4" w:rsidRDefault="009C66B4" w:rsidP="006044D4">
      <w:pPr>
        <w:pStyle w:val="NormalWeb"/>
        <w:spacing w:before="0" w:beforeAutospacing="0" w:after="0" w:afterAutospacing="0"/>
        <w:ind w:firstLine="540"/>
        <w:jc w:val="both"/>
        <w:rPr>
          <w:rFonts w:ascii="Cambria" w:hAnsi="Cambria"/>
          <w:sz w:val="20"/>
          <w:szCs w:val="20"/>
          <w:lang w:val="es-CO"/>
        </w:rPr>
      </w:pPr>
      <w:r w:rsidRPr="00B316B4">
        <w:rPr>
          <w:rFonts w:ascii="Cambria" w:hAnsi="Cambria"/>
          <w:sz w:val="20"/>
          <w:szCs w:val="20"/>
          <w:lang w:val="es-CO"/>
        </w:rPr>
        <w:t xml:space="preserve">Dicho Informe de </w:t>
      </w:r>
      <w:r w:rsidR="00B316B4">
        <w:rPr>
          <w:rFonts w:ascii="Cambria" w:hAnsi="Cambria"/>
          <w:sz w:val="20"/>
          <w:szCs w:val="20"/>
          <w:lang w:val="es-CO"/>
        </w:rPr>
        <w:t xml:space="preserve">Admisibilidad y </w:t>
      </w:r>
      <w:r w:rsidRPr="00B316B4">
        <w:rPr>
          <w:rFonts w:ascii="Cambria" w:hAnsi="Cambria"/>
          <w:sz w:val="20"/>
          <w:szCs w:val="20"/>
          <w:lang w:val="es-CO"/>
        </w:rPr>
        <w:t xml:space="preserve">Fondo fue notificado al Estado el </w:t>
      </w:r>
      <w:r w:rsidR="006557D1" w:rsidRPr="00B316B4">
        <w:rPr>
          <w:rFonts w:ascii="Cambria" w:hAnsi="Cambria" w:cs="Cambria"/>
          <w:sz w:val="20"/>
          <w:szCs w:val="20"/>
          <w:lang w:val="es-CO" w:eastAsia="zh-CN"/>
        </w:rPr>
        <w:t xml:space="preserve">1 </w:t>
      </w:r>
      <w:r w:rsidR="002B52B7" w:rsidRPr="00B316B4">
        <w:rPr>
          <w:rFonts w:ascii="Cambria" w:hAnsi="Cambria" w:cs="Cambria"/>
          <w:sz w:val="20"/>
          <w:szCs w:val="20"/>
          <w:lang w:val="es-CO" w:eastAsia="zh-CN"/>
        </w:rPr>
        <w:t>agosto</w:t>
      </w:r>
      <w:r w:rsidR="006557D1" w:rsidRPr="00B316B4">
        <w:rPr>
          <w:rFonts w:ascii="Cambria" w:hAnsi="Cambria" w:cs="Cambria"/>
          <w:sz w:val="20"/>
          <w:szCs w:val="20"/>
          <w:lang w:val="es-CO" w:eastAsia="zh-CN"/>
        </w:rPr>
        <w:t xml:space="preserve"> de 202</w:t>
      </w:r>
      <w:r w:rsidR="002B52B7" w:rsidRPr="00B316B4">
        <w:rPr>
          <w:rFonts w:ascii="Cambria" w:hAnsi="Cambria" w:cs="Cambria"/>
          <w:sz w:val="20"/>
          <w:szCs w:val="20"/>
          <w:lang w:val="es-CO" w:eastAsia="zh-CN"/>
        </w:rPr>
        <w:t>4</w:t>
      </w:r>
      <w:r w:rsidRPr="00B316B4">
        <w:rPr>
          <w:rFonts w:ascii="Cambria" w:hAnsi="Cambria"/>
          <w:sz w:val="20"/>
          <w:szCs w:val="20"/>
          <w:lang w:val="es-CO"/>
        </w:rPr>
        <w:t xml:space="preserve">, otorgándole un plazo de dos meses para informar sobre el cumplimiento de las recomendaciones realizadas por la Comisión. </w:t>
      </w:r>
      <w:r w:rsidRPr="00B316B4">
        <w:rPr>
          <w:rFonts w:ascii="Cambria" w:hAnsi="Cambria" w:cs="Calibri"/>
          <w:color w:val="000000"/>
          <w:sz w:val="20"/>
          <w:szCs w:val="20"/>
          <w:lang w:val="es-CO"/>
        </w:rPr>
        <w:t xml:space="preserve">Tras el otorgamiento de </w:t>
      </w:r>
      <w:r w:rsidR="002B52B7" w:rsidRPr="00B316B4">
        <w:rPr>
          <w:rFonts w:ascii="Cambria" w:hAnsi="Cambria" w:cs="Calibri"/>
          <w:color w:val="000000"/>
          <w:sz w:val="20"/>
          <w:szCs w:val="20"/>
          <w:lang w:val="es-CO"/>
        </w:rPr>
        <w:t>tres</w:t>
      </w:r>
      <w:r w:rsidRPr="00B316B4">
        <w:rPr>
          <w:rFonts w:ascii="Cambria" w:hAnsi="Cambria" w:cs="Calibri"/>
          <w:color w:val="000000"/>
          <w:sz w:val="20"/>
          <w:szCs w:val="20"/>
          <w:lang w:val="es-CO"/>
        </w:rPr>
        <w:t xml:space="preserve"> prórrogas, la Comisión notó que el Estado no brindó información sobre avances sustantivos en el cumplimiento de las recomendaciones</w:t>
      </w:r>
      <w:r w:rsidR="008C077A" w:rsidRPr="00B316B4">
        <w:rPr>
          <w:rFonts w:ascii="Cambria" w:hAnsi="Cambria" w:cs="Calibri"/>
          <w:color w:val="000000"/>
          <w:sz w:val="20"/>
          <w:szCs w:val="20"/>
          <w:lang w:val="es-CO"/>
        </w:rPr>
        <w:t xml:space="preserve">, </w:t>
      </w:r>
      <w:r w:rsidRPr="00B316B4">
        <w:rPr>
          <w:rFonts w:ascii="Cambria" w:hAnsi="Cambria" w:cs="Calibri"/>
          <w:color w:val="000000"/>
          <w:sz w:val="20"/>
          <w:szCs w:val="20"/>
          <w:lang w:val="es-CO"/>
        </w:rPr>
        <w:t>que las partes no han llegado a un acuerdo de cumplimiento de tal forma que la</w:t>
      </w:r>
      <w:r w:rsidR="004F2FCC" w:rsidRPr="00B316B4">
        <w:rPr>
          <w:rFonts w:ascii="Cambria" w:hAnsi="Cambria" w:cs="Calibri"/>
          <w:color w:val="000000"/>
          <w:sz w:val="20"/>
          <w:szCs w:val="20"/>
          <w:lang w:val="es-CO"/>
        </w:rPr>
        <w:t>s</w:t>
      </w:r>
      <w:r w:rsidRPr="00B316B4">
        <w:rPr>
          <w:rFonts w:ascii="Cambria" w:hAnsi="Cambria" w:cs="Calibri"/>
          <w:color w:val="000000"/>
          <w:sz w:val="20"/>
          <w:szCs w:val="20"/>
          <w:lang w:val="es-CO"/>
        </w:rPr>
        <w:t xml:space="preserve"> víctima</w:t>
      </w:r>
      <w:r w:rsidR="004F2FCC" w:rsidRPr="00B316B4">
        <w:rPr>
          <w:rFonts w:ascii="Cambria" w:hAnsi="Cambria" w:cs="Calibri"/>
          <w:color w:val="000000"/>
          <w:sz w:val="20"/>
          <w:szCs w:val="20"/>
          <w:lang w:val="es-CO"/>
        </w:rPr>
        <w:t>s</w:t>
      </w:r>
      <w:r w:rsidRPr="00B316B4">
        <w:rPr>
          <w:rFonts w:ascii="Cambria" w:hAnsi="Cambria" w:cs="Calibri"/>
          <w:color w:val="000000"/>
          <w:sz w:val="20"/>
          <w:szCs w:val="20"/>
          <w:lang w:val="es-CO"/>
        </w:rPr>
        <w:t xml:space="preserve"> </w:t>
      </w:r>
      <w:r w:rsidR="002A4817" w:rsidRPr="00B316B4">
        <w:rPr>
          <w:rFonts w:ascii="Cambria" w:hAnsi="Cambria" w:cs="Calibri"/>
          <w:color w:val="000000"/>
          <w:sz w:val="20"/>
          <w:szCs w:val="20"/>
          <w:lang w:val="es-CO"/>
        </w:rPr>
        <w:t xml:space="preserve">recibieran </w:t>
      </w:r>
      <w:r w:rsidR="00D8230C" w:rsidRPr="00B316B4">
        <w:rPr>
          <w:rFonts w:ascii="Cambria" w:hAnsi="Cambria" w:cs="Calibri"/>
          <w:color w:val="000000"/>
          <w:sz w:val="20"/>
          <w:szCs w:val="20"/>
          <w:lang w:val="es-CO"/>
        </w:rPr>
        <w:t>una</w:t>
      </w:r>
      <w:r w:rsidRPr="00B316B4">
        <w:rPr>
          <w:rFonts w:ascii="Cambria" w:hAnsi="Cambria" w:cs="Calibri"/>
          <w:color w:val="000000"/>
          <w:sz w:val="20"/>
          <w:szCs w:val="20"/>
          <w:lang w:val="es-CO"/>
        </w:rPr>
        <w:t xml:space="preserve"> reparación</w:t>
      </w:r>
      <w:r w:rsidR="008C077A" w:rsidRPr="00B316B4">
        <w:rPr>
          <w:rFonts w:ascii="Cambria" w:hAnsi="Cambria" w:cs="Calibri"/>
          <w:color w:val="000000"/>
          <w:sz w:val="20"/>
          <w:szCs w:val="20"/>
          <w:lang w:val="es-CO"/>
        </w:rPr>
        <w:t>, y que no resultaban cumplidos los requisitos establecidos en el artículo 46 del Reglamento para otorgar una nueva prórroga</w:t>
      </w:r>
      <w:r w:rsidRPr="00B316B4">
        <w:rPr>
          <w:rFonts w:ascii="Cambria" w:hAnsi="Cambria" w:cs="Calibri"/>
          <w:color w:val="000000"/>
          <w:sz w:val="20"/>
          <w:szCs w:val="20"/>
          <w:lang w:val="es-CO"/>
        </w:rPr>
        <w:t>. En consecuencia, ante la necesidad de justicia y reparación integral, la Comisión decidió enviar el caso a la jurisdicción de la Corte Interamericana.</w:t>
      </w:r>
      <w:r w:rsidRPr="00B316B4">
        <w:rPr>
          <w:rFonts w:ascii="Cambria" w:hAnsi="Cambria"/>
          <w:sz w:val="20"/>
          <w:szCs w:val="20"/>
          <w:lang w:val="es-CO"/>
        </w:rPr>
        <w:t xml:space="preserve"> </w:t>
      </w:r>
    </w:p>
    <w:p w14:paraId="05892768" w14:textId="77777777" w:rsidR="006044D4" w:rsidRPr="00B316B4" w:rsidRDefault="006044D4" w:rsidP="006044D4">
      <w:pPr>
        <w:pStyle w:val="NormalWeb"/>
        <w:spacing w:before="0" w:beforeAutospacing="0" w:after="0" w:afterAutospacing="0"/>
        <w:ind w:firstLine="540"/>
        <w:jc w:val="both"/>
        <w:rPr>
          <w:rFonts w:ascii="Cambria" w:hAnsi="Cambria"/>
          <w:sz w:val="20"/>
          <w:szCs w:val="20"/>
          <w:lang w:val="es-CO"/>
        </w:rPr>
      </w:pPr>
    </w:p>
    <w:p w14:paraId="243DD21F" w14:textId="27D883E0" w:rsidR="009C66B4" w:rsidRPr="007A319A" w:rsidRDefault="009C66B4" w:rsidP="006044D4">
      <w:pPr>
        <w:pStyle w:val="NormalWeb"/>
        <w:spacing w:before="0" w:beforeAutospacing="0" w:after="0" w:afterAutospacing="0"/>
        <w:ind w:firstLine="540"/>
        <w:jc w:val="both"/>
        <w:rPr>
          <w:rFonts w:ascii="Cambria" w:eastAsia="Times New Roman" w:hAnsi="Cambria"/>
          <w:sz w:val="20"/>
          <w:szCs w:val="20"/>
          <w:lang w:val="es-CO" w:eastAsia="ko-KR"/>
        </w:rPr>
      </w:pPr>
      <w:r w:rsidRPr="007A319A">
        <w:rPr>
          <w:rFonts w:ascii="Cambria" w:eastAsiaTheme="minorHAnsi" w:hAnsi="Cambria"/>
          <w:sz w:val="20"/>
          <w:szCs w:val="20"/>
          <w:lang w:val="es-CO"/>
        </w:rPr>
        <w:t xml:space="preserve">En ese sentido, la Comisión solicita a la Honorable Corte que concluya y declare que </w:t>
      </w:r>
      <w:r w:rsidRPr="007A319A">
        <w:rPr>
          <w:rFonts w:ascii="Cambria" w:hAnsi="Cambria"/>
          <w:sz w:val="20"/>
          <w:szCs w:val="20"/>
          <w:lang w:val="es-CO"/>
        </w:rPr>
        <w:t xml:space="preserve">el Estado argentino </w:t>
      </w:r>
      <w:r w:rsidR="006044D4" w:rsidRPr="007A319A">
        <w:rPr>
          <w:rFonts w:ascii="Cambria" w:eastAsia="Cambria" w:hAnsi="Cambria" w:cs="Cambria"/>
          <w:sz w:val="20"/>
          <w:szCs w:val="20"/>
          <w:lang w:val="es-CO"/>
        </w:rPr>
        <w:t>es responsable por la violación de los artículos 4.1 (derecho a la vida), 5.1 (derecho a la integridad personal), 8.1 (garantías judiciales) 19 (derechos de la niñez) y 25.1 (protección judicial) de la Convención American sobre Derechos Humanos, en relación con las obligaciones establecidas en el artículo 1.1 del mismo instrumento, en perjuicio de las víctimas identificadas en las diversas secciones del informe.</w:t>
      </w:r>
    </w:p>
    <w:p w14:paraId="72B2C846" w14:textId="77777777" w:rsidR="009C66B4" w:rsidRPr="007A319A" w:rsidRDefault="009C66B4" w:rsidP="009C66B4">
      <w:pPr>
        <w:tabs>
          <w:tab w:val="left" w:pos="360"/>
        </w:tabs>
        <w:autoSpaceDE w:val="0"/>
        <w:autoSpaceDN w:val="0"/>
        <w:adjustRightInd w:val="0"/>
        <w:spacing w:after="0" w:line="240" w:lineRule="auto"/>
        <w:jc w:val="both"/>
        <w:rPr>
          <w:rFonts w:ascii="Cambria" w:eastAsiaTheme="minorHAnsi" w:hAnsi="Cambria"/>
          <w:sz w:val="16"/>
          <w:szCs w:val="16"/>
          <w:lang w:val="es-CO"/>
        </w:rPr>
      </w:pPr>
    </w:p>
    <w:p w14:paraId="4FBA1D8A" w14:textId="067FD66B" w:rsidR="009C66B4" w:rsidRPr="007A319A" w:rsidRDefault="008F573C" w:rsidP="008F573C">
      <w:pPr>
        <w:tabs>
          <w:tab w:val="left" w:pos="540"/>
        </w:tabs>
        <w:autoSpaceDE w:val="0"/>
        <w:autoSpaceDN w:val="0"/>
        <w:adjustRightInd w:val="0"/>
        <w:spacing w:after="0" w:line="240" w:lineRule="auto"/>
        <w:jc w:val="both"/>
        <w:rPr>
          <w:rFonts w:ascii="Cambria" w:eastAsiaTheme="minorHAnsi" w:hAnsi="Cambria"/>
          <w:sz w:val="20"/>
          <w:szCs w:val="20"/>
          <w:lang w:val="es-CO"/>
        </w:rPr>
      </w:pPr>
      <w:r w:rsidRPr="007A319A">
        <w:rPr>
          <w:rFonts w:ascii="Cambria" w:eastAsiaTheme="minorHAnsi" w:hAnsi="Cambria"/>
          <w:sz w:val="20"/>
          <w:szCs w:val="20"/>
          <w:lang w:val="es-CO"/>
        </w:rPr>
        <w:tab/>
      </w:r>
      <w:r w:rsidR="009C66B4" w:rsidRPr="007A319A">
        <w:rPr>
          <w:rFonts w:ascii="Cambria" w:eastAsiaTheme="minorHAnsi" w:hAnsi="Cambria"/>
          <w:sz w:val="20"/>
          <w:szCs w:val="20"/>
          <w:lang w:val="es-CO"/>
        </w:rPr>
        <w:t>En consecuencia, la Comisión solicita a la Corte Interamericana que establezca las siguientes medidas de reparación:</w:t>
      </w:r>
    </w:p>
    <w:p w14:paraId="320C1791" w14:textId="77777777" w:rsidR="009C66B4" w:rsidRPr="007A319A" w:rsidRDefault="009C66B4" w:rsidP="009C66B4">
      <w:pPr>
        <w:pBdr>
          <w:top w:val="nil"/>
          <w:left w:val="nil"/>
          <w:bottom w:val="nil"/>
          <w:right w:val="nil"/>
          <w:between w:val="nil"/>
          <w:bar w:val="nil"/>
        </w:pBdr>
        <w:spacing w:after="0" w:line="240" w:lineRule="auto"/>
        <w:ind w:right="20"/>
        <w:jc w:val="both"/>
        <w:rPr>
          <w:rFonts w:ascii="Cambria" w:hAnsi="Cambria"/>
          <w:sz w:val="20"/>
          <w:szCs w:val="20"/>
          <w:lang w:val="es-CO"/>
        </w:rPr>
      </w:pPr>
    </w:p>
    <w:p w14:paraId="3B1ED235" w14:textId="781D7E96" w:rsidR="008D5561" w:rsidRPr="007A319A" w:rsidRDefault="008D5561" w:rsidP="008D5561">
      <w:pPr>
        <w:pStyle w:val="ListParagraph"/>
        <w:numPr>
          <w:ilvl w:val="0"/>
          <w:numId w:val="2"/>
        </w:numPr>
        <w:spacing w:after="0" w:line="240" w:lineRule="auto"/>
        <w:jc w:val="both"/>
        <w:rPr>
          <w:rFonts w:ascii="Cambria" w:hAnsi="Cambria"/>
          <w:sz w:val="20"/>
          <w:szCs w:val="20"/>
          <w:lang w:val="es-CO"/>
        </w:rPr>
      </w:pPr>
      <w:r w:rsidRPr="007A319A">
        <w:rPr>
          <w:rFonts w:ascii="Cambria" w:hAnsi="Cambria"/>
          <w:sz w:val="20"/>
          <w:szCs w:val="20"/>
          <w:lang w:val="es-CO"/>
        </w:rPr>
        <w:t xml:space="preserve">Reparar integralmente las violaciones de derechos humanos declaradas en el presente informe tanto en el aspecto material como moral. Ello, deberá tomar en cuenta las eventuales medidas de indemnización que se hayan otorgado a las víctimas, tal como se indica en el presente informe. </w:t>
      </w:r>
    </w:p>
    <w:p w14:paraId="2E871AED" w14:textId="77777777" w:rsidR="008D5561" w:rsidRPr="007A319A" w:rsidRDefault="008D5561" w:rsidP="00670E74">
      <w:pPr>
        <w:spacing w:after="0" w:line="240" w:lineRule="auto"/>
        <w:jc w:val="both"/>
        <w:rPr>
          <w:rFonts w:ascii="Cambria" w:hAnsi="Cambria"/>
          <w:sz w:val="20"/>
          <w:szCs w:val="20"/>
          <w:lang w:val="es-CO"/>
        </w:rPr>
      </w:pPr>
    </w:p>
    <w:p w14:paraId="5399F598" w14:textId="77777777" w:rsidR="008D5561" w:rsidRPr="007A319A" w:rsidRDefault="008D5561" w:rsidP="008D5561">
      <w:pPr>
        <w:pStyle w:val="ListParagraph"/>
        <w:numPr>
          <w:ilvl w:val="0"/>
          <w:numId w:val="2"/>
        </w:numPr>
        <w:spacing w:after="0" w:line="240" w:lineRule="auto"/>
        <w:jc w:val="both"/>
        <w:rPr>
          <w:rFonts w:ascii="Cambria" w:hAnsi="Cambria"/>
          <w:sz w:val="20"/>
          <w:szCs w:val="20"/>
          <w:lang w:val="es-CO"/>
        </w:rPr>
      </w:pPr>
      <w:r w:rsidRPr="007A319A">
        <w:rPr>
          <w:rFonts w:ascii="Cambria" w:hAnsi="Cambria"/>
          <w:sz w:val="20"/>
          <w:szCs w:val="20"/>
          <w:lang w:val="es-CO"/>
        </w:rPr>
        <w:t xml:space="preserve">Adoptar las medidas disciplinarias, administrativas o penales a efectos de investigar y eventualmente sancionar las violaciones a los derechos humanos identificadas en el presente informe. </w:t>
      </w:r>
    </w:p>
    <w:p w14:paraId="5BC272F0" w14:textId="77777777" w:rsidR="008D5561" w:rsidRPr="007A319A" w:rsidRDefault="008D5561" w:rsidP="00670E74">
      <w:pPr>
        <w:spacing w:after="0" w:line="240" w:lineRule="auto"/>
        <w:jc w:val="both"/>
        <w:rPr>
          <w:rFonts w:ascii="Cambria" w:hAnsi="Cambria"/>
          <w:sz w:val="20"/>
          <w:szCs w:val="20"/>
          <w:lang w:val="es-CO"/>
        </w:rPr>
      </w:pPr>
    </w:p>
    <w:p w14:paraId="434465C6" w14:textId="0288F7F3" w:rsidR="00417EF5" w:rsidRPr="007A319A" w:rsidRDefault="008D5561" w:rsidP="008D5561">
      <w:pPr>
        <w:pStyle w:val="ListParagraph"/>
        <w:numPr>
          <w:ilvl w:val="0"/>
          <w:numId w:val="2"/>
        </w:numPr>
        <w:spacing w:after="0" w:line="240" w:lineRule="auto"/>
        <w:jc w:val="both"/>
        <w:rPr>
          <w:rFonts w:ascii="Cambria" w:hAnsi="Cambria"/>
          <w:sz w:val="20"/>
          <w:szCs w:val="20"/>
          <w:lang w:val="es-CO"/>
        </w:rPr>
      </w:pPr>
      <w:r w:rsidRPr="007A319A">
        <w:rPr>
          <w:rFonts w:ascii="Cambria" w:hAnsi="Cambria"/>
          <w:sz w:val="20"/>
          <w:szCs w:val="20"/>
          <w:lang w:val="es-CO"/>
        </w:rPr>
        <w:t xml:space="preserve">Disponer mecanismos de no repetición que incluyan: i) la capacitación de agentes policiales en Argentina en cuanto a estándares internacionales sobre el uso de la fuerza; </w:t>
      </w:r>
      <w:proofErr w:type="spellStart"/>
      <w:r w:rsidRPr="007A319A">
        <w:rPr>
          <w:rFonts w:ascii="Cambria" w:hAnsi="Cambria"/>
          <w:sz w:val="20"/>
          <w:szCs w:val="20"/>
          <w:lang w:val="es-CO"/>
        </w:rPr>
        <w:t>ii</w:t>
      </w:r>
      <w:proofErr w:type="spellEnd"/>
      <w:r w:rsidRPr="007A319A">
        <w:rPr>
          <w:rFonts w:ascii="Cambria" w:hAnsi="Cambria"/>
          <w:sz w:val="20"/>
          <w:szCs w:val="20"/>
          <w:lang w:val="es-CO"/>
        </w:rPr>
        <w:t xml:space="preserve">) establecer mecanismos adecuados de rendición de cuentas respecto de abusos cometidos por los miembros de tales cuerpos de seguridad; y </w:t>
      </w:r>
      <w:proofErr w:type="spellStart"/>
      <w:r w:rsidRPr="007A319A">
        <w:rPr>
          <w:rFonts w:ascii="Cambria" w:hAnsi="Cambria"/>
          <w:sz w:val="20"/>
          <w:szCs w:val="20"/>
          <w:lang w:val="es-CO"/>
        </w:rPr>
        <w:t>iii</w:t>
      </w:r>
      <w:proofErr w:type="spellEnd"/>
      <w:r w:rsidRPr="007A319A">
        <w:rPr>
          <w:rFonts w:ascii="Cambria" w:hAnsi="Cambria"/>
          <w:sz w:val="20"/>
          <w:szCs w:val="20"/>
          <w:lang w:val="es-CO"/>
        </w:rPr>
        <w:t>) fortalecer la capacidad investigativa de casos de uso de la fuerza letal, a fin de que las mismas sean compatibles con los estándares descritos en el presente informe.</w:t>
      </w:r>
    </w:p>
    <w:p w14:paraId="2C596899" w14:textId="77777777" w:rsidR="008D5561" w:rsidRPr="007A319A" w:rsidRDefault="008D5561" w:rsidP="00670E74">
      <w:pPr>
        <w:spacing w:after="0" w:line="240" w:lineRule="auto"/>
        <w:jc w:val="both"/>
        <w:rPr>
          <w:rFonts w:ascii="Cambria" w:hAnsi="Cambria"/>
          <w:sz w:val="20"/>
          <w:szCs w:val="20"/>
          <w:lang w:val="es-CO"/>
        </w:rPr>
      </w:pPr>
    </w:p>
    <w:p w14:paraId="6CE909B5" w14:textId="3DBAC841" w:rsidR="00CB7750" w:rsidRPr="007A319A" w:rsidRDefault="008F573C" w:rsidP="008F573C">
      <w:pPr>
        <w:pStyle w:val="Default"/>
        <w:tabs>
          <w:tab w:val="left" w:pos="540"/>
        </w:tabs>
        <w:jc w:val="both"/>
        <w:rPr>
          <w:sz w:val="20"/>
          <w:szCs w:val="20"/>
          <w:lang w:val="es-CO"/>
        </w:rPr>
      </w:pPr>
      <w:r w:rsidRPr="007A319A">
        <w:rPr>
          <w:sz w:val="20"/>
          <w:szCs w:val="20"/>
          <w:lang w:val="es-CO"/>
        </w:rPr>
        <w:tab/>
      </w:r>
      <w:r w:rsidR="009C66B4" w:rsidRPr="007A319A">
        <w:rPr>
          <w:sz w:val="20"/>
          <w:szCs w:val="20"/>
          <w:lang w:val="es-CO"/>
        </w:rPr>
        <w:t xml:space="preserve">Además de la necesidad de obtención de justicia y reparación integral, la Comisión considera que el caso presenta cuestiones de orden público interamericano. El mismo permitirá a la Honorable Corte continuar profundizando </w:t>
      </w:r>
      <w:r w:rsidR="009C66B4" w:rsidRPr="007A319A">
        <w:rPr>
          <w:rFonts w:eastAsia="Cambria"/>
          <w:sz w:val="20"/>
          <w:szCs w:val="20"/>
          <w:lang w:val="es-CO"/>
        </w:rPr>
        <w:t xml:space="preserve">su jurisprudencia </w:t>
      </w:r>
      <w:r w:rsidR="00CB7750" w:rsidRPr="007A319A">
        <w:rPr>
          <w:sz w:val="20"/>
          <w:szCs w:val="20"/>
          <w:lang w:val="es-CO"/>
        </w:rPr>
        <w:t xml:space="preserve">sobre </w:t>
      </w:r>
      <w:r w:rsidR="00893760" w:rsidRPr="007A319A">
        <w:rPr>
          <w:sz w:val="20"/>
          <w:szCs w:val="20"/>
          <w:lang w:val="es-CO"/>
        </w:rPr>
        <w:t xml:space="preserve">los estándares </w:t>
      </w:r>
      <w:r w:rsidR="006044D4" w:rsidRPr="007A319A">
        <w:rPr>
          <w:sz w:val="20"/>
          <w:szCs w:val="20"/>
          <w:lang w:val="es-CO"/>
        </w:rPr>
        <w:t xml:space="preserve">interamericanos </w:t>
      </w:r>
      <w:r w:rsidR="00893760" w:rsidRPr="007A319A">
        <w:rPr>
          <w:sz w:val="20"/>
          <w:szCs w:val="20"/>
          <w:lang w:val="es-CO"/>
        </w:rPr>
        <w:t xml:space="preserve">aplicables </w:t>
      </w:r>
      <w:r w:rsidR="007A42E8" w:rsidRPr="007A319A">
        <w:rPr>
          <w:sz w:val="20"/>
          <w:szCs w:val="20"/>
          <w:lang w:val="es-CO"/>
        </w:rPr>
        <w:t>a</w:t>
      </w:r>
      <w:r w:rsidR="00893760" w:rsidRPr="007A319A">
        <w:rPr>
          <w:sz w:val="20"/>
          <w:szCs w:val="20"/>
          <w:lang w:val="es-CO"/>
        </w:rPr>
        <w:t>l uso de la fuerza</w:t>
      </w:r>
      <w:r w:rsidR="008D5561" w:rsidRPr="007A319A">
        <w:rPr>
          <w:sz w:val="20"/>
          <w:szCs w:val="20"/>
          <w:lang w:val="es-CO"/>
        </w:rPr>
        <w:t xml:space="preserve">, especialmente aquella ejercida </w:t>
      </w:r>
      <w:r w:rsidR="007A42E8" w:rsidRPr="007A319A">
        <w:rPr>
          <w:sz w:val="20"/>
          <w:szCs w:val="20"/>
          <w:lang w:val="es-CO"/>
        </w:rPr>
        <w:t>en contra de adolescentes</w:t>
      </w:r>
      <w:r w:rsidR="008D5561" w:rsidRPr="007A319A">
        <w:rPr>
          <w:sz w:val="20"/>
          <w:szCs w:val="20"/>
          <w:lang w:val="es-CO"/>
        </w:rPr>
        <w:t xml:space="preserve">. Asimismo, </w:t>
      </w:r>
      <w:r w:rsidR="00CB0B99" w:rsidRPr="007A319A">
        <w:rPr>
          <w:sz w:val="20"/>
          <w:szCs w:val="20"/>
          <w:lang w:val="es-CO"/>
        </w:rPr>
        <w:t>la Corte podrá referirse a la o</w:t>
      </w:r>
      <w:r w:rsidR="00241779" w:rsidRPr="007A319A">
        <w:rPr>
          <w:sz w:val="20"/>
          <w:szCs w:val="20"/>
          <w:lang w:val="es-CO"/>
        </w:rPr>
        <w:t>bligación de los Estados de investigar casos relacionados con muertes violentas</w:t>
      </w:r>
      <w:r w:rsidR="00B472E2" w:rsidRPr="007A319A">
        <w:rPr>
          <w:sz w:val="20"/>
          <w:szCs w:val="20"/>
          <w:lang w:val="es-CO"/>
        </w:rPr>
        <w:t xml:space="preserve"> </w:t>
      </w:r>
      <w:r w:rsidR="00241779" w:rsidRPr="007A319A">
        <w:rPr>
          <w:sz w:val="20"/>
          <w:szCs w:val="20"/>
          <w:lang w:val="es-CO"/>
        </w:rPr>
        <w:t>cuando puedan estar involucrados agentes estatales</w:t>
      </w:r>
      <w:r w:rsidR="00B472E2" w:rsidRPr="007A319A">
        <w:rPr>
          <w:sz w:val="20"/>
          <w:szCs w:val="20"/>
          <w:lang w:val="es-CO"/>
        </w:rPr>
        <w:t xml:space="preserve"> para la determinación de la verdad y el enjuiciamiento y castigo de todos los responsables de los hechos.</w:t>
      </w:r>
      <w:r w:rsidR="006661C2" w:rsidRPr="007A319A">
        <w:rPr>
          <w:sz w:val="20"/>
          <w:szCs w:val="20"/>
          <w:lang w:val="es-CO"/>
        </w:rPr>
        <w:t xml:space="preserve"> En particular, </w:t>
      </w:r>
      <w:r w:rsidR="00696E03" w:rsidRPr="007A319A">
        <w:rPr>
          <w:sz w:val="20"/>
          <w:szCs w:val="20"/>
          <w:lang w:val="es-CO"/>
        </w:rPr>
        <w:t xml:space="preserve">podrá </w:t>
      </w:r>
      <w:r w:rsidR="007D321A" w:rsidRPr="007A319A">
        <w:rPr>
          <w:sz w:val="20"/>
          <w:szCs w:val="20"/>
          <w:lang w:val="es-CO"/>
        </w:rPr>
        <w:t>hacer referencia a</w:t>
      </w:r>
      <w:r w:rsidR="00696E03" w:rsidRPr="007A319A">
        <w:rPr>
          <w:sz w:val="20"/>
          <w:szCs w:val="20"/>
          <w:lang w:val="es-CO"/>
        </w:rPr>
        <w:t xml:space="preserve">l deber de </w:t>
      </w:r>
      <w:r w:rsidR="0011680A" w:rsidRPr="007A319A">
        <w:rPr>
          <w:sz w:val="20"/>
          <w:szCs w:val="20"/>
          <w:lang w:val="es-CO"/>
        </w:rPr>
        <w:t xml:space="preserve">realizar diligencias mínimas e indispensables </w:t>
      </w:r>
      <w:r w:rsidR="00395DD2" w:rsidRPr="007A319A">
        <w:rPr>
          <w:sz w:val="20"/>
          <w:szCs w:val="20"/>
          <w:lang w:val="es-CO"/>
        </w:rPr>
        <w:t xml:space="preserve">durante las primeras etapas de la investigación con el fin de garantizar </w:t>
      </w:r>
      <w:r w:rsidR="0011680A" w:rsidRPr="007A319A">
        <w:rPr>
          <w:sz w:val="20"/>
          <w:szCs w:val="20"/>
          <w:lang w:val="es-CO"/>
        </w:rPr>
        <w:t>la conservación de los elementos de prueba y evidencias que puedan contribuir al éxito de la investigación</w:t>
      </w:r>
      <w:r w:rsidR="00395DD2" w:rsidRPr="007A319A">
        <w:rPr>
          <w:sz w:val="20"/>
          <w:szCs w:val="20"/>
          <w:lang w:val="es-CO"/>
        </w:rPr>
        <w:t xml:space="preserve">. </w:t>
      </w:r>
    </w:p>
    <w:p w14:paraId="0373873C" w14:textId="77777777" w:rsidR="009C66B4" w:rsidRPr="007A319A" w:rsidRDefault="009C66B4" w:rsidP="009C66B4">
      <w:pPr>
        <w:autoSpaceDE w:val="0"/>
        <w:autoSpaceDN w:val="0"/>
        <w:adjustRightInd w:val="0"/>
        <w:spacing w:after="0" w:line="240" w:lineRule="auto"/>
        <w:jc w:val="both"/>
        <w:rPr>
          <w:rFonts w:ascii="Cambria" w:eastAsiaTheme="minorHAnsi" w:hAnsi="Cambria"/>
          <w:sz w:val="20"/>
          <w:szCs w:val="20"/>
          <w:lang w:val="es-CO"/>
        </w:rPr>
      </w:pPr>
    </w:p>
    <w:p w14:paraId="0217C019" w14:textId="4335F5E2" w:rsidR="009C66B4" w:rsidRDefault="009C66B4" w:rsidP="008F573C">
      <w:pPr>
        <w:tabs>
          <w:tab w:val="left" w:pos="540"/>
        </w:tabs>
        <w:autoSpaceDE w:val="0"/>
        <w:autoSpaceDN w:val="0"/>
        <w:adjustRightInd w:val="0"/>
        <w:spacing w:after="0" w:line="240" w:lineRule="auto"/>
        <w:jc w:val="both"/>
        <w:rPr>
          <w:rFonts w:ascii="Cambria" w:eastAsiaTheme="minorHAnsi" w:hAnsi="Cambria"/>
          <w:sz w:val="20"/>
          <w:szCs w:val="20"/>
          <w:lang w:val="es-CO"/>
        </w:rPr>
      </w:pPr>
      <w:r w:rsidRPr="007A319A">
        <w:rPr>
          <w:rFonts w:ascii="Cambria" w:eastAsiaTheme="minorHAnsi" w:hAnsi="Cambria"/>
          <w:sz w:val="20"/>
          <w:szCs w:val="20"/>
          <w:lang w:val="es-CO"/>
        </w:rPr>
        <w:tab/>
        <w:t>La Comisión pone en conocimiento de la Honorable Corte la siguiente información de quien</w:t>
      </w:r>
      <w:r w:rsidR="008F573C" w:rsidRPr="007A319A">
        <w:rPr>
          <w:rFonts w:ascii="Cambria" w:eastAsiaTheme="minorHAnsi" w:hAnsi="Cambria"/>
          <w:sz w:val="20"/>
          <w:szCs w:val="20"/>
          <w:lang w:val="es-CO"/>
        </w:rPr>
        <w:t>es</w:t>
      </w:r>
      <w:r w:rsidRPr="007A319A">
        <w:rPr>
          <w:rFonts w:ascii="Cambria" w:eastAsiaTheme="minorHAnsi" w:hAnsi="Cambria"/>
          <w:sz w:val="20"/>
          <w:szCs w:val="20"/>
          <w:lang w:val="es-CO"/>
        </w:rPr>
        <w:t xml:space="preserve"> actúa</w:t>
      </w:r>
      <w:r w:rsidR="008F573C" w:rsidRPr="007A319A">
        <w:rPr>
          <w:rFonts w:ascii="Cambria" w:eastAsiaTheme="minorHAnsi" w:hAnsi="Cambria"/>
          <w:sz w:val="20"/>
          <w:szCs w:val="20"/>
          <w:lang w:val="es-CO"/>
        </w:rPr>
        <w:t>n</w:t>
      </w:r>
      <w:r w:rsidRPr="007A319A">
        <w:rPr>
          <w:rFonts w:ascii="Cambria" w:eastAsiaTheme="minorHAnsi" w:hAnsi="Cambria"/>
          <w:sz w:val="20"/>
          <w:szCs w:val="20"/>
          <w:lang w:val="es-CO"/>
        </w:rPr>
        <w:t xml:space="preserve"> como parte peticionaria en el trámite ante la CIDH conforme a la información más reciente:</w:t>
      </w:r>
    </w:p>
    <w:p w14:paraId="3421C7F9" w14:textId="77777777" w:rsidR="00D87E5B" w:rsidRDefault="00D87E5B" w:rsidP="008F573C">
      <w:pPr>
        <w:tabs>
          <w:tab w:val="left" w:pos="540"/>
        </w:tabs>
        <w:autoSpaceDE w:val="0"/>
        <w:autoSpaceDN w:val="0"/>
        <w:adjustRightInd w:val="0"/>
        <w:spacing w:after="0" w:line="240" w:lineRule="auto"/>
        <w:jc w:val="both"/>
        <w:rPr>
          <w:rFonts w:ascii="Cambria" w:eastAsiaTheme="minorHAnsi" w:hAnsi="Cambria"/>
          <w:sz w:val="20"/>
          <w:szCs w:val="20"/>
          <w:lang w:val="es-CO"/>
        </w:rPr>
      </w:pPr>
    </w:p>
    <w:p w14:paraId="433D75F7" w14:textId="03543075" w:rsidR="00D87E5B" w:rsidRPr="003802E4" w:rsidRDefault="001A6229" w:rsidP="0049382B">
      <w:pPr>
        <w:tabs>
          <w:tab w:val="left" w:pos="540"/>
        </w:tabs>
        <w:autoSpaceDE w:val="0"/>
        <w:autoSpaceDN w:val="0"/>
        <w:adjustRightInd w:val="0"/>
        <w:spacing w:after="0" w:line="240" w:lineRule="auto"/>
        <w:jc w:val="center"/>
        <w:rPr>
          <w:rFonts w:ascii="Cambria" w:eastAsiaTheme="minorHAnsi" w:hAnsi="Cambria"/>
          <w:vanish/>
          <w:sz w:val="20"/>
          <w:szCs w:val="20"/>
          <w:lang w:val="pt-BR"/>
        </w:rPr>
      </w:pPr>
      <w:r w:rsidRPr="003802E4">
        <w:rPr>
          <w:rFonts w:ascii="Cambria" w:eastAsiaTheme="minorHAnsi" w:hAnsi="Cambria"/>
          <w:vanish/>
          <w:sz w:val="20"/>
          <w:szCs w:val="20"/>
          <w:lang w:val="pt-BR"/>
        </w:rPr>
        <w:t>Miguel Bosco</w:t>
      </w:r>
    </w:p>
    <w:p w14:paraId="02D9652A" w14:textId="3DE7A59C" w:rsidR="001A6229" w:rsidRPr="003802E4" w:rsidRDefault="001A6229" w:rsidP="0049382B">
      <w:pPr>
        <w:tabs>
          <w:tab w:val="left" w:pos="540"/>
        </w:tabs>
        <w:autoSpaceDE w:val="0"/>
        <w:autoSpaceDN w:val="0"/>
        <w:adjustRightInd w:val="0"/>
        <w:spacing w:after="0" w:line="240" w:lineRule="auto"/>
        <w:jc w:val="center"/>
        <w:rPr>
          <w:rFonts w:ascii="Cambria" w:eastAsiaTheme="minorHAnsi" w:hAnsi="Cambria"/>
          <w:vanish/>
          <w:sz w:val="20"/>
          <w:szCs w:val="20"/>
          <w:lang w:val="pt-BR"/>
        </w:rPr>
      </w:pPr>
      <w:hyperlink r:id="rId11" w:history="1">
        <w:r w:rsidRPr="003802E4">
          <w:rPr>
            <w:rStyle w:val="Hyperlink"/>
            <w:rFonts w:ascii="Cambria" w:eastAsiaTheme="minorHAnsi" w:hAnsi="Cambria"/>
            <w:vanish/>
            <w:sz w:val="20"/>
            <w:szCs w:val="20"/>
            <w:lang w:val="pt-BR"/>
          </w:rPr>
          <w:t>boscomiguel@hotmail.com</w:t>
        </w:r>
      </w:hyperlink>
    </w:p>
    <w:p w14:paraId="5B40C2BE" w14:textId="77777777" w:rsidR="001A6229" w:rsidRPr="003802E4" w:rsidRDefault="001A6229" w:rsidP="0049382B">
      <w:pPr>
        <w:tabs>
          <w:tab w:val="left" w:pos="540"/>
        </w:tabs>
        <w:autoSpaceDE w:val="0"/>
        <w:autoSpaceDN w:val="0"/>
        <w:adjustRightInd w:val="0"/>
        <w:spacing w:after="0" w:line="240" w:lineRule="auto"/>
        <w:jc w:val="center"/>
        <w:rPr>
          <w:rFonts w:ascii="Cambria" w:eastAsiaTheme="minorHAnsi" w:hAnsi="Cambria"/>
          <w:vanish/>
          <w:sz w:val="20"/>
          <w:szCs w:val="20"/>
          <w:lang w:val="pt-BR"/>
        </w:rPr>
      </w:pPr>
    </w:p>
    <w:p w14:paraId="299BB7AC" w14:textId="77777777" w:rsidR="001A6229" w:rsidRPr="003802E4" w:rsidRDefault="001A6229" w:rsidP="0049382B">
      <w:pPr>
        <w:tabs>
          <w:tab w:val="left" w:pos="540"/>
        </w:tabs>
        <w:autoSpaceDE w:val="0"/>
        <w:autoSpaceDN w:val="0"/>
        <w:adjustRightInd w:val="0"/>
        <w:spacing w:after="0" w:line="240" w:lineRule="auto"/>
        <w:jc w:val="center"/>
        <w:rPr>
          <w:rFonts w:ascii="Cambria" w:eastAsiaTheme="minorHAnsi" w:hAnsi="Cambria"/>
          <w:vanish/>
          <w:sz w:val="20"/>
          <w:szCs w:val="20"/>
          <w:lang w:val="pt-BR"/>
        </w:rPr>
      </w:pPr>
      <w:r w:rsidRPr="003802E4">
        <w:rPr>
          <w:rFonts w:ascii="Cambria" w:eastAsiaTheme="minorHAnsi" w:hAnsi="Cambria"/>
          <w:vanish/>
          <w:sz w:val="20"/>
          <w:szCs w:val="20"/>
          <w:lang w:val="pt-BR"/>
        </w:rPr>
        <w:t>Teresa Cafaro</w:t>
      </w:r>
    </w:p>
    <w:p w14:paraId="0368D12B" w14:textId="7AC9194D" w:rsidR="001A6229" w:rsidRPr="003802E4" w:rsidRDefault="0049382B" w:rsidP="0049382B">
      <w:pPr>
        <w:tabs>
          <w:tab w:val="left" w:pos="540"/>
        </w:tabs>
        <w:autoSpaceDE w:val="0"/>
        <w:autoSpaceDN w:val="0"/>
        <w:adjustRightInd w:val="0"/>
        <w:spacing w:after="0" w:line="240" w:lineRule="auto"/>
        <w:jc w:val="center"/>
        <w:rPr>
          <w:rFonts w:ascii="Cambria" w:eastAsiaTheme="minorHAnsi" w:hAnsi="Cambria"/>
          <w:vanish/>
          <w:sz w:val="20"/>
          <w:szCs w:val="20"/>
          <w:lang w:val="es-CO"/>
        </w:rPr>
      </w:pPr>
      <w:hyperlink r:id="rId12" w:history="1">
        <w:r w:rsidRPr="003802E4">
          <w:rPr>
            <w:rStyle w:val="Hyperlink"/>
            <w:rFonts w:ascii="Cambria" w:eastAsiaTheme="minorHAnsi" w:hAnsi="Cambria"/>
            <w:vanish/>
            <w:sz w:val="20"/>
            <w:szCs w:val="20"/>
            <w:lang w:val="es-CO"/>
          </w:rPr>
          <w:t>terecaf@hotmail.com</w:t>
        </w:r>
      </w:hyperlink>
    </w:p>
    <w:p w14:paraId="0D522016" w14:textId="77777777" w:rsidR="008F573C" w:rsidRPr="007A319A" w:rsidRDefault="008F573C" w:rsidP="008F573C">
      <w:pPr>
        <w:tabs>
          <w:tab w:val="left" w:pos="513"/>
        </w:tabs>
        <w:autoSpaceDE w:val="0"/>
        <w:autoSpaceDN w:val="0"/>
        <w:adjustRightInd w:val="0"/>
        <w:spacing w:after="0" w:line="240" w:lineRule="auto"/>
        <w:rPr>
          <w:rFonts w:ascii="Cambria" w:eastAsiaTheme="minorHAnsi" w:hAnsi="Cambria"/>
          <w:sz w:val="20"/>
          <w:szCs w:val="20"/>
          <w:lang w:val="es-CO"/>
        </w:rPr>
      </w:pPr>
    </w:p>
    <w:p w14:paraId="1CEEC756" w14:textId="77777777" w:rsidR="00796925" w:rsidRDefault="009C66B4" w:rsidP="008F573C">
      <w:pPr>
        <w:tabs>
          <w:tab w:val="left" w:pos="513"/>
        </w:tabs>
        <w:autoSpaceDE w:val="0"/>
        <w:autoSpaceDN w:val="0"/>
        <w:adjustRightInd w:val="0"/>
        <w:spacing w:after="0" w:line="240" w:lineRule="auto"/>
        <w:rPr>
          <w:rFonts w:ascii="Cambria" w:eastAsiaTheme="minorHAnsi" w:hAnsi="Cambria"/>
          <w:sz w:val="20"/>
          <w:szCs w:val="20"/>
          <w:lang w:val="es-CO"/>
        </w:rPr>
      </w:pPr>
      <w:r w:rsidRPr="007A319A">
        <w:rPr>
          <w:rFonts w:ascii="Cambria" w:eastAsiaTheme="minorHAnsi" w:hAnsi="Cambria"/>
          <w:sz w:val="20"/>
          <w:szCs w:val="20"/>
          <w:lang w:val="es-CO"/>
        </w:rPr>
        <w:tab/>
      </w:r>
    </w:p>
    <w:p w14:paraId="18FDF283" w14:textId="613A8435" w:rsidR="009C66B4" w:rsidRDefault="009C66B4" w:rsidP="008F573C">
      <w:pPr>
        <w:tabs>
          <w:tab w:val="left" w:pos="513"/>
        </w:tabs>
        <w:autoSpaceDE w:val="0"/>
        <w:autoSpaceDN w:val="0"/>
        <w:adjustRightInd w:val="0"/>
        <w:spacing w:after="0" w:line="240" w:lineRule="auto"/>
        <w:rPr>
          <w:rFonts w:ascii="Cambria" w:eastAsiaTheme="minorHAnsi" w:hAnsi="Cambria"/>
          <w:sz w:val="20"/>
          <w:szCs w:val="20"/>
          <w:lang w:val="es-CO"/>
        </w:rPr>
      </w:pPr>
      <w:r w:rsidRPr="007A319A">
        <w:rPr>
          <w:rFonts w:ascii="Cambria" w:eastAsiaTheme="minorHAnsi" w:hAnsi="Cambria"/>
          <w:sz w:val="20"/>
          <w:szCs w:val="20"/>
          <w:lang w:val="es-CO"/>
        </w:rPr>
        <w:t>Aprovecho la oportunidad para saludar a usted muy atentamente,</w:t>
      </w:r>
      <w:bookmarkStart w:id="2" w:name="_Hlk128731904"/>
      <w:bookmarkStart w:id="3" w:name="_Hlk129855594"/>
      <w:bookmarkStart w:id="4" w:name="_Hlk129970904"/>
      <w:bookmarkStart w:id="5" w:name="_Hlk122115986"/>
      <w:bookmarkStart w:id="6" w:name="_Hlk118969572"/>
      <w:bookmarkStart w:id="7" w:name="_Hlk120781836"/>
      <w:bookmarkStart w:id="8" w:name="_Hlk130997932"/>
      <w:bookmarkStart w:id="9" w:name="_Hlk119577459"/>
      <w:bookmarkStart w:id="10" w:name="_Hlk131167805"/>
      <w:bookmarkStart w:id="11" w:name="_Hlk129896549"/>
    </w:p>
    <w:p w14:paraId="3D86CEB1" w14:textId="77777777" w:rsidR="00796925" w:rsidRPr="007A319A" w:rsidRDefault="00796925" w:rsidP="008F573C">
      <w:pPr>
        <w:tabs>
          <w:tab w:val="left" w:pos="513"/>
        </w:tabs>
        <w:autoSpaceDE w:val="0"/>
        <w:autoSpaceDN w:val="0"/>
        <w:adjustRightInd w:val="0"/>
        <w:spacing w:after="0" w:line="240" w:lineRule="auto"/>
        <w:rPr>
          <w:rFonts w:ascii="Cambria" w:eastAsiaTheme="minorHAnsi" w:hAnsi="Cambria"/>
          <w:sz w:val="20"/>
          <w:szCs w:val="20"/>
          <w:lang w:val="es-CO"/>
        </w:rPr>
      </w:pPr>
    </w:p>
    <w:p w14:paraId="2E9FF4B8" w14:textId="1298E89C" w:rsidR="00417EF5" w:rsidRPr="007900F7" w:rsidRDefault="00417EF5" w:rsidP="00417EF5">
      <w:pPr>
        <w:tabs>
          <w:tab w:val="left" w:pos="3926"/>
        </w:tabs>
        <w:spacing w:after="0" w:line="240" w:lineRule="auto"/>
        <w:rPr>
          <w:rFonts w:ascii="Cambria" w:hAnsi="Cambria"/>
          <w:sz w:val="20"/>
          <w:szCs w:val="20"/>
          <w:lang w:val="es-CO"/>
        </w:rPr>
      </w:pPr>
      <w:bookmarkStart w:id="12" w:name="_Hlk194568905"/>
    </w:p>
    <w:p w14:paraId="106E2CC3" w14:textId="7516D8C8" w:rsidR="008F573C" w:rsidRPr="007A319A" w:rsidRDefault="008F573C" w:rsidP="0049382B">
      <w:pPr>
        <w:tabs>
          <w:tab w:val="center" w:pos="5040"/>
        </w:tabs>
        <w:spacing w:after="0" w:line="240" w:lineRule="auto"/>
        <w:rPr>
          <w:rFonts w:ascii="Cambria" w:hAnsi="Cambria"/>
          <w:sz w:val="20"/>
          <w:szCs w:val="20"/>
          <w:lang w:val="es-CO"/>
        </w:rPr>
      </w:pPr>
    </w:p>
    <w:p w14:paraId="76DE524B" w14:textId="014DF270" w:rsidR="00417EF5" w:rsidRPr="007A319A" w:rsidRDefault="00417EF5" w:rsidP="008F573C">
      <w:pPr>
        <w:tabs>
          <w:tab w:val="center" w:pos="5040"/>
        </w:tabs>
        <w:spacing w:after="0" w:line="240" w:lineRule="auto"/>
        <w:jc w:val="center"/>
        <w:rPr>
          <w:rFonts w:ascii="Cambria" w:hAnsi="Cambria"/>
          <w:sz w:val="20"/>
          <w:szCs w:val="20"/>
          <w:lang w:val="es-CO"/>
        </w:rPr>
      </w:pPr>
    </w:p>
    <w:p w14:paraId="1F37C78E" w14:textId="1889DD2C" w:rsidR="00417EF5" w:rsidRPr="007A319A" w:rsidRDefault="00417EF5" w:rsidP="008F573C">
      <w:pPr>
        <w:tabs>
          <w:tab w:val="center" w:pos="5040"/>
        </w:tabs>
        <w:spacing w:after="0" w:line="240" w:lineRule="auto"/>
        <w:jc w:val="center"/>
        <w:rPr>
          <w:rFonts w:ascii="Cambria" w:hAnsi="Cambria"/>
          <w:sz w:val="20"/>
          <w:szCs w:val="20"/>
          <w:lang w:val="es-CO"/>
        </w:rPr>
      </w:pPr>
    </w:p>
    <w:p w14:paraId="6DB7FE0B" w14:textId="77777777" w:rsidR="008F573C" w:rsidRPr="007A319A" w:rsidRDefault="008F573C" w:rsidP="008F573C">
      <w:pPr>
        <w:spacing w:after="0" w:line="240" w:lineRule="auto"/>
        <w:jc w:val="center"/>
        <w:rPr>
          <w:rFonts w:ascii="Cambria" w:hAnsi="Cambria"/>
          <w:sz w:val="20"/>
          <w:szCs w:val="20"/>
          <w:lang w:val="es-CO"/>
        </w:rPr>
      </w:pPr>
      <w:r w:rsidRPr="007A319A">
        <w:rPr>
          <w:rFonts w:ascii="Cambria" w:hAnsi="Cambria"/>
          <w:sz w:val="20"/>
          <w:szCs w:val="20"/>
          <w:lang w:val="es-CO"/>
        </w:rPr>
        <w:t>Jorge Meza Flores</w:t>
      </w:r>
    </w:p>
    <w:p w14:paraId="4699D798" w14:textId="77777777" w:rsidR="008F573C" w:rsidRPr="007A319A" w:rsidRDefault="008F573C" w:rsidP="008F573C">
      <w:pPr>
        <w:spacing w:after="0" w:line="240" w:lineRule="auto"/>
        <w:jc w:val="center"/>
        <w:rPr>
          <w:rFonts w:ascii="Cambria" w:hAnsi="Cambria"/>
          <w:sz w:val="20"/>
          <w:szCs w:val="20"/>
          <w:lang w:val="es-CO"/>
        </w:rPr>
      </w:pPr>
      <w:r w:rsidRPr="007A319A">
        <w:rPr>
          <w:rFonts w:ascii="Cambria" w:hAnsi="Cambria"/>
          <w:sz w:val="20"/>
          <w:szCs w:val="20"/>
          <w:lang w:val="es-CO"/>
        </w:rPr>
        <w:t>Secretario Ejecutivo Adjunto</w:t>
      </w:r>
    </w:p>
    <w:p w14:paraId="16F0B5C4" w14:textId="77777777" w:rsidR="008F573C" w:rsidRDefault="008F573C" w:rsidP="008F573C">
      <w:pPr>
        <w:spacing w:after="0" w:line="240" w:lineRule="auto"/>
        <w:rPr>
          <w:rFonts w:ascii="Cambria" w:hAnsi="Cambria"/>
          <w:sz w:val="20"/>
          <w:szCs w:val="20"/>
          <w:lang w:val="es-CO"/>
        </w:rPr>
      </w:pPr>
    </w:p>
    <w:bookmarkEnd w:id="12"/>
    <w:p w14:paraId="1D1B0279" w14:textId="4F7DE966" w:rsidR="007E7905" w:rsidRPr="007A319A" w:rsidRDefault="009C66B4" w:rsidP="008F573C">
      <w:pPr>
        <w:spacing w:after="0" w:line="240" w:lineRule="auto"/>
        <w:jc w:val="both"/>
        <w:rPr>
          <w:lang w:val="es-CO"/>
        </w:rPr>
      </w:pPr>
      <w:r w:rsidRPr="007A319A">
        <w:rPr>
          <w:rFonts w:ascii="Cambria" w:hAnsi="Cambria" w:cs="Calibri"/>
          <w:sz w:val="20"/>
          <w:szCs w:val="20"/>
          <w:lang w:val="es-CO"/>
        </w:rPr>
        <w:t>Anexo</w:t>
      </w:r>
      <w:bookmarkEnd w:id="2"/>
      <w:bookmarkEnd w:id="3"/>
      <w:bookmarkEnd w:id="4"/>
      <w:bookmarkEnd w:id="5"/>
      <w:bookmarkEnd w:id="6"/>
      <w:bookmarkEnd w:id="7"/>
      <w:bookmarkEnd w:id="8"/>
      <w:bookmarkEnd w:id="9"/>
      <w:bookmarkEnd w:id="10"/>
      <w:bookmarkEnd w:id="11"/>
    </w:p>
    <w:sectPr w:rsidR="007E7905" w:rsidRPr="007A319A" w:rsidSect="009C66B4">
      <w:headerReference w:type="default" r:id="rId13"/>
      <w:footerReference w:type="even" r:id="rId14"/>
      <w:footerReference w:type="default" r:id="rId15"/>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87E32" w14:textId="77777777" w:rsidR="00883022" w:rsidRDefault="00883022">
      <w:pPr>
        <w:spacing w:after="0" w:line="240" w:lineRule="auto"/>
      </w:pPr>
      <w:r>
        <w:separator/>
      </w:r>
    </w:p>
  </w:endnote>
  <w:endnote w:type="continuationSeparator" w:id="0">
    <w:p w14:paraId="6EE7935F" w14:textId="77777777" w:rsidR="00883022" w:rsidRDefault="0088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5808286"/>
      <w:docPartObj>
        <w:docPartGallery w:val="Page Numbers (Bottom of Page)"/>
        <w:docPartUnique/>
      </w:docPartObj>
    </w:sdtPr>
    <w:sdtEndPr>
      <w:rPr>
        <w:rStyle w:val="PageNumber"/>
      </w:rPr>
    </w:sdtEndPr>
    <w:sdtContent>
      <w:p w14:paraId="3DF33AD8" w14:textId="77777777" w:rsidR="00734119" w:rsidRDefault="00187130"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54151" w14:textId="77777777" w:rsidR="00734119" w:rsidRDefault="0073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2086292538"/>
      <w:docPartObj>
        <w:docPartGallery w:val="Page Numbers (Bottom of Page)"/>
        <w:docPartUnique/>
      </w:docPartObj>
    </w:sdtPr>
    <w:sdtEndPr>
      <w:rPr>
        <w:noProof/>
      </w:rPr>
    </w:sdtEndPr>
    <w:sdtContent>
      <w:p w14:paraId="74E79505" w14:textId="77777777" w:rsidR="00734119" w:rsidRPr="00E15987" w:rsidRDefault="00187130">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734CCECF" w14:textId="77777777" w:rsidR="00734119" w:rsidRDefault="00734119"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677B" w14:textId="77777777" w:rsidR="00883022" w:rsidRDefault="00883022">
      <w:pPr>
        <w:spacing w:after="0" w:line="240" w:lineRule="auto"/>
      </w:pPr>
      <w:r>
        <w:separator/>
      </w:r>
    </w:p>
  </w:footnote>
  <w:footnote w:type="continuationSeparator" w:id="0">
    <w:p w14:paraId="39052124" w14:textId="77777777" w:rsidR="00883022" w:rsidRDefault="0088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98C9" w14:textId="77777777" w:rsidR="00734119" w:rsidRDefault="00187130" w:rsidP="005122C2">
    <w:pPr>
      <w:pStyle w:val="Header"/>
    </w:pPr>
    <w:r w:rsidRPr="008A5CB5">
      <w:rPr>
        <w:noProof/>
      </w:rPr>
      <w:drawing>
        <wp:inline distT="0" distB="0" distL="0" distR="0" wp14:anchorId="6E366771" wp14:editId="382B474C">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6F5B0227" wp14:editId="116E8051">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47AD3162" w14:textId="77777777" w:rsidR="00734119" w:rsidRDefault="00187130">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80188"/>
    <w:multiLevelType w:val="hybridMultilevel"/>
    <w:tmpl w:val="EDDCC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A74B8"/>
    <w:multiLevelType w:val="hybridMultilevel"/>
    <w:tmpl w:val="651C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262663">
    <w:abstractNumId w:val="1"/>
  </w:num>
  <w:num w:numId="2" w16cid:durableId="104969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B4"/>
    <w:rsid w:val="00006C70"/>
    <w:rsid w:val="0001318C"/>
    <w:rsid w:val="00041352"/>
    <w:rsid w:val="000447DE"/>
    <w:rsid w:val="000556EF"/>
    <w:rsid w:val="000623CF"/>
    <w:rsid w:val="00076100"/>
    <w:rsid w:val="0008715A"/>
    <w:rsid w:val="00095BD1"/>
    <w:rsid w:val="000A3B18"/>
    <w:rsid w:val="000F3E2C"/>
    <w:rsid w:val="00113A9D"/>
    <w:rsid w:val="0011680A"/>
    <w:rsid w:val="00134EE1"/>
    <w:rsid w:val="00145084"/>
    <w:rsid w:val="0016758F"/>
    <w:rsid w:val="00187130"/>
    <w:rsid w:val="001928D4"/>
    <w:rsid w:val="001A242E"/>
    <w:rsid w:val="001A6229"/>
    <w:rsid w:val="001A77DE"/>
    <w:rsid w:val="001B02D2"/>
    <w:rsid w:val="001C5958"/>
    <w:rsid w:val="00206304"/>
    <w:rsid w:val="00236544"/>
    <w:rsid w:val="002366EA"/>
    <w:rsid w:val="00236718"/>
    <w:rsid w:val="00241779"/>
    <w:rsid w:val="00250197"/>
    <w:rsid w:val="00265C56"/>
    <w:rsid w:val="002A4817"/>
    <w:rsid w:val="002B1026"/>
    <w:rsid w:val="002B4719"/>
    <w:rsid w:val="002B52B7"/>
    <w:rsid w:val="002C7848"/>
    <w:rsid w:val="0030498A"/>
    <w:rsid w:val="00330146"/>
    <w:rsid w:val="00331340"/>
    <w:rsid w:val="003350B4"/>
    <w:rsid w:val="00346ECB"/>
    <w:rsid w:val="0037118F"/>
    <w:rsid w:val="00373DE7"/>
    <w:rsid w:val="00377741"/>
    <w:rsid w:val="003802A0"/>
    <w:rsid w:val="003802E4"/>
    <w:rsid w:val="00395DD2"/>
    <w:rsid w:val="003C6E0B"/>
    <w:rsid w:val="003D04C4"/>
    <w:rsid w:val="003F7661"/>
    <w:rsid w:val="00411036"/>
    <w:rsid w:val="00417EF5"/>
    <w:rsid w:val="0043737B"/>
    <w:rsid w:val="00462A04"/>
    <w:rsid w:val="0049382B"/>
    <w:rsid w:val="00497ABB"/>
    <w:rsid w:val="004A2053"/>
    <w:rsid w:val="004A302D"/>
    <w:rsid w:val="004D66CA"/>
    <w:rsid w:val="004E392B"/>
    <w:rsid w:val="004E6183"/>
    <w:rsid w:val="004F2FCC"/>
    <w:rsid w:val="00507E26"/>
    <w:rsid w:val="00523215"/>
    <w:rsid w:val="00532F7D"/>
    <w:rsid w:val="00535582"/>
    <w:rsid w:val="00541A67"/>
    <w:rsid w:val="005437DB"/>
    <w:rsid w:val="00546672"/>
    <w:rsid w:val="005620B0"/>
    <w:rsid w:val="005B5678"/>
    <w:rsid w:val="005F7B57"/>
    <w:rsid w:val="006044D4"/>
    <w:rsid w:val="00615DF7"/>
    <w:rsid w:val="00627097"/>
    <w:rsid w:val="00627224"/>
    <w:rsid w:val="00632DC3"/>
    <w:rsid w:val="00645611"/>
    <w:rsid w:val="006557D1"/>
    <w:rsid w:val="0066384F"/>
    <w:rsid w:val="006661C2"/>
    <w:rsid w:val="00670E74"/>
    <w:rsid w:val="006868D0"/>
    <w:rsid w:val="0069264D"/>
    <w:rsid w:val="00694A45"/>
    <w:rsid w:val="00696E03"/>
    <w:rsid w:val="006A567D"/>
    <w:rsid w:val="006E3B90"/>
    <w:rsid w:val="006F58C6"/>
    <w:rsid w:val="00714A84"/>
    <w:rsid w:val="007227EA"/>
    <w:rsid w:val="00731909"/>
    <w:rsid w:val="00734119"/>
    <w:rsid w:val="00735A4F"/>
    <w:rsid w:val="00736F67"/>
    <w:rsid w:val="007527BD"/>
    <w:rsid w:val="00786DAA"/>
    <w:rsid w:val="007900F7"/>
    <w:rsid w:val="00796925"/>
    <w:rsid w:val="007A319A"/>
    <w:rsid w:val="007A42E8"/>
    <w:rsid w:val="007B2A57"/>
    <w:rsid w:val="007B2C8F"/>
    <w:rsid w:val="007C4CE7"/>
    <w:rsid w:val="007D321A"/>
    <w:rsid w:val="007D57C6"/>
    <w:rsid w:val="007E7905"/>
    <w:rsid w:val="007F0AE9"/>
    <w:rsid w:val="00883022"/>
    <w:rsid w:val="00893760"/>
    <w:rsid w:val="008A52C3"/>
    <w:rsid w:val="008B0BC4"/>
    <w:rsid w:val="008C077A"/>
    <w:rsid w:val="008C1E15"/>
    <w:rsid w:val="008C7C88"/>
    <w:rsid w:val="008D32F7"/>
    <w:rsid w:val="008D5561"/>
    <w:rsid w:val="008E4AB6"/>
    <w:rsid w:val="008F573C"/>
    <w:rsid w:val="00920C35"/>
    <w:rsid w:val="009469F5"/>
    <w:rsid w:val="00984F5E"/>
    <w:rsid w:val="009A5F1E"/>
    <w:rsid w:val="009B07C2"/>
    <w:rsid w:val="009C02F4"/>
    <w:rsid w:val="009C66B4"/>
    <w:rsid w:val="009C6F79"/>
    <w:rsid w:val="009D7D29"/>
    <w:rsid w:val="009F2D83"/>
    <w:rsid w:val="00A3121C"/>
    <w:rsid w:val="00A42A69"/>
    <w:rsid w:val="00A55A91"/>
    <w:rsid w:val="00A653CC"/>
    <w:rsid w:val="00A82589"/>
    <w:rsid w:val="00A86A61"/>
    <w:rsid w:val="00A94F82"/>
    <w:rsid w:val="00AB0097"/>
    <w:rsid w:val="00AB6563"/>
    <w:rsid w:val="00AD0313"/>
    <w:rsid w:val="00AD4994"/>
    <w:rsid w:val="00AD606F"/>
    <w:rsid w:val="00AD666E"/>
    <w:rsid w:val="00AF2919"/>
    <w:rsid w:val="00B2258C"/>
    <w:rsid w:val="00B316B4"/>
    <w:rsid w:val="00B472E2"/>
    <w:rsid w:val="00B814B6"/>
    <w:rsid w:val="00B93369"/>
    <w:rsid w:val="00BD79D9"/>
    <w:rsid w:val="00BE36B7"/>
    <w:rsid w:val="00C0756F"/>
    <w:rsid w:val="00C45BC3"/>
    <w:rsid w:val="00C63B7D"/>
    <w:rsid w:val="00C83608"/>
    <w:rsid w:val="00CA4375"/>
    <w:rsid w:val="00CB02B3"/>
    <w:rsid w:val="00CB0B99"/>
    <w:rsid w:val="00CB7750"/>
    <w:rsid w:val="00CE2F63"/>
    <w:rsid w:val="00CF16F1"/>
    <w:rsid w:val="00CF5261"/>
    <w:rsid w:val="00D03010"/>
    <w:rsid w:val="00D15BB8"/>
    <w:rsid w:val="00D26F9C"/>
    <w:rsid w:val="00D34AA2"/>
    <w:rsid w:val="00D52DA6"/>
    <w:rsid w:val="00D66D67"/>
    <w:rsid w:val="00D66DE4"/>
    <w:rsid w:val="00D73E59"/>
    <w:rsid w:val="00D8230C"/>
    <w:rsid w:val="00D87E5B"/>
    <w:rsid w:val="00DC1F2C"/>
    <w:rsid w:val="00E01908"/>
    <w:rsid w:val="00E7255E"/>
    <w:rsid w:val="00E84919"/>
    <w:rsid w:val="00E87993"/>
    <w:rsid w:val="00EA25B8"/>
    <w:rsid w:val="00EB765D"/>
    <w:rsid w:val="00ED4115"/>
    <w:rsid w:val="00EF3689"/>
    <w:rsid w:val="00F13434"/>
    <w:rsid w:val="00F17F5A"/>
    <w:rsid w:val="00F279D2"/>
    <w:rsid w:val="00F51613"/>
    <w:rsid w:val="00F60810"/>
    <w:rsid w:val="00F62D94"/>
    <w:rsid w:val="00F7130C"/>
    <w:rsid w:val="00F94B59"/>
    <w:rsid w:val="00F95E9D"/>
    <w:rsid w:val="00FC77A5"/>
    <w:rsid w:val="00FD1EEC"/>
    <w:rsid w:val="00FE051E"/>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AF65"/>
  <w15:chartTrackingRefBased/>
  <w15:docId w15:val="{8A3D29BB-D337-44E4-9061-D4A3308C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B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C6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6B4"/>
    <w:rPr>
      <w:rFonts w:eastAsiaTheme="majorEastAsia" w:cstheme="majorBidi"/>
      <w:color w:val="272727" w:themeColor="text1" w:themeTint="D8"/>
    </w:rPr>
  </w:style>
  <w:style w:type="paragraph" w:styleId="Title">
    <w:name w:val="Title"/>
    <w:basedOn w:val="Normal"/>
    <w:next w:val="Normal"/>
    <w:link w:val="TitleChar"/>
    <w:uiPriority w:val="10"/>
    <w:qFormat/>
    <w:rsid w:val="009C6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6B4"/>
    <w:pPr>
      <w:spacing w:before="160"/>
      <w:jc w:val="center"/>
    </w:pPr>
    <w:rPr>
      <w:i/>
      <w:iCs/>
      <w:color w:val="404040" w:themeColor="text1" w:themeTint="BF"/>
    </w:rPr>
  </w:style>
  <w:style w:type="character" w:customStyle="1" w:styleId="QuoteChar">
    <w:name w:val="Quote Char"/>
    <w:basedOn w:val="DefaultParagraphFont"/>
    <w:link w:val="Quote"/>
    <w:uiPriority w:val="29"/>
    <w:rsid w:val="009C66B4"/>
    <w:rPr>
      <w:i/>
      <w:iCs/>
      <w:color w:val="404040" w:themeColor="text1" w:themeTint="BF"/>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9C66B4"/>
    <w:pPr>
      <w:ind w:left="720"/>
      <w:contextualSpacing/>
    </w:pPr>
  </w:style>
  <w:style w:type="character" w:styleId="IntenseEmphasis">
    <w:name w:val="Intense Emphasis"/>
    <w:basedOn w:val="DefaultParagraphFont"/>
    <w:uiPriority w:val="21"/>
    <w:qFormat/>
    <w:rsid w:val="009C66B4"/>
    <w:rPr>
      <w:i/>
      <w:iCs/>
      <w:color w:val="0F4761" w:themeColor="accent1" w:themeShade="BF"/>
    </w:rPr>
  </w:style>
  <w:style w:type="paragraph" w:styleId="IntenseQuote">
    <w:name w:val="Intense Quote"/>
    <w:basedOn w:val="Normal"/>
    <w:next w:val="Normal"/>
    <w:link w:val="IntenseQuoteChar"/>
    <w:uiPriority w:val="30"/>
    <w:qFormat/>
    <w:rsid w:val="009C6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6B4"/>
    <w:rPr>
      <w:i/>
      <w:iCs/>
      <w:color w:val="0F4761" w:themeColor="accent1" w:themeShade="BF"/>
    </w:rPr>
  </w:style>
  <w:style w:type="character" w:styleId="IntenseReference">
    <w:name w:val="Intense Reference"/>
    <w:basedOn w:val="DefaultParagraphFont"/>
    <w:uiPriority w:val="32"/>
    <w:qFormat/>
    <w:rsid w:val="009C66B4"/>
    <w:rPr>
      <w:b/>
      <w:bCs/>
      <w:smallCaps/>
      <w:color w:val="0F4761" w:themeColor="accent1" w:themeShade="BF"/>
      <w:spacing w:val="5"/>
    </w:rPr>
  </w:style>
  <w:style w:type="paragraph" w:styleId="Header">
    <w:name w:val="header"/>
    <w:aliases w:val="encabezado"/>
    <w:basedOn w:val="Normal"/>
    <w:link w:val="HeaderChar"/>
    <w:unhideWhenUsed/>
    <w:rsid w:val="009C66B4"/>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9C66B4"/>
    <w:rPr>
      <w:kern w:val="0"/>
      <w:sz w:val="24"/>
      <w:szCs w:val="24"/>
      <w14:ligatures w14:val="none"/>
    </w:rPr>
  </w:style>
  <w:style w:type="paragraph" w:styleId="Footer">
    <w:name w:val="footer"/>
    <w:basedOn w:val="Normal"/>
    <w:link w:val="FooterChar"/>
    <w:uiPriority w:val="99"/>
    <w:unhideWhenUsed/>
    <w:rsid w:val="009C66B4"/>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9C66B4"/>
    <w:rPr>
      <w:kern w:val="0"/>
      <w:sz w:val="24"/>
      <w:szCs w:val="24"/>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9C66B4"/>
  </w:style>
  <w:style w:type="paragraph" w:customStyle="1" w:styleId="parrafos">
    <w:name w:val="parrafos"/>
    <w:basedOn w:val="Normal"/>
    <w:link w:val="parrafosChar"/>
    <w:qFormat/>
    <w:rsid w:val="009C66B4"/>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9C66B4"/>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9C66B4"/>
  </w:style>
  <w:style w:type="paragraph" w:customStyle="1" w:styleId="Default">
    <w:name w:val="Default"/>
    <w:rsid w:val="009C66B4"/>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unhideWhenUsed/>
    <w:rsid w:val="009C66B4"/>
    <w:rPr>
      <w:color w:val="0000FF"/>
      <w:u w:val="single"/>
    </w:rPr>
  </w:style>
  <w:style w:type="paragraph" w:styleId="NormalWeb">
    <w:name w:val="Normal (Web)"/>
    <w:basedOn w:val="Normal"/>
    <w:uiPriority w:val="99"/>
    <w:unhideWhenUsed/>
    <w:rsid w:val="009C66B4"/>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8F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139187">
      <w:bodyDiv w:val="1"/>
      <w:marLeft w:val="0"/>
      <w:marRight w:val="0"/>
      <w:marTop w:val="0"/>
      <w:marBottom w:val="0"/>
      <w:divBdr>
        <w:top w:val="none" w:sz="0" w:space="0" w:color="auto"/>
        <w:left w:val="none" w:sz="0" w:space="0" w:color="auto"/>
        <w:bottom w:val="none" w:sz="0" w:space="0" w:color="auto"/>
        <w:right w:val="none" w:sz="0" w:space="0" w:color="auto"/>
      </w:divBdr>
    </w:div>
    <w:div w:id="8017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ecaf@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scomiguel@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58F06-361D-9842-B069-A40A73A8CBFE}">
  <ds:schemaRefs>
    <ds:schemaRef ds:uri="http://schemas.openxmlformats.org/officeDocument/2006/bibliography"/>
  </ds:schemaRefs>
</ds:datastoreItem>
</file>

<file path=customXml/itemProps2.xml><?xml version="1.0" encoding="utf-8"?>
<ds:datastoreItem xmlns:ds="http://schemas.openxmlformats.org/officeDocument/2006/customXml" ds:itemID="{3664B3EB-6358-46E9-98AD-D2390F71928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06B0F163-3167-4BA9-83FB-B364B65BB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562B4-D371-48E3-8480-6307662CB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2422</Words>
  <Characters>12697</Characters>
  <Application>Microsoft Office Word</Application>
  <DocSecurity>0</DocSecurity>
  <Lines>198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Sara</dc:creator>
  <cp:keywords/>
  <dc:description/>
  <cp:lastModifiedBy>Daza, Talia</cp:lastModifiedBy>
  <cp:revision>3</cp:revision>
  <dcterms:created xsi:type="dcterms:W3CDTF">2025-08-12T16:52:00Z</dcterms:created>
  <dcterms:modified xsi:type="dcterms:W3CDTF">2025-08-12T19:07:00Z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