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3A56" w14:textId="77777777" w:rsidR="00B139F1" w:rsidRDefault="00B139F1" w:rsidP="00B139F1">
      <w:pPr>
        <w:spacing w:after="0" w:line="240" w:lineRule="auto"/>
        <w:jc w:val="both"/>
        <w:rPr>
          <w:rFonts w:ascii="Cambria" w:hAnsi="Cambria" w:cs="Calibri"/>
          <w:b/>
          <w:color w:val="000000"/>
          <w:sz w:val="16"/>
          <w:szCs w:val="16"/>
          <w:lang w:val="es-CO"/>
        </w:rPr>
      </w:pPr>
    </w:p>
    <w:p w14:paraId="605960EC" w14:textId="77777777" w:rsidR="007344A2" w:rsidRPr="007344A2" w:rsidRDefault="007344A2" w:rsidP="00B139F1">
      <w:pPr>
        <w:spacing w:after="0" w:line="240" w:lineRule="auto"/>
        <w:jc w:val="both"/>
        <w:rPr>
          <w:rFonts w:ascii="Cambria" w:hAnsi="Cambria" w:cs="Calibri"/>
          <w:b/>
          <w:color w:val="000000"/>
          <w:sz w:val="16"/>
          <w:szCs w:val="16"/>
          <w:lang w:val="es-CO"/>
        </w:rPr>
      </w:pPr>
    </w:p>
    <w:p w14:paraId="5E7DC81D" w14:textId="32B247DF" w:rsidR="00B139F1" w:rsidRDefault="00B139F1" w:rsidP="00B139F1">
      <w:pPr>
        <w:spacing w:after="0" w:line="240" w:lineRule="auto"/>
        <w:jc w:val="right"/>
        <w:rPr>
          <w:rFonts w:ascii="Cambria" w:hAnsi="Cambria" w:cs="Calibri"/>
          <w:color w:val="000000"/>
          <w:sz w:val="20"/>
          <w:szCs w:val="20"/>
          <w:lang w:val="es-CO"/>
        </w:rPr>
      </w:pPr>
      <w:r w:rsidRPr="007344A2">
        <w:rPr>
          <w:rFonts w:ascii="Cambria" w:hAnsi="Cambria" w:cs="Calibri"/>
          <w:color w:val="000000"/>
          <w:sz w:val="20"/>
          <w:szCs w:val="20"/>
          <w:lang w:val="es-CO"/>
        </w:rPr>
        <w:t>17 de octubre de 2025</w:t>
      </w:r>
    </w:p>
    <w:p w14:paraId="69A5E87D" w14:textId="77777777" w:rsidR="007344A2" w:rsidRPr="007344A2" w:rsidRDefault="007344A2" w:rsidP="00B139F1">
      <w:pPr>
        <w:spacing w:after="0" w:line="240" w:lineRule="auto"/>
        <w:jc w:val="right"/>
        <w:rPr>
          <w:rFonts w:ascii="Cambria" w:hAnsi="Cambria" w:cs="Calibri"/>
          <w:b/>
          <w:color w:val="000000"/>
          <w:sz w:val="20"/>
          <w:szCs w:val="20"/>
          <w:lang w:val="es-CO"/>
        </w:rPr>
      </w:pPr>
    </w:p>
    <w:p w14:paraId="1A72D655" w14:textId="12E2B262" w:rsidR="00B139F1" w:rsidRPr="007344A2" w:rsidRDefault="00B139F1" w:rsidP="00B139F1">
      <w:pPr>
        <w:spacing w:after="0" w:line="240" w:lineRule="auto"/>
        <w:jc w:val="both"/>
        <w:rPr>
          <w:rFonts w:ascii="Cambria" w:hAnsi="Cambria" w:cs="Calibri"/>
          <w:b/>
          <w:color w:val="000000"/>
          <w:sz w:val="20"/>
          <w:szCs w:val="20"/>
          <w:lang w:val="es-CO"/>
        </w:rPr>
      </w:pPr>
      <w:r w:rsidRPr="007344A2">
        <w:rPr>
          <w:rFonts w:ascii="Cambria" w:hAnsi="Cambria" w:cs="Calibri"/>
          <w:b/>
          <w:color w:val="000000"/>
          <w:sz w:val="20"/>
          <w:szCs w:val="20"/>
          <w:lang w:val="es-CO"/>
        </w:rPr>
        <w:t>REF.:</w:t>
      </w:r>
      <w:bookmarkStart w:id="0" w:name="Peticion_n"/>
      <w:bookmarkEnd w:id="0"/>
      <w:r w:rsidRPr="007344A2">
        <w:rPr>
          <w:rFonts w:ascii="Cambria" w:hAnsi="Cambria" w:cs="Calibri"/>
          <w:b/>
          <w:color w:val="000000"/>
          <w:sz w:val="20"/>
          <w:szCs w:val="20"/>
          <w:lang w:val="es-CO"/>
        </w:rPr>
        <w:tab/>
        <w:t xml:space="preserve">Caso Nº </w:t>
      </w:r>
      <w:r w:rsidRPr="007344A2">
        <w:rPr>
          <w:rFonts w:ascii="Cambria" w:hAnsi="Cambria"/>
          <w:b/>
          <w:sz w:val="20"/>
          <w:szCs w:val="20"/>
          <w:lang w:val="es-CO"/>
        </w:rPr>
        <w:t>13.448</w:t>
      </w:r>
    </w:p>
    <w:p w14:paraId="0D33EECE" w14:textId="382BB5B3" w:rsidR="00B139F1" w:rsidRPr="007344A2" w:rsidRDefault="00B139F1" w:rsidP="00B139F1">
      <w:pPr>
        <w:spacing w:after="0" w:line="240" w:lineRule="auto"/>
        <w:ind w:left="720"/>
        <w:jc w:val="both"/>
        <w:rPr>
          <w:rFonts w:ascii="Cambria" w:hAnsi="Cambria"/>
          <w:b/>
          <w:sz w:val="20"/>
          <w:szCs w:val="20"/>
          <w:lang w:val="es-CO"/>
        </w:rPr>
      </w:pPr>
      <w:r w:rsidRPr="007344A2">
        <w:rPr>
          <w:rFonts w:ascii="Cambria" w:hAnsi="Cambria"/>
          <w:b/>
          <w:sz w:val="20"/>
          <w:szCs w:val="20"/>
          <w:lang w:val="es-CO"/>
        </w:rPr>
        <w:t>Hugo Loris Mantovani</w:t>
      </w:r>
    </w:p>
    <w:p w14:paraId="70008C27" w14:textId="768CA8C8" w:rsidR="00B139F1" w:rsidRPr="007344A2" w:rsidRDefault="00B139F1" w:rsidP="00B139F1">
      <w:pPr>
        <w:spacing w:after="0" w:line="240" w:lineRule="auto"/>
        <w:ind w:left="720"/>
        <w:jc w:val="both"/>
        <w:rPr>
          <w:rFonts w:ascii="Cambria" w:hAnsi="Cambria"/>
          <w:b/>
          <w:sz w:val="20"/>
          <w:szCs w:val="20"/>
          <w:lang w:val="es-CO"/>
        </w:rPr>
      </w:pPr>
      <w:r w:rsidRPr="007344A2">
        <w:rPr>
          <w:rFonts w:ascii="Cambria" w:hAnsi="Cambria" w:cs="Calibri"/>
          <w:b/>
          <w:color w:val="000000"/>
          <w:sz w:val="20"/>
          <w:szCs w:val="20"/>
          <w:lang w:val="es-CO"/>
        </w:rPr>
        <w:t>Argentina</w:t>
      </w:r>
    </w:p>
    <w:p w14:paraId="600D9486" w14:textId="77777777" w:rsidR="00B139F1" w:rsidRPr="007344A2" w:rsidRDefault="00B139F1" w:rsidP="00B139F1">
      <w:pPr>
        <w:spacing w:after="0" w:line="240" w:lineRule="auto"/>
        <w:jc w:val="both"/>
        <w:rPr>
          <w:rFonts w:ascii="Cambria" w:hAnsi="Cambria" w:cs="Calibri"/>
          <w:b/>
          <w:color w:val="000000"/>
          <w:sz w:val="20"/>
          <w:szCs w:val="20"/>
          <w:lang w:val="es-CO"/>
        </w:rPr>
      </w:pPr>
    </w:p>
    <w:p w14:paraId="0407C94D" w14:textId="77777777" w:rsidR="00B139F1" w:rsidRPr="007344A2" w:rsidRDefault="00B139F1" w:rsidP="00B139F1">
      <w:pPr>
        <w:spacing w:after="0" w:line="240" w:lineRule="auto"/>
        <w:jc w:val="both"/>
        <w:rPr>
          <w:rFonts w:ascii="Cambria" w:hAnsi="Cambria" w:cs="Calibri"/>
          <w:color w:val="000000"/>
          <w:sz w:val="20"/>
          <w:szCs w:val="20"/>
          <w:lang w:val="es-CO"/>
        </w:rPr>
      </w:pPr>
      <w:r w:rsidRPr="007344A2">
        <w:rPr>
          <w:rFonts w:ascii="Cambria" w:hAnsi="Cambria" w:cs="Calibri"/>
          <w:color w:val="000000"/>
          <w:sz w:val="20"/>
          <w:szCs w:val="20"/>
          <w:lang w:val="es-CO"/>
        </w:rPr>
        <w:t>Señor Secretario:</w:t>
      </w:r>
    </w:p>
    <w:p w14:paraId="39C242AD" w14:textId="77777777" w:rsidR="00B139F1" w:rsidRPr="007344A2" w:rsidRDefault="00B139F1" w:rsidP="00B139F1">
      <w:pPr>
        <w:spacing w:after="0" w:line="240" w:lineRule="auto"/>
        <w:jc w:val="both"/>
        <w:rPr>
          <w:rFonts w:ascii="Cambria" w:hAnsi="Cambria" w:cs="Calibri"/>
          <w:color w:val="000000"/>
          <w:sz w:val="16"/>
          <w:szCs w:val="16"/>
          <w:lang w:val="es-CO"/>
        </w:rPr>
      </w:pPr>
    </w:p>
    <w:p w14:paraId="320E93D4" w14:textId="401C498E" w:rsidR="00B139F1" w:rsidRPr="007344A2" w:rsidRDefault="00135E27" w:rsidP="00135E27">
      <w:pPr>
        <w:pStyle w:val="Default"/>
        <w:tabs>
          <w:tab w:val="left" w:pos="540"/>
        </w:tabs>
        <w:jc w:val="both"/>
        <w:rPr>
          <w:rFonts w:eastAsia="Arial Unicode MS"/>
          <w:sz w:val="20"/>
          <w:szCs w:val="20"/>
          <w:lang w:val="es-CO"/>
        </w:rPr>
      </w:pPr>
      <w:r w:rsidRPr="007344A2">
        <w:rPr>
          <w:rFonts w:cs="Calibri"/>
          <w:sz w:val="20"/>
          <w:szCs w:val="20"/>
          <w:lang w:val="es-CO"/>
        </w:rPr>
        <w:tab/>
      </w:r>
      <w:r w:rsidR="00B139F1" w:rsidRPr="007344A2">
        <w:rPr>
          <w:rFonts w:cs="Calibri"/>
          <w:sz w:val="20"/>
          <w:szCs w:val="20"/>
          <w:lang w:val="es-CO"/>
        </w:rPr>
        <w:t xml:space="preserve">Tengo el agrado de dirigirme a usted, en nombre de la Comisión Interamericana de Derechos Humanos, con el objeto de someter a la jurisdicción de la Honorable Corte Interamericana de Derechos Humanos, el Caso 13.448 – Hugo Loris Mantovani de la República Argentina (en adelante “el Estado”, “el Estado argentino” o “Argentina”). </w:t>
      </w:r>
      <w:r w:rsidR="00B139F1" w:rsidRPr="007344A2">
        <w:rPr>
          <w:sz w:val="20"/>
          <w:szCs w:val="20"/>
          <w:lang w:val="es-CO"/>
        </w:rPr>
        <w:t xml:space="preserve">El caso se relaciona con la responsabilidad internacional de Argentina </w:t>
      </w:r>
      <w:r w:rsidR="00B139F1" w:rsidRPr="007344A2">
        <w:rPr>
          <w:rFonts w:eastAsia="Arial Unicode MS"/>
          <w:sz w:val="20"/>
          <w:szCs w:val="20"/>
          <w:lang w:val="es-CO"/>
        </w:rPr>
        <w:t>por la violación del derecho a recurrir la sentencia condenatoria en perjuicio del señor Hugo Loris Mantovani, quien fue sometido a proceso penal en jurisdicción de la Ciudad de Buenos Aires.</w:t>
      </w:r>
    </w:p>
    <w:p w14:paraId="7449EFD3" w14:textId="77777777" w:rsidR="00B139F1" w:rsidRPr="007344A2" w:rsidRDefault="00B139F1" w:rsidP="00B139F1">
      <w:pPr>
        <w:pStyle w:val="Default"/>
        <w:jc w:val="both"/>
        <w:rPr>
          <w:rFonts w:eastAsia="Arial Unicode MS"/>
          <w:sz w:val="20"/>
          <w:szCs w:val="20"/>
          <w:lang w:val="es-CO"/>
        </w:rPr>
      </w:pPr>
    </w:p>
    <w:p w14:paraId="2CF5E713" w14:textId="7362270A" w:rsidR="00170EB4" w:rsidRPr="007344A2" w:rsidRDefault="00816301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tab/>
      </w:r>
      <w:r w:rsidR="001448E1" w:rsidRPr="007344A2">
        <w:rPr>
          <w:sz w:val="20"/>
          <w:szCs w:val="20"/>
          <w:lang w:val="es-CO"/>
        </w:rPr>
        <w:t>E</w:t>
      </w:r>
      <w:r w:rsidR="00840720" w:rsidRPr="007344A2">
        <w:rPr>
          <w:sz w:val="20"/>
          <w:szCs w:val="20"/>
          <w:lang w:val="es-CO"/>
        </w:rPr>
        <w:t>l 4 de abril de 2002</w:t>
      </w:r>
      <w:r w:rsidR="007344A2">
        <w:rPr>
          <w:sz w:val="20"/>
          <w:szCs w:val="20"/>
          <w:lang w:val="es-CO"/>
        </w:rPr>
        <w:t>,</w:t>
      </w:r>
      <w:r w:rsidR="00840720" w:rsidRPr="007344A2">
        <w:rPr>
          <w:sz w:val="20"/>
          <w:szCs w:val="20"/>
          <w:lang w:val="es-CO"/>
        </w:rPr>
        <w:t xml:space="preserve"> el Tribunal Oral Nro.</w:t>
      </w:r>
      <w:r w:rsidR="001448E1" w:rsidRPr="007344A2">
        <w:rPr>
          <w:sz w:val="20"/>
          <w:szCs w:val="20"/>
          <w:lang w:val="es-CO"/>
        </w:rPr>
        <w:t xml:space="preserve"> </w:t>
      </w:r>
      <w:r w:rsidR="00840720" w:rsidRPr="00840720">
        <w:rPr>
          <w:sz w:val="20"/>
          <w:szCs w:val="20"/>
          <w:lang w:val="es-CO"/>
        </w:rPr>
        <w:t xml:space="preserve">25 de la Capital Federal dictó sentencia condenatoria y le impuso al </w:t>
      </w:r>
      <w:r w:rsidR="001448E1" w:rsidRPr="007344A2">
        <w:rPr>
          <w:sz w:val="20"/>
          <w:szCs w:val="20"/>
          <w:lang w:val="es-CO"/>
        </w:rPr>
        <w:t>señor</w:t>
      </w:r>
      <w:r w:rsidR="00840720" w:rsidRPr="00840720">
        <w:rPr>
          <w:sz w:val="20"/>
          <w:szCs w:val="20"/>
          <w:lang w:val="es-CO"/>
        </w:rPr>
        <w:t xml:space="preserve"> Hugo Loris Mantovani la pena de 10</w:t>
      </w:r>
      <w:r w:rsidR="001448E1" w:rsidRPr="007344A2">
        <w:rPr>
          <w:sz w:val="20"/>
          <w:szCs w:val="20"/>
          <w:lang w:val="es-CO"/>
        </w:rPr>
        <w:t xml:space="preserve"> </w:t>
      </w:r>
      <w:r w:rsidR="00840720" w:rsidRPr="00840720">
        <w:rPr>
          <w:sz w:val="20"/>
          <w:szCs w:val="20"/>
          <w:lang w:val="es-CO"/>
        </w:rPr>
        <w:t>meses de prisión de ejecución condicional y el pago de las costas procesales por encontrarlo autor</w:t>
      </w:r>
      <w:r w:rsidR="001448E1" w:rsidRPr="007344A2">
        <w:rPr>
          <w:sz w:val="20"/>
          <w:szCs w:val="20"/>
          <w:lang w:val="es-CO"/>
        </w:rPr>
        <w:t xml:space="preserve"> </w:t>
      </w:r>
      <w:r w:rsidR="00840720" w:rsidRPr="00840720">
        <w:rPr>
          <w:sz w:val="20"/>
          <w:szCs w:val="20"/>
          <w:lang w:val="es-CO"/>
        </w:rPr>
        <w:t>penalmente responsable del delito de defraudación por administración fraudulenta en perjuicio de la</w:t>
      </w:r>
      <w:r w:rsidR="001448E1" w:rsidRPr="007344A2">
        <w:rPr>
          <w:sz w:val="20"/>
          <w:szCs w:val="20"/>
          <w:lang w:val="es-CO"/>
        </w:rPr>
        <w:t xml:space="preserve"> </w:t>
      </w:r>
      <w:r w:rsidR="00840720" w:rsidRPr="007344A2">
        <w:rPr>
          <w:sz w:val="20"/>
          <w:szCs w:val="20"/>
          <w:lang w:val="es-CO"/>
        </w:rPr>
        <w:t>empresa “Food Shop S.A”</w:t>
      </w:r>
      <w:r w:rsidR="00B139F1" w:rsidRPr="007344A2">
        <w:rPr>
          <w:sz w:val="20"/>
          <w:szCs w:val="20"/>
          <w:lang w:val="es-CO"/>
        </w:rPr>
        <w:t xml:space="preserve">. El tribunal consideró acreditado que, en su calidad de presidente de la empresa, el </w:t>
      </w:r>
      <w:r w:rsidR="007344A2">
        <w:rPr>
          <w:sz w:val="20"/>
          <w:szCs w:val="20"/>
          <w:lang w:val="es-CO"/>
        </w:rPr>
        <w:t>señor</w:t>
      </w:r>
      <w:r w:rsidR="00B139F1" w:rsidRPr="007344A2">
        <w:rPr>
          <w:sz w:val="20"/>
          <w:szCs w:val="20"/>
          <w:lang w:val="es-CO"/>
        </w:rPr>
        <w:t xml:space="preserve"> Mantovani suscribió seis pagarés a favor del señor Benjamín Quiroga, empleado de la empresa</w:t>
      </w:r>
      <w:r w:rsidR="00EE37A6" w:rsidRPr="007344A2">
        <w:rPr>
          <w:sz w:val="20"/>
          <w:szCs w:val="20"/>
          <w:lang w:val="es-CO"/>
        </w:rPr>
        <w:t>, los cuales resultaron carentes de causa y de todo sustento contable, y por ende sin respaldo en deuda alguna que justificara su libramiento</w:t>
      </w:r>
      <w:r w:rsidR="00B139F1" w:rsidRPr="007344A2">
        <w:rPr>
          <w:sz w:val="20"/>
          <w:szCs w:val="20"/>
          <w:lang w:val="es-CO"/>
        </w:rPr>
        <w:t xml:space="preserve">. La sentencia se basó en pruebas testimoniales de empleados, documentación empresarial y un peritaje contable. </w:t>
      </w:r>
      <w:r w:rsidR="009264B1" w:rsidRPr="007344A2">
        <w:rPr>
          <w:sz w:val="20"/>
          <w:szCs w:val="20"/>
          <w:lang w:val="es-CO"/>
        </w:rPr>
        <w:t xml:space="preserve"> </w:t>
      </w:r>
    </w:p>
    <w:p w14:paraId="73BB8CA7" w14:textId="77777777" w:rsidR="00170EB4" w:rsidRPr="007344A2" w:rsidRDefault="00170EB4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</w:p>
    <w:p w14:paraId="4A89B2AE" w14:textId="45B6A2E9" w:rsidR="00170EB4" w:rsidRPr="007344A2" w:rsidRDefault="00170EB4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tab/>
      </w:r>
      <w:r w:rsidR="00B139F1" w:rsidRPr="007344A2">
        <w:rPr>
          <w:sz w:val="20"/>
          <w:szCs w:val="20"/>
          <w:lang w:val="es-CO"/>
        </w:rPr>
        <w:t>Contra esta sentencia, la defensa del señor Mantovani</w:t>
      </w:r>
      <w:r w:rsidR="006855D1">
        <w:rPr>
          <w:sz w:val="20"/>
          <w:szCs w:val="20"/>
          <w:lang w:val="es-CO"/>
        </w:rPr>
        <w:t xml:space="preserve"> </w:t>
      </w:r>
      <w:r w:rsidR="00B139F1" w:rsidRPr="007344A2">
        <w:rPr>
          <w:sz w:val="20"/>
          <w:szCs w:val="20"/>
          <w:lang w:val="es-CO"/>
        </w:rPr>
        <w:t>interpuso un recurso de casación con fundamento en el artículo 456, inciso 2, del Código Procesal Penal de la Nación</w:t>
      </w:r>
      <w:r w:rsidR="009F2539" w:rsidRPr="007344A2">
        <w:rPr>
          <w:sz w:val="20"/>
          <w:szCs w:val="20"/>
          <w:lang w:val="es-CO"/>
        </w:rPr>
        <w:t xml:space="preserve">, en concordancia con el artículo 404 inc 2, </w:t>
      </w:r>
      <w:r w:rsidR="00B139F1" w:rsidRPr="007344A2">
        <w:rPr>
          <w:sz w:val="20"/>
          <w:szCs w:val="20"/>
          <w:lang w:val="es-CO"/>
        </w:rPr>
        <w:t xml:space="preserve">alegando que carecía de la fundamentación suficiente, lo que la tornaba arbitraria, y solicitó su nulidad y el reenvío del caso a otro tribunal. Invocó, además, la garantía de la doble instancia establecida en el artículo 8.2.h de la Convención Americana, apoyándose en precedentes como </w:t>
      </w:r>
      <w:r w:rsidR="00B139F1" w:rsidRPr="007344A2">
        <w:rPr>
          <w:i/>
          <w:iCs/>
          <w:sz w:val="20"/>
          <w:szCs w:val="20"/>
          <w:lang w:val="es-CO"/>
        </w:rPr>
        <w:t>Maqueda vs. Argentina</w:t>
      </w:r>
      <w:r w:rsidR="00B139F1" w:rsidRPr="007344A2">
        <w:rPr>
          <w:sz w:val="20"/>
          <w:szCs w:val="20"/>
          <w:lang w:val="es-CO"/>
        </w:rPr>
        <w:t> </w:t>
      </w:r>
      <w:r w:rsidR="00757903" w:rsidRPr="007344A2">
        <w:rPr>
          <w:sz w:val="20"/>
          <w:szCs w:val="20"/>
          <w:lang w:val="es-CO"/>
        </w:rPr>
        <w:t xml:space="preserve">de la CIDH </w:t>
      </w:r>
      <w:r w:rsidR="00B139F1" w:rsidRPr="007344A2">
        <w:rPr>
          <w:sz w:val="20"/>
          <w:szCs w:val="20"/>
          <w:lang w:val="es-CO"/>
        </w:rPr>
        <w:t xml:space="preserve">y </w:t>
      </w:r>
      <w:r w:rsidR="00653392" w:rsidRPr="007344A2">
        <w:rPr>
          <w:sz w:val="20"/>
          <w:szCs w:val="20"/>
          <w:lang w:val="es-CO"/>
        </w:rPr>
        <w:t xml:space="preserve">la sentencia de la Corte Suprema de la Nación en </w:t>
      </w:r>
      <w:r w:rsidR="00B139F1" w:rsidRPr="007344A2">
        <w:rPr>
          <w:sz w:val="20"/>
          <w:szCs w:val="20"/>
          <w:lang w:val="es-CO"/>
        </w:rPr>
        <w:t>el caso </w:t>
      </w:r>
      <w:r w:rsidR="00B139F1" w:rsidRPr="007344A2">
        <w:rPr>
          <w:i/>
          <w:iCs/>
          <w:sz w:val="20"/>
          <w:szCs w:val="20"/>
          <w:lang w:val="es-CO"/>
        </w:rPr>
        <w:t>Giroldi</w:t>
      </w:r>
      <w:r w:rsidR="00B139F1" w:rsidRPr="007344A2">
        <w:rPr>
          <w:sz w:val="20"/>
          <w:szCs w:val="20"/>
          <w:lang w:val="es-CO"/>
        </w:rPr>
        <w:t xml:space="preserve">, </w:t>
      </w:r>
      <w:r w:rsidR="003A2E7E" w:rsidRPr="007344A2">
        <w:rPr>
          <w:sz w:val="20"/>
          <w:szCs w:val="20"/>
          <w:lang w:val="es-CO"/>
        </w:rPr>
        <w:t>donde ese tribunal estableció el carácter de tribunal intermedio de la Cámara de Casación Penal a efectos de asegurar al imputado el derecho a un recurso contra la sentencia condenatoria de primera instancia</w:t>
      </w:r>
      <w:r w:rsidR="00B139F1" w:rsidRPr="007344A2">
        <w:rPr>
          <w:sz w:val="20"/>
          <w:szCs w:val="20"/>
          <w:lang w:val="es-CO"/>
        </w:rPr>
        <w:t>.</w:t>
      </w:r>
    </w:p>
    <w:p w14:paraId="3AEAAAC7" w14:textId="77777777" w:rsidR="00170EB4" w:rsidRPr="007344A2" w:rsidRDefault="00170EB4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</w:p>
    <w:p w14:paraId="4A6332CB" w14:textId="5E277C3D" w:rsidR="00170EB4" w:rsidRDefault="00170EB4" w:rsidP="00643FEA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tab/>
      </w:r>
      <w:r w:rsidR="00B139F1" w:rsidRPr="007344A2">
        <w:rPr>
          <w:sz w:val="20"/>
          <w:szCs w:val="20"/>
          <w:lang w:val="es-CO"/>
        </w:rPr>
        <w:t xml:space="preserve">En cuanto a los agravios, la defensa sostuvo que el fallo no era una derivación lógica del conjunto probatorio y que los pagarés no eran incausados, sino un medio de pago por trabajos realizados por el señor Quiroga en la instalación y mantenimiento de cámaras frigoríficas en predios de la empresa. Alegó también que existía prueba testimonial y documental que respaldaba la existencia de dicha relación laboral, y que el tribunal efectuó una valoración parcial de la prueba. En particular, </w:t>
      </w:r>
      <w:r w:rsidR="003379F4" w:rsidRPr="007344A2">
        <w:rPr>
          <w:sz w:val="20"/>
          <w:szCs w:val="20"/>
          <w:lang w:val="es-CO"/>
        </w:rPr>
        <w:t>el Defensor, refirió la existencia de</w:t>
      </w:r>
      <w:r w:rsidR="00B139F1" w:rsidRPr="007344A2">
        <w:rPr>
          <w:sz w:val="20"/>
          <w:szCs w:val="20"/>
          <w:lang w:val="es-CO"/>
        </w:rPr>
        <w:t xml:space="preserve"> testigos como el abogado de la empresa, el jefe de seguridad y un empleado, quienes afirmaron haber visto al </w:t>
      </w:r>
      <w:r w:rsidR="00DD1FA4" w:rsidRPr="007344A2">
        <w:rPr>
          <w:sz w:val="20"/>
          <w:szCs w:val="20"/>
          <w:lang w:val="es-CO"/>
        </w:rPr>
        <w:t xml:space="preserve">señor </w:t>
      </w:r>
      <w:r w:rsidR="00B139F1" w:rsidRPr="007344A2">
        <w:rPr>
          <w:sz w:val="20"/>
          <w:szCs w:val="20"/>
          <w:lang w:val="es-CO"/>
        </w:rPr>
        <w:t xml:space="preserve">Quiroga </w:t>
      </w:r>
      <w:r w:rsidR="005E1642" w:rsidRPr="007344A2">
        <w:rPr>
          <w:sz w:val="20"/>
          <w:szCs w:val="20"/>
          <w:lang w:val="es-CO"/>
        </w:rPr>
        <w:t>realizar reparaciones en las cámaras frigoríficas.</w:t>
      </w:r>
    </w:p>
    <w:p w14:paraId="4F8959CE" w14:textId="77777777" w:rsidR="00643FEA" w:rsidRPr="007344A2" w:rsidRDefault="00643FEA" w:rsidP="00643FEA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</w:p>
    <w:p w14:paraId="7530D26F" w14:textId="6A33BC05" w:rsidR="00643FEA" w:rsidRDefault="00170EB4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tab/>
        <w:t>Asimismo</w:t>
      </w:r>
      <w:r w:rsidRPr="00626509">
        <w:rPr>
          <w:sz w:val="20"/>
          <w:szCs w:val="20"/>
          <w:lang w:val="es-CO"/>
        </w:rPr>
        <w:t xml:space="preserve">, el </w:t>
      </w:r>
      <w:r w:rsidR="00FC0F13">
        <w:rPr>
          <w:sz w:val="20"/>
          <w:szCs w:val="20"/>
          <w:lang w:val="es-CO"/>
        </w:rPr>
        <w:t>d</w:t>
      </w:r>
      <w:r w:rsidRPr="00626509">
        <w:rPr>
          <w:sz w:val="20"/>
          <w:szCs w:val="20"/>
          <w:lang w:val="es-CO"/>
        </w:rPr>
        <w:t xml:space="preserve">efensor del </w:t>
      </w:r>
      <w:r w:rsidR="00643FEA">
        <w:rPr>
          <w:sz w:val="20"/>
          <w:szCs w:val="20"/>
          <w:lang w:val="es-CO"/>
        </w:rPr>
        <w:t>señor</w:t>
      </w:r>
      <w:r w:rsidRPr="00626509">
        <w:rPr>
          <w:sz w:val="20"/>
          <w:szCs w:val="20"/>
          <w:lang w:val="es-CO"/>
        </w:rPr>
        <w:t xml:space="preserve"> Mantovani sostuvo que la falta de motivación de la sentencia</w:t>
      </w:r>
      <w:r w:rsidRPr="007344A2">
        <w:rPr>
          <w:sz w:val="20"/>
          <w:szCs w:val="20"/>
          <w:lang w:val="es-CO"/>
        </w:rPr>
        <w:t xml:space="preserve"> </w:t>
      </w:r>
      <w:r w:rsidRPr="00626509">
        <w:rPr>
          <w:sz w:val="20"/>
          <w:szCs w:val="20"/>
          <w:lang w:val="es-CO"/>
        </w:rPr>
        <w:t>condenatoria en lo que respecta a la configuración del delito de administración fraudulenta se encuentra</w:t>
      </w:r>
      <w:r w:rsidRPr="007344A2">
        <w:rPr>
          <w:sz w:val="20"/>
          <w:szCs w:val="20"/>
          <w:lang w:val="es-CO"/>
        </w:rPr>
        <w:t xml:space="preserve"> </w:t>
      </w:r>
      <w:r w:rsidRPr="00626509">
        <w:rPr>
          <w:sz w:val="20"/>
          <w:szCs w:val="20"/>
          <w:lang w:val="es-CO"/>
        </w:rPr>
        <w:t>también en el hecho de que el tribunal de juicio no se pronunció respecto de la existencia de alegadas</w:t>
      </w:r>
      <w:r w:rsidRPr="007344A2">
        <w:rPr>
          <w:sz w:val="20"/>
          <w:szCs w:val="20"/>
          <w:lang w:val="es-CO"/>
        </w:rPr>
        <w:t xml:space="preserve"> </w:t>
      </w:r>
      <w:r w:rsidRPr="00626509">
        <w:rPr>
          <w:sz w:val="20"/>
          <w:szCs w:val="20"/>
          <w:lang w:val="es-CO"/>
        </w:rPr>
        <w:t>razones de urgencia que imponían que el trabajo en las cámaras frigoríficas se haga de manera expedita,</w:t>
      </w:r>
      <w:r w:rsidRPr="007344A2">
        <w:rPr>
          <w:sz w:val="20"/>
          <w:szCs w:val="20"/>
          <w:lang w:val="es-CO"/>
        </w:rPr>
        <w:t xml:space="preserve"> </w:t>
      </w:r>
      <w:r w:rsidRPr="00626509">
        <w:rPr>
          <w:sz w:val="20"/>
          <w:szCs w:val="20"/>
          <w:lang w:val="es-CO"/>
        </w:rPr>
        <w:t xml:space="preserve">aun cuando fuera necesario abonar al </w:t>
      </w:r>
      <w:r w:rsidR="00643FEA">
        <w:rPr>
          <w:sz w:val="20"/>
          <w:szCs w:val="20"/>
          <w:lang w:val="es-CO"/>
        </w:rPr>
        <w:t>señor</w:t>
      </w:r>
      <w:r w:rsidRPr="00626509">
        <w:rPr>
          <w:sz w:val="20"/>
          <w:szCs w:val="20"/>
          <w:lang w:val="es-CO"/>
        </w:rPr>
        <w:t xml:space="preserve"> Quiroga un monto superior a los valores de mercado existentes</w:t>
      </w:r>
      <w:r w:rsidRPr="007344A2">
        <w:rPr>
          <w:sz w:val="20"/>
          <w:szCs w:val="20"/>
          <w:lang w:val="es-CO"/>
        </w:rPr>
        <w:t xml:space="preserve"> en ese momento. </w:t>
      </w:r>
    </w:p>
    <w:p w14:paraId="153640E7" w14:textId="77777777" w:rsidR="00643FEA" w:rsidRDefault="00643FEA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</w:p>
    <w:p w14:paraId="769D9C30" w14:textId="77777777" w:rsidR="00643FEA" w:rsidRDefault="00643FEA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</w:p>
    <w:p w14:paraId="62FE97C3" w14:textId="77777777" w:rsidR="00643FEA" w:rsidRPr="007344A2" w:rsidRDefault="00643FEA" w:rsidP="00643F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 w:cs="Calibri"/>
          <w:color w:val="000000"/>
          <w:sz w:val="20"/>
          <w:szCs w:val="20"/>
          <w:lang w:val="es-CO"/>
        </w:rPr>
      </w:pPr>
      <w:r w:rsidRPr="007344A2">
        <w:rPr>
          <w:rFonts w:ascii="Cambria" w:hAnsi="Cambria" w:cs="Calibri"/>
          <w:color w:val="000000"/>
          <w:sz w:val="20"/>
          <w:szCs w:val="20"/>
          <w:lang w:val="es-CO"/>
        </w:rPr>
        <w:t>Señor</w:t>
      </w:r>
    </w:p>
    <w:p w14:paraId="5C10FE29" w14:textId="77777777" w:rsidR="00643FEA" w:rsidRPr="007344A2" w:rsidRDefault="00643FEA" w:rsidP="00643FEA">
      <w:pPr>
        <w:spacing w:after="0" w:line="240" w:lineRule="auto"/>
        <w:jc w:val="both"/>
        <w:rPr>
          <w:rFonts w:ascii="Cambria" w:hAnsi="Cambria" w:cs="Calibri"/>
          <w:color w:val="000000"/>
          <w:sz w:val="20"/>
          <w:szCs w:val="20"/>
          <w:lang w:val="es-CO"/>
        </w:rPr>
      </w:pPr>
      <w:r w:rsidRPr="007344A2">
        <w:rPr>
          <w:rFonts w:ascii="Cambria" w:hAnsi="Cambria" w:cs="Calibri"/>
          <w:color w:val="000000"/>
          <w:sz w:val="20"/>
          <w:szCs w:val="20"/>
          <w:lang w:val="es-CO"/>
        </w:rPr>
        <w:t>Pablo Saavedra Alessandri</w:t>
      </w:r>
    </w:p>
    <w:p w14:paraId="12F3616F" w14:textId="77777777" w:rsidR="00643FEA" w:rsidRPr="007344A2" w:rsidRDefault="00643FEA" w:rsidP="00643FEA">
      <w:pPr>
        <w:spacing w:after="0" w:line="240" w:lineRule="auto"/>
        <w:jc w:val="both"/>
        <w:rPr>
          <w:rFonts w:ascii="Cambria" w:hAnsi="Cambria" w:cs="Calibri"/>
          <w:color w:val="000000"/>
          <w:sz w:val="20"/>
          <w:szCs w:val="20"/>
          <w:lang w:val="es-CO"/>
        </w:rPr>
      </w:pPr>
      <w:r w:rsidRPr="007344A2">
        <w:rPr>
          <w:rFonts w:ascii="Cambria" w:hAnsi="Cambria" w:cs="Calibri"/>
          <w:color w:val="000000"/>
          <w:sz w:val="20"/>
          <w:szCs w:val="20"/>
          <w:lang w:val="es-CO"/>
        </w:rPr>
        <w:t>Secretario</w:t>
      </w:r>
    </w:p>
    <w:p w14:paraId="1DEDA070" w14:textId="77777777" w:rsidR="00643FEA" w:rsidRPr="007344A2" w:rsidRDefault="00643FEA" w:rsidP="00643FEA">
      <w:pPr>
        <w:spacing w:after="0" w:line="240" w:lineRule="auto"/>
        <w:jc w:val="both"/>
        <w:rPr>
          <w:rFonts w:ascii="Cambria" w:hAnsi="Cambria" w:cs="Calibri"/>
          <w:color w:val="000000"/>
          <w:sz w:val="20"/>
          <w:szCs w:val="20"/>
          <w:lang w:val="es-CO"/>
        </w:rPr>
      </w:pPr>
      <w:r w:rsidRPr="007344A2">
        <w:rPr>
          <w:rFonts w:ascii="Cambria" w:hAnsi="Cambria" w:cs="Calibri"/>
          <w:color w:val="000000"/>
          <w:sz w:val="20"/>
          <w:szCs w:val="20"/>
          <w:lang w:val="es-CO"/>
        </w:rPr>
        <w:t>Corte Interamericana de Derechos Humanos</w:t>
      </w:r>
    </w:p>
    <w:p w14:paraId="4030BC9C" w14:textId="77777777" w:rsidR="00643FEA" w:rsidRPr="007344A2" w:rsidRDefault="00643FEA" w:rsidP="00643FEA">
      <w:pPr>
        <w:pStyle w:val="Default"/>
        <w:jc w:val="both"/>
        <w:rPr>
          <w:sz w:val="20"/>
          <w:szCs w:val="20"/>
          <w:lang w:val="es-CO"/>
        </w:rPr>
      </w:pPr>
      <w:r w:rsidRPr="007344A2">
        <w:rPr>
          <w:rFonts w:cs="Calibri"/>
          <w:sz w:val="20"/>
          <w:szCs w:val="20"/>
          <w:lang w:val="es-CO"/>
        </w:rPr>
        <w:t>San José, Costa Rica</w:t>
      </w:r>
    </w:p>
    <w:p w14:paraId="50E682C2" w14:textId="77777777" w:rsidR="00643FEA" w:rsidRDefault="00643FEA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</w:p>
    <w:p w14:paraId="2CA221FC" w14:textId="77777777" w:rsidR="00643FEA" w:rsidRDefault="00643FEA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</w:p>
    <w:p w14:paraId="4D029853" w14:textId="44CAA17D" w:rsidR="00170EB4" w:rsidRPr="007344A2" w:rsidRDefault="00170EB4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lastRenderedPageBreak/>
        <w:tab/>
      </w:r>
      <w:r w:rsidR="00285A21" w:rsidRPr="00285A21">
        <w:rPr>
          <w:sz w:val="20"/>
          <w:szCs w:val="20"/>
          <w:lang w:val="es-CO"/>
        </w:rPr>
        <w:t>El 6 de mayo de 2002 el Tribunal Oral en lo Criminal Nro. 25 resolvió no hacer lugar al recurso de</w:t>
      </w:r>
      <w:r w:rsidR="00285A21" w:rsidRPr="007344A2">
        <w:rPr>
          <w:sz w:val="20"/>
          <w:szCs w:val="20"/>
          <w:lang w:val="es-CO"/>
        </w:rPr>
        <w:t xml:space="preserve"> casación</w:t>
      </w:r>
      <w:r w:rsidR="00B139F1" w:rsidRPr="007344A2">
        <w:rPr>
          <w:sz w:val="20"/>
          <w:szCs w:val="20"/>
          <w:lang w:val="es-CO"/>
        </w:rPr>
        <w:t>, argumentando que la defensa sólo ofrecía una interpretación distinta de la prueba y no demostraba arbitrariedad. Sostuvo que el recurso no cumplía con los requisitos de admisibilidad y que el agravio se reducía a un disenso con la valoración probatoria hecha por el tribunal.</w:t>
      </w:r>
      <w:r w:rsidR="00B436E4" w:rsidRPr="007344A2">
        <w:rPr>
          <w:sz w:val="20"/>
          <w:szCs w:val="20"/>
          <w:lang w:val="es-CO"/>
        </w:rPr>
        <w:t xml:space="preserve"> El Tribunal Oral también señaló que “al </w:t>
      </w:r>
      <w:r w:rsidR="00B436E4" w:rsidRPr="00B436E4">
        <w:rPr>
          <w:sz w:val="20"/>
          <w:szCs w:val="20"/>
          <w:lang w:val="es-CO"/>
        </w:rPr>
        <w:t>interponerse recurso de casación, los errores deben señalarse como ocurridos respecto de la plataforma</w:t>
      </w:r>
      <w:r w:rsidR="00B436E4" w:rsidRPr="007344A2">
        <w:rPr>
          <w:sz w:val="20"/>
          <w:szCs w:val="20"/>
          <w:lang w:val="es-CO"/>
        </w:rPr>
        <w:t xml:space="preserve"> </w:t>
      </w:r>
      <w:r w:rsidR="00B436E4" w:rsidRPr="00B436E4">
        <w:rPr>
          <w:sz w:val="20"/>
          <w:szCs w:val="20"/>
          <w:lang w:val="es-CO"/>
        </w:rPr>
        <w:t>fáctica fijada por el tribunal de juicio, pues de admitirse la controversia acerca de la versión de los hechos</w:t>
      </w:r>
      <w:r w:rsidR="00B436E4" w:rsidRPr="007344A2">
        <w:rPr>
          <w:sz w:val="20"/>
          <w:szCs w:val="20"/>
          <w:lang w:val="es-CO"/>
        </w:rPr>
        <w:t xml:space="preserve"> </w:t>
      </w:r>
      <w:r w:rsidR="00B436E4" w:rsidRPr="00B436E4">
        <w:rPr>
          <w:sz w:val="20"/>
          <w:szCs w:val="20"/>
          <w:lang w:val="es-CO"/>
        </w:rPr>
        <w:t>contenida en la sentencia, resultarían desechados los beneficios que en relación a la apreciación de la</w:t>
      </w:r>
      <w:r w:rsidR="00B436E4" w:rsidRPr="007344A2">
        <w:rPr>
          <w:sz w:val="20"/>
          <w:szCs w:val="20"/>
          <w:lang w:val="es-CO"/>
        </w:rPr>
        <w:t xml:space="preserve"> prueba produce la inmediación en la etapa del plenario”. </w:t>
      </w:r>
    </w:p>
    <w:p w14:paraId="7FE982E1" w14:textId="77777777" w:rsidR="00170EB4" w:rsidRPr="007344A2" w:rsidRDefault="00170EB4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</w:p>
    <w:p w14:paraId="22F964D7" w14:textId="3C4EE5A7" w:rsidR="00B139F1" w:rsidRPr="007344A2" w:rsidRDefault="00170EB4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tab/>
      </w:r>
      <w:r w:rsidR="00B436E4" w:rsidRPr="007344A2">
        <w:rPr>
          <w:sz w:val="20"/>
          <w:szCs w:val="20"/>
          <w:lang w:val="es-CO"/>
        </w:rPr>
        <w:t>Frente a esta decisión, l</w:t>
      </w:r>
      <w:r w:rsidR="00B139F1" w:rsidRPr="007344A2">
        <w:rPr>
          <w:sz w:val="20"/>
          <w:szCs w:val="20"/>
          <w:lang w:val="es-CO"/>
        </w:rPr>
        <w:t xml:space="preserve">a defensa </w:t>
      </w:r>
      <w:r w:rsidR="00EB602B" w:rsidRPr="007344A2">
        <w:rPr>
          <w:sz w:val="20"/>
          <w:szCs w:val="20"/>
          <w:lang w:val="es-CO"/>
        </w:rPr>
        <w:t xml:space="preserve">interpuso </w:t>
      </w:r>
      <w:r w:rsidR="00B139F1" w:rsidRPr="007344A2">
        <w:rPr>
          <w:sz w:val="20"/>
          <w:szCs w:val="20"/>
          <w:lang w:val="es-CO"/>
        </w:rPr>
        <w:t>un recurso de queja por denegación del recurso de casación, en el cual reiteró sus argumentos y sostuvo que el tribunal excedió su competencia al analizar la procedencia sustancial del recurso, lo que correspondía exclusivamente a la Cámara de Casación. Afirmó que el tribunal debió limitarse a verificar los requisitos formales y que su decisión vulneró el derecho a recurrir la sentencia.</w:t>
      </w:r>
    </w:p>
    <w:p w14:paraId="2D93D32F" w14:textId="33022324" w:rsidR="00EB602B" w:rsidRPr="007344A2" w:rsidRDefault="00EB602B" w:rsidP="00170EB4">
      <w:pPr>
        <w:spacing w:after="0" w:line="240" w:lineRule="auto"/>
        <w:jc w:val="both"/>
        <w:rPr>
          <w:rFonts w:ascii="Cambria" w:hAnsi="Cambria"/>
          <w:sz w:val="20"/>
          <w:szCs w:val="20"/>
          <w:lang w:val="es-CO"/>
          <w14:ligatures w14:val="standardContextual"/>
        </w:rPr>
      </w:pPr>
    </w:p>
    <w:p w14:paraId="5A1059BA" w14:textId="2A7CC037" w:rsidR="00B139F1" w:rsidRPr="007344A2" w:rsidRDefault="00170EB4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tab/>
      </w:r>
      <w:r w:rsidR="00B139F1" w:rsidRPr="007344A2">
        <w:rPr>
          <w:sz w:val="20"/>
          <w:szCs w:val="20"/>
          <w:lang w:val="es-CO"/>
        </w:rPr>
        <w:t xml:space="preserve">El 27 de junio de 2002, la Sala I de la Cámara Nacional de Casación Penal desestimó </w:t>
      </w:r>
      <w:r w:rsidR="00570FEA" w:rsidRPr="007344A2">
        <w:rPr>
          <w:sz w:val="20"/>
          <w:szCs w:val="20"/>
          <w:lang w:val="es-CO"/>
        </w:rPr>
        <w:t>el recurso de</w:t>
      </w:r>
      <w:r w:rsidR="00B139F1" w:rsidRPr="007344A2">
        <w:rPr>
          <w:sz w:val="20"/>
          <w:szCs w:val="20"/>
          <w:lang w:val="es-CO"/>
        </w:rPr>
        <w:t xml:space="preserve"> queja</w:t>
      </w:r>
      <w:r w:rsidR="00570FEA" w:rsidRPr="007344A2">
        <w:rPr>
          <w:sz w:val="20"/>
          <w:szCs w:val="20"/>
          <w:lang w:val="es-CO"/>
        </w:rPr>
        <w:t xml:space="preserve"> por denegación del recurso de casación interpuesto por el Defensor Público</w:t>
      </w:r>
      <w:r w:rsidR="00B139F1" w:rsidRPr="007344A2">
        <w:rPr>
          <w:sz w:val="20"/>
          <w:szCs w:val="20"/>
          <w:lang w:val="es-CO"/>
        </w:rPr>
        <w:t xml:space="preserve">. Consideró que la defensa no logró refutar los argumentos del tribunal de juicio, especialmente en relación con la falta de arbitrariedad, y que el recurso carecía de fundamentación autónoma. </w:t>
      </w:r>
      <w:r w:rsidR="00162874" w:rsidRPr="007344A2">
        <w:rPr>
          <w:sz w:val="20"/>
          <w:szCs w:val="20"/>
          <w:lang w:val="es-CO"/>
        </w:rPr>
        <w:t>Por otra parte y en respuesta al agravio planteado por la defensa relativo a que el Tribunal Oral</w:t>
      </w:r>
      <w:r w:rsidR="00C40192" w:rsidRPr="007344A2">
        <w:rPr>
          <w:sz w:val="20"/>
          <w:szCs w:val="20"/>
          <w:lang w:val="es-CO"/>
        </w:rPr>
        <w:t xml:space="preserve"> </w:t>
      </w:r>
      <w:r w:rsidR="00162874" w:rsidRPr="007344A2">
        <w:rPr>
          <w:sz w:val="20"/>
          <w:szCs w:val="20"/>
          <w:lang w:val="es-CO"/>
        </w:rPr>
        <w:t xml:space="preserve">arribó a la conclusión de que la entrega de los pagarés al </w:t>
      </w:r>
      <w:r w:rsidR="00643FEA">
        <w:rPr>
          <w:sz w:val="20"/>
          <w:szCs w:val="20"/>
          <w:lang w:val="es-CO"/>
        </w:rPr>
        <w:t xml:space="preserve">señor </w:t>
      </w:r>
      <w:r w:rsidR="00162874" w:rsidRPr="007344A2">
        <w:rPr>
          <w:sz w:val="20"/>
          <w:szCs w:val="20"/>
          <w:lang w:val="es-CO"/>
        </w:rPr>
        <w:t>Quiroga fueron incausados sin contar con la</w:t>
      </w:r>
      <w:r w:rsidR="00C40192" w:rsidRPr="007344A2">
        <w:rPr>
          <w:sz w:val="20"/>
          <w:szCs w:val="20"/>
          <w:lang w:val="es-CO"/>
        </w:rPr>
        <w:t xml:space="preserve"> prueba que sustente dicha afirmación, la Cámara de Casación citó el fallo del Tribunal Oral y afirmó que “se </w:t>
      </w:r>
      <w:r w:rsidR="00C40192" w:rsidRPr="00C40192">
        <w:rPr>
          <w:sz w:val="20"/>
          <w:szCs w:val="20"/>
          <w:lang w:val="es-CO"/>
        </w:rPr>
        <w:t>advierte que el sentenciante fundamentó razonadamente su decisión, especialmente respecto a que los</w:t>
      </w:r>
      <w:r w:rsidR="00C40192" w:rsidRPr="007344A2">
        <w:rPr>
          <w:sz w:val="20"/>
          <w:szCs w:val="20"/>
          <w:lang w:val="es-CO"/>
        </w:rPr>
        <w:t xml:space="preserve"> </w:t>
      </w:r>
      <w:r w:rsidR="00C40192" w:rsidRPr="00C40192">
        <w:rPr>
          <w:sz w:val="20"/>
          <w:szCs w:val="20"/>
          <w:lang w:val="es-CO"/>
        </w:rPr>
        <w:t>referidos títulos de crédito – pagarés – resultaron sin causa, razón por la cual el agravio esgrimido por la</w:t>
      </w:r>
      <w:r w:rsidR="00C40192" w:rsidRPr="007344A2">
        <w:rPr>
          <w:sz w:val="20"/>
          <w:szCs w:val="20"/>
          <w:lang w:val="es-CO"/>
        </w:rPr>
        <w:t xml:space="preserve"> defensa oficial centrado en la falta de fundamentación de esta cuestión, deviene improcedente”</w:t>
      </w:r>
      <w:r w:rsidR="00B139F1" w:rsidRPr="007344A2">
        <w:rPr>
          <w:sz w:val="20"/>
          <w:szCs w:val="20"/>
          <w:lang w:val="es-CO"/>
        </w:rPr>
        <w:t>.</w:t>
      </w:r>
    </w:p>
    <w:p w14:paraId="404F0A10" w14:textId="77777777" w:rsidR="00B139F1" w:rsidRPr="007344A2" w:rsidRDefault="00B139F1" w:rsidP="00B139F1">
      <w:pPr>
        <w:pStyle w:val="Default"/>
        <w:jc w:val="both"/>
        <w:rPr>
          <w:sz w:val="20"/>
          <w:szCs w:val="20"/>
          <w:lang w:val="es-CO"/>
        </w:rPr>
      </w:pPr>
    </w:p>
    <w:p w14:paraId="3341EB52" w14:textId="48F0CEB7" w:rsidR="00B139F1" w:rsidRPr="007344A2" w:rsidRDefault="00170EB4" w:rsidP="00405F38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tab/>
      </w:r>
      <w:r w:rsidR="00B139F1" w:rsidRPr="007344A2">
        <w:rPr>
          <w:sz w:val="20"/>
          <w:szCs w:val="20"/>
          <w:lang w:val="es-CO"/>
        </w:rPr>
        <w:t xml:space="preserve">Ante ello, la defensa interpuso un recurso extraordinario federal, en el que insistió en que la sentencia condenatoria violaba el principio de razón suficiente, el principio </w:t>
      </w:r>
      <w:r w:rsidR="00B139F1" w:rsidRPr="007344A2">
        <w:rPr>
          <w:i/>
          <w:iCs/>
          <w:sz w:val="20"/>
          <w:szCs w:val="20"/>
          <w:lang w:val="es-CO"/>
        </w:rPr>
        <w:t xml:space="preserve">favor rei </w:t>
      </w:r>
      <w:r w:rsidR="00B139F1" w:rsidRPr="007344A2">
        <w:rPr>
          <w:sz w:val="20"/>
          <w:szCs w:val="20"/>
          <w:lang w:val="es-CO"/>
        </w:rPr>
        <w:t>y la garantía de la doble instancia. El 22 de agosto de 2002, la Sala I de la Cámara Nacional de Casación Penal declaró inadmisible el recurso extraordinario federal, argumentando que los planteos de la defensa no configuraban una cuestión federal, ya que se referían a cuestiones de valoración probatoria.</w:t>
      </w:r>
      <w:r w:rsidR="00405F38">
        <w:rPr>
          <w:sz w:val="20"/>
          <w:szCs w:val="20"/>
          <w:lang w:val="es-CO"/>
        </w:rPr>
        <w:t xml:space="preserve"> </w:t>
      </w:r>
      <w:r w:rsidR="00405F38" w:rsidRPr="00405F38">
        <w:rPr>
          <w:sz w:val="20"/>
          <w:szCs w:val="20"/>
          <w:lang w:val="es-CO"/>
        </w:rPr>
        <w:t>Asimismo, la Sala manifestó que no podía prosperar el recurso extraordinario en relación</w:t>
      </w:r>
      <w:r w:rsidR="00405F38">
        <w:rPr>
          <w:sz w:val="20"/>
          <w:szCs w:val="20"/>
          <w:lang w:val="es-CO"/>
        </w:rPr>
        <w:t xml:space="preserve"> </w:t>
      </w:r>
      <w:r w:rsidR="00405F38" w:rsidRPr="00405F38">
        <w:rPr>
          <w:sz w:val="20"/>
          <w:szCs w:val="20"/>
          <w:lang w:val="es-CO"/>
        </w:rPr>
        <w:t>con la alegada violación a la garantía de la doble instancia ya que el recurrente no había demostrado “de</w:t>
      </w:r>
      <w:r w:rsidR="00405F38">
        <w:rPr>
          <w:sz w:val="20"/>
          <w:szCs w:val="20"/>
          <w:lang w:val="es-CO"/>
        </w:rPr>
        <w:t xml:space="preserve"> </w:t>
      </w:r>
      <w:r w:rsidR="00405F38" w:rsidRPr="00405F38">
        <w:rPr>
          <w:sz w:val="20"/>
          <w:szCs w:val="20"/>
          <w:lang w:val="es-CO"/>
        </w:rPr>
        <w:t>qué manera los argumentos que eventualmente podría haber desarrollado durante el trámite de la casación</w:t>
      </w:r>
      <w:r w:rsidR="00405F38">
        <w:rPr>
          <w:sz w:val="20"/>
          <w:szCs w:val="20"/>
          <w:lang w:val="es-CO"/>
        </w:rPr>
        <w:t xml:space="preserve"> </w:t>
      </w:r>
      <w:r w:rsidR="00405F38" w:rsidRPr="00405F38">
        <w:rPr>
          <w:sz w:val="20"/>
          <w:szCs w:val="20"/>
          <w:lang w:val="es-CO"/>
        </w:rPr>
        <w:t>hubieran modificado la solución alcanzada”</w:t>
      </w:r>
      <w:r w:rsidR="00B139F1" w:rsidRPr="007344A2">
        <w:rPr>
          <w:sz w:val="20"/>
          <w:szCs w:val="20"/>
          <w:lang w:val="es-CO"/>
        </w:rPr>
        <w:t>.</w:t>
      </w:r>
    </w:p>
    <w:p w14:paraId="02ED64A9" w14:textId="77777777" w:rsidR="00B139F1" w:rsidRPr="007344A2" w:rsidRDefault="00B139F1" w:rsidP="00B139F1">
      <w:pPr>
        <w:pStyle w:val="Default"/>
        <w:jc w:val="both"/>
        <w:rPr>
          <w:sz w:val="20"/>
          <w:szCs w:val="20"/>
          <w:lang w:val="es-CO"/>
        </w:rPr>
      </w:pPr>
    </w:p>
    <w:p w14:paraId="683B5FE3" w14:textId="2A9DF92E" w:rsidR="00B139F1" w:rsidRPr="007344A2" w:rsidRDefault="00170EB4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tab/>
      </w:r>
      <w:r w:rsidR="00B139F1" w:rsidRPr="007344A2">
        <w:rPr>
          <w:sz w:val="20"/>
          <w:szCs w:val="20"/>
          <w:lang w:val="es-CO"/>
        </w:rPr>
        <w:t xml:space="preserve">Finalmente, la defensa presentó un recurso de queja </w:t>
      </w:r>
      <w:r w:rsidR="001A65A5" w:rsidRPr="007344A2">
        <w:rPr>
          <w:sz w:val="20"/>
          <w:szCs w:val="20"/>
          <w:lang w:val="es-CO"/>
        </w:rPr>
        <w:t xml:space="preserve">por denegación del recurso extraordinario federal </w:t>
      </w:r>
      <w:r w:rsidR="00B139F1" w:rsidRPr="007344A2">
        <w:rPr>
          <w:sz w:val="20"/>
          <w:szCs w:val="20"/>
          <w:lang w:val="es-CO"/>
        </w:rPr>
        <w:t>ante la Corte Suprema de Justicia de la Nación, reiterando sus agravios y sosteniendo que la Cámara omitió dar respuesta a los cuestionamientos sustanciales, limitándose a transcribir fragmentos de la sentencia condenatoria. El 8 de septiembre de 2003, la Corte Suprema declaró inadmisible el recurso extraordinario en aplicación del artículo 280 del Código Procesal Civil y Comercial de la Nación.</w:t>
      </w:r>
    </w:p>
    <w:p w14:paraId="48DA8605" w14:textId="77777777" w:rsidR="00B139F1" w:rsidRPr="007344A2" w:rsidRDefault="00B139F1" w:rsidP="00B139F1">
      <w:pPr>
        <w:pStyle w:val="Default"/>
        <w:jc w:val="both"/>
        <w:rPr>
          <w:sz w:val="20"/>
          <w:szCs w:val="20"/>
          <w:lang w:val="es-CO"/>
        </w:rPr>
      </w:pPr>
    </w:p>
    <w:p w14:paraId="1A2A8BF9" w14:textId="28143766" w:rsidR="003B2544" w:rsidRPr="007344A2" w:rsidRDefault="00170EB4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tab/>
      </w:r>
      <w:r w:rsidR="00B139F1" w:rsidRPr="007344A2">
        <w:rPr>
          <w:sz w:val="20"/>
          <w:szCs w:val="20"/>
          <w:lang w:val="es-CO"/>
        </w:rPr>
        <w:t>En su Informe 149/23 la Comisión observó que el proceso penal seguido contra el señor Mantovani</w:t>
      </w:r>
      <w:r w:rsidR="006C381F" w:rsidRPr="007344A2">
        <w:rPr>
          <w:sz w:val="20"/>
          <w:szCs w:val="20"/>
          <w:lang w:val="es-CO"/>
        </w:rPr>
        <w:t xml:space="preserve"> </w:t>
      </w:r>
      <w:r w:rsidR="00B139F1" w:rsidRPr="007344A2">
        <w:rPr>
          <w:sz w:val="20"/>
          <w:szCs w:val="20"/>
          <w:lang w:val="es-CO"/>
        </w:rPr>
        <w:t xml:space="preserve">se </w:t>
      </w:r>
      <w:r w:rsidR="000824B0" w:rsidRPr="007344A2">
        <w:rPr>
          <w:sz w:val="20"/>
          <w:szCs w:val="20"/>
          <w:lang w:val="es-CO"/>
        </w:rPr>
        <w:t>rigió bajo las normas del Código Procesal Penal de la</w:t>
      </w:r>
      <w:r w:rsidR="003B2544" w:rsidRPr="007344A2">
        <w:rPr>
          <w:sz w:val="20"/>
          <w:szCs w:val="20"/>
          <w:lang w:val="es-CO"/>
        </w:rPr>
        <w:t xml:space="preserve"> </w:t>
      </w:r>
      <w:r w:rsidR="000824B0" w:rsidRPr="000824B0">
        <w:rPr>
          <w:sz w:val="20"/>
          <w:szCs w:val="20"/>
          <w:lang w:val="es-CO"/>
        </w:rPr>
        <w:t>Nación Argentina aprobado por ley 23.984 sancionada el 21 de agosto de 1991. Asimismo,</w:t>
      </w:r>
      <w:r w:rsidR="003B2544" w:rsidRPr="007344A2">
        <w:rPr>
          <w:sz w:val="20"/>
          <w:szCs w:val="20"/>
          <w:lang w:val="es-CO"/>
        </w:rPr>
        <w:t xml:space="preserve"> </w:t>
      </w:r>
      <w:r w:rsidR="000824B0" w:rsidRPr="000824B0">
        <w:rPr>
          <w:sz w:val="20"/>
          <w:szCs w:val="20"/>
          <w:lang w:val="es-CO"/>
        </w:rPr>
        <w:t xml:space="preserve">que la condena dictada contra el </w:t>
      </w:r>
      <w:r w:rsidR="003B2544" w:rsidRPr="007344A2">
        <w:rPr>
          <w:sz w:val="20"/>
          <w:szCs w:val="20"/>
          <w:lang w:val="es-CO"/>
        </w:rPr>
        <w:t>señor</w:t>
      </w:r>
      <w:r w:rsidR="000824B0" w:rsidRPr="000824B0">
        <w:rPr>
          <w:sz w:val="20"/>
          <w:szCs w:val="20"/>
          <w:lang w:val="es-CO"/>
        </w:rPr>
        <w:t xml:space="preserve"> Mantovani y los sucesivos recursos de casación y extraordinario federal</w:t>
      </w:r>
      <w:r w:rsidR="003B2544" w:rsidRPr="007344A2">
        <w:rPr>
          <w:sz w:val="20"/>
          <w:szCs w:val="20"/>
          <w:lang w:val="es-CO"/>
        </w:rPr>
        <w:t xml:space="preserve"> </w:t>
      </w:r>
      <w:r w:rsidR="000824B0" w:rsidRPr="000824B0">
        <w:rPr>
          <w:sz w:val="20"/>
          <w:szCs w:val="20"/>
          <w:lang w:val="es-CO"/>
        </w:rPr>
        <w:t>interpuestos por su defensa fueron resueltos antes del dictado por parte de la Corte Suprema de Justicia de</w:t>
      </w:r>
      <w:r w:rsidR="003B2544" w:rsidRPr="007344A2">
        <w:rPr>
          <w:sz w:val="20"/>
          <w:szCs w:val="20"/>
          <w:lang w:val="es-CO"/>
        </w:rPr>
        <w:t xml:space="preserve"> l</w:t>
      </w:r>
      <w:r w:rsidR="000824B0" w:rsidRPr="000824B0">
        <w:rPr>
          <w:sz w:val="20"/>
          <w:szCs w:val="20"/>
          <w:lang w:val="es-CO"/>
        </w:rPr>
        <w:t>a Nación del fallo “Casal”, el cual proporcionó una nueva pauta interpretativa respecto de las causales de</w:t>
      </w:r>
      <w:r w:rsidR="003B2544" w:rsidRPr="007344A2">
        <w:rPr>
          <w:sz w:val="20"/>
          <w:szCs w:val="20"/>
          <w:lang w:val="es-CO"/>
        </w:rPr>
        <w:t xml:space="preserve"> </w:t>
      </w:r>
      <w:r w:rsidR="000824B0" w:rsidRPr="000824B0">
        <w:rPr>
          <w:sz w:val="20"/>
          <w:szCs w:val="20"/>
          <w:lang w:val="es-CO"/>
        </w:rPr>
        <w:t>admisibilidad del recurso de casación, ampliando considerablemente el ámbito de aquello que podía ser</w:t>
      </w:r>
      <w:r w:rsidR="003B2544" w:rsidRPr="007344A2">
        <w:rPr>
          <w:sz w:val="20"/>
          <w:szCs w:val="20"/>
          <w:lang w:val="es-CO"/>
        </w:rPr>
        <w:t xml:space="preserve"> </w:t>
      </w:r>
      <w:r w:rsidR="000824B0" w:rsidRPr="000824B0">
        <w:rPr>
          <w:sz w:val="20"/>
          <w:szCs w:val="20"/>
          <w:lang w:val="es-CO"/>
        </w:rPr>
        <w:t>considerado materia de recurso.</w:t>
      </w:r>
      <w:r w:rsidR="003B2544" w:rsidRPr="007344A2">
        <w:rPr>
          <w:sz w:val="20"/>
          <w:szCs w:val="20"/>
          <w:lang w:val="es-CO"/>
        </w:rPr>
        <w:t xml:space="preserve"> </w:t>
      </w:r>
    </w:p>
    <w:p w14:paraId="11D0FCA1" w14:textId="77777777" w:rsidR="003B2544" w:rsidRPr="007344A2" w:rsidRDefault="003B2544" w:rsidP="000824B0">
      <w:pPr>
        <w:pStyle w:val="Default"/>
        <w:jc w:val="both"/>
        <w:rPr>
          <w:sz w:val="20"/>
          <w:szCs w:val="20"/>
          <w:lang w:val="es-CO"/>
        </w:rPr>
      </w:pPr>
    </w:p>
    <w:p w14:paraId="025456A5" w14:textId="1C83BBA7" w:rsidR="00B139F1" w:rsidRPr="007344A2" w:rsidRDefault="00170EB4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tab/>
      </w:r>
      <w:r w:rsidR="000824B0" w:rsidRPr="000824B0">
        <w:rPr>
          <w:sz w:val="20"/>
          <w:szCs w:val="20"/>
          <w:lang w:val="es-CO"/>
        </w:rPr>
        <w:t>De igual forma, la Comisión consider</w:t>
      </w:r>
      <w:r w:rsidR="003B2544" w:rsidRPr="007344A2">
        <w:rPr>
          <w:sz w:val="20"/>
          <w:szCs w:val="20"/>
          <w:lang w:val="es-CO"/>
        </w:rPr>
        <w:t>ó</w:t>
      </w:r>
      <w:r w:rsidR="000824B0" w:rsidRPr="000824B0">
        <w:rPr>
          <w:sz w:val="20"/>
          <w:szCs w:val="20"/>
          <w:lang w:val="es-CO"/>
        </w:rPr>
        <w:t xml:space="preserve"> necesario remarcar que hasta la sanción del Código Procesal</w:t>
      </w:r>
      <w:r w:rsidR="003B2544" w:rsidRPr="007344A2">
        <w:rPr>
          <w:sz w:val="20"/>
          <w:szCs w:val="20"/>
          <w:lang w:val="es-CO"/>
        </w:rPr>
        <w:t xml:space="preserve"> </w:t>
      </w:r>
      <w:r w:rsidR="000824B0" w:rsidRPr="000824B0">
        <w:rPr>
          <w:sz w:val="20"/>
          <w:szCs w:val="20"/>
          <w:lang w:val="es-CO"/>
        </w:rPr>
        <w:t>Penal Federal en diciembre de 2014 - el cual a la fecha aún no ha sido plenamente implementado - no se</w:t>
      </w:r>
      <w:r w:rsidR="003B2544" w:rsidRPr="007344A2">
        <w:rPr>
          <w:sz w:val="20"/>
          <w:szCs w:val="20"/>
          <w:lang w:val="es-CO"/>
        </w:rPr>
        <w:t xml:space="preserve"> </w:t>
      </w:r>
      <w:r w:rsidR="000824B0" w:rsidRPr="000824B0">
        <w:rPr>
          <w:sz w:val="20"/>
          <w:szCs w:val="20"/>
          <w:lang w:val="es-CO"/>
        </w:rPr>
        <w:t>produjeron reformas legales que incorporaran la doctrina del fallo “Casal” al texto de la norma procesal</w:t>
      </w:r>
      <w:r w:rsidR="003B2544" w:rsidRPr="007344A2">
        <w:rPr>
          <w:sz w:val="20"/>
          <w:szCs w:val="20"/>
          <w:lang w:val="es-CO"/>
        </w:rPr>
        <w:t xml:space="preserve"> </w:t>
      </w:r>
      <w:r w:rsidR="000824B0" w:rsidRPr="000824B0">
        <w:rPr>
          <w:sz w:val="20"/>
          <w:szCs w:val="20"/>
          <w:lang w:val="es-CO"/>
        </w:rPr>
        <w:t>penal. Tampoco se dictó provisión normativa alguna que extienda los efectos del fallo “Casal” a aquellos</w:t>
      </w:r>
      <w:r w:rsidR="003B2544" w:rsidRPr="007344A2">
        <w:rPr>
          <w:sz w:val="20"/>
          <w:szCs w:val="20"/>
          <w:lang w:val="es-CO"/>
        </w:rPr>
        <w:t xml:space="preserve"> </w:t>
      </w:r>
      <w:r w:rsidR="000824B0" w:rsidRPr="000824B0">
        <w:rPr>
          <w:sz w:val="20"/>
          <w:szCs w:val="20"/>
          <w:lang w:val="es-CO"/>
        </w:rPr>
        <w:t>procesos ya concluidos con anterioridad a su dictado. En vista de lo anterior, la Comisión observ</w:t>
      </w:r>
      <w:r w:rsidR="003B2544" w:rsidRPr="007344A2">
        <w:rPr>
          <w:sz w:val="20"/>
          <w:szCs w:val="20"/>
          <w:lang w:val="es-CO"/>
        </w:rPr>
        <w:t>ó</w:t>
      </w:r>
      <w:r w:rsidR="000824B0" w:rsidRPr="000824B0">
        <w:rPr>
          <w:sz w:val="20"/>
          <w:szCs w:val="20"/>
          <w:lang w:val="es-CO"/>
        </w:rPr>
        <w:t xml:space="preserve"> que, en</w:t>
      </w:r>
      <w:r w:rsidR="003B2544" w:rsidRPr="007344A2">
        <w:rPr>
          <w:sz w:val="20"/>
          <w:szCs w:val="20"/>
          <w:lang w:val="es-CO"/>
        </w:rPr>
        <w:t xml:space="preserve"> </w:t>
      </w:r>
      <w:r w:rsidR="000824B0" w:rsidRPr="000824B0">
        <w:rPr>
          <w:sz w:val="20"/>
          <w:szCs w:val="20"/>
          <w:lang w:val="es-CO"/>
        </w:rPr>
        <w:t>el presente caso, no resultan aplicables a la situación concreta de la víctima las reformas</w:t>
      </w:r>
      <w:r w:rsidR="003B2544" w:rsidRPr="007344A2">
        <w:rPr>
          <w:sz w:val="20"/>
          <w:szCs w:val="20"/>
          <w:lang w:val="es-CO"/>
        </w:rPr>
        <w:t xml:space="preserve"> </w:t>
      </w:r>
      <w:r w:rsidR="000824B0" w:rsidRPr="007344A2">
        <w:rPr>
          <w:sz w:val="20"/>
          <w:szCs w:val="20"/>
          <w:lang w:val="es-CO"/>
        </w:rPr>
        <w:t xml:space="preserve">normativas y los cambios jurisprudenciales adoptados </w:t>
      </w:r>
      <w:r w:rsidR="003B2544" w:rsidRPr="007344A2">
        <w:rPr>
          <w:sz w:val="20"/>
          <w:szCs w:val="20"/>
          <w:lang w:val="es-CO"/>
        </w:rPr>
        <w:t xml:space="preserve">posteriormente </w:t>
      </w:r>
      <w:r w:rsidR="000824B0" w:rsidRPr="007344A2">
        <w:rPr>
          <w:sz w:val="20"/>
          <w:szCs w:val="20"/>
          <w:lang w:val="es-CO"/>
        </w:rPr>
        <w:t>por el Estado argentino</w:t>
      </w:r>
      <w:r w:rsidR="00B139F1" w:rsidRPr="007344A2">
        <w:rPr>
          <w:sz w:val="20"/>
          <w:szCs w:val="20"/>
          <w:lang w:val="es-CO"/>
        </w:rPr>
        <w:t>.</w:t>
      </w:r>
    </w:p>
    <w:p w14:paraId="3BBFF807" w14:textId="77777777" w:rsidR="007344A2" w:rsidRPr="007344A2" w:rsidRDefault="007344A2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</w:p>
    <w:p w14:paraId="788CAFD6" w14:textId="22A1039D" w:rsidR="00B139F1" w:rsidRPr="007344A2" w:rsidRDefault="00170EB4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lastRenderedPageBreak/>
        <w:tab/>
      </w:r>
      <w:r w:rsidR="00DD0BD9" w:rsidRPr="007344A2">
        <w:rPr>
          <w:sz w:val="20"/>
          <w:szCs w:val="20"/>
          <w:lang w:val="es-CO"/>
        </w:rPr>
        <w:t>L</w:t>
      </w:r>
      <w:r w:rsidR="00DD0BD9" w:rsidRPr="00DD0BD9">
        <w:rPr>
          <w:sz w:val="20"/>
          <w:szCs w:val="20"/>
          <w:lang w:val="es-CO"/>
        </w:rPr>
        <w:t xml:space="preserve">a Comisión </w:t>
      </w:r>
      <w:r w:rsidR="00DD0BD9" w:rsidRPr="007344A2">
        <w:rPr>
          <w:sz w:val="20"/>
          <w:szCs w:val="20"/>
          <w:lang w:val="es-CO"/>
        </w:rPr>
        <w:t xml:space="preserve">señaló que </w:t>
      </w:r>
      <w:r w:rsidR="00DD0BD9" w:rsidRPr="00DD0BD9">
        <w:rPr>
          <w:sz w:val="20"/>
          <w:szCs w:val="20"/>
          <w:lang w:val="es-CO"/>
        </w:rPr>
        <w:t>entiende que la limitación normativa existente en el Código Procesal</w:t>
      </w:r>
      <w:r w:rsidR="00DD0BD9" w:rsidRPr="007344A2">
        <w:rPr>
          <w:sz w:val="20"/>
          <w:szCs w:val="20"/>
          <w:lang w:val="es-CO"/>
        </w:rPr>
        <w:t xml:space="preserve"> </w:t>
      </w:r>
      <w:r w:rsidR="00DD0BD9" w:rsidRPr="00DD0BD9">
        <w:rPr>
          <w:sz w:val="20"/>
          <w:szCs w:val="20"/>
          <w:lang w:val="es-CO"/>
        </w:rPr>
        <w:t>Penal de la Nación para la procedencia del recurso de casación ante una sentencia condenatoria vigente al</w:t>
      </w:r>
      <w:r w:rsidR="005917FB" w:rsidRPr="007344A2">
        <w:rPr>
          <w:sz w:val="20"/>
          <w:szCs w:val="20"/>
          <w:lang w:val="es-CO"/>
        </w:rPr>
        <w:t xml:space="preserve"> </w:t>
      </w:r>
      <w:r w:rsidR="00DD0BD9" w:rsidRPr="00DD0BD9">
        <w:rPr>
          <w:sz w:val="20"/>
          <w:szCs w:val="20"/>
          <w:lang w:val="es-CO"/>
        </w:rPr>
        <w:t xml:space="preserve">momento de los hechos imposibilitó, en el caso concreto, que el </w:t>
      </w:r>
      <w:r w:rsidR="005917FB" w:rsidRPr="007344A2">
        <w:rPr>
          <w:sz w:val="20"/>
          <w:szCs w:val="20"/>
          <w:lang w:val="es-CO"/>
        </w:rPr>
        <w:t xml:space="preserve">señor </w:t>
      </w:r>
      <w:r w:rsidR="00DD0BD9" w:rsidRPr="00DD0BD9">
        <w:rPr>
          <w:sz w:val="20"/>
          <w:szCs w:val="20"/>
          <w:lang w:val="es-CO"/>
        </w:rPr>
        <w:t>Mantovani pudiera ejercer su derech</w:t>
      </w:r>
      <w:r w:rsidR="005917FB" w:rsidRPr="007344A2">
        <w:rPr>
          <w:sz w:val="20"/>
          <w:szCs w:val="20"/>
          <w:lang w:val="es-CO"/>
        </w:rPr>
        <w:t xml:space="preserve">o </w:t>
      </w:r>
      <w:r w:rsidR="00DD0BD9" w:rsidRPr="007344A2">
        <w:rPr>
          <w:sz w:val="20"/>
          <w:szCs w:val="20"/>
          <w:lang w:val="es-CO"/>
        </w:rPr>
        <w:t>a la revisión integral de la decisión judicial dictada por el tribunal de primera instancia.</w:t>
      </w:r>
    </w:p>
    <w:p w14:paraId="57D80991" w14:textId="77777777" w:rsidR="00DD0BD9" w:rsidRPr="007344A2" w:rsidRDefault="00DD0BD9" w:rsidP="00B139F1">
      <w:pPr>
        <w:pStyle w:val="Default"/>
        <w:jc w:val="both"/>
        <w:rPr>
          <w:sz w:val="20"/>
          <w:szCs w:val="20"/>
          <w:lang w:val="es-CO"/>
        </w:rPr>
      </w:pPr>
    </w:p>
    <w:p w14:paraId="28DEE124" w14:textId="44D2B7B2" w:rsidR="007344A2" w:rsidRPr="007344A2" w:rsidRDefault="00170EB4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tab/>
      </w:r>
      <w:r w:rsidR="00321347" w:rsidRPr="007344A2">
        <w:rPr>
          <w:sz w:val="20"/>
          <w:szCs w:val="20"/>
          <w:lang w:val="es-CO"/>
        </w:rPr>
        <w:t>L</w:t>
      </w:r>
      <w:r w:rsidR="00321347" w:rsidRPr="00321347">
        <w:rPr>
          <w:sz w:val="20"/>
          <w:szCs w:val="20"/>
          <w:lang w:val="es-CO"/>
        </w:rPr>
        <w:t>a Comisión destac</w:t>
      </w:r>
      <w:r w:rsidR="00321347" w:rsidRPr="007344A2">
        <w:rPr>
          <w:sz w:val="20"/>
          <w:szCs w:val="20"/>
          <w:lang w:val="es-CO"/>
        </w:rPr>
        <w:t>ó</w:t>
      </w:r>
      <w:r w:rsidR="00321347" w:rsidRPr="00321347">
        <w:rPr>
          <w:sz w:val="20"/>
          <w:szCs w:val="20"/>
          <w:lang w:val="es-CO"/>
        </w:rPr>
        <w:t xml:space="preserve"> que un análisis comparativo de los agravios planteados por</w:t>
      </w:r>
      <w:r w:rsidR="00321347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 xml:space="preserve">la defensa del </w:t>
      </w:r>
      <w:r w:rsidR="00CC3646">
        <w:rPr>
          <w:sz w:val="20"/>
          <w:szCs w:val="20"/>
          <w:lang w:val="es-CO"/>
        </w:rPr>
        <w:t>señor</w:t>
      </w:r>
      <w:r w:rsidR="00321347" w:rsidRPr="00321347">
        <w:rPr>
          <w:sz w:val="20"/>
          <w:szCs w:val="20"/>
          <w:lang w:val="es-CO"/>
        </w:rPr>
        <w:t xml:space="preserve"> Mantovani y de las respuestas brindadas a ellos por parte de los tribunales de alzada,</w:t>
      </w:r>
      <w:r w:rsidR="007C3BF7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>especialmente por la Cámara de Casación, reafirman la responsabilidad internacional del Estado por la</w:t>
      </w:r>
      <w:r w:rsidR="007C3BF7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>violación del derecho a la revisión integral de la condena.</w:t>
      </w:r>
      <w:r w:rsidR="007C3BF7" w:rsidRPr="007344A2">
        <w:rPr>
          <w:sz w:val="20"/>
          <w:szCs w:val="20"/>
          <w:lang w:val="es-CO"/>
        </w:rPr>
        <w:t xml:space="preserve"> </w:t>
      </w:r>
    </w:p>
    <w:p w14:paraId="25181AF6" w14:textId="77777777" w:rsidR="007344A2" w:rsidRPr="007344A2" w:rsidRDefault="007344A2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</w:p>
    <w:p w14:paraId="52BCFC94" w14:textId="4C7A06DD" w:rsidR="00321347" w:rsidRPr="007344A2" w:rsidRDefault="007344A2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tab/>
      </w:r>
      <w:r w:rsidR="00321347" w:rsidRPr="00321347">
        <w:rPr>
          <w:sz w:val="20"/>
          <w:szCs w:val="20"/>
          <w:lang w:val="es-CO"/>
        </w:rPr>
        <w:t xml:space="preserve">En efecto, </w:t>
      </w:r>
      <w:r w:rsidR="007C3BF7" w:rsidRPr="007344A2">
        <w:rPr>
          <w:sz w:val="20"/>
          <w:szCs w:val="20"/>
          <w:lang w:val="es-CO"/>
        </w:rPr>
        <w:t xml:space="preserve">la Comisión notó que </w:t>
      </w:r>
      <w:r w:rsidR="00321347" w:rsidRPr="00321347">
        <w:rPr>
          <w:sz w:val="20"/>
          <w:szCs w:val="20"/>
          <w:lang w:val="es-CO"/>
        </w:rPr>
        <w:t>el principal punto planteado por la defensa en su recurso de casación</w:t>
      </w:r>
      <w:r w:rsidR="007C3BF7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>estuvo enfocado en cuestionar la conclusión a la que arribó el Tribunal de Juicio respecto de la existencia</w:t>
      </w:r>
      <w:r w:rsidR="007C3BF7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>de un perjuicio patrimonial a la empresa “Food Shop S.A” de la cual ejercía su administración patrimonial</w:t>
      </w:r>
      <w:r w:rsidR="007C3BF7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>en su carácter de presidente de la sociedad</w:t>
      </w:r>
      <w:r w:rsidR="007C3BF7" w:rsidRPr="007344A2">
        <w:rPr>
          <w:sz w:val="20"/>
          <w:szCs w:val="20"/>
          <w:lang w:val="es-CO"/>
        </w:rPr>
        <w:t xml:space="preserve"> y que </w:t>
      </w:r>
      <w:r w:rsidR="00321347" w:rsidRPr="00321347">
        <w:rPr>
          <w:sz w:val="20"/>
          <w:szCs w:val="20"/>
          <w:lang w:val="es-CO"/>
        </w:rPr>
        <w:t>mencionó las declaraciones testimoniales de tres trabajadores</w:t>
      </w:r>
      <w:r w:rsidR="00CC3646">
        <w:rPr>
          <w:sz w:val="20"/>
          <w:szCs w:val="20"/>
          <w:lang w:val="es-CO"/>
        </w:rPr>
        <w:t xml:space="preserve">, </w:t>
      </w:r>
      <w:r w:rsidR="00321347" w:rsidRPr="00321347">
        <w:rPr>
          <w:sz w:val="20"/>
          <w:szCs w:val="20"/>
          <w:lang w:val="es-CO"/>
        </w:rPr>
        <w:t xml:space="preserve">quienes habrían observado al </w:t>
      </w:r>
      <w:r w:rsidR="00CC3646">
        <w:rPr>
          <w:sz w:val="20"/>
          <w:szCs w:val="20"/>
          <w:lang w:val="es-CO"/>
        </w:rPr>
        <w:t>señor</w:t>
      </w:r>
      <w:r w:rsidR="00321347" w:rsidRPr="00321347">
        <w:rPr>
          <w:sz w:val="20"/>
          <w:szCs w:val="20"/>
          <w:lang w:val="es-CO"/>
        </w:rPr>
        <w:t xml:space="preserve"> Quiroga ingresar a las instalaciones de la empresa y que dieron fe de</w:t>
      </w:r>
      <w:r w:rsidR="00404088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>que ese trabajador tenía conocimientos en materia de mantenimiento de cámaras refrigerantes. Sin</w:t>
      </w:r>
      <w:r w:rsidR="00404088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>embargo, la Sala I de la Cámara de Casación no valoró dichos testimonios ni expresó los motivos por los</w:t>
      </w:r>
      <w:r w:rsidR="00404088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>cuales las versiones entregadas por ellos no eran aptas para modificar la conclusión a la que había arribado</w:t>
      </w:r>
      <w:r w:rsidR="00404088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>el tribunal de juicio que pronunció la sentencia condenatoria.</w:t>
      </w:r>
    </w:p>
    <w:p w14:paraId="0BFED937" w14:textId="77777777" w:rsidR="00404088" w:rsidRPr="00321347" w:rsidRDefault="00404088" w:rsidP="00321347">
      <w:pPr>
        <w:pStyle w:val="Default"/>
        <w:jc w:val="both"/>
        <w:rPr>
          <w:sz w:val="20"/>
          <w:szCs w:val="20"/>
          <w:lang w:val="es-CO"/>
        </w:rPr>
      </w:pPr>
    </w:p>
    <w:p w14:paraId="6ACE5A93" w14:textId="17B201D0" w:rsidR="00321347" w:rsidRPr="007344A2" w:rsidRDefault="00170EB4" w:rsidP="00170EB4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tab/>
      </w:r>
      <w:r w:rsidR="00321347" w:rsidRPr="00321347">
        <w:rPr>
          <w:sz w:val="20"/>
          <w:szCs w:val="20"/>
          <w:lang w:val="es-CO"/>
        </w:rPr>
        <w:t>Por el contrario, la Comisión destac</w:t>
      </w:r>
      <w:r w:rsidR="00404088" w:rsidRPr="007344A2">
        <w:rPr>
          <w:sz w:val="20"/>
          <w:szCs w:val="20"/>
          <w:lang w:val="es-CO"/>
        </w:rPr>
        <w:t xml:space="preserve">ó </w:t>
      </w:r>
      <w:r w:rsidR="00321347" w:rsidRPr="00321347">
        <w:rPr>
          <w:sz w:val="20"/>
          <w:szCs w:val="20"/>
          <w:lang w:val="es-CO"/>
        </w:rPr>
        <w:t>que, tanto en su decisión de fecha 27 de junio de 2002 que</w:t>
      </w:r>
      <w:r w:rsidR="00404088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>desestimó el recurso de queja por denegación del recurso de casación como en su sentencia de fecha 22 de</w:t>
      </w:r>
      <w:r w:rsidR="00404088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>agosto de 2002 que declaró “inadmisible” el recurso extraordinario federal, la Sala I de la Cámara de</w:t>
      </w:r>
      <w:r w:rsidR="00404088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>Casación se limitó a reproducir extensos pasajes de la sentencia de primera instancia sin expresar con</w:t>
      </w:r>
      <w:r w:rsidR="00404088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>claridad los motivos por los cuales coincidía con ella. La CIDH consider</w:t>
      </w:r>
      <w:r w:rsidR="00404088" w:rsidRPr="007344A2">
        <w:rPr>
          <w:sz w:val="20"/>
          <w:szCs w:val="20"/>
          <w:lang w:val="es-CO"/>
        </w:rPr>
        <w:t>ó</w:t>
      </w:r>
      <w:r w:rsidR="00321347" w:rsidRPr="00321347">
        <w:rPr>
          <w:sz w:val="20"/>
          <w:szCs w:val="20"/>
          <w:lang w:val="es-CO"/>
        </w:rPr>
        <w:t xml:space="preserve"> que este curso de acción adoptado</w:t>
      </w:r>
      <w:r w:rsidR="00404088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 xml:space="preserve">por el tribunal que estaba llamado a controlar la sentencia de primera instancia afectó el derecho del </w:t>
      </w:r>
      <w:r w:rsidR="00CC3646">
        <w:rPr>
          <w:sz w:val="20"/>
          <w:szCs w:val="20"/>
          <w:lang w:val="es-CO"/>
        </w:rPr>
        <w:t>señor</w:t>
      </w:r>
      <w:r w:rsidR="00404088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>Mantovani a la revisión integral de la sentencia condenatoria toda vez que impidió que sus agravios sean</w:t>
      </w:r>
      <w:r w:rsidR="00404088" w:rsidRPr="007344A2">
        <w:rPr>
          <w:sz w:val="20"/>
          <w:szCs w:val="20"/>
          <w:lang w:val="es-CO"/>
        </w:rPr>
        <w:t xml:space="preserve"> </w:t>
      </w:r>
      <w:r w:rsidR="00321347" w:rsidRPr="00321347">
        <w:rPr>
          <w:sz w:val="20"/>
          <w:szCs w:val="20"/>
          <w:lang w:val="es-CO"/>
        </w:rPr>
        <w:t>analizados con la profundidad, máxime cuando cuestionaban la existencia misma del hecho materia de</w:t>
      </w:r>
      <w:r w:rsidR="00404088" w:rsidRPr="007344A2">
        <w:rPr>
          <w:sz w:val="20"/>
          <w:szCs w:val="20"/>
          <w:lang w:val="es-CO"/>
        </w:rPr>
        <w:t xml:space="preserve"> </w:t>
      </w:r>
      <w:r w:rsidR="00321347" w:rsidRPr="007344A2">
        <w:rPr>
          <w:sz w:val="20"/>
          <w:szCs w:val="20"/>
          <w:lang w:val="es-CO"/>
        </w:rPr>
        <w:t xml:space="preserve">reproche penal. </w:t>
      </w:r>
    </w:p>
    <w:p w14:paraId="11D7C2E0" w14:textId="77777777" w:rsidR="00404088" w:rsidRPr="007344A2" w:rsidRDefault="00404088" w:rsidP="00321347">
      <w:pPr>
        <w:pStyle w:val="Default"/>
        <w:jc w:val="both"/>
        <w:rPr>
          <w:sz w:val="20"/>
          <w:szCs w:val="20"/>
          <w:lang w:val="es-CO"/>
        </w:rPr>
      </w:pPr>
    </w:p>
    <w:p w14:paraId="33A34035" w14:textId="7947A703" w:rsidR="00B139F1" w:rsidRPr="007344A2" w:rsidRDefault="00170EB4" w:rsidP="00170EB4">
      <w:pPr>
        <w:pStyle w:val="Default"/>
        <w:tabs>
          <w:tab w:val="left" w:pos="540"/>
        </w:tabs>
        <w:ind w:right="20"/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tab/>
      </w:r>
      <w:r w:rsidR="00A900F2" w:rsidRPr="00A900F2">
        <w:rPr>
          <w:sz w:val="20"/>
          <w:szCs w:val="20"/>
          <w:lang w:val="es-CO"/>
        </w:rPr>
        <w:t xml:space="preserve">Finalmente, la Comisión </w:t>
      </w:r>
      <w:r w:rsidR="00A900F2" w:rsidRPr="007344A2">
        <w:rPr>
          <w:sz w:val="20"/>
          <w:szCs w:val="20"/>
          <w:lang w:val="es-CO"/>
        </w:rPr>
        <w:t xml:space="preserve">notó </w:t>
      </w:r>
      <w:r w:rsidR="00A900F2" w:rsidRPr="00A900F2">
        <w:rPr>
          <w:sz w:val="20"/>
          <w:szCs w:val="20"/>
          <w:lang w:val="es-CO"/>
        </w:rPr>
        <w:t xml:space="preserve">que los esfuerzos realizados por la defensa del </w:t>
      </w:r>
      <w:r w:rsidR="00D84746">
        <w:rPr>
          <w:sz w:val="20"/>
          <w:szCs w:val="20"/>
          <w:lang w:val="es-CO"/>
        </w:rPr>
        <w:t>señor</w:t>
      </w:r>
      <w:r w:rsidR="00A900F2" w:rsidRPr="00A900F2">
        <w:rPr>
          <w:sz w:val="20"/>
          <w:szCs w:val="20"/>
          <w:lang w:val="es-CO"/>
        </w:rPr>
        <w:t xml:space="preserve"> Mantovani</w:t>
      </w:r>
      <w:r w:rsidR="00A900F2" w:rsidRPr="007344A2">
        <w:rPr>
          <w:sz w:val="20"/>
          <w:szCs w:val="20"/>
          <w:lang w:val="es-CO"/>
        </w:rPr>
        <w:t xml:space="preserve"> </w:t>
      </w:r>
      <w:r w:rsidR="00A900F2" w:rsidRPr="00A900F2">
        <w:rPr>
          <w:sz w:val="20"/>
          <w:szCs w:val="20"/>
          <w:lang w:val="es-CO"/>
        </w:rPr>
        <w:t>destinados</w:t>
      </w:r>
      <w:r w:rsidR="00A900F2" w:rsidRPr="007344A2">
        <w:rPr>
          <w:sz w:val="20"/>
          <w:szCs w:val="20"/>
          <w:lang w:val="es-CO"/>
        </w:rPr>
        <w:t xml:space="preserve"> </w:t>
      </w:r>
      <w:r w:rsidR="00A900F2" w:rsidRPr="00A900F2">
        <w:rPr>
          <w:sz w:val="20"/>
          <w:szCs w:val="20"/>
          <w:lang w:val="es-CO"/>
        </w:rPr>
        <w:t>a que la Corte Suprema de Justicia de la Nación corrija el procedimiento y arbitre los medios</w:t>
      </w:r>
      <w:r w:rsidR="00A900F2" w:rsidRPr="007344A2">
        <w:rPr>
          <w:sz w:val="20"/>
          <w:szCs w:val="20"/>
          <w:lang w:val="es-CO"/>
        </w:rPr>
        <w:t xml:space="preserve"> </w:t>
      </w:r>
      <w:r w:rsidR="00A900F2" w:rsidRPr="00A900F2">
        <w:rPr>
          <w:sz w:val="20"/>
          <w:szCs w:val="20"/>
          <w:lang w:val="es-CO"/>
        </w:rPr>
        <w:t>para garantizar el derecho a la revisión integral de la sentencia no arrojaron resultados positivos. Ello fue</w:t>
      </w:r>
      <w:r w:rsidR="00A900F2" w:rsidRPr="007344A2">
        <w:rPr>
          <w:sz w:val="20"/>
          <w:szCs w:val="20"/>
          <w:lang w:val="es-CO"/>
        </w:rPr>
        <w:t xml:space="preserve"> </w:t>
      </w:r>
      <w:r w:rsidR="00A900F2" w:rsidRPr="00A900F2">
        <w:rPr>
          <w:sz w:val="20"/>
          <w:szCs w:val="20"/>
          <w:lang w:val="es-CO"/>
        </w:rPr>
        <w:t>así toda vez que, a pesar de que la defensa planteó y fundamentó la existencia de una cuestión federal que</w:t>
      </w:r>
      <w:r w:rsidR="00A900F2" w:rsidRPr="007344A2">
        <w:rPr>
          <w:sz w:val="20"/>
          <w:szCs w:val="20"/>
          <w:lang w:val="es-CO"/>
        </w:rPr>
        <w:t xml:space="preserve"> </w:t>
      </w:r>
      <w:r w:rsidR="00A900F2" w:rsidRPr="00A900F2">
        <w:rPr>
          <w:sz w:val="20"/>
          <w:szCs w:val="20"/>
          <w:lang w:val="es-CO"/>
        </w:rPr>
        <w:t>ameritaría la intervención del máximo tribunal nacional, la Corte Suprema, en aplicación del artículo 280</w:t>
      </w:r>
      <w:r w:rsidR="00A900F2" w:rsidRPr="007344A2">
        <w:rPr>
          <w:sz w:val="20"/>
          <w:szCs w:val="20"/>
          <w:lang w:val="es-CO"/>
        </w:rPr>
        <w:t xml:space="preserve"> </w:t>
      </w:r>
      <w:r w:rsidR="00A900F2" w:rsidRPr="00A900F2">
        <w:rPr>
          <w:sz w:val="20"/>
          <w:szCs w:val="20"/>
          <w:lang w:val="es-CO"/>
        </w:rPr>
        <w:t xml:space="preserve">del Código Civil y Comercial de la Nación, decidió desestimar </w:t>
      </w:r>
      <w:r w:rsidR="00A900F2" w:rsidRPr="00A900F2">
        <w:rPr>
          <w:i/>
          <w:iCs/>
          <w:sz w:val="20"/>
          <w:szCs w:val="20"/>
          <w:lang w:val="es-CO"/>
        </w:rPr>
        <w:t xml:space="preserve">in limine </w:t>
      </w:r>
      <w:r w:rsidR="00A900F2" w:rsidRPr="00A900F2">
        <w:rPr>
          <w:sz w:val="20"/>
          <w:szCs w:val="20"/>
          <w:lang w:val="es-CO"/>
        </w:rPr>
        <w:t>el recurso de queja por denegación</w:t>
      </w:r>
      <w:r w:rsidR="00A900F2" w:rsidRPr="007344A2">
        <w:rPr>
          <w:sz w:val="20"/>
          <w:szCs w:val="20"/>
          <w:lang w:val="es-CO"/>
        </w:rPr>
        <w:t xml:space="preserve"> </w:t>
      </w:r>
      <w:r w:rsidR="00A900F2" w:rsidRPr="00A900F2">
        <w:rPr>
          <w:sz w:val="20"/>
          <w:szCs w:val="20"/>
          <w:lang w:val="es-CO"/>
        </w:rPr>
        <w:t>del recuso extraordinario federal interpuesto sin ingresar en su estudio.</w:t>
      </w:r>
      <w:r w:rsidRPr="007344A2">
        <w:rPr>
          <w:sz w:val="20"/>
          <w:szCs w:val="20"/>
          <w:lang w:val="es-CO"/>
        </w:rPr>
        <w:t xml:space="preserve"> </w:t>
      </w:r>
      <w:r w:rsidR="00A900F2" w:rsidRPr="00A900F2">
        <w:rPr>
          <w:sz w:val="20"/>
          <w:szCs w:val="20"/>
          <w:lang w:val="es-CO"/>
        </w:rPr>
        <w:t>En consecuencia, la Comisión consider</w:t>
      </w:r>
      <w:r w:rsidR="00A900F2" w:rsidRPr="007344A2">
        <w:rPr>
          <w:sz w:val="20"/>
          <w:szCs w:val="20"/>
          <w:lang w:val="es-CO"/>
        </w:rPr>
        <w:t xml:space="preserve">ó </w:t>
      </w:r>
      <w:r w:rsidR="00A900F2" w:rsidRPr="00A900F2">
        <w:rPr>
          <w:sz w:val="20"/>
          <w:szCs w:val="20"/>
          <w:lang w:val="es-CO"/>
        </w:rPr>
        <w:t>que con esta decisión se clausuró cualquier posibilidad de que la</w:t>
      </w:r>
      <w:r w:rsidR="00A900F2" w:rsidRPr="007344A2">
        <w:rPr>
          <w:sz w:val="20"/>
          <w:szCs w:val="20"/>
          <w:lang w:val="es-CO"/>
        </w:rPr>
        <w:t xml:space="preserve"> </w:t>
      </w:r>
      <w:r w:rsidR="00A900F2" w:rsidRPr="00A900F2">
        <w:rPr>
          <w:sz w:val="20"/>
          <w:szCs w:val="20"/>
          <w:lang w:val="es-CO"/>
        </w:rPr>
        <w:t>víctima de este caso pudiera acceder a una revisión integral de su sentencia condenatoria y que,</w:t>
      </w:r>
      <w:r w:rsidR="00A900F2" w:rsidRPr="007344A2">
        <w:rPr>
          <w:sz w:val="20"/>
          <w:szCs w:val="20"/>
          <w:lang w:val="es-CO"/>
        </w:rPr>
        <w:t xml:space="preserve"> en particular, obtuviera una respuesta a los planteos que habían efectuado sus defensores.</w:t>
      </w:r>
    </w:p>
    <w:p w14:paraId="78DD676A" w14:textId="77777777" w:rsidR="00A900F2" w:rsidRPr="007344A2" w:rsidRDefault="00A900F2" w:rsidP="00A900F2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Cambria" w:eastAsiaTheme="minorHAnsi" w:hAnsi="Cambria" w:cs="Cambria"/>
          <w:color w:val="000000"/>
          <w:sz w:val="20"/>
          <w:szCs w:val="20"/>
          <w:lang w:val="es-CO"/>
          <w14:ligatures w14:val="standardContextual"/>
        </w:rPr>
      </w:pPr>
    </w:p>
    <w:p w14:paraId="4BB53DE4" w14:textId="6C609B74" w:rsidR="00B139F1" w:rsidRPr="007344A2" w:rsidRDefault="00A900F2" w:rsidP="00A900F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right="20"/>
        <w:jc w:val="both"/>
        <w:rPr>
          <w:rFonts w:ascii="Cambria" w:eastAsiaTheme="minorHAnsi" w:hAnsi="Cambria" w:cs="Cambria"/>
          <w:color w:val="000000"/>
          <w:sz w:val="20"/>
          <w:szCs w:val="20"/>
          <w:lang w:val="es-CO"/>
          <w14:ligatures w14:val="standardContextual"/>
        </w:rPr>
      </w:pPr>
      <w:r w:rsidRPr="007344A2">
        <w:rPr>
          <w:rFonts w:ascii="Cambria" w:eastAsiaTheme="minorHAnsi" w:hAnsi="Cambria" w:cs="Cambria"/>
          <w:color w:val="000000"/>
          <w:sz w:val="20"/>
          <w:szCs w:val="20"/>
          <w:lang w:val="es-CO"/>
          <w14:ligatures w14:val="standardContextual"/>
        </w:rPr>
        <w:tab/>
      </w:r>
      <w:r w:rsidR="00B139F1" w:rsidRPr="007344A2">
        <w:rPr>
          <w:rFonts w:ascii="Cambria" w:eastAsiaTheme="minorHAnsi" w:hAnsi="Cambria" w:cs="Cambria"/>
          <w:color w:val="000000"/>
          <w:sz w:val="20"/>
          <w:szCs w:val="20"/>
          <w:lang w:val="es-CO"/>
          <w14:ligatures w14:val="standardContextual"/>
        </w:rPr>
        <w:t>Con base a las consideraciones de hecho y de derecho la Comisión concluyó que el Estado argentino es responsable por la violación de los derechos a recurrir el fallo y a la protección judicial consagrados en los artículos 8.2.h y 25.1 de la Convención Americana, respectivamente, en relación con las obligaciones establecidas en los artículos 1.1 y 2 del mismo instrumento, en perjuicio de Hugo Loris Mantovani</w:t>
      </w:r>
      <w:r w:rsidR="00B139F1" w:rsidRPr="007344A2">
        <w:rPr>
          <w:rFonts w:ascii="Cambria" w:eastAsiaTheme="minorHAnsi" w:hAnsi="Cambria" w:cs="Cambria"/>
          <w:sz w:val="20"/>
          <w:szCs w:val="20"/>
          <w:lang w:val="es-CO"/>
          <w14:ligatures w14:val="standardContextual"/>
        </w:rPr>
        <w:t>.</w:t>
      </w:r>
    </w:p>
    <w:p w14:paraId="0E3AC17D" w14:textId="77777777" w:rsidR="00B139F1" w:rsidRPr="007344A2" w:rsidRDefault="00B139F1" w:rsidP="00A90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jc w:val="both"/>
        <w:rPr>
          <w:rFonts w:ascii="Cambria" w:eastAsia="Cambria" w:hAnsi="Cambria" w:cs="Cambria"/>
          <w:sz w:val="20"/>
          <w:szCs w:val="20"/>
          <w:lang w:val="es-CO"/>
        </w:rPr>
      </w:pPr>
    </w:p>
    <w:p w14:paraId="7F1DA163" w14:textId="77777777" w:rsidR="00B139F1" w:rsidRPr="007344A2" w:rsidRDefault="00B139F1" w:rsidP="00A900F2">
      <w:pPr>
        <w:tabs>
          <w:tab w:val="left" w:pos="540"/>
        </w:tabs>
        <w:spacing w:after="0" w:line="240" w:lineRule="auto"/>
        <w:ind w:right="20"/>
        <w:jc w:val="both"/>
        <w:rPr>
          <w:rFonts w:ascii="Cambria" w:hAnsi="Cambria"/>
          <w:sz w:val="20"/>
          <w:szCs w:val="20"/>
          <w:lang w:val="es-CO"/>
        </w:rPr>
      </w:pPr>
      <w:r w:rsidRPr="007344A2">
        <w:rPr>
          <w:rFonts w:ascii="Cambria" w:hAnsi="Cambria"/>
          <w:sz w:val="20"/>
          <w:szCs w:val="20"/>
          <w:lang w:val="es-CO"/>
        </w:rPr>
        <w:tab/>
        <w:t>El Estado argentino depositó el instrumento de ratificación de la Convención Americana sobre Derechos Humanos y aceptó la competencia contenciosa de la Corte Interamericana el 5 de septiembre de 1984.</w:t>
      </w:r>
    </w:p>
    <w:p w14:paraId="2EC55006" w14:textId="77777777" w:rsidR="00B139F1" w:rsidRPr="007344A2" w:rsidRDefault="00B139F1" w:rsidP="00A900F2">
      <w:pPr>
        <w:pStyle w:val="parrafos"/>
        <w:tabs>
          <w:tab w:val="left" w:pos="360"/>
        </w:tabs>
        <w:ind w:right="20"/>
        <w:rPr>
          <w:rFonts w:cs="Calibri"/>
          <w:sz w:val="16"/>
          <w:szCs w:val="16"/>
          <w:lang w:val="es-CO"/>
        </w:rPr>
      </w:pPr>
    </w:p>
    <w:p w14:paraId="629BAFCC" w14:textId="77777777" w:rsidR="00B139F1" w:rsidRPr="007344A2" w:rsidRDefault="00B139F1" w:rsidP="00A900F2">
      <w:pPr>
        <w:pStyle w:val="parrafos"/>
        <w:tabs>
          <w:tab w:val="left" w:pos="540"/>
        </w:tabs>
        <w:ind w:right="20"/>
        <w:rPr>
          <w:lang w:val="es-CO"/>
        </w:rPr>
      </w:pPr>
      <w:r w:rsidRPr="007344A2">
        <w:rPr>
          <w:rFonts w:cs="Calibri"/>
          <w:lang w:val="es-CO"/>
        </w:rPr>
        <w:tab/>
        <w:t xml:space="preserve">La Comisión ha designado al Comisionado Stuardo Ralón </w:t>
      </w:r>
      <w:r w:rsidRPr="007344A2">
        <w:rPr>
          <w:lang w:val="es-CO"/>
        </w:rPr>
        <w:t>y a la Secretaria Ejecutiva, Tania Reneaum Panszi, como su delegado y delegada. Asimismo, Jorge Meza Flores, Secretario Ejecutivo Adjunto, Cristina Blanco, coordinadora de la sección de casos e Ignacio Bollier, especialista de la Secretaría Ejecutiva de la CIDH, actuarán como asesores legales.</w:t>
      </w:r>
    </w:p>
    <w:p w14:paraId="09B4191A" w14:textId="77777777" w:rsidR="00B139F1" w:rsidRPr="007344A2" w:rsidRDefault="00B139F1" w:rsidP="00B139F1">
      <w:pPr>
        <w:pStyle w:val="parrafos"/>
        <w:tabs>
          <w:tab w:val="left" w:pos="360"/>
        </w:tabs>
        <w:rPr>
          <w:sz w:val="16"/>
          <w:szCs w:val="16"/>
          <w:lang w:val="es-CO"/>
        </w:rPr>
      </w:pPr>
    </w:p>
    <w:p w14:paraId="5D33B4D0" w14:textId="6AFC1E4D" w:rsidR="00B139F1" w:rsidRPr="007344A2" w:rsidRDefault="00B139F1" w:rsidP="00B139F1">
      <w:pPr>
        <w:tabs>
          <w:tab w:val="left" w:pos="540"/>
        </w:tabs>
        <w:spacing w:after="0" w:line="240" w:lineRule="auto"/>
        <w:jc w:val="both"/>
        <w:rPr>
          <w:rFonts w:ascii="Cambria" w:hAnsi="Cambria" w:cs="Calibri"/>
          <w:color w:val="000000"/>
          <w:sz w:val="20"/>
          <w:szCs w:val="20"/>
          <w:lang w:val="es-CO"/>
        </w:rPr>
      </w:pPr>
      <w:r w:rsidRPr="007344A2">
        <w:rPr>
          <w:rFonts w:ascii="Cambria" w:hAnsi="Cambria" w:cs="Calibri"/>
          <w:color w:val="000000"/>
          <w:sz w:val="20"/>
          <w:szCs w:val="20"/>
          <w:lang w:val="es-CO"/>
        </w:rPr>
        <w:tab/>
        <w:t xml:space="preserve">De conformidad con el artículo 35 del Reglamento de la Corte Interamericana, la Comisión adjunta copia del Informe de </w:t>
      </w:r>
      <w:r w:rsidR="006108C3" w:rsidRPr="007344A2">
        <w:rPr>
          <w:rFonts w:ascii="Cambria" w:hAnsi="Cambria" w:cs="Calibri"/>
          <w:color w:val="000000"/>
          <w:sz w:val="20"/>
          <w:szCs w:val="20"/>
          <w:lang w:val="es-CO"/>
        </w:rPr>
        <w:t xml:space="preserve">Admisibilidad y </w:t>
      </w:r>
      <w:r w:rsidRPr="007344A2">
        <w:rPr>
          <w:rFonts w:ascii="Cambria" w:hAnsi="Cambria" w:cs="Calibri"/>
          <w:color w:val="000000"/>
          <w:sz w:val="20"/>
          <w:szCs w:val="20"/>
          <w:lang w:val="es-CO"/>
        </w:rPr>
        <w:t xml:space="preserve">Fondo No. </w:t>
      </w:r>
      <w:r w:rsidR="006108C3" w:rsidRPr="007344A2">
        <w:rPr>
          <w:rFonts w:ascii="Cambria" w:hAnsi="Cambria" w:cs="Calibri"/>
          <w:color w:val="000000"/>
          <w:sz w:val="20"/>
          <w:szCs w:val="20"/>
          <w:lang w:val="es-CO"/>
        </w:rPr>
        <w:t>149</w:t>
      </w:r>
      <w:r w:rsidRPr="007344A2">
        <w:rPr>
          <w:rFonts w:ascii="Cambria" w:hAnsi="Cambria" w:cs="Calibri"/>
          <w:color w:val="000000"/>
          <w:sz w:val="20"/>
          <w:szCs w:val="20"/>
          <w:lang w:val="es-CO"/>
        </w:rPr>
        <w:t>/2</w:t>
      </w:r>
      <w:r w:rsidR="006108C3" w:rsidRPr="007344A2">
        <w:rPr>
          <w:rFonts w:ascii="Cambria" w:hAnsi="Cambria" w:cs="Calibri"/>
          <w:color w:val="000000"/>
          <w:sz w:val="20"/>
          <w:szCs w:val="20"/>
          <w:lang w:val="es-CO"/>
        </w:rPr>
        <w:t>3</w:t>
      </w:r>
      <w:r w:rsidRPr="007344A2">
        <w:rPr>
          <w:rFonts w:ascii="Cambria" w:hAnsi="Cambria" w:cs="Calibri"/>
          <w:color w:val="000000"/>
          <w:sz w:val="20"/>
          <w:szCs w:val="20"/>
          <w:lang w:val="es-CO"/>
        </w:rPr>
        <w:t xml:space="preserve"> elaborado en observancia del artículo 50 de la </w:t>
      </w:r>
      <w:r w:rsidRPr="007344A2">
        <w:rPr>
          <w:rFonts w:ascii="Cambria" w:hAnsi="Cambria" w:cs="Calibri"/>
          <w:color w:val="000000"/>
          <w:sz w:val="20"/>
          <w:szCs w:val="20"/>
          <w:lang w:val="es-CO"/>
        </w:rPr>
        <w:lastRenderedPageBreak/>
        <w:t xml:space="preserve">Convención, así como copia de la totalidad del expediente ante la Comisión Interamericana (Apéndice I) y los anexos utilizados en la elaboración del Informe No. </w:t>
      </w:r>
      <w:r w:rsidR="006108C3" w:rsidRPr="007344A2">
        <w:rPr>
          <w:rFonts w:ascii="Cambria" w:hAnsi="Cambria" w:cs="Calibri"/>
          <w:color w:val="000000"/>
          <w:sz w:val="20"/>
          <w:szCs w:val="20"/>
          <w:lang w:val="es-CO"/>
        </w:rPr>
        <w:t xml:space="preserve">149/23 </w:t>
      </w:r>
      <w:r w:rsidRPr="007344A2">
        <w:rPr>
          <w:rFonts w:ascii="Cambria" w:hAnsi="Cambria" w:cs="Calibri"/>
          <w:color w:val="000000"/>
          <w:sz w:val="20"/>
          <w:szCs w:val="20"/>
          <w:lang w:val="es-CO"/>
        </w:rPr>
        <w:t xml:space="preserve">(Anexos). </w:t>
      </w:r>
    </w:p>
    <w:p w14:paraId="23AC7C83" w14:textId="77777777" w:rsidR="00B139F1" w:rsidRPr="007344A2" w:rsidRDefault="00B139F1" w:rsidP="00B139F1">
      <w:pPr>
        <w:tabs>
          <w:tab w:val="left" w:pos="360"/>
        </w:tabs>
        <w:spacing w:after="0" w:line="240" w:lineRule="auto"/>
        <w:jc w:val="both"/>
        <w:rPr>
          <w:rFonts w:ascii="Cambria" w:hAnsi="Cambria" w:cs="Calibri"/>
          <w:color w:val="000000"/>
          <w:sz w:val="16"/>
          <w:szCs w:val="16"/>
          <w:lang w:val="es-CO"/>
        </w:rPr>
      </w:pPr>
    </w:p>
    <w:p w14:paraId="2B31651D" w14:textId="3FB3AF7E" w:rsidR="00B139F1" w:rsidRPr="007344A2" w:rsidRDefault="00B139F1" w:rsidP="00B139F1">
      <w:pPr>
        <w:pStyle w:val="NormalWeb"/>
        <w:spacing w:before="0" w:beforeAutospacing="0" w:after="0" w:afterAutospacing="0"/>
        <w:ind w:firstLine="540"/>
        <w:jc w:val="both"/>
        <w:rPr>
          <w:rFonts w:ascii="Cambria" w:hAnsi="Cambria"/>
          <w:sz w:val="20"/>
          <w:szCs w:val="20"/>
          <w:lang w:val="es-CO"/>
        </w:rPr>
      </w:pPr>
      <w:r w:rsidRPr="007344A2">
        <w:rPr>
          <w:rFonts w:ascii="Cambria" w:hAnsi="Cambria"/>
          <w:sz w:val="20"/>
          <w:szCs w:val="20"/>
          <w:lang w:val="es-CO"/>
        </w:rPr>
        <w:t xml:space="preserve">Dicho Informe de </w:t>
      </w:r>
      <w:r w:rsidR="006108C3" w:rsidRPr="007344A2">
        <w:rPr>
          <w:rFonts w:ascii="Cambria" w:hAnsi="Cambria"/>
          <w:sz w:val="20"/>
          <w:szCs w:val="20"/>
          <w:lang w:val="es-CO"/>
        </w:rPr>
        <w:t xml:space="preserve">Admisibilidad y </w:t>
      </w:r>
      <w:r w:rsidRPr="007344A2">
        <w:rPr>
          <w:rFonts w:ascii="Cambria" w:hAnsi="Cambria"/>
          <w:sz w:val="20"/>
          <w:szCs w:val="20"/>
          <w:lang w:val="es-CO"/>
        </w:rPr>
        <w:t xml:space="preserve">Fondo fue notificado al Estado el </w:t>
      </w:r>
      <w:r w:rsidR="006108C3" w:rsidRPr="007344A2">
        <w:rPr>
          <w:rFonts w:ascii="Cambria" w:hAnsi="Cambria" w:cs="Cambria"/>
          <w:sz w:val="20"/>
          <w:szCs w:val="20"/>
          <w:lang w:val="es-CO" w:eastAsia="zh-CN"/>
        </w:rPr>
        <w:t>17 de octubre de 2024</w:t>
      </w:r>
      <w:r w:rsidRPr="007344A2">
        <w:rPr>
          <w:rFonts w:ascii="Cambria" w:hAnsi="Cambria"/>
          <w:sz w:val="20"/>
          <w:szCs w:val="20"/>
          <w:lang w:val="es-CO"/>
        </w:rPr>
        <w:t xml:space="preserve">, otorgándole un plazo de dos meses para informar sobre el cumplimiento de las recomendaciones emitidas por la Comisión.  </w:t>
      </w:r>
      <w:r w:rsidR="006108C3" w:rsidRPr="007344A2">
        <w:rPr>
          <w:rFonts w:ascii="Cambria" w:hAnsi="Cambria"/>
          <w:sz w:val="20"/>
          <w:szCs w:val="20"/>
          <w:lang w:val="es-CO"/>
        </w:rPr>
        <w:t>Luego del otorgamiento de tres prórrogas, l</w:t>
      </w:r>
      <w:r w:rsidRPr="007344A2">
        <w:rPr>
          <w:rFonts w:ascii="Cambria" w:hAnsi="Cambria"/>
          <w:sz w:val="20"/>
          <w:szCs w:val="20"/>
          <w:lang w:val="es-CO"/>
        </w:rPr>
        <w:t>a Comisión observó que</w:t>
      </w:r>
      <w:r w:rsidR="006108C3" w:rsidRPr="007344A2">
        <w:rPr>
          <w:rFonts w:ascii="Cambria" w:hAnsi="Cambria"/>
          <w:sz w:val="20"/>
          <w:szCs w:val="20"/>
          <w:lang w:val="es-CO"/>
        </w:rPr>
        <w:t xml:space="preserve"> las partes no han llegado a un acuerdo y </w:t>
      </w:r>
      <w:r w:rsidRPr="007344A2">
        <w:rPr>
          <w:rFonts w:ascii="Cambria" w:hAnsi="Cambria"/>
          <w:sz w:val="20"/>
          <w:szCs w:val="20"/>
          <w:lang w:val="es-CO"/>
        </w:rPr>
        <w:t xml:space="preserve">las víctimas no han obtenido una reparación integral. En consecuencia, ante la necesidad de obtención de justicia y reparación para las víctimas, así como considerando la voluntad de la parte peticionaria, la Comisión decidió someter el caso a la jurisdicción de la Corte Interamericana. </w:t>
      </w:r>
    </w:p>
    <w:p w14:paraId="2100D3DE" w14:textId="77777777" w:rsidR="00B139F1" w:rsidRPr="007344A2" w:rsidRDefault="00B139F1" w:rsidP="00583708">
      <w:pPr>
        <w:pStyle w:val="NormalWeb"/>
        <w:spacing w:before="0" w:beforeAutospacing="0" w:after="0" w:afterAutospacing="0"/>
        <w:jc w:val="both"/>
        <w:rPr>
          <w:rFonts w:ascii="Cambria" w:hAnsi="Cambria"/>
          <w:sz w:val="16"/>
          <w:szCs w:val="16"/>
          <w:lang w:val="es-CO"/>
        </w:rPr>
      </w:pPr>
    </w:p>
    <w:p w14:paraId="37CCA651" w14:textId="6131CE4D" w:rsidR="00B139F1" w:rsidRPr="007344A2" w:rsidRDefault="00B139F1" w:rsidP="00B139F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  <w:szCs w:val="20"/>
          <w:lang w:val="es-CO" w:eastAsia="es-ES"/>
        </w:rPr>
      </w:pPr>
      <w:r w:rsidRPr="007344A2">
        <w:rPr>
          <w:rFonts w:ascii="Cambria" w:eastAsiaTheme="minorHAnsi" w:hAnsi="Cambria"/>
          <w:sz w:val="20"/>
          <w:szCs w:val="20"/>
          <w:lang w:val="es-CO"/>
        </w:rPr>
        <w:tab/>
        <w:t xml:space="preserve">En ese sentido, la Comisión solicita a la Honorable Corte que concluya y declare que </w:t>
      </w:r>
      <w:r w:rsidRPr="007344A2">
        <w:rPr>
          <w:rFonts w:ascii="Cambria" w:eastAsiaTheme="minorHAnsi" w:hAnsi="Cambria" w:cs="Cambria"/>
          <w:sz w:val="20"/>
          <w:szCs w:val="20"/>
          <w:lang w:val="es-CO"/>
          <w14:ligatures w14:val="standardContextual"/>
        </w:rPr>
        <w:t xml:space="preserve">el Estado argentino </w:t>
      </w:r>
      <w:r w:rsidR="006108C3" w:rsidRPr="007344A2">
        <w:rPr>
          <w:rFonts w:ascii="Cambria" w:eastAsiaTheme="minorHAnsi" w:hAnsi="Cambria" w:cs="Cambria"/>
          <w:color w:val="000000"/>
          <w:sz w:val="20"/>
          <w:szCs w:val="20"/>
          <w:lang w:val="es-CO"/>
          <w14:ligatures w14:val="standardContextual"/>
        </w:rPr>
        <w:t>es responsable por la violación de los derechos a recurrir el fallo y a la protección judicial consagrados en los artículos 8.2.h y 25.1 de la Convención Americana, respectivamente, en relación con las obligaciones establecidas en los artículos 1.1 y 2 del mismo instrumento, en perjuicio de Hugo Loris Mantovani</w:t>
      </w:r>
      <w:r w:rsidR="006108C3" w:rsidRPr="007344A2">
        <w:rPr>
          <w:rFonts w:ascii="Cambria" w:eastAsiaTheme="minorHAnsi" w:hAnsi="Cambria" w:cs="Cambria"/>
          <w:sz w:val="20"/>
          <w:szCs w:val="20"/>
          <w:lang w:val="es-CO"/>
          <w14:ligatures w14:val="standardContextual"/>
        </w:rPr>
        <w:t>.</w:t>
      </w:r>
    </w:p>
    <w:p w14:paraId="411553E2" w14:textId="77777777" w:rsidR="00B139F1" w:rsidRPr="00583708" w:rsidRDefault="00B139F1" w:rsidP="00B139F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/>
          <w:sz w:val="16"/>
          <w:szCs w:val="16"/>
          <w:lang w:val="es-CO"/>
        </w:rPr>
      </w:pPr>
    </w:p>
    <w:p w14:paraId="6A3FD280" w14:textId="77777777" w:rsidR="00B139F1" w:rsidRPr="007344A2" w:rsidRDefault="00B139F1" w:rsidP="00B139F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/>
          <w:sz w:val="20"/>
          <w:szCs w:val="20"/>
          <w:lang w:val="es-CO"/>
        </w:rPr>
      </w:pPr>
      <w:r w:rsidRPr="007344A2">
        <w:rPr>
          <w:rFonts w:ascii="Cambria" w:eastAsiaTheme="minorHAnsi" w:hAnsi="Cambria"/>
          <w:sz w:val="20"/>
          <w:szCs w:val="20"/>
          <w:lang w:val="es-CO"/>
        </w:rPr>
        <w:tab/>
        <w:t>En consecuencia, la Comisión solicita a la Corte Interamericana que establezca las siguientes medidas de reparación:</w:t>
      </w:r>
    </w:p>
    <w:p w14:paraId="4247CDBF" w14:textId="77777777" w:rsidR="006108C3" w:rsidRPr="00583708" w:rsidRDefault="006108C3" w:rsidP="006108C3">
      <w:pPr>
        <w:pStyle w:val="Default"/>
        <w:jc w:val="both"/>
        <w:rPr>
          <w:sz w:val="10"/>
          <w:szCs w:val="10"/>
          <w:lang w:val="es-CO"/>
        </w:rPr>
      </w:pPr>
    </w:p>
    <w:p w14:paraId="6DACAE6C" w14:textId="1FD2B862" w:rsidR="006108C3" w:rsidRPr="007344A2" w:rsidRDefault="006108C3" w:rsidP="006108C3">
      <w:pPr>
        <w:pStyle w:val="Default"/>
        <w:numPr>
          <w:ilvl w:val="0"/>
          <w:numId w:val="3"/>
        </w:numPr>
        <w:jc w:val="both"/>
        <w:rPr>
          <w:sz w:val="20"/>
          <w:szCs w:val="20"/>
          <w:lang w:val="es-CO"/>
        </w:rPr>
      </w:pPr>
      <w:r w:rsidRPr="006108C3">
        <w:rPr>
          <w:sz w:val="20"/>
          <w:szCs w:val="20"/>
          <w:lang w:val="es-CO"/>
        </w:rPr>
        <w:t>Reparar integralmente las violaciones declaradas en el presente informe, incluyendo el daño</w:t>
      </w:r>
      <w:r w:rsidRPr="007344A2">
        <w:rPr>
          <w:sz w:val="20"/>
          <w:szCs w:val="20"/>
          <w:lang w:val="es-CO"/>
        </w:rPr>
        <w:t xml:space="preserve"> </w:t>
      </w:r>
      <w:r w:rsidRPr="006108C3">
        <w:rPr>
          <w:sz w:val="20"/>
          <w:szCs w:val="20"/>
          <w:lang w:val="es-CO"/>
        </w:rPr>
        <w:t>material e inmaterial.</w:t>
      </w:r>
    </w:p>
    <w:p w14:paraId="69EC34A8" w14:textId="77777777" w:rsidR="006108C3" w:rsidRPr="00583708" w:rsidRDefault="006108C3" w:rsidP="006108C3">
      <w:pPr>
        <w:pStyle w:val="Default"/>
        <w:jc w:val="both"/>
        <w:rPr>
          <w:sz w:val="10"/>
          <w:szCs w:val="10"/>
          <w:lang w:val="es-CO"/>
        </w:rPr>
      </w:pPr>
    </w:p>
    <w:p w14:paraId="406F1B1A" w14:textId="7A24EBDB" w:rsidR="006108C3" w:rsidRPr="006108C3" w:rsidRDefault="006108C3" w:rsidP="006108C3">
      <w:pPr>
        <w:pStyle w:val="Default"/>
        <w:numPr>
          <w:ilvl w:val="0"/>
          <w:numId w:val="3"/>
        </w:numPr>
        <w:jc w:val="both"/>
        <w:rPr>
          <w:sz w:val="20"/>
          <w:szCs w:val="20"/>
          <w:lang w:val="es-CO"/>
        </w:rPr>
      </w:pPr>
      <w:r w:rsidRPr="006108C3">
        <w:rPr>
          <w:sz w:val="20"/>
          <w:szCs w:val="20"/>
          <w:lang w:val="es-CO"/>
        </w:rPr>
        <w:t>Disponer las medidas necesarias para que Hugo Loris Mantovani pueda acceder a un proceso penal</w:t>
      </w:r>
      <w:r w:rsidRPr="000F4663">
        <w:rPr>
          <w:sz w:val="20"/>
          <w:szCs w:val="20"/>
          <w:lang w:val="es-CO"/>
        </w:rPr>
        <w:t xml:space="preserve"> </w:t>
      </w:r>
      <w:r w:rsidRPr="006108C3">
        <w:rPr>
          <w:sz w:val="20"/>
          <w:szCs w:val="20"/>
          <w:lang w:val="es-CO"/>
        </w:rPr>
        <w:t>con las debidas garantías judiciales. En particular, disponer las medidas necesarias para que, en</w:t>
      </w:r>
      <w:r w:rsidRPr="000F4663">
        <w:rPr>
          <w:sz w:val="20"/>
          <w:szCs w:val="20"/>
          <w:lang w:val="es-CO"/>
        </w:rPr>
        <w:t xml:space="preserve"> </w:t>
      </w:r>
      <w:r w:rsidRPr="006108C3">
        <w:rPr>
          <w:sz w:val="20"/>
          <w:szCs w:val="20"/>
          <w:lang w:val="es-CO"/>
        </w:rPr>
        <w:t>caso de ser su voluntad, Hugo Loris Mantovani pueda interponer un recurso mediante el cual se</w:t>
      </w:r>
      <w:r w:rsidRPr="000F4663">
        <w:rPr>
          <w:sz w:val="20"/>
          <w:szCs w:val="20"/>
          <w:lang w:val="es-CO"/>
        </w:rPr>
        <w:t xml:space="preserve"> </w:t>
      </w:r>
      <w:r w:rsidRPr="006108C3">
        <w:rPr>
          <w:sz w:val="20"/>
          <w:szCs w:val="20"/>
          <w:lang w:val="es-CO"/>
        </w:rPr>
        <w:t>garantice una decisión amplia de la sentencia en cumplimiento del artículo 8.2.h de la Convención</w:t>
      </w:r>
      <w:r w:rsidRPr="000F4663">
        <w:rPr>
          <w:sz w:val="20"/>
          <w:szCs w:val="20"/>
          <w:lang w:val="es-CO"/>
        </w:rPr>
        <w:t xml:space="preserve"> </w:t>
      </w:r>
      <w:r w:rsidRPr="006108C3">
        <w:rPr>
          <w:sz w:val="20"/>
          <w:szCs w:val="20"/>
          <w:lang w:val="es-CO"/>
        </w:rPr>
        <w:t>Americana.</w:t>
      </w:r>
    </w:p>
    <w:p w14:paraId="07EC62AF" w14:textId="77777777" w:rsidR="006108C3" w:rsidRPr="00583708" w:rsidRDefault="006108C3" w:rsidP="006108C3">
      <w:pPr>
        <w:pStyle w:val="Default"/>
        <w:jc w:val="both"/>
        <w:rPr>
          <w:sz w:val="10"/>
          <w:szCs w:val="10"/>
          <w:lang w:val="es-CO"/>
        </w:rPr>
      </w:pPr>
    </w:p>
    <w:p w14:paraId="426A47F9" w14:textId="05457EA2" w:rsidR="00B139F1" w:rsidRPr="007344A2" w:rsidRDefault="006108C3" w:rsidP="006108C3">
      <w:pPr>
        <w:pStyle w:val="Default"/>
        <w:numPr>
          <w:ilvl w:val="0"/>
          <w:numId w:val="3"/>
        </w:numPr>
        <w:jc w:val="both"/>
        <w:rPr>
          <w:sz w:val="20"/>
          <w:szCs w:val="20"/>
          <w:lang w:val="es-CO"/>
        </w:rPr>
      </w:pPr>
      <w:r w:rsidRPr="006108C3">
        <w:rPr>
          <w:sz w:val="20"/>
          <w:szCs w:val="20"/>
          <w:lang w:val="es-CO"/>
        </w:rPr>
        <w:t>Disponer las medidas legislativas necesarias para adecuar la legislación interna relativa al recurso</w:t>
      </w:r>
      <w:r w:rsidRPr="007344A2">
        <w:rPr>
          <w:sz w:val="20"/>
          <w:szCs w:val="20"/>
          <w:lang w:val="es-CO"/>
        </w:rPr>
        <w:t xml:space="preserve"> </w:t>
      </w:r>
      <w:r w:rsidRPr="006108C3">
        <w:rPr>
          <w:sz w:val="20"/>
          <w:szCs w:val="20"/>
          <w:lang w:val="es-CO"/>
        </w:rPr>
        <w:t>de casación a los estándares establecidos en el presente informe sobre el derecho consagrado en</w:t>
      </w:r>
      <w:r w:rsidRPr="007344A2">
        <w:rPr>
          <w:sz w:val="20"/>
          <w:szCs w:val="20"/>
          <w:lang w:val="es-CO"/>
        </w:rPr>
        <w:t xml:space="preserve"> </w:t>
      </w:r>
      <w:r w:rsidRPr="006108C3">
        <w:rPr>
          <w:sz w:val="20"/>
          <w:szCs w:val="20"/>
          <w:lang w:val="es-CO"/>
        </w:rPr>
        <w:t>el artículo 8.2.h de la Convención Americana. Asimismo, y de manera independiente a la</w:t>
      </w:r>
      <w:r w:rsidRPr="007344A2">
        <w:rPr>
          <w:sz w:val="20"/>
          <w:szCs w:val="20"/>
          <w:lang w:val="es-CO"/>
        </w:rPr>
        <w:t xml:space="preserve"> </w:t>
      </w:r>
      <w:r w:rsidRPr="006108C3">
        <w:rPr>
          <w:sz w:val="20"/>
          <w:szCs w:val="20"/>
          <w:lang w:val="es-CO"/>
        </w:rPr>
        <w:t>adecuación normativa, asegurar que las autoridades judiciales ejerzan un control de</w:t>
      </w:r>
      <w:r w:rsidRPr="007344A2">
        <w:rPr>
          <w:sz w:val="20"/>
          <w:szCs w:val="20"/>
          <w:lang w:val="es-CO"/>
        </w:rPr>
        <w:t xml:space="preserve"> </w:t>
      </w:r>
      <w:r w:rsidRPr="006108C3">
        <w:rPr>
          <w:sz w:val="20"/>
          <w:szCs w:val="20"/>
          <w:lang w:val="es-CO"/>
        </w:rPr>
        <w:t>convencionalidad al momento de resolver los recursos contra sentencias condenatorias, de forma</w:t>
      </w:r>
      <w:r w:rsidRPr="007344A2">
        <w:rPr>
          <w:sz w:val="20"/>
          <w:szCs w:val="20"/>
          <w:lang w:val="es-CO"/>
        </w:rPr>
        <w:t xml:space="preserve"> consistente con los estándares establecidos en el presente informe.</w:t>
      </w:r>
      <w:r w:rsidR="00B139F1" w:rsidRPr="007344A2">
        <w:rPr>
          <w:sz w:val="20"/>
          <w:szCs w:val="20"/>
          <w:lang w:val="es-CO"/>
        </w:rPr>
        <w:t xml:space="preserve"> </w:t>
      </w:r>
    </w:p>
    <w:p w14:paraId="0257FE5E" w14:textId="77777777" w:rsidR="00B139F1" w:rsidRPr="007344A2" w:rsidRDefault="00B139F1" w:rsidP="00B139F1">
      <w:pPr>
        <w:spacing w:after="0" w:line="240" w:lineRule="auto"/>
        <w:jc w:val="both"/>
        <w:rPr>
          <w:rFonts w:ascii="Cambria" w:hAnsi="Cambria"/>
          <w:sz w:val="16"/>
          <w:szCs w:val="16"/>
          <w:lang w:val="es-CO"/>
        </w:rPr>
      </w:pPr>
    </w:p>
    <w:p w14:paraId="04C606A3" w14:textId="6E049EFF" w:rsidR="00B139F1" w:rsidRPr="007344A2" w:rsidRDefault="00B139F1" w:rsidP="00B139F1">
      <w:pPr>
        <w:pStyle w:val="Default"/>
        <w:tabs>
          <w:tab w:val="left" w:pos="540"/>
        </w:tabs>
        <w:jc w:val="both"/>
        <w:rPr>
          <w:sz w:val="20"/>
          <w:szCs w:val="20"/>
          <w:lang w:val="es-CO"/>
        </w:rPr>
      </w:pPr>
      <w:r w:rsidRPr="007344A2">
        <w:rPr>
          <w:sz w:val="20"/>
          <w:szCs w:val="20"/>
          <w:lang w:val="es-CO"/>
        </w:rPr>
        <w:tab/>
        <w:t xml:space="preserve">Además de la necesidad de obtención de justicia y reparación integral, la Comisión considera que el caso presenta cuestiones de orden público interamericano. El mismo permitirá a la Honorable Corte continuar profundizando su jurisprudencia sobre los estándares interamericanos relacionados al derecho a recurrir el fallo ante juez o tribunal distinto y de superior jerarquía como una de las garantías mínimas que tiene toda persona sometida a </w:t>
      </w:r>
      <w:r w:rsidR="001E1F0D">
        <w:rPr>
          <w:sz w:val="20"/>
          <w:szCs w:val="20"/>
          <w:lang w:val="es-CO"/>
        </w:rPr>
        <w:t xml:space="preserve">un </w:t>
      </w:r>
      <w:r w:rsidRPr="007344A2">
        <w:rPr>
          <w:sz w:val="20"/>
          <w:szCs w:val="20"/>
          <w:lang w:val="es-CO"/>
        </w:rPr>
        <w:t xml:space="preserve">proceso penal. En particular, la Corte podrá referirse a las medidas que deben adoptar los Estados para adecuar e implementar la legislación interna relativa al recurso de casación al derecho contenido en el artículo 8.2 h) de la Convención Americana y para garantizar que las autoridades judiciales ejerzan un control de convencionalidad al momento de resolver los recursos contra sentencias condenatorias de forma consistente con dichos estándares. </w:t>
      </w:r>
    </w:p>
    <w:p w14:paraId="3BF94E52" w14:textId="77777777" w:rsidR="00B139F1" w:rsidRPr="007344A2" w:rsidRDefault="00B139F1" w:rsidP="00B139F1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/>
          <w:sz w:val="16"/>
          <w:szCs w:val="16"/>
          <w:lang w:val="es-CO"/>
        </w:rPr>
      </w:pPr>
    </w:p>
    <w:p w14:paraId="663E659C" w14:textId="567C81E9" w:rsidR="00B139F1" w:rsidRDefault="00B139F1" w:rsidP="00B139F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/>
          <w:sz w:val="20"/>
          <w:szCs w:val="20"/>
          <w:lang w:val="es-CO"/>
        </w:rPr>
      </w:pPr>
      <w:r w:rsidRPr="007344A2">
        <w:rPr>
          <w:rFonts w:ascii="Cambria" w:eastAsiaTheme="minorHAnsi" w:hAnsi="Cambria"/>
          <w:sz w:val="20"/>
          <w:szCs w:val="20"/>
          <w:lang w:val="es-CO"/>
        </w:rPr>
        <w:tab/>
        <w:t>La Comisión pone en conocimiento de la Honorable Corte la siguiente información de quien actú</w:t>
      </w:r>
      <w:r w:rsidR="00583708">
        <w:rPr>
          <w:rFonts w:ascii="Cambria" w:eastAsiaTheme="minorHAnsi" w:hAnsi="Cambria"/>
          <w:sz w:val="20"/>
          <w:szCs w:val="20"/>
          <w:lang w:val="es-CO"/>
        </w:rPr>
        <w:t>a</w:t>
      </w:r>
      <w:r w:rsidRPr="007344A2">
        <w:rPr>
          <w:rFonts w:ascii="Cambria" w:eastAsiaTheme="minorHAnsi" w:hAnsi="Cambria"/>
          <w:sz w:val="20"/>
          <w:szCs w:val="20"/>
          <w:lang w:val="es-CO"/>
        </w:rPr>
        <w:t xml:space="preserve"> como parte peticionaria en el trámite ante la CIDH conforme a la información más reciente:</w:t>
      </w:r>
    </w:p>
    <w:p w14:paraId="0EDCA917" w14:textId="77777777" w:rsidR="00583708" w:rsidRPr="00583708" w:rsidRDefault="00583708" w:rsidP="00B139F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Theme="minorHAnsi" w:hAnsi="Cambria"/>
          <w:sz w:val="10"/>
          <w:szCs w:val="10"/>
          <w:lang w:val="es-CO"/>
        </w:rPr>
      </w:pPr>
    </w:p>
    <w:p w14:paraId="52C1B77D" w14:textId="77777777" w:rsidR="00583708" w:rsidRPr="00583708" w:rsidRDefault="00583708" w:rsidP="00583708">
      <w:pPr>
        <w:tabs>
          <w:tab w:val="left" w:pos="-720"/>
          <w:tab w:val="left" w:pos="2415"/>
        </w:tabs>
        <w:suppressAutoHyphens/>
        <w:spacing w:after="0" w:line="240" w:lineRule="auto"/>
        <w:jc w:val="center"/>
        <w:rPr>
          <w:rFonts w:ascii="Cambria" w:hAnsi="Cambria"/>
          <w:sz w:val="20"/>
          <w:szCs w:val="20"/>
          <w:lang w:val="es-US"/>
        </w:rPr>
      </w:pPr>
      <w:r w:rsidRPr="00583708">
        <w:rPr>
          <w:rFonts w:ascii="Cambria" w:hAnsi="Cambria"/>
          <w:sz w:val="20"/>
          <w:szCs w:val="20"/>
          <w:lang w:val="es-US"/>
        </w:rPr>
        <w:t>Stella Maris Martínez</w:t>
      </w:r>
    </w:p>
    <w:p w14:paraId="6CA916EA" w14:textId="77777777" w:rsidR="00583708" w:rsidRPr="00583708" w:rsidRDefault="00583708" w:rsidP="00583708">
      <w:pPr>
        <w:tabs>
          <w:tab w:val="left" w:pos="-720"/>
          <w:tab w:val="left" w:pos="2415"/>
        </w:tabs>
        <w:suppressAutoHyphens/>
        <w:spacing w:after="0" w:line="240" w:lineRule="auto"/>
        <w:jc w:val="center"/>
        <w:rPr>
          <w:rFonts w:ascii="Cambria" w:hAnsi="Cambria"/>
          <w:sz w:val="20"/>
          <w:szCs w:val="20"/>
          <w:lang w:val="es-US"/>
        </w:rPr>
      </w:pPr>
      <w:r w:rsidRPr="00583708">
        <w:rPr>
          <w:rFonts w:ascii="Cambria" w:hAnsi="Cambria"/>
          <w:sz w:val="20"/>
          <w:szCs w:val="20"/>
          <w:lang w:val="es-US"/>
        </w:rPr>
        <w:t>Defensora General de la Nación Argentina</w:t>
      </w:r>
    </w:p>
    <w:p w14:paraId="2DE10D6A" w14:textId="64ED1F90" w:rsidR="00583708" w:rsidRPr="007A6E79" w:rsidRDefault="007A6E79" w:rsidP="00583708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  <w:highlight w:val="black"/>
          <w:lang w:val="es-US"/>
        </w:rPr>
      </w:pPr>
      <w:r w:rsidRPr="007A6E79">
        <w:rPr>
          <w:rFonts w:ascii="Cambria" w:eastAsia="Times New Roman" w:hAnsi="Cambria"/>
          <w:sz w:val="20"/>
          <w:szCs w:val="20"/>
          <w:highlight w:val="black"/>
          <w:lang w:val="es-US"/>
        </w:rPr>
        <w:t>XXXXXXXXXXXXXXXXXXXXXXXXXXXXXXXXXXXXXXXXXXXXXXXX</w:t>
      </w:r>
    </w:p>
    <w:p w14:paraId="2DCC5F78" w14:textId="035ED6B5" w:rsidR="00583708" w:rsidRPr="007A6E79" w:rsidRDefault="007A6E79" w:rsidP="00583708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  <w:highlight w:val="black"/>
          <w:lang w:val="es-US"/>
        </w:rPr>
      </w:pPr>
      <w:r w:rsidRPr="007A6E79">
        <w:rPr>
          <w:rFonts w:ascii="Cambria" w:eastAsia="Times New Roman" w:hAnsi="Cambria"/>
          <w:sz w:val="20"/>
          <w:szCs w:val="20"/>
          <w:highlight w:val="black"/>
          <w:lang w:val="es-US"/>
        </w:rPr>
        <w:t>XXXXXXXXXXXXXXXXXXXXXXXXXXXXX</w:t>
      </w:r>
    </w:p>
    <w:p w14:paraId="02CD0DAF" w14:textId="77777777" w:rsidR="00B139F1" w:rsidRPr="007344A2" w:rsidRDefault="00B139F1" w:rsidP="00583708">
      <w:pPr>
        <w:tabs>
          <w:tab w:val="left" w:pos="513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Theme="minorHAnsi" w:hAnsi="Cambria"/>
          <w:sz w:val="16"/>
          <w:szCs w:val="16"/>
          <w:lang w:val="es-CO"/>
        </w:rPr>
      </w:pPr>
    </w:p>
    <w:p w14:paraId="584826C2" w14:textId="77777777" w:rsidR="00B139F1" w:rsidRPr="007344A2" w:rsidRDefault="00B139F1" w:rsidP="00B139F1">
      <w:pPr>
        <w:tabs>
          <w:tab w:val="left" w:pos="513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/>
          <w:sz w:val="20"/>
          <w:szCs w:val="20"/>
          <w:lang w:val="es-CO"/>
        </w:rPr>
      </w:pPr>
      <w:bookmarkStart w:id="1" w:name="_Hlk194568905"/>
      <w:bookmarkStart w:id="2" w:name="_Hlk128731904"/>
      <w:bookmarkStart w:id="3" w:name="_Hlk129855594"/>
      <w:bookmarkStart w:id="4" w:name="_Hlk129970904"/>
      <w:bookmarkStart w:id="5" w:name="_Hlk122115986"/>
      <w:bookmarkStart w:id="6" w:name="_Hlk118969572"/>
      <w:bookmarkStart w:id="7" w:name="_Hlk120781836"/>
      <w:bookmarkStart w:id="8" w:name="_Hlk130997932"/>
      <w:bookmarkStart w:id="9" w:name="_Hlk119577459"/>
      <w:bookmarkStart w:id="10" w:name="_Hlk131167805"/>
      <w:bookmarkStart w:id="11" w:name="_Hlk129896549"/>
      <w:r w:rsidRPr="007344A2">
        <w:rPr>
          <w:rFonts w:ascii="Cambria" w:eastAsiaTheme="minorHAnsi" w:hAnsi="Cambria"/>
          <w:sz w:val="20"/>
          <w:szCs w:val="20"/>
          <w:lang w:val="es-CO"/>
        </w:rPr>
        <w:tab/>
        <w:t>Aprovecho la oportunidad para saludar a usted muy atentamente,</w:t>
      </w:r>
    </w:p>
    <w:bookmarkEnd w:id="1"/>
    <w:p w14:paraId="6BA08894" w14:textId="29FAF4AB" w:rsidR="00583708" w:rsidRPr="002859DA" w:rsidRDefault="00583708" w:rsidP="00583708">
      <w:pPr>
        <w:tabs>
          <w:tab w:val="left" w:pos="3926"/>
        </w:tabs>
        <w:spacing w:after="0" w:line="240" w:lineRule="auto"/>
        <w:rPr>
          <w:rFonts w:ascii="Cambria" w:hAnsi="Cambria"/>
          <w:sz w:val="16"/>
          <w:szCs w:val="16"/>
          <w:lang w:val="es-CO"/>
        </w:rPr>
      </w:pPr>
    </w:p>
    <w:p w14:paraId="08A481E4" w14:textId="77777777" w:rsidR="00583708" w:rsidRPr="00583708" w:rsidRDefault="00583708" w:rsidP="00583708">
      <w:pPr>
        <w:spacing w:after="0" w:line="240" w:lineRule="auto"/>
        <w:rPr>
          <w:rFonts w:ascii="Cambria" w:hAnsi="Cambria"/>
          <w:sz w:val="16"/>
          <w:szCs w:val="16"/>
          <w:lang w:val="es-US"/>
        </w:rPr>
      </w:pPr>
    </w:p>
    <w:p w14:paraId="5E0297E9" w14:textId="77777777" w:rsidR="00583708" w:rsidRDefault="00583708" w:rsidP="00583708">
      <w:pPr>
        <w:tabs>
          <w:tab w:val="left" w:pos="-720"/>
          <w:tab w:val="left" w:pos="2415"/>
        </w:tabs>
        <w:suppressAutoHyphens/>
        <w:spacing w:after="0" w:line="240" w:lineRule="auto"/>
        <w:jc w:val="both"/>
        <w:rPr>
          <w:rFonts w:ascii="Cambria" w:hAnsi="Cambria"/>
          <w:b/>
          <w:bCs/>
          <w:sz w:val="16"/>
          <w:szCs w:val="16"/>
          <w:lang w:val="es-US"/>
        </w:rPr>
      </w:pPr>
    </w:p>
    <w:p w14:paraId="7552436B" w14:textId="77777777" w:rsidR="002859DA" w:rsidRPr="00583708" w:rsidRDefault="002859DA" w:rsidP="00583708">
      <w:pPr>
        <w:tabs>
          <w:tab w:val="left" w:pos="-720"/>
          <w:tab w:val="left" w:pos="2415"/>
        </w:tabs>
        <w:suppressAutoHyphens/>
        <w:spacing w:after="0" w:line="240" w:lineRule="auto"/>
        <w:jc w:val="both"/>
        <w:rPr>
          <w:rFonts w:ascii="Cambria" w:hAnsi="Cambria"/>
          <w:b/>
          <w:bCs/>
          <w:sz w:val="16"/>
          <w:szCs w:val="16"/>
          <w:lang w:val="es-US"/>
        </w:rPr>
      </w:pPr>
    </w:p>
    <w:p w14:paraId="126E6A99" w14:textId="4959FF3F" w:rsidR="00B139F1" w:rsidRPr="00583708" w:rsidRDefault="00B139F1" w:rsidP="00583708">
      <w:pPr>
        <w:spacing w:after="0" w:line="240" w:lineRule="auto"/>
        <w:jc w:val="both"/>
        <w:rPr>
          <w:rFonts w:ascii="Cambria" w:hAnsi="Cambria"/>
          <w:sz w:val="20"/>
          <w:szCs w:val="20"/>
          <w:lang w:val="es-CO"/>
        </w:rPr>
      </w:pPr>
      <w:r w:rsidRPr="00583708">
        <w:rPr>
          <w:rFonts w:ascii="Cambria" w:hAnsi="Cambria" w:cs="Calibri"/>
          <w:sz w:val="20"/>
          <w:szCs w:val="20"/>
          <w:lang w:val="es-CO"/>
        </w:rPr>
        <w:t>Anexo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B139F1" w:rsidRPr="00583708" w:rsidSect="00B139F1">
      <w:headerReference w:type="default" r:id="rId7"/>
      <w:footerReference w:type="even" r:id="rId8"/>
      <w:footerReference w:type="default" r:id="rId9"/>
      <w:pgSz w:w="11900" w:h="16840"/>
      <w:pgMar w:top="1890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09FF" w14:textId="77777777" w:rsidR="00021DFB" w:rsidRDefault="00021DFB" w:rsidP="00B139F1">
      <w:pPr>
        <w:spacing w:after="0" w:line="240" w:lineRule="auto"/>
      </w:pPr>
      <w:r>
        <w:separator/>
      </w:r>
    </w:p>
  </w:endnote>
  <w:endnote w:type="continuationSeparator" w:id="0">
    <w:p w14:paraId="1BF03E3E" w14:textId="77777777" w:rsidR="00021DFB" w:rsidRDefault="00021DFB" w:rsidP="00B1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158082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0202A3" w14:textId="77777777" w:rsidR="00DE0272" w:rsidRDefault="001E1F0D" w:rsidP="00C251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2C31AF" w14:textId="77777777" w:rsidR="00DE0272" w:rsidRDefault="00DE0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0"/>
        <w:szCs w:val="20"/>
      </w:rPr>
      <w:id w:val="-2086292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7D5FE" w14:textId="77777777" w:rsidR="00DE0272" w:rsidRPr="00E15987" w:rsidRDefault="001E1F0D">
        <w:pPr>
          <w:pStyle w:val="Footer"/>
          <w:jc w:val="center"/>
          <w:rPr>
            <w:rFonts w:ascii="Cambria" w:hAnsi="Cambria"/>
            <w:sz w:val="20"/>
            <w:szCs w:val="20"/>
          </w:rPr>
        </w:pPr>
        <w:r w:rsidRPr="00E15987">
          <w:rPr>
            <w:rFonts w:ascii="Cambria" w:hAnsi="Cambria"/>
            <w:sz w:val="20"/>
            <w:szCs w:val="20"/>
          </w:rPr>
          <w:fldChar w:fldCharType="begin"/>
        </w:r>
        <w:r w:rsidRPr="00E15987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E15987">
          <w:rPr>
            <w:rFonts w:ascii="Cambria" w:hAnsi="Cambria"/>
            <w:sz w:val="20"/>
            <w:szCs w:val="20"/>
          </w:rPr>
          <w:fldChar w:fldCharType="separate"/>
        </w:r>
        <w:r w:rsidRPr="00E15987">
          <w:rPr>
            <w:rFonts w:ascii="Cambria" w:hAnsi="Cambria"/>
            <w:noProof/>
            <w:sz w:val="20"/>
            <w:szCs w:val="20"/>
          </w:rPr>
          <w:t>2</w:t>
        </w:r>
        <w:r w:rsidRPr="00E15987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14:paraId="063937A3" w14:textId="77777777" w:rsidR="00DE0272" w:rsidRDefault="00DE0272" w:rsidP="0045624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BB86" w14:textId="77777777" w:rsidR="00021DFB" w:rsidRDefault="00021DFB" w:rsidP="00B139F1">
      <w:pPr>
        <w:spacing w:after="0" w:line="240" w:lineRule="auto"/>
      </w:pPr>
      <w:r>
        <w:separator/>
      </w:r>
    </w:p>
  </w:footnote>
  <w:footnote w:type="continuationSeparator" w:id="0">
    <w:p w14:paraId="32FB0613" w14:textId="77777777" w:rsidR="00021DFB" w:rsidRDefault="00021DFB" w:rsidP="00B13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3CF7" w14:textId="77777777" w:rsidR="00DE0272" w:rsidRDefault="001E1F0D" w:rsidP="005122C2">
    <w:pPr>
      <w:pStyle w:val="Header"/>
    </w:pPr>
    <w:r w:rsidRPr="008A5CB5">
      <w:rPr>
        <w:noProof/>
      </w:rPr>
      <w:drawing>
        <wp:inline distT="0" distB="0" distL="0" distR="0" wp14:anchorId="21646413" wp14:editId="235FE673">
          <wp:extent cx="2349500" cy="457200"/>
          <wp:effectExtent l="0" t="0" r="0" b="0"/>
          <wp:docPr id="39" name="Picture 39" descr="C:\Users\mfontana\Documents\Eva Fontana\GRAFICA CIDH\cartas\logos\cidh-e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fontana\Documents\Eva Fontana\GRAFICA CIDH\cartas\logos\cidh-es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8A5CB5">
      <w:rPr>
        <w:noProof/>
      </w:rPr>
      <w:drawing>
        <wp:inline distT="0" distB="0" distL="0" distR="0" wp14:anchorId="31189070" wp14:editId="1669D72E">
          <wp:extent cx="1651000" cy="469900"/>
          <wp:effectExtent l="0" t="0" r="0" b="0"/>
          <wp:docPr id="40" name="Picture 40" descr="C:\Users\mfontana\Documents\Eva Fontana\GRAFICA CIDH\cartas\logos\oea-e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fontana\Documents\Eva Fontana\GRAFICA CIDH\cartas\logos\oea-es.jp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58C391" w14:textId="0D31A100" w:rsidR="00DE0272" w:rsidRDefault="001E1F0D">
    <w:pPr>
      <w:pStyle w:val="Header"/>
    </w:pPr>
    <w:r>
      <w:t>___________________________________________________________________________</w:t>
    </w:r>
    <w:r w:rsidR="00B139F1"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96D09"/>
    <w:multiLevelType w:val="hybridMultilevel"/>
    <w:tmpl w:val="9F60A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25096"/>
    <w:multiLevelType w:val="hybridMultilevel"/>
    <w:tmpl w:val="54C43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17219"/>
    <w:multiLevelType w:val="hybridMultilevel"/>
    <w:tmpl w:val="125EF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449922">
    <w:abstractNumId w:val="0"/>
  </w:num>
  <w:num w:numId="2" w16cid:durableId="1080441156">
    <w:abstractNumId w:val="1"/>
  </w:num>
  <w:num w:numId="3" w16cid:durableId="1798259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F1"/>
    <w:rsid w:val="00021DFB"/>
    <w:rsid w:val="00063526"/>
    <w:rsid w:val="000824B0"/>
    <w:rsid w:val="000B3D0B"/>
    <w:rsid w:val="000F4663"/>
    <w:rsid w:val="00135E27"/>
    <w:rsid w:val="001448E1"/>
    <w:rsid w:val="00156706"/>
    <w:rsid w:val="00162874"/>
    <w:rsid w:val="00170EB4"/>
    <w:rsid w:val="001A65A5"/>
    <w:rsid w:val="001E1F0D"/>
    <w:rsid w:val="00243141"/>
    <w:rsid w:val="002859DA"/>
    <w:rsid w:val="00285A21"/>
    <w:rsid w:val="00311A29"/>
    <w:rsid w:val="00321347"/>
    <w:rsid w:val="003379F4"/>
    <w:rsid w:val="003A2E7E"/>
    <w:rsid w:val="003B2544"/>
    <w:rsid w:val="00404088"/>
    <w:rsid w:val="00405F38"/>
    <w:rsid w:val="00570FEA"/>
    <w:rsid w:val="00583708"/>
    <w:rsid w:val="005917FB"/>
    <w:rsid w:val="005E1642"/>
    <w:rsid w:val="006108C3"/>
    <w:rsid w:val="00610CFA"/>
    <w:rsid w:val="00626509"/>
    <w:rsid w:val="00643FEA"/>
    <w:rsid w:val="00653392"/>
    <w:rsid w:val="006855D1"/>
    <w:rsid w:val="00687934"/>
    <w:rsid w:val="006C381F"/>
    <w:rsid w:val="006D3BCF"/>
    <w:rsid w:val="007344A2"/>
    <w:rsid w:val="00757903"/>
    <w:rsid w:val="00757FF6"/>
    <w:rsid w:val="007814E0"/>
    <w:rsid w:val="007A6E79"/>
    <w:rsid w:val="007C3BF7"/>
    <w:rsid w:val="00816301"/>
    <w:rsid w:val="00840720"/>
    <w:rsid w:val="009264B1"/>
    <w:rsid w:val="0097352D"/>
    <w:rsid w:val="009F2539"/>
    <w:rsid w:val="00A900F2"/>
    <w:rsid w:val="00B139F1"/>
    <w:rsid w:val="00B436E4"/>
    <w:rsid w:val="00B458EA"/>
    <w:rsid w:val="00C40192"/>
    <w:rsid w:val="00C91DA0"/>
    <w:rsid w:val="00CC3646"/>
    <w:rsid w:val="00D84746"/>
    <w:rsid w:val="00DD0BD9"/>
    <w:rsid w:val="00DD1FA4"/>
    <w:rsid w:val="00DE0272"/>
    <w:rsid w:val="00DE2D7E"/>
    <w:rsid w:val="00E552A2"/>
    <w:rsid w:val="00EB602B"/>
    <w:rsid w:val="00EE37A6"/>
    <w:rsid w:val="00FC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8F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9F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9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encabezado"/>
    <w:basedOn w:val="Normal"/>
    <w:link w:val="HeaderChar"/>
    <w:unhideWhenUsed/>
    <w:rsid w:val="00B139F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aliases w:val="encabezado Char"/>
    <w:basedOn w:val="DefaultParagraphFont"/>
    <w:link w:val="Header"/>
    <w:rsid w:val="00B139F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39F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139F1"/>
    <w:rPr>
      <w:kern w:val="0"/>
      <w14:ligatures w14:val="none"/>
    </w:rPr>
  </w:style>
  <w:style w:type="paragraph" w:customStyle="1" w:styleId="parrafos">
    <w:name w:val="parrafos"/>
    <w:basedOn w:val="Normal"/>
    <w:link w:val="parrafosChar"/>
    <w:qFormat/>
    <w:rsid w:val="00B139F1"/>
    <w:pPr>
      <w:spacing w:after="0" w:line="240" w:lineRule="auto"/>
      <w:jc w:val="both"/>
    </w:pPr>
    <w:rPr>
      <w:rFonts w:ascii="Cambria" w:eastAsia="Arial Unicode MS" w:hAnsi="Cambria"/>
      <w:color w:val="000000"/>
      <w:sz w:val="20"/>
      <w:szCs w:val="20"/>
      <w:bdr w:val="nil"/>
      <w:lang w:val="es-VE"/>
    </w:rPr>
  </w:style>
  <w:style w:type="character" w:customStyle="1" w:styleId="parrafosChar">
    <w:name w:val="parrafos Char"/>
    <w:link w:val="parrafos"/>
    <w:rsid w:val="00B139F1"/>
    <w:rPr>
      <w:rFonts w:ascii="Cambria" w:eastAsia="Arial Unicode MS" w:hAnsi="Cambria" w:cs="Times New Roman"/>
      <w:color w:val="000000"/>
      <w:kern w:val="0"/>
      <w:sz w:val="20"/>
      <w:szCs w:val="20"/>
      <w:bdr w:val="nil"/>
      <w:lang w:val="es-VE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139F1"/>
  </w:style>
  <w:style w:type="paragraph" w:customStyle="1" w:styleId="Default">
    <w:name w:val="Default"/>
    <w:rsid w:val="00B139F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139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39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2537</Words>
  <Characters>14461</Characters>
  <Application>Microsoft Office Word</Application>
  <DocSecurity>0</DocSecurity>
  <Lines>120</Lines>
  <Paragraphs>33</Paragraphs>
  <ScaleCrop>false</ScaleCrop>
  <Company/>
  <LinksUpToDate>false</LinksUpToDate>
  <CharactersWithSpaces>16965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2025-10-30T20:38:00Z</dcterms:created>
  <dcterms:modified xsi:type="dcterms:W3CDTF">2025-10-30T20:38:00Z</dcterms:modified>
</cp:coreProperties>
</file>