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45BF3" w14:textId="77777777" w:rsidR="0086158B" w:rsidRPr="00E731F8" w:rsidRDefault="0086158B" w:rsidP="0086158B">
      <w:pPr>
        <w:suppressAutoHyphens/>
        <w:spacing w:after="0" w:line="240" w:lineRule="auto"/>
        <w:ind w:right="270"/>
        <w:rPr>
          <w:rFonts w:ascii="Cambria" w:hAnsi="Cambria" w:cs="Calibri"/>
          <w:sz w:val="20"/>
          <w:szCs w:val="20"/>
          <w:lang w:val="es-CO"/>
        </w:rPr>
      </w:pPr>
    </w:p>
    <w:p w14:paraId="4F584D45" w14:textId="77777777" w:rsidR="0086158B" w:rsidRDefault="0086158B" w:rsidP="0086158B">
      <w:pPr>
        <w:suppressAutoHyphens/>
        <w:spacing w:after="0" w:line="240" w:lineRule="auto"/>
        <w:ind w:right="270"/>
        <w:rPr>
          <w:rFonts w:ascii="Cambria" w:hAnsi="Cambria" w:cs="Calibri"/>
          <w:sz w:val="20"/>
          <w:szCs w:val="20"/>
          <w:lang w:val="es-CO"/>
        </w:rPr>
      </w:pPr>
    </w:p>
    <w:p w14:paraId="29475D9B" w14:textId="77777777" w:rsidR="004D1C0A" w:rsidRPr="00E731F8" w:rsidRDefault="004D1C0A" w:rsidP="0086158B">
      <w:pPr>
        <w:suppressAutoHyphens/>
        <w:spacing w:after="0" w:line="240" w:lineRule="auto"/>
        <w:ind w:right="270"/>
        <w:rPr>
          <w:rFonts w:ascii="Cambria" w:hAnsi="Cambria" w:cs="Calibri"/>
          <w:sz w:val="20"/>
          <w:szCs w:val="20"/>
          <w:lang w:val="es-CO"/>
        </w:rPr>
      </w:pPr>
    </w:p>
    <w:p w14:paraId="099941A9" w14:textId="75C88961" w:rsidR="0086158B" w:rsidRPr="004D1C0A" w:rsidRDefault="0086158B" w:rsidP="0086158B">
      <w:pPr>
        <w:suppressAutoHyphens/>
        <w:spacing w:after="0" w:line="240" w:lineRule="auto"/>
        <w:ind w:left="90" w:right="270"/>
        <w:jc w:val="right"/>
        <w:rPr>
          <w:rFonts w:ascii="Cambria" w:hAnsi="Cambria" w:cs="Calibri"/>
          <w:sz w:val="20"/>
          <w:szCs w:val="20"/>
          <w:lang w:val="pt-BR"/>
        </w:rPr>
      </w:pPr>
      <w:r w:rsidRPr="004D1C0A">
        <w:rPr>
          <w:rFonts w:ascii="Cambria" w:hAnsi="Cambria" w:cs="Calibri"/>
          <w:sz w:val="20"/>
          <w:szCs w:val="20"/>
          <w:lang w:val="pt-BR"/>
        </w:rPr>
        <w:t>14 de agosto de 2025</w:t>
      </w:r>
    </w:p>
    <w:p w14:paraId="5778B1F5" w14:textId="77777777" w:rsidR="0086158B" w:rsidRPr="004D1C0A" w:rsidRDefault="0086158B" w:rsidP="0086158B">
      <w:pPr>
        <w:suppressAutoHyphens/>
        <w:spacing w:after="0" w:line="240" w:lineRule="auto"/>
        <w:ind w:left="90" w:right="270"/>
        <w:jc w:val="right"/>
        <w:rPr>
          <w:rFonts w:ascii="Cambria" w:hAnsi="Cambria" w:cs="Calibri"/>
          <w:b/>
          <w:sz w:val="20"/>
          <w:szCs w:val="20"/>
          <w:lang w:val="pt-BR"/>
        </w:rPr>
      </w:pPr>
    </w:p>
    <w:p w14:paraId="2E9F9D69" w14:textId="72CC42DE" w:rsidR="0086158B" w:rsidRPr="004D1C0A" w:rsidRDefault="0086158B" w:rsidP="0086158B">
      <w:pPr>
        <w:tabs>
          <w:tab w:val="left" w:pos="720"/>
          <w:tab w:val="center" w:pos="6480"/>
        </w:tabs>
        <w:spacing w:after="0" w:line="240" w:lineRule="auto"/>
        <w:ind w:left="90" w:right="270"/>
        <w:jc w:val="both"/>
        <w:rPr>
          <w:rFonts w:ascii="Cambria" w:hAnsi="Cambria" w:cs="Calibri"/>
          <w:b/>
          <w:sz w:val="20"/>
          <w:szCs w:val="20"/>
          <w:lang w:val="pt-BR"/>
        </w:rPr>
      </w:pPr>
      <w:r w:rsidRPr="004D1C0A">
        <w:rPr>
          <w:rFonts w:ascii="Cambria" w:hAnsi="Cambria" w:cs="Calibri"/>
          <w:b/>
          <w:sz w:val="20"/>
          <w:szCs w:val="20"/>
          <w:lang w:val="pt-BR"/>
        </w:rPr>
        <w:t>REF.:</w:t>
      </w:r>
      <w:bookmarkStart w:id="0" w:name="Peticion_n"/>
      <w:bookmarkEnd w:id="0"/>
      <w:r w:rsidRPr="004D1C0A">
        <w:rPr>
          <w:rFonts w:ascii="Cambria" w:hAnsi="Cambria" w:cs="Calibri"/>
          <w:b/>
          <w:sz w:val="20"/>
          <w:szCs w:val="20"/>
          <w:lang w:val="pt-BR"/>
        </w:rPr>
        <w:tab/>
        <w:t xml:space="preserve">Caso Nº </w:t>
      </w:r>
      <w:r w:rsidRPr="004D1C0A">
        <w:rPr>
          <w:rFonts w:ascii="Cambria" w:hAnsi="Cambria"/>
          <w:b/>
          <w:sz w:val="20"/>
          <w:szCs w:val="20"/>
          <w:lang w:val="pt-BR"/>
        </w:rPr>
        <w:t>13.337</w:t>
      </w:r>
    </w:p>
    <w:p w14:paraId="1EE54A2F" w14:textId="77777777" w:rsidR="0086158B" w:rsidRPr="00E731F8" w:rsidRDefault="0086158B" w:rsidP="0086158B">
      <w:pPr>
        <w:tabs>
          <w:tab w:val="left" w:pos="720"/>
          <w:tab w:val="center" w:pos="6480"/>
        </w:tabs>
        <w:spacing w:after="0" w:line="240" w:lineRule="auto"/>
        <w:ind w:left="90" w:right="270"/>
        <w:jc w:val="both"/>
        <w:rPr>
          <w:rFonts w:ascii="Cambria" w:hAnsi="Cambria"/>
          <w:b/>
          <w:sz w:val="20"/>
          <w:szCs w:val="20"/>
          <w:lang w:val="es-CO"/>
        </w:rPr>
      </w:pPr>
      <w:r w:rsidRPr="004D1C0A">
        <w:rPr>
          <w:rFonts w:ascii="Cambria" w:hAnsi="Cambria" w:cs="Calibri"/>
          <w:b/>
          <w:sz w:val="20"/>
          <w:szCs w:val="20"/>
          <w:lang w:val="pt-BR"/>
        </w:rPr>
        <w:tab/>
      </w:r>
      <w:r w:rsidRPr="00E731F8">
        <w:rPr>
          <w:rFonts w:ascii="Cambria" w:hAnsi="Cambria"/>
          <w:b/>
          <w:sz w:val="20"/>
          <w:szCs w:val="20"/>
          <w:lang w:val="es-CO"/>
        </w:rPr>
        <w:t xml:space="preserve">Álvaro Agustín Mejía, Juan del Cid Morales y </w:t>
      </w:r>
    </w:p>
    <w:p w14:paraId="3C668D14" w14:textId="5D5BB022" w:rsidR="0086158B" w:rsidRPr="00E731F8" w:rsidRDefault="0086158B" w:rsidP="0086158B">
      <w:pPr>
        <w:tabs>
          <w:tab w:val="left" w:pos="720"/>
          <w:tab w:val="center" w:pos="6480"/>
        </w:tabs>
        <w:spacing w:after="0" w:line="240" w:lineRule="auto"/>
        <w:ind w:left="90" w:right="270"/>
        <w:jc w:val="both"/>
        <w:rPr>
          <w:rFonts w:ascii="Cambria" w:hAnsi="Cambria"/>
          <w:b/>
          <w:sz w:val="20"/>
          <w:szCs w:val="20"/>
          <w:lang w:val="es-CO"/>
        </w:rPr>
      </w:pPr>
      <w:r w:rsidRPr="00E731F8">
        <w:rPr>
          <w:rFonts w:ascii="Cambria" w:hAnsi="Cambria"/>
          <w:b/>
          <w:sz w:val="20"/>
          <w:szCs w:val="20"/>
          <w:lang w:val="es-CO"/>
        </w:rPr>
        <w:tab/>
        <w:t>Erik Donaire Constanza Bran</w:t>
      </w:r>
    </w:p>
    <w:p w14:paraId="453EFA21" w14:textId="77777777" w:rsidR="0086158B" w:rsidRPr="00E731F8" w:rsidRDefault="0086158B" w:rsidP="0086158B">
      <w:pPr>
        <w:tabs>
          <w:tab w:val="left" w:pos="720"/>
          <w:tab w:val="center" w:pos="6480"/>
        </w:tabs>
        <w:spacing w:after="0" w:line="240" w:lineRule="auto"/>
        <w:ind w:left="90" w:right="270"/>
        <w:jc w:val="both"/>
        <w:rPr>
          <w:rFonts w:ascii="Cambria" w:hAnsi="Cambria" w:cs="Calibri"/>
          <w:b/>
          <w:sz w:val="20"/>
          <w:szCs w:val="20"/>
          <w:lang w:val="es-CO"/>
        </w:rPr>
      </w:pPr>
      <w:r w:rsidRPr="00E731F8">
        <w:rPr>
          <w:rFonts w:ascii="Cambria" w:hAnsi="Cambria" w:cs="Calibri"/>
          <w:b/>
          <w:sz w:val="20"/>
          <w:szCs w:val="20"/>
          <w:lang w:val="es-CO"/>
        </w:rPr>
        <w:tab/>
        <w:t xml:space="preserve">El Salvador </w:t>
      </w:r>
    </w:p>
    <w:p w14:paraId="1C0E90DE" w14:textId="77777777" w:rsidR="0086158B" w:rsidRPr="00E731F8" w:rsidRDefault="0086158B" w:rsidP="0086158B">
      <w:pPr>
        <w:tabs>
          <w:tab w:val="left" w:pos="720"/>
          <w:tab w:val="center" w:pos="6480"/>
        </w:tabs>
        <w:spacing w:after="0" w:line="240" w:lineRule="auto"/>
        <w:ind w:left="90" w:right="270"/>
        <w:jc w:val="both"/>
        <w:rPr>
          <w:rFonts w:ascii="Cambria" w:hAnsi="Cambria" w:cs="Calibri"/>
          <w:sz w:val="20"/>
          <w:szCs w:val="20"/>
          <w:lang w:val="es-CO"/>
        </w:rPr>
      </w:pPr>
    </w:p>
    <w:p w14:paraId="75D8560F" w14:textId="77777777" w:rsidR="0086158B" w:rsidRPr="00E731F8" w:rsidRDefault="0086158B" w:rsidP="0086158B">
      <w:pPr>
        <w:tabs>
          <w:tab w:val="left" w:pos="720"/>
          <w:tab w:val="center" w:pos="6480"/>
        </w:tabs>
        <w:spacing w:after="0" w:line="240" w:lineRule="auto"/>
        <w:ind w:left="90" w:right="270"/>
        <w:jc w:val="both"/>
        <w:rPr>
          <w:rFonts w:ascii="Cambria" w:hAnsi="Cambria" w:cs="Calibri"/>
          <w:sz w:val="20"/>
          <w:szCs w:val="20"/>
          <w:lang w:val="es-CO"/>
        </w:rPr>
      </w:pPr>
    </w:p>
    <w:p w14:paraId="076A6D3F" w14:textId="77777777" w:rsidR="0086158B" w:rsidRPr="00E731F8" w:rsidRDefault="0086158B" w:rsidP="0086158B">
      <w:pPr>
        <w:tabs>
          <w:tab w:val="left" w:pos="720"/>
          <w:tab w:val="center" w:pos="6480"/>
        </w:tabs>
        <w:spacing w:after="0" w:line="240" w:lineRule="auto"/>
        <w:ind w:left="90" w:right="270"/>
        <w:jc w:val="both"/>
        <w:rPr>
          <w:rFonts w:ascii="Cambria" w:hAnsi="Cambria" w:cs="Calibri"/>
          <w:sz w:val="20"/>
          <w:szCs w:val="20"/>
          <w:lang w:val="es-CO"/>
        </w:rPr>
      </w:pPr>
      <w:r w:rsidRPr="00E731F8">
        <w:rPr>
          <w:rFonts w:ascii="Cambria" w:hAnsi="Cambria" w:cs="Calibri"/>
          <w:sz w:val="20"/>
          <w:szCs w:val="20"/>
          <w:lang w:val="es-CO"/>
        </w:rPr>
        <w:t>Señor Secretario:</w:t>
      </w:r>
    </w:p>
    <w:p w14:paraId="18EDBDAA" w14:textId="77777777" w:rsidR="0086158B" w:rsidRPr="00E731F8" w:rsidRDefault="0086158B" w:rsidP="0086158B">
      <w:pPr>
        <w:spacing w:after="0" w:line="240" w:lineRule="auto"/>
        <w:ind w:left="90" w:right="270"/>
        <w:rPr>
          <w:rFonts w:ascii="Cambria" w:hAnsi="Cambria" w:cs="Calibri"/>
          <w:sz w:val="20"/>
          <w:szCs w:val="20"/>
          <w:lang w:val="es-CO"/>
        </w:rPr>
      </w:pPr>
    </w:p>
    <w:p w14:paraId="61AFCE98" w14:textId="553D3EC1" w:rsidR="00785055" w:rsidRPr="00E731F8" w:rsidRDefault="0086158B" w:rsidP="00DA25D9">
      <w:pPr>
        <w:tabs>
          <w:tab w:val="left" w:pos="540"/>
          <w:tab w:val="left" w:pos="1440"/>
        </w:tabs>
        <w:spacing w:after="0" w:line="240" w:lineRule="auto"/>
        <w:ind w:left="90" w:right="270"/>
        <w:jc w:val="both"/>
        <w:rPr>
          <w:rFonts w:ascii="Cambria" w:hAnsi="Cambria" w:cs="Calibri"/>
          <w:sz w:val="20"/>
          <w:szCs w:val="20"/>
          <w:lang w:val="es-CO"/>
        </w:rPr>
      </w:pPr>
      <w:r w:rsidRPr="00E731F8">
        <w:rPr>
          <w:rFonts w:ascii="Cambria" w:hAnsi="Cambria" w:cs="Calibri"/>
          <w:sz w:val="20"/>
          <w:szCs w:val="20"/>
          <w:lang w:val="es-CO"/>
        </w:rPr>
        <w:tab/>
        <w:t xml:space="preserve">Tengo el agrado de dirigirme a usted, en nombre de la Comisión Interamericana de Derechos Humanos, con el objeto de someter a la jurisdicción de la Honorable Corte Interamericana de Derechos Humanos, el Caso Nº 13.337 – Álvaro Agustín Mejía, Juan del Cid Morales y Erik Donaire Constanza Bran respecto de la República de El Salvador (en adelante “el Estado”, “el Estado salvadoreño” o “El Salvador”). </w:t>
      </w:r>
      <w:r w:rsidRPr="00E731F8">
        <w:rPr>
          <w:rFonts w:ascii="Cambria" w:eastAsia="Arial Unicode MS" w:hAnsi="Cambria"/>
          <w:color w:val="000000"/>
          <w:sz w:val="20"/>
          <w:szCs w:val="20"/>
          <w:lang w:val="es-CO"/>
        </w:rPr>
        <w:t>El caso se refiere a la responsabilidad internacional de El Salvador por la detención arbitraria,</w:t>
      </w:r>
      <w:r w:rsidR="00B26E77">
        <w:rPr>
          <w:rFonts w:ascii="Cambria" w:eastAsia="Arial Unicode MS" w:hAnsi="Cambria"/>
          <w:color w:val="000000"/>
          <w:sz w:val="20"/>
          <w:szCs w:val="20"/>
          <w:lang w:val="es-CO"/>
        </w:rPr>
        <w:t xml:space="preserve"> y la</w:t>
      </w:r>
      <w:r w:rsidRPr="00E731F8">
        <w:rPr>
          <w:rFonts w:ascii="Cambria" w:eastAsia="Arial Unicode MS" w:hAnsi="Cambria"/>
          <w:color w:val="000000"/>
          <w:sz w:val="20"/>
          <w:szCs w:val="20"/>
          <w:lang w:val="es-CO"/>
        </w:rPr>
        <w:t xml:space="preserve"> afectación al derecho a las garantías judiciales </w:t>
      </w:r>
      <w:r w:rsidR="00E62A92">
        <w:rPr>
          <w:rFonts w:ascii="Cambria" w:eastAsia="Arial Unicode MS" w:hAnsi="Cambria"/>
          <w:color w:val="000000"/>
          <w:sz w:val="20"/>
          <w:szCs w:val="20"/>
          <w:lang w:val="es-CO"/>
        </w:rPr>
        <w:t xml:space="preserve">y a la libertad de residencia y circulación </w:t>
      </w:r>
      <w:r w:rsidRPr="00E731F8">
        <w:rPr>
          <w:rFonts w:ascii="Cambria" w:eastAsia="Arial Unicode MS" w:hAnsi="Cambria"/>
          <w:color w:val="000000"/>
          <w:sz w:val="20"/>
          <w:szCs w:val="20"/>
          <w:lang w:val="es-CO"/>
        </w:rPr>
        <w:t>en perjuicio de los señores Álvaro Agustín Mejía, Juan del Cid Morales y Erik Donaire Constanza Bran, de nacionalidad guatemalteca, en septiembre de 2006.</w:t>
      </w:r>
    </w:p>
    <w:p w14:paraId="76241125" w14:textId="77777777" w:rsidR="00785055" w:rsidRPr="00E731F8" w:rsidRDefault="00785055" w:rsidP="00785055">
      <w:pPr>
        <w:tabs>
          <w:tab w:val="left" w:pos="360"/>
          <w:tab w:val="left" w:pos="540"/>
          <w:tab w:val="left" w:pos="1440"/>
        </w:tabs>
        <w:spacing w:after="0" w:line="240" w:lineRule="auto"/>
        <w:ind w:left="90" w:right="270"/>
        <w:jc w:val="both"/>
        <w:rPr>
          <w:rFonts w:ascii="Cambria" w:hAnsi="Cambria" w:cs="Calibri"/>
          <w:sz w:val="20"/>
          <w:szCs w:val="20"/>
          <w:lang w:val="es-CO"/>
        </w:rPr>
      </w:pPr>
    </w:p>
    <w:p w14:paraId="5B39F2C8" w14:textId="2CDBF389" w:rsidR="00A764D1" w:rsidRPr="00E731F8" w:rsidRDefault="00785055" w:rsidP="00126395">
      <w:pPr>
        <w:tabs>
          <w:tab w:val="left" w:pos="540"/>
          <w:tab w:val="left" w:pos="1440"/>
        </w:tabs>
        <w:spacing w:after="0" w:line="240" w:lineRule="auto"/>
        <w:ind w:left="90" w:right="270"/>
        <w:jc w:val="both"/>
        <w:rPr>
          <w:rFonts w:ascii="Cambria" w:eastAsia="Cambria" w:hAnsi="Cambria" w:cs="Cambria"/>
          <w:sz w:val="20"/>
          <w:szCs w:val="20"/>
          <w:lang w:val="es-CO"/>
        </w:rPr>
      </w:pPr>
      <w:r w:rsidRPr="00E731F8">
        <w:rPr>
          <w:rFonts w:ascii="Cambria" w:hAnsi="Cambria" w:cs="Calibri"/>
          <w:sz w:val="20"/>
          <w:szCs w:val="20"/>
          <w:lang w:val="es-CO"/>
        </w:rPr>
        <w:tab/>
      </w:r>
      <w:r w:rsidR="0086158B" w:rsidRPr="00E731F8">
        <w:rPr>
          <w:rFonts w:ascii="Cambria" w:eastAsia="Cambria" w:hAnsi="Cambria" w:cs="Cambria"/>
          <w:sz w:val="20"/>
          <w:szCs w:val="20"/>
          <w:lang w:val="es-CO"/>
        </w:rPr>
        <w:t>El 27 de septiembre de 2006, los señores Álvaro Agustín Mejía, Juan del Cid Morales y Erik Donaire Constanza Bran viajaron desde Ciudad de Guatemala a San Salvador para concretar la venta de su empresa</w:t>
      </w:r>
      <w:r w:rsidR="00A95808" w:rsidRPr="00E731F8">
        <w:rPr>
          <w:rFonts w:ascii="Cambria" w:eastAsia="Cambria" w:hAnsi="Cambria" w:cs="Cambria"/>
          <w:sz w:val="20"/>
          <w:szCs w:val="20"/>
          <w:lang w:val="es-CO"/>
        </w:rPr>
        <w:t>, lo cual se había acordado previamente con los compradores</w:t>
      </w:r>
      <w:r w:rsidR="0086158B" w:rsidRPr="00E731F8">
        <w:rPr>
          <w:rFonts w:ascii="Cambria" w:eastAsia="Cambria" w:hAnsi="Cambria" w:cs="Cambria"/>
          <w:sz w:val="20"/>
          <w:szCs w:val="20"/>
          <w:lang w:val="es-CO"/>
        </w:rPr>
        <w:t xml:space="preserve">. Según la parte peticionaria, el propósito de la reunión era entregar los documentos que acreditaban la legalidad de la compañía y recibir el pago correspondiente. </w:t>
      </w:r>
      <w:r w:rsidR="005A1E0A" w:rsidRPr="00E731F8">
        <w:rPr>
          <w:rFonts w:ascii="Cambria" w:eastAsia="Cambria" w:hAnsi="Cambria" w:cs="Cambria"/>
          <w:sz w:val="20"/>
          <w:szCs w:val="20"/>
          <w:lang w:val="es-CO"/>
        </w:rPr>
        <w:t>El relato</w:t>
      </w:r>
      <w:r w:rsidR="00126395" w:rsidRPr="00E731F8">
        <w:rPr>
          <w:rFonts w:ascii="Cambria" w:eastAsia="Cambria" w:hAnsi="Cambria" w:cs="Cambria"/>
          <w:sz w:val="20"/>
          <w:szCs w:val="20"/>
          <w:lang w:val="es-CO"/>
        </w:rPr>
        <w:t xml:space="preserve"> de la parte peticionaria indica que, estando en San Salvador, fueron al restaurante “Tenedores” ubicado en el centro comercial Gran Vía, en donde aproximadamente a las 13:30 horas le entregaron al comprador los documentos para la venta de la empresa. </w:t>
      </w:r>
      <w:r w:rsidR="00D33D14" w:rsidRPr="00E731F8">
        <w:rPr>
          <w:rFonts w:ascii="Cambria" w:eastAsia="Cambria" w:hAnsi="Cambria" w:cs="Cambria"/>
          <w:sz w:val="20"/>
          <w:szCs w:val="20"/>
          <w:lang w:val="es-CO"/>
        </w:rPr>
        <w:t>E</w:t>
      </w:r>
      <w:r w:rsidR="00126395" w:rsidRPr="00E731F8">
        <w:rPr>
          <w:rFonts w:ascii="Cambria" w:eastAsia="Cambria" w:hAnsi="Cambria" w:cs="Cambria"/>
          <w:sz w:val="20"/>
          <w:szCs w:val="20"/>
          <w:lang w:val="es-CO"/>
        </w:rPr>
        <w:t>n ese momento la persona que los estaba atendiendo hizo una seña y fueron interceptados y tirados al piso por la Policía Nacional</w:t>
      </w:r>
      <w:r w:rsidR="00675304" w:rsidRPr="00E731F8">
        <w:rPr>
          <w:rFonts w:ascii="Cambria" w:eastAsia="Cambria" w:hAnsi="Cambria" w:cs="Cambria"/>
          <w:sz w:val="20"/>
          <w:szCs w:val="20"/>
          <w:lang w:val="es-CO"/>
        </w:rPr>
        <w:t>, ante lo cual a</w:t>
      </w:r>
      <w:r w:rsidR="00126395" w:rsidRPr="00E731F8">
        <w:rPr>
          <w:rFonts w:ascii="Cambria" w:eastAsia="Cambria" w:hAnsi="Cambria" w:cs="Cambria"/>
          <w:sz w:val="20"/>
          <w:szCs w:val="20"/>
          <w:lang w:val="es-CO"/>
        </w:rPr>
        <w:t>proximadamente 30 agentes estatales ingresaron al local con los rostros cubiertos y algunos de ellos vestidos de civil. Afirmó que, en ese momento, las víctimas fueron detenidas y esposadas sin una orden judicial, sin indicarles las razones de su detención y tampoco se les permitió hablar bajo amenaza de muerte</w:t>
      </w:r>
      <w:r w:rsidR="0086158B" w:rsidRPr="00E731F8">
        <w:rPr>
          <w:rFonts w:ascii="Cambria" w:eastAsia="Cambria" w:hAnsi="Cambria" w:cs="Cambria"/>
          <w:sz w:val="20"/>
          <w:szCs w:val="20"/>
          <w:lang w:val="es-CO"/>
        </w:rPr>
        <w:t xml:space="preserve">. </w:t>
      </w:r>
    </w:p>
    <w:p w14:paraId="4BB55DCA" w14:textId="77777777" w:rsidR="00A764D1" w:rsidRPr="00E731F8" w:rsidRDefault="00A764D1" w:rsidP="00126395">
      <w:pPr>
        <w:tabs>
          <w:tab w:val="left" w:pos="540"/>
          <w:tab w:val="left" w:pos="1440"/>
        </w:tabs>
        <w:spacing w:after="0" w:line="240" w:lineRule="auto"/>
        <w:ind w:left="90" w:right="270"/>
        <w:jc w:val="both"/>
        <w:rPr>
          <w:rFonts w:ascii="Cambria" w:eastAsia="Cambria" w:hAnsi="Cambria" w:cs="Cambria"/>
          <w:sz w:val="20"/>
          <w:szCs w:val="20"/>
          <w:lang w:val="es-CO"/>
        </w:rPr>
      </w:pPr>
    </w:p>
    <w:p w14:paraId="0AF2D3DD" w14:textId="5F550E29" w:rsidR="00785055" w:rsidRPr="00E731F8" w:rsidRDefault="00A764D1" w:rsidP="002358B9">
      <w:pPr>
        <w:tabs>
          <w:tab w:val="left" w:pos="540"/>
          <w:tab w:val="left" w:pos="1440"/>
        </w:tabs>
        <w:spacing w:after="0" w:line="240" w:lineRule="auto"/>
        <w:ind w:left="90" w:right="270"/>
        <w:jc w:val="both"/>
        <w:rPr>
          <w:rFonts w:ascii="Cambria" w:eastAsia="Cambria" w:hAnsi="Cambria" w:cs="Cambria"/>
          <w:sz w:val="20"/>
          <w:szCs w:val="20"/>
          <w:lang w:val="es-CO"/>
        </w:rPr>
      </w:pPr>
      <w:r w:rsidRPr="00E731F8">
        <w:rPr>
          <w:rFonts w:ascii="Cambria" w:eastAsia="Cambria" w:hAnsi="Cambria" w:cs="Cambria"/>
          <w:sz w:val="20"/>
          <w:szCs w:val="20"/>
          <w:lang w:val="es-CO"/>
        </w:rPr>
        <w:tab/>
        <w:t xml:space="preserve">De acuerdo con lo informado por la parte peticionaria, </w:t>
      </w:r>
      <w:r w:rsidR="0086158B" w:rsidRPr="00E731F8">
        <w:rPr>
          <w:rFonts w:ascii="Cambria" w:eastAsia="Cambria" w:hAnsi="Cambria" w:cs="Cambria"/>
          <w:sz w:val="20"/>
          <w:szCs w:val="20"/>
          <w:lang w:val="es-CO"/>
        </w:rPr>
        <w:t xml:space="preserve">fueron trasladados a un estacionamiento donde se encontraba el agente de la </w:t>
      </w:r>
      <w:r w:rsidR="005E6BED" w:rsidRPr="00E731F8">
        <w:rPr>
          <w:rFonts w:ascii="Cambria" w:eastAsia="Cambria" w:hAnsi="Cambria" w:cs="Cambria"/>
          <w:sz w:val="20"/>
          <w:szCs w:val="20"/>
          <w:lang w:val="es-CO"/>
        </w:rPr>
        <w:t>Administración para el Control de Drogas de Estados Unidos (</w:t>
      </w:r>
      <w:r w:rsidR="0086158B" w:rsidRPr="00E731F8">
        <w:rPr>
          <w:rFonts w:ascii="Cambria" w:eastAsia="Cambria" w:hAnsi="Cambria" w:cs="Cambria"/>
          <w:sz w:val="20"/>
          <w:szCs w:val="20"/>
          <w:lang w:val="es-CO"/>
        </w:rPr>
        <w:t>DEA</w:t>
      </w:r>
      <w:r w:rsidR="005E6BED" w:rsidRPr="00E731F8">
        <w:rPr>
          <w:rFonts w:ascii="Cambria" w:eastAsia="Cambria" w:hAnsi="Cambria" w:cs="Cambria"/>
          <w:sz w:val="20"/>
          <w:szCs w:val="20"/>
          <w:lang w:val="es-CO"/>
        </w:rPr>
        <w:t>)</w:t>
      </w:r>
      <w:r w:rsidR="0086158B" w:rsidRPr="00E731F8">
        <w:rPr>
          <w:rFonts w:ascii="Cambria" w:eastAsia="Cambria" w:hAnsi="Cambria" w:cs="Cambria"/>
          <w:sz w:val="20"/>
          <w:szCs w:val="20"/>
          <w:lang w:val="es-CO"/>
        </w:rPr>
        <w:t>, Stephen Fraga, quien daba instrucciones a los oficiales salvadoreños.</w:t>
      </w:r>
      <w:r w:rsidR="004723D2" w:rsidRPr="00E731F8">
        <w:rPr>
          <w:rFonts w:ascii="Cambria" w:eastAsia="Cambria" w:hAnsi="Cambria" w:cs="Cambria"/>
          <w:sz w:val="20"/>
          <w:szCs w:val="20"/>
          <w:lang w:val="es-CO"/>
        </w:rPr>
        <w:t xml:space="preserve"> Posteriormente fueron trasladados en vehículos sin identificación, de color verde y azul, hasta</w:t>
      </w:r>
      <w:r w:rsidR="002358B9" w:rsidRPr="00E731F8">
        <w:rPr>
          <w:rFonts w:ascii="Cambria" w:eastAsia="Cambria" w:hAnsi="Cambria" w:cs="Cambria"/>
          <w:sz w:val="20"/>
          <w:szCs w:val="20"/>
          <w:lang w:val="es-CO"/>
        </w:rPr>
        <w:t xml:space="preserve"> un aeropuerto que</w:t>
      </w:r>
      <w:r w:rsidR="00FE2798" w:rsidRPr="00E731F8">
        <w:rPr>
          <w:rFonts w:ascii="Cambria" w:eastAsia="Cambria" w:hAnsi="Cambria" w:cs="Cambria"/>
          <w:sz w:val="20"/>
          <w:szCs w:val="20"/>
          <w:lang w:val="es-CO"/>
        </w:rPr>
        <w:t xml:space="preserve">, </w:t>
      </w:r>
      <w:r w:rsidR="002358B9" w:rsidRPr="00E731F8">
        <w:rPr>
          <w:rFonts w:ascii="Cambria" w:eastAsia="Cambria" w:hAnsi="Cambria" w:cs="Cambria"/>
          <w:sz w:val="20"/>
          <w:szCs w:val="20"/>
          <w:lang w:val="es-CO"/>
        </w:rPr>
        <w:t>según pudo identificar una de las víctimas</w:t>
      </w:r>
      <w:r w:rsidR="00FE2798" w:rsidRPr="00E731F8">
        <w:rPr>
          <w:rFonts w:ascii="Cambria" w:eastAsia="Cambria" w:hAnsi="Cambria" w:cs="Cambria"/>
          <w:sz w:val="20"/>
          <w:szCs w:val="20"/>
          <w:lang w:val="es-CO"/>
        </w:rPr>
        <w:t xml:space="preserve">, </w:t>
      </w:r>
      <w:r w:rsidR="002358B9" w:rsidRPr="00E731F8">
        <w:rPr>
          <w:rFonts w:ascii="Cambria" w:eastAsia="Cambria" w:hAnsi="Cambria" w:cs="Cambria"/>
          <w:sz w:val="20"/>
          <w:szCs w:val="20"/>
          <w:lang w:val="es-CO"/>
        </w:rPr>
        <w:t xml:space="preserve">tenía un aspecto de base militar. Indicó que durante el trayecto les apretaron excesivamente las esposas, los amenazaron de muerte, les tomaron fotografías y no tuvieron oportunidad de realizar una llamada telefónica, ni de tener contacto con la Embajada de Guatemala. </w:t>
      </w:r>
      <w:r w:rsidR="00FE002E" w:rsidRPr="00E731F8">
        <w:rPr>
          <w:rFonts w:ascii="Cambria" w:eastAsia="Cambria" w:hAnsi="Cambria" w:cs="Cambria"/>
          <w:sz w:val="20"/>
          <w:szCs w:val="20"/>
          <w:lang w:val="es-CO"/>
        </w:rPr>
        <w:t xml:space="preserve">Estos hechos no fueron refutados por el Estado. </w:t>
      </w:r>
    </w:p>
    <w:p w14:paraId="05E1A0B7" w14:textId="77777777" w:rsidR="002358B9" w:rsidRPr="00E731F8" w:rsidRDefault="002358B9" w:rsidP="002358B9">
      <w:pPr>
        <w:tabs>
          <w:tab w:val="left" w:pos="540"/>
          <w:tab w:val="left" w:pos="1440"/>
        </w:tabs>
        <w:spacing w:after="0" w:line="240" w:lineRule="auto"/>
        <w:ind w:left="90" w:right="270"/>
        <w:jc w:val="both"/>
        <w:rPr>
          <w:rFonts w:ascii="Cambria" w:hAnsi="Cambria" w:cs="Calibri"/>
          <w:sz w:val="20"/>
          <w:szCs w:val="20"/>
          <w:lang w:val="es-CO"/>
        </w:rPr>
      </w:pPr>
    </w:p>
    <w:p w14:paraId="65D441EB" w14:textId="402FA34D" w:rsidR="00785055" w:rsidRPr="00E731F8" w:rsidRDefault="00785055" w:rsidP="00FE002E">
      <w:pPr>
        <w:tabs>
          <w:tab w:val="left" w:pos="540"/>
          <w:tab w:val="left" w:pos="1440"/>
        </w:tabs>
        <w:spacing w:after="0" w:line="240" w:lineRule="auto"/>
        <w:ind w:left="90" w:right="270"/>
        <w:jc w:val="both"/>
        <w:rPr>
          <w:rFonts w:ascii="Cambria" w:eastAsia="Cambria" w:hAnsi="Cambria" w:cs="Cambria"/>
          <w:sz w:val="20"/>
          <w:szCs w:val="20"/>
          <w:lang w:val="es-CO"/>
        </w:rPr>
      </w:pPr>
      <w:r w:rsidRPr="00E731F8">
        <w:rPr>
          <w:rFonts w:ascii="Cambria" w:hAnsi="Cambria" w:cs="Calibri"/>
          <w:sz w:val="20"/>
          <w:szCs w:val="20"/>
          <w:lang w:val="es-CO"/>
        </w:rPr>
        <w:tab/>
      </w:r>
      <w:r w:rsidR="0083736B" w:rsidRPr="00E731F8">
        <w:rPr>
          <w:rFonts w:ascii="Cambria" w:hAnsi="Cambria" w:cs="Calibri"/>
          <w:sz w:val="20"/>
          <w:szCs w:val="20"/>
          <w:lang w:val="es-CO"/>
        </w:rPr>
        <w:t xml:space="preserve">Durante el trámite ante la CIDH </w:t>
      </w:r>
      <w:r w:rsidR="0083736B" w:rsidRPr="00E731F8">
        <w:rPr>
          <w:rFonts w:ascii="Cambria" w:eastAsia="Cambria" w:hAnsi="Cambria" w:cs="Cambria"/>
          <w:sz w:val="20"/>
          <w:szCs w:val="20"/>
          <w:lang w:val="es-CO"/>
        </w:rPr>
        <w:t>e</w:t>
      </w:r>
      <w:r w:rsidR="0086158B" w:rsidRPr="00E731F8">
        <w:rPr>
          <w:rFonts w:ascii="Cambria" w:eastAsia="Cambria" w:hAnsi="Cambria" w:cs="Cambria"/>
          <w:sz w:val="20"/>
          <w:szCs w:val="20"/>
          <w:lang w:val="es-CO"/>
        </w:rPr>
        <w:t xml:space="preserve">l Estado salvadoreño afirmó que ni la Policía Nacional ni la Fiscalía General tienen registros de procedimientos policiales relacionados </w:t>
      </w:r>
      <w:r w:rsidR="00217B74" w:rsidRPr="00E731F8">
        <w:rPr>
          <w:rFonts w:ascii="Cambria" w:eastAsia="Cambria" w:hAnsi="Cambria" w:cs="Cambria"/>
          <w:sz w:val="20"/>
          <w:szCs w:val="20"/>
          <w:lang w:val="es-CO"/>
        </w:rPr>
        <w:t>bajo los nombres de</w:t>
      </w:r>
      <w:r w:rsidR="0086158B" w:rsidRPr="00E731F8">
        <w:rPr>
          <w:rFonts w:ascii="Cambria" w:eastAsia="Cambria" w:hAnsi="Cambria" w:cs="Cambria"/>
          <w:sz w:val="20"/>
          <w:szCs w:val="20"/>
          <w:lang w:val="es-CO"/>
        </w:rPr>
        <w:t xml:space="preserve"> las víctimas</w:t>
      </w:r>
      <w:r w:rsidR="0083736B" w:rsidRPr="00E731F8">
        <w:rPr>
          <w:rFonts w:ascii="Cambria" w:eastAsia="Cambria" w:hAnsi="Cambria" w:cs="Cambria"/>
          <w:sz w:val="20"/>
          <w:szCs w:val="20"/>
          <w:lang w:val="es-CO"/>
        </w:rPr>
        <w:t xml:space="preserve"> y, con respecto a la extradición, </w:t>
      </w:r>
      <w:r w:rsidR="00FE002E" w:rsidRPr="00E731F8">
        <w:rPr>
          <w:rFonts w:ascii="Cambria" w:eastAsia="Cambria" w:hAnsi="Cambria" w:cs="Cambria"/>
          <w:sz w:val="20"/>
          <w:szCs w:val="20"/>
          <w:lang w:val="es-CO"/>
        </w:rPr>
        <w:t>sostuvo que de acuerdo con el ordenamiento jurídico salvadoreño la facultad para otorgarla está conferida a la Corte Suprema de Justicia</w:t>
      </w:r>
      <w:r w:rsidR="0086158B" w:rsidRPr="00E731F8">
        <w:rPr>
          <w:rFonts w:ascii="Cambria" w:eastAsia="Cambria" w:hAnsi="Cambria" w:cs="Cambria"/>
          <w:sz w:val="20"/>
          <w:szCs w:val="20"/>
          <w:lang w:val="es-CO"/>
        </w:rPr>
        <w:t>.</w:t>
      </w:r>
    </w:p>
    <w:p w14:paraId="78CA561A" w14:textId="77777777" w:rsidR="00E14F1E" w:rsidRPr="00E731F8" w:rsidRDefault="00E14F1E" w:rsidP="00FE002E">
      <w:pPr>
        <w:tabs>
          <w:tab w:val="left" w:pos="540"/>
          <w:tab w:val="left" w:pos="1440"/>
        </w:tabs>
        <w:spacing w:after="0" w:line="240" w:lineRule="auto"/>
        <w:ind w:left="90" w:right="270"/>
        <w:jc w:val="both"/>
        <w:rPr>
          <w:rFonts w:ascii="Cambria" w:eastAsia="Cambria" w:hAnsi="Cambria" w:cs="Cambria"/>
          <w:sz w:val="20"/>
          <w:szCs w:val="20"/>
          <w:lang w:val="es-CO"/>
        </w:rPr>
      </w:pPr>
    </w:p>
    <w:p w14:paraId="79C53D91" w14:textId="77777777" w:rsidR="004D1C0A" w:rsidRDefault="004D1C0A" w:rsidP="0018587B">
      <w:pPr>
        <w:spacing w:after="0" w:line="240" w:lineRule="auto"/>
        <w:ind w:left="90" w:right="270"/>
        <w:jc w:val="both"/>
        <w:rPr>
          <w:rFonts w:ascii="Cambria" w:hAnsi="Cambria" w:cs="Calibri"/>
          <w:snapToGrid w:val="0"/>
          <w:sz w:val="20"/>
          <w:szCs w:val="20"/>
          <w:lang w:val="es-CO"/>
        </w:rPr>
      </w:pPr>
    </w:p>
    <w:p w14:paraId="5959D6FD" w14:textId="77777777" w:rsidR="004D1C0A" w:rsidRDefault="004D1C0A" w:rsidP="0018587B">
      <w:pPr>
        <w:spacing w:after="0" w:line="240" w:lineRule="auto"/>
        <w:ind w:left="90" w:right="270"/>
        <w:jc w:val="both"/>
        <w:rPr>
          <w:rFonts w:ascii="Cambria" w:hAnsi="Cambria" w:cs="Calibri"/>
          <w:snapToGrid w:val="0"/>
          <w:sz w:val="20"/>
          <w:szCs w:val="20"/>
          <w:lang w:val="es-CO"/>
        </w:rPr>
      </w:pPr>
    </w:p>
    <w:p w14:paraId="6B00764A" w14:textId="1ED7D6D8" w:rsidR="0018587B" w:rsidRPr="00E731F8" w:rsidRDefault="0018587B" w:rsidP="0018587B">
      <w:pPr>
        <w:spacing w:after="0" w:line="240" w:lineRule="auto"/>
        <w:ind w:left="90" w:right="270"/>
        <w:jc w:val="both"/>
        <w:rPr>
          <w:rFonts w:ascii="Cambria" w:hAnsi="Cambria" w:cs="Calibri"/>
          <w:snapToGrid w:val="0"/>
          <w:sz w:val="20"/>
          <w:szCs w:val="20"/>
          <w:lang w:val="es-CO"/>
        </w:rPr>
      </w:pPr>
      <w:r w:rsidRPr="00E731F8">
        <w:rPr>
          <w:rFonts w:ascii="Cambria" w:hAnsi="Cambria" w:cs="Calibri"/>
          <w:snapToGrid w:val="0"/>
          <w:sz w:val="20"/>
          <w:szCs w:val="20"/>
          <w:lang w:val="es-CO"/>
        </w:rPr>
        <w:t>Señor</w:t>
      </w:r>
    </w:p>
    <w:p w14:paraId="0BC6DB17" w14:textId="77777777" w:rsidR="0018587B" w:rsidRPr="00E731F8" w:rsidRDefault="0018587B" w:rsidP="0018587B">
      <w:pPr>
        <w:suppressAutoHyphens/>
        <w:spacing w:after="0" w:line="240" w:lineRule="auto"/>
        <w:ind w:left="90" w:right="270"/>
        <w:rPr>
          <w:rFonts w:ascii="Cambria" w:hAnsi="Cambria" w:cs="Calibri"/>
          <w:snapToGrid w:val="0"/>
          <w:sz w:val="20"/>
          <w:szCs w:val="20"/>
          <w:lang w:val="es-CO"/>
        </w:rPr>
      </w:pPr>
      <w:r w:rsidRPr="00E731F8">
        <w:rPr>
          <w:rFonts w:ascii="Cambria" w:hAnsi="Cambria" w:cs="Calibri"/>
          <w:snapToGrid w:val="0"/>
          <w:sz w:val="20"/>
          <w:szCs w:val="20"/>
          <w:lang w:val="es-CO"/>
        </w:rPr>
        <w:t>Pablo Saavedra Alessandri</w:t>
      </w:r>
    </w:p>
    <w:p w14:paraId="66CFAB8A" w14:textId="77777777" w:rsidR="0018587B" w:rsidRPr="00E731F8" w:rsidRDefault="0018587B" w:rsidP="0018587B">
      <w:pPr>
        <w:suppressAutoHyphens/>
        <w:spacing w:after="0" w:line="240" w:lineRule="auto"/>
        <w:ind w:left="90" w:right="270"/>
        <w:rPr>
          <w:rFonts w:ascii="Cambria" w:hAnsi="Cambria" w:cs="Calibri"/>
          <w:snapToGrid w:val="0"/>
          <w:sz w:val="20"/>
          <w:szCs w:val="20"/>
          <w:lang w:val="es-CO"/>
        </w:rPr>
      </w:pPr>
      <w:r w:rsidRPr="00E731F8">
        <w:rPr>
          <w:rFonts w:ascii="Cambria" w:hAnsi="Cambria" w:cs="Calibri"/>
          <w:snapToGrid w:val="0"/>
          <w:sz w:val="20"/>
          <w:szCs w:val="20"/>
          <w:lang w:val="es-CO"/>
        </w:rPr>
        <w:t>Secretario</w:t>
      </w:r>
    </w:p>
    <w:p w14:paraId="47F4B116" w14:textId="77777777" w:rsidR="0018587B" w:rsidRPr="00E731F8" w:rsidRDefault="0018587B" w:rsidP="0018587B">
      <w:pPr>
        <w:suppressAutoHyphens/>
        <w:spacing w:after="0" w:line="240" w:lineRule="auto"/>
        <w:ind w:left="90" w:right="270"/>
        <w:rPr>
          <w:rFonts w:ascii="Cambria" w:hAnsi="Cambria" w:cs="Calibri"/>
          <w:snapToGrid w:val="0"/>
          <w:sz w:val="20"/>
          <w:szCs w:val="20"/>
          <w:lang w:val="es-CO"/>
        </w:rPr>
      </w:pPr>
      <w:r w:rsidRPr="00E731F8">
        <w:rPr>
          <w:rFonts w:ascii="Cambria" w:hAnsi="Cambria" w:cs="Calibri"/>
          <w:snapToGrid w:val="0"/>
          <w:sz w:val="20"/>
          <w:szCs w:val="20"/>
          <w:lang w:val="es-CO"/>
        </w:rPr>
        <w:t>Corte Interamericana de Derechos Humanos</w:t>
      </w:r>
    </w:p>
    <w:p w14:paraId="113A7EAC" w14:textId="77777777" w:rsidR="0018587B" w:rsidRPr="00E731F8" w:rsidRDefault="0018587B" w:rsidP="0018587B">
      <w:pPr>
        <w:suppressAutoHyphens/>
        <w:spacing w:after="0" w:line="240" w:lineRule="auto"/>
        <w:ind w:left="90" w:right="270"/>
        <w:rPr>
          <w:rFonts w:ascii="Cambria" w:hAnsi="Cambria" w:cs="Calibri"/>
          <w:snapToGrid w:val="0"/>
          <w:sz w:val="20"/>
          <w:szCs w:val="20"/>
          <w:lang w:val="es-CO"/>
        </w:rPr>
      </w:pPr>
      <w:r w:rsidRPr="00E731F8">
        <w:rPr>
          <w:rFonts w:ascii="Cambria" w:hAnsi="Cambria" w:cs="Calibri"/>
          <w:snapToGrid w:val="0"/>
          <w:sz w:val="20"/>
          <w:szCs w:val="20"/>
          <w:lang w:val="es-CO"/>
        </w:rPr>
        <w:t>San José, Costa Rica</w:t>
      </w:r>
    </w:p>
    <w:p w14:paraId="513B7029" w14:textId="38170B10" w:rsidR="00E14F1E" w:rsidRPr="00E731F8" w:rsidRDefault="00076D68" w:rsidP="00764A77">
      <w:pPr>
        <w:tabs>
          <w:tab w:val="left" w:pos="540"/>
          <w:tab w:val="left" w:pos="1440"/>
        </w:tabs>
        <w:spacing w:after="0" w:line="240" w:lineRule="auto"/>
        <w:ind w:left="90" w:right="270"/>
        <w:jc w:val="both"/>
        <w:rPr>
          <w:rFonts w:ascii="Cambria" w:eastAsia="Cambria" w:hAnsi="Cambria" w:cs="Cambria"/>
          <w:sz w:val="20"/>
          <w:szCs w:val="20"/>
          <w:lang w:val="es-CO"/>
        </w:rPr>
      </w:pPr>
      <w:r w:rsidRPr="00E731F8">
        <w:rPr>
          <w:rFonts w:ascii="Cambria" w:eastAsia="Cambria" w:hAnsi="Cambria" w:cs="Cambria"/>
          <w:sz w:val="20"/>
          <w:szCs w:val="20"/>
          <w:lang w:val="es-CO"/>
        </w:rPr>
        <w:lastRenderedPageBreak/>
        <w:tab/>
      </w:r>
      <w:r w:rsidR="00764A77" w:rsidRPr="00E731F8">
        <w:rPr>
          <w:rFonts w:ascii="Cambria" w:eastAsia="Cambria" w:hAnsi="Cambria" w:cs="Cambria"/>
          <w:sz w:val="20"/>
          <w:szCs w:val="20"/>
          <w:lang w:val="es-CO"/>
        </w:rPr>
        <w:t xml:space="preserve">Un memorándum de la Corte del Distrito de Columbia en Estados Unidos indicó que </w:t>
      </w:r>
      <w:r w:rsidR="00BA6C25" w:rsidRPr="00E731F8">
        <w:rPr>
          <w:rFonts w:ascii="Cambria" w:eastAsia="Cambria" w:hAnsi="Cambria" w:cs="Cambria"/>
          <w:sz w:val="20"/>
          <w:szCs w:val="20"/>
          <w:lang w:val="es-CO"/>
        </w:rPr>
        <w:t xml:space="preserve">las víctimas fueron arrestados en El Salvador el 27 de septiembre de 2006, y viajaron a Estados Unidos bajo la custodia de agentes de la DEA. </w:t>
      </w:r>
      <w:r w:rsidR="008636DB" w:rsidRPr="00E731F8">
        <w:rPr>
          <w:rFonts w:ascii="Cambria" w:eastAsia="Cambria" w:hAnsi="Cambria" w:cs="Cambria"/>
          <w:sz w:val="20"/>
          <w:szCs w:val="20"/>
          <w:lang w:val="es-CO"/>
        </w:rPr>
        <w:t xml:space="preserve">Además, dicha Corte afirmó que “el 26 de septiembre de 2006, agentes de la Policía Nacional de El Salvador se reunieron con agentes de la DEA en las oficinas de la DEA en El Salvador para discutir el arresto de los acusados, en donde los agentes de la DEA Fraga y Sandoval estuvieron presentes”, compartieron información sobre las víctimas con las autoridades salvadoreñas y establecieron la forma en que se realizaría el arresto. Adicionalmente, la Corte del Distrito de Columbia </w:t>
      </w:r>
      <w:r w:rsidR="00764A77" w:rsidRPr="00E731F8">
        <w:rPr>
          <w:rFonts w:ascii="Cambria" w:eastAsia="Cambria" w:hAnsi="Cambria" w:cs="Cambria"/>
          <w:sz w:val="20"/>
          <w:szCs w:val="20"/>
          <w:lang w:val="es-CO"/>
        </w:rPr>
        <w:t xml:space="preserve">señaló </w:t>
      </w:r>
      <w:r w:rsidR="008636DB" w:rsidRPr="00E731F8">
        <w:rPr>
          <w:rFonts w:ascii="Cambria" w:eastAsia="Cambria" w:hAnsi="Cambria" w:cs="Cambria"/>
          <w:sz w:val="20"/>
          <w:szCs w:val="20"/>
          <w:lang w:val="es-CO"/>
        </w:rPr>
        <w:t>que la decisión de arrestar a las víctimas, y los detalles administrativos y tácticos para llevar a cabo esta operación estuvo a cargo de la fuerza</w:t>
      </w:r>
      <w:r w:rsidR="00764A77" w:rsidRPr="00E731F8">
        <w:rPr>
          <w:rFonts w:ascii="Cambria" w:eastAsia="Cambria" w:hAnsi="Cambria" w:cs="Cambria"/>
          <w:sz w:val="20"/>
          <w:szCs w:val="20"/>
          <w:lang w:val="es-CO"/>
        </w:rPr>
        <w:t xml:space="preserve"> </w:t>
      </w:r>
      <w:r w:rsidR="008636DB" w:rsidRPr="00E731F8">
        <w:rPr>
          <w:rFonts w:ascii="Cambria" w:eastAsia="Cambria" w:hAnsi="Cambria" w:cs="Cambria"/>
          <w:sz w:val="20"/>
          <w:szCs w:val="20"/>
          <w:lang w:val="es-CO"/>
        </w:rPr>
        <w:t>pública salvadoreña</w:t>
      </w:r>
      <w:r w:rsidR="00764A77" w:rsidRPr="00E731F8">
        <w:rPr>
          <w:rFonts w:ascii="Cambria" w:eastAsia="Cambria" w:hAnsi="Cambria" w:cs="Cambria"/>
          <w:sz w:val="20"/>
          <w:szCs w:val="20"/>
          <w:lang w:val="es-CO"/>
        </w:rPr>
        <w:t xml:space="preserve">. </w:t>
      </w:r>
    </w:p>
    <w:p w14:paraId="46C047C0" w14:textId="77777777" w:rsidR="00785055" w:rsidRPr="00E731F8" w:rsidRDefault="00785055" w:rsidP="00785055">
      <w:pPr>
        <w:tabs>
          <w:tab w:val="left" w:pos="360"/>
          <w:tab w:val="left" w:pos="540"/>
          <w:tab w:val="left" w:pos="1440"/>
        </w:tabs>
        <w:spacing w:after="0" w:line="240" w:lineRule="auto"/>
        <w:ind w:left="90" w:right="270"/>
        <w:jc w:val="both"/>
        <w:rPr>
          <w:rFonts w:ascii="Cambria" w:hAnsi="Cambria" w:cs="Calibri"/>
          <w:sz w:val="16"/>
          <w:szCs w:val="16"/>
          <w:lang w:val="es-CO"/>
        </w:rPr>
      </w:pPr>
    </w:p>
    <w:p w14:paraId="63B526A8" w14:textId="12A0C3D4" w:rsidR="008108D4" w:rsidRPr="00E731F8" w:rsidRDefault="00EF23E6" w:rsidP="008108D4">
      <w:pPr>
        <w:tabs>
          <w:tab w:val="left" w:pos="567"/>
          <w:tab w:val="left" w:pos="1440"/>
        </w:tabs>
        <w:spacing w:after="0" w:line="240" w:lineRule="auto"/>
        <w:ind w:left="90" w:right="270"/>
        <w:jc w:val="both"/>
        <w:rPr>
          <w:rFonts w:ascii="Cambria" w:hAnsi="Cambria"/>
          <w:sz w:val="20"/>
          <w:szCs w:val="20"/>
          <w:lang w:val="es-CO"/>
        </w:rPr>
      </w:pPr>
      <w:r w:rsidRPr="00E731F8">
        <w:rPr>
          <w:rFonts w:ascii="Cambria" w:eastAsia="Cambria" w:hAnsi="Cambria" w:cs="Cambria"/>
          <w:sz w:val="20"/>
          <w:szCs w:val="20"/>
          <w:lang w:val="es-CO"/>
        </w:rPr>
        <w:tab/>
      </w:r>
      <w:r w:rsidR="000714E4" w:rsidRPr="00E731F8">
        <w:rPr>
          <w:rFonts w:ascii="Cambria" w:eastAsia="Cambria" w:hAnsi="Cambria" w:cs="Cambria"/>
          <w:sz w:val="20"/>
          <w:szCs w:val="20"/>
          <w:lang w:val="es-CO"/>
        </w:rPr>
        <w:t>Respecto al traslado de los acusados desde El Salvador a Estados Unidos, la Corte de Columbia señaló que e</w:t>
      </w:r>
      <w:r w:rsidR="00C6252F" w:rsidRPr="00E731F8">
        <w:rPr>
          <w:rFonts w:ascii="Cambria" w:eastAsia="Cambria" w:hAnsi="Cambria" w:cs="Cambria"/>
          <w:sz w:val="20"/>
          <w:szCs w:val="20"/>
          <w:lang w:val="es-CO"/>
        </w:rPr>
        <w:t>l mismo 27 de septiembre de 2006, a las 15:00 horas, los agentes de la DEA Fraga y Sandoval encontraron a las víctimas en el aeropuerto de El Salvador, donde ya esperaba un avión de la DEA. Inmediatamente, los tres detenidos fueron subidos a la aeronave junto con dos agentes de la DEA y dos pilotos, aterrizando en Fort Lauderdale, Florida, a las 22:00 horas del mismo día.</w:t>
      </w:r>
      <w:r w:rsidR="00E83165">
        <w:rPr>
          <w:rFonts w:ascii="Cambria" w:eastAsia="Cambria" w:hAnsi="Cambria" w:cs="Cambria"/>
          <w:sz w:val="20"/>
          <w:szCs w:val="20"/>
          <w:lang w:val="es-CO"/>
        </w:rPr>
        <w:t xml:space="preserve"> Dicha</w:t>
      </w:r>
      <w:r w:rsidR="00C6252F" w:rsidRPr="00E731F8">
        <w:rPr>
          <w:rFonts w:ascii="Cambria" w:eastAsia="Cambria" w:hAnsi="Cambria" w:cs="Cambria"/>
          <w:sz w:val="20"/>
          <w:szCs w:val="20"/>
          <w:lang w:val="es-CO"/>
        </w:rPr>
        <w:t xml:space="preserve"> Corte consideró que este traslado se realizó en el marco del tratado de extradición entre El Salvador y Estados Unidos.</w:t>
      </w:r>
      <w:r w:rsidR="008108D4" w:rsidRPr="00E731F8">
        <w:rPr>
          <w:rFonts w:ascii="Cambria" w:hAnsi="Cambria"/>
          <w:sz w:val="20"/>
          <w:szCs w:val="20"/>
          <w:lang w:val="es-CO"/>
        </w:rPr>
        <w:t xml:space="preserve"> </w:t>
      </w:r>
    </w:p>
    <w:p w14:paraId="7EE30CE5" w14:textId="77777777" w:rsidR="008108D4" w:rsidRPr="00E731F8" w:rsidRDefault="008108D4" w:rsidP="008108D4">
      <w:pPr>
        <w:tabs>
          <w:tab w:val="left" w:pos="567"/>
          <w:tab w:val="left" w:pos="1440"/>
        </w:tabs>
        <w:spacing w:after="0" w:line="240" w:lineRule="auto"/>
        <w:ind w:left="90" w:right="270"/>
        <w:jc w:val="both"/>
        <w:rPr>
          <w:rFonts w:ascii="Cambria" w:hAnsi="Cambria"/>
          <w:sz w:val="16"/>
          <w:szCs w:val="16"/>
          <w:lang w:val="es-CO"/>
        </w:rPr>
      </w:pPr>
    </w:p>
    <w:p w14:paraId="759B5449" w14:textId="7AE58079" w:rsidR="0086158B" w:rsidRPr="00E731F8" w:rsidRDefault="00EF23E6" w:rsidP="008108D4">
      <w:pPr>
        <w:tabs>
          <w:tab w:val="left" w:pos="567"/>
          <w:tab w:val="left" w:pos="1440"/>
        </w:tabs>
        <w:spacing w:after="0" w:line="240" w:lineRule="auto"/>
        <w:ind w:left="90" w:right="270"/>
        <w:jc w:val="both"/>
        <w:rPr>
          <w:rFonts w:ascii="Cambria" w:eastAsia="Cambria" w:hAnsi="Cambria" w:cs="Cambria"/>
          <w:sz w:val="20"/>
          <w:szCs w:val="20"/>
          <w:lang w:val="es-CO"/>
        </w:rPr>
      </w:pPr>
      <w:r w:rsidRPr="00E731F8">
        <w:rPr>
          <w:rFonts w:ascii="Cambria" w:hAnsi="Cambria"/>
          <w:sz w:val="20"/>
          <w:szCs w:val="20"/>
          <w:lang w:val="es-CO"/>
        </w:rPr>
        <w:tab/>
      </w:r>
      <w:r w:rsidR="008108D4" w:rsidRPr="00E731F8">
        <w:rPr>
          <w:rFonts w:ascii="Cambria" w:hAnsi="Cambria"/>
          <w:sz w:val="20"/>
          <w:szCs w:val="20"/>
          <w:lang w:val="es-CO"/>
        </w:rPr>
        <w:t xml:space="preserve">El </w:t>
      </w:r>
      <w:r w:rsidR="008108D4" w:rsidRPr="00E731F8">
        <w:rPr>
          <w:rFonts w:ascii="Cambria" w:eastAsia="Cambria" w:hAnsi="Cambria" w:cs="Cambria"/>
          <w:sz w:val="20"/>
          <w:szCs w:val="20"/>
          <w:lang w:val="es-CO"/>
        </w:rPr>
        <w:t>30 de septiembre de 2006, la señora Silvia Marina Juárez de Del Cid presentó ante la Policía Nacional Civil en la delegación “San Salvador Centro” denuncia por la privación de la libertad de las tres víctimas</w:t>
      </w:r>
      <w:r w:rsidRPr="00E731F8">
        <w:rPr>
          <w:rFonts w:ascii="Cambria" w:eastAsia="Cambria" w:hAnsi="Cambria" w:cs="Cambria"/>
          <w:sz w:val="20"/>
          <w:szCs w:val="20"/>
          <w:lang w:val="es-CO"/>
        </w:rPr>
        <w:t xml:space="preserve">, sin que el Estado haya presentado información al respecto durante el trámite. </w:t>
      </w:r>
    </w:p>
    <w:p w14:paraId="36D5E072" w14:textId="77777777" w:rsidR="00EF23E6" w:rsidRPr="00E731F8" w:rsidRDefault="00EF23E6" w:rsidP="008108D4">
      <w:pPr>
        <w:tabs>
          <w:tab w:val="left" w:pos="567"/>
          <w:tab w:val="left" w:pos="1440"/>
        </w:tabs>
        <w:spacing w:after="0" w:line="240" w:lineRule="auto"/>
        <w:ind w:left="90" w:right="270"/>
        <w:jc w:val="both"/>
        <w:rPr>
          <w:rFonts w:ascii="Cambria" w:eastAsia="Cambria" w:hAnsi="Cambria" w:cs="Cambria"/>
          <w:sz w:val="20"/>
          <w:szCs w:val="20"/>
          <w:lang w:val="es-CO"/>
        </w:rPr>
      </w:pPr>
    </w:p>
    <w:p w14:paraId="11EC2C41" w14:textId="421E1158" w:rsidR="00213B47" w:rsidRPr="00E731F8" w:rsidRDefault="00DA25D9" w:rsidP="00A71C70">
      <w:pPr>
        <w:tabs>
          <w:tab w:val="left" w:pos="567"/>
          <w:tab w:val="left" w:pos="1440"/>
        </w:tabs>
        <w:spacing w:after="0" w:line="240" w:lineRule="auto"/>
        <w:ind w:left="90" w:right="270"/>
        <w:jc w:val="both"/>
        <w:rPr>
          <w:rFonts w:ascii="Cambria" w:eastAsia="Cambria" w:hAnsi="Cambria" w:cs="Cambria"/>
          <w:sz w:val="20"/>
          <w:szCs w:val="20"/>
          <w:lang w:val="es-CO"/>
        </w:rPr>
      </w:pPr>
      <w:r w:rsidRPr="00E731F8">
        <w:rPr>
          <w:rFonts w:ascii="Cambria" w:eastAsia="Cambria" w:hAnsi="Cambria" w:cs="Cambria"/>
          <w:sz w:val="20"/>
          <w:szCs w:val="20"/>
          <w:lang w:val="es-CO"/>
        </w:rPr>
        <w:tab/>
      </w:r>
      <w:r w:rsidR="0086158B" w:rsidRPr="00E731F8">
        <w:rPr>
          <w:rFonts w:ascii="Cambria" w:eastAsia="Cambria" w:hAnsi="Cambria" w:cs="Cambria"/>
          <w:sz w:val="20"/>
          <w:szCs w:val="20"/>
          <w:lang w:val="es-CO"/>
        </w:rPr>
        <w:t xml:space="preserve">En su Informe de Admisibilidad y Fondo 148/23, la Comisión identificó que los hechos descritos por la parte peticionaria </w:t>
      </w:r>
      <w:r w:rsidR="00213B47" w:rsidRPr="00E731F8">
        <w:rPr>
          <w:rFonts w:ascii="Cambria" w:eastAsia="Cambria" w:hAnsi="Cambria" w:cs="Cambria"/>
          <w:sz w:val="20"/>
          <w:szCs w:val="20"/>
          <w:lang w:val="es-CO"/>
        </w:rPr>
        <w:t>coincidían con la información contenida en el expediente, incluyendo la</w:t>
      </w:r>
      <w:r w:rsidR="003278FE" w:rsidRPr="00E731F8">
        <w:rPr>
          <w:rFonts w:ascii="Cambria" w:eastAsia="Cambria" w:hAnsi="Cambria" w:cs="Cambria"/>
          <w:sz w:val="20"/>
          <w:szCs w:val="20"/>
          <w:lang w:val="es-CO"/>
        </w:rPr>
        <w:t xml:space="preserve"> sentencia de la Corte del Distrito de Columbia, la denuncia penal presentada por la señora Silvia Marina Juárez de Del Cid ante la Policía Nacional Civil y las notas de prensa aportadas al proceso.  </w:t>
      </w:r>
      <w:r w:rsidR="00A71C70" w:rsidRPr="00E731F8">
        <w:rPr>
          <w:rFonts w:ascii="Cambria" w:eastAsia="Cambria" w:hAnsi="Cambria" w:cs="Cambria"/>
          <w:sz w:val="20"/>
          <w:szCs w:val="20"/>
          <w:lang w:val="es-CO"/>
        </w:rPr>
        <w:t>En este sentido, consideró probado que agentes de la Policía Nacional Civil de El Salvador llevaron a cabo en San Salvador un operativo que resultó en la detención de las víctimas y su posterior traslado al aeropuerto de dicha ciudad. Asimismo, que las víctimas fueron entregadas a agentes de la DEA de Estados Unidos y abordados en un avión para luego traslada</w:t>
      </w:r>
      <w:r w:rsidR="00E327CB">
        <w:rPr>
          <w:rFonts w:ascii="Cambria" w:eastAsia="Cambria" w:hAnsi="Cambria" w:cs="Cambria"/>
          <w:sz w:val="20"/>
          <w:szCs w:val="20"/>
          <w:lang w:val="es-CO"/>
        </w:rPr>
        <w:t>r</w:t>
      </w:r>
      <w:r w:rsidR="00A71C70" w:rsidRPr="00E731F8">
        <w:rPr>
          <w:rFonts w:ascii="Cambria" w:eastAsia="Cambria" w:hAnsi="Cambria" w:cs="Cambria"/>
          <w:sz w:val="20"/>
          <w:szCs w:val="20"/>
          <w:lang w:val="es-CO"/>
        </w:rPr>
        <w:t>se a territorio estadounidense.</w:t>
      </w:r>
    </w:p>
    <w:p w14:paraId="518FAD0F" w14:textId="77777777" w:rsidR="003D0163" w:rsidRPr="00E731F8" w:rsidRDefault="003D0163" w:rsidP="003278FE">
      <w:pPr>
        <w:tabs>
          <w:tab w:val="left" w:pos="567"/>
          <w:tab w:val="left" w:pos="1440"/>
        </w:tabs>
        <w:spacing w:after="0" w:line="240" w:lineRule="auto"/>
        <w:ind w:left="90" w:right="270"/>
        <w:jc w:val="both"/>
        <w:rPr>
          <w:rFonts w:ascii="Cambria" w:eastAsia="Cambria" w:hAnsi="Cambria" w:cs="Cambria"/>
          <w:sz w:val="16"/>
          <w:szCs w:val="16"/>
          <w:lang w:val="es-CO"/>
        </w:rPr>
      </w:pPr>
    </w:p>
    <w:p w14:paraId="34BEE9A7" w14:textId="46C16CCB" w:rsidR="0086158B" w:rsidRPr="00E731F8" w:rsidRDefault="00DA25D9" w:rsidP="00785055">
      <w:pPr>
        <w:tabs>
          <w:tab w:val="left" w:pos="567"/>
          <w:tab w:val="left" w:pos="1440"/>
        </w:tabs>
        <w:spacing w:after="0" w:line="240" w:lineRule="auto"/>
        <w:ind w:left="90" w:right="270"/>
        <w:jc w:val="both"/>
        <w:rPr>
          <w:rFonts w:ascii="Cambria" w:eastAsia="Cambria" w:hAnsi="Cambria" w:cs="Cambria"/>
          <w:sz w:val="20"/>
          <w:szCs w:val="20"/>
          <w:lang w:val="es-CO"/>
        </w:rPr>
      </w:pPr>
      <w:r w:rsidRPr="00E731F8">
        <w:rPr>
          <w:rFonts w:ascii="Cambria" w:eastAsia="Cambria" w:hAnsi="Cambria" w:cs="Cambria"/>
          <w:sz w:val="20"/>
          <w:szCs w:val="20"/>
          <w:lang w:val="es-CO"/>
        </w:rPr>
        <w:tab/>
      </w:r>
      <w:r w:rsidR="0086158B" w:rsidRPr="00E731F8">
        <w:rPr>
          <w:rFonts w:ascii="Cambria" w:eastAsia="Cambria" w:hAnsi="Cambria" w:cs="Cambria"/>
          <w:sz w:val="20"/>
          <w:szCs w:val="20"/>
          <w:lang w:val="es-CO"/>
        </w:rPr>
        <w:t>En cuanto al derecho a la libertad personal, la Comisión observó que no se presentó una orden de arresto emitida por un juez competente ni se acreditó que las víctimas estuvieran cometiendo un acto flagrante que justificara su captura sin orden previa. La ausencia de documentación o registro oficial sobre la detención, junto con la falta de pruebas de flagrancia o autorización judicial, llevó a concluir que las detenciones fueron ilegales. Asimismo, la CIDH determinó que el Estado vulneró el derecho de las víctimas a ser informadas sobre las razones de su detención. Además, señaló que el Estado no presentó pruebas que acreditaran que se garantizó a las víctimas, en su calidad de extranjeras, el derecho a ser notificadas sobre su posibilidad de comunicarse con funcionarios consulares para recibir asistencia. Por último, con base en las pruebas disponibles, la CIDH concluyó que las víctimas fueron detenidas por agentes de la Policía Nacional salvadoreña, trasladadas al aeropuerto de San Salvador y enviadas a Estados Unidos sin que se registrara su presentación ante un juez en El Salvador</w:t>
      </w:r>
      <w:r w:rsidR="00517D65" w:rsidRPr="00E731F8">
        <w:rPr>
          <w:rFonts w:ascii="Cambria" w:eastAsia="Cambria" w:hAnsi="Cambria" w:cs="Cambria"/>
          <w:sz w:val="20"/>
          <w:szCs w:val="20"/>
          <w:lang w:val="es-CO"/>
        </w:rPr>
        <w:t xml:space="preserve">, por lo cual no </w:t>
      </w:r>
      <w:r w:rsidR="0086158B" w:rsidRPr="00E731F8">
        <w:rPr>
          <w:rFonts w:ascii="Cambria" w:eastAsia="Cambria" w:hAnsi="Cambria" w:cs="Cambria"/>
          <w:sz w:val="20"/>
          <w:szCs w:val="20"/>
          <w:lang w:val="es-CO"/>
        </w:rPr>
        <w:t>se llevó a cabo un control judicial.</w:t>
      </w:r>
      <w:r w:rsidR="00517D65" w:rsidRPr="00E731F8">
        <w:rPr>
          <w:rFonts w:ascii="Cambria" w:eastAsia="Cambria" w:hAnsi="Cambria" w:cs="Cambria"/>
          <w:sz w:val="20"/>
          <w:szCs w:val="20"/>
          <w:lang w:val="es-CO"/>
        </w:rPr>
        <w:t xml:space="preserve"> En este sentido, la Comisión concluyó que el Estado es responsable por la violación del derecho a la libertad personal. </w:t>
      </w:r>
    </w:p>
    <w:p w14:paraId="4784A289" w14:textId="77777777" w:rsidR="0086158B" w:rsidRPr="00E731F8" w:rsidRDefault="0086158B" w:rsidP="00785055">
      <w:pPr>
        <w:tabs>
          <w:tab w:val="left" w:pos="567"/>
          <w:tab w:val="left" w:pos="1440"/>
        </w:tabs>
        <w:spacing w:after="0" w:line="240" w:lineRule="auto"/>
        <w:ind w:left="90" w:right="270"/>
        <w:jc w:val="both"/>
        <w:rPr>
          <w:rFonts w:ascii="Cambria" w:eastAsia="Cambria" w:hAnsi="Cambria" w:cs="Cambria"/>
          <w:sz w:val="16"/>
          <w:szCs w:val="16"/>
          <w:lang w:val="es-CO"/>
        </w:rPr>
      </w:pPr>
    </w:p>
    <w:p w14:paraId="54D5C112" w14:textId="77777777" w:rsidR="004131DE" w:rsidRPr="00E731F8" w:rsidRDefault="00DA25D9" w:rsidP="004F089A">
      <w:pPr>
        <w:tabs>
          <w:tab w:val="left" w:pos="567"/>
          <w:tab w:val="left" w:pos="1440"/>
        </w:tabs>
        <w:spacing w:after="0" w:line="240" w:lineRule="auto"/>
        <w:ind w:left="90" w:right="270"/>
        <w:jc w:val="both"/>
        <w:rPr>
          <w:rFonts w:ascii="Cambria" w:eastAsia="Cambria" w:hAnsi="Cambria" w:cs="Cambria"/>
          <w:sz w:val="20"/>
          <w:szCs w:val="20"/>
          <w:lang w:val="es-CO"/>
        </w:rPr>
      </w:pPr>
      <w:r w:rsidRPr="00E731F8">
        <w:rPr>
          <w:rFonts w:ascii="Cambria" w:eastAsia="Cambria" w:hAnsi="Cambria" w:cs="Cambria"/>
          <w:sz w:val="20"/>
          <w:szCs w:val="20"/>
          <w:lang w:val="es-CO"/>
        </w:rPr>
        <w:tab/>
      </w:r>
      <w:r w:rsidR="0086158B" w:rsidRPr="00E731F8">
        <w:rPr>
          <w:rFonts w:ascii="Cambria" w:eastAsia="Cambria" w:hAnsi="Cambria" w:cs="Cambria"/>
          <w:sz w:val="20"/>
          <w:szCs w:val="20"/>
          <w:lang w:val="es-CO"/>
        </w:rPr>
        <w:t xml:space="preserve">Respecto a los derechos de las garantías y la protección judicial, la Comisión </w:t>
      </w:r>
      <w:r w:rsidR="000E6490" w:rsidRPr="00E731F8">
        <w:rPr>
          <w:rFonts w:ascii="Cambria" w:eastAsia="Cambria" w:hAnsi="Cambria" w:cs="Cambria"/>
          <w:sz w:val="20"/>
          <w:szCs w:val="20"/>
          <w:lang w:val="es-CO"/>
        </w:rPr>
        <w:t xml:space="preserve">notó </w:t>
      </w:r>
      <w:r w:rsidR="0086158B" w:rsidRPr="00E731F8">
        <w:rPr>
          <w:rFonts w:ascii="Cambria" w:eastAsia="Cambria" w:hAnsi="Cambria" w:cs="Cambria"/>
          <w:sz w:val="20"/>
          <w:szCs w:val="20"/>
          <w:lang w:val="es-CO"/>
        </w:rPr>
        <w:t>que las autoridades salvadoreñas no informaron a las víctimas, ciudadanos guatemaltecos, sobre su derecho a recibir asistencia consular. Asimismo, durante su detención, las víctimas no pudieron comunicarse con un abogado ni con familiares, lo que vulneró su derecho a establecer contacto con una tercera persona. Esta restricción acentuó su indefensión y contravino el</w:t>
      </w:r>
      <w:r w:rsidR="000E6490" w:rsidRPr="00E731F8">
        <w:rPr>
          <w:rFonts w:ascii="Cambria" w:eastAsia="Cambria" w:hAnsi="Cambria" w:cs="Cambria"/>
          <w:sz w:val="20"/>
          <w:szCs w:val="20"/>
          <w:lang w:val="es-CO"/>
        </w:rPr>
        <w:t xml:space="preserve"> derecho a las garantías procesales.</w:t>
      </w:r>
      <w:r w:rsidR="0086158B" w:rsidRPr="00E731F8">
        <w:rPr>
          <w:rFonts w:ascii="Cambria" w:eastAsia="Cambria" w:hAnsi="Cambria" w:cs="Cambria"/>
          <w:sz w:val="20"/>
          <w:szCs w:val="20"/>
          <w:lang w:val="es-CO"/>
        </w:rPr>
        <w:t xml:space="preserve"> </w:t>
      </w:r>
    </w:p>
    <w:p w14:paraId="2919FD11" w14:textId="77777777" w:rsidR="004131DE" w:rsidRPr="00E731F8" w:rsidRDefault="004131DE" w:rsidP="004F089A">
      <w:pPr>
        <w:tabs>
          <w:tab w:val="left" w:pos="567"/>
          <w:tab w:val="left" w:pos="1440"/>
        </w:tabs>
        <w:spacing w:after="0" w:line="240" w:lineRule="auto"/>
        <w:ind w:left="90" w:right="270"/>
        <w:jc w:val="both"/>
        <w:rPr>
          <w:rFonts w:ascii="Cambria" w:eastAsia="Cambria" w:hAnsi="Cambria" w:cs="Cambria"/>
          <w:sz w:val="20"/>
          <w:szCs w:val="20"/>
          <w:lang w:val="es-CO"/>
        </w:rPr>
      </w:pPr>
    </w:p>
    <w:p w14:paraId="497724A0" w14:textId="650E40A0" w:rsidR="0086158B" w:rsidRPr="00E731F8" w:rsidRDefault="004131DE" w:rsidP="004F089A">
      <w:pPr>
        <w:tabs>
          <w:tab w:val="left" w:pos="567"/>
          <w:tab w:val="left" w:pos="1440"/>
        </w:tabs>
        <w:spacing w:after="0" w:line="240" w:lineRule="auto"/>
        <w:ind w:left="90" w:right="270"/>
        <w:jc w:val="both"/>
        <w:rPr>
          <w:rFonts w:ascii="Cambria" w:eastAsia="Cambria" w:hAnsi="Cambria" w:cs="Cambria"/>
          <w:sz w:val="20"/>
          <w:szCs w:val="20"/>
          <w:lang w:val="es-CO"/>
        </w:rPr>
      </w:pPr>
      <w:r w:rsidRPr="00E731F8">
        <w:rPr>
          <w:rFonts w:ascii="Cambria" w:eastAsia="Cambria" w:hAnsi="Cambria" w:cs="Cambria"/>
          <w:sz w:val="20"/>
          <w:szCs w:val="20"/>
          <w:lang w:val="es-CO"/>
        </w:rPr>
        <w:tab/>
      </w:r>
      <w:r w:rsidR="0086158B" w:rsidRPr="00E731F8">
        <w:rPr>
          <w:rFonts w:ascii="Cambria" w:eastAsia="Cambria" w:hAnsi="Cambria" w:cs="Cambria"/>
          <w:sz w:val="20"/>
          <w:szCs w:val="20"/>
          <w:lang w:val="es-CO"/>
        </w:rPr>
        <w:t xml:space="preserve">En cuanto a la denuncia presentada por la señora Juárez De Cid, la Comisión recordó que las autoridades tienen la obligación de realizar diligencias inmediatas y efectivas para esclarecer los hechos, identificar a los responsables y, de ser el caso, llevarlos ante la justicia. Sin embargo, de la documentación analizada no se desprende que la denuncia haya sido tramitada ni que el Estado haya tomado medidas concretas para esclarecer los hechos. La falta de una investigación diligente y oportuna vulnera el derecho de las víctimas a una protección judicial efectiva. En este sentido, la CIDH </w:t>
      </w:r>
      <w:r w:rsidRPr="00E731F8">
        <w:rPr>
          <w:rFonts w:ascii="Cambria" w:eastAsia="Cambria" w:hAnsi="Cambria" w:cs="Cambria"/>
          <w:sz w:val="20"/>
          <w:szCs w:val="20"/>
          <w:lang w:val="es-CO"/>
        </w:rPr>
        <w:t>consideró</w:t>
      </w:r>
      <w:r w:rsidR="0086158B" w:rsidRPr="00E731F8">
        <w:rPr>
          <w:rFonts w:ascii="Cambria" w:eastAsia="Cambria" w:hAnsi="Cambria" w:cs="Cambria"/>
          <w:sz w:val="20"/>
          <w:szCs w:val="20"/>
          <w:lang w:val="es-CO"/>
        </w:rPr>
        <w:t xml:space="preserve"> que el Estado incumplió con su deber de investigar los hechos denunciados, lo que configura una violación del derecho a la protección judicial. </w:t>
      </w:r>
      <w:r w:rsidR="00A9609C" w:rsidRPr="00E731F8">
        <w:rPr>
          <w:rFonts w:ascii="Cambria" w:eastAsia="Cambria" w:hAnsi="Cambria" w:cs="Cambria"/>
          <w:sz w:val="20"/>
          <w:szCs w:val="20"/>
          <w:lang w:val="es-CO"/>
        </w:rPr>
        <w:t>Ad</w:t>
      </w:r>
      <w:r w:rsidR="0041669D" w:rsidRPr="00E731F8">
        <w:rPr>
          <w:rFonts w:ascii="Cambria" w:eastAsia="Cambria" w:hAnsi="Cambria" w:cs="Cambria"/>
          <w:sz w:val="20"/>
          <w:szCs w:val="20"/>
          <w:lang w:val="es-CO"/>
        </w:rPr>
        <w:t>icionalmente</w:t>
      </w:r>
      <w:r w:rsidR="0086158B" w:rsidRPr="00E731F8">
        <w:rPr>
          <w:rFonts w:ascii="Cambria" w:eastAsia="Cambria" w:hAnsi="Cambria" w:cs="Cambria"/>
          <w:sz w:val="20"/>
          <w:szCs w:val="20"/>
          <w:lang w:val="es-CO"/>
        </w:rPr>
        <w:t xml:space="preserve">, dado que desde </w:t>
      </w:r>
      <w:r w:rsidR="0086158B" w:rsidRPr="00E731F8">
        <w:rPr>
          <w:rFonts w:ascii="Cambria" w:eastAsia="Cambria" w:hAnsi="Cambria" w:cs="Cambria"/>
          <w:sz w:val="20"/>
          <w:szCs w:val="20"/>
          <w:lang w:val="es-CO"/>
        </w:rPr>
        <w:lastRenderedPageBreak/>
        <w:t>la presentación de la denuncia en 2006 no se registraron avances procesales ni una decisión definitiva, la CIDH determinó que se violó la garantía del plazo razonable.</w:t>
      </w:r>
    </w:p>
    <w:p w14:paraId="5144CD3C" w14:textId="77777777" w:rsidR="0041669D" w:rsidRPr="00E731F8" w:rsidRDefault="0041669D" w:rsidP="0041669D">
      <w:pPr>
        <w:tabs>
          <w:tab w:val="left" w:pos="567"/>
          <w:tab w:val="left" w:pos="1440"/>
        </w:tabs>
        <w:spacing w:after="0" w:line="240" w:lineRule="auto"/>
        <w:ind w:left="90" w:right="270"/>
        <w:jc w:val="both"/>
        <w:rPr>
          <w:rFonts w:ascii="Cambria" w:eastAsia="Cambria" w:hAnsi="Cambria" w:cs="Cambria"/>
          <w:sz w:val="20"/>
          <w:szCs w:val="20"/>
          <w:lang w:val="es-CO"/>
        </w:rPr>
      </w:pPr>
    </w:p>
    <w:p w14:paraId="67D71FD8" w14:textId="300D512E" w:rsidR="0041669D" w:rsidRPr="00E731F8" w:rsidRDefault="004131DE" w:rsidP="004131DE">
      <w:pPr>
        <w:tabs>
          <w:tab w:val="left" w:pos="567"/>
          <w:tab w:val="left" w:pos="1440"/>
        </w:tabs>
        <w:spacing w:after="0" w:line="240" w:lineRule="auto"/>
        <w:ind w:left="90" w:right="270"/>
        <w:jc w:val="both"/>
        <w:rPr>
          <w:rFonts w:ascii="Cambria" w:eastAsia="Cambria" w:hAnsi="Cambria" w:cs="Cambria"/>
          <w:sz w:val="20"/>
          <w:szCs w:val="20"/>
          <w:lang w:val="es-CO"/>
        </w:rPr>
      </w:pPr>
      <w:r w:rsidRPr="00E731F8">
        <w:rPr>
          <w:rFonts w:ascii="Cambria" w:eastAsia="Cambria" w:hAnsi="Cambria" w:cs="Cambria"/>
          <w:sz w:val="20"/>
          <w:szCs w:val="20"/>
          <w:lang w:val="es-CO"/>
        </w:rPr>
        <w:tab/>
      </w:r>
      <w:r w:rsidR="0041669D" w:rsidRPr="00E731F8">
        <w:rPr>
          <w:rFonts w:ascii="Cambria" w:eastAsia="Cambria" w:hAnsi="Cambria" w:cs="Cambria"/>
          <w:sz w:val="20"/>
          <w:szCs w:val="20"/>
          <w:lang w:val="es-CO"/>
        </w:rPr>
        <w:t>En este sentido, la Comisión con</w:t>
      </w:r>
      <w:r w:rsidRPr="00E731F8">
        <w:rPr>
          <w:rFonts w:ascii="Cambria" w:eastAsia="Cambria" w:hAnsi="Cambria" w:cs="Cambria"/>
          <w:sz w:val="20"/>
          <w:szCs w:val="20"/>
          <w:lang w:val="es-CO"/>
        </w:rPr>
        <w:t>cluyó</w:t>
      </w:r>
      <w:r w:rsidR="0041669D" w:rsidRPr="00E731F8">
        <w:rPr>
          <w:rFonts w:ascii="Cambria" w:eastAsia="Cambria" w:hAnsi="Cambria" w:cs="Cambria"/>
          <w:sz w:val="20"/>
          <w:szCs w:val="20"/>
          <w:lang w:val="es-CO"/>
        </w:rPr>
        <w:t xml:space="preserve"> que el Estado incumplió con su deber de investigar los hechos con</w:t>
      </w:r>
      <w:r w:rsidRPr="00E731F8">
        <w:rPr>
          <w:rFonts w:ascii="Cambria" w:eastAsia="Cambria" w:hAnsi="Cambria" w:cs="Cambria"/>
          <w:sz w:val="20"/>
          <w:szCs w:val="20"/>
          <w:lang w:val="es-CO"/>
        </w:rPr>
        <w:t xml:space="preserve"> </w:t>
      </w:r>
      <w:r w:rsidR="0041669D" w:rsidRPr="00E731F8">
        <w:rPr>
          <w:rFonts w:ascii="Cambria" w:eastAsia="Cambria" w:hAnsi="Cambria" w:cs="Cambria"/>
          <w:sz w:val="20"/>
          <w:szCs w:val="20"/>
          <w:lang w:val="es-CO"/>
        </w:rPr>
        <w:t>una debida diligencia, así como de proporcionar recursos adecuados y efectivos para remediar dicha situación</w:t>
      </w:r>
      <w:r w:rsidRPr="00E731F8">
        <w:rPr>
          <w:rFonts w:ascii="Cambria" w:eastAsia="Cambria" w:hAnsi="Cambria" w:cs="Cambria"/>
          <w:sz w:val="20"/>
          <w:szCs w:val="20"/>
          <w:lang w:val="es-CO"/>
        </w:rPr>
        <w:t xml:space="preserve"> </w:t>
      </w:r>
      <w:r w:rsidR="0029467E" w:rsidRPr="00E731F8">
        <w:rPr>
          <w:rFonts w:ascii="Cambria" w:eastAsia="Cambria" w:hAnsi="Cambria" w:cs="Cambria"/>
          <w:sz w:val="20"/>
          <w:szCs w:val="20"/>
          <w:lang w:val="es-CO"/>
        </w:rPr>
        <w:t>y,</w:t>
      </w:r>
      <w:r w:rsidRPr="00E731F8">
        <w:rPr>
          <w:rFonts w:ascii="Cambria" w:eastAsia="Cambria" w:hAnsi="Cambria" w:cs="Cambria"/>
          <w:sz w:val="20"/>
          <w:szCs w:val="20"/>
          <w:lang w:val="es-CO"/>
        </w:rPr>
        <w:t xml:space="preserve"> por lo tanto, </w:t>
      </w:r>
      <w:r w:rsidR="0041669D" w:rsidRPr="00E731F8">
        <w:rPr>
          <w:rFonts w:ascii="Cambria" w:eastAsia="Cambria" w:hAnsi="Cambria" w:cs="Cambria"/>
          <w:sz w:val="20"/>
          <w:szCs w:val="20"/>
          <w:lang w:val="es-CO"/>
        </w:rPr>
        <w:t>violó los derechos a las garantías judiciales y a</w:t>
      </w:r>
      <w:r w:rsidRPr="00E731F8">
        <w:rPr>
          <w:rFonts w:ascii="Cambria" w:eastAsia="Cambria" w:hAnsi="Cambria" w:cs="Cambria"/>
          <w:sz w:val="20"/>
          <w:szCs w:val="20"/>
          <w:lang w:val="es-CO"/>
        </w:rPr>
        <w:t xml:space="preserve"> </w:t>
      </w:r>
      <w:r w:rsidR="0041669D" w:rsidRPr="00E731F8">
        <w:rPr>
          <w:rFonts w:ascii="Cambria" w:eastAsia="Cambria" w:hAnsi="Cambria" w:cs="Cambria"/>
          <w:sz w:val="20"/>
          <w:szCs w:val="20"/>
          <w:lang w:val="es-CO"/>
        </w:rPr>
        <w:t>la protección judicial</w:t>
      </w:r>
      <w:r w:rsidRPr="00E731F8">
        <w:rPr>
          <w:rFonts w:ascii="Cambria" w:eastAsia="Cambria" w:hAnsi="Cambria" w:cs="Cambria"/>
          <w:sz w:val="20"/>
          <w:szCs w:val="20"/>
          <w:lang w:val="es-CO"/>
        </w:rPr>
        <w:t xml:space="preserve">. </w:t>
      </w:r>
    </w:p>
    <w:p w14:paraId="5C3F37A5" w14:textId="77777777" w:rsidR="0086158B" w:rsidRPr="00E731F8" w:rsidRDefault="0086158B" w:rsidP="00785055">
      <w:pPr>
        <w:tabs>
          <w:tab w:val="left" w:pos="567"/>
          <w:tab w:val="left" w:pos="1440"/>
        </w:tabs>
        <w:spacing w:after="0" w:line="240" w:lineRule="auto"/>
        <w:ind w:left="90" w:right="270"/>
        <w:jc w:val="both"/>
        <w:rPr>
          <w:rFonts w:ascii="Cambria" w:eastAsia="Cambria" w:hAnsi="Cambria" w:cs="Cambria"/>
          <w:sz w:val="20"/>
          <w:szCs w:val="20"/>
          <w:lang w:val="es-CO"/>
        </w:rPr>
      </w:pPr>
    </w:p>
    <w:p w14:paraId="6C911C98" w14:textId="5983831C" w:rsidR="0086158B" w:rsidRPr="00E731F8" w:rsidRDefault="004F089A" w:rsidP="00007DC7">
      <w:pPr>
        <w:tabs>
          <w:tab w:val="left" w:pos="567"/>
          <w:tab w:val="left" w:pos="1440"/>
        </w:tabs>
        <w:spacing w:after="0" w:line="240" w:lineRule="auto"/>
        <w:ind w:left="90" w:right="270"/>
        <w:jc w:val="both"/>
        <w:rPr>
          <w:rFonts w:ascii="Cambria" w:eastAsia="Cambria" w:hAnsi="Cambria" w:cs="Cambria"/>
          <w:sz w:val="20"/>
          <w:szCs w:val="20"/>
          <w:lang w:val="es-CO"/>
        </w:rPr>
      </w:pPr>
      <w:r w:rsidRPr="00E731F8">
        <w:rPr>
          <w:rFonts w:ascii="Cambria" w:eastAsia="Cambria" w:hAnsi="Cambria" w:cs="Cambria"/>
          <w:sz w:val="20"/>
          <w:szCs w:val="20"/>
          <w:lang w:val="es-CO"/>
        </w:rPr>
        <w:tab/>
      </w:r>
      <w:r w:rsidR="00923D9B" w:rsidRPr="00E731F8">
        <w:rPr>
          <w:rFonts w:ascii="Cambria" w:eastAsia="Cambria" w:hAnsi="Cambria" w:cs="Cambria"/>
          <w:sz w:val="20"/>
          <w:szCs w:val="20"/>
          <w:lang w:val="es-CO"/>
        </w:rPr>
        <w:t xml:space="preserve">Finalmente, </w:t>
      </w:r>
      <w:r w:rsidR="0086158B" w:rsidRPr="00E731F8">
        <w:rPr>
          <w:rFonts w:ascii="Cambria" w:eastAsia="Cambria" w:hAnsi="Cambria" w:cs="Cambria"/>
          <w:sz w:val="20"/>
          <w:szCs w:val="20"/>
          <w:lang w:val="es-CO"/>
        </w:rPr>
        <w:t xml:space="preserve">la CIDH </w:t>
      </w:r>
      <w:r w:rsidR="005D05D3" w:rsidRPr="00E731F8">
        <w:rPr>
          <w:rFonts w:ascii="Cambria" w:eastAsia="Cambria" w:hAnsi="Cambria" w:cs="Cambria"/>
          <w:sz w:val="20"/>
          <w:szCs w:val="20"/>
          <w:lang w:val="es-CO"/>
        </w:rPr>
        <w:t>notó</w:t>
      </w:r>
      <w:r w:rsidR="0086158B" w:rsidRPr="00E731F8">
        <w:rPr>
          <w:rFonts w:ascii="Cambria" w:eastAsia="Cambria" w:hAnsi="Cambria" w:cs="Cambria"/>
          <w:sz w:val="20"/>
          <w:szCs w:val="20"/>
          <w:lang w:val="es-CO"/>
        </w:rPr>
        <w:t xml:space="preserve"> que la detención</w:t>
      </w:r>
      <w:r w:rsidR="00923D9B" w:rsidRPr="00E731F8">
        <w:rPr>
          <w:rFonts w:ascii="Cambria" w:eastAsia="Cambria" w:hAnsi="Cambria" w:cs="Cambria"/>
          <w:sz w:val="20"/>
          <w:szCs w:val="20"/>
          <w:lang w:val="es-CO"/>
        </w:rPr>
        <w:t xml:space="preserve"> de las tres víctimas, de nacionalidad guatemalteca,</w:t>
      </w:r>
      <w:r w:rsidR="0086158B" w:rsidRPr="00E731F8">
        <w:rPr>
          <w:rFonts w:ascii="Cambria" w:eastAsia="Cambria" w:hAnsi="Cambria" w:cs="Cambria"/>
          <w:sz w:val="20"/>
          <w:szCs w:val="20"/>
          <w:lang w:val="es-CO"/>
        </w:rPr>
        <w:t xml:space="preserve"> fue seguida de un traslado inmediato en un avión de la DEA, sin que mediara ningún procedimiento judicial en El Salvador. </w:t>
      </w:r>
      <w:r w:rsidR="00B83AAA" w:rsidRPr="00E731F8">
        <w:rPr>
          <w:rFonts w:ascii="Cambria" w:eastAsia="Cambria" w:hAnsi="Cambria" w:cs="Cambria"/>
          <w:sz w:val="20"/>
          <w:szCs w:val="20"/>
          <w:lang w:val="es-CO"/>
        </w:rPr>
        <w:t>La CIDH observó que en el expediente no obran pruebas que le permitan afirmar que los hechos del caso respondieron al cumplimiento de una orden de extradición adoptada conforme a ley y respetuosa de las obligaciones estatales de derechos humanos. Por el contrario, la información a su</w:t>
      </w:r>
      <w:r w:rsidR="00F31F3B" w:rsidRPr="00E731F8">
        <w:rPr>
          <w:rFonts w:ascii="Cambria" w:eastAsia="Cambria" w:hAnsi="Cambria" w:cs="Cambria"/>
          <w:sz w:val="20"/>
          <w:szCs w:val="20"/>
          <w:lang w:val="es-CO"/>
        </w:rPr>
        <w:t xml:space="preserve"> </w:t>
      </w:r>
      <w:r w:rsidR="00B83AAA" w:rsidRPr="00E731F8">
        <w:rPr>
          <w:rFonts w:ascii="Cambria" w:eastAsia="Cambria" w:hAnsi="Cambria" w:cs="Cambria"/>
          <w:sz w:val="20"/>
          <w:szCs w:val="20"/>
          <w:lang w:val="es-CO"/>
        </w:rPr>
        <w:t xml:space="preserve">alcance </w:t>
      </w:r>
      <w:r w:rsidR="00007DC7" w:rsidRPr="00E731F8">
        <w:rPr>
          <w:rFonts w:ascii="Cambria" w:eastAsia="Cambria" w:hAnsi="Cambria" w:cs="Cambria"/>
          <w:sz w:val="20"/>
          <w:szCs w:val="20"/>
          <w:lang w:val="es-CO"/>
        </w:rPr>
        <w:t xml:space="preserve">indica </w:t>
      </w:r>
      <w:r w:rsidR="00B83AAA" w:rsidRPr="00E731F8">
        <w:rPr>
          <w:rFonts w:ascii="Cambria" w:eastAsia="Cambria" w:hAnsi="Cambria" w:cs="Cambria"/>
          <w:sz w:val="20"/>
          <w:szCs w:val="20"/>
          <w:lang w:val="es-CO"/>
        </w:rPr>
        <w:t>que una vez detenidas fueron inmediatamente</w:t>
      </w:r>
      <w:r w:rsidR="00F31F3B" w:rsidRPr="00E731F8">
        <w:rPr>
          <w:rFonts w:ascii="Cambria" w:eastAsia="Cambria" w:hAnsi="Cambria" w:cs="Cambria"/>
          <w:sz w:val="20"/>
          <w:szCs w:val="20"/>
          <w:lang w:val="es-CO"/>
        </w:rPr>
        <w:t xml:space="preserve"> </w:t>
      </w:r>
      <w:r w:rsidR="00B83AAA" w:rsidRPr="00E731F8">
        <w:rPr>
          <w:rFonts w:ascii="Cambria" w:eastAsia="Cambria" w:hAnsi="Cambria" w:cs="Cambria"/>
          <w:sz w:val="20"/>
          <w:szCs w:val="20"/>
          <w:lang w:val="es-CO"/>
        </w:rPr>
        <w:t xml:space="preserve">transportadas vía aérea fuera del país. De este modo, la Comisión </w:t>
      </w:r>
      <w:r w:rsidR="00F31F3B" w:rsidRPr="00E731F8">
        <w:rPr>
          <w:rFonts w:ascii="Cambria" w:eastAsia="Cambria" w:hAnsi="Cambria" w:cs="Cambria"/>
          <w:sz w:val="20"/>
          <w:szCs w:val="20"/>
          <w:lang w:val="es-CO"/>
        </w:rPr>
        <w:t xml:space="preserve">concluyó </w:t>
      </w:r>
      <w:r w:rsidR="00B83AAA" w:rsidRPr="00E731F8">
        <w:rPr>
          <w:rFonts w:ascii="Cambria" w:eastAsia="Cambria" w:hAnsi="Cambria" w:cs="Cambria"/>
          <w:sz w:val="20"/>
          <w:szCs w:val="20"/>
          <w:lang w:val="es-CO"/>
        </w:rPr>
        <w:t>que las víctimas no</w:t>
      </w:r>
      <w:r w:rsidR="00007DC7" w:rsidRPr="00E731F8">
        <w:rPr>
          <w:rFonts w:ascii="Cambria" w:eastAsia="Cambria" w:hAnsi="Cambria" w:cs="Cambria"/>
          <w:sz w:val="20"/>
          <w:szCs w:val="20"/>
          <w:lang w:val="es-CO"/>
        </w:rPr>
        <w:t xml:space="preserve"> </w:t>
      </w:r>
      <w:r w:rsidR="00B83AAA" w:rsidRPr="00E731F8">
        <w:rPr>
          <w:rFonts w:ascii="Cambria" w:eastAsia="Cambria" w:hAnsi="Cambria" w:cs="Cambria"/>
          <w:sz w:val="20"/>
          <w:szCs w:val="20"/>
          <w:lang w:val="es-CO"/>
        </w:rPr>
        <w:t>contaron con una decisión debidamente motivada para proceder con lo que el Estado calificó como extradición.</w:t>
      </w:r>
      <w:r w:rsidR="00F31F3B" w:rsidRPr="00E731F8">
        <w:rPr>
          <w:rFonts w:ascii="Cambria" w:eastAsia="Cambria" w:hAnsi="Cambria" w:cs="Cambria"/>
          <w:sz w:val="20"/>
          <w:szCs w:val="20"/>
          <w:lang w:val="es-CO"/>
        </w:rPr>
        <w:t xml:space="preserve"> </w:t>
      </w:r>
      <w:r w:rsidR="00B83AAA" w:rsidRPr="00E731F8">
        <w:rPr>
          <w:rFonts w:ascii="Cambria" w:eastAsia="Cambria" w:hAnsi="Cambria" w:cs="Cambria"/>
          <w:sz w:val="20"/>
          <w:szCs w:val="20"/>
          <w:lang w:val="es-CO"/>
        </w:rPr>
        <w:t>Tampoco contaron con un debido proceso que garantizara el derecho a la defensa, ni tuvieron la</w:t>
      </w:r>
      <w:r w:rsidR="00F31F3B" w:rsidRPr="00E731F8">
        <w:rPr>
          <w:rFonts w:ascii="Cambria" w:eastAsia="Cambria" w:hAnsi="Cambria" w:cs="Cambria"/>
          <w:sz w:val="20"/>
          <w:szCs w:val="20"/>
          <w:lang w:val="es-CO"/>
        </w:rPr>
        <w:t xml:space="preserve"> </w:t>
      </w:r>
      <w:r w:rsidR="00B83AAA" w:rsidRPr="00E731F8">
        <w:rPr>
          <w:rFonts w:ascii="Cambria" w:eastAsia="Cambria" w:hAnsi="Cambria" w:cs="Cambria"/>
          <w:sz w:val="20"/>
          <w:szCs w:val="20"/>
          <w:lang w:val="es-CO"/>
        </w:rPr>
        <w:t>oportunidad de ejercer su derecho a someter su caso a revisión ante la autoridad competente o de recurrir la</w:t>
      </w:r>
      <w:r w:rsidR="00F31F3B" w:rsidRPr="00E731F8">
        <w:rPr>
          <w:rFonts w:ascii="Cambria" w:eastAsia="Cambria" w:hAnsi="Cambria" w:cs="Cambria"/>
          <w:sz w:val="20"/>
          <w:szCs w:val="20"/>
          <w:lang w:val="es-CO"/>
        </w:rPr>
        <w:t xml:space="preserve"> </w:t>
      </w:r>
      <w:r w:rsidR="00B83AAA" w:rsidRPr="00E731F8">
        <w:rPr>
          <w:rFonts w:ascii="Cambria" w:eastAsia="Cambria" w:hAnsi="Cambria" w:cs="Cambria"/>
          <w:sz w:val="20"/>
          <w:szCs w:val="20"/>
          <w:lang w:val="es-CO"/>
        </w:rPr>
        <w:t>decisión ante una instancia superior con efectos suspensivos.</w:t>
      </w:r>
      <w:r w:rsidR="00F2525B" w:rsidRPr="00E731F8">
        <w:rPr>
          <w:rFonts w:ascii="Cambria" w:eastAsia="Cambria" w:hAnsi="Cambria" w:cs="Cambria"/>
          <w:sz w:val="20"/>
          <w:szCs w:val="20"/>
          <w:lang w:val="es-CO"/>
        </w:rPr>
        <w:t xml:space="preserve"> </w:t>
      </w:r>
      <w:r w:rsidR="00B83AAA" w:rsidRPr="00E731F8">
        <w:rPr>
          <w:rFonts w:ascii="Cambria" w:eastAsia="Cambria" w:hAnsi="Cambria" w:cs="Cambria"/>
          <w:sz w:val="20"/>
          <w:szCs w:val="20"/>
          <w:lang w:val="es-CO"/>
        </w:rPr>
        <w:t>En virtud de lo anterior, la CIDH concluy</w:t>
      </w:r>
      <w:r w:rsidR="00F2525B" w:rsidRPr="00E731F8">
        <w:rPr>
          <w:rFonts w:ascii="Cambria" w:eastAsia="Cambria" w:hAnsi="Cambria" w:cs="Cambria"/>
          <w:sz w:val="20"/>
          <w:szCs w:val="20"/>
          <w:lang w:val="es-CO"/>
        </w:rPr>
        <w:t>ó</w:t>
      </w:r>
      <w:r w:rsidR="00B83AAA" w:rsidRPr="00E731F8">
        <w:rPr>
          <w:rFonts w:ascii="Cambria" w:eastAsia="Cambria" w:hAnsi="Cambria" w:cs="Cambria"/>
          <w:sz w:val="20"/>
          <w:szCs w:val="20"/>
          <w:lang w:val="es-CO"/>
        </w:rPr>
        <w:t xml:space="preserve"> que las víctimas no tuvieron un debido proceso ni una</w:t>
      </w:r>
      <w:r w:rsidR="00F2525B" w:rsidRPr="00E731F8">
        <w:rPr>
          <w:rFonts w:ascii="Cambria" w:eastAsia="Cambria" w:hAnsi="Cambria" w:cs="Cambria"/>
          <w:sz w:val="20"/>
          <w:szCs w:val="20"/>
          <w:lang w:val="es-CO"/>
        </w:rPr>
        <w:t xml:space="preserve"> </w:t>
      </w:r>
      <w:r w:rsidR="00B83AAA" w:rsidRPr="00E731F8">
        <w:rPr>
          <w:rFonts w:ascii="Cambria" w:eastAsia="Cambria" w:hAnsi="Cambria" w:cs="Cambria"/>
          <w:sz w:val="20"/>
          <w:szCs w:val="20"/>
          <w:lang w:val="es-CO"/>
        </w:rPr>
        <w:t>decisión de extradición conforme a ley, constituyendo un</w:t>
      </w:r>
      <w:r w:rsidR="00F2525B" w:rsidRPr="00E731F8">
        <w:rPr>
          <w:rFonts w:ascii="Cambria" w:eastAsia="Cambria" w:hAnsi="Cambria" w:cs="Cambria"/>
          <w:sz w:val="20"/>
          <w:szCs w:val="20"/>
          <w:lang w:val="es-CO"/>
        </w:rPr>
        <w:t xml:space="preserve">a violación de los derechos a </w:t>
      </w:r>
      <w:r w:rsidR="00DB4758" w:rsidRPr="00E731F8">
        <w:rPr>
          <w:rFonts w:ascii="Cambria" w:eastAsia="Cambria" w:hAnsi="Cambria" w:cs="Cambria"/>
          <w:sz w:val="20"/>
          <w:szCs w:val="20"/>
          <w:lang w:val="es-CO"/>
        </w:rPr>
        <w:t xml:space="preserve">la libertad de circulación y residencia, las garantías judiciales y la protección judicial. </w:t>
      </w:r>
    </w:p>
    <w:p w14:paraId="2D7BC4DB" w14:textId="77777777" w:rsidR="0086158B" w:rsidRPr="00E731F8" w:rsidRDefault="0086158B" w:rsidP="00785055">
      <w:pPr>
        <w:tabs>
          <w:tab w:val="left" w:pos="567"/>
          <w:tab w:val="left" w:pos="1440"/>
        </w:tabs>
        <w:spacing w:after="0" w:line="240" w:lineRule="auto"/>
        <w:ind w:left="90" w:right="270"/>
        <w:jc w:val="both"/>
        <w:rPr>
          <w:rFonts w:ascii="Cambria" w:eastAsia="Cambria" w:hAnsi="Cambria" w:cs="Cambria"/>
          <w:sz w:val="20"/>
          <w:szCs w:val="20"/>
          <w:lang w:val="es-CO"/>
        </w:rPr>
      </w:pPr>
    </w:p>
    <w:p w14:paraId="26267B41" w14:textId="4BBBEEFB" w:rsidR="0086158B" w:rsidRPr="00E731F8" w:rsidRDefault="00785055" w:rsidP="00785055">
      <w:pPr>
        <w:tabs>
          <w:tab w:val="left" w:pos="567"/>
          <w:tab w:val="left" w:pos="1440"/>
        </w:tabs>
        <w:spacing w:after="0" w:line="240" w:lineRule="auto"/>
        <w:ind w:left="90" w:right="270"/>
        <w:jc w:val="both"/>
        <w:rPr>
          <w:rFonts w:ascii="Cambria" w:eastAsia="Cambria" w:hAnsi="Cambria" w:cs="Cambria"/>
          <w:sz w:val="20"/>
          <w:szCs w:val="20"/>
          <w:lang w:val="es-CO"/>
        </w:rPr>
      </w:pPr>
      <w:r w:rsidRPr="00E731F8">
        <w:rPr>
          <w:rFonts w:ascii="Cambria" w:eastAsia="Cambria" w:hAnsi="Cambria" w:cs="Cambria"/>
          <w:sz w:val="20"/>
          <w:szCs w:val="20"/>
          <w:lang w:val="es-CO"/>
        </w:rPr>
        <w:tab/>
      </w:r>
      <w:r w:rsidR="0086158B" w:rsidRPr="00E731F8">
        <w:rPr>
          <w:rFonts w:ascii="Cambria" w:eastAsia="Cambria" w:hAnsi="Cambria" w:cs="Cambria"/>
          <w:sz w:val="20"/>
          <w:szCs w:val="20"/>
          <w:lang w:val="es-CO"/>
        </w:rPr>
        <w:t xml:space="preserve">Con base en </w:t>
      </w:r>
      <w:r w:rsidR="00DB4758" w:rsidRPr="00E731F8">
        <w:rPr>
          <w:rFonts w:ascii="Cambria" w:eastAsia="Cambria" w:hAnsi="Cambria" w:cs="Cambria"/>
          <w:sz w:val="20"/>
          <w:szCs w:val="20"/>
          <w:lang w:val="es-CO"/>
        </w:rPr>
        <w:t>dichas</w:t>
      </w:r>
      <w:r w:rsidR="0086158B" w:rsidRPr="00E731F8">
        <w:rPr>
          <w:rFonts w:ascii="Cambria" w:eastAsia="Cambria" w:hAnsi="Cambria" w:cs="Cambria"/>
          <w:sz w:val="20"/>
          <w:szCs w:val="20"/>
          <w:lang w:val="es-CO"/>
        </w:rPr>
        <w:t xml:space="preserve"> determinaciones de hecho y de derecho, la Comisión Interamericana concluyó que el Estado salvadoreño es responsable por la violación de los derechos a la libertad personal, garantías judiciales, libertad de circulación y residencia y protección judicial, establecidos en los artículos 7.1, 7.2, 7.4, 8.1, 8.2. 22.6 y 25.1 de la CADH, en relación con el artículo 1.1 del mismo instrumento, en perjuicio de Álvaro Agustín Mejía, Juan del Cid Morales y Erik Donaire Constanza Bran.</w:t>
      </w:r>
    </w:p>
    <w:p w14:paraId="612E74FD" w14:textId="77777777" w:rsidR="00785055" w:rsidRPr="00E731F8" w:rsidRDefault="00785055" w:rsidP="00785055">
      <w:pPr>
        <w:tabs>
          <w:tab w:val="left" w:pos="567"/>
          <w:tab w:val="left" w:pos="1440"/>
        </w:tabs>
        <w:spacing w:after="0" w:line="240" w:lineRule="auto"/>
        <w:ind w:left="90" w:right="270"/>
        <w:jc w:val="both"/>
        <w:rPr>
          <w:rFonts w:ascii="Cambria" w:eastAsia="Cambria" w:hAnsi="Cambria" w:cs="Cambria"/>
          <w:sz w:val="20"/>
          <w:szCs w:val="20"/>
          <w:lang w:val="es-CO"/>
        </w:rPr>
      </w:pPr>
    </w:p>
    <w:p w14:paraId="2D5340C2" w14:textId="5D938BB5" w:rsidR="0086158B" w:rsidRPr="00E731F8" w:rsidRDefault="0086158B" w:rsidP="0086158B">
      <w:pPr>
        <w:tabs>
          <w:tab w:val="left" w:pos="360"/>
          <w:tab w:val="left" w:pos="540"/>
          <w:tab w:val="left" w:pos="1440"/>
        </w:tabs>
        <w:spacing w:after="0" w:line="240" w:lineRule="auto"/>
        <w:ind w:left="90" w:right="270"/>
        <w:jc w:val="both"/>
        <w:rPr>
          <w:rFonts w:ascii="Cambria" w:eastAsia="Cambria" w:hAnsi="Cambria" w:cs="Cambria"/>
          <w:color w:val="000000"/>
          <w:sz w:val="20"/>
          <w:szCs w:val="20"/>
          <w:lang w:val="es-CO"/>
        </w:rPr>
      </w:pPr>
      <w:r w:rsidRPr="00E731F8">
        <w:rPr>
          <w:rFonts w:ascii="Cambria" w:eastAsia="Cambria" w:hAnsi="Cambria" w:cs="Cambria"/>
          <w:color w:val="000000"/>
          <w:sz w:val="20"/>
          <w:szCs w:val="20"/>
          <w:lang w:val="es-CO"/>
        </w:rPr>
        <w:tab/>
      </w:r>
      <w:r w:rsidR="004F089A" w:rsidRPr="00E731F8">
        <w:rPr>
          <w:rFonts w:ascii="Cambria" w:eastAsia="Cambria" w:hAnsi="Cambria" w:cs="Cambria"/>
          <w:color w:val="000000"/>
          <w:sz w:val="20"/>
          <w:szCs w:val="20"/>
          <w:lang w:val="es-CO"/>
        </w:rPr>
        <w:tab/>
      </w:r>
      <w:r w:rsidRPr="00E731F8">
        <w:rPr>
          <w:rFonts w:ascii="Cambria" w:hAnsi="Cambria" w:cs="Calibri"/>
          <w:sz w:val="20"/>
          <w:szCs w:val="20"/>
          <w:lang w:val="es-CO"/>
        </w:rPr>
        <w:t xml:space="preserve">El Estado depositó el instrumento de ratificación de la Convención Americana sobre Derechos Humanos el 23 de junio de 1978 y aceptó la competencia contenciosa de la Corte el 6 de junio de 1995. </w:t>
      </w:r>
    </w:p>
    <w:p w14:paraId="6DE82BA4" w14:textId="77777777" w:rsidR="0086158B" w:rsidRPr="00E731F8" w:rsidRDefault="0086158B" w:rsidP="0086158B">
      <w:pPr>
        <w:widowControl w:val="0"/>
        <w:autoSpaceDE w:val="0"/>
        <w:autoSpaceDN w:val="0"/>
        <w:adjustRightInd w:val="0"/>
        <w:spacing w:after="0" w:line="240" w:lineRule="auto"/>
        <w:ind w:left="90" w:right="270"/>
        <w:jc w:val="both"/>
        <w:rPr>
          <w:rFonts w:ascii="Cambria" w:hAnsi="Cambria" w:cs="Calibri"/>
          <w:sz w:val="20"/>
          <w:szCs w:val="20"/>
          <w:lang w:val="es-CO"/>
        </w:rPr>
      </w:pPr>
    </w:p>
    <w:p w14:paraId="7EDF1242" w14:textId="612EBB46" w:rsidR="0086158B" w:rsidRPr="00E731F8" w:rsidRDefault="004F089A" w:rsidP="004F089A">
      <w:pPr>
        <w:tabs>
          <w:tab w:val="left" w:pos="540"/>
        </w:tabs>
        <w:spacing w:after="0" w:line="240" w:lineRule="auto"/>
        <w:ind w:left="90" w:right="270"/>
        <w:jc w:val="both"/>
        <w:rPr>
          <w:rFonts w:ascii="Cambria" w:hAnsi="Cambria" w:cs="Calibri"/>
          <w:color w:val="000000"/>
          <w:sz w:val="20"/>
          <w:szCs w:val="20"/>
          <w:lang w:val="es-CO"/>
        </w:rPr>
      </w:pPr>
      <w:r w:rsidRPr="00E731F8">
        <w:rPr>
          <w:rFonts w:ascii="Cambria" w:hAnsi="Cambria" w:cs="Calibri"/>
          <w:sz w:val="20"/>
          <w:szCs w:val="20"/>
          <w:lang w:val="es-CO"/>
        </w:rPr>
        <w:tab/>
      </w:r>
      <w:r w:rsidR="0086158B" w:rsidRPr="00E731F8">
        <w:rPr>
          <w:rFonts w:ascii="Cambria" w:hAnsi="Cambria" w:cs="Calibri"/>
          <w:sz w:val="20"/>
          <w:szCs w:val="20"/>
          <w:lang w:val="es-CO"/>
        </w:rPr>
        <w:t xml:space="preserve">La Comisión ha designado al Comisionado Carlos Bernal y a la Secretaria Ejecutiva Tania Reneaum Panszi como su delegado y delegada. </w:t>
      </w:r>
      <w:r w:rsidR="0086158B" w:rsidRPr="00E731F8">
        <w:rPr>
          <w:rFonts w:ascii="Cambria" w:hAnsi="Cambria" w:cs="Calibri"/>
          <w:color w:val="000000"/>
          <w:sz w:val="20"/>
          <w:szCs w:val="20"/>
          <w:lang w:val="es-CO"/>
        </w:rPr>
        <w:t>Asimismo, ha designado a Jorge Humberto Meza Flores, Secretario Ejecutivo Adjunto, y a Cristina Blanco, Coordinadora de la Sección de Casos de la Secretaría Ejecutiva de la CIDH, quienes actuarán como asesor y asesora legales</w:t>
      </w:r>
      <w:r w:rsidR="0086158B" w:rsidRPr="00E731F8">
        <w:rPr>
          <w:rFonts w:ascii="Cambria" w:hAnsi="Cambria" w:cs="Calibri"/>
          <w:sz w:val="20"/>
          <w:szCs w:val="20"/>
          <w:lang w:val="es-CO"/>
        </w:rPr>
        <w:t>.</w:t>
      </w:r>
    </w:p>
    <w:p w14:paraId="4ECC6C88" w14:textId="77777777" w:rsidR="0086158B" w:rsidRPr="00E731F8" w:rsidRDefault="0086158B" w:rsidP="0086158B">
      <w:pPr>
        <w:autoSpaceDE w:val="0"/>
        <w:autoSpaceDN w:val="0"/>
        <w:adjustRightInd w:val="0"/>
        <w:spacing w:after="0" w:line="240" w:lineRule="auto"/>
        <w:ind w:left="90" w:right="270"/>
        <w:jc w:val="both"/>
        <w:rPr>
          <w:rFonts w:ascii="Cambria" w:hAnsi="Cambria" w:cs="Calibri"/>
          <w:b/>
          <w:sz w:val="20"/>
          <w:szCs w:val="20"/>
          <w:lang w:val="es-CO"/>
        </w:rPr>
      </w:pPr>
    </w:p>
    <w:p w14:paraId="136C6F4E" w14:textId="1B7C8E10" w:rsidR="0086158B" w:rsidRPr="00E731F8" w:rsidRDefault="004F089A" w:rsidP="004F089A">
      <w:pPr>
        <w:widowControl w:val="0"/>
        <w:tabs>
          <w:tab w:val="left" w:pos="360"/>
          <w:tab w:val="left" w:pos="540"/>
        </w:tabs>
        <w:autoSpaceDE w:val="0"/>
        <w:autoSpaceDN w:val="0"/>
        <w:adjustRightInd w:val="0"/>
        <w:spacing w:after="0" w:line="240" w:lineRule="auto"/>
        <w:ind w:left="90" w:right="270"/>
        <w:jc w:val="both"/>
        <w:rPr>
          <w:rFonts w:ascii="Cambria" w:hAnsi="Cambria" w:cs="Calibri"/>
          <w:sz w:val="20"/>
          <w:szCs w:val="20"/>
          <w:lang w:val="es-CO"/>
        </w:rPr>
      </w:pPr>
      <w:r w:rsidRPr="00E731F8">
        <w:rPr>
          <w:rFonts w:ascii="Cambria" w:hAnsi="Cambria" w:cs="Calibri"/>
          <w:sz w:val="20"/>
          <w:szCs w:val="20"/>
          <w:lang w:val="es-CO"/>
        </w:rPr>
        <w:tab/>
      </w:r>
      <w:r w:rsidRPr="00E731F8">
        <w:rPr>
          <w:rFonts w:ascii="Cambria" w:hAnsi="Cambria" w:cs="Calibri"/>
          <w:sz w:val="20"/>
          <w:szCs w:val="20"/>
          <w:lang w:val="es-CO"/>
        </w:rPr>
        <w:tab/>
      </w:r>
      <w:r w:rsidR="0086158B" w:rsidRPr="00E731F8">
        <w:rPr>
          <w:rFonts w:ascii="Cambria" w:hAnsi="Cambria" w:cs="Calibri"/>
          <w:sz w:val="20"/>
          <w:szCs w:val="20"/>
          <w:lang w:val="es-CO"/>
        </w:rPr>
        <w:t xml:space="preserve">De conformidad con el artículo 35 del Reglamento de la Corte Interamericana, la Comisión adjunta copia del Informe de </w:t>
      </w:r>
      <w:r w:rsidR="00123EC3" w:rsidRPr="00E731F8">
        <w:rPr>
          <w:rFonts w:ascii="Cambria" w:hAnsi="Cambria" w:cs="Calibri"/>
          <w:sz w:val="20"/>
          <w:szCs w:val="20"/>
          <w:lang w:val="es-CO"/>
        </w:rPr>
        <w:t>A</w:t>
      </w:r>
      <w:r w:rsidR="00994A98" w:rsidRPr="00E731F8">
        <w:rPr>
          <w:rFonts w:ascii="Cambria" w:hAnsi="Cambria" w:cs="Calibri"/>
          <w:sz w:val="20"/>
          <w:szCs w:val="20"/>
          <w:lang w:val="es-CO"/>
        </w:rPr>
        <w:t xml:space="preserve">dmisibilidad y </w:t>
      </w:r>
      <w:r w:rsidR="0086158B" w:rsidRPr="00E731F8">
        <w:rPr>
          <w:rFonts w:ascii="Cambria" w:hAnsi="Cambria" w:cs="Calibri"/>
          <w:sz w:val="20"/>
          <w:szCs w:val="20"/>
          <w:lang w:val="es-CO"/>
        </w:rPr>
        <w:t xml:space="preserve">Fondo Nº </w:t>
      </w:r>
      <w:r w:rsidR="00676647" w:rsidRPr="00E731F8">
        <w:rPr>
          <w:rFonts w:ascii="Cambria" w:hAnsi="Cambria" w:cs="Calibri"/>
          <w:sz w:val="20"/>
          <w:szCs w:val="20"/>
          <w:lang w:val="es-CO"/>
        </w:rPr>
        <w:t xml:space="preserve">148/23 </w:t>
      </w:r>
      <w:r w:rsidR="0086158B" w:rsidRPr="00E731F8">
        <w:rPr>
          <w:rFonts w:ascii="Cambria" w:hAnsi="Cambria" w:cs="Calibri"/>
          <w:sz w:val="20"/>
          <w:szCs w:val="20"/>
          <w:lang w:val="es-CO"/>
        </w:rPr>
        <w:t xml:space="preserve">elaborado en observancia del artículo 50 de la Convención, así como copia de la totalidad del expediente ante la Comisión Interamericana (Apéndice I) y los anexos utilizados en la elaboración del Informe de Fondo Nº </w:t>
      </w:r>
      <w:r w:rsidR="00676647" w:rsidRPr="00E731F8">
        <w:rPr>
          <w:rFonts w:ascii="Cambria" w:hAnsi="Cambria" w:cs="Calibri"/>
          <w:sz w:val="20"/>
          <w:szCs w:val="20"/>
          <w:lang w:val="es-CO"/>
        </w:rPr>
        <w:t xml:space="preserve">148/23 </w:t>
      </w:r>
      <w:r w:rsidR="0086158B" w:rsidRPr="00E731F8">
        <w:rPr>
          <w:rFonts w:ascii="Cambria" w:hAnsi="Cambria" w:cs="Calibri"/>
          <w:sz w:val="20"/>
          <w:szCs w:val="20"/>
          <w:lang w:val="es-CO"/>
        </w:rPr>
        <w:t xml:space="preserve">(Anexos). </w:t>
      </w:r>
    </w:p>
    <w:p w14:paraId="41F6CB44" w14:textId="77777777" w:rsidR="0086158B" w:rsidRPr="00E731F8" w:rsidRDefault="0086158B" w:rsidP="0086158B">
      <w:pPr>
        <w:widowControl w:val="0"/>
        <w:autoSpaceDE w:val="0"/>
        <w:autoSpaceDN w:val="0"/>
        <w:adjustRightInd w:val="0"/>
        <w:spacing w:after="0" w:line="240" w:lineRule="auto"/>
        <w:ind w:left="90" w:right="270" w:firstLine="720"/>
        <w:jc w:val="both"/>
        <w:rPr>
          <w:rFonts w:ascii="Cambria" w:hAnsi="Cambria" w:cs="Calibri"/>
          <w:sz w:val="20"/>
          <w:szCs w:val="20"/>
          <w:lang w:val="es-CO"/>
        </w:rPr>
      </w:pPr>
    </w:p>
    <w:p w14:paraId="33E0D7EE" w14:textId="1462B6DC" w:rsidR="0086158B" w:rsidRPr="00E731F8" w:rsidRDefault="0086158B" w:rsidP="004F089A">
      <w:pPr>
        <w:tabs>
          <w:tab w:val="left" w:pos="360"/>
          <w:tab w:val="left" w:pos="540"/>
          <w:tab w:val="left" w:pos="810"/>
        </w:tabs>
        <w:spacing w:after="0" w:line="240" w:lineRule="auto"/>
        <w:ind w:left="90" w:right="270"/>
        <w:jc w:val="both"/>
        <w:rPr>
          <w:rFonts w:ascii="Cambria" w:hAnsi="Cambria" w:cs="Calibri"/>
          <w:color w:val="000000"/>
          <w:sz w:val="20"/>
          <w:szCs w:val="20"/>
          <w:lang w:val="es-CO"/>
        </w:rPr>
      </w:pPr>
      <w:r w:rsidRPr="00E731F8">
        <w:rPr>
          <w:rFonts w:ascii="Cambria" w:hAnsi="Cambria" w:cs="Calibri"/>
          <w:sz w:val="20"/>
          <w:szCs w:val="20"/>
          <w:lang w:val="es-CO"/>
        </w:rPr>
        <w:tab/>
      </w:r>
      <w:r w:rsidR="004F089A" w:rsidRPr="00E731F8">
        <w:rPr>
          <w:rFonts w:ascii="Cambria" w:hAnsi="Cambria" w:cs="Calibri"/>
          <w:sz w:val="20"/>
          <w:szCs w:val="20"/>
          <w:lang w:val="es-CO"/>
        </w:rPr>
        <w:tab/>
      </w:r>
      <w:r w:rsidRPr="00E731F8">
        <w:rPr>
          <w:rFonts w:ascii="Cambria" w:hAnsi="Cambria" w:cs="Calibri"/>
          <w:sz w:val="20"/>
          <w:szCs w:val="20"/>
          <w:lang w:val="es-CO"/>
        </w:rPr>
        <w:t xml:space="preserve">Dicho Informe de </w:t>
      </w:r>
      <w:r w:rsidR="00994A98" w:rsidRPr="00E731F8">
        <w:rPr>
          <w:rFonts w:ascii="Cambria" w:hAnsi="Cambria" w:cs="Calibri"/>
          <w:sz w:val="20"/>
          <w:szCs w:val="20"/>
          <w:lang w:val="es-CO"/>
        </w:rPr>
        <w:t xml:space="preserve">Admisibilidad y </w:t>
      </w:r>
      <w:r w:rsidRPr="00E731F8">
        <w:rPr>
          <w:rFonts w:ascii="Cambria" w:hAnsi="Cambria" w:cs="Calibri"/>
          <w:sz w:val="20"/>
          <w:szCs w:val="20"/>
          <w:lang w:val="es-CO"/>
        </w:rPr>
        <w:t xml:space="preserve">Fondo fue notificado al Estado de El Salvador el </w:t>
      </w:r>
      <w:r w:rsidR="00994A98" w:rsidRPr="00E731F8">
        <w:rPr>
          <w:rFonts w:ascii="Cambria" w:hAnsi="Cambria" w:cs="Calibri"/>
          <w:sz w:val="20"/>
          <w:szCs w:val="20"/>
          <w:lang w:val="es-CO"/>
        </w:rPr>
        <w:t>14 de noviembre de 2024</w:t>
      </w:r>
      <w:r w:rsidRPr="00E731F8">
        <w:rPr>
          <w:rFonts w:ascii="Cambria" w:hAnsi="Cambria" w:cs="Calibri"/>
          <w:sz w:val="20"/>
          <w:szCs w:val="20"/>
          <w:lang w:val="es-CO"/>
        </w:rPr>
        <w:t xml:space="preserve">, otorgándole un plazo de dos meses para informar sobre el cumplimiento de las recomendaciones. </w:t>
      </w:r>
      <w:r w:rsidR="00321519" w:rsidRPr="00E731F8">
        <w:rPr>
          <w:rFonts w:ascii="Cambria" w:hAnsi="Cambria" w:cs="Calibri"/>
          <w:color w:val="000000"/>
          <w:sz w:val="20"/>
          <w:szCs w:val="20"/>
          <w:lang w:val="es-CO"/>
        </w:rPr>
        <w:t xml:space="preserve">Tras el otorgamiento por parte de la CIDH de dos prórrogas, el </w:t>
      </w:r>
      <w:r w:rsidR="00DA0502" w:rsidRPr="00E731F8">
        <w:rPr>
          <w:rFonts w:ascii="Cambria" w:hAnsi="Cambria" w:cs="Calibri"/>
          <w:color w:val="000000"/>
          <w:sz w:val="20"/>
          <w:szCs w:val="20"/>
          <w:lang w:val="es-CO"/>
        </w:rPr>
        <w:t>13</w:t>
      </w:r>
      <w:r w:rsidR="00321519" w:rsidRPr="00E731F8">
        <w:rPr>
          <w:rFonts w:ascii="Cambria" w:hAnsi="Cambria" w:cs="Calibri"/>
          <w:color w:val="000000"/>
          <w:sz w:val="20"/>
          <w:szCs w:val="20"/>
          <w:lang w:val="es-CO"/>
        </w:rPr>
        <w:t xml:space="preserve"> de </w:t>
      </w:r>
      <w:r w:rsidR="00DA0502" w:rsidRPr="00E731F8">
        <w:rPr>
          <w:rFonts w:ascii="Cambria" w:hAnsi="Cambria" w:cs="Calibri"/>
          <w:color w:val="000000"/>
          <w:sz w:val="20"/>
          <w:szCs w:val="20"/>
          <w:lang w:val="es-CO"/>
        </w:rPr>
        <w:t>agosto</w:t>
      </w:r>
      <w:r w:rsidR="00321519" w:rsidRPr="00E731F8">
        <w:rPr>
          <w:rFonts w:ascii="Cambria" w:hAnsi="Cambria" w:cs="Calibri"/>
          <w:color w:val="000000"/>
          <w:sz w:val="20"/>
          <w:szCs w:val="20"/>
          <w:lang w:val="es-CO"/>
        </w:rPr>
        <w:t xml:space="preserve"> de 202</w:t>
      </w:r>
      <w:r w:rsidR="00DA0502" w:rsidRPr="00E731F8">
        <w:rPr>
          <w:rFonts w:ascii="Cambria" w:hAnsi="Cambria" w:cs="Calibri"/>
          <w:color w:val="000000"/>
          <w:sz w:val="20"/>
          <w:szCs w:val="20"/>
          <w:lang w:val="es-CO"/>
        </w:rPr>
        <w:t>5</w:t>
      </w:r>
      <w:r w:rsidR="00321519" w:rsidRPr="00E731F8">
        <w:rPr>
          <w:rFonts w:ascii="Cambria" w:hAnsi="Cambria" w:cs="Calibri"/>
          <w:color w:val="000000"/>
          <w:sz w:val="20"/>
          <w:szCs w:val="20"/>
          <w:lang w:val="es-CO"/>
        </w:rPr>
        <w:t xml:space="preserve"> el Estado informó que, </w:t>
      </w:r>
      <w:r w:rsidR="00F57448" w:rsidRPr="00E731F8">
        <w:rPr>
          <w:rFonts w:ascii="Cambria" w:hAnsi="Cambria" w:cs="Calibri"/>
          <w:color w:val="000000"/>
          <w:sz w:val="20"/>
          <w:szCs w:val="20"/>
          <w:lang w:val="es-CO"/>
        </w:rPr>
        <w:t xml:space="preserve">considera que </w:t>
      </w:r>
      <w:r w:rsidR="006F55A3" w:rsidRPr="00E731F8">
        <w:rPr>
          <w:rFonts w:ascii="Cambria" w:hAnsi="Cambria" w:cs="Calibri"/>
          <w:color w:val="000000"/>
          <w:sz w:val="20"/>
          <w:szCs w:val="20"/>
          <w:lang w:val="es-CO"/>
        </w:rPr>
        <w:t>las violaciones de derechos humanos declaradas en el Informe exceden el marco de la jurisdicción salvadoreña</w:t>
      </w:r>
      <w:r w:rsidR="00321519" w:rsidRPr="00E731F8">
        <w:rPr>
          <w:rFonts w:ascii="Cambria" w:hAnsi="Cambria" w:cs="Calibri"/>
          <w:color w:val="000000"/>
          <w:sz w:val="20"/>
          <w:szCs w:val="20"/>
          <w:lang w:val="es-CO"/>
        </w:rPr>
        <w:t>, lo cual impide que se pueda dar cumplimiento a las recomendaciones formuladas. El Estado no solicitó una nueva prórroga. En virtud de ello, y teniendo en cuenta la necesidad de justicia y reparación para las víctimas, así como la voluntad expresada por la parte peticionaria, la Comisión decidió someter el caso a la jurisdicción de la Corte Interamericana.</w:t>
      </w:r>
      <w:r w:rsidRPr="00E731F8">
        <w:rPr>
          <w:rFonts w:ascii="Cambria" w:eastAsia="Times New Roman" w:hAnsi="Cambria" w:cs="Cambria"/>
          <w:sz w:val="20"/>
          <w:szCs w:val="20"/>
          <w:lang w:val="es-CO"/>
        </w:rPr>
        <w:t xml:space="preserve"> </w:t>
      </w:r>
    </w:p>
    <w:p w14:paraId="53C89256" w14:textId="77777777" w:rsidR="0086158B" w:rsidRPr="00E731F8" w:rsidRDefault="0086158B" w:rsidP="0086158B">
      <w:pPr>
        <w:widowControl w:val="0"/>
        <w:autoSpaceDE w:val="0"/>
        <w:autoSpaceDN w:val="0"/>
        <w:adjustRightInd w:val="0"/>
        <w:spacing w:after="0" w:line="240" w:lineRule="auto"/>
        <w:ind w:left="90" w:right="270"/>
        <w:jc w:val="both"/>
        <w:rPr>
          <w:rFonts w:ascii="Cambria" w:hAnsi="Cambria" w:cs="Calibri"/>
          <w:sz w:val="20"/>
          <w:szCs w:val="20"/>
          <w:lang w:val="es-CO"/>
        </w:rPr>
      </w:pPr>
    </w:p>
    <w:p w14:paraId="11D2EA40" w14:textId="2A0DCE7F" w:rsidR="0086158B" w:rsidRPr="00E731F8" w:rsidRDefault="0086158B" w:rsidP="004F089A">
      <w:pPr>
        <w:widowControl w:val="0"/>
        <w:tabs>
          <w:tab w:val="left" w:pos="360"/>
          <w:tab w:val="left" w:pos="540"/>
        </w:tabs>
        <w:autoSpaceDE w:val="0"/>
        <w:autoSpaceDN w:val="0"/>
        <w:adjustRightInd w:val="0"/>
        <w:spacing w:after="0" w:line="240" w:lineRule="auto"/>
        <w:ind w:left="90" w:right="270"/>
        <w:jc w:val="both"/>
        <w:rPr>
          <w:rFonts w:ascii="Cambria" w:hAnsi="Cambria" w:cs="Calibri"/>
          <w:sz w:val="20"/>
          <w:szCs w:val="20"/>
          <w:lang w:val="es-CO"/>
        </w:rPr>
      </w:pPr>
      <w:r w:rsidRPr="00E731F8">
        <w:rPr>
          <w:rFonts w:ascii="Cambria" w:hAnsi="Cambria" w:cs="Calibri"/>
          <w:sz w:val="20"/>
          <w:szCs w:val="20"/>
          <w:lang w:val="es-CO"/>
        </w:rPr>
        <w:tab/>
      </w:r>
      <w:r w:rsidR="004F089A" w:rsidRPr="00E731F8">
        <w:rPr>
          <w:rFonts w:ascii="Cambria" w:hAnsi="Cambria" w:cs="Calibri"/>
          <w:sz w:val="20"/>
          <w:szCs w:val="20"/>
          <w:lang w:val="es-CO"/>
        </w:rPr>
        <w:tab/>
      </w:r>
      <w:r w:rsidRPr="00E731F8">
        <w:rPr>
          <w:rFonts w:ascii="Cambria" w:hAnsi="Cambria" w:cs="Calibri"/>
          <w:sz w:val="20"/>
          <w:szCs w:val="20"/>
          <w:lang w:val="es-CO"/>
        </w:rPr>
        <w:t xml:space="preserve">En ese sentido, la Comisión solicita a la Honorable Corte que concluya y declare la responsabilidad internacional del Estado de El Salvador </w:t>
      </w:r>
      <w:r w:rsidR="00A85B71" w:rsidRPr="00E731F8">
        <w:rPr>
          <w:rFonts w:ascii="Cambria" w:hAnsi="Cambria" w:cs="Calibri"/>
          <w:sz w:val="20"/>
          <w:szCs w:val="20"/>
          <w:lang w:val="es-CO"/>
        </w:rPr>
        <w:t>por la violación de los derechos a la libertad personal, garantías judiciales, libertad de circulación y residencia y protección judicial, establecidos en los artículos 7.1, 7.2, 7.4, 8.1, 8.2. 22.6 y 25.1 de la CADH, en relación con el artículo 1.1 del mismo instrumento, en perjuicio de Álvaro Agustín Mejía, Juan del Cid Morales y Erik Donaire Constanza Bran.</w:t>
      </w:r>
    </w:p>
    <w:p w14:paraId="05CE5F01" w14:textId="77777777" w:rsidR="004D1C0A" w:rsidRPr="004D1C0A" w:rsidRDefault="004D1C0A" w:rsidP="004F089A">
      <w:pPr>
        <w:tabs>
          <w:tab w:val="left" w:pos="540"/>
        </w:tabs>
        <w:autoSpaceDE w:val="0"/>
        <w:autoSpaceDN w:val="0"/>
        <w:adjustRightInd w:val="0"/>
        <w:spacing w:after="0" w:line="240" w:lineRule="auto"/>
        <w:ind w:right="270"/>
        <w:jc w:val="both"/>
        <w:rPr>
          <w:rFonts w:ascii="Cambria" w:hAnsi="Cambria" w:cs="Calibri"/>
          <w:sz w:val="16"/>
          <w:szCs w:val="16"/>
          <w:lang w:val="es-CO"/>
        </w:rPr>
      </w:pPr>
    </w:p>
    <w:p w14:paraId="63714D06" w14:textId="6C1F3F5A" w:rsidR="0086158B" w:rsidRPr="00E731F8" w:rsidRDefault="004F089A" w:rsidP="004F089A">
      <w:pPr>
        <w:tabs>
          <w:tab w:val="left" w:pos="540"/>
        </w:tabs>
        <w:autoSpaceDE w:val="0"/>
        <w:autoSpaceDN w:val="0"/>
        <w:adjustRightInd w:val="0"/>
        <w:spacing w:after="0" w:line="240" w:lineRule="auto"/>
        <w:ind w:right="270"/>
        <w:jc w:val="both"/>
        <w:rPr>
          <w:rFonts w:ascii="Cambria" w:hAnsi="Cambria" w:cs="Calibri"/>
          <w:sz w:val="20"/>
          <w:szCs w:val="20"/>
          <w:lang w:val="es-CO"/>
        </w:rPr>
      </w:pPr>
      <w:r w:rsidRPr="00E731F8">
        <w:rPr>
          <w:rFonts w:ascii="Cambria" w:hAnsi="Cambria" w:cs="Calibri"/>
          <w:sz w:val="20"/>
          <w:szCs w:val="20"/>
          <w:lang w:val="es-CO"/>
        </w:rPr>
        <w:lastRenderedPageBreak/>
        <w:tab/>
      </w:r>
      <w:r w:rsidR="0086158B" w:rsidRPr="00E731F8">
        <w:rPr>
          <w:rFonts w:ascii="Cambria" w:hAnsi="Cambria" w:cs="Calibri"/>
          <w:sz w:val="20"/>
          <w:szCs w:val="20"/>
          <w:lang w:val="es-CO"/>
        </w:rPr>
        <w:t>Asimismo, la Comisión solicita a la Hon</w:t>
      </w:r>
      <w:r w:rsidR="002603CB">
        <w:rPr>
          <w:rFonts w:ascii="Cambria" w:hAnsi="Cambria" w:cs="Calibri"/>
          <w:sz w:val="20"/>
          <w:szCs w:val="20"/>
          <w:lang w:val="es-CO"/>
        </w:rPr>
        <w:t>o</w:t>
      </w:r>
      <w:r w:rsidR="0086158B" w:rsidRPr="00E731F8">
        <w:rPr>
          <w:rFonts w:ascii="Cambria" w:hAnsi="Cambria" w:cs="Calibri"/>
          <w:sz w:val="20"/>
          <w:szCs w:val="20"/>
          <w:lang w:val="es-CO"/>
        </w:rPr>
        <w:t>rable Corte que establezca las siguientes medidas de reparación:</w:t>
      </w:r>
    </w:p>
    <w:p w14:paraId="0CA4CCBA" w14:textId="77777777" w:rsidR="0086158B" w:rsidRPr="004D1C0A" w:rsidRDefault="0086158B" w:rsidP="004D1C0A">
      <w:pPr>
        <w:autoSpaceDE w:val="0"/>
        <w:autoSpaceDN w:val="0"/>
        <w:adjustRightInd w:val="0"/>
        <w:spacing w:after="0" w:line="240" w:lineRule="auto"/>
        <w:ind w:left="90" w:right="270"/>
        <w:jc w:val="both"/>
        <w:rPr>
          <w:rFonts w:ascii="Cambria" w:hAnsi="Cambria" w:cs="Calibri"/>
          <w:sz w:val="16"/>
          <w:szCs w:val="16"/>
          <w:lang w:val="es-CO"/>
        </w:rPr>
      </w:pPr>
    </w:p>
    <w:p w14:paraId="294EC47A" w14:textId="531812BD" w:rsidR="0086158B" w:rsidRPr="00E731F8" w:rsidRDefault="00487472" w:rsidP="004D1C0A">
      <w:pPr>
        <w:pStyle w:val="ListParagraph"/>
        <w:numPr>
          <w:ilvl w:val="0"/>
          <w:numId w:val="1"/>
        </w:numPr>
        <w:pBdr>
          <w:top w:val="nil"/>
          <w:left w:val="nil"/>
          <w:bottom w:val="nil"/>
          <w:right w:val="nil"/>
          <w:between w:val="nil"/>
          <w:bar w:val="nil"/>
        </w:pBdr>
        <w:tabs>
          <w:tab w:val="left" w:pos="567"/>
        </w:tabs>
        <w:spacing w:after="0" w:line="240" w:lineRule="auto"/>
        <w:ind w:right="270"/>
        <w:contextualSpacing w:val="0"/>
        <w:jc w:val="both"/>
        <w:rPr>
          <w:rFonts w:ascii="Cambria" w:hAnsi="Cambria"/>
          <w:sz w:val="20"/>
          <w:szCs w:val="20"/>
          <w:lang w:val="es-CO"/>
        </w:rPr>
      </w:pPr>
      <w:r w:rsidRPr="00E731F8">
        <w:rPr>
          <w:rFonts w:ascii="Cambria" w:hAnsi="Cambria"/>
          <w:sz w:val="20"/>
          <w:szCs w:val="20"/>
          <w:lang w:val="es-CO"/>
        </w:rPr>
        <w:t>Reparar integralmente las violaciones de derechos humanos declaradas en el presente informe tanto en el aspecto material como inmaterial. El Estado deberá adoptar las medidas de compensación económica y satisfacción.</w:t>
      </w:r>
    </w:p>
    <w:p w14:paraId="64730C64" w14:textId="77777777" w:rsidR="004357F3" w:rsidRPr="00E731F8" w:rsidRDefault="00487472" w:rsidP="004D1C0A">
      <w:pPr>
        <w:pStyle w:val="ListParagraph"/>
        <w:numPr>
          <w:ilvl w:val="0"/>
          <w:numId w:val="1"/>
        </w:numPr>
        <w:pBdr>
          <w:top w:val="nil"/>
          <w:left w:val="nil"/>
          <w:bottom w:val="nil"/>
          <w:right w:val="nil"/>
          <w:between w:val="nil"/>
          <w:bar w:val="nil"/>
        </w:pBdr>
        <w:tabs>
          <w:tab w:val="left" w:pos="567"/>
        </w:tabs>
        <w:spacing w:after="0" w:line="240" w:lineRule="auto"/>
        <w:ind w:right="270"/>
        <w:contextualSpacing w:val="0"/>
        <w:jc w:val="both"/>
        <w:rPr>
          <w:rFonts w:ascii="Cambria" w:hAnsi="Cambria"/>
          <w:sz w:val="20"/>
          <w:szCs w:val="20"/>
          <w:lang w:val="es-CO"/>
        </w:rPr>
      </w:pPr>
      <w:r w:rsidRPr="00E731F8">
        <w:rPr>
          <w:rFonts w:ascii="Cambria" w:hAnsi="Cambria"/>
          <w:sz w:val="20"/>
          <w:szCs w:val="20"/>
          <w:lang w:val="es-CO"/>
        </w:rPr>
        <w:t>Disponer las medidas de atención en salud física y mental necesarias para la rehabilitación de Álvaro Agustín Mejía, Juan del Cid Morales y Erik Donaire Constanza Bran, de ser su voluntad y de manera concertada.</w:t>
      </w:r>
    </w:p>
    <w:p w14:paraId="40AFA9CA" w14:textId="77777777" w:rsidR="008350D8" w:rsidRPr="00E731F8" w:rsidRDefault="004357F3" w:rsidP="004D1C0A">
      <w:pPr>
        <w:pStyle w:val="ListParagraph"/>
        <w:numPr>
          <w:ilvl w:val="0"/>
          <w:numId w:val="1"/>
        </w:numPr>
        <w:pBdr>
          <w:top w:val="nil"/>
          <w:left w:val="nil"/>
          <w:bottom w:val="nil"/>
          <w:right w:val="nil"/>
          <w:between w:val="nil"/>
          <w:bar w:val="nil"/>
        </w:pBdr>
        <w:tabs>
          <w:tab w:val="left" w:pos="567"/>
        </w:tabs>
        <w:spacing w:after="0" w:line="240" w:lineRule="auto"/>
        <w:ind w:right="270"/>
        <w:contextualSpacing w:val="0"/>
        <w:jc w:val="both"/>
        <w:rPr>
          <w:rFonts w:ascii="Cambria" w:hAnsi="Cambria"/>
          <w:sz w:val="20"/>
          <w:szCs w:val="20"/>
          <w:lang w:val="es-CO"/>
        </w:rPr>
      </w:pPr>
      <w:r w:rsidRPr="00E731F8">
        <w:rPr>
          <w:rFonts w:ascii="Cambria" w:hAnsi="Cambria"/>
          <w:sz w:val="20"/>
          <w:szCs w:val="20"/>
          <w:lang w:val="es-CO"/>
        </w:rPr>
        <w:t>Iniciar o reabrir la investigación penal de manera diligente, efectiva y dentro de un plazo razonable con el objeto de esclarecer los hechos en forma completa, identificar todas las posibles responsabilidades e imponer las sanciones que correspondan respecto de las violaciones de derechos humanos declaradas en el presente informe.</w:t>
      </w:r>
    </w:p>
    <w:p w14:paraId="4823F90A" w14:textId="4CA713CE" w:rsidR="008350D8" w:rsidRPr="00E731F8" w:rsidRDefault="008350D8" w:rsidP="004D1C0A">
      <w:pPr>
        <w:pStyle w:val="ListParagraph"/>
        <w:numPr>
          <w:ilvl w:val="0"/>
          <w:numId w:val="1"/>
        </w:numPr>
        <w:pBdr>
          <w:top w:val="nil"/>
          <w:left w:val="nil"/>
          <w:bottom w:val="nil"/>
          <w:right w:val="nil"/>
          <w:between w:val="nil"/>
          <w:bar w:val="nil"/>
        </w:pBdr>
        <w:tabs>
          <w:tab w:val="left" w:pos="567"/>
        </w:tabs>
        <w:spacing w:after="0" w:line="240" w:lineRule="auto"/>
        <w:ind w:right="270"/>
        <w:contextualSpacing w:val="0"/>
        <w:jc w:val="both"/>
        <w:rPr>
          <w:rFonts w:ascii="Cambria" w:hAnsi="Cambria"/>
          <w:sz w:val="20"/>
          <w:szCs w:val="20"/>
          <w:lang w:val="es-CO"/>
        </w:rPr>
      </w:pPr>
      <w:r w:rsidRPr="00E731F8">
        <w:rPr>
          <w:rFonts w:ascii="Cambria" w:hAnsi="Cambria"/>
          <w:sz w:val="20"/>
          <w:szCs w:val="20"/>
          <w:lang w:val="es-CO"/>
        </w:rPr>
        <w:t>Capacitar debidamente a las autoridades y funcionarios competentes sobre los principios del debido proceso, garantías y protección judicial en lo referente a los procedimientos para la extradición de personas bajo los estándares internacionales de los derechos humanos.</w:t>
      </w:r>
    </w:p>
    <w:p w14:paraId="1B8B5D81" w14:textId="77777777" w:rsidR="0086158B" w:rsidRPr="004D1C0A" w:rsidRDefault="0086158B" w:rsidP="00E731F8">
      <w:pPr>
        <w:widowControl w:val="0"/>
        <w:autoSpaceDE w:val="0"/>
        <w:autoSpaceDN w:val="0"/>
        <w:adjustRightInd w:val="0"/>
        <w:spacing w:after="0" w:line="240" w:lineRule="auto"/>
        <w:ind w:right="270"/>
        <w:jc w:val="both"/>
        <w:rPr>
          <w:rFonts w:ascii="Cambria" w:hAnsi="Cambria" w:cs="Calibri"/>
          <w:sz w:val="16"/>
          <w:szCs w:val="16"/>
          <w:lang w:val="es-CO"/>
        </w:rPr>
      </w:pPr>
    </w:p>
    <w:p w14:paraId="72DC09FB" w14:textId="6C3F9224" w:rsidR="006A0E70" w:rsidRPr="00E731F8" w:rsidRDefault="0086158B" w:rsidP="004F089A">
      <w:pPr>
        <w:pStyle w:val="parrafos"/>
        <w:tabs>
          <w:tab w:val="left" w:pos="540"/>
        </w:tabs>
        <w:ind w:left="90" w:right="270"/>
        <w:rPr>
          <w:rFonts w:eastAsia="Times New Roman" w:cs="Calibri"/>
          <w:u w:color="000000"/>
          <w:lang w:val="es-CO" w:eastAsia="es-ES"/>
        </w:rPr>
      </w:pPr>
      <w:r w:rsidRPr="00E731F8">
        <w:rPr>
          <w:rFonts w:eastAsia="Times New Roman" w:cs="Calibri"/>
          <w:u w:color="000000"/>
          <w:lang w:val="es-CO" w:eastAsia="es-ES"/>
        </w:rPr>
        <w:tab/>
      </w:r>
      <w:r w:rsidR="004F089A" w:rsidRPr="00E731F8">
        <w:rPr>
          <w:rFonts w:eastAsia="Times New Roman" w:cs="Calibri"/>
          <w:u w:color="000000"/>
          <w:lang w:val="es-CO" w:eastAsia="es-ES"/>
        </w:rPr>
        <w:tab/>
      </w:r>
      <w:r w:rsidRPr="00E731F8">
        <w:rPr>
          <w:rFonts w:eastAsia="Times New Roman" w:cs="Calibri"/>
          <w:u w:color="000000"/>
          <w:lang w:val="es-CO" w:eastAsia="es-ES"/>
        </w:rPr>
        <w:t xml:space="preserve">Además de la necesidad de obtener justicia debido al incumplimiento de las recomendaciones del informe de fondo, la Comisión considera que el caso plantea cuestiones de orden público interamericano. </w:t>
      </w:r>
      <w:r w:rsidR="00716472" w:rsidRPr="00E731F8">
        <w:rPr>
          <w:rFonts w:eastAsia="Times New Roman" w:cs="Calibri"/>
          <w:u w:color="000000"/>
          <w:lang w:val="es-CO" w:eastAsia="es-ES"/>
        </w:rPr>
        <w:t>El presente caso permitirá a la Honorable Corte profundizar su jurisprudencia sobre las obligaciones internacionales de los Estados en materia de respeto y protección del derecho a la libertad personal</w:t>
      </w:r>
      <w:r w:rsidR="00760E1D" w:rsidRPr="00E731F8">
        <w:rPr>
          <w:rFonts w:eastAsia="Times New Roman" w:cs="Calibri"/>
          <w:u w:color="000000"/>
          <w:lang w:val="es-CO" w:eastAsia="es-ES"/>
        </w:rPr>
        <w:t xml:space="preserve"> </w:t>
      </w:r>
      <w:r w:rsidR="00F91C64" w:rsidRPr="00E731F8">
        <w:rPr>
          <w:rFonts w:eastAsia="Times New Roman" w:cs="Calibri"/>
          <w:u w:color="000000"/>
          <w:lang w:val="es-CO" w:eastAsia="es-ES"/>
        </w:rPr>
        <w:t>y al derecho a la li</w:t>
      </w:r>
      <w:r w:rsidR="000A566F">
        <w:rPr>
          <w:rFonts w:eastAsia="Times New Roman" w:cs="Calibri"/>
          <w:u w:color="000000"/>
          <w:lang w:val="es-CO" w:eastAsia="es-ES"/>
        </w:rPr>
        <w:t xml:space="preserve">bertad de </w:t>
      </w:r>
      <w:r w:rsidR="00F91C64" w:rsidRPr="00E731F8">
        <w:rPr>
          <w:rFonts w:eastAsia="Times New Roman" w:cs="Calibri"/>
          <w:u w:color="000000"/>
          <w:lang w:val="es-CO" w:eastAsia="es-ES"/>
        </w:rPr>
        <w:t>circulación y residencia</w:t>
      </w:r>
      <w:r w:rsidR="00716472" w:rsidRPr="00E731F8">
        <w:rPr>
          <w:rFonts w:eastAsia="Times New Roman" w:cs="Calibri"/>
          <w:u w:color="000000"/>
          <w:lang w:val="es-CO" w:eastAsia="es-ES"/>
        </w:rPr>
        <w:t>. En particular, podrá pronunciarse sobre las garantías mínimas que deben observarse en toda privación de libertad por parte de agentes estatales, incluyendo el derecho a no ser detenido ilegal o arbitrariamente, a ser informado sobre las razones de la detención y los cargos formulados, a contar con control judicial sin demora, y, cuando corresponda, a acceder a asistencia consular. Adicionalmente, el caso permitirá a la Corte referirse</w:t>
      </w:r>
      <w:r w:rsidR="00560A10">
        <w:rPr>
          <w:rFonts w:eastAsia="Times New Roman" w:cs="Calibri"/>
          <w:u w:color="000000"/>
          <w:lang w:val="es-CO" w:eastAsia="es-ES"/>
        </w:rPr>
        <w:t xml:space="preserve"> a</w:t>
      </w:r>
      <w:r w:rsidR="00716472" w:rsidRPr="00E731F8">
        <w:rPr>
          <w:rFonts w:eastAsia="Times New Roman" w:cs="Calibri"/>
          <w:u w:color="000000"/>
          <w:lang w:val="es-CO" w:eastAsia="es-ES"/>
        </w:rPr>
        <w:t xml:space="preserve"> </w:t>
      </w:r>
      <w:r w:rsidR="00AC7579" w:rsidRPr="00E731F8">
        <w:rPr>
          <w:rFonts w:eastAsia="Times New Roman" w:cs="Calibri"/>
          <w:u w:color="000000"/>
          <w:lang w:val="es-CO" w:eastAsia="es-ES"/>
        </w:rPr>
        <w:t>las obligaciones internacionales que tienen los Estados en materia de derechos humanos en el contexto de procesos de mecanismos de cooperación internacional en materia penal que impliquen la detención y/o entrega de personas a otro Estado</w:t>
      </w:r>
      <w:r w:rsidR="00716472" w:rsidRPr="00E731F8">
        <w:rPr>
          <w:rFonts w:eastAsia="Times New Roman" w:cs="Calibri"/>
          <w:u w:color="000000"/>
          <w:lang w:val="es-CO" w:eastAsia="es-ES"/>
        </w:rPr>
        <w:t>.</w:t>
      </w:r>
    </w:p>
    <w:p w14:paraId="07601735" w14:textId="77777777" w:rsidR="00D81F13" w:rsidRPr="004D1C0A" w:rsidRDefault="00D81F13" w:rsidP="0086158B">
      <w:pPr>
        <w:pStyle w:val="parrafos"/>
        <w:ind w:left="90" w:right="270"/>
        <w:rPr>
          <w:rFonts w:eastAsia="Times New Roman" w:cs="Calibri"/>
          <w:sz w:val="16"/>
          <w:szCs w:val="16"/>
          <w:u w:color="000000"/>
          <w:lang w:val="es-CO" w:eastAsia="es-ES"/>
        </w:rPr>
      </w:pPr>
    </w:p>
    <w:p w14:paraId="345BA7E9" w14:textId="60581C5B" w:rsidR="001F5D4F" w:rsidRPr="00E731F8" w:rsidRDefault="001F5D4F" w:rsidP="00E731F8">
      <w:pPr>
        <w:tabs>
          <w:tab w:val="left" w:pos="360"/>
          <w:tab w:val="left" w:pos="720"/>
        </w:tabs>
        <w:spacing w:after="0" w:line="240" w:lineRule="auto"/>
        <w:ind w:left="90" w:right="270"/>
        <w:jc w:val="both"/>
        <w:rPr>
          <w:rFonts w:ascii="Cambria" w:hAnsi="Cambria"/>
          <w:sz w:val="20"/>
          <w:szCs w:val="20"/>
          <w:lang w:val="es-CO"/>
        </w:rPr>
      </w:pPr>
      <w:r w:rsidRPr="00E731F8">
        <w:rPr>
          <w:rFonts w:ascii="Cambria" w:hAnsi="Cambria"/>
          <w:sz w:val="20"/>
          <w:szCs w:val="20"/>
          <w:lang w:val="es-CO"/>
        </w:rPr>
        <w:tab/>
        <w:t xml:space="preserve">En virtud de que estas cuestiones afectan de manera relevante el orden público interamericano, de conformidad con el artículo 35.1 f) del Reglamento de la Corte Interamericana, la Comisión se permite ofrecer la siguiente declaración pericial: </w:t>
      </w:r>
    </w:p>
    <w:p w14:paraId="6808881C" w14:textId="77777777" w:rsidR="00D81F13" w:rsidRPr="004D1C0A" w:rsidRDefault="00D81F13" w:rsidP="0086158B">
      <w:pPr>
        <w:pStyle w:val="parrafos"/>
        <w:ind w:left="90" w:right="270"/>
        <w:rPr>
          <w:rFonts w:eastAsia="Times New Roman" w:cs="Calibri"/>
          <w:sz w:val="16"/>
          <w:szCs w:val="16"/>
          <w:u w:color="000000"/>
          <w:lang w:val="es-CO" w:eastAsia="es-ES"/>
        </w:rPr>
      </w:pPr>
    </w:p>
    <w:p w14:paraId="2C8CA339" w14:textId="5FF7D0ED" w:rsidR="00166591" w:rsidRPr="00E731F8" w:rsidRDefault="00B96C3A" w:rsidP="004F089A">
      <w:pPr>
        <w:tabs>
          <w:tab w:val="left" w:pos="360"/>
          <w:tab w:val="left" w:pos="540"/>
        </w:tabs>
        <w:autoSpaceDE w:val="0"/>
        <w:autoSpaceDN w:val="0"/>
        <w:adjustRightInd w:val="0"/>
        <w:spacing w:after="0" w:line="240" w:lineRule="auto"/>
        <w:ind w:left="90" w:right="270"/>
        <w:jc w:val="both"/>
        <w:rPr>
          <w:rFonts w:ascii="Cambria" w:hAnsi="Cambria"/>
          <w:sz w:val="20"/>
          <w:szCs w:val="20"/>
          <w:lang w:val="es-CO"/>
        </w:rPr>
      </w:pPr>
      <w:r w:rsidRPr="00E731F8">
        <w:rPr>
          <w:rFonts w:ascii="Cambria" w:hAnsi="Cambria"/>
          <w:b/>
          <w:bCs/>
          <w:sz w:val="20"/>
          <w:szCs w:val="20"/>
          <w:lang w:val="es-CO"/>
        </w:rPr>
        <w:tab/>
      </w:r>
      <w:r w:rsidR="004F089A" w:rsidRPr="00E731F8">
        <w:rPr>
          <w:rFonts w:ascii="Cambria" w:hAnsi="Cambria"/>
          <w:b/>
          <w:bCs/>
          <w:sz w:val="20"/>
          <w:szCs w:val="20"/>
          <w:lang w:val="es-CO"/>
        </w:rPr>
        <w:tab/>
      </w:r>
      <w:r w:rsidR="00166591" w:rsidRPr="00E731F8">
        <w:rPr>
          <w:rFonts w:ascii="Cambria" w:hAnsi="Cambria"/>
          <w:b/>
          <w:bCs/>
          <w:sz w:val="20"/>
          <w:szCs w:val="20"/>
          <w:lang w:val="es-CO"/>
        </w:rPr>
        <w:t>Perito/a, cuyo nombre será informado a la brevedad</w:t>
      </w:r>
      <w:r w:rsidR="00166591" w:rsidRPr="00E731F8">
        <w:rPr>
          <w:rFonts w:ascii="Cambria" w:hAnsi="Cambria"/>
          <w:sz w:val="20"/>
          <w:szCs w:val="20"/>
          <w:lang w:val="es-CO"/>
        </w:rPr>
        <w:t>, quien declarará sobre las obligaciones internacionales que tienen los Estados en materia de derechos humanos en el contexto de procesos de mecanismos de cooperación internacional</w:t>
      </w:r>
      <w:r w:rsidR="0070054D" w:rsidRPr="00E731F8">
        <w:rPr>
          <w:rFonts w:ascii="Cambria" w:hAnsi="Cambria"/>
          <w:sz w:val="20"/>
          <w:szCs w:val="20"/>
          <w:lang w:val="es-CO"/>
        </w:rPr>
        <w:t xml:space="preserve"> en materia penal</w:t>
      </w:r>
      <w:r w:rsidR="0012281C" w:rsidRPr="00E731F8">
        <w:rPr>
          <w:rFonts w:ascii="Cambria" w:hAnsi="Cambria"/>
          <w:sz w:val="20"/>
          <w:szCs w:val="20"/>
          <w:lang w:val="es-CO"/>
        </w:rPr>
        <w:t xml:space="preserve"> que impliquen la detención y</w:t>
      </w:r>
      <w:r w:rsidR="008A0E3B" w:rsidRPr="00E731F8">
        <w:rPr>
          <w:rFonts w:ascii="Cambria" w:hAnsi="Cambria"/>
          <w:sz w:val="20"/>
          <w:szCs w:val="20"/>
          <w:lang w:val="es-CO"/>
        </w:rPr>
        <w:t>/</w:t>
      </w:r>
      <w:r w:rsidR="00E10AD0" w:rsidRPr="00E731F8">
        <w:rPr>
          <w:rFonts w:ascii="Cambria" w:hAnsi="Cambria"/>
          <w:sz w:val="20"/>
          <w:szCs w:val="20"/>
          <w:lang w:val="es-CO"/>
        </w:rPr>
        <w:t>o entrega de personas a otro Estado</w:t>
      </w:r>
      <w:r w:rsidR="00166591" w:rsidRPr="00E731F8">
        <w:rPr>
          <w:rFonts w:ascii="Cambria" w:hAnsi="Cambria"/>
          <w:sz w:val="20"/>
          <w:szCs w:val="20"/>
          <w:lang w:val="es-CO"/>
        </w:rPr>
        <w:t>.</w:t>
      </w:r>
      <w:r w:rsidR="00166591" w:rsidRPr="00E731F8">
        <w:rPr>
          <w:rFonts w:ascii="Cambria" w:eastAsia="Cambria" w:hAnsi="Cambria" w:cs="Cambria"/>
          <w:color w:val="000000"/>
          <w:sz w:val="20"/>
          <w:szCs w:val="20"/>
          <w:lang w:val="es-CO"/>
        </w:rPr>
        <w:t xml:space="preserve"> En particular,</w:t>
      </w:r>
      <w:r w:rsidR="00166591" w:rsidRPr="00E731F8">
        <w:rPr>
          <w:rFonts w:ascii="Cambria" w:hAnsi="Cambria"/>
          <w:sz w:val="20"/>
          <w:szCs w:val="20"/>
          <w:lang w:val="es-CO"/>
        </w:rPr>
        <w:t xml:space="preserve"> el peritaje </w:t>
      </w:r>
      <w:r w:rsidR="00B763F9" w:rsidRPr="00E731F8">
        <w:rPr>
          <w:rFonts w:ascii="Cambria" w:hAnsi="Cambria"/>
          <w:sz w:val="20"/>
          <w:szCs w:val="20"/>
          <w:lang w:val="es-CO"/>
        </w:rPr>
        <w:t xml:space="preserve">hará referencia a las </w:t>
      </w:r>
      <w:r w:rsidR="00A3577B" w:rsidRPr="00E731F8">
        <w:rPr>
          <w:rFonts w:ascii="Cambria" w:hAnsi="Cambria"/>
          <w:sz w:val="20"/>
          <w:szCs w:val="20"/>
          <w:lang w:val="es-CO"/>
        </w:rPr>
        <w:t>garantías mínimas que deben observarse en dicho</w:t>
      </w:r>
      <w:r w:rsidR="008626B9" w:rsidRPr="00E731F8">
        <w:rPr>
          <w:rFonts w:ascii="Cambria" w:hAnsi="Cambria"/>
          <w:sz w:val="20"/>
          <w:szCs w:val="20"/>
          <w:lang w:val="es-CO"/>
        </w:rPr>
        <w:t>s</w:t>
      </w:r>
      <w:r w:rsidR="00A3577B" w:rsidRPr="00E731F8">
        <w:rPr>
          <w:rFonts w:ascii="Cambria" w:hAnsi="Cambria"/>
          <w:sz w:val="20"/>
          <w:szCs w:val="20"/>
          <w:lang w:val="es-CO"/>
        </w:rPr>
        <w:t xml:space="preserve"> </w:t>
      </w:r>
      <w:r w:rsidR="003437A3" w:rsidRPr="00E731F8">
        <w:rPr>
          <w:rFonts w:ascii="Cambria" w:eastAsiaTheme="minorHAnsi" w:hAnsi="Cambria"/>
          <w:sz w:val="20"/>
          <w:szCs w:val="20"/>
          <w:lang w:val="es-CO"/>
        </w:rPr>
        <w:t>procedimientos</w:t>
      </w:r>
      <w:r w:rsidR="00A3577B" w:rsidRPr="00E731F8">
        <w:rPr>
          <w:rFonts w:ascii="Cambria" w:eastAsiaTheme="minorHAnsi" w:hAnsi="Cambria"/>
          <w:sz w:val="20"/>
          <w:szCs w:val="20"/>
          <w:lang w:val="es-CO"/>
        </w:rPr>
        <w:t xml:space="preserve"> </w:t>
      </w:r>
      <w:r w:rsidR="00D961E4" w:rsidRPr="00E731F8">
        <w:rPr>
          <w:rFonts w:ascii="Cambria" w:eastAsiaTheme="minorHAnsi" w:hAnsi="Cambria"/>
          <w:sz w:val="20"/>
          <w:szCs w:val="20"/>
          <w:lang w:val="es-CO"/>
        </w:rPr>
        <w:t>de acuerdo con los estándares internacionale</w:t>
      </w:r>
      <w:r w:rsidR="008626B9" w:rsidRPr="00E731F8">
        <w:rPr>
          <w:rFonts w:ascii="Cambria" w:eastAsiaTheme="minorHAnsi" w:hAnsi="Cambria"/>
          <w:sz w:val="20"/>
          <w:szCs w:val="20"/>
          <w:lang w:val="es-CO"/>
        </w:rPr>
        <w:t>s</w:t>
      </w:r>
      <w:r w:rsidR="00166591" w:rsidRPr="00E731F8">
        <w:rPr>
          <w:rFonts w:ascii="Cambria" w:eastAsia="Cambria" w:hAnsi="Cambria" w:cs="Cambria"/>
          <w:color w:val="000000"/>
          <w:sz w:val="20"/>
          <w:szCs w:val="20"/>
          <w:lang w:val="es-CO"/>
        </w:rPr>
        <w:t>.</w:t>
      </w:r>
      <w:r w:rsidR="00166591" w:rsidRPr="00E731F8">
        <w:rPr>
          <w:rFonts w:ascii="Cambria" w:hAnsi="Cambria" w:cs="Calibri Light"/>
          <w:sz w:val="20"/>
          <w:szCs w:val="20"/>
          <w:lang w:val="es-CO"/>
        </w:rPr>
        <w:t xml:space="preserve"> </w:t>
      </w:r>
      <w:r w:rsidR="00166591" w:rsidRPr="00E731F8">
        <w:rPr>
          <w:rFonts w:ascii="Cambria" w:hAnsi="Cambria"/>
          <w:sz w:val="20"/>
          <w:szCs w:val="20"/>
          <w:lang w:val="es-CO"/>
        </w:rPr>
        <w:t>En la medida de lo pertinente, se referirá a otros sistemas internacionales de protección de derechos humanos y al derecho comparado. Para ejemplificar el desarrollo de su peritaje, la persona experta podrá referirse a los hechos del caso.</w:t>
      </w:r>
    </w:p>
    <w:p w14:paraId="5C25ADE2" w14:textId="77777777" w:rsidR="00166591" w:rsidRPr="004D1C0A" w:rsidRDefault="00166591" w:rsidP="0086158B">
      <w:pPr>
        <w:pStyle w:val="parrafos"/>
        <w:ind w:left="90" w:right="270"/>
        <w:rPr>
          <w:rFonts w:eastAsia="Times New Roman" w:cs="Calibri"/>
          <w:sz w:val="16"/>
          <w:szCs w:val="16"/>
          <w:u w:color="000000"/>
          <w:lang w:val="es-CO" w:eastAsia="es-ES"/>
        </w:rPr>
      </w:pPr>
    </w:p>
    <w:p w14:paraId="1547508D" w14:textId="3419D9EF" w:rsidR="00A22764" w:rsidRPr="00E731F8" w:rsidRDefault="00676647" w:rsidP="00200B4D">
      <w:pPr>
        <w:tabs>
          <w:tab w:val="left" w:pos="360"/>
          <w:tab w:val="left" w:pos="540"/>
          <w:tab w:val="left" w:pos="2880"/>
        </w:tabs>
        <w:spacing w:after="0" w:line="240" w:lineRule="auto"/>
        <w:ind w:right="270"/>
        <w:jc w:val="both"/>
        <w:rPr>
          <w:rFonts w:ascii="Cambria" w:hAnsi="Cambria"/>
          <w:sz w:val="20"/>
          <w:szCs w:val="20"/>
          <w:lang w:val="es-CO"/>
        </w:rPr>
      </w:pPr>
      <w:r w:rsidRPr="00E731F8">
        <w:rPr>
          <w:rFonts w:ascii="Cambria" w:hAnsi="Cambria"/>
          <w:sz w:val="20"/>
          <w:szCs w:val="20"/>
          <w:lang w:val="es-CO"/>
        </w:rPr>
        <w:tab/>
      </w:r>
      <w:r w:rsidR="004F089A" w:rsidRPr="00E731F8">
        <w:rPr>
          <w:rFonts w:ascii="Cambria" w:hAnsi="Cambria"/>
          <w:sz w:val="20"/>
          <w:szCs w:val="20"/>
          <w:lang w:val="es-CO"/>
        </w:rPr>
        <w:tab/>
      </w:r>
      <w:r w:rsidR="00A22764" w:rsidRPr="00E731F8">
        <w:rPr>
          <w:rFonts w:ascii="Cambria" w:hAnsi="Cambria"/>
          <w:sz w:val="20"/>
          <w:szCs w:val="20"/>
          <w:lang w:val="es-CO"/>
        </w:rPr>
        <w:t xml:space="preserve">El CV del/la perito/a propuesto/a será incluido en los anexos al Informe de Admisibilidad y Fondo </w:t>
      </w:r>
      <w:r w:rsidR="00A22764" w:rsidRPr="00E731F8">
        <w:rPr>
          <w:rFonts w:ascii="Cambria" w:hAnsi="Cambria" w:cs="Calibri"/>
          <w:sz w:val="20"/>
          <w:szCs w:val="20"/>
          <w:lang w:val="es-CO"/>
        </w:rPr>
        <w:t xml:space="preserve">Nº. </w:t>
      </w:r>
      <w:r w:rsidRPr="00E731F8">
        <w:rPr>
          <w:rFonts w:ascii="Cambria" w:hAnsi="Cambria" w:cs="Calibri"/>
          <w:sz w:val="20"/>
          <w:szCs w:val="20"/>
          <w:lang w:val="es-CO"/>
        </w:rPr>
        <w:t>148/23</w:t>
      </w:r>
      <w:r w:rsidR="00A22764" w:rsidRPr="00E731F8">
        <w:rPr>
          <w:rFonts w:ascii="Cambria" w:hAnsi="Cambria"/>
          <w:sz w:val="20"/>
          <w:szCs w:val="20"/>
          <w:lang w:val="es-CO"/>
        </w:rPr>
        <w:t>.</w:t>
      </w:r>
    </w:p>
    <w:p w14:paraId="21C79CD3" w14:textId="77777777" w:rsidR="0086158B" w:rsidRPr="004D1C0A" w:rsidRDefault="0086158B" w:rsidP="00200B4D">
      <w:pPr>
        <w:widowControl w:val="0"/>
        <w:autoSpaceDE w:val="0"/>
        <w:autoSpaceDN w:val="0"/>
        <w:adjustRightInd w:val="0"/>
        <w:spacing w:after="0" w:line="240" w:lineRule="auto"/>
        <w:ind w:right="270"/>
        <w:jc w:val="both"/>
        <w:rPr>
          <w:rFonts w:ascii="Cambria" w:hAnsi="Cambria" w:cs="Calibri"/>
          <w:sz w:val="16"/>
          <w:szCs w:val="16"/>
          <w:lang w:val="es-CO"/>
        </w:rPr>
      </w:pPr>
    </w:p>
    <w:p w14:paraId="01D82073" w14:textId="3308CD75" w:rsidR="0086158B" w:rsidRDefault="0086158B" w:rsidP="00200B4D">
      <w:pPr>
        <w:widowControl w:val="0"/>
        <w:tabs>
          <w:tab w:val="left" w:pos="360"/>
          <w:tab w:val="left" w:pos="540"/>
        </w:tabs>
        <w:autoSpaceDE w:val="0"/>
        <w:autoSpaceDN w:val="0"/>
        <w:adjustRightInd w:val="0"/>
        <w:spacing w:after="0" w:line="240" w:lineRule="auto"/>
        <w:ind w:left="90" w:right="270"/>
        <w:jc w:val="both"/>
        <w:rPr>
          <w:rFonts w:ascii="Cambria" w:hAnsi="Cambria" w:cs="Calibri"/>
          <w:sz w:val="20"/>
          <w:szCs w:val="20"/>
          <w:lang w:val="es-CO"/>
        </w:rPr>
      </w:pPr>
      <w:r w:rsidRPr="00E731F8">
        <w:rPr>
          <w:rFonts w:ascii="Cambria" w:hAnsi="Cambria" w:cs="Calibri"/>
          <w:sz w:val="20"/>
          <w:szCs w:val="20"/>
          <w:lang w:val="es-CO"/>
        </w:rPr>
        <w:tab/>
      </w:r>
      <w:r w:rsidR="004F089A" w:rsidRPr="00E731F8">
        <w:rPr>
          <w:rFonts w:ascii="Cambria" w:hAnsi="Cambria" w:cs="Calibri"/>
          <w:sz w:val="20"/>
          <w:szCs w:val="20"/>
          <w:lang w:val="es-CO"/>
        </w:rPr>
        <w:tab/>
      </w:r>
      <w:r w:rsidRPr="00E731F8">
        <w:rPr>
          <w:rFonts w:ascii="Cambria" w:hAnsi="Cambria" w:cs="Calibri"/>
          <w:sz w:val="20"/>
          <w:szCs w:val="20"/>
          <w:lang w:val="es-CO"/>
        </w:rPr>
        <w:t>La Comisión pone en conocimiento de la Corte la siguiente información de quie</w:t>
      </w:r>
      <w:r w:rsidR="004D1C0A">
        <w:rPr>
          <w:rFonts w:ascii="Cambria" w:hAnsi="Cambria" w:cs="Calibri"/>
          <w:sz w:val="20"/>
          <w:szCs w:val="20"/>
          <w:lang w:val="es-CO"/>
        </w:rPr>
        <w:t>n</w:t>
      </w:r>
      <w:r w:rsidRPr="00E731F8">
        <w:rPr>
          <w:rFonts w:ascii="Cambria" w:hAnsi="Cambria" w:cs="Calibri"/>
          <w:sz w:val="20"/>
          <w:szCs w:val="20"/>
          <w:lang w:val="es-CO"/>
        </w:rPr>
        <w:t xml:space="preserve"> actúa como </w:t>
      </w:r>
      <w:r w:rsidR="004D1C0A">
        <w:rPr>
          <w:rFonts w:ascii="Cambria" w:hAnsi="Cambria" w:cs="Calibri"/>
          <w:sz w:val="20"/>
          <w:szCs w:val="20"/>
          <w:lang w:val="es-CO"/>
        </w:rPr>
        <w:t>peti</w:t>
      </w:r>
      <w:r w:rsidR="001C1F0E">
        <w:rPr>
          <w:rFonts w:ascii="Cambria" w:hAnsi="Cambria" w:cs="Calibri"/>
          <w:sz w:val="20"/>
          <w:szCs w:val="20"/>
          <w:lang w:val="es-CO"/>
        </w:rPr>
        <w:t>c</w:t>
      </w:r>
      <w:r w:rsidR="004D1C0A">
        <w:rPr>
          <w:rFonts w:ascii="Cambria" w:hAnsi="Cambria" w:cs="Calibri"/>
          <w:sz w:val="20"/>
          <w:szCs w:val="20"/>
          <w:lang w:val="es-CO"/>
        </w:rPr>
        <w:t>ionario</w:t>
      </w:r>
      <w:r w:rsidRPr="00E731F8">
        <w:rPr>
          <w:rFonts w:ascii="Cambria" w:hAnsi="Cambria" w:cs="Calibri"/>
          <w:sz w:val="20"/>
          <w:szCs w:val="20"/>
          <w:lang w:val="es-CO"/>
        </w:rPr>
        <w:t xml:space="preserve"> en el trámite ante la CIDH conforme a la información más reciente:</w:t>
      </w:r>
    </w:p>
    <w:p w14:paraId="207C79B2" w14:textId="77777777" w:rsidR="004D1C0A" w:rsidRPr="004D1C0A" w:rsidRDefault="004D1C0A" w:rsidP="00200B4D">
      <w:pPr>
        <w:widowControl w:val="0"/>
        <w:tabs>
          <w:tab w:val="left" w:pos="360"/>
          <w:tab w:val="left" w:pos="540"/>
        </w:tabs>
        <w:autoSpaceDE w:val="0"/>
        <w:autoSpaceDN w:val="0"/>
        <w:adjustRightInd w:val="0"/>
        <w:spacing w:after="0" w:line="240" w:lineRule="auto"/>
        <w:ind w:left="90" w:right="270"/>
        <w:jc w:val="both"/>
        <w:rPr>
          <w:rFonts w:ascii="Cambria" w:hAnsi="Cambria" w:cs="Calibri"/>
          <w:sz w:val="10"/>
          <w:szCs w:val="10"/>
          <w:lang w:val="es-CO"/>
        </w:rPr>
      </w:pPr>
    </w:p>
    <w:p w14:paraId="7E5F469E" w14:textId="77777777" w:rsidR="004D1C0A" w:rsidRPr="003F73AA" w:rsidRDefault="004D1C0A" w:rsidP="004D1C0A">
      <w:pPr>
        <w:widowControl w:val="0"/>
        <w:tabs>
          <w:tab w:val="left" w:pos="360"/>
          <w:tab w:val="left" w:pos="540"/>
        </w:tabs>
        <w:autoSpaceDE w:val="0"/>
        <w:autoSpaceDN w:val="0"/>
        <w:adjustRightInd w:val="0"/>
        <w:spacing w:after="0" w:line="240" w:lineRule="auto"/>
        <w:ind w:right="270"/>
        <w:jc w:val="center"/>
        <w:rPr>
          <w:rFonts w:ascii="Cambria" w:hAnsi="Cambria" w:cs="Calibri"/>
          <w:sz w:val="20"/>
          <w:szCs w:val="20"/>
          <w:lang w:val="es-US"/>
        </w:rPr>
      </w:pPr>
      <w:r w:rsidRPr="003F73AA">
        <w:rPr>
          <w:rFonts w:ascii="Cambria" w:hAnsi="Cambria" w:cs="Calibri"/>
          <w:sz w:val="20"/>
          <w:szCs w:val="20"/>
          <w:lang w:val="es-US"/>
        </w:rPr>
        <w:t>Erik Donaire Constanza Bran</w:t>
      </w:r>
    </w:p>
    <w:p w14:paraId="282512E9" w14:textId="2690BF6E" w:rsidR="004D1C0A" w:rsidRPr="00B96155" w:rsidRDefault="00B96155" w:rsidP="004D1C0A">
      <w:pPr>
        <w:widowControl w:val="0"/>
        <w:tabs>
          <w:tab w:val="left" w:pos="360"/>
          <w:tab w:val="left" w:pos="540"/>
        </w:tabs>
        <w:autoSpaceDE w:val="0"/>
        <w:autoSpaceDN w:val="0"/>
        <w:adjustRightInd w:val="0"/>
        <w:spacing w:after="0" w:line="240" w:lineRule="auto"/>
        <w:ind w:right="270"/>
        <w:jc w:val="center"/>
        <w:rPr>
          <w:rFonts w:ascii="Cambria" w:hAnsi="Cambria" w:cs="Calibri"/>
          <w:sz w:val="20"/>
          <w:szCs w:val="20"/>
          <w:highlight w:val="black"/>
          <w:lang w:val="es-US"/>
        </w:rPr>
      </w:pPr>
      <w:r w:rsidRPr="00B96155">
        <w:rPr>
          <w:rFonts w:ascii="Cambria" w:hAnsi="Cambria" w:cs="Calibri"/>
          <w:sz w:val="20"/>
          <w:szCs w:val="20"/>
          <w:highlight w:val="black"/>
          <w:lang w:val="es-US"/>
        </w:rPr>
        <w:t>XXXXXXXXXXXXXXXXXXXXXXXX</w:t>
      </w:r>
    </w:p>
    <w:p w14:paraId="49F3254B" w14:textId="77777777" w:rsidR="0086158B" w:rsidRPr="004D1C0A" w:rsidRDefault="0086158B" w:rsidP="0086158B">
      <w:pPr>
        <w:spacing w:after="0" w:line="240" w:lineRule="auto"/>
        <w:rPr>
          <w:rFonts w:ascii="Cambria" w:hAnsi="Cambria"/>
          <w:sz w:val="16"/>
          <w:szCs w:val="16"/>
          <w:lang w:val="es-CO"/>
        </w:rPr>
      </w:pPr>
    </w:p>
    <w:p w14:paraId="532E9E75" w14:textId="199BEDEA" w:rsidR="0086158B" w:rsidRPr="00E731F8" w:rsidRDefault="0086158B" w:rsidP="004F089A">
      <w:pPr>
        <w:tabs>
          <w:tab w:val="left" w:pos="0"/>
          <w:tab w:val="left" w:pos="360"/>
          <w:tab w:val="left" w:pos="540"/>
        </w:tabs>
        <w:spacing w:after="0" w:line="240" w:lineRule="auto"/>
        <w:ind w:right="270"/>
        <w:jc w:val="both"/>
        <w:rPr>
          <w:rFonts w:ascii="Cambria" w:hAnsi="Cambria" w:cs="Calibri"/>
          <w:sz w:val="20"/>
          <w:szCs w:val="20"/>
          <w:lang w:val="es-CO"/>
        </w:rPr>
      </w:pPr>
      <w:r w:rsidRPr="00E731F8">
        <w:rPr>
          <w:rFonts w:ascii="Cambria" w:hAnsi="Cambria" w:cs="Calibri"/>
          <w:sz w:val="20"/>
          <w:szCs w:val="20"/>
          <w:lang w:val="es-CO"/>
        </w:rPr>
        <w:tab/>
      </w:r>
      <w:r w:rsidR="004F089A" w:rsidRPr="00E731F8">
        <w:rPr>
          <w:rFonts w:ascii="Cambria" w:hAnsi="Cambria" w:cs="Calibri"/>
          <w:sz w:val="20"/>
          <w:szCs w:val="20"/>
          <w:lang w:val="es-CO"/>
        </w:rPr>
        <w:tab/>
      </w:r>
      <w:r w:rsidRPr="00E731F8">
        <w:rPr>
          <w:rFonts w:ascii="Cambria" w:hAnsi="Cambria" w:cs="Calibri"/>
          <w:sz w:val="20"/>
          <w:szCs w:val="20"/>
          <w:lang w:val="es-CO"/>
        </w:rPr>
        <w:t>Aprovecho la oportunidad para saludar a usted muy atentamente,</w:t>
      </w:r>
    </w:p>
    <w:p w14:paraId="187E2403" w14:textId="27499F39" w:rsidR="004D1C0A" w:rsidRPr="004D1C0A" w:rsidRDefault="004D1C0A" w:rsidP="004D1C0A">
      <w:pPr>
        <w:tabs>
          <w:tab w:val="left" w:pos="3926"/>
        </w:tabs>
        <w:spacing w:after="0" w:line="240" w:lineRule="auto"/>
        <w:rPr>
          <w:rFonts w:ascii="Cambria" w:hAnsi="Cambria"/>
          <w:sz w:val="16"/>
          <w:szCs w:val="16"/>
          <w:lang w:val="es-US"/>
        </w:rPr>
      </w:pPr>
    </w:p>
    <w:p w14:paraId="3A3835FF" w14:textId="77777777" w:rsidR="004D1C0A" w:rsidRPr="004D1C0A" w:rsidRDefault="004D1C0A" w:rsidP="004D1C0A">
      <w:pPr>
        <w:spacing w:after="0" w:line="240" w:lineRule="auto"/>
        <w:rPr>
          <w:rFonts w:ascii="Cambria" w:hAnsi="Cambria"/>
          <w:sz w:val="16"/>
          <w:szCs w:val="16"/>
          <w:lang w:val="es-US"/>
        </w:rPr>
      </w:pPr>
    </w:p>
    <w:p w14:paraId="1A943432" w14:textId="77777777" w:rsidR="0086158B" w:rsidRPr="004D1C0A" w:rsidRDefault="0086158B" w:rsidP="0086158B">
      <w:pPr>
        <w:spacing w:after="0" w:line="240" w:lineRule="auto"/>
        <w:rPr>
          <w:rFonts w:ascii="Cambria" w:hAnsi="Cambria"/>
          <w:sz w:val="20"/>
          <w:szCs w:val="20"/>
          <w:lang w:val="es-CO"/>
        </w:rPr>
      </w:pPr>
      <w:bookmarkStart w:id="1" w:name="_Hlk196724428"/>
      <w:bookmarkStart w:id="2" w:name="_Hlk194568905"/>
      <w:bookmarkStart w:id="3" w:name="_Hlk199495494"/>
      <w:bookmarkStart w:id="4" w:name="_Hlk200102610"/>
    </w:p>
    <w:bookmarkEnd w:id="1"/>
    <w:bookmarkEnd w:id="2"/>
    <w:bookmarkEnd w:id="3"/>
    <w:bookmarkEnd w:id="4"/>
    <w:p w14:paraId="750441B4" w14:textId="565A433B" w:rsidR="0086158B" w:rsidRPr="004D1C0A" w:rsidRDefault="0086158B" w:rsidP="004D1C0A">
      <w:pPr>
        <w:spacing w:after="0" w:line="240" w:lineRule="auto"/>
        <w:ind w:right="270"/>
        <w:rPr>
          <w:rFonts w:ascii="Cambria" w:hAnsi="Cambria"/>
          <w:sz w:val="20"/>
          <w:szCs w:val="20"/>
          <w:lang w:val="es-CO"/>
        </w:rPr>
      </w:pPr>
      <w:r w:rsidRPr="004D1C0A">
        <w:rPr>
          <w:rFonts w:ascii="Cambria" w:hAnsi="Cambria" w:cs="Calibri"/>
          <w:sz w:val="20"/>
          <w:szCs w:val="20"/>
          <w:lang w:val="es-CO"/>
        </w:rPr>
        <w:t>Anexo</w:t>
      </w:r>
    </w:p>
    <w:sectPr w:rsidR="0086158B" w:rsidRPr="004D1C0A" w:rsidSect="0086158B">
      <w:headerReference w:type="default" r:id="rId7"/>
      <w:footerReference w:type="default" r:id="rId8"/>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71B96" w14:textId="77777777" w:rsidR="00C529C6" w:rsidRDefault="00C529C6">
      <w:pPr>
        <w:spacing w:after="0" w:line="240" w:lineRule="auto"/>
      </w:pPr>
      <w:r>
        <w:separator/>
      </w:r>
    </w:p>
  </w:endnote>
  <w:endnote w:type="continuationSeparator" w:id="0">
    <w:p w14:paraId="578A7736" w14:textId="77777777" w:rsidR="00C529C6" w:rsidRDefault="00C5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425841"/>
      <w:docPartObj>
        <w:docPartGallery w:val="Page Numbers (Bottom of Page)"/>
        <w:docPartUnique/>
      </w:docPartObj>
    </w:sdtPr>
    <w:sdtEndPr>
      <w:rPr>
        <w:rFonts w:ascii="Cambria" w:hAnsi="Cambria"/>
        <w:noProof/>
        <w:sz w:val="20"/>
        <w:szCs w:val="20"/>
      </w:rPr>
    </w:sdtEndPr>
    <w:sdtContent>
      <w:p w14:paraId="38D5A9E0" w14:textId="77777777" w:rsidR="00BE2D91" w:rsidRPr="00C82DC3" w:rsidRDefault="00B26E77">
        <w:pPr>
          <w:pStyle w:val="Footer"/>
          <w:jc w:val="center"/>
          <w:rPr>
            <w:rFonts w:ascii="Cambria" w:hAnsi="Cambria"/>
            <w:sz w:val="20"/>
            <w:szCs w:val="20"/>
          </w:rPr>
        </w:pPr>
        <w:r w:rsidRPr="00C82DC3">
          <w:rPr>
            <w:rFonts w:ascii="Cambria" w:hAnsi="Cambria"/>
            <w:sz w:val="20"/>
            <w:szCs w:val="20"/>
          </w:rPr>
          <w:fldChar w:fldCharType="begin"/>
        </w:r>
        <w:r w:rsidRPr="00C82DC3">
          <w:rPr>
            <w:rFonts w:ascii="Cambria" w:hAnsi="Cambria"/>
            <w:sz w:val="20"/>
            <w:szCs w:val="20"/>
          </w:rPr>
          <w:instrText xml:space="preserve"> PAGE   \* MERGEFORMAT </w:instrText>
        </w:r>
        <w:r w:rsidRPr="00C82DC3">
          <w:rPr>
            <w:rFonts w:ascii="Cambria" w:hAnsi="Cambria"/>
            <w:sz w:val="20"/>
            <w:szCs w:val="20"/>
          </w:rPr>
          <w:fldChar w:fldCharType="separate"/>
        </w:r>
        <w:r w:rsidRPr="00C82DC3">
          <w:rPr>
            <w:rFonts w:ascii="Cambria" w:hAnsi="Cambria"/>
            <w:noProof/>
            <w:sz w:val="20"/>
            <w:szCs w:val="20"/>
          </w:rPr>
          <w:t>2</w:t>
        </w:r>
        <w:r w:rsidRPr="00C82DC3">
          <w:rPr>
            <w:rFonts w:ascii="Cambria" w:hAnsi="Cambria"/>
            <w:noProof/>
            <w:sz w:val="20"/>
            <w:szCs w:val="20"/>
          </w:rPr>
          <w:fldChar w:fldCharType="end"/>
        </w:r>
      </w:p>
    </w:sdtContent>
  </w:sdt>
  <w:p w14:paraId="77E2BBC1" w14:textId="77777777" w:rsidR="00BE2D91" w:rsidRDefault="00BE2D91" w:rsidP="006272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14064" w14:textId="77777777" w:rsidR="00C529C6" w:rsidRDefault="00C529C6">
      <w:pPr>
        <w:spacing w:after="0" w:line="240" w:lineRule="auto"/>
      </w:pPr>
      <w:r>
        <w:separator/>
      </w:r>
    </w:p>
  </w:footnote>
  <w:footnote w:type="continuationSeparator" w:id="0">
    <w:p w14:paraId="4ED3B142" w14:textId="77777777" w:rsidR="00C529C6" w:rsidRDefault="00C52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FAE2" w14:textId="77777777" w:rsidR="00BE2D91" w:rsidRDefault="00B26E77" w:rsidP="0062724F">
    <w:pPr>
      <w:pStyle w:val="Header"/>
    </w:pPr>
    <w:r w:rsidRPr="008A5CB5">
      <w:rPr>
        <w:noProof/>
      </w:rPr>
      <w:drawing>
        <wp:inline distT="0" distB="0" distL="0" distR="0" wp14:anchorId="3D94B6FB" wp14:editId="0D3C9D31">
          <wp:extent cx="2352675" cy="457200"/>
          <wp:effectExtent l="0" t="0" r="9525" b="0"/>
          <wp:docPr id="1126285707"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t xml:space="preserve">                                                              </w:t>
    </w:r>
    <w:r w:rsidRPr="008A5CB5">
      <w:rPr>
        <w:noProof/>
      </w:rPr>
      <w:drawing>
        <wp:inline distT="0" distB="0" distL="0" distR="0" wp14:anchorId="69672AC1" wp14:editId="35E012AB">
          <wp:extent cx="1647825" cy="476250"/>
          <wp:effectExtent l="0" t="0" r="9525" b="0"/>
          <wp:docPr id="1130505069" name="Picture 1"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76250"/>
                  </a:xfrm>
                  <a:prstGeom prst="rect">
                    <a:avLst/>
                  </a:prstGeom>
                  <a:noFill/>
                  <a:ln>
                    <a:noFill/>
                  </a:ln>
                </pic:spPr>
              </pic:pic>
            </a:graphicData>
          </a:graphic>
        </wp:inline>
      </w:drawing>
    </w:r>
    <w:r>
      <w:t xml:space="preserve">                      </w:t>
    </w:r>
  </w:p>
  <w:p w14:paraId="065F8081" w14:textId="77777777" w:rsidR="00BE2D91" w:rsidRDefault="00B96155" w:rsidP="0062724F">
    <w:pPr>
      <w:pStyle w:val="Header"/>
    </w:pPr>
    <w:r>
      <w:pict w14:anchorId="6DCC2DB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3D70"/>
    <w:multiLevelType w:val="hybridMultilevel"/>
    <w:tmpl w:val="7166D5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025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8B"/>
    <w:rsid w:val="00007DC7"/>
    <w:rsid w:val="00012AC4"/>
    <w:rsid w:val="000714E4"/>
    <w:rsid w:val="00076D68"/>
    <w:rsid w:val="000775DD"/>
    <w:rsid w:val="000A566F"/>
    <w:rsid w:val="000E5D43"/>
    <w:rsid w:val="000E6490"/>
    <w:rsid w:val="00105600"/>
    <w:rsid w:val="00110BA8"/>
    <w:rsid w:val="0012281C"/>
    <w:rsid w:val="00123EC3"/>
    <w:rsid w:val="001254AF"/>
    <w:rsid w:val="00126395"/>
    <w:rsid w:val="00142273"/>
    <w:rsid w:val="00166591"/>
    <w:rsid w:val="0018587B"/>
    <w:rsid w:val="001C1F0E"/>
    <w:rsid w:val="001F28CE"/>
    <w:rsid w:val="001F5D4F"/>
    <w:rsid w:val="00200B4D"/>
    <w:rsid w:val="00213B47"/>
    <w:rsid w:val="00217B74"/>
    <w:rsid w:val="0023000B"/>
    <w:rsid w:val="002358B9"/>
    <w:rsid w:val="002603CB"/>
    <w:rsid w:val="0029467E"/>
    <w:rsid w:val="002E50D9"/>
    <w:rsid w:val="00321519"/>
    <w:rsid w:val="003278FE"/>
    <w:rsid w:val="003321C5"/>
    <w:rsid w:val="003437A3"/>
    <w:rsid w:val="003D0163"/>
    <w:rsid w:val="003F535B"/>
    <w:rsid w:val="003F73AA"/>
    <w:rsid w:val="004131DE"/>
    <w:rsid w:val="0041669D"/>
    <w:rsid w:val="004357F3"/>
    <w:rsid w:val="00450288"/>
    <w:rsid w:val="004723D2"/>
    <w:rsid w:val="00487472"/>
    <w:rsid w:val="004D1C0A"/>
    <w:rsid w:val="004F089A"/>
    <w:rsid w:val="00517D65"/>
    <w:rsid w:val="005365A3"/>
    <w:rsid w:val="00540729"/>
    <w:rsid w:val="00560A10"/>
    <w:rsid w:val="005A1E0A"/>
    <w:rsid w:val="005D05D3"/>
    <w:rsid w:val="005E6BED"/>
    <w:rsid w:val="006717FC"/>
    <w:rsid w:val="00675304"/>
    <w:rsid w:val="00676647"/>
    <w:rsid w:val="00692802"/>
    <w:rsid w:val="0069578C"/>
    <w:rsid w:val="006A0E70"/>
    <w:rsid w:val="006D232B"/>
    <w:rsid w:val="006F55A3"/>
    <w:rsid w:val="0070054D"/>
    <w:rsid w:val="00716472"/>
    <w:rsid w:val="00760E1D"/>
    <w:rsid w:val="00764A77"/>
    <w:rsid w:val="00785055"/>
    <w:rsid w:val="007953EA"/>
    <w:rsid w:val="008108D4"/>
    <w:rsid w:val="008111A9"/>
    <w:rsid w:val="008350D8"/>
    <w:rsid w:val="0083736B"/>
    <w:rsid w:val="00851611"/>
    <w:rsid w:val="0086158B"/>
    <w:rsid w:val="008626B9"/>
    <w:rsid w:val="008636DB"/>
    <w:rsid w:val="008A0E3B"/>
    <w:rsid w:val="008C054C"/>
    <w:rsid w:val="00903593"/>
    <w:rsid w:val="00923D9B"/>
    <w:rsid w:val="00937186"/>
    <w:rsid w:val="00993104"/>
    <w:rsid w:val="00994A98"/>
    <w:rsid w:val="009A3CD3"/>
    <w:rsid w:val="00A22764"/>
    <w:rsid w:val="00A3577B"/>
    <w:rsid w:val="00A71C70"/>
    <w:rsid w:val="00A764D1"/>
    <w:rsid w:val="00A85B71"/>
    <w:rsid w:val="00A91DB1"/>
    <w:rsid w:val="00A95808"/>
    <w:rsid w:val="00A9609C"/>
    <w:rsid w:val="00AC7579"/>
    <w:rsid w:val="00AE2C02"/>
    <w:rsid w:val="00B26E77"/>
    <w:rsid w:val="00B763F9"/>
    <w:rsid w:val="00B83AAA"/>
    <w:rsid w:val="00B96155"/>
    <w:rsid w:val="00B96C3A"/>
    <w:rsid w:val="00BA270F"/>
    <w:rsid w:val="00BA6C25"/>
    <w:rsid w:val="00BE2D91"/>
    <w:rsid w:val="00C00EF7"/>
    <w:rsid w:val="00C529C6"/>
    <w:rsid w:val="00C6252F"/>
    <w:rsid w:val="00D33D14"/>
    <w:rsid w:val="00D81F13"/>
    <w:rsid w:val="00D961E4"/>
    <w:rsid w:val="00DA019E"/>
    <w:rsid w:val="00DA0502"/>
    <w:rsid w:val="00DA25D9"/>
    <w:rsid w:val="00DB4758"/>
    <w:rsid w:val="00E10AD0"/>
    <w:rsid w:val="00E14F1E"/>
    <w:rsid w:val="00E327CB"/>
    <w:rsid w:val="00E62A92"/>
    <w:rsid w:val="00E731F8"/>
    <w:rsid w:val="00E83165"/>
    <w:rsid w:val="00EA4275"/>
    <w:rsid w:val="00EA4F79"/>
    <w:rsid w:val="00ED034C"/>
    <w:rsid w:val="00EE577B"/>
    <w:rsid w:val="00EF23E6"/>
    <w:rsid w:val="00F2525B"/>
    <w:rsid w:val="00F31F3B"/>
    <w:rsid w:val="00F55A74"/>
    <w:rsid w:val="00F57448"/>
    <w:rsid w:val="00F91C64"/>
    <w:rsid w:val="00FA02A8"/>
    <w:rsid w:val="00FE002E"/>
    <w:rsid w:val="00FE2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C0A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58B"/>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861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5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5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5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5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5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5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5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5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5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5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5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5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5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5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5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58B"/>
    <w:rPr>
      <w:rFonts w:eastAsiaTheme="majorEastAsia" w:cstheme="majorBidi"/>
      <w:color w:val="272727" w:themeColor="text1" w:themeTint="D8"/>
    </w:rPr>
  </w:style>
  <w:style w:type="paragraph" w:styleId="Title">
    <w:name w:val="Title"/>
    <w:basedOn w:val="Normal"/>
    <w:next w:val="Normal"/>
    <w:link w:val="TitleChar"/>
    <w:uiPriority w:val="10"/>
    <w:qFormat/>
    <w:rsid w:val="00861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5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5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58B"/>
    <w:pPr>
      <w:spacing w:before="160"/>
      <w:jc w:val="center"/>
    </w:pPr>
    <w:rPr>
      <w:i/>
      <w:iCs/>
      <w:color w:val="404040" w:themeColor="text1" w:themeTint="BF"/>
    </w:rPr>
  </w:style>
  <w:style w:type="character" w:customStyle="1" w:styleId="QuoteChar">
    <w:name w:val="Quote Char"/>
    <w:basedOn w:val="DefaultParagraphFont"/>
    <w:link w:val="Quote"/>
    <w:uiPriority w:val="29"/>
    <w:rsid w:val="0086158B"/>
    <w:rPr>
      <w:i/>
      <w:iCs/>
      <w:color w:val="404040" w:themeColor="text1" w:themeTint="BF"/>
    </w:rPr>
  </w:style>
  <w:style w:type="paragraph" w:styleId="ListParagraph">
    <w:name w:val="List Paragraph"/>
    <w:aliases w:val="Párrafo de lista1,List Paragraph1,Colorful List - Accent 11,List Paragraph11,List Paragraph2,Lista vistosa - Énfasis 11,Subtle Emphasis1,Footnote1,Parragrap,Superíndice,Dot pt,No Spacing1,List Paragraph Char Char Char,Indicator Text"/>
    <w:basedOn w:val="Normal"/>
    <w:link w:val="ListParagraphChar"/>
    <w:uiPriority w:val="34"/>
    <w:qFormat/>
    <w:rsid w:val="0086158B"/>
    <w:pPr>
      <w:ind w:left="720"/>
      <w:contextualSpacing/>
    </w:pPr>
  </w:style>
  <w:style w:type="character" w:styleId="IntenseEmphasis">
    <w:name w:val="Intense Emphasis"/>
    <w:basedOn w:val="DefaultParagraphFont"/>
    <w:uiPriority w:val="21"/>
    <w:qFormat/>
    <w:rsid w:val="0086158B"/>
    <w:rPr>
      <w:i/>
      <w:iCs/>
      <w:color w:val="0F4761" w:themeColor="accent1" w:themeShade="BF"/>
    </w:rPr>
  </w:style>
  <w:style w:type="paragraph" w:styleId="IntenseQuote">
    <w:name w:val="Intense Quote"/>
    <w:basedOn w:val="Normal"/>
    <w:next w:val="Normal"/>
    <w:link w:val="IntenseQuoteChar"/>
    <w:uiPriority w:val="30"/>
    <w:qFormat/>
    <w:rsid w:val="00861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58B"/>
    <w:rPr>
      <w:i/>
      <w:iCs/>
      <w:color w:val="0F4761" w:themeColor="accent1" w:themeShade="BF"/>
    </w:rPr>
  </w:style>
  <w:style w:type="character" w:styleId="IntenseReference">
    <w:name w:val="Intense Reference"/>
    <w:basedOn w:val="DefaultParagraphFont"/>
    <w:uiPriority w:val="32"/>
    <w:qFormat/>
    <w:rsid w:val="0086158B"/>
    <w:rPr>
      <w:b/>
      <w:bCs/>
      <w:smallCaps/>
      <w:color w:val="0F4761" w:themeColor="accent1" w:themeShade="BF"/>
      <w:spacing w:val="5"/>
    </w:rPr>
  </w:style>
  <w:style w:type="paragraph" w:styleId="Header">
    <w:name w:val="header"/>
    <w:basedOn w:val="Normal"/>
    <w:link w:val="HeaderChar"/>
    <w:uiPriority w:val="99"/>
    <w:unhideWhenUsed/>
    <w:rsid w:val="0086158B"/>
    <w:pPr>
      <w:tabs>
        <w:tab w:val="center" w:pos="4680"/>
        <w:tab w:val="right" w:pos="9360"/>
      </w:tabs>
      <w:spacing w:after="0" w:line="240" w:lineRule="auto"/>
    </w:pPr>
    <w:rPr>
      <w:rFonts w:eastAsia="Batang"/>
    </w:rPr>
  </w:style>
  <w:style w:type="character" w:customStyle="1" w:styleId="HeaderChar">
    <w:name w:val="Header Char"/>
    <w:basedOn w:val="DefaultParagraphFont"/>
    <w:link w:val="Header"/>
    <w:uiPriority w:val="99"/>
    <w:rsid w:val="0086158B"/>
    <w:rPr>
      <w:rFonts w:ascii="Calibri" w:eastAsia="Batang" w:hAnsi="Calibri" w:cs="Times New Roman"/>
      <w:kern w:val="0"/>
      <w:sz w:val="22"/>
      <w:szCs w:val="22"/>
      <w14:ligatures w14:val="none"/>
    </w:rPr>
  </w:style>
  <w:style w:type="paragraph" w:styleId="Footer">
    <w:name w:val="footer"/>
    <w:basedOn w:val="Normal"/>
    <w:link w:val="FooterChar"/>
    <w:uiPriority w:val="99"/>
    <w:rsid w:val="0086158B"/>
    <w:pPr>
      <w:tabs>
        <w:tab w:val="center" w:pos="4320"/>
        <w:tab w:val="right" w:pos="8640"/>
      </w:tabs>
      <w:spacing w:after="0" w:line="240" w:lineRule="auto"/>
    </w:pPr>
    <w:rPr>
      <w:rFonts w:ascii="Times New Roman" w:eastAsia="Times New Roman" w:hAnsi="Times New Roman"/>
      <w:sz w:val="24"/>
      <w:szCs w:val="24"/>
      <w:lang w:val="es-ES" w:eastAsia="es-ES"/>
    </w:rPr>
  </w:style>
  <w:style w:type="character" w:customStyle="1" w:styleId="FooterChar">
    <w:name w:val="Footer Char"/>
    <w:basedOn w:val="DefaultParagraphFont"/>
    <w:link w:val="Footer"/>
    <w:uiPriority w:val="99"/>
    <w:rsid w:val="0086158B"/>
    <w:rPr>
      <w:rFonts w:ascii="Times New Roman" w:eastAsia="Times New Roman" w:hAnsi="Times New Roman" w:cs="Times New Roman"/>
      <w:kern w:val="0"/>
      <w:lang w:val="es-ES" w:eastAsia="es-ES"/>
      <w14:ligatures w14:val="none"/>
    </w:rPr>
  </w:style>
  <w:style w:type="paragraph" w:customStyle="1" w:styleId="parrafos">
    <w:name w:val="parrafos"/>
    <w:basedOn w:val="Normal"/>
    <w:link w:val="parrafosChar"/>
    <w:qFormat/>
    <w:rsid w:val="0086158B"/>
    <w:pPr>
      <w:tabs>
        <w:tab w:val="left" w:pos="360"/>
      </w:tabs>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86158B"/>
    <w:rPr>
      <w:rFonts w:ascii="Cambria" w:eastAsia="Arial Unicode MS" w:hAnsi="Cambria" w:cs="Times New Roman"/>
      <w:color w:val="000000"/>
      <w:kern w:val="0"/>
      <w:sz w:val="20"/>
      <w:szCs w:val="20"/>
      <w:bdr w:val="nil"/>
      <w:lang w:val="es-VE"/>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Subtle Emphasis1 Char,Footnote1 Char,Parragrap Char,Superíndice Char,Dot pt Char"/>
    <w:link w:val="ListParagraph"/>
    <w:uiPriority w:val="34"/>
    <w:locked/>
    <w:rsid w:val="0086158B"/>
  </w:style>
  <w:style w:type="character" w:styleId="Hyperlink">
    <w:name w:val="Hyperlink"/>
    <w:basedOn w:val="DefaultParagraphFont"/>
    <w:uiPriority w:val="99"/>
    <w:unhideWhenUsed/>
    <w:rsid w:val="0086158B"/>
    <w:rPr>
      <w:color w:val="0000FF"/>
      <w:u w:val="single"/>
    </w:rPr>
  </w:style>
  <w:style w:type="character" w:styleId="UnresolvedMention">
    <w:name w:val="Unresolved Mention"/>
    <w:basedOn w:val="DefaultParagraphFont"/>
    <w:uiPriority w:val="99"/>
    <w:semiHidden/>
    <w:unhideWhenUsed/>
    <w:rsid w:val="004D1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67297">
      <w:bodyDiv w:val="1"/>
      <w:marLeft w:val="0"/>
      <w:marRight w:val="0"/>
      <w:marTop w:val="0"/>
      <w:marBottom w:val="0"/>
      <w:divBdr>
        <w:top w:val="none" w:sz="0" w:space="0" w:color="auto"/>
        <w:left w:val="none" w:sz="0" w:space="0" w:color="auto"/>
        <w:bottom w:val="none" w:sz="0" w:space="0" w:color="auto"/>
        <w:right w:val="none" w:sz="0" w:space="0" w:color="auto"/>
      </w:divBdr>
    </w:div>
    <w:div w:id="11657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2478</Words>
  <Characters>14126</Characters>
  <Application>Microsoft Office Word</Application>
  <DocSecurity>0</DocSecurity>
  <Lines>117</Lines>
  <Paragraphs>33</Paragraphs>
  <ScaleCrop>false</ScaleCrop>
  <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2025-08-25T20:50:00Z</dcterms:created>
  <dcterms:modified xsi:type="dcterms:W3CDTF">2025-08-25T20:50:00Z</dcterms:modified>
</cp:coreProperties>
</file>