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F249" w14:textId="77777777" w:rsidR="00DE1A88" w:rsidRDefault="00DE1A88" w:rsidP="00DE1A88">
      <w:pPr>
        <w:pBdr>
          <w:top w:val="nil"/>
          <w:left w:val="nil"/>
          <w:bottom w:val="nil"/>
          <w:right w:val="nil"/>
          <w:between w:val="nil"/>
        </w:pBdr>
        <w:rPr>
          <w:rFonts w:ascii="Cambria" w:eastAsia="Cambria" w:hAnsi="Cambria" w:cs="Cambria"/>
          <w:color w:val="000000"/>
          <w:sz w:val="20"/>
          <w:szCs w:val="20"/>
        </w:rPr>
      </w:pPr>
    </w:p>
    <w:p w14:paraId="623FB39C" w14:textId="77777777" w:rsidR="00DE1A88" w:rsidRPr="00A5361C" w:rsidRDefault="00DE1A88" w:rsidP="00DE1A88">
      <w:pPr>
        <w:pBdr>
          <w:top w:val="nil"/>
          <w:left w:val="nil"/>
          <w:bottom w:val="nil"/>
          <w:right w:val="nil"/>
          <w:between w:val="nil"/>
        </w:pBdr>
        <w:ind w:hanging="2"/>
        <w:jc w:val="center"/>
        <w:rPr>
          <w:rFonts w:ascii="Cambria" w:eastAsia="Cambria" w:hAnsi="Cambria" w:cs="Cambria"/>
          <w:color w:val="000000"/>
          <w:sz w:val="22"/>
          <w:szCs w:val="22"/>
          <w:lang w:val="es-ES"/>
        </w:rPr>
      </w:pPr>
      <w:r w:rsidRPr="00A5361C">
        <w:rPr>
          <w:rFonts w:ascii="Cambria" w:eastAsia="Cambria" w:hAnsi="Cambria" w:cs="Cambria"/>
          <w:b/>
          <w:color w:val="000000"/>
          <w:sz w:val="20"/>
          <w:szCs w:val="20"/>
          <w:lang w:val="es-ES"/>
        </w:rPr>
        <w:t xml:space="preserve">FICHA DE SEGUIMIENTO DEL INFORME </w:t>
      </w:r>
      <w:proofErr w:type="spellStart"/>
      <w:r w:rsidRPr="00A5361C">
        <w:rPr>
          <w:rFonts w:ascii="Cambria" w:eastAsia="Cambria" w:hAnsi="Cambria" w:cs="Cambria"/>
          <w:b/>
          <w:color w:val="000000"/>
          <w:sz w:val="20"/>
          <w:szCs w:val="20"/>
          <w:lang w:val="es-ES"/>
        </w:rPr>
        <w:t>Nº</w:t>
      </w:r>
      <w:proofErr w:type="spellEnd"/>
      <w:r w:rsidRPr="00A5361C">
        <w:rPr>
          <w:rFonts w:ascii="Cambria" w:eastAsia="Cambria" w:hAnsi="Cambria" w:cs="Cambria"/>
          <w:b/>
          <w:color w:val="000000"/>
          <w:sz w:val="20"/>
          <w:szCs w:val="20"/>
          <w:lang w:val="es-ES"/>
        </w:rPr>
        <w:t xml:space="preserve"> 27/18</w:t>
      </w:r>
    </w:p>
    <w:p w14:paraId="40DA4063" w14:textId="77777777" w:rsidR="00DE1A88" w:rsidRPr="00A5361C" w:rsidRDefault="00DE1A88" w:rsidP="00DE1A88">
      <w:pPr>
        <w:pBdr>
          <w:top w:val="nil"/>
          <w:left w:val="nil"/>
          <w:bottom w:val="nil"/>
          <w:right w:val="nil"/>
          <w:between w:val="nil"/>
        </w:pBdr>
        <w:ind w:hanging="2"/>
        <w:jc w:val="center"/>
        <w:rPr>
          <w:rFonts w:ascii="Cambria" w:eastAsia="Cambria" w:hAnsi="Cambria" w:cs="Cambria"/>
          <w:color w:val="000000"/>
          <w:sz w:val="22"/>
          <w:szCs w:val="22"/>
          <w:lang w:val="es-ES"/>
        </w:rPr>
      </w:pPr>
      <w:r w:rsidRPr="00A5361C">
        <w:rPr>
          <w:rFonts w:ascii="Cambria" w:eastAsia="Cambria" w:hAnsi="Cambria" w:cs="Cambria"/>
          <w:b/>
          <w:color w:val="000000"/>
          <w:sz w:val="20"/>
          <w:szCs w:val="20"/>
          <w:lang w:val="es-ES"/>
        </w:rPr>
        <w:t>CASO 12.127</w:t>
      </w:r>
    </w:p>
    <w:p w14:paraId="0FE4F234" w14:textId="77777777" w:rsidR="00DE1A88" w:rsidRPr="00A5361C" w:rsidRDefault="00DE1A88" w:rsidP="00DE1A88">
      <w:pPr>
        <w:pBdr>
          <w:top w:val="nil"/>
          <w:left w:val="nil"/>
          <w:bottom w:val="nil"/>
          <w:right w:val="nil"/>
          <w:between w:val="nil"/>
        </w:pBdr>
        <w:ind w:hanging="2"/>
        <w:jc w:val="center"/>
        <w:rPr>
          <w:rFonts w:ascii="Cambria" w:eastAsia="Cambria" w:hAnsi="Cambria" w:cs="Cambria"/>
          <w:color w:val="000000"/>
          <w:sz w:val="22"/>
          <w:szCs w:val="22"/>
          <w:lang w:val="es-ES"/>
        </w:rPr>
      </w:pPr>
      <w:r w:rsidRPr="00A5361C">
        <w:rPr>
          <w:rFonts w:ascii="Cambria" w:eastAsia="Cambria" w:hAnsi="Cambria" w:cs="Cambria"/>
          <w:b/>
          <w:color w:val="000000"/>
          <w:sz w:val="20"/>
          <w:szCs w:val="20"/>
          <w:lang w:val="es-ES"/>
        </w:rPr>
        <w:t>VLADIMIRO ROCA ANTUNEZ Y OTROS</w:t>
      </w:r>
    </w:p>
    <w:p w14:paraId="5D2C7F5E" w14:textId="77777777" w:rsidR="00DE1A88" w:rsidRPr="00A5361C" w:rsidRDefault="00DE1A88" w:rsidP="00DE1A88">
      <w:pPr>
        <w:pBdr>
          <w:top w:val="nil"/>
          <w:left w:val="nil"/>
          <w:bottom w:val="nil"/>
          <w:right w:val="nil"/>
          <w:between w:val="nil"/>
        </w:pBdr>
        <w:ind w:hanging="2"/>
        <w:jc w:val="center"/>
        <w:rPr>
          <w:rFonts w:ascii="Cambria" w:eastAsia="Cambria" w:hAnsi="Cambria" w:cs="Cambria"/>
          <w:color w:val="000000"/>
          <w:sz w:val="22"/>
          <w:szCs w:val="22"/>
        </w:rPr>
      </w:pPr>
      <w:r w:rsidRPr="00A5361C">
        <w:rPr>
          <w:rFonts w:ascii="Cambria" w:eastAsia="Cambria" w:hAnsi="Cambria" w:cs="Cambria"/>
          <w:b/>
          <w:color w:val="000000"/>
          <w:sz w:val="20"/>
          <w:szCs w:val="20"/>
        </w:rPr>
        <w:t>(Cuba)</w:t>
      </w:r>
    </w:p>
    <w:p w14:paraId="0F1F281F" w14:textId="77777777" w:rsidR="00DE1A88" w:rsidRPr="00A5361C" w:rsidRDefault="00DE1A88" w:rsidP="00DE1A88">
      <w:pPr>
        <w:pBdr>
          <w:top w:val="nil"/>
          <w:left w:val="nil"/>
          <w:bottom w:val="nil"/>
          <w:right w:val="nil"/>
          <w:between w:val="nil"/>
        </w:pBdr>
        <w:ind w:hanging="2"/>
        <w:jc w:val="both"/>
        <w:rPr>
          <w:rFonts w:ascii="Cambria" w:eastAsia="Cambria" w:hAnsi="Cambria" w:cs="Cambria"/>
          <w:color w:val="000000"/>
          <w:sz w:val="20"/>
          <w:szCs w:val="20"/>
        </w:rPr>
      </w:pPr>
    </w:p>
    <w:p w14:paraId="3952E11D"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textDirection w:val="btLr"/>
        <w:textAlignment w:val="top"/>
        <w:outlineLvl w:val="0"/>
        <w:rPr>
          <w:rFonts w:ascii="Cambria" w:eastAsia="Cambria" w:hAnsi="Cambria" w:cs="Cambria"/>
          <w:color w:val="000000"/>
          <w:sz w:val="20"/>
          <w:szCs w:val="20"/>
        </w:rPr>
      </w:pPr>
      <w:proofErr w:type="spellStart"/>
      <w:r w:rsidRPr="00A5361C">
        <w:rPr>
          <w:rFonts w:ascii="Cambria" w:eastAsia="Cambria" w:hAnsi="Cambria" w:cs="Cambria"/>
          <w:b/>
          <w:color w:val="000000"/>
          <w:sz w:val="20"/>
          <w:szCs w:val="20"/>
        </w:rPr>
        <w:t>Resumen</w:t>
      </w:r>
      <w:proofErr w:type="spellEnd"/>
      <w:r w:rsidRPr="00A5361C">
        <w:rPr>
          <w:rFonts w:ascii="Cambria" w:eastAsia="Cambria" w:hAnsi="Cambria" w:cs="Cambria"/>
          <w:b/>
          <w:color w:val="000000"/>
          <w:sz w:val="20"/>
          <w:szCs w:val="20"/>
        </w:rPr>
        <w:t xml:space="preserve"> del </w:t>
      </w:r>
      <w:proofErr w:type="spellStart"/>
      <w:r w:rsidRPr="00A5361C">
        <w:rPr>
          <w:rFonts w:ascii="Cambria" w:eastAsia="Cambria" w:hAnsi="Cambria" w:cs="Cambria"/>
          <w:b/>
          <w:color w:val="000000"/>
          <w:sz w:val="20"/>
          <w:szCs w:val="20"/>
        </w:rPr>
        <w:t>caso</w:t>
      </w:r>
      <w:proofErr w:type="spellEnd"/>
      <w:r w:rsidRPr="00A5361C">
        <w:rPr>
          <w:rFonts w:ascii="Cambria" w:eastAsia="Cambria" w:hAnsi="Cambria" w:cs="Cambria"/>
          <w:b/>
          <w:color w:val="000000"/>
          <w:sz w:val="20"/>
          <w:szCs w:val="20"/>
        </w:rPr>
        <w:t xml:space="preserve"> </w:t>
      </w:r>
    </w:p>
    <w:p w14:paraId="3B92E3B0" w14:textId="77777777" w:rsidR="00DE1A88" w:rsidRPr="00A5361C" w:rsidRDefault="00DE1A88" w:rsidP="00DE1A88">
      <w:pPr>
        <w:pBdr>
          <w:top w:val="nil"/>
          <w:left w:val="nil"/>
          <w:bottom w:val="nil"/>
          <w:right w:val="nil"/>
          <w:between w:val="nil"/>
        </w:pBdr>
        <w:ind w:hanging="2"/>
        <w:jc w:val="both"/>
        <w:rPr>
          <w:rFonts w:ascii="Cambria" w:eastAsia="Cambria" w:hAnsi="Cambria" w:cs="Cambria"/>
          <w:color w:val="000000"/>
          <w:sz w:val="20"/>
          <w:szCs w:val="20"/>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E1A88" w:rsidRPr="00A5361C" w14:paraId="60C63CCA" w14:textId="77777777" w:rsidTr="6F5BA56D">
        <w:trPr>
          <w:jc w:val="center"/>
        </w:trPr>
        <w:tc>
          <w:tcPr>
            <w:tcW w:w="9576" w:type="dxa"/>
            <w:shd w:val="clear" w:color="auto" w:fill="F2F2F2" w:themeFill="background1" w:themeFillShade="F2"/>
          </w:tcPr>
          <w:p w14:paraId="0D359BBA" w14:textId="77777777" w:rsidR="00DE1A88" w:rsidRPr="00A5361C" w:rsidRDefault="00DE1A88" w:rsidP="00897DF8">
            <w:pPr>
              <w:pBdr>
                <w:top w:val="nil"/>
                <w:left w:val="nil"/>
                <w:bottom w:val="nil"/>
                <w:right w:val="nil"/>
                <w:between w:val="nil"/>
              </w:pBdr>
              <w:spacing w:before="120"/>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Víctima (s):</w:t>
            </w:r>
            <w:r w:rsidRPr="00A5361C">
              <w:rPr>
                <w:rFonts w:ascii="Cambria" w:eastAsia="Cambria" w:hAnsi="Cambria" w:cs="Cambria"/>
                <w:color w:val="000000" w:themeColor="text1"/>
                <w:sz w:val="20"/>
                <w:szCs w:val="20"/>
                <w:lang w:val="es-ES"/>
              </w:rPr>
              <w:t xml:space="preserve"> Vladimiro Roca </w:t>
            </w:r>
            <w:proofErr w:type="spellStart"/>
            <w:r w:rsidRPr="00A5361C">
              <w:rPr>
                <w:rFonts w:ascii="Cambria" w:eastAsia="Cambria" w:hAnsi="Cambria" w:cs="Cambria"/>
                <w:color w:val="000000" w:themeColor="text1"/>
                <w:sz w:val="20"/>
                <w:szCs w:val="20"/>
                <w:lang w:val="es-ES"/>
              </w:rPr>
              <w:t>Antunez</w:t>
            </w:r>
            <w:proofErr w:type="spellEnd"/>
            <w:r w:rsidRPr="00A5361C">
              <w:rPr>
                <w:rFonts w:ascii="Cambria" w:eastAsia="Cambria" w:hAnsi="Cambria" w:cs="Cambria"/>
                <w:color w:val="000000" w:themeColor="text1"/>
                <w:sz w:val="20"/>
                <w:szCs w:val="20"/>
                <w:lang w:val="es-ES"/>
              </w:rPr>
              <w:t xml:space="preserve">, René Gómez Manzano, Martha Beatriz Roque Cabello y Félix Bonne </w:t>
            </w:r>
            <w:proofErr w:type="spellStart"/>
            <w:r w:rsidRPr="00A5361C">
              <w:rPr>
                <w:rFonts w:ascii="Cambria" w:eastAsia="Cambria" w:hAnsi="Cambria" w:cs="Cambria"/>
                <w:color w:val="000000" w:themeColor="text1"/>
                <w:sz w:val="20"/>
                <w:szCs w:val="20"/>
                <w:lang w:val="es-ES"/>
              </w:rPr>
              <w:t>Carcassés</w:t>
            </w:r>
            <w:proofErr w:type="spellEnd"/>
            <w:r w:rsidRPr="00A5361C">
              <w:rPr>
                <w:rFonts w:ascii="Cambria" w:eastAsia="Cambria" w:hAnsi="Cambria" w:cs="Cambria"/>
                <w:color w:val="000000" w:themeColor="text1"/>
                <w:sz w:val="20"/>
                <w:szCs w:val="20"/>
                <w:lang w:val="es-ES"/>
              </w:rPr>
              <w:t xml:space="preserve">  </w:t>
            </w:r>
          </w:p>
          <w:p w14:paraId="5CA3D84E" w14:textId="77777777" w:rsidR="00DE1A88" w:rsidRPr="00A5361C" w:rsidRDefault="00DE1A88" w:rsidP="00897DF8">
            <w:pPr>
              <w:pBdr>
                <w:top w:val="nil"/>
                <w:left w:val="nil"/>
                <w:bottom w:val="nil"/>
                <w:right w:val="nil"/>
                <w:between w:val="nil"/>
              </w:pBdr>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Peticionario (s):</w:t>
            </w:r>
            <w:r w:rsidRPr="00A5361C">
              <w:rPr>
                <w:rFonts w:ascii="Cambria" w:eastAsia="Cambria" w:hAnsi="Cambria" w:cs="Cambria"/>
                <w:color w:val="000000" w:themeColor="text1"/>
                <w:sz w:val="20"/>
                <w:szCs w:val="20"/>
                <w:lang w:val="es-ES"/>
              </w:rPr>
              <w:t xml:space="preserve"> Comité Cubano </w:t>
            </w:r>
            <w:proofErr w:type="gramStart"/>
            <w:r w:rsidRPr="00A5361C">
              <w:rPr>
                <w:rFonts w:ascii="Cambria" w:eastAsia="Cambria" w:hAnsi="Cambria" w:cs="Cambria"/>
                <w:color w:val="000000" w:themeColor="text1"/>
                <w:sz w:val="20"/>
                <w:szCs w:val="20"/>
                <w:lang w:val="es-ES"/>
              </w:rPr>
              <w:t>Pro Derechos</w:t>
            </w:r>
            <w:proofErr w:type="gramEnd"/>
            <w:r w:rsidRPr="00A5361C">
              <w:rPr>
                <w:rFonts w:ascii="Cambria" w:eastAsia="Cambria" w:hAnsi="Cambria" w:cs="Cambria"/>
                <w:color w:val="000000" w:themeColor="text1"/>
                <w:sz w:val="20"/>
                <w:szCs w:val="20"/>
                <w:lang w:val="es-ES"/>
              </w:rPr>
              <w:t xml:space="preserve"> Humanos </w:t>
            </w:r>
          </w:p>
          <w:p w14:paraId="14AE08D9" w14:textId="77777777" w:rsidR="00DE1A88" w:rsidRPr="00A5361C" w:rsidRDefault="00DE1A88" w:rsidP="00897DF8">
            <w:pPr>
              <w:pBdr>
                <w:top w:val="nil"/>
                <w:left w:val="nil"/>
                <w:bottom w:val="nil"/>
                <w:right w:val="nil"/>
                <w:between w:val="nil"/>
              </w:pBdr>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Estado:</w:t>
            </w:r>
            <w:r w:rsidRPr="00A5361C">
              <w:rPr>
                <w:rFonts w:ascii="Cambria" w:eastAsia="Cambria" w:hAnsi="Cambria" w:cs="Cambria"/>
                <w:color w:val="000000" w:themeColor="text1"/>
                <w:sz w:val="20"/>
                <w:szCs w:val="20"/>
                <w:lang w:val="es-ES"/>
              </w:rPr>
              <w:t xml:space="preserve"> Cuba</w:t>
            </w:r>
          </w:p>
          <w:p w14:paraId="73961E82" w14:textId="77777777" w:rsidR="00DE1A88" w:rsidRPr="00A5361C" w:rsidRDefault="00DE1A88" w:rsidP="00897DF8">
            <w:pPr>
              <w:pBdr>
                <w:top w:val="nil"/>
                <w:left w:val="nil"/>
                <w:bottom w:val="nil"/>
                <w:right w:val="nil"/>
                <w:between w:val="nil"/>
              </w:pBdr>
              <w:ind w:hanging="2"/>
              <w:jc w:val="both"/>
              <w:rPr>
                <w:rFonts w:ascii="Cambria" w:eastAsia="Cambria" w:hAnsi="Cambria" w:cs="Cambria"/>
                <w:color w:val="000000"/>
                <w:sz w:val="20"/>
                <w:szCs w:val="20"/>
                <w:lang w:val="es-ES"/>
              </w:rPr>
            </w:pPr>
            <w:bookmarkStart w:id="0" w:name="_heading=h.gjdgxs"/>
            <w:bookmarkEnd w:id="0"/>
            <w:r w:rsidRPr="00A5361C">
              <w:rPr>
                <w:rFonts w:ascii="Cambria" w:eastAsia="Cambria" w:hAnsi="Cambria" w:cs="Cambria"/>
                <w:b/>
                <w:bCs/>
                <w:color w:val="000000" w:themeColor="text1"/>
                <w:sz w:val="20"/>
                <w:szCs w:val="20"/>
                <w:lang w:val="es-ES"/>
              </w:rPr>
              <w:t xml:space="preserve">Informe de Fondo </w:t>
            </w:r>
            <w:proofErr w:type="spellStart"/>
            <w:r w:rsidRPr="00A5361C">
              <w:rPr>
                <w:rFonts w:ascii="Cambria" w:eastAsia="Cambria" w:hAnsi="Cambria" w:cs="Cambria"/>
                <w:b/>
                <w:bCs/>
                <w:color w:val="000000" w:themeColor="text1"/>
                <w:sz w:val="20"/>
                <w:szCs w:val="20"/>
                <w:lang w:val="es-ES"/>
              </w:rPr>
              <w:t>Nº</w:t>
            </w:r>
            <w:proofErr w:type="spellEnd"/>
            <w:r w:rsidRPr="00A5361C">
              <w:rPr>
                <w:rFonts w:ascii="Cambria" w:eastAsia="Cambria" w:hAnsi="Cambria" w:cs="Cambria"/>
                <w:b/>
                <w:bCs/>
                <w:color w:val="000000" w:themeColor="text1"/>
                <w:sz w:val="20"/>
                <w:szCs w:val="20"/>
                <w:lang w:val="es-ES"/>
              </w:rPr>
              <w:t xml:space="preserve">: </w:t>
            </w:r>
            <w:hyperlink r:id="rId8">
              <w:r w:rsidRPr="00A5361C">
                <w:rPr>
                  <w:rFonts w:ascii="Cambria" w:eastAsia="Cambria" w:hAnsi="Cambria" w:cs="Cambria"/>
                  <w:color w:val="000000" w:themeColor="text1"/>
                  <w:sz w:val="20"/>
                  <w:szCs w:val="20"/>
                  <w:u w:val="single"/>
                  <w:lang w:val="es-ES"/>
                </w:rPr>
                <w:t>27/18</w:t>
              </w:r>
            </w:hyperlink>
            <w:r w:rsidRPr="00A5361C">
              <w:rPr>
                <w:rFonts w:ascii="Cambria" w:eastAsia="Cambria" w:hAnsi="Cambria" w:cs="Cambria"/>
                <w:color w:val="000000" w:themeColor="text1"/>
                <w:sz w:val="20"/>
                <w:szCs w:val="20"/>
                <w:lang w:val="es-ES"/>
              </w:rPr>
              <w:t>, publicado el 24 de febrero de 2018</w:t>
            </w:r>
          </w:p>
          <w:p w14:paraId="611D4B79" w14:textId="77777777" w:rsidR="00DE1A88" w:rsidRPr="00A5361C" w:rsidRDefault="00DE1A88" w:rsidP="00897DF8">
            <w:pPr>
              <w:pBdr>
                <w:top w:val="nil"/>
                <w:left w:val="nil"/>
                <w:bottom w:val="nil"/>
                <w:right w:val="nil"/>
                <w:between w:val="nil"/>
              </w:pBdr>
              <w:ind w:hanging="2"/>
              <w:jc w:val="both"/>
              <w:rPr>
                <w:rFonts w:ascii="Cambria" w:eastAsia="Cambria" w:hAnsi="Cambria" w:cs="Cambria"/>
                <w:color w:val="000000"/>
                <w:sz w:val="20"/>
                <w:szCs w:val="20"/>
                <w:lang w:val="es-ES"/>
              </w:rPr>
            </w:pPr>
            <w:bookmarkStart w:id="1" w:name="_heading=h.30j0zll"/>
            <w:bookmarkEnd w:id="1"/>
            <w:r w:rsidRPr="00A5361C">
              <w:rPr>
                <w:rFonts w:ascii="Cambria" w:eastAsia="Cambria" w:hAnsi="Cambria" w:cs="Cambria"/>
                <w:b/>
                <w:bCs/>
                <w:color w:val="000000" w:themeColor="text1"/>
                <w:sz w:val="20"/>
                <w:szCs w:val="20"/>
                <w:lang w:val="es-ES"/>
              </w:rPr>
              <w:t xml:space="preserve">Informe de Admisibilidad </w:t>
            </w:r>
            <w:proofErr w:type="spellStart"/>
            <w:r w:rsidRPr="00A5361C">
              <w:rPr>
                <w:rFonts w:ascii="Cambria" w:eastAsia="Cambria" w:hAnsi="Cambria" w:cs="Cambria"/>
                <w:b/>
                <w:bCs/>
                <w:color w:val="000000" w:themeColor="text1"/>
                <w:sz w:val="20"/>
                <w:szCs w:val="20"/>
                <w:lang w:val="es-ES"/>
              </w:rPr>
              <w:t>Nº</w:t>
            </w:r>
            <w:proofErr w:type="spellEnd"/>
            <w:r w:rsidRPr="00A5361C">
              <w:rPr>
                <w:rFonts w:ascii="Cambria" w:eastAsia="Cambria" w:hAnsi="Cambria" w:cs="Cambria"/>
                <w:b/>
                <w:bCs/>
                <w:color w:val="000000" w:themeColor="text1"/>
                <w:sz w:val="20"/>
                <w:szCs w:val="20"/>
                <w:lang w:val="es-ES"/>
              </w:rPr>
              <w:t xml:space="preserve">: </w:t>
            </w:r>
            <w:hyperlink r:id="rId9">
              <w:r w:rsidRPr="00A5361C">
                <w:rPr>
                  <w:rFonts w:ascii="Cambria" w:eastAsia="Cambria" w:hAnsi="Cambria" w:cs="Cambria"/>
                  <w:color w:val="000000" w:themeColor="text1"/>
                  <w:sz w:val="20"/>
                  <w:szCs w:val="20"/>
                  <w:u w:val="single"/>
                  <w:lang w:val="es-ES"/>
                </w:rPr>
                <w:t>56/04</w:t>
              </w:r>
            </w:hyperlink>
            <w:r w:rsidRPr="00A5361C">
              <w:rPr>
                <w:rFonts w:ascii="Cambria" w:eastAsia="Cambria" w:hAnsi="Cambria" w:cs="Cambria"/>
                <w:color w:val="000000" w:themeColor="text1"/>
                <w:sz w:val="20"/>
                <w:szCs w:val="20"/>
                <w:lang w:val="es-ES"/>
              </w:rPr>
              <w:t xml:space="preserve">, emitido </w:t>
            </w:r>
            <w:proofErr w:type="gramStart"/>
            <w:r w:rsidRPr="00A5361C">
              <w:rPr>
                <w:rFonts w:ascii="Cambria" w:eastAsia="Cambria" w:hAnsi="Cambria" w:cs="Cambria"/>
                <w:color w:val="000000" w:themeColor="text1"/>
                <w:sz w:val="20"/>
                <w:szCs w:val="20"/>
                <w:lang w:val="es-ES"/>
              </w:rPr>
              <w:t>el  14</w:t>
            </w:r>
            <w:proofErr w:type="gramEnd"/>
            <w:r w:rsidRPr="00A5361C">
              <w:rPr>
                <w:rFonts w:ascii="Cambria" w:eastAsia="Cambria" w:hAnsi="Cambria" w:cs="Cambria"/>
                <w:color w:val="000000" w:themeColor="text1"/>
                <w:sz w:val="20"/>
                <w:szCs w:val="20"/>
                <w:lang w:val="es-ES"/>
              </w:rPr>
              <w:t xml:space="preserve"> de octubre de 2004</w:t>
            </w:r>
          </w:p>
          <w:p w14:paraId="3BE550AD" w14:textId="77777777" w:rsidR="00DE1A88" w:rsidRPr="00A5361C" w:rsidRDefault="00DE1A88" w:rsidP="00897DF8">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Temas:</w:t>
            </w:r>
            <w:r w:rsidRPr="00A5361C">
              <w:rPr>
                <w:rFonts w:ascii="Cambria" w:eastAsia="Cambria" w:hAnsi="Cambria" w:cs="Cambria"/>
                <w:color w:val="000000" w:themeColor="text1"/>
                <w:sz w:val="20"/>
                <w:szCs w:val="20"/>
                <w:lang w:val="es-ES"/>
              </w:rPr>
              <w:t xml:space="preserve"> Deber de Adoptar Medidas y Disposiciones de Derecho Interno / Derecho a la Libertad Personal / Derecho a la Integridad personal / Condiciones de Detención / Libertad de Pensamiento y de Expresión / Derecho a Reunión y Libertad de Asociación / Detención Arbitraria / Garantías Judiciales / Protección Judicial / Tortura, Tratos Crueles, Inhumanos y/o Degradantes</w:t>
            </w:r>
          </w:p>
          <w:p w14:paraId="6754D004" w14:textId="77777777" w:rsidR="00DE1A88" w:rsidRPr="00A5361C" w:rsidRDefault="00DE1A88" w:rsidP="00897DF8">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Hechos:</w:t>
            </w:r>
            <w:r w:rsidRPr="00A5361C">
              <w:rPr>
                <w:rFonts w:ascii="Cambria" w:eastAsia="Cambria" w:hAnsi="Cambria" w:cs="Cambria"/>
                <w:color w:val="000000" w:themeColor="text1"/>
                <w:sz w:val="20"/>
                <w:szCs w:val="20"/>
                <w:lang w:val="es-ES"/>
              </w:rPr>
              <w:t xml:space="preserve"> El caso se refiere a la condena de las víctimas a largas penas de prisión bajo cargos de sedición por haber creado una organización llamada ¨Grupo de Trabajo de la Disidencia Interna¨, dedicada al estudio de los problemas socioeconómicos de Cuba, y a la difusión de documentos y boletines críticos del Estado. Las víctimas permanecieron en detención preventiva por un año y cinco meses sin control judicial efectivo. En 1999, fueron declaradas culpables del delito de sedición, sobre la base de argumentos que vulneran los derechos a la libertad de expresión y principios democráticos. Durante estos años las presuntas víctimas sufrieron condiciones de detención inhumanas. </w:t>
            </w:r>
          </w:p>
          <w:p w14:paraId="3BBD1B1F" w14:textId="77777777" w:rsidR="00DE1A88" w:rsidRPr="00A5361C" w:rsidRDefault="00DE1A88" w:rsidP="00897DF8">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00A5361C">
              <w:rPr>
                <w:rFonts w:ascii="Cambria" w:eastAsia="Cambria" w:hAnsi="Cambria" w:cs="Cambria"/>
                <w:b/>
                <w:bCs/>
                <w:color w:val="000000" w:themeColor="text1"/>
                <w:sz w:val="20"/>
                <w:szCs w:val="20"/>
                <w:lang w:val="es-ES"/>
              </w:rPr>
              <w:t>Derechos violados:</w:t>
            </w:r>
            <w:r w:rsidRPr="00A5361C">
              <w:rPr>
                <w:rFonts w:ascii="Cambria" w:eastAsia="Cambria" w:hAnsi="Cambria" w:cs="Cambria"/>
                <w:color w:val="000000" w:themeColor="text1"/>
                <w:sz w:val="20"/>
                <w:szCs w:val="20"/>
                <w:lang w:val="es-ES"/>
              </w:rPr>
              <w:t xml:space="preserve"> la CIDH concluyó que Cuba violó, en perjuicio de Vladimiro Roca Antúnez, René Gómez Manzano, Martha Beatriz Roque Cabello y Félix Bonne </w:t>
            </w:r>
            <w:proofErr w:type="spellStart"/>
            <w:r w:rsidRPr="00A5361C">
              <w:rPr>
                <w:rFonts w:ascii="Cambria" w:eastAsia="Cambria" w:hAnsi="Cambria" w:cs="Cambria"/>
                <w:color w:val="000000" w:themeColor="text1"/>
                <w:sz w:val="20"/>
                <w:szCs w:val="20"/>
                <w:lang w:val="es-ES"/>
              </w:rPr>
              <w:t>Carcassés</w:t>
            </w:r>
            <w:proofErr w:type="spellEnd"/>
            <w:r w:rsidRPr="00A5361C">
              <w:rPr>
                <w:rFonts w:ascii="Cambria" w:eastAsia="Cambria" w:hAnsi="Cambria" w:cs="Cambria"/>
                <w:color w:val="000000" w:themeColor="text1"/>
                <w:sz w:val="20"/>
                <w:szCs w:val="20"/>
                <w:lang w:val="es-ES"/>
              </w:rPr>
              <w:t>, los derechos consagrados en los artículos I (Derecho a la vida, a la libertad, a la seguridad e integridad de la personal), IV (Derecho de libertad de investigación, opinión, expresión y difusión), XXII (Derecho de asociación), XXV (Derecho de protección contra la detención arbitraria) y XXVI (Derecho a proceso regular) de la Declaración Americana.</w:t>
            </w:r>
          </w:p>
        </w:tc>
      </w:tr>
    </w:tbl>
    <w:p w14:paraId="30170AFE" w14:textId="77777777" w:rsidR="00DE1A88" w:rsidRPr="00A5361C" w:rsidRDefault="00DE1A88" w:rsidP="00DE1A88">
      <w:pPr>
        <w:pBdr>
          <w:top w:val="nil"/>
          <w:left w:val="nil"/>
          <w:bottom w:val="nil"/>
          <w:right w:val="nil"/>
          <w:between w:val="nil"/>
        </w:pBdr>
        <w:ind w:hanging="2"/>
        <w:jc w:val="both"/>
        <w:rPr>
          <w:rFonts w:ascii="Cambria" w:eastAsia="Cambria" w:hAnsi="Cambria" w:cs="Cambria"/>
          <w:color w:val="000000"/>
          <w:sz w:val="20"/>
          <w:szCs w:val="20"/>
          <w:lang w:val="es-ES"/>
        </w:rPr>
      </w:pPr>
    </w:p>
    <w:p w14:paraId="7F0D848B"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rPr>
      </w:pPr>
      <w:proofErr w:type="spellStart"/>
      <w:r w:rsidRPr="00A5361C">
        <w:rPr>
          <w:rFonts w:ascii="Cambria" w:eastAsia="Cambria" w:hAnsi="Cambria" w:cs="Cambria"/>
          <w:b/>
          <w:color w:val="000000"/>
          <w:sz w:val="20"/>
          <w:szCs w:val="20"/>
        </w:rPr>
        <w:t>Recomendaciones</w:t>
      </w:r>
      <w:proofErr w:type="spellEnd"/>
      <w:r w:rsidRPr="00A5361C">
        <w:rPr>
          <w:rFonts w:ascii="Cambria" w:eastAsia="Cambria" w:hAnsi="Cambria" w:cs="Cambria"/>
          <w:b/>
          <w:color w:val="000000"/>
          <w:sz w:val="20"/>
          <w:szCs w:val="20"/>
        </w:rPr>
        <w:t xml:space="preserve"> </w:t>
      </w:r>
    </w:p>
    <w:p w14:paraId="44A2B345" w14:textId="77777777" w:rsidR="00DE1A88" w:rsidRPr="00A5361C" w:rsidRDefault="00DE1A88" w:rsidP="00DE1A88">
      <w:pPr>
        <w:ind w:hanging="2"/>
        <w:jc w:val="both"/>
        <w:rPr>
          <w:rFonts w:ascii="Cambria" w:eastAsia="Cambria" w:hAnsi="Cambria" w:cs="Cambria"/>
          <w:color w:val="000000"/>
          <w:sz w:val="20"/>
          <w:szCs w:val="20"/>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0"/>
        <w:gridCol w:w="2520"/>
      </w:tblGrid>
      <w:tr w:rsidR="00DE1A88" w:rsidRPr="00A5361C" w14:paraId="68B4CEFE" w14:textId="77777777" w:rsidTr="00897DF8">
        <w:tc>
          <w:tcPr>
            <w:tcW w:w="7020" w:type="dxa"/>
            <w:vAlign w:val="center"/>
          </w:tcPr>
          <w:p w14:paraId="30C431C3" w14:textId="77777777" w:rsidR="00DE1A88" w:rsidRPr="00A5361C" w:rsidRDefault="00DE1A88" w:rsidP="00897DF8">
            <w:pPr>
              <w:ind w:hanging="2"/>
              <w:jc w:val="center"/>
              <w:rPr>
                <w:rFonts w:ascii="Cambria" w:eastAsia="Cambria" w:hAnsi="Cambria" w:cs="Cambria"/>
                <w:color w:val="000000"/>
                <w:sz w:val="18"/>
                <w:szCs w:val="18"/>
              </w:rPr>
            </w:pPr>
            <w:proofErr w:type="spellStart"/>
            <w:r w:rsidRPr="00A5361C">
              <w:rPr>
                <w:rFonts w:ascii="Cambria" w:eastAsia="Cambria" w:hAnsi="Cambria" w:cs="Cambria"/>
                <w:b/>
                <w:color w:val="000000"/>
                <w:sz w:val="18"/>
                <w:szCs w:val="18"/>
              </w:rPr>
              <w:t>Recomendaciones</w:t>
            </w:r>
            <w:proofErr w:type="spellEnd"/>
          </w:p>
        </w:tc>
        <w:tc>
          <w:tcPr>
            <w:tcW w:w="2520" w:type="dxa"/>
            <w:vAlign w:val="center"/>
          </w:tcPr>
          <w:p w14:paraId="71B5DB8E" w14:textId="77777777" w:rsidR="00DE1A88" w:rsidRPr="00A5361C" w:rsidRDefault="00DE1A88" w:rsidP="00897DF8">
            <w:pPr>
              <w:ind w:hanging="2"/>
              <w:jc w:val="center"/>
              <w:rPr>
                <w:rFonts w:ascii="Cambria" w:eastAsia="Cambria" w:hAnsi="Cambria" w:cs="Cambria"/>
                <w:color w:val="000000"/>
                <w:sz w:val="18"/>
                <w:szCs w:val="18"/>
                <w:lang w:val="es-ES"/>
              </w:rPr>
            </w:pPr>
            <w:r w:rsidRPr="00A5361C">
              <w:rPr>
                <w:rFonts w:ascii="Cambria" w:eastAsia="Cambria" w:hAnsi="Cambria" w:cs="Cambria"/>
                <w:b/>
                <w:color w:val="000000"/>
                <w:sz w:val="18"/>
                <w:szCs w:val="18"/>
                <w:lang w:val="es-ES"/>
              </w:rPr>
              <w:t>Estado de cumplimiento en el 2021</w:t>
            </w:r>
          </w:p>
        </w:tc>
      </w:tr>
      <w:tr w:rsidR="00DE1A88" w:rsidRPr="00A5361C" w14:paraId="41471280" w14:textId="77777777" w:rsidTr="00897DF8">
        <w:tc>
          <w:tcPr>
            <w:tcW w:w="7020" w:type="dxa"/>
            <w:vAlign w:val="center"/>
          </w:tcPr>
          <w:p w14:paraId="7B75E293" w14:textId="77777777" w:rsidR="00DE1A88" w:rsidRPr="00A5361C" w:rsidRDefault="00DE1A88" w:rsidP="00897DF8">
            <w:pPr>
              <w:ind w:hanging="2"/>
              <w:jc w:val="both"/>
              <w:rPr>
                <w:rFonts w:ascii="Cambria" w:eastAsia="Cambria" w:hAnsi="Cambria" w:cs="Cambria"/>
                <w:color w:val="000000"/>
                <w:sz w:val="18"/>
                <w:szCs w:val="18"/>
                <w:lang w:val="es-ES"/>
              </w:rPr>
            </w:pPr>
            <w:r w:rsidRPr="00A5361C">
              <w:rPr>
                <w:rFonts w:ascii="Cambria" w:eastAsia="Cambria" w:hAnsi="Cambria" w:cs="Cambria"/>
                <w:color w:val="000000"/>
                <w:sz w:val="18"/>
                <w:szCs w:val="18"/>
                <w:lang w:val="es-ES"/>
              </w:rPr>
              <w:t>1. Reparar a las víctimas y, de ser el caso, a sus familiares sobrevivientes, por el daño material e inmaterial sufrido en virtud de las violaciones a la Declaración Americana aquí establecidas.</w:t>
            </w:r>
          </w:p>
        </w:tc>
        <w:tc>
          <w:tcPr>
            <w:tcW w:w="2520" w:type="dxa"/>
            <w:vAlign w:val="center"/>
          </w:tcPr>
          <w:p w14:paraId="74822EB7" w14:textId="77777777" w:rsidR="00DE1A88" w:rsidRPr="00A5361C" w:rsidRDefault="00DE1A88" w:rsidP="00897DF8">
            <w:pPr>
              <w:ind w:hanging="2"/>
              <w:jc w:val="center"/>
              <w:rPr>
                <w:rFonts w:ascii="Cambria" w:eastAsia="Cambria" w:hAnsi="Cambria" w:cs="Cambria"/>
                <w:color w:val="000000"/>
                <w:sz w:val="18"/>
                <w:szCs w:val="18"/>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r w:rsidR="00DE1A88" w:rsidRPr="00A5361C" w14:paraId="1FC95F1D" w14:textId="77777777" w:rsidTr="00897DF8">
        <w:tc>
          <w:tcPr>
            <w:tcW w:w="7020" w:type="dxa"/>
          </w:tcPr>
          <w:p w14:paraId="5E9D8141" w14:textId="77777777" w:rsidR="00DE1A88" w:rsidRPr="00A5361C" w:rsidRDefault="00DE1A88" w:rsidP="00897DF8">
            <w:pPr>
              <w:ind w:hanging="2"/>
              <w:jc w:val="both"/>
              <w:rPr>
                <w:rFonts w:ascii="Cambria" w:eastAsia="Cambria" w:hAnsi="Cambria" w:cs="Cambria"/>
                <w:color w:val="000000"/>
                <w:sz w:val="18"/>
                <w:szCs w:val="18"/>
                <w:lang w:val="es-US"/>
              </w:rPr>
            </w:pPr>
            <w:r w:rsidRPr="00A5361C">
              <w:rPr>
                <w:rFonts w:ascii="Cambria" w:eastAsia="Cambria" w:hAnsi="Cambria" w:cs="Cambria"/>
                <w:color w:val="000000"/>
                <w:sz w:val="18"/>
                <w:szCs w:val="18"/>
                <w:lang w:val="es-US"/>
              </w:rPr>
              <w:t>2. Dejar sin efecto la condena penal impuesta a las víctimas en el presente caso y todas las consecuencias que de ella se deriven.</w:t>
            </w:r>
          </w:p>
        </w:tc>
        <w:tc>
          <w:tcPr>
            <w:tcW w:w="2520" w:type="dxa"/>
          </w:tcPr>
          <w:p w14:paraId="5B7482C3" w14:textId="77777777" w:rsidR="00DE1A88" w:rsidRPr="00A5361C" w:rsidRDefault="00DE1A88" w:rsidP="00897DF8">
            <w:pPr>
              <w:ind w:hanging="2"/>
              <w:jc w:val="center"/>
              <w:rPr>
                <w:color w:val="000000"/>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r w:rsidR="00DE1A88" w:rsidRPr="00A5361C" w14:paraId="3FC2BCE1" w14:textId="77777777" w:rsidTr="00897DF8">
        <w:tc>
          <w:tcPr>
            <w:tcW w:w="7020" w:type="dxa"/>
          </w:tcPr>
          <w:p w14:paraId="0B52A112" w14:textId="77777777" w:rsidR="00DE1A88" w:rsidRPr="00A5361C" w:rsidRDefault="00DE1A88" w:rsidP="00897DF8">
            <w:pPr>
              <w:ind w:hanging="2"/>
              <w:jc w:val="both"/>
              <w:rPr>
                <w:rFonts w:ascii="Cambria" w:eastAsia="Cambria" w:hAnsi="Cambria" w:cs="Cambria"/>
                <w:color w:val="000000"/>
                <w:sz w:val="18"/>
                <w:szCs w:val="18"/>
                <w:lang w:val="es-US"/>
              </w:rPr>
            </w:pPr>
            <w:r w:rsidRPr="00A5361C">
              <w:rPr>
                <w:rFonts w:ascii="Cambria" w:eastAsia="Cambria" w:hAnsi="Cambria" w:cs="Cambria"/>
                <w:color w:val="000000"/>
                <w:sz w:val="18"/>
                <w:szCs w:val="18"/>
                <w:lang w:val="es-US"/>
              </w:rPr>
              <w:t>3. Realizar un acto público de reconocimiento de su responsabilidad por las violaciones a la Declaración Americana aquí establecidas.</w:t>
            </w:r>
          </w:p>
        </w:tc>
        <w:tc>
          <w:tcPr>
            <w:tcW w:w="2520" w:type="dxa"/>
            <w:vAlign w:val="center"/>
          </w:tcPr>
          <w:p w14:paraId="7BF9F897" w14:textId="77777777" w:rsidR="00DE1A88" w:rsidRPr="00A5361C" w:rsidRDefault="00DE1A88" w:rsidP="00897DF8">
            <w:pPr>
              <w:ind w:hanging="2"/>
              <w:jc w:val="center"/>
              <w:rPr>
                <w:color w:val="000000"/>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r w:rsidR="00DE1A88" w:rsidRPr="00A5361C" w14:paraId="75AC5F03" w14:textId="77777777" w:rsidTr="00897DF8">
        <w:tc>
          <w:tcPr>
            <w:tcW w:w="7020" w:type="dxa"/>
          </w:tcPr>
          <w:p w14:paraId="2CD4DFAD" w14:textId="77777777" w:rsidR="00DE1A88" w:rsidRPr="00A5361C" w:rsidRDefault="00DE1A88" w:rsidP="00897DF8">
            <w:pPr>
              <w:ind w:hanging="2"/>
              <w:jc w:val="both"/>
              <w:rPr>
                <w:rFonts w:ascii="Cambria" w:eastAsia="Cambria" w:hAnsi="Cambria" w:cs="Cambria"/>
                <w:color w:val="000000"/>
                <w:sz w:val="18"/>
                <w:szCs w:val="18"/>
                <w:lang w:val="es-US"/>
              </w:rPr>
            </w:pPr>
            <w:r w:rsidRPr="00A5361C">
              <w:rPr>
                <w:rFonts w:ascii="Cambria" w:eastAsia="Cambria" w:hAnsi="Cambria" w:cs="Cambria"/>
                <w:color w:val="000000"/>
                <w:sz w:val="18"/>
                <w:szCs w:val="18"/>
                <w:lang w:val="es-US"/>
              </w:rPr>
              <w:t>4. Adoptar las medidas necesarias para adecuar sus leyes, procedimientos y prácticas a las normas internacionales sobre derechos humanos. En particular, derogar las figuras penales que, como el delito de sedición y el delito de incitación previstos en los artículos 100 y 125 del Código Penal, respectivamente, resultan incompatibles con el ejercicio de los derechos a la libertad de expresión y asociación.</w:t>
            </w:r>
          </w:p>
        </w:tc>
        <w:tc>
          <w:tcPr>
            <w:tcW w:w="2520" w:type="dxa"/>
            <w:vAlign w:val="center"/>
          </w:tcPr>
          <w:p w14:paraId="7D95C4D0" w14:textId="77777777" w:rsidR="00DE1A88" w:rsidRPr="00A5361C" w:rsidRDefault="00DE1A88" w:rsidP="00897DF8">
            <w:pPr>
              <w:ind w:hanging="2"/>
              <w:jc w:val="center"/>
              <w:rPr>
                <w:color w:val="000000"/>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r w:rsidR="00DE1A88" w:rsidRPr="00A5361C" w14:paraId="3936623D" w14:textId="77777777" w:rsidTr="00897DF8">
        <w:tc>
          <w:tcPr>
            <w:tcW w:w="7020" w:type="dxa"/>
          </w:tcPr>
          <w:p w14:paraId="70C5F53E" w14:textId="77777777" w:rsidR="00DE1A88" w:rsidRPr="00A5361C" w:rsidRDefault="00DE1A88" w:rsidP="00897DF8">
            <w:pPr>
              <w:ind w:hanging="2"/>
              <w:jc w:val="both"/>
              <w:rPr>
                <w:rFonts w:ascii="Cambria" w:eastAsia="Cambria" w:hAnsi="Cambria" w:cs="Cambria"/>
                <w:color w:val="000000"/>
                <w:sz w:val="18"/>
                <w:szCs w:val="18"/>
                <w:lang w:val="es-US"/>
              </w:rPr>
            </w:pPr>
            <w:r w:rsidRPr="00A5361C">
              <w:rPr>
                <w:rFonts w:ascii="Cambria" w:eastAsia="Cambria" w:hAnsi="Cambria" w:cs="Cambria"/>
                <w:color w:val="000000"/>
                <w:sz w:val="18"/>
                <w:szCs w:val="18"/>
                <w:lang w:val="es-US"/>
              </w:rPr>
              <w:t>5. Adoptar las medidas necesarias para evitar que hechos similares vuelvan a cometerse, de conformidad con el deber del Estado de respetar y garantizar los derechos humanos. En particular, adoptar las medidas que sean necesarias para prevenir y erradicar la criminalización de quienes ejercen el derecho de libertad de expresión y de asociación.</w:t>
            </w:r>
          </w:p>
        </w:tc>
        <w:tc>
          <w:tcPr>
            <w:tcW w:w="2520" w:type="dxa"/>
            <w:vAlign w:val="center"/>
          </w:tcPr>
          <w:p w14:paraId="755E2ECD" w14:textId="77777777" w:rsidR="00DE1A88" w:rsidRPr="00A5361C" w:rsidRDefault="00DE1A88" w:rsidP="00897DF8">
            <w:pPr>
              <w:ind w:hanging="2"/>
              <w:jc w:val="center"/>
              <w:rPr>
                <w:color w:val="000000"/>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r w:rsidR="00DE1A88" w:rsidRPr="00A5361C" w14:paraId="1A15F537" w14:textId="77777777" w:rsidTr="00897DF8">
        <w:tc>
          <w:tcPr>
            <w:tcW w:w="7020" w:type="dxa"/>
          </w:tcPr>
          <w:p w14:paraId="76638A0F" w14:textId="77777777" w:rsidR="00DE1A88" w:rsidRPr="00A5361C" w:rsidRDefault="00DE1A88" w:rsidP="00897DF8">
            <w:pPr>
              <w:ind w:hanging="2"/>
              <w:jc w:val="both"/>
              <w:rPr>
                <w:rFonts w:ascii="Cambria" w:eastAsia="Cambria" w:hAnsi="Cambria" w:cs="Cambria"/>
                <w:color w:val="000000"/>
                <w:sz w:val="18"/>
                <w:szCs w:val="18"/>
                <w:lang w:val="es-US"/>
              </w:rPr>
            </w:pPr>
            <w:r w:rsidRPr="00A5361C">
              <w:rPr>
                <w:rFonts w:ascii="Cambria" w:eastAsia="Cambria" w:hAnsi="Cambria" w:cs="Cambria"/>
                <w:color w:val="000000"/>
                <w:sz w:val="18"/>
                <w:szCs w:val="18"/>
                <w:lang w:val="es-US"/>
              </w:rPr>
              <w:lastRenderedPageBreak/>
              <w:t>6. Adecuar sus normas procesales a los estándares internacionales aplicables en materia de debido proceso, a fin de que las personas sometidas a procesos penales cuenten con todas las garantías legales necesarias para ejercer sus medios de defensa.</w:t>
            </w:r>
          </w:p>
        </w:tc>
        <w:tc>
          <w:tcPr>
            <w:tcW w:w="2520" w:type="dxa"/>
            <w:vAlign w:val="center"/>
          </w:tcPr>
          <w:p w14:paraId="63B461B9" w14:textId="77777777" w:rsidR="00DE1A88" w:rsidRPr="00A5361C" w:rsidRDefault="00DE1A88" w:rsidP="00897DF8">
            <w:pPr>
              <w:ind w:hanging="2"/>
              <w:jc w:val="center"/>
              <w:rPr>
                <w:color w:val="000000"/>
              </w:rPr>
            </w:pPr>
            <w:proofErr w:type="spellStart"/>
            <w:r w:rsidRPr="00A5361C">
              <w:rPr>
                <w:rFonts w:ascii="Cambria" w:eastAsia="Cambria" w:hAnsi="Cambria" w:cs="Cambria"/>
                <w:color w:val="000000"/>
                <w:sz w:val="18"/>
                <w:szCs w:val="18"/>
              </w:rPr>
              <w:t>Pendiente</w:t>
            </w:r>
            <w:proofErr w:type="spellEnd"/>
            <w:r w:rsidRPr="00A5361C">
              <w:rPr>
                <w:rFonts w:ascii="Cambria" w:eastAsia="Cambria" w:hAnsi="Cambria" w:cs="Cambria"/>
                <w:color w:val="000000"/>
                <w:sz w:val="18"/>
                <w:szCs w:val="18"/>
              </w:rPr>
              <w:t xml:space="preserve"> de </w:t>
            </w:r>
            <w:proofErr w:type="spellStart"/>
            <w:r w:rsidRPr="00A5361C">
              <w:rPr>
                <w:rFonts w:ascii="Cambria" w:eastAsia="Cambria" w:hAnsi="Cambria" w:cs="Cambria"/>
                <w:color w:val="000000"/>
                <w:sz w:val="18"/>
                <w:szCs w:val="18"/>
              </w:rPr>
              <w:t>cumplimiento</w:t>
            </w:r>
            <w:proofErr w:type="spellEnd"/>
          </w:p>
        </w:tc>
      </w:tr>
    </w:tbl>
    <w:p w14:paraId="576CEDE2" w14:textId="77777777" w:rsidR="00DE1A88" w:rsidRPr="00A5361C" w:rsidRDefault="00DE1A88" w:rsidP="00DE1A88">
      <w:pPr>
        <w:ind w:hanging="2"/>
        <w:jc w:val="both"/>
        <w:rPr>
          <w:rFonts w:ascii="Cambria" w:eastAsia="Cambria" w:hAnsi="Cambria" w:cs="Cambria"/>
          <w:color w:val="000000"/>
          <w:sz w:val="20"/>
          <w:szCs w:val="20"/>
        </w:rPr>
      </w:pPr>
    </w:p>
    <w:p w14:paraId="08EEEC11"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rPr>
      </w:pPr>
      <w:proofErr w:type="spellStart"/>
      <w:r w:rsidRPr="00A5361C">
        <w:rPr>
          <w:rFonts w:ascii="Cambria" w:eastAsia="Cambria" w:hAnsi="Cambria" w:cs="Cambria"/>
          <w:b/>
          <w:color w:val="000000"/>
          <w:sz w:val="20"/>
          <w:szCs w:val="20"/>
        </w:rPr>
        <w:t>Actividad</w:t>
      </w:r>
      <w:proofErr w:type="spellEnd"/>
      <w:r w:rsidRPr="00A5361C">
        <w:rPr>
          <w:rFonts w:ascii="Cambria" w:eastAsia="Cambria" w:hAnsi="Cambria" w:cs="Cambria"/>
          <w:b/>
          <w:color w:val="000000"/>
          <w:sz w:val="20"/>
          <w:szCs w:val="20"/>
        </w:rPr>
        <w:t xml:space="preserve"> </w:t>
      </w:r>
      <w:proofErr w:type="spellStart"/>
      <w:r w:rsidRPr="00A5361C">
        <w:rPr>
          <w:rFonts w:ascii="Cambria" w:eastAsia="Cambria" w:hAnsi="Cambria" w:cs="Cambria"/>
          <w:b/>
          <w:color w:val="000000"/>
          <w:sz w:val="20"/>
          <w:szCs w:val="20"/>
        </w:rPr>
        <w:t>Procesal</w:t>
      </w:r>
      <w:proofErr w:type="spellEnd"/>
    </w:p>
    <w:sdt>
      <w:sdtPr>
        <w:tag w:val="goog_rdk_3"/>
        <w:id w:val="-604732567"/>
      </w:sdtPr>
      <w:sdtEndPr/>
      <w:sdtContent>
        <w:p w14:paraId="50E31068" w14:textId="77777777" w:rsidR="00DE1A88" w:rsidRPr="00A5361C" w:rsidRDefault="009E458F" w:rsidP="00DE1A88">
          <w:pPr>
            <w:ind w:hanging="2"/>
            <w:jc w:val="both"/>
            <w:rPr>
              <w:rFonts w:ascii="Cambria" w:eastAsia="Cambria" w:hAnsi="Cambria" w:cs="Cambria"/>
              <w:color w:val="000000"/>
              <w:sz w:val="20"/>
              <w:szCs w:val="20"/>
            </w:rPr>
          </w:pPr>
          <w:sdt>
            <w:sdtPr>
              <w:tag w:val="goog_rdk_2"/>
              <w:id w:val="-1567647816"/>
            </w:sdtPr>
            <w:sdtEndPr/>
            <w:sdtContent/>
          </w:sdt>
        </w:p>
      </w:sdtContent>
    </w:sdt>
    <w:sdt>
      <w:sdtPr>
        <w:tag w:val="goog_rdk_6"/>
        <w:id w:val="1209525922"/>
      </w:sdtPr>
      <w:sdtEndPr/>
      <w:sdtContent>
        <w:p w14:paraId="31F94385" w14:textId="49A5EF56" w:rsidR="00DE1A88" w:rsidRPr="00A5361C" w:rsidRDefault="009E458F" w:rsidP="00DE1A88">
          <w:pPr>
            <w:numPr>
              <w:ilvl w:val="0"/>
              <w:numId w:val="20"/>
            </w:numPr>
            <w:suppressAutoHyphens/>
            <w:ind w:leftChars="-1" w:left="0" w:hangingChars="1" w:hanging="2"/>
            <w:jc w:val="both"/>
            <w:textDirection w:val="btLr"/>
            <w:textAlignment w:val="top"/>
            <w:outlineLvl w:val="0"/>
            <w:rPr>
              <w:rFonts w:ascii="Cambria" w:eastAsia="Cambria" w:hAnsi="Cambria" w:cs="Cambria"/>
              <w:sz w:val="20"/>
              <w:szCs w:val="20"/>
              <w:lang w:val="es-US"/>
            </w:rPr>
          </w:pPr>
          <w:sdt>
            <w:sdtPr>
              <w:tag w:val="goog_rdk_4"/>
              <w:id w:val="-1284341459"/>
            </w:sdtPr>
            <w:sdtEndPr/>
            <w:sdtContent>
              <w:r w:rsidR="00DE1A88" w:rsidRPr="00A5361C">
                <w:rPr>
                  <w:rFonts w:ascii="Cambria" w:eastAsia="Cambria" w:hAnsi="Cambria" w:cs="Cambria"/>
                  <w:color w:val="000000"/>
                  <w:sz w:val="20"/>
                  <w:szCs w:val="20"/>
                  <w:lang w:val="es-US"/>
                </w:rPr>
                <w:t xml:space="preserve">En fecha </w:t>
              </w:r>
              <w:r w:rsidR="00C45440" w:rsidRPr="00A5361C">
                <w:rPr>
                  <w:rFonts w:ascii="Cambria" w:eastAsia="Cambria" w:hAnsi="Cambria" w:cs="Cambria"/>
                  <w:color w:val="000000"/>
                  <w:sz w:val="20"/>
                  <w:szCs w:val="20"/>
                  <w:lang w:val="es-US"/>
                </w:rPr>
                <w:t>16</w:t>
              </w:r>
              <w:r w:rsidR="00DE1A88" w:rsidRPr="00A5361C">
                <w:rPr>
                  <w:rFonts w:ascii="Cambria" w:eastAsia="Cambria" w:hAnsi="Cambria" w:cs="Cambria"/>
                  <w:color w:val="000000"/>
                  <w:sz w:val="20"/>
                  <w:szCs w:val="20"/>
                  <w:lang w:val="es-US"/>
                </w:rPr>
                <w:t xml:space="preserve"> de agosto de 2021, la CIDH solicitó información actualizada a ambas partes sobre el cumplimiento de las recomendaciones.  A la fecha de cierre de este informe, la Comisión no había recibido dicha información de ninguna de las partes. </w:t>
              </w:r>
            </w:sdtContent>
          </w:sdt>
          <w:sdt>
            <w:sdtPr>
              <w:tag w:val="goog_rdk_5"/>
              <w:id w:val="-331212438"/>
              <w:showingPlcHdr/>
            </w:sdtPr>
            <w:sdtEndPr/>
            <w:sdtContent>
              <w:r w:rsidR="00DE1A88" w:rsidRPr="00A5361C">
                <w:rPr>
                  <w:lang w:val="es-US"/>
                </w:rPr>
                <w:t xml:space="preserve">     </w:t>
              </w:r>
            </w:sdtContent>
          </w:sdt>
        </w:p>
      </w:sdtContent>
    </w:sdt>
    <w:p w14:paraId="42A001B5" w14:textId="77777777" w:rsidR="00DE1A88" w:rsidRPr="00A5361C" w:rsidRDefault="00DE1A88" w:rsidP="00DE1A88">
      <w:pPr>
        <w:ind w:hanging="2"/>
        <w:jc w:val="both"/>
        <w:rPr>
          <w:color w:val="000000"/>
          <w:lang w:val="es-US"/>
        </w:rPr>
      </w:pPr>
    </w:p>
    <w:p w14:paraId="0F6E6608"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b/>
          <w:color w:val="000000"/>
          <w:sz w:val="20"/>
          <w:szCs w:val="20"/>
          <w:lang w:val="es-US"/>
        </w:rPr>
        <w:t>Análisis relativo a la información proporcionada</w:t>
      </w:r>
    </w:p>
    <w:p w14:paraId="194CFC41" w14:textId="77777777" w:rsidR="00DE1A88" w:rsidRPr="00A5361C" w:rsidRDefault="00DE1A88" w:rsidP="00DE1A88">
      <w:pPr>
        <w:jc w:val="both"/>
        <w:rPr>
          <w:rFonts w:ascii="Cambria" w:eastAsia="Cambria" w:hAnsi="Cambria" w:cs="Cambria"/>
          <w:sz w:val="20"/>
          <w:szCs w:val="20"/>
          <w:lang w:val="es-US"/>
        </w:rPr>
      </w:pPr>
    </w:p>
    <w:sdt>
      <w:sdtPr>
        <w:tag w:val="goog_rdk_13"/>
        <w:id w:val="553746271"/>
      </w:sdtPr>
      <w:sdtEndPr/>
      <w:sdtContent>
        <w:p w14:paraId="3975F7B2" w14:textId="77777777" w:rsidR="00DE1A88" w:rsidRPr="00A5361C" w:rsidRDefault="009E458F" w:rsidP="00DE1A88">
          <w:pPr>
            <w:numPr>
              <w:ilvl w:val="0"/>
              <w:numId w:val="20"/>
            </w:numPr>
            <w:suppressAutoHyphens/>
            <w:ind w:leftChars="-1" w:left="0" w:hangingChars="1" w:hanging="2"/>
            <w:jc w:val="both"/>
            <w:textDirection w:val="btLr"/>
            <w:textAlignment w:val="top"/>
            <w:outlineLvl w:val="0"/>
            <w:rPr>
              <w:rFonts w:ascii="Cambria" w:eastAsia="Cambria" w:hAnsi="Cambria" w:cs="Cambria"/>
              <w:sz w:val="20"/>
              <w:szCs w:val="20"/>
              <w:lang w:val="es-US"/>
            </w:rPr>
          </w:pPr>
          <w:sdt>
            <w:sdtPr>
              <w:tag w:val="goog_rdk_11"/>
              <w:id w:val="764339709"/>
            </w:sdtPr>
            <w:sdtEndPr/>
            <w:sdtContent>
              <w:r w:rsidR="00DE1A88" w:rsidRPr="00A5361C">
                <w:rPr>
                  <w:rFonts w:ascii="Cambria" w:eastAsia="Cambria" w:hAnsi="Cambria" w:cs="Cambria"/>
                  <w:color w:val="000000"/>
                  <w:sz w:val="20"/>
                  <w:szCs w:val="20"/>
                  <w:lang w:val="es-US"/>
                </w:rPr>
                <w:t xml:space="preserve">Ante la ausencia de información actualizada sobre el nivel de cumplimiento de las recomendaciones, la CIDH reitera a continuación, el análisis del cumplimiento y las conclusiones realizadas en su Informe Anual 2020. </w:t>
              </w:r>
            </w:sdtContent>
          </w:sdt>
          <w:sdt>
            <w:sdtPr>
              <w:tag w:val="goog_rdk_12"/>
              <w:id w:val="-2086994716"/>
              <w:showingPlcHdr/>
            </w:sdtPr>
            <w:sdtEndPr/>
            <w:sdtContent>
              <w:r w:rsidR="00DE1A88" w:rsidRPr="00A5361C">
                <w:rPr>
                  <w:lang w:val="es-US"/>
                </w:rPr>
                <w:t xml:space="preserve">     </w:t>
              </w:r>
            </w:sdtContent>
          </w:sdt>
        </w:p>
      </w:sdtContent>
    </w:sdt>
    <w:p w14:paraId="7DAC3656" w14:textId="77777777" w:rsidR="00DE1A88" w:rsidRPr="00A5361C" w:rsidRDefault="00DE1A88" w:rsidP="00DE1A88">
      <w:pPr>
        <w:ind w:hanging="2"/>
        <w:jc w:val="both"/>
        <w:rPr>
          <w:rFonts w:ascii="Cambria" w:eastAsia="Cambria" w:hAnsi="Cambria" w:cs="Cambria"/>
          <w:color w:val="000000"/>
          <w:sz w:val="20"/>
          <w:szCs w:val="20"/>
          <w:lang w:val="es-US"/>
        </w:rPr>
      </w:pPr>
    </w:p>
    <w:p w14:paraId="52AD76CE"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b/>
          <w:color w:val="000000"/>
          <w:sz w:val="20"/>
          <w:szCs w:val="20"/>
          <w:lang w:val="es-US"/>
        </w:rPr>
        <w:t>Análisis del cumplimiento de las recomendaciones</w:t>
      </w:r>
    </w:p>
    <w:p w14:paraId="63B39686" w14:textId="77777777" w:rsidR="00DE1A88" w:rsidRPr="00A5361C" w:rsidRDefault="00DE1A88" w:rsidP="00DE1A88">
      <w:pPr>
        <w:ind w:hanging="2"/>
        <w:jc w:val="both"/>
        <w:rPr>
          <w:rFonts w:ascii="Cambria" w:eastAsia="Cambria" w:hAnsi="Cambria" w:cs="Cambria"/>
          <w:color w:val="000000"/>
          <w:sz w:val="20"/>
          <w:szCs w:val="20"/>
          <w:lang w:val="es-US"/>
        </w:rPr>
      </w:pPr>
    </w:p>
    <w:p w14:paraId="7BA27CC6" w14:textId="77777777" w:rsidR="00DE1A88" w:rsidRPr="00A5361C" w:rsidRDefault="00DE1A88" w:rsidP="00DE1A88">
      <w:pPr>
        <w:numPr>
          <w:ilvl w:val="0"/>
          <w:numId w:val="20"/>
        </w:numP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b/>
          <w:color w:val="000000"/>
          <w:sz w:val="20"/>
          <w:szCs w:val="20"/>
          <w:lang w:val="es-US"/>
        </w:rPr>
        <w:t xml:space="preserve">En relación con las recomendaciones 1,2,3,4,5, y 6, </w:t>
      </w:r>
      <w:r w:rsidRPr="00A5361C">
        <w:rPr>
          <w:rFonts w:ascii="Cambria" w:eastAsia="Cambria" w:hAnsi="Cambria" w:cs="Cambria"/>
          <w:color w:val="000000"/>
          <w:sz w:val="20"/>
          <w:szCs w:val="20"/>
          <w:lang w:val="es-US"/>
        </w:rPr>
        <w:t xml:space="preserve">en 2019, los peticionarios hicieron llegar a la CIDH un correo electrónico informando que hasta el momento el Estado no había adoptado ninguna medida en relación con las recomendaciones contenidas en el Informe </w:t>
      </w:r>
      <w:proofErr w:type="spellStart"/>
      <w:r w:rsidRPr="00A5361C">
        <w:rPr>
          <w:rFonts w:ascii="Cambria" w:eastAsia="Cambria" w:hAnsi="Cambria" w:cs="Cambria"/>
          <w:color w:val="000000"/>
          <w:sz w:val="20"/>
          <w:szCs w:val="20"/>
          <w:lang w:val="es-US"/>
        </w:rPr>
        <w:t>Nº</w:t>
      </w:r>
      <w:proofErr w:type="spellEnd"/>
      <w:r w:rsidRPr="00A5361C">
        <w:rPr>
          <w:rFonts w:ascii="Cambria" w:eastAsia="Cambria" w:hAnsi="Cambria" w:cs="Cambria"/>
          <w:color w:val="000000"/>
          <w:sz w:val="20"/>
          <w:szCs w:val="20"/>
          <w:lang w:val="es-US"/>
        </w:rPr>
        <w:t xml:space="preserve"> 27/18. </w:t>
      </w:r>
    </w:p>
    <w:p w14:paraId="2399BFED" w14:textId="77777777" w:rsidR="00DE1A88" w:rsidRPr="00A5361C" w:rsidRDefault="00DE1A88" w:rsidP="00DE1A88">
      <w:pPr>
        <w:ind w:hanging="2"/>
        <w:rPr>
          <w:rFonts w:ascii="Cambria" w:eastAsia="Cambria" w:hAnsi="Cambria" w:cs="Cambria"/>
          <w:color w:val="000000"/>
          <w:sz w:val="20"/>
          <w:szCs w:val="20"/>
          <w:lang w:val="es-US"/>
        </w:rPr>
      </w:pPr>
    </w:p>
    <w:p w14:paraId="5C64B4A6"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rPr>
      </w:pPr>
      <w:r w:rsidRPr="00A5361C">
        <w:rPr>
          <w:rFonts w:ascii="Cambria" w:eastAsia="Cambria" w:hAnsi="Cambria" w:cs="Cambria"/>
          <w:b/>
          <w:color w:val="000000"/>
          <w:sz w:val="20"/>
          <w:szCs w:val="20"/>
        </w:rPr>
        <w:t xml:space="preserve">Nivel del </w:t>
      </w:r>
      <w:proofErr w:type="spellStart"/>
      <w:r w:rsidRPr="00A5361C">
        <w:rPr>
          <w:rFonts w:ascii="Cambria" w:eastAsia="Cambria" w:hAnsi="Cambria" w:cs="Cambria"/>
          <w:b/>
          <w:color w:val="000000"/>
          <w:sz w:val="20"/>
          <w:szCs w:val="20"/>
        </w:rPr>
        <w:t>cumplimiento</w:t>
      </w:r>
      <w:proofErr w:type="spellEnd"/>
      <w:r w:rsidRPr="00A5361C">
        <w:rPr>
          <w:rFonts w:ascii="Cambria" w:eastAsia="Cambria" w:hAnsi="Cambria" w:cs="Cambria"/>
          <w:b/>
          <w:color w:val="000000"/>
          <w:sz w:val="20"/>
          <w:szCs w:val="20"/>
        </w:rPr>
        <w:t xml:space="preserve"> del </w:t>
      </w:r>
      <w:proofErr w:type="spellStart"/>
      <w:r w:rsidRPr="00A5361C">
        <w:rPr>
          <w:rFonts w:ascii="Cambria" w:eastAsia="Cambria" w:hAnsi="Cambria" w:cs="Cambria"/>
          <w:b/>
          <w:color w:val="000000"/>
          <w:sz w:val="20"/>
          <w:szCs w:val="20"/>
        </w:rPr>
        <w:t>caso</w:t>
      </w:r>
      <w:proofErr w:type="spellEnd"/>
      <w:r w:rsidRPr="00A5361C">
        <w:rPr>
          <w:rFonts w:ascii="Cambria" w:eastAsia="Cambria" w:hAnsi="Cambria" w:cs="Cambria"/>
          <w:b/>
          <w:color w:val="000000"/>
          <w:sz w:val="20"/>
          <w:szCs w:val="20"/>
        </w:rPr>
        <w:t xml:space="preserve"> </w:t>
      </w:r>
    </w:p>
    <w:p w14:paraId="1E731E12" w14:textId="77777777" w:rsidR="00DE1A88" w:rsidRPr="00A5361C" w:rsidRDefault="00DE1A88" w:rsidP="00DE1A88">
      <w:pPr>
        <w:ind w:hanging="2"/>
        <w:jc w:val="both"/>
        <w:rPr>
          <w:rFonts w:ascii="Cambria" w:eastAsia="Cambria" w:hAnsi="Cambria" w:cs="Cambria"/>
          <w:color w:val="000000"/>
          <w:sz w:val="20"/>
          <w:szCs w:val="20"/>
        </w:rPr>
      </w:pPr>
    </w:p>
    <w:p w14:paraId="4155633E" w14:textId="77777777" w:rsidR="00DE1A88" w:rsidRPr="00A5361C" w:rsidRDefault="00DE1A88" w:rsidP="00DE1A88">
      <w:pPr>
        <w:numPr>
          <w:ilvl w:val="0"/>
          <w:numId w:val="20"/>
        </w:numP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color w:val="000000"/>
          <w:sz w:val="20"/>
          <w:szCs w:val="20"/>
          <w:lang w:val="es-US"/>
        </w:rPr>
        <w:t xml:space="preserve">Por lo anterior, la Comisión concluye que el nivel de cumplimiento de este caso es pendiente. En consecuencia, la CIDH seguirá supervisando el cumplimiento de las Recomendaciones 1 a 6. </w:t>
      </w:r>
    </w:p>
    <w:sdt>
      <w:sdtPr>
        <w:tag w:val="goog_rdk_17"/>
        <w:id w:val="559449707"/>
      </w:sdtPr>
      <w:sdtEndPr/>
      <w:sdtContent>
        <w:p w14:paraId="03CD1F0A" w14:textId="77777777" w:rsidR="00DE1A88" w:rsidRPr="00A5361C" w:rsidRDefault="009E458F" w:rsidP="00DE1A88">
          <w:pPr>
            <w:ind w:hanging="2"/>
            <w:jc w:val="both"/>
            <w:rPr>
              <w:rFonts w:ascii="Cambria" w:eastAsia="Cambria" w:hAnsi="Cambria" w:cs="Cambria"/>
              <w:color w:val="000000"/>
              <w:sz w:val="20"/>
              <w:szCs w:val="20"/>
            </w:rPr>
          </w:pPr>
          <w:sdt>
            <w:sdtPr>
              <w:tag w:val="goog_rdk_16"/>
              <w:id w:val="-1092386421"/>
            </w:sdtPr>
            <w:sdtEndPr/>
            <w:sdtContent/>
          </w:sdt>
        </w:p>
      </w:sdtContent>
    </w:sdt>
    <w:sdt>
      <w:sdtPr>
        <w:tag w:val="goog_rdk_19"/>
        <w:id w:val="686795954"/>
      </w:sdtPr>
      <w:sdtEndPr/>
      <w:sdtContent>
        <w:p w14:paraId="6F2C6A1E" w14:textId="53006DA8" w:rsidR="00DE1A88" w:rsidRPr="00A5361C" w:rsidRDefault="009E458F" w:rsidP="00DE1A88">
          <w:pPr>
            <w:numPr>
              <w:ilvl w:val="0"/>
              <w:numId w:val="20"/>
            </w:numP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sdt>
            <w:sdtPr>
              <w:tag w:val="goog_rdk_18"/>
              <w:id w:val="1629518331"/>
              <w:placeholder>
                <w:docPart w:val="DefaultPlaceholder_1081868574"/>
              </w:placeholder>
            </w:sdtPr>
            <w:sdtEndPr/>
            <w:sdtContent>
              <w:r w:rsidR="00DE1A88" w:rsidRPr="00A5361C">
                <w:rPr>
                  <w:rFonts w:ascii="Cambria" w:eastAsia="Cambria" w:hAnsi="Cambria" w:cs="Cambria"/>
                  <w:color w:val="000000" w:themeColor="text1"/>
                  <w:sz w:val="20"/>
                  <w:szCs w:val="20"/>
                  <w:lang w:val="es-US"/>
                </w:rPr>
                <w:t xml:space="preserve">La Comisión insta al Estado adoptar las acciones necesarias para cumplir con las recomendaciones emitidas en el Informe de Fondo </w:t>
              </w:r>
              <w:proofErr w:type="spellStart"/>
              <w:r w:rsidR="00DE1A88" w:rsidRPr="00A5361C">
                <w:rPr>
                  <w:rFonts w:ascii="Cambria" w:eastAsia="Cambria" w:hAnsi="Cambria" w:cs="Cambria"/>
                  <w:color w:val="000000" w:themeColor="text1"/>
                  <w:sz w:val="20"/>
                  <w:szCs w:val="20"/>
                  <w:lang w:val="es-US"/>
                </w:rPr>
                <w:t>Nº</w:t>
              </w:r>
              <w:proofErr w:type="spellEnd"/>
              <w:r w:rsidR="00DE1A88" w:rsidRPr="00A5361C">
                <w:rPr>
                  <w:rFonts w:ascii="Cambria" w:eastAsia="Cambria" w:hAnsi="Cambria" w:cs="Cambria"/>
                  <w:color w:val="000000" w:themeColor="text1"/>
                  <w:sz w:val="20"/>
                  <w:szCs w:val="20"/>
                  <w:lang w:val="es-US"/>
                </w:rPr>
                <w:t xml:space="preserve"> 27/18, y proporcionar información actualizada y detallada sobre dichas acciones a la CIDH</w:t>
              </w:r>
            </w:sdtContent>
          </w:sdt>
          <w:r w:rsidR="33332743" w:rsidRPr="00A5361C">
            <w:rPr>
              <w:lang w:val="es-US"/>
            </w:rPr>
            <w:t>.</w:t>
          </w:r>
        </w:p>
      </w:sdtContent>
    </w:sdt>
    <w:p w14:paraId="15EFF68A" w14:textId="77777777" w:rsidR="00DE1A88" w:rsidRPr="00A5361C" w:rsidRDefault="00DE1A88" w:rsidP="00DE1A88">
      <w:pPr>
        <w:ind w:hanging="2"/>
        <w:jc w:val="both"/>
        <w:rPr>
          <w:rFonts w:ascii="Cambria" w:eastAsia="Cambria" w:hAnsi="Cambria" w:cs="Cambria"/>
          <w:color w:val="000000"/>
          <w:sz w:val="20"/>
          <w:szCs w:val="20"/>
          <w:lang w:val="es-US"/>
        </w:rPr>
      </w:pPr>
    </w:p>
    <w:p w14:paraId="31D1C681" w14:textId="77777777" w:rsidR="00DE1A88" w:rsidRPr="00A5361C" w:rsidRDefault="00DE1A88" w:rsidP="00DE1A88">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b/>
          <w:color w:val="000000"/>
          <w:sz w:val="20"/>
          <w:szCs w:val="20"/>
          <w:lang w:val="es-US"/>
        </w:rPr>
        <w:t xml:space="preserve">Resultados individuales y estructurales del caso </w:t>
      </w:r>
    </w:p>
    <w:p w14:paraId="57B90972" w14:textId="77777777" w:rsidR="00DE1A88" w:rsidRPr="00A5361C" w:rsidRDefault="00DE1A88" w:rsidP="00DE1A88">
      <w:pPr>
        <w:ind w:hanging="2"/>
        <w:jc w:val="both"/>
        <w:rPr>
          <w:rFonts w:ascii="Cambria" w:eastAsia="Cambria" w:hAnsi="Cambria" w:cs="Cambria"/>
          <w:color w:val="000000"/>
          <w:sz w:val="20"/>
          <w:szCs w:val="20"/>
          <w:lang w:val="es-US"/>
        </w:rPr>
      </w:pPr>
    </w:p>
    <w:p w14:paraId="70AC384C" w14:textId="77777777" w:rsidR="00DE1A88" w:rsidRPr="00A5361C" w:rsidRDefault="00DE1A88" w:rsidP="00DE1A88">
      <w:pPr>
        <w:numPr>
          <w:ilvl w:val="0"/>
          <w:numId w:val="20"/>
        </w:numPr>
        <w:suppressAutoHyphens/>
        <w:ind w:leftChars="-1" w:left="0" w:hangingChars="1" w:hanging="2"/>
        <w:jc w:val="both"/>
        <w:textDirection w:val="btLr"/>
        <w:textAlignment w:val="top"/>
        <w:outlineLvl w:val="0"/>
        <w:rPr>
          <w:rFonts w:ascii="Cambria" w:eastAsia="Cambria" w:hAnsi="Cambria" w:cs="Cambria"/>
          <w:color w:val="000000"/>
          <w:sz w:val="20"/>
          <w:szCs w:val="20"/>
          <w:lang w:val="es-US"/>
        </w:rPr>
      </w:pPr>
      <w:r w:rsidRPr="00A5361C">
        <w:rPr>
          <w:rFonts w:ascii="Cambria" w:eastAsia="Cambria" w:hAnsi="Cambria" w:cs="Cambria"/>
          <w:color w:val="000000"/>
          <w:sz w:val="20"/>
          <w:szCs w:val="20"/>
          <w:lang w:val="es-US"/>
        </w:rPr>
        <w:t>Dado que este caso está pendiente de cumplimiento, no hay resultados individuales o estructurales informados por las partes.</w:t>
      </w:r>
    </w:p>
    <w:p w14:paraId="0FE3FB86" w14:textId="77777777" w:rsidR="00DE1A88" w:rsidRPr="00A5361C" w:rsidRDefault="00DE1A88" w:rsidP="00DE1A88">
      <w:pPr>
        <w:ind w:hanging="2"/>
        <w:rPr>
          <w:lang w:val="es-US"/>
        </w:rPr>
      </w:pPr>
    </w:p>
    <w:sectPr w:rsidR="00DE1A88" w:rsidRPr="00A5361C"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C1CC" w14:textId="77777777" w:rsidR="009E458F" w:rsidRDefault="009E458F" w:rsidP="00672733">
      <w:pPr>
        <w:ind w:hanging="2"/>
      </w:pPr>
      <w:r>
        <w:separator/>
      </w:r>
    </w:p>
  </w:endnote>
  <w:endnote w:type="continuationSeparator" w:id="0">
    <w:p w14:paraId="1CC25112" w14:textId="77777777" w:rsidR="009E458F" w:rsidRDefault="009E458F"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125DA8CB" w:rsidR="00E516AB" w:rsidRPr="00E516AB" w:rsidRDefault="00E516AB">
    <w:pPr>
      <w:pStyle w:val="Footer"/>
      <w:tabs>
        <w:tab w:val="clear" w:pos="4680"/>
        <w:tab w:val="clear" w:pos="9360"/>
      </w:tabs>
      <w:ind w:hanging="2"/>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B608E">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5C6" w14:textId="77777777" w:rsidR="009E458F" w:rsidRDefault="009E458F" w:rsidP="00672733">
      <w:pPr>
        <w:ind w:hanging="2"/>
      </w:pPr>
      <w:r>
        <w:separator/>
      </w:r>
    </w:p>
  </w:footnote>
  <w:footnote w:type="continuationSeparator" w:id="0">
    <w:p w14:paraId="0C14E792" w14:textId="77777777" w:rsidR="009E458F" w:rsidRDefault="009E458F" w:rsidP="0067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2686" w14:textId="77777777" w:rsidR="00980C3D" w:rsidRPr="00AD498E" w:rsidRDefault="00980C3D" w:rsidP="00980C3D">
    <w:pPr>
      <w:pStyle w:val="Header"/>
      <w:rPr>
        <w:rFonts w:ascii="Arial" w:hAnsi="Arial" w:cs="Arial"/>
        <w:color w:val="3B3838"/>
        <w:szCs w:val="28"/>
      </w:rPr>
    </w:pPr>
    <w:r>
      <w:rPr>
        <w:noProof/>
      </w:rPr>
      <w:drawing>
        <wp:anchor distT="0" distB="0" distL="114300" distR="114300" simplePos="0" relativeHeight="251669504" behindDoc="0" locked="0" layoutInCell="1" allowOverlap="1" wp14:anchorId="5AB16B79" wp14:editId="6374DEB1">
          <wp:simplePos x="0" y="0"/>
          <wp:positionH relativeFrom="column">
            <wp:posOffset>4658995</wp:posOffset>
          </wp:positionH>
          <wp:positionV relativeFrom="paragraph">
            <wp:posOffset>-3175</wp:posOffset>
          </wp:positionV>
          <wp:extent cx="1485900" cy="346075"/>
          <wp:effectExtent l="0" t="0" r="0" b="0"/>
          <wp:wrapSquare wrapText="bothSides"/>
          <wp:docPr id="6"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98E">
      <w:rPr>
        <w:noProof/>
      </w:rPr>
      <w:drawing>
        <wp:inline distT="0" distB="0" distL="0" distR="0" wp14:anchorId="15900F0F" wp14:editId="529E755C">
          <wp:extent cx="1333500" cy="314325"/>
          <wp:effectExtent l="0" t="0" r="0"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sidRPr="00AD498E">
      <w:rPr>
        <w:rFonts w:ascii="Arial" w:hAnsi="Arial" w:cs="Arial"/>
        <w:color w:val="3B3838"/>
        <w:szCs w:val="28"/>
      </w:rPr>
      <w:softHyphen/>
    </w:r>
    <w:r w:rsidRPr="00AD498E">
      <w:rPr>
        <w:rFonts w:ascii="Arial" w:hAnsi="Arial" w:cs="Arial"/>
        <w:color w:val="3B3838"/>
        <w:szCs w:val="28"/>
      </w:rPr>
      <w:softHyphen/>
      <w:t xml:space="preserve">                       </w:t>
    </w:r>
  </w:p>
  <w:p w14:paraId="79D0CF66" w14:textId="77777777" w:rsidR="00980C3D" w:rsidRPr="00AD498E" w:rsidRDefault="00980C3D" w:rsidP="00980C3D">
    <w:pPr>
      <w:pStyle w:val="Header"/>
      <w:rPr>
        <w:rFonts w:ascii="Arial" w:hAnsi="Arial" w:cs="Arial"/>
        <w:b/>
        <w:bCs/>
        <w:color w:val="404040"/>
        <w:sz w:val="44"/>
        <w:szCs w:val="44"/>
        <w:lang w:val="es-ES"/>
      </w:rPr>
    </w:pPr>
    <w:r>
      <w:rPr>
        <w:noProof/>
      </w:rPr>
      <mc:AlternateContent>
        <mc:Choice Requires="wps">
          <w:drawing>
            <wp:anchor distT="4294967294" distB="4294967294" distL="114300" distR="114300" simplePos="0" relativeHeight="251668480" behindDoc="0" locked="0" layoutInCell="1" allowOverlap="1" wp14:anchorId="24092C21" wp14:editId="0EEEC270">
              <wp:simplePos x="0" y="0"/>
              <wp:positionH relativeFrom="column">
                <wp:posOffset>-5080</wp:posOffset>
              </wp:positionH>
              <wp:positionV relativeFrom="paragraph">
                <wp:posOffset>173989</wp:posOffset>
              </wp:positionV>
              <wp:extent cx="61480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CE949" id="Straight Connector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" strokecolor="#262626"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143" w14:textId="27C457DF" w:rsidR="00566CD0" w:rsidRPr="006B1F24" w:rsidRDefault="007739DD" w:rsidP="008818B0">
    <w:pPr>
      <w:pStyle w:val="Header"/>
      <w:tabs>
        <w:tab w:val="clear" w:pos="4680"/>
        <w:tab w:val="clear" w:pos="9360"/>
        <w:tab w:val="left" w:pos="1925"/>
      </w:tabs>
      <w:ind w:left="1" w:hanging="3"/>
      <w:rPr>
        <w:rFonts w:ascii="Arial" w:hAnsi="Arial" w:cs="Arial"/>
        <w:b/>
        <w:bCs/>
        <w:color w:val="404040" w:themeColor="text1" w:themeTint="BF"/>
        <w:sz w:val="38"/>
        <w:szCs w:val="38"/>
        <w:lang w:val="es-ES"/>
      </w:rPr>
    </w:pPr>
    <w:r w:rsidRPr="006B1F24">
      <w:rPr>
        <w:noProof/>
        <w:sz w:val="28"/>
        <w:szCs w:val="28"/>
      </w:rPr>
      <w:drawing>
        <wp:anchor distT="0" distB="0" distL="114300" distR="114300" simplePos="0" relativeHeight="251666432" behindDoc="0" locked="0" layoutInCell="1" allowOverlap="1" wp14:anchorId="1B8A2B6D" wp14:editId="715BBA56">
          <wp:simplePos x="0" y="0"/>
          <wp:positionH relativeFrom="column">
            <wp:posOffset>3880884</wp:posOffset>
          </wp:positionH>
          <wp:positionV relativeFrom="paragraph">
            <wp:posOffset>-946</wp:posOffset>
          </wp:positionV>
          <wp:extent cx="2183130" cy="50863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17A589" wp14:editId="1B0F69E5">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3839D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DC8"/>
    <w:multiLevelType w:val="multilevel"/>
    <w:tmpl w:val="7C74CAE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A1B51"/>
    <w:multiLevelType w:val="multilevel"/>
    <w:tmpl w:val="6040CCF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1FCB6ACB"/>
    <w:multiLevelType w:val="multilevel"/>
    <w:tmpl w:val="99AA96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284775A5"/>
    <w:multiLevelType w:val="hybridMultilevel"/>
    <w:tmpl w:val="9E5CABAE"/>
    <w:lvl w:ilvl="0" w:tplc="88B2BFE6">
      <w:start w:val="1"/>
      <w:numFmt w:val="decimal"/>
      <w:lvlText w:val="%1."/>
      <w:lvlJc w:val="left"/>
      <w:pPr>
        <w:ind w:left="0" w:firstLine="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C72BD"/>
    <w:multiLevelType w:val="multilevel"/>
    <w:tmpl w:val="1786E09C"/>
    <w:lvl w:ilvl="0">
      <w:start w:val="1"/>
      <w:numFmt w:val="upp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D5244"/>
    <w:multiLevelType w:val="multilevel"/>
    <w:tmpl w:val="8814D0B8"/>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C16F41"/>
    <w:multiLevelType w:val="multilevel"/>
    <w:tmpl w:val="AB902D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78D6036"/>
    <w:multiLevelType w:val="hybridMultilevel"/>
    <w:tmpl w:val="975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630FC"/>
    <w:multiLevelType w:val="multilevel"/>
    <w:tmpl w:val="DEFE5D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11"/>
  </w:num>
  <w:num w:numId="2">
    <w:abstractNumId w:val="20"/>
  </w:num>
  <w:num w:numId="3">
    <w:abstractNumId w:val="15"/>
  </w:num>
  <w:num w:numId="4">
    <w:abstractNumId w:val="5"/>
  </w:num>
  <w:num w:numId="5">
    <w:abstractNumId w:val="4"/>
  </w:num>
  <w:num w:numId="6">
    <w:abstractNumId w:val="7"/>
  </w:num>
  <w:num w:numId="7">
    <w:abstractNumId w:val="1"/>
  </w:num>
  <w:num w:numId="8">
    <w:abstractNumId w:val="13"/>
  </w:num>
  <w:num w:numId="9">
    <w:abstractNumId w:val="12"/>
  </w:num>
  <w:num w:numId="10">
    <w:abstractNumId w:val="3"/>
  </w:num>
  <w:num w:numId="11">
    <w:abstractNumId w:val="18"/>
  </w:num>
  <w:num w:numId="12">
    <w:abstractNumId w:val="10"/>
  </w:num>
  <w:num w:numId="13">
    <w:abstractNumId w:val="17"/>
  </w:num>
  <w:num w:numId="14">
    <w:abstractNumId w:val="8"/>
  </w:num>
  <w:num w:numId="15">
    <w:abstractNumId w:val="19"/>
  </w:num>
  <w:num w:numId="16">
    <w:abstractNumId w:val="14"/>
  </w:num>
  <w:num w:numId="17">
    <w:abstractNumId w:val="16"/>
  </w:num>
  <w:num w:numId="18">
    <w:abstractNumId w:val="2"/>
  </w:num>
  <w:num w:numId="19">
    <w:abstractNumId w:val="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93D13"/>
    <w:rsid w:val="000B5E1D"/>
    <w:rsid w:val="000C5C4A"/>
    <w:rsid w:val="0011475D"/>
    <w:rsid w:val="001841A2"/>
    <w:rsid w:val="001C7AAF"/>
    <w:rsid w:val="001D4AA3"/>
    <w:rsid w:val="0027366F"/>
    <w:rsid w:val="00322720"/>
    <w:rsid w:val="003B2AC2"/>
    <w:rsid w:val="0043001C"/>
    <w:rsid w:val="00453115"/>
    <w:rsid w:val="004532C7"/>
    <w:rsid w:val="004728A9"/>
    <w:rsid w:val="0048723C"/>
    <w:rsid w:val="005275EF"/>
    <w:rsid w:val="00566CD0"/>
    <w:rsid w:val="00637ED3"/>
    <w:rsid w:val="006638E5"/>
    <w:rsid w:val="00672733"/>
    <w:rsid w:val="006B1F24"/>
    <w:rsid w:val="00735CF7"/>
    <w:rsid w:val="00742645"/>
    <w:rsid w:val="00750246"/>
    <w:rsid w:val="007739DD"/>
    <w:rsid w:val="008463D3"/>
    <w:rsid w:val="008818B0"/>
    <w:rsid w:val="008A36C4"/>
    <w:rsid w:val="008D1A5E"/>
    <w:rsid w:val="009641CA"/>
    <w:rsid w:val="00980C3D"/>
    <w:rsid w:val="00985673"/>
    <w:rsid w:val="009A50E2"/>
    <w:rsid w:val="009B1335"/>
    <w:rsid w:val="009E22A2"/>
    <w:rsid w:val="009E458F"/>
    <w:rsid w:val="00A1642C"/>
    <w:rsid w:val="00A31E02"/>
    <w:rsid w:val="00A52906"/>
    <w:rsid w:val="00A5361C"/>
    <w:rsid w:val="00BB0D06"/>
    <w:rsid w:val="00C12D7A"/>
    <w:rsid w:val="00C45440"/>
    <w:rsid w:val="00CF3094"/>
    <w:rsid w:val="00D03375"/>
    <w:rsid w:val="00D316E5"/>
    <w:rsid w:val="00D56DC4"/>
    <w:rsid w:val="00DE1A88"/>
    <w:rsid w:val="00E042FE"/>
    <w:rsid w:val="00E1104E"/>
    <w:rsid w:val="00E516AB"/>
    <w:rsid w:val="00E62510"/>
    <w:rsid w:val="00E7021E"/>
    <w:rsid w:val="00E90CB3"/>
    <w:rsid w:val="00EB608E"/>
    <w:rsid w:val="00EE70D1"/>
    <w:rsid w:val="00EF270C"/>
    <w:rsid w:val="00F54C38"/>
    <w:rsid w:val="013D2C13"/>
    <w:rsid w:val="33332743"/>
    <w:rsid w:val="6F5BA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F54C38"/>
    <w:rPr>
      <w:rFonts w:ascii="Calibri" w:eastAsia="Calibri" w:hAnsi="Calibri" w:cs="Times New Roman"/>
      <w:sz w:val="22"/>
      <w:szCs w:val="22"/>
      <w:lang w:val="pt-BR"/>
    </w:rPr>
  </w:style>
  <w:style w:type="paragraph" w:styleId="BalloonText">
    <w:name w:val="Balloon Text"/>
    <w:basedOn w:val="Normal"/>
    <w:link w:val="BalloonTextChar"/>
    <w:uiPriority w:val="99"/>
    <w:semiHidden/>
    <w:unhideWhenUsed/>
    <w:rsid w:val="008D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18/CUPU12127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4sp/Cuba.12127.ht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800DF77-BAF1-47C5-8A42-45D1B9323C97}"/>
      </w:docPartPr>
      <w:docPartBody>
        <w:p w:rsidR="005E2559" w:rsidRDefault="005E2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2559"/>
    <w:rsid w:val="005E2559"/>
    <w:rsid w:val="00AC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02A6-483A-4D9C-B268-5519999A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2022-03-28T19:14:00Z</dcterms:created>
  <dcterms:modified xsi:type="dcterms:W3CDTF">2022-03-28T19:14:00Z</dcterms:modified>
</cp:coreProperties>
</file>