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4163" w14:textId="77777777" w:rsidR="00662A17" w:rsidRPr="004F4ED3" w:rsidRDefault="00662A17" w:rsidP="00662A17">
      <w:pPr>
        <w:pStyle w:val="Header"/>
        <w:jc w:val="center"/>
        <w:rPr>
          <w:rFonts w:ascii="Cambria" w:hAnsi="Cambria"/>
          <w:sz w:val="20"/>
          <w:szCs w:val="20"/>
          <w:lang w:val="es-ES"/>
        </w:rPr>
      </w:pPr>
      <w:r w:rsidRPr="20346017">
        <w:rPr>
          <w:rFonts w:ascii="Cambria" w:hAnsi="Cambria"/>
          <w:b/>
          <w:bCs/>
          <w:sz w:val="20"/>
          <w:szCs w:val="20"/>
          <w:lang w:val="es-ES"/>
        </w:rPr>
        <w:t>FICHA DE SEGUIMIENTO DEL INFORME Nº 81/11</w:t>
      </w:r>
    </w:p>
    <w:p w14:paraId="17E25499" w14:textId="77777777" w:rsidR="00662A17" w:rsidRPr="004F4ED3" w:rsidRDefault="00662A17" w:rsidP="20346017">
      <w:pPr>
        <w:jc w:val="center"/>
        <w:rPr>
          <w:rFonts w:ascii="Cambria" w:hAnsi="Cambria"/>
          <w:b/>
          <w:bCs/>
          <w:sz w:val="20"/>
          <w:szCs w:val="20"/>
          <w:lang w:val="es-ES"/>
        </w:rPr>
      </w:pPr>
      <w:r w:rsidRPr="20346017">
        <w:rPr>
          <w:rFonts w:ascii="Cambria" w:hAnsi="Cambria"/>
          <w:b/>
          <w:bCs/>
          <w:sz w:val="20"/>
          <w:szCs w:val="20"/>
          <w:lang w:val="es-ES"/>
        </w:rPr>
        <w:t>CASO 12.776</w:t>
      </w:r>
    </w:p>
    <w:p w14:paraId="60D43F0E" w14:textId="77777777" w:rsidR="00662A17" w:rsidRPr="004F4ED3" w:rsidRDefault="00662A17" w:rsidP="20346017">
      <w:pPr>
        <w:jc w:val="center"/>
        <w:rPr>
          <w:rFonts w:ascii="Cambria" w:hAnsi="Cambria"/>
          <w:b/>
          <w:bCs/>
          <w:sz w:val="20"/>
          <w:szCs w:val="20"/>
          <w:lang w:val="es-ES"/>
        </w:rPr>
      </w:pPr>
      <w:r w:rsidRPr="20346017">
        <w:rPr>
          <w:rFonts w:ascii="Cambria" w:hAnsi="Cambria"/>
          <w:b/>
          <w:bCs/>
          <w:sz w:val="20"/>
          <w:szCs w:val="20"/>
          <w:lang w:val="es-ES"/>
        </w:rPr>
        <w:t>JEFFREY TIMOTHY LANDRIGAN</w:t>
      </w:r>
    </w:p>
    <w:p w14:paraId="4983F53F" w14:textId="77777777" w:rsidR="00662A17" w:rsidRPr="004F4ED3" w:rsidRDefault="00662A17" w:rsidP="20346017">
      <w:pPr>
        <w:jc w:val="center"/>
        <w:rPr>
          <w:rFonts w:ascii="Cambria" w:hAnsi="Cambria"/>
          <w:b/>
          <w:bCs/>
          <w:sz w:val="20"/>
          <w:szCs w:val="20"/>
          <w:lang w:val="es-ES"/>
        </w:rPr>
      </w:pPr>
      <w:r w:rsidRPr="20346017">
        <w:rPr>
          <w:rFonts w:ascii="Cambria" w:hAnsi="Cambria"/>
          <w:b/>
          <w:bCs/>
          <w:sz w:val="20"/>
          <w:szCs w:val="20"/>
          <w:lang w:val="es-ES"/>
        </w:rPr>
        <w:t>(Estados Unidos)</w:t>
      </w:r>
    </w:p>
    <w:p w14:paraId="666440B6" w14:textId="77777777" w:rsidR="00662A17" w:rsidRPr="004F4ED3" w:rsidRDefault="00662A17" w:rsidP="00662A17">
      <w:pPr>
        <w:jc w:val="both"/>
        <w:rPr>
          <w:rFonts w:ascii="Cambria" w:hAnsi="Cambria"/>
          <w:sz w:val="20"/>
          <w:szCs w:val="20"/>
          <w:lang w:val="es-ES"/>
        </w:rPr>
      </w:pPr>
    </w:p>
    <w:p w14:paraId="2F136341" w14:textId="77777777" w:rsidR="00662A17" w:rsidRPr="004F4ED3" w:rsidRDefault="00662A17" w:rsidP="20346017">
      <w:pPr>
        <w:numPr>
          <w:ilvl w:val="0"/>
          <w:numId w:val="8"/>
        </w:numPr>
        <w:ind w:left="1440"/>
        <w:jc w:val="both"/>
        <w:rPr>
          <w:rFonts w:ascii="Cambria" w:hAnsi="Cambria" w:cs="Calibri Light"/>
          <w:b/>
          <w:bCs/>
          <w:sz w:val="20"/>
          <w:szCs w:val="20"/>
          <w:lang w:val="es-ES"/>
        </w:rPr>
      </w:pPr>
      <w:r w:rsidRPr="20346017">
        <w:rPr>
          <w:rFonts w:ascii="Cambria" w:hAnsi="Cambria" w:cs="Calibri Light"/>
          <w:b/>
          <w:bCs/>
          <w:sz w:val="20"/>
          <w:szCs w:val="20"/>
          <w:lang w:val="es-ES"/>
        </w:rPr>
        <w:t xml:space="preserve">Resumen del caso  </w:t>
      </w:r>
    </w:p>
    <w:p w14:paraId="15D385FD" w14:textId="77777777" w:rsidR="00662A17" w:rsidRPr="004F4ED3" w:rsidRDefault="00662A17" w:rsidP="00662A17">
      <w:pPr>
        <w:ind w:left="1080"/>
        <w:jc w:val="both"/>
        <w:rPr>
          <w:rFonts w:ascii="Cambria" w:hAnsi="Cambria" w:cs="Calibri Light"/>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662A17" w:rsidRPr="009E3BAC" w14:paraId="64A31088" w14:textId="77777777" w:rsidTr="20346017">
        <w:trPr>
          <w:jc w:val="center"/>
        </w:trPr>
        <w:tc>
          <w:tcPr>
            <w:tcW w:w="9576" w:type="dxa"/>
            <w:shd w:val="clear" w:color="auto" w:fill="F2F2F2" w:themeFill="background1" w:themeFillShade="F2"/>
          </w:tcPr>
          <w:p w14:paraId="6EC7F86C" w14:textId="77777777" w:rsidR="00662A17" w:rsidRPr="004F4ED3" w:rsidRDefault="00662A17" w:rsidP="20346017">
            <w:pPr>
              <w:spacing w:before="120"/>
              <w:jc w:val="both"/>
              <w:rPr>
                <w:rFonts w:ascii="Cambria" w:hAnsi="Cambria"/>
                <w:b/>
                <w:bCs/>
                <w:sz w:val="20"/>
                <w:szCs w:val="20"/>
                <w:lang w:val="es-ES"/>
              </w:rPr>
            </w:pPr>
            <w:r w:rsidRPr="20346017">
              <w:rPr>
                <w:rFonts w:ascii="Cambria" w:hAnsi="Cambria"/>
                <w:b/>
                <w:bCs/>
                <w:sz w:val="20"/>
                <w:szCs w:val="20"/>
                <w:lang w:val="es-ES"/>
              </w:rPr>
              <w:t xml:space="preserve">Víctima (s): </w:t>
            </w:r>
            <w:r w:rsidRPr="20346017">
              <w:rPr>
                <w:rFonts w:ascii="Cambria" w:hAnsi="Cambria"/>
                <w:sz w:val="20"/>
                <w:szCs w:val="20"/>
                <w:lang w:val="es-ES"/>
              </w:rPr>
              <w:t xml:space="preserve">Jeffrey Timothy </w:t>
            </w:r>
            <w:proofErr w:type="spellStart"/>
            <w:r w:rsidRPr="20346017">
              <w:rPr>
                <w:rFonts w:ascii="Cambria" w:hAnsi="Cambria"/>
                <w:sz w:val="20"/>
                <w:szCs w:val="20"/>
                <w:lang w:val="es-ES"/>
              </w:rPr>
              <w:t>Landrigan</w:t>
            </w:r>
            <w:proofErr w:type="spellEnd"/>
          </w:p>
          <w:p w14:paraId="08924C50" w14:textId="77777777" w:rsidR="00662A17" w:rsidRPr="00662A17" w:rsidRDefault="00662A17" w:rsidP="20346017">
            <w:pPr>
              <w:jc w:val="both"/>
              <w:rPr>
                <w:rFonts w:ascii="Cambria" w:hAnsi="Cambria"/>
                <w:b/>
                <w:bCs/>
                <w:sz w:val="20"/>
                <w:szCs w:val="20"/>
              </w:rPr>
            </w:pPr>
            <w:proofErr w:type="spellStart"/>
            <w:r w:rsidRPr="20346017">
              <w:rPr>
                <w:rFonts w:ascii="Cambria" w:hAnsi="Cambria"/>
                <w:b/>
                <w:bCs/>
                <w:sz w:val="20"/>
                <w:szCs w:val="20"/>
              </w:rPr>
              <w:t>Peticionario</w:t>
            </w:r>
            <w:proofErr w:type="spellEnd"/>
            <w:r w:rsidRPr="20346017">
              <w:rPr>
                <w:rFonts w:ascii="Cambria" w:hAnsi="Cambria"/>
                <w:b/>
                <w:bCs/>
                <w:sz w:val="20"/>
                <w:szCs w:val="20"/>
              </w:rPr>
              <w:t xml:space="preserve"> (s):</w:t>
            </w:r>
            <w:r w:rsidRPr="20346017">
              <w:rPr>
                <w:rFonts w:ascii="Cambria" w:hAnsi="Cambria"/>
                <w:sz w:val="20"/>
                <w:szCs w:val="20"/>
              </w:rPr>
              <w:t xml:space="preserve"> Sandra L. Babcock, Jon M. Sands, Dale A. Baich</w:t>
            </w:r>
          </w:p>
          <w:p w14:paraId="6F863CF3" w14:textId="77777777" w:rsidR="00662A17" w:rsidRPr="004F4ED3" w:rsidRDefault="00662A17" w:rsidP="00D33854">
            <w:pPr>
              <w:jc w:val="both"/>
              <w:rPr>
                <w:rFonts w:ascii="Cambria" w:hAnsi="Cambria"/>
                <w:sz w:val="20"/>
                <w:szCs w:val="20"/>
                <w:lang w:val="es-ES"/>
              </w:rPr>
            </w:pPr>
            <w:r w:rsidRPr="20346017">
              <w:rPr>
                <w:rFonts w:ascii="Cambria" w:hAnsi="Cambria"/>
                <w:b/>
                <w:bCs/>
                <w:sz w:val="20"/>
                <w:szCs w:val="20"/>
                <w:lang w:val="es-ES"/>
              </w:rPr>
              <w:t xml:space="preserve">Estado: </w:t>
            </w:r>
            <w:r w:rsidRPr="20346017">
              <w:rPr>
                <w:rFonts w:ascii="Cambria" w:hAnsi="Cambria"/>
                <w:sz w:val="20"/>
                <w:szCs w:val="20"/>
                <w:lang w:val="es-ES"/>
              </w:rPr>
              <w:t>Estados Unidos</w:t>
            </w:r>
          </w:p>
          <w:p w14:paraId="0BDD36B5" w14:textId="77777777" w:rsidR="00662A17" w:rsidRPr="004F4ED3" w:rsidRDefault="00662A17" w:rsidP="00D33854">
            <w:pPr>
              <w:jc w:val="both"/>
              <w:rPr>
                <w:rFonts w:ascii="Cambria" w:hAnsi="Cambria"/>
                <w:sz w:val="20"/>
                <w:szCs w:val="20"/>
                <w:lang w:val="es-ES"/>
              </w:rPr>
            </w:pPr>
            <w:r w:rsidRPr="20346017">
              <w:rPr>
                <w:rFonts w:ascii="Cambria" w:hAnsi="Cambria"/>
                <w:b/>
                <w:bCs/>
                <w:sz w:val="20"/>
                <w:szCs w:val="20"/>
                <w:lang w:val="es-ES"/>
              </w:rPr>
              <w:t xml:space="preserve">Informe de Fondo </w:t>
            </w:r>
            <w:proofErr w:type="spellStart"/>
            <w:r w:rsidRPr="20346017">
              <w:rPr>
                <w:rFonts w:ascii="Cambria" w:hAnsi="Cambria"/>
                <w:b/>
                <w:bCs/>
                <w:sz w:val="20"/>
                <w:szCs w:val="20"/>
                <w:lang w:val="es-ES"/>
              </w:rPr>
              <w:t>Nº</w:t>
            </w:r>
            <w:proofErr w:type="spellEnd"/>
            <w:r w:rsidRPr="20346017">
              <w:rPr>
                <w:rFonts w:ascii="Cambria" w:hAnsi="Cambria"/>
                <w:b/>
                <w:bCs/>
                <w:sz w:val="20"/>
                <w:szCs w:val="20"/>
                <w:lang w:val="es-ES"/>
              </w:rPr>
              <w:t xml:space="preserve">: </w:t>
            </w:r>
            <w:hyperlink r:id="rId8">
              <w:r w:rsidRPr="20346017">
                <w:rPr>
                  <w:rStyle w:val="Hyperlink"/>
                  <w:rFonts w:ascii="Cambria" w:hAnsi="Cambria"/>
                  <w:sz w:val="20"/>
                  <w:szCs w:val="20"/>
                  <w:lang w:val="es-ES"/>
                </w:rPr>
                <w:t>81/11</w:t>
              </w:r>
            </w:hyperlink>
            <w:r w:rsidRPr="20346017">
              <w:rPr>
                <w:rFonts w:ascii="Cambria" w:hAnsi="Cambria"/>
                <w:sz w:val="20"/>
                <w:szCs w:val="20"/>
                <w:lang w:val="es-ES"/>
              </w:rPr>
              <w:t>, publicado el 21 de julio de 2011</w:t>
            </w:r>
          </w:p>
          <w:p w14:paraId="40887E1E" w14:textId="77777777" w:rsidR="00662A17" w:rsidRPr="004F4ED3" w:rsidRDefault="00662A17" w:rsidP="00D33854">
            <w:pPr>
              <w:jc w:val="both"/>
              <w:rPr>
                <w:rFonts w:ascii="Cambria" w:hAnsi="Cambria"/>
                <w:sz w:val="20"/>
                <w:szCs w:val="20"/>
                <w:lang w:val="es-ES"/>
              </w:rPr>
            </w:pPr>
            <w:r w:rsidRPr="20346017">
              <w:rPr>
                <w:rFonts w:ascii="Cambria" w:hAnsi="Cambria"/>
                <w:b/>
                <w:bCs/>
                <w:sz w:val="20"/>
                <w:szCs w:val="20"/>
                <w:lang w:val="es-ES"/>
              </w:rPr>
              <w:t xml:space="preserve">Informe de Admisibilidad </w:t>
            </w:r>
            <w:proofErr w:type="spellStart"/>
            <w:r w:rsidRPr="20346017">
              <w:rPr>
                <w:rFonts w:ascii="Cambria" w:hAnsi="Cambria"/>
                <w:b/>
                <w:bCs/>
                <w:sz w:val="20"/>
                <w:szCs w:val="20"/>
                <w:lang w:val="es-ES"/>
              </w:rPr>
              <w:t>Nº</w:t>
            </w:r>
            <w:proofErr w:type="spellEnd"/>
            <w:r w:rsidRPr="20346017">
              <w:rPr>
                <w:rFonts w:ascii="Cambria" w:hAnsi="Cambria"/>
                <w:b/>
                <w:bCs/>
                <w:sz w:val="20"/>
                <w:szCs w:val="20"/>
                <w:lang w:val="es-ES"/>
              </w:rPr>
              <w:t xml:space="preserve">: </w:t>
            </w:r>
            <w:hyperlink r:id="rId9">
              <w:r w:rsidRPr="20346017">
                <w:rPr>
                  <w:rStyle w:val="Hyperlink"/>
                  <w:rFonts w:ascii="Cambria" w:hAnsi="Cambria"/>
                  <w:sz w:val="20"/>
                  <w:szCs w:val="20"/>
                  <w:lang w:val="es-ES"/>
                </w:rPr>
                <w:t>100/09</w:t>
              </w:r>
            </w:hyperlink>
            <w:r w:rsidRPr="20346017">
              <w:rPr>
                <w:rFonts w:ascii="Cambria" w:hAnsi="Cambria"/>
                <w:sz w:val="20"/>
                <w:szCs w:val="20"/>
                <w:lang w:val="es-ES"/>
              </w:rPr>
              <w:t>, adoptado el 29 de octubre de 2009</w:t>
            </w:r>
          </w:p>
          <w:p w14:paraId="4F5B1FDC" w14:textId="77777777" w:rsidR="00662A17" w:rsidRPr="004F4ED3" w:rsidRDefault="00662A17" w:rsidP="20346017">
            <w:pPr>
              <w:jc w:val="both"/>
              <w:rPr>
                <w:rFonts w:ascii="Cambria" w:hAnsi="Cambria"/>
                <w:b/>
                <w:bCs/>
                <w:sz w:val="20"/>
                <w:szCs w:val="20"/>
                <w:lang w:val="es-ES"/>
              </w:rPr>
            </w:pPr>
            <w:r w:rsidRPr="20346017">
              <w:rPr>
                <w:rFonts w:ascii="Cambria" w:hAnsi="Cambria"/>
                <w:b/>
                <w:bCs/>
                <w:sz w:val="20"/>
                <w:szCs w:val="20"/>
                <w:lang w:val="es-ES"/>
              </w:rPr>
              <w:t xml:space="preserve">Medidas cautelares: </w:t>
            </w:r>
            <w:hyperlink r:id="rId10">
              <w:r w:rsidRPr="20346017">
                <w:rPr>
                  <w:rStyle w:val="Hyperlink"/>
                  <w:rFonts w:ascii="Cambria" w:hAnsi="Cambria"/>
                  <w:sz w:val="20"/>
                  <w:szCs w:val="20"/>
                  <w:lang w:val="es-ES"/>
                </w:rPr>
                <w:t>Otorgadas el 12 de noviembre de 2004</w:t>
              </w:r>
            </w:hyperlink>
          </w:p>
          <w:p w14:paraId="75E22864" w14:textId="77777777" w:rsidR="00662A17" w:rsidRPr="004F4ED3" w:rsidRDefault="00662A17" w:rsidP="00D33854">
            <w:pPr>
              <w:spacing w:after="120"/>
              <w:jc w:val="both"/>
              <w:rPr>
                <w:rFonts w:ascii="Cambria" w:hAnsi="Cambria"/>
                <w:sz w:val="20"/>
                <w:szCs w:val="20"/>
                <w:lang w:val="es-ES"/>
              </w:rPr>
            </w:pPr>
            <w:r w:rsidRPr="20346017">
              <w:rPr>
                <w:rFonts w:ascii="Cambria" w:hAnsi="Cambria"/>
                <w:b/>
                <w:bCs/>
                <w:sz w:val="20"/>
                <w:szCs w:val="20"/>
                <w:lang w:val="es-ES"/>
              </w:rPr>
              <w:t xml:space="preserve">Temas: </w:t>
            </w:r>
            <w:r w:rsidRPr="20346017">
              <w:rPr>
                <w:rFonts w:ascii="Cambria" w:hAnsi="Cambria"/>
                <w:sz w:val="20"/>
                <w:szCs w:val="20"/>
                <w:lang w:val="es-ES"/>
              </w:rPr>
              <w:t xml:space="preserve">Pena de Muerte / Derecho a la Vida / Derecho a la Libertad Personal / Garantías Judiciales / Protección Judicial / Deber de Adoptar Medidas y Disposiciones de Derecho Interno / Igualdad y No Discriminación. </w:t>
            </w:r>
          </w:p>
          <w:p w14:paraId="00346CA2" w14:textId="77777777" w:rsidR="00662A17" w:rsidRPr="004F4ED3" w:rsidRDefault="00662A17" w:rsidP="00D33854">
            <w:pPr>
              <w:spacing w:after="120"/>
              <w:jc w:val="both"/>
              <w:rPr>
                <w:rFonts w:ascii="Cambria" w:hAnsi="Cambria"/>
                <w:sz w:val="20"/>
                <w:szCs w:val="20"/>
                <w:lang w:val="es-ES"/>
              </w:rPr>
            </w:pPr>
            <w:r w:rsidRPr="20346017">
              <w:rPr>
                <w:rFonts w:ascii="Cambria" w:hAnsi="Cambria"/>
                <w:b/>
                <w:bCs/>
                <w:sz w:val="20"/>
                <w:szCs w:val="20"/>
                <w:lang w:val="es-ES"/>
              </w:rPr>
              <w:t xml:space="preserve">Hechos: </w:t>
            </w:r>
            <w:r w:rsidRPr="20346017">
              <w:rPr>
                <w:rFonts w:ascii="Cambria" w:hAnsi="Cambria"/>
                <w:sz w:val="20"/>
                <w:szCs w:val="20"/>
                <w:lang w:val="es-ES"/>
              </w:rPr>
              <w:t xml:space="preserve">Este caso se refiere a Jeffrey </w:t>
            </w:r>
            <w:proofErr w:type="spellStart"/>
            <w:r w:rsidRPr="20346017">
              <w:rPr>
                <w:rFonts w:ascii="Cambria" w:hAnsi="Cambria"/>
                <w:sz w:val="20"/>
                <w:szCs w:val="20"/>
                <w:lang w:val="es-ES"/>
              </w:rPr>
              <w:t>Landrigan</w:t>
            </w:r>
            <w:proofErr w:type="spellEnd"/>
            <w:r w:rsidRPr="20346017">
              <w:rPr>
                <w:rFonts w:ascii="Cambria" w:hAnsi="Cambria"/>
                <w:sz w:val="20"/>
                <w:szCs w:val="20"/>
                <w:lang w:val="es-ES"/>
              </w:rPr>
              <w:t xml:space="preserve">, quien fue condenado a muerte en el estado de Arizona bajo un procedimiento en el cual se requería que la pena de muerte fuese impuesta por el juez y no por el jurado que lo declaró culpable. Este procedimiento fue declarado, posteriormente, inconstitucional por la Corte Suprema de Estados Unidos. Sin embargo, a pesar de esta decisión, la Corte Suprema determinó que las personas privadas de libertad cuyos casos habían llegado a la etapa de revisión final tras la apelación, como ocurría con el caso de Jeffrey </w:t>
            </w:r>
            <w:proofErr w:type="spellStart"/>
            <w:r w:rsidRPr="20346017">
              <w:rPr>
                <w:rFonts w:ascii="Cambria" w:hAnsi="Cambria"/>
                <w:sz w:val="20"/>
                <w:szCs w:val="20"/>
                <w:lang w:val="es-ES"/>
              </w:rPr>
              <w:t>Landrigan</w:t>
            </w:r>
            <w:proofErr w:type="spellEnd"/>
            <w:r w:rsidRPr="20346017">
              <w:rPr>
                <w:rFonts w:ascii="Cambria" w:hAnsi="Cambria"/>
                <w:sz w:val="20"/>
                <w:szCs w:val="20"/>
                <w:lang w:val="es-ES"/>
              </w:rPr>
              <w:t xml:space="preserve">, no podían beneficiarse con una nueva audiencia, a diferencia de otras personas que habían sido condenadas en las mismas circunstancias. Jeffrey Timothy </w:t>
            </w:r>
            <w:proofErr w:type="spellStart"/>
            <w:r w:rsidRPr="20346017">
              <w:rPr>
                <w:rFonts w:ascii="Cambria" w:hAnsi="Cambria"/>
                <w:sz w:val="20"/>
                <w:szCs w:val="20"/>
                <w:lang w:val="es-ES"/>
              </w:rPr>
              <w:t>Landrigan</w:t>
            </w:r>
            <w:proofErr w:type="spellEnd"/>
            <w:r w:rsidRPr="20346017">
              <w:rPr>
                <w:rFonts w:ascii="Cambria" w:hAnsi="Cambria"/>
                <w:sz w:val="20"/>
                <w:szCs w:val="20"/>
                <w:lang w:val="es-ES"/>
              </w:rPr>
              <w:t xml:space="preserve"> fue ejecutado el 26 de octubre de 2010.   </w:t>
            </w:r>
          </w:p>
          <w:p w14:paraId="76383054" w14:textId="77777777" w:rsidR="00662A17" w:rsidRPr="004F4ED3" w:rsidRDefault="00662A17" w:rsidP="00D33854">
            <w:pPr>
              <w:spacing w:after="120"/>
              <w:jc w:val="both"/>
              <w:rPr>
                <w:rFonts w:ascii="Cambria" w:hAnsi="Cambria"/>
                <w:sz w:val="20"/>
                <w:szCs w:val="20"/>
                <w:lang w:val="es-ES"/>
              </w:rPr>
            </w:pPr>
            <w:r w:rsidRPr="20346017">
              <w:rPr>
                <w:rFonts w:ascii="Cambria" w:hAnsi="Cambria"/>
                <w:b/>
                <w:bCs/>
                <w:sz w:val="20"/>
                <w:szCs w:val="20"/>
                <w:lang w:val="es-ES"/>
              </w:rPr>
              <w:t xml:space="preserve">Derechos violados: </w:t>
            </w:r>
            <w:r w:rsidRPr="20346017">
              <w:rPr>
                <w:rFonts w:ascii="Cambria" w:hAnsi="Cambria"/>
                <w:sz w:val="20"/>
                <w:szCs w:val="20"/>
                <w:lang w:val="es-ES"/>
              </w:rPr>
              <w:t xml:space="preserve">La Comisión concluyó que Estados Unidos era responsable por la violación de los artículos II, XVIII y XXVI de la Declaración Americana en perjuicio de Jeffrey Timothy </w:t>
            </w:r>
            <w:proofErr w:type="spellStart"/>
            <w:r w:rsidRPr="20346017">
              <w:rPr>
                <w:rFonts w:ascii="Cambria" w:hAnsi="Cambria"/>
                <w:sz w:val="20"/>
                <w:szCs w:val="20"/>
                <w:lang w:val="es-ES"/>
              </w:rPr>
              <w:t>Landrigan</w:t>
            </w:r>
            <w:proofErr w:type="spellEnd"/>
            <w:r w:rsidRPr="20346017">
              <w:rPr>
                <w:rFonts w:ascii="Cambria" w:hAnsi="Cambria"/>
                <w:sz w:val="20"/>
                <w:szCs w:val="20"/>
                <w:lang w:val="es-ES"/>
              </w:rPr>
              <w:t xml:space="preserve">, y que la ejecución del señor </w:t>
            </w:r>
            <w:proofErr w:type="spellStart"/>
            <w:r w:rsidRPr="20346017">
              <w:rPr>
                <w:rFonts w:ascii="Cambria" w:hAnsi="Cambria"/>
                <w:sz w:val="20"/>
                <w:szCs w:val="20"/>
                <w:lang w:val="es-ES"/>
              </w:rPr>
              <w:t>Landrigan</w:t>
            </w:r>
            <w:proofErr w:type="spellEnd"/>
            <w:r w:rsidRPr="20346017">
              <w:rPr>
                <w:rFonts w:ascii="Cambria" w:hAnsi="Cambria"/>
                <w:sz w:val="20"/>
                <w:szCs w:val="20"/>
                <w:lang w:val="es-ES"/>
              </w:rPr>
              <w:t xml:space="preserve"> constituyó una violación grave e irreparable del derecho fundamental a la vida previsto en el artículo I de la Declaración Americana.</w:t>
            </w:r>
            <w:r w:rsidRPr="20346017">
              <w:rPr>
                <w:rFonts w:ascii="Univers" w:hAnsi="Univers"/>
                <w:sz w:val="20"/>
                <w:szCs w:val="20"/>
                <w:lang w:val="es-ES"/>
              </w:rPr>
              <w:t xml:space="preserve">  </w:t>
            </w:r>
            <w:r w:rsidRPr="20346017">
              <w:rPr>
                <w:rFonts w:ascii="Cambria" w:hAnsi="Cambria"/>
                <w:sz w:val="20"/>
                <w:szCs w:val="20"/>
                <w:lang w:val="es-ES"/>
              </w:rPr>
              <w:t xml:space="preserve">  </w:t>
            </w:r>
          </w:p>
        </w:tc>
      </w:tr>
    </w:tbl>
    <w:p w14:paraId="5EBE2FF5" w14:textId="77777777" w:rsidR="00662A17" w:rsidRPr="004F4ED3" w:rsidRDefault="00662A17" w:rsidP="00662A17">
      <w:pPr>
        <w:ind w:left="180"/>
        <w:jc w:val="both"/>
        <w:rPr>
          <w:rFonts w:ascii="Cambria" w:hAnsi="Cambria"/>
          <w:sz w:val="20"/>
          <w:szCs w:val="20"/>
          <w:lang w:val="es-ES"/>
        </w:rPr>
      </w:pPr>
    </w:p>
    <w:p w14:paraId="4142C230" w14:textId="77777777" w:rsidR="00662A17" w:rsidRPr="004F4ED3" w:rsidRDefault="00662A17" w:rsidP="20346017">
      <w:pPr>
        <w:numPr>
          <w:ilvl w:val="0"/>
          <w:numId w:val="8"/>
        </w:numPr>
        <w:ind w:left="1440"/>
        <w:jc w:val="both"/>
        <w:rPr>
          <w:rFonts w:ascii="Cambria" w:hAnsi="Cambria" w:cs="Calibri Light"/>
          <w:b/>
          <w:bCs/>
          <w:sz w:val="20"/>
          <w:szCs w:val="20"/>
          <w:lang w:val="es-ES"/>
        </w:rPr>
      </w:pPr>
      <w:r w:rsidRPr="20346017">
        <w:rPr>
          <w:rFonts w:ascii="Cambria" w:hAnsi="Cambria" w:cs="Calibri Light"/>
          <w:b/>
          <w:bCs/>
          <w:sz w:val="20"/>
          <w:szCs w:val="20"/>
          <w:lang w:val="es-ES"/>
        </w:rPr>
        <w:t>Recomendaciones</w:t>
      </w:r>
    </w:p>
    <w:p w14:paraId="392092C4" w14:textId="77777777" w:rsidR="00662A17" w:rsidRPr="004F4ED3" w:rsidRDefault="00662A17" w:rsidP="00662A17">
      <w:pPr>
        <w:ind w:left="1080"/>
        <w:jc w:val="both"/>
        <w:rPr>
          <w:rFonts w:ascii="Cambria" w:hAnsi="Cambria" w:cs="Calibri Light"/>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334"/>
      </w:tblGrid>
      <w:tr w:rsidR="00662A17" w:rsidRPr="009E3BAC" w14:paraId="5B1CB27C" w14:textId="77777777" w:rsidTr="20346017">
        <w:tc>
          <w:tcPr>
            <w:tcW w:w="7178" w:type="dxa"/>
            <w:shd w:val="clear" w:color="auto" w:fill="auto"/>
            <w:vAlign w:val="center"/>
          </w:tcPr>
          <w:p w14:paraId="31AB2F30" w14:textId="77777777" w:rsidR="00662A17" w:rsidRPr="004F4ED3" w:rsidRDefault="00662A17" w:rsidP="20346017">
            <w:pPr>
              <w:jc w:val="center"/>
              <w:rPr>
                <w:rFonts w:ascii="Cambria" w:hAnsi="Cambria" w:cs="Calibri Light"/>
                <w:b/>
                <w:bCs/>
                <w:sz w:val="18"/>
                <w:szCs w:val="18"/>
                <w:lang w:val="es-ES"/>
              </w:rPr>
            </w:pPr>
            <w:r w:rsidRPr="20346017">
              <w:rPr>
                <w:rFonts w:ascii="Cambria" w:hAnsi="Cambria" w:cs="Calibri Light"/>
                <w:b/>
                <w:bCs/>
                <w:sz w:val="18"/>
                <w:szCs w:val="18"/>
                <w:lang w:val="es-ES"/>
              </w:rPr>
              <w:t>Recomendaciones</w:t>
            </w:r>
          </w:p>
        </w:tc>
        <w:tc>
          <w:tcPr>
            <w:tcW w:w="2362" w:type="dxa"/>
            <w:shd w:val="clear" w:color="auto" w:fill="auto"/>
            <w:vAlign w:val="center"/>
          </w:tcPr>
          <w:p w14:paraId="0F3E10F1" w14:textId="634EC462" w:rsidR="00662A17" w:rsidRPr="004F4ED3" w:rsidRDefault="00662A17" w:rsidP="20346017">
            <w:pPr>
              <w:jc w:val="center"/>
              <w:rPr>
                <w:rFonts w:ascii="Cambria" w:hAnsi="Cambria" w:cs="Calibri Light"/>
                <w:b/>
                <w:bCs/>
                <w:sz w:val="18"/>
                <w:szCs w:val="18"/>
                <w:lang w:val="es-ES"/>
              </w:rPr>
            </w:pPr>
            <w:r w:rsidRPr="20346017">
              <w:rPr>
                <w:rFonts w:ascii="Cambria" w:hAnsi="Cambria" w:cs="Calibri Light"/>
                <w:b/>
                <w:bCs/>
                <w:sz w:val="18"/>
                <w:szCs w:val="18"/>
                <w:lang w:val="es-ES"/>
              </w:rPr>
              <w:t xml:space="preserve">Estado de cumplimiento en el </w:t>
            </w:r>
            <w:r w:rsidRPr="20346017">
              <w:rPr>
                <w:rFonts w:ascii="Cambria" w:hAnsi="Cambria" w:cs="Calibri Light"/>
                <w:b/>
                <w:bCs/>
                <w:color w:val="000000" w:themeColor="text1"/>
                <w:sz w:val="18"/>
                <w:szCs w:val="18"/>
                <w:lang w:val="es-ES"/>
              </w:rPr>
              <w:t>2021</w:t>
            </w:r>
          </w:p>
        </w:tc>
      </w:tr>
      <w:tr w:rsidR="00662A17" w:rsidRPr="004F4ED3" w14:paraId="08C3D823" w14:textId="77777777" w:rsidTr="20346017">
        <w:tc>
          <w:tcPr>
            <w:tcW w:w="7178" w:type="dxa"/>
            <w:shd w:val="clear" w:color="auto" w:fill="auto"/>
          </w:tcPr>
          <w:p w14:paraId="76F81D14" w14:textId="77777777" w:rsidR="00662A17" w:rsidRPr="004F4ED3" w:rsidRDefault="00662A17" w:rsidP="00D33854">
            <w:pPr>
              <w:jc w:val="both"/>
              <w:rPr>
                <w:rFonts w:ascii="Cambria" w:hAnsi="Cambria"/>
                <w:sz w:val="18"/>
                <w:szCs w:val="18"/>
                <w:lang w:val="es-ES"/>
              </w:rPr>
            </w:pPr>
            <w:r w:rsidRPr="20346017">
              <w:rPr>
                <w:rFonts w:ascii="Cambria" w:hAnsi="Cambria"/>
                <w:sz w:val="18"/>
                <w:szCs w:val="18"/>
                <w:lang w:val="es-ES"/>
              </w:rPr>
              <w:t xml:space="preserve">1. Que adopte de inmediato las medidas necesarias en el ordenamiento interno para que se suspenda la ejecución del señor </w:t>
            </w:r>
            <w:proofErr w:type="spellStart"/>
            <w:r w:rsidRPr="20346017">
              <w:rPr>
                <w:rFonts w:ascii="Cambria" w:hAnsi="Cambria"/>
                <w:sz w:val="18"/>
                <w:szCs w:val="18"/>
                <w:lang w:val="es-ES"/>
              </w:rPr>
              <w:t>Landrigan</w:t>
            </w:r>
            <w:proofErr w:type="spellEnd"/>
          </w:p>
        </w:tc>
        <w:tc>
          <w:tcPr>
            <w:tcW w:w="2362" w:type="dxa"/>
            <w:shd w:val="clear" w:color="auto" w:fill="auto"/>
            <w:vAlign w:val="center"/>
          </w:tcPr>
          <w:p w14:paraId="278086E5" w14:textId="77777777" w:rsidR="00662A17" w:rsidRPr="004F4ED3" w:rsidRDefault="00662A17" w:rsidP="00D33854">
            <w:pPr>
              <w:jc w:val="center"/>
              <w:rPr>
                <w:rFonts w:ascii="Cambria" w:hAnsi="Cambria"/>
                <w:sz w:val="18"/>
                <w:szCs w:val="18"/>
                <w:lang w:val="es-ES"/>
              </w:rPr>
            </w:pPr>
            <w:r w:rsidRPr="004F4ED3">
              <w:rPr>
                <w:rFonts w:ascii="Cambria" w:hAnsi="Cambria"/>
                <w:sz w:val="18"/>
                <w:szCs w:val="18"/>
                <w:lang w:val="es-ES"/>
              </w:rPr>
              <w:t>Incumplimiento</w:t>
            </w:r>
            <w:r w:rsidRPr="004F4ED3">
              <w:rPr>
                <w:rStyle w:val="FootnoteReference"/>
                <w:rFonts w:ascii="Cambria" w:hAnsi="Cambria"/>
                <w:sz w:val="18"/>
                <w:szCs w:val="18"/>
                <w:lang w:val="es-ES"/>
              </w:rPr>
              <w:footnoteReference w:id="1"/>
            </w:r>
          </w:p>
        </w:tc>
      </w:tr>
      <w:tr w:rsidR="00662A17" w:rsidRPr="004F4ED3" w14:paraId="1D92F653" w14:textId="77777777" w:rsidTr="20346017">
        <w:tc>
          <w:tcPr>
            <w:tcW w:w="7178" w:type="dxa"/>
            <w:shd w:val="clear" w:color="auto" w:fill="auto"/>
          </w:tcPr>
          <w:p w14:paraId="5C475B21" w14:textId="77777777" w:rsidR="00662A17" w:rsidRPr="004F4ED3" w:rsidRDefault="00662A17" w:rsidP="00D33854">
            <w:pPr>
              <w:jc w:val="both"/>
              <w:rPr>
                <w:rFonts w:ascii="Cambria" w:hAnsi="Cambria"/>
                <w:sz w:val="18"/>
                <w:szCs w:val="18"/>
                <w:lang w:val="es-ES"/>
              </w:rPr>
            </w:pPr>
            <w:r w:rsidRPr="20346017">
              <w:rPr>
                <w:rFonts w:ascii="Cambria" w:hAnsi="Cambria"/>
                <w:sz w:val="18"/>
                <w:szCs w:val="18"/>
                <w:lang w:val="es-ES"/>
              </w:rPr>
              <w:t xml:space="preserve">2. Que otorgue a Jeffrey Timothy </w:t>
            </w:r>
            <w:proofErr w:type="spellStart"/>
            <w:r w:rsidRPr="20346017">
              <w:rPr>
                <w:rFonts w:ascii="Cambria" w:hAnsi="Cambria"/>
                <w:sz w:val="18"/>
                <w:szCs w:val="18"/>
                <w:lang w:val="es-ES"/>
              </w:rPr>
              <w:t>Landrigan</w:t>
            </w:r>
            <w:proofErr w:type="spellEnd"/>
            <w:r w:rsidRPr="20346017">
              <w:rPr>
                <w:rFonts w:ascii="Cambria" w:hAnsi="Cambria"/>
                <w:sz w:val="18"/>
                <w:szCs w:val="18"/>
                <w:lang w:val="es-ES"/>
              </w:rPr>
              <w:t xml:space="preserve"> una reparación efectiva, que incluya la revisión de su juicio conforme con las protecciones de igualdad, debido proceso y juicio justo previstas en los artículos I, II, XVIII y XXVI de la Declaración Americana.</w:t>
            </w:r>
          </w:p>
        </w:tc>
        <w:tc>
          <w:tcPr>
            <w:tcW w:w="2362" w:type="dxa"/>
            <w:shd w:val="clear" w:color="auto" w:fill="auto"/>
            <w:vAlign w:val="center"/>
          </w:tcPr>
          <w:p w14:paraId="387FE578" w14:textId="77777777" w:rsidR="00662A17" w:rsidRPr="004F4ED3" w:rsidRDefault="00662A17" w:rsidP="00D33854">
            <w:pPr>
              <w:jc w:val="center"/>
              <w:rPr>
                <w:rFonts w:ascii="Cambria" w:hAnsi="Cambria"/>
                <w:sz w:val="18"/>
                <w:szCs w:val="18"/>
                <w:lang w:val="es-ES"/>
              </w:rPr>
            </w:pPr>
            <w:r w:rsidRPr="004F4ED3">
              <w:rPr>
                <w:rFonts w:ascii="Cambria" w:hAnsi="Cambria"/>
                <w:sz w:val="18"/>
                <w:szCs w:val="18"/>
                <w:lang w:val="es-ES"/>
              </w:rPr>
              <w:t>Incumplimiento</w:t>
            </w:r>
            <w:r w:rsidRPr="004F4ED3">
              <w:rPr>
                <w:rStyle w:val="FootnoteReference"/>
                <w:rFonts w:ascii="Cambria" w:hAnsi="Cambria"/>
                <w:sz w:val="18"/>
                <w:szCs w:val="18"/>
                <w:lang w:val="es-ES"/>
              </w:rPr>
              <w:footnoteReference w:id="2"/>
            </w:r>
          </w:p>
        </w:tc>
      </w:tr>
      <w:tr w:rsidR="00662A17" w:rsidRPr="004F4ED3" w14:paraId="0378B82D" w14:textId="77777777" w:rsidTr="20346017">
        <w:tc>
          <w:tcPr>
            <w:tcW w:w="7178" w:type="dxa"/>
            <w:shd w:val="clear" w:color="auto" w:fill="auto"/>
          </w:tcPr>
          <w:p w14:paraId="2A009DCE" w14:textId="77777777" w:rsidR="00662A17" w:rsidRPr="004F4ED3" w:rsidRDefault="00662A17" w:rsidP="00D33854">
            <w:pPr>
              <w:jc w:val="both"/>
              <w:rPr>
                <w:rFonts w:ascii="Cambria" w:hAnsi="Cambria"/>
                <w:sz w:val="18"/>
                <w:szCs w:val="18"/>
                <w:lang w:val="es-ES"/>
              </w:rPr>
            </w:pPr>
            <w:r w:rsidRPr="20346017">
              <w:rPr>
                <w:rFonts w:ascii="Cambria" w:hAnsi="Cambria"/>
                <w:sz w:val="18"/>
                <w:szCs w:val="18"/>
                <w:lang w:val="es-ES"/>
              </w:rPr>
              <w:t xml:space="preserve">1. Que otorgue reparaciones a la familia del señor </w:t>
            </w:r>
            <w:proofErr w:type="spellStart"/>
            <w:r w:rsidRPr="20346017">
              <w:rPr>
                <w:rFonts w:ascii="Cambria" w:hAnsi="Cambria"/>
                <w:sz w:val="18"/>
                <w:szCs w:val="18"/>
                <w:lang w:val="es-ES"/>
              </w:rPr>
              <w:t>Landrigan</w:t>
            </w:r>
            <w:proofErr w:type="spellEnd"/>
            <w:r w:rsidRPr="20346017">
              <w:rPr>
                <w:rFonts w:ascii="Cambria" w:hAnsi="Cambria"/>
                <w:sz w:val="18"/>
                <w:szCs w:val="18"/>
                <w:lang w:val="es-ES"/>
              </w:rPr>
              <w:t xml:space="preserve"> como consecuencia de las violaciones establecidas en este informe.</w:t>
            </w:r>
          </w:p>
        </w:tc>
        <w:tc>
          <w:tcPr>
            <w:tcW w:w="2362" w:type="dxa"/>
            <w:shd w:val="clear" w:color="auto" w:fill="auto"/>
            <w:vAlign w:val="center"/>
          </w:tcPr>
          <w:p w14:paraId="74B29E88" w14:textId="77777777" w:rsidR="00662A17" w:rsidRPr="004F4ED3" w:rsidRDefault="00662A17" w:rsidP="20346017">
            <w:pPr>
              <w:jc w:val="center"/>
              <w:rPr>
                <w:rFonts w:ascii="Cambria" w:hAnsi="Cambria" w:cs="Calibri Light"/>
                <w:b/>
                <w:bCs/>
                <w:sz w:val="18"/>
                <w:szCs w:val="18"/>
                <w:lang w:val="es-ES"/>
              </w:rPr>
            </w:pPr>
            <w:r w:rsidRPr="20346017">
              <w:rPr>
                <w:rFonts w:ascii="Cambria" w:hAnsi="Cambria"/>
                <w:sz w:val="18"/>
                <w:szCs w:val="18"/>
                <w:lang w:val="es-ES"/>
              </w:rPr>
              <w:t>Pendiente de cumplimiento</w:t>
            </w:r>
          </w:p>
        </w:tc>
      </w:tr>
      <w:tr w:rsidR="00662A17" w:rsidRPr="004F4ED3" w14:paraId="5FECE1C4" w14:textId="77777777" w:rsidTr="20346017">
        <w:tc>
          <w:tcPr>
            <w:tcW w:w="7178" w:type="dxa"/>
            <w:shd w:val="clear" w:color="auto" w:fill="auto"/>
          </w:tcPr>
          <w:p w14:paraId="493E580F" w14:textId="77777777" w:rsidR="00662A17" w:rsidRPr="004F4ED3" w:rsidRDefault="00662A17" w:rsidP="00D33854">
            <w:pPr>
              <w:jc w:val="both"/>
              <w:rPr>
                <w:rFonts w:ascii="Cambria" w:hAnsi="Cambria" w:cs="Calibri Light"/>
                <w:sz w:val="18"/>
                <w:szCs w:val="18"/>
                <w:lang w:val="es-ES"/>
              </w:rPr>
            </w:pPr>
            <w:r w:rsidRPr="20346017">
              <w:rPr>
                <w:rFonts w:ascii="Cambria" w:hAnsi="Cambria"/>
                <w:sz w:val="18"/>
                <w:szCs w:val="18"/>
                <w:lang w:val="es-ES"/>
              </w:rPr>
              <w:t>2. Que revise sus leyes, procedimientos y prácticas para asegurar que las personas acusadas de delitos punibles con la pena capital sean juzgadas y, de ser condenadas, sean sentenciadas de acuerdo con los derechos establecidos en la Declaración Americana, incluidos sus artículos I, II, XVIII y XXVI.</w:t>
            </w:r>
          </w:p>
        </w:tc>
        <w:tc>
          <w:tcPr>
            <w:tcW w:w="2362" w:type="dxa"/>
            <w:shd w:val="clear" w:color="auto" w:fill="auto"/>
            <w:vAlign w:val="center"/>
          </w:tcPr>
          <w:p w14:paraId="77C51CC0" w14:textId="77777777" w:rsidR="00662A17" w:rsidRPr="004F4ED3" w:rsidRDefault="00662A17" w:rsidP="20346017">
            <w:pPr>
              <w:jc w:val="center"/>
              <w:rPr>
                <w:rFonts w:ascii="Cambria" w:hAnsi="Cambria" w:cs="Calibri Light"/>
                <w:b/>
                <w:bCs/>
                <w:sz w:val="18"/>
                <w:szCs w:val="18"/>
                <w:lang w:val="es-ES"/>
              </w:rPr>
            </w:pPr>
            <w:r w:rsidRPr="20346017">
              <w:rPr>
                <w:rFonts w:ascii="Cambria" w:hAnsi="Cambria"/>
                <w:sz w:val="18"/>
                <w:szCs w:val="18"/>
                <w:lang w:val="es-ES"/>
              </w:rPr>
              <w:t>Pendiente de cumplimiento</w:t>
            </w:r>
          </w:p>
        </w:tc>
      </w:tr>
    </w:tbl>
    <w:p w14:paraId="1D9E0B53" w14:textId="77777777" w:rsidR="00662A17" w:rsidRPr="004F4ED3" w:rsidRDefault="00662A17" w:rsidP="00662A17">
      <w:pPr>
        <w:jc w:val="both"/>
        <w:rPr>
          <w:rFonts w:ascii="Cambria" w:hAnsi="Cambria" w:cs="Calibri Light"/>
          <w:sz w:val="20"/>
          <w:szCs w:val="20"/>
          <w:lang w:val="es-ES"/>
        </w:rPr>
      </w:pPr>
    </w:p>
    <w:p w14:paraId="532530F0" w14:textId="77777777" w:rsidR="00662A17" w:rsidRPr="004F4ED3" w:rsidRDefault="00662A17" w:rsidP="00662A17">
      <w:pPr>
        <w:jc w:val="both"/>
        <w:rPr>
          <w:rFonts w:ascii="Cambria" w:hAnsi="Cambria" w:cs="Calibri Light"/>
          <w:sz w:val="20"/>
          <w:szCs w:val="20"/>
          <w:lang w:val="es-ES"/>
        </w:rPr>
      </w:pPr>
    </w:p>
    <w:p w14:paraId="54D35375" w14:textId="77777777" w:rsidR="00662A17" w:rsidRPr="004F4ED3" w:rsidRDefault="00662A17" w:rsidP="00662A17">
      <w:pPr>
        <w:jc w:val="both"/>
        <w:rPr>
          <w:rFonts w:ascii="Cambria" w:hAnsi="Cambria" w:cs="Calibri Light"/>
          <w:sz w:val="20"/>
          <w:szCs w:val="20"/>
          <w:lang w:val="es-ES"/>
        </w:rPr>
      </w:pPr>
    </w:p>
    <w:p w14:paraId="4A359B66" w14:textId="77777777" w:rsidR="00662A17" w:rsidRPr="004F4ED3" w:rsidRDefault="00662A17" w:rsidP="00662A17">
      <w:pPr>
        <w:jc w:val="both"/>
        <w:rPr>
          <w:rFonts w:ascii="Cambria" w:hAnsi="Cambria" w:cs="Calibri Light"/>
          <w:sz w:val="20"/>
          <w:szCs w:val="20"/>
          <w:lang w:val="es-ES"/>
        </w:rPr>
      </w:pPr>
    </w:p>
    <w:p w14:paraId="0597877A" w14:textId="77777777" w:rsidR="00662A17" w:rsidRPr="004F4ED3" w:rsidRDefault="00662A17" w:rsidP="20346017">
      <w:pPr>
        <w:pStyle w:val="ListParagraph"/>
        <w:numPr>
          <w:ilvl w:val="0"/>
          <w:numId w:val="8"/>
        </w:numPr>
        <w:ind w:left="1440"/>
        <w:jc w:val="both"/>
        <w:rPr>
          <w:rFonts w:ascii="Cambria" w:hAnsi="Cambria" w:cs="Calibri Light"/>
          <w:b/>
          <w:bCs/>
          <w:sz w:val="20"/>
          <w:szCs w:val="20"/>
          <w:lang w:val="es-ES"/>
        </w:rPr>
      </w:pPr>
      <w:r w:rsidRPr="20346017">
        <w:rPr>
          <w:rFonts w:ascii="Cambria" w:hAnsi="Cambria"/>
          <w:b/>
          <w:bCs/>
          <w:sz w:val="20"/>
          <w:szCs w:val="20"/>
          <w:lang w:val="es-ES"/>
        </w:rPr>
        <w:t>Actividad procesal</w:t>
      </w:r>
    </w:p>
    <w:p w14:paraId="21350A9F" w14:textId="77777777" w:rsidR="00662A17" w:rsidRPr="004F4ED3" w:rsidRDefault="00662A17" w:rsidP="00662A17">
      <w:pPr>
        <w:pStyle w:val="ListParagraph"/>
        <w:jc w:val="both"/>
        <w:rPr>
          <w:rFonts w:ascii="Cambria" w:hAnsi="Cambria" w:cs="Calibri Light"/>
          <w:sz w:val="20"/>
          <w:szCs w:val="20"/>
          <w:lang w:val="es-ES"/>
        </w:rPr>
      </w:pPr>
    </w:p>
    <w:p w14:paraId="0AE52B30"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20346017">
        <w:rPr>
          <w:rFonts w:ascii="Cambria" w:hAnsi="Cambria"/>
          <w:sz w:val="20"/>
          <w:szCs w:val="20"/>
          <w:lang w:val="es-ES"/>
        </w:rPr>
        <w:t>El 22 de octubre de 2010, la CIDH aprobó el Informe No. 115/10</w:t>
      </w:r>
      <w:r w:rsidRPr="004F4ED3">
        <w:rPr>
          <w:rStyle w:val="FootnoteReference"/>
          <w:rFonts w:ascii="Cambria" w:hAnsi="Cambria" w:cs="Calibri Light"/>
          <w:sz w:val="20"/>
          <w:szCs w:val="20"/>
          <w:lang w:val="es-ES"/>
        </w:rPr>
        <w:footnoteReference w:id="3"/>
      </w:r>
      <w:r w:rsidRPr="20346017">
        <w:rPr>
          <w:rFonts w:ascii="Cambria" w:hAnsi="Cambria"/>
          <w:sz w:val="20"/>
          <w:szCs w:val="20"/>
          <w:lang w:val="es-ES"/>
        </w:rPr>
        <w:t xml:space="preserve">. El mismo día, la Comisión emitió un Comunicado de Prensa </w:t>
      </w:r>
      <w:r w:rsidRPr="004F4ED3">
        <w:rPr>
          <w:rFonts w:ascii="Cambria" w:hAnsi="Cambria" w:cs="Calibri Light"/>
          <w:sz w:val="20"/>
          <w:szCs w:val="20"/>
          <w:lang w:val="es-ES"/>
        </w:rPr>
        <w:t xml:space="preserve">que incluía su determinación que Estados Unidos había violado los derechos humanos de Jeffrey Timothy </w:t>
      </w:r>
      <w:proofErr w:type="spellStart"/>
      <w:r w:rsidRPr="004F4ED3">
        <w:rPr>
          <w:rFonts w:ascii="Cambria" w:hAnsi="Cambria" w:cs="Calibri Light"/>
          <w:sz w:val="20"/>
          <w:szCs w:val="20"/>
          <w:lang w:val="es-ES"/>
        </w:rPr>
        <w:t>Landrigan</w:t>
      </w:r>
      <w:proofErr w:type="spellEnd"/>
      <w:r w:rsidRPr="004F4ED3">
        <w:rPr>
          <w:rFonts w:ascii="Cambria" w:hAnsi="Cambria" w:cs="Calibri Light"/>
          <w:sz w:val="20"/>
          <w:szCs w:val="20"/>
          <w:lang w:val="es-ES"/>
        </w:rPr>
        <w:t xml:space="preserve"> y que instó al Estado a suspender su ejecución, programada para el 26 de octubre en el Estado de Arizona</w:t>
      </w:r>
      <w:r w:rsidRPr="004F4ED3">
        <w:rPr>
          <w:rStyle w:val="FootnoteReference"/>
          <w:rFonts w:ascii="Cambria" w:hAnsi="Cambria" w:cs="Calibri Light"/>
          <w:sz w:val="20"/>
          <w:szCs w:val="20"/>
          <w:lang w:val="es-ES"/>
        </w:rPr>
        <w:footnoteReference w:id="4"/>
      </w:r>
      <w:r w:rsidRPr="004F4ED3">
        <w:rPr>
          <w:rFonts w:ascii="Cambria" w:hAnsi="Cambria" w:cs="Calibri Light"/>
          <w:sz w:val="20"/>
          <w:szCs w:val="20"/>
          <w:lang w:val="es-ES"/>
        </w:rPr>
        <w:t xml:space="preserve">. Jeffrey Timothy </w:t>
      </w:r>
      <w:proofErr w:type="spellStart"/>
      <w:r w:rsidRPr="004F4ED3">
        <w:rPr>
          <w:rFonts w:ascii="Cambria" w:hAnsi="Cambria" w:cs="Calibri Light"/>
          <w:sz w:val="20"/>
          <w:szCs w:val="20"/>
          <w:lang w:val="es-ES"/>
        </w:rPr>
        <w:t>Landrigan</w:t>
      </w:r>
      <w:proofErr w:type="spellEnd"/>
      <w:r w:rsidRPr="004F4ED3">
        <w:rPr>
          <w:rFonts w:ascii="Cambria" w:hAnsi="Cambria" w:cs="Calibri Light"/>
          <w:sz w:val="20"/>
          <w:szCs w:val="20"/>
          <w:lang w:val="es-ES"/>
        </w:rPr>
        <w:t xml:space="preserve"> fue ejecutado el 26 de octubre 2010</w:t>
      </w:r>
      <w:r w:rsidRPr="004F4ED3">
        <w:rPr>
          <w:rStyle w:val="FootnoteReference"/>
          <w:rFonts w:ascii="Cambria" w:hAnsi="Cambria" w:cs="Calibri Light"/>
          <w:sz w:val="20"/>
          <w:szCs w:val="20"/>
          <w:lang w:val="es-ES"/>
        </w:rPr>
        <w:footnoteReference w:id="5"/>
      </w:r>
      <w:r w:rsidRPr="004F4ED3">
        <w:rPr>
          <w:rFonts w:ascii="Cambria" w:hAnsi="Cambria" w:cs="Calibri Light"/>
          <w:sz w:val="20"/>
          <w:szCs w:val="20"/>
          <w:lang w:val="es-ES"/>
        </w:rPr>
        <w:t xml:space="preserve">. </w:t>
      </w:r>
    </w:p>
    <w:p w14:paraId="14B69779" w14:textId="77777777" w:rsidR="00662A17" w:rsidRPr="004F4ED3" w:rsidRDefault="00662A17" w:rsidP="00662A17">
      <w:pPr>
        <w:pStyle w:val="ListParagraph"/>
        <w:ind w:left="0"/>
        <w:jc w:val="both"/>
        <w:rPr>
          <w:rFonts w:ascii="Cambria" w:hAnsi="Cambria" w:cs="Calibri Light"/>
          <w:sz w:val="20"/>
          <w:szCs w:val="20"/>
          <w:lang w:val="es-ES"/>
        </w:rPr>
      </w:pPr>
    </w:p>
    <w:p w14:paraId="38280282" w14:textId="2FAFA938" w:rsidR="00662A17" w:rsidRPr="00CA3CAF" w:rsidRDefault="00662A17" w:rsidP="00662A17">
      <w:pPr>
        <w:pStyle w:val="ListParagraph"/>
        <w:numPr>
          <w:ilvl w:val="0"/>
          <w:numId w:val="11"/>
        </w:numPr>
        <w:jc w:val="both"/>
        <w:rPr>
          <w:rFonts w:ascii="Cambria" w:hAnsi="Cambria" w:cs="Calibri Light"/>
          <w:color w:val="000000" w:themeColor="text1"/>
          <w:sz w:val="20"/>
          <w:szCs w:val="20"/>
          <w:lang w:val="es-ES"/>
        </w:rPr>
      </w:pPr>
      <w:r w:rsidRPr="20346017">
        <w:rPr>
          <w:rFonts w:ascii="Cambria" w:hAnsi="Cambria" w:cs="Calibri Light"/>
          <w:color w:val="000000" w:themeColor="text1"/>
          <w:sz w:val="20"/>
          <w:szCs w:val="20"/>
          <w:lang w:val="es-ES"/>
        </w:rPr>
        <w:t>En 2021, la CIDH solicitó al Estado información actualizada sobre el cumplimiento de recomendaciones el 16 de agosto.</w:t>
      </w:r>
      <w:bookmarkStart w:id="0" w:name="_Hlk57239010"/>
      <w:r w:rsidRPr="20346017">
        <w:rPr>
          <w:rFonts w:ascii="Cambria" w:hAnsi="Cambria" w:cs="Calibri Light"/>
          <w:color w:val="000000" w:themeColor="text1"/>
          <w:sz w:val="20"/>
          <w:szCs w:val="20"/>
          <w:lang w:val="es-ES"/>
        </w:rPr>
        <w:t xml:space="preserve"> </w:t>
      </w:r>
      <w:bookmarkEnd w:id="0"/>
      <w:r w:rsidR="0096505F" w:rsidRPr="20346017">
        <w:rPr>
          <w:rFonts w:ascii="Cambria" w:hAnsi="Cambria" w:cs="Calibri Light"/>
          <w:color w:val="000000" w:themeColor="text1"/>
          <w:sz w:val="20"/>
          <w:szCs w:val="20"/>
          <w:lang w:val="es-ES"/>
        </w:rPr>
        <w:t xml:space="preserve">El Estado </w:t>
      </w:r>
      <w:r w:rsidR="0096505F" w:rsidRPr="20346017">
        <w:rPr>
          <w:rFonts w:ascii="Cambria" w:hAnsi="Cambria"/>
          <w:sz w:val="20"/>
          <w:szCs w:val="20"/>
          <w:lang w:val="es-ES"/>
        </w:rPr>
        <w:t>presentó dicha información el 17 de noviembre de 2021</w:t>
      </w:r>
    </w:p>
    <w:p w14:paraId="43E5D710" w14:textId="77777777" w:rsidR="00662A17" w:rsidRPr="004F4ED3" w:rsidRDefault="00662A17" w:rsidP="00662A17">
      <w:pPr>
        <w:pStyle w:val="ListParagraph"/>
        <w:ind w:left="0"/>
        <w:jc w:val="both"/>
        <w:rPr>
          <w:rFonts w:ascii="Cambria" w:hAnsi="Cambria" w:cs="Calibri Light"/>
          <w:sz w:val="20"/>
          <w:szCs w:val="20"/>
          <w:lang w:val="es-ES"/>
        </w:rPr>
      </w:pPr>
    </w:p>
    <w:p w14:paraId="63786417" w14:textId="553AA5CC" w:rsidR="00662A17" w:rsidRPr="00662A17" w:rsidRDefault="00662A17" w:rsidP="00662A17">
      <w:pPr>
        <w:pStyle w:val="ListParagraph"/>
        <w:numPr>
          <w:ilvl w:val="0"/>
          <w:numId w:val="11"/>
        </w:numPr>
        <w:jc w:val="both"/>
        <w:rPr>
          <w:rFonts w:ascii="Cambria" w:hAnsi="Cambria" w:cs="Calibri Light"/>
          <w:color w:val="000000" w:themeColor="text1"/>
          <w:sz w:val="20"/>
          <w:szCs w:val="20"/>
          <w:lang w:val="es-ES"/>
        </w:rPr>
      </w:pPr>
      <w:bookmarkStart w:id="1" w:name="_Hlk57239069"/>
      <w:r w:rsidRPr="20346017">
        <w:rPr>
          <w:rFonts w:ascii="Cambria" w:hAnsi="Cambria" w:cs="Calibri Light"/>
          <w:color w:val="000000" w:themeColor="text1"/>
          <w:sz w:val="20"/>
          <w:szCs w:val="20"/>
          <w:lang w:val="es-ES"/>
        </w:rPr>
        <w:t xml:space="preserve">La CIDH </w:t>
      </w:r>
      <w:r w:rsidRPr="20346017">
        <w:rPr>
          <w:rFonts w:ascii="Cambria" w:hAnsi="Cambria"/>
          <w:color w:val="000000" w:themeColor="text1"/>
          <w:sz w:val="20"/>
          <w:szCs w:val="20"/>
          <w:lang w:val="es-ES"/>
        </w:rPr>
        <w:t xml:space="preserve">solicitó al peticionario información actualizada sobre el cumplimiento de recomendaciones el 16 de agosto de 2021. </w:t>
      </w:r>
      <w:bookmarkStart w:id="2" w:name="_Hlk57247422"/>
      <w:r w:rsidRPr="20346017">
        <w:rPr>
          <w:rFonts w:ascii="Cambria" w:hAnsi="Cambria"/>
          <w:sz w:val="20"/>
          <w:szCs w:val="20"/>
          <w:lang w:val="es-ES"/>
        </w:rPr>
        <w:t>A la fecha de cierre de este informe, la Comisión no había recibido dicha información del peticionario.</w:t>
      </w:r>
      <w:bookmarkEnd w:id="1"/>
      <w:bookmarkEnd w:id="2"/>
      <w:r w:rsidRPr="20346017">
        <w:rPr>
          <w:rFonts w:ascii="Cambria" w:hAnsi="Cambria"/>
          <w:sz w:val="20"/>
          <w:szCs w:val="20"/>
          <w:lang w:val="es-ES"/>
        </w:rPr>
        <w:t xml:space="preserve"> </w:t>
      </w:r>
      <w:r w:rsidRPr="20346017">
        <w:rPr>
          <w:rFonts w:ascii="Cambria" w:hAnsi="Cambria" w:cs="Calibri Light"/>
          <w:sz w:val="20"/>
          <w:szCs w:val="20"/>
          <w:lang w:val="es-ES"/>
        </w:rPr>
        <w:t>Anteriormente, los peticionarios presentaron información a la CIDH en 2018.</w:t>
      </w:r>
    </w:p>
    <w:p w14:paraId="1CA4BA0C" w14:textId="77777777" w:rsidR="00662A17" w:rsidRPr="004F4ED3" w:rsidRDefault="00662A17" w:rsidP="00662A17">
      <w:pPr>
        <w:jc w:val="both"/>
        <w:rPr>
          <w:rFonts w:ascii="Cambria" w:hAnsi="Cambria" w:cs="Calibri Light"/>
          <w:sz w:val="20"/>
          <w:szCs w:val="20"/>
          <w:lang w:val="es-ES"/>
        </w:rPr>
      </w:pPr>
    </w:p>
    <w:p w14:paraId="76822337" w14:textId="77777777" w:rsidR="00662A17" w:rsidRPr="004F4ED3" w:rsidRDefault="00662A17" w:rsidP="20346017">
      <w:pPr>
        <w:pStyle w:val="ListParagraph"/>
        <w:numPr>
          <w:ilvl w:val="0"/>
          <w:numId w:val="8"/>
        </w:numPr>
        <w:ind w:left="1440"/>
        <w:jc w:val="both"/>
        <w:rPr>
          <w:rFonts w:ascii="Cambria" w:hAnsi="Cambria" w:cs="Calibri Light"/>
          <w:b/>
          <w:bCs/>
          <w:sz w:val="20"/>
          <w:szCs w:val="20"/>
          <w:lang w:val="es-ES"/>
        </w:rPr>
      </w:pPr>
      <w:r w:rsidRPr="20346017">
        <w:rPr>
          <w:rFonts w:ascii="Cambria" w:hAnsi="Cambria" w:cs="Calibri Light"/>
          <w:b/>
          <w:bCs/>
          <w:sz w:val="20"/>
          <w:szCs w:val="20"/>
          <w:lang w:val="es-ES"/>
        </w:rPr>
        <w:t>Análisis relativo a la información proporcionada</w:t>
      </w:r>
    </w:p>
    <w:p w14:paraId="798DF268" w14:textId="77777777" w:rsidR="00662A17" w:rsidRPr="004F4ED3" w:rsidRDefault="00662A17" w:rsidP="00662A17">
      <w:pPr>
        <w:jc w:val="both"/>
        <w:rPr>
          <w:rFonts w:ascii="Cambria" w:hAnsi="Cambria" w:cs="Calibri Light"/>
          <w:sz w:val="20"/>
          <w:szCs w:val="20"/>
          <w:lang w:val="es-ES"/>
        </w:rPr>
      </w:pPr>
    </w:p>
    <w:p w14:paraId="06671F9B" w14:textId="60C47C02" w:rsidR="0096505F" w:rsidRPr="0096505F" w:rsidRDefault="0096505F" w:rsidP="20346017">
      <w:pPr>
        <w:pStyle w:val="ListParagraph"/>
        <w:numPr>
          <w:ilvl w:val="0"/>
          <w:numId w:val="11"/>
        </w:numPr>
        <w:jc w:val="both"/>
        <w:rPr>
          <w:rFonts w:ascii="Cambria" w:hAnsi="Cambria" w:cs="Calibri Light"/>
          <w:color w:val="000000"/>
          <w:sz w:val="20"/>
          <w:szCs w:val="20"/>
          <w:lang w:val="es-ES"/>
        </w:rPr>
      </w:pPr>
      <w:r w:rsidRPr="20346017">
        <w:rPr>
          <w:rFonts w:ascii="Cambria" w:hAnsi="Cambria" w:cs="Calibri Light"/>
          <w:color w:val="000000" w:themeColor="text1"/>
          <w:sz w:val="20"/>
          <w:szCs w:val="20"/>
          <w:lang w:val="es-ES"/>
        </w:rPr>
        <w:t xml:space="preserve">La Comisión considera que la información proporcionada por el Estado en 2021 no es relevante para actualizar el seguimiento del caso, puesto que es repetitiva de la información presentada en años anteriores sin contener información sobre medidas adoptadas recientemente para cumplir con al menos una de las recomendaciones. </w:t>
      </w:r>
    </w:p>
    <w:p w14:paraId="5B1EDA0E" w14:textId="4214E90F" w:rsidR="0096505F" w:rsidRPr="0096505F" w:rsidRDefault="0096505F" w:rsidP="20346017">
      <w:pPr>
        <w:ind w:left="360"/>
        <w:jc w:val="both"/>
        <w:rPr>
          <w:rFonts w:ascii="Cambria" w:hAnsi="Cambria" w:cs="Calibri Light"/>
          <w:color w:val="000000"/>
          <w:sz w:val="20"/>
          <w:szCs w:val="20"/>
          <w:lang w:val="es-ES"/>
        </w:rPr>
      </w:pPr>
    </w:p>
    <w:p w14:paraId="65673F1F" w14:textId="67B7D2F2" w:rsidR="0096505F" w:rsidRPr="0096505F" w:rsidRDefault="0096505F" w:rsidP="20346017">
      <w:pPr>
        <w:pStyle w:val="ListParagraph"/>
        <w:numPr>
          <w:ilvl w:val="0"/>
          <w:numId w:val="11"/>
        </w:numPr>
        <w:jc w:val="both"/>
        <w:rPr>
          <w:color w:val="000000"/>
          <w:sz w:val="20"/>
          <w:szCs w:val="20"/>
          <w:lang w:val="es-ES"/>
        </w:rPr>
      </w:pPr>
      <w:r w:rsidRPr="20346017">
        <w:rPr>
          <w:rFonts w:ascii="Cambria" w:hAnsi="Cambria" w:cs="Calibri Light"/>
          <w:color w:val="000000" w:themeColor="text1"/>
          <w:sz w:val="20"/>
          <w:szCs w:val="20"/>
          <w:lang w:val="es-ES"/>
        </w:rPr>
        <w:t>Ante la ausencia de información actualizada sobre el nivel de cumplimiento de las recomendaciones, la CIDH reitera el análisis del cumplimiento y las conclusiones realizadas en su Informe Anual 2020.</w:t>
      </w:r>
    </w:p>
    <w:p w14:paraId="1FDF4CDD" w14:textId="1C037D3F" w:rsidR="00662A17" w:rsidRPr="004F4ED3" w:rsidRDefault="00662A17" w:rsidP="20346017">
      <w:pPr>
        <w:jc w:val="both"/>
        <w:rPr>
          <w:rFonts w:ascii="Cambria" w:hAnsi="Cambria" w:cs="Calibri Light"/>
          <w:color w:val="000000" w:themeColor="text1"/>
          <w:sz w:val="20"/>
          <w:szCs w:val="20"/>
          <w:lang w:val="es-ES"/>
        </w:rPr>
      </w:pPr>
    </w:p>
    <w:p w14:paraId="549488A9" w14:textId="77777777" w:rsidR="00662A17" w:rsidRPr="004F4ED3" w:rsidRDefault="00662A17" w:rsidP="00662A17">
      <w:pPr>
        <w:pStyle w:val="ListParagraph"/>
        <w:numPr>
          <w:ilvl w:val="0"/>
          <w:numId w:val="8"/>
        </w:numPr>
        <w:ind w:left="1440"/>
        <w:jc w:val="both"/>
        <w:rPr>
          <w:rFonts w:ascii="Cambria" w:hAnsi="Cambria"/>
          <w:sz w:val="20"/>
          <w:szCs w:val="20"/>
          <w:lang w:val="es-ES"/>
        </w:rPr>
      </w:pPr>
      <w:r w:rsidRPr="20346017">
        <w:rPr>
          <w:rFonts w:ascii="Cambria" w:hAnsi="Cambria" w:cs="Calibri Light"/>
          <w:b/>
          <w:bCs/>
          <w:sz w:val="20"/>
          <w:szCs w:val="20"/>
          <w:lang w:val="es-ES"/>
        </w:rPr>
        <w:t xml:space="preserve">Análisis del cumplimiento de las recomendaciones </w:t>
      </w:r>
    </w:p>
    <w:p w14:paraId="614B9515" w14:textId="77777777" w:rsidR="00662A17" w:rsidRPr="004F4ED3" w:rsidRDefault="00662A17" w:rsidP="00662A17">
      <w:pPr>
        <w:pStyle w:val="ListParagraph"/>
        <w:jc w:val="both"/>
        <w:rPr>
          <w:rFonts w:ascii="Cambria" w:hAnsi="Cambria" w:cs="Calibri Light"/>
          <w:sz w:val="20"/>
          <w:szCs w:val="20"/>
          <w:lang w:val="es-ES"/>
        </w:rPr>
      </w:pPr>
    </w:p>
    <w:p w14:paraId="2BA330BB"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20346017">
        <w:rPr>
          <w:rFonts w:ascii="Cambria" w:hAnsi="Cambria" w:cs="Calibri Light"/>
          <w:b/>
          <w:bCs/>
          <w:sz w:val="20"/>
          <w:szCs w:val="20"/>
          <w:lang w:val="es-ES"/>
        </w:rPr>
        <w:t>En relación con la primera recomendación</w:t>
      </w:r>
      <w:r w:rsidRPr="004F4ED3">
        <w:rPr>
          <w:rFonts w:ascii="Cambria" w:hAnsi="Cambria" w:cs="Calibri Light"/>
          <w:sz w:val="20"/>
          <w:szCs w:val="20"/>
          <w:lang w:val="es-ES"/>
        </w:rPr>
        <w:t xml:space="preserve">, Jeffrey Timothy </w:t>
      </w:r>
      <w:proofErr w:type="spellStart"/>
      <w:r w:rsidRPr="004F4ED3">
        <w:rPr>
          <w:rFonts w:ascii="Cambria" w:hAnsi="Cambria" w:cs="Calibri Light"/>
          <w:sz w:val="20"/>
          <w:szCs w:val="20"/>
          <w:lang w:val="es-ES"/>
        </w:rPr>
        <w:t>Landrigan</w:t>
      </w:r>
      <w:proofErr w:type="spellEnd"/>
      <w:r w:rsidRPr="004F4ED3">
        <w:rPr>
          <w:rFonts w:ascii="Cambria" w:hAnsi="Cambria" w:cs="Calibri Light"/>
          <w:sz w:val="20"/>
          <w:szCs w:val="20"/>
          <w:lang w:val="es-ES"/>
        </w:rPr>
        <w:t xml:space="preserve"> fue ejecutado el 26 de octubre de 2010.  </w:t>
      </w:r>
      <w:proofErr w:type="gramStart"/>
      <w:r w:rsidRPr="004F4ED3">
        <w:rPr>
          <w:rFonts w:ascii="Cambria" w:hAnsi="Cambria" w:cs="Calibri Light"/>
          <w:sz w:val="20"/>
          <w:szCs w:val="20"/>
          <w:lang w:val="es-ES"/>
        </w:rPr>
        <w:t>De acuerdo a</w:t>
      </w:r>
      <w:proofErr w:type="gramEnd"/>
      <w:r w:rsidRPr="004F4ED3">
        <w:rPr>
          <w:rFonts w:ascii="Cambria" w:hAnsi="Cambria" w:cs="Calibri Light"/>
          <w:sz w:val="20"/>
          <w:szCs w:val="20"/>
          <w:lang w:val="es-ES"/>
        </w:rPr>
        <w:t xml:space="preserve"> información pública a disposición de la CIDH, la ejecución se llevó a cabo luego de que una mayoría de jueces de la Corte Suprema de los Estados Unidos decidiera dejar sin efecto una orden de un juez federal que había suspendido temporalmente la ejecución, programada para ese mismo día más temprano. La Corte de Apelaciones del 9º Circuito de Estados Unidos había confirmado el fallo de una Jueza de Distrito que bloqueó la ejecución del señor </w:t>
      </w:r>
      <w:proofErr w:type="spellStart"/>
      <w:r w:rsidRPr="004F4ED3">
        <w:rPr>
          <w:rFonts w:ascii="Cambria" w:hAnsi="Cambria" w:cs="Calibri Light"/>
          <w:sz w:val="20"/>
          <w:szCs w:val="20"/>
          <w:lang w:val="es-ES"/>
        </w:rPr>
        <w:t>Landrigan</w:t>
      </w:r>
      <w:proofErr w:type="spellEnd"/>
      <w:r w:rsidRPr="004F4ED3">
        <w:rPr>
          <w:rFonts w:ascii="Cambria" w:hAnsi="Cambria" w:cs="Calibri Light"/>
          <w:sz w:val="20"/>
          <w:szCs w:val="20"/>
          <w:lang w:val="es-ES"/>
        </w:rPr>
        <w:t xml:space="preserve"> 18 horas antes del horario previsto. Los abogados del señor </w:t>
      </w:r>
      <w:proofErr w:type="spellStart"/>
      <w:r w:rsidRPr="004F4ED3">
        <w:rPr>
          <w:rFonts w:ascii="Cambria" w:hAnsi="Cambria" w:cs="Calibri Light"/>
          <w:sz w:val="20"/>
          <w:szCs w:val="20"/>
          <w:lang w:val="es-ES"/>
        </w:rPr>
        <w:t>Landrigan</w:t>
      </w:r>
      <w:proofErr w:type="spellEnd"/>
      <w:r w:rsidRPr="004F4ED3">
        <w:rPr>
          <w:rFonts w:ascii="Cambria" w:hAnsi="Cambria" w:cs="Calibri Light"/>
          <w:sz w:val="20"/>
          <w:szCs w:val="20"/>
          <w:lang w:val="es-ES"/>
        </w:rPr>
        <w:t xml:space="preserve"> habían planteado una demanda por violación de sus derechos civiles la semana anterior, en la que alegaban que la ejecución sería violatoria de su derecho constitucional a no sufrir penas crueles y excesivas, y al debido proceso. La suspensión temporal fue adoptada el 25 de octubre por la jueza luego de que concluyera que el Estado no había dado a los representantes del señor </w:t>
      </w:r>
      <w:proofErr w:type="spellStart"/>
      <w:r w:rsidRPr="004F4ED3">
        <w:rPr>
          <w:rFonts w:ascii="Cambria" w:hAnsi="Cambria" w:cs="Calibri Light"/>
          <w:sz w:val="20"/>
          <w:szCs w:val="20"/>
          <w:lang w:val="es-ES"/>
        </w:rPr>
        <w:t>Landrigan</w:t>
      </w:r>
      <w:proofErr w:type="spellEnd"/>
      <w:r w:rsidRPr="004F4ED3">
        <w:rPr>
          <w:rFonts w:ascii="Cambria" w:hAnsi="Cambria" w:cs="Calibri Light"/>
          <w:sz w:val="20"/>
          <w:szCs w:val="20"/>
          <w:lang w:val="es-ES"/>
        </w:rPr>
        <w:t xml:space="preserve"> suficiente información para plantear el caso referente a la seguridad y legalidad de las sustancias que se utilizarán para su ejecución. Sin embargo, la sentencia de la Corte Suprema dejó sin efecto la orden de la corte inferior debido a que consideró que “no había evidencia en el expediente que permitiera sugerir que la droga obtenida de una fuente extranjera no fuera segura”</w:t>
      </w:r>
      <w:r w:rsidRPr="004F4ED3">
        <w:rPr>
          <w:rStyle w:val="FootnoteReference"/>
          <w:rFonts w:ascii="Cambria" w:hAnsi="Cambria" w:cs="Calibri Light"/>
          <w:sz w:val="20"/>
          <w:szCs w:val="20"/>
          <w:lang w:val="es-ES"/>
        </w:rPr>
        <w:footnoteReference w:id="6"/>
      </w:r>
      <w:r w:rsidRPr="004F4ED3">
        <w:rPr>
          <w:rFonts w:ascii="Cambria" w:hAnsi="Cambria" w:cs="Calibri Light"/>
          <w:sz w:val="20"/>
          <w:szCs w:val="20"/>
          <w:lang w:val="es-ES"/>
        </w:rPr>
        <w:t>.</w:t>
      </w:r>
      <w:r w:rsidRPr="20346017">
        <w:rPr>
          <w:rFonts w:ascii="Cambria" w:hAnsi="Cambria"/>
          <w:sz w:val="20"/>
          <w:szCs w:val="20"/>
          <w:lang w:val="es-ES"/>
        </w:rPr>
        <w:t xml:space="preserve"> </w:t>
      </w:r>
      <w:r w:rsidRPr="004F4ED3">
        <w:rPr>
          <w:rFonts w:ascii="Cambria" w:hAnsi="Cambria" w:cs="Calibri Light"/>
          <w:sz w:val="20"/>
          <w:szCs w:val="20"/>
          <w:lang w:val="es-ES"/>
        </w:rPr>
        <w:t xml:space="preserve">En consideración de los eventos que tuvieron lugar luego de haberse transmitido el Informe Nº 115/10 a ambas partes, la Comisión Interamericana concluyó que la ejecución del señor </w:t>
      </w:r>
      <w:proofErr w:type="spellStart"/>
      <w:r w:rsidRPr="004F4ED3">
        <w:rPr>
          <w:rFonts w:ascii="Cambria" w:hAnsi="Cambria" w:cs="Calibri Light"/>
          <w:sz w:val="20"/>
          <w:szCs w:val="20"/>
          <w:lang w:val="es-ES"/>
        </w:rPr>
        <w:t>Landrigan</w:t>
      </w:r>
      <w:proofErr w:type="spellEnd"/>
      <w:r w:rsidRPr="004F4ED3">
        <w:rPr>
          <w:rFonts w:ascii="Cambria" w:hAnsi="Cambria" w:cs="Calibri Light"/>
          <w:sz w:val="20"/>
          <w:szCs w:val="20"/>
          <w:lang w:val="es-ES"/>
        </w:rPr>
        <w:t xml:space="preserve"> constituyó </w:t>
      </w:r>
      <w:r w:rsidRPr="004F4ED3">
        <w:rPr>
          <w:rFonts w:ascii="Cambria" w:hAnsi="Cambria" w:cs="Calibri Light"/>
          <w:sz w:val="20"/>
          <w:szCs w:val="20"/>
          <w:lang w:val="es-ES"/>
        </w:rPr>
        <w:lastRenderedPageBreak/>
        <w:t>una violación grave e irreparable del derecho fundamental a la vida previsto en el artículo I de la Declaración Americana</w:t>
      </w:r>
      <w:r w:rsidRPr="004F4ED3">
        <w:rPr>
          <w:rStyle w:val="FootnoteReference"/>
          <w:rFonts w:ascii="Cambria" w:hAnsi="Cambria" w:cs="Calibri Light"/>
          <w:sz w:val="20"/>
          <w:szCs w:val="20"/>
          <w:lang w:val="es-ES"/>
        </w:rPr>
        <w:footnoteReference w:id="7"/>
      </w:r>
      <w:r w:rsidRPr="004F4ED3">
        <w:rPr>
          <w:rFonts w:ascii="Cambria" w:hAnsi="Cambria" w:cs="Calibri Light"/>
          <w:sz w:val="20"/>
          <w:szCs w:val="20"/>
          <w:lang w:val="es-ES"/>
        </w:rPr>
        <w:t>.</w:t>
      </w:r>
    </w:p>
    <w:p w14:paraId="2E913134" w14:textId="77777777" w:rsidR="00662A17" w:rsidRPr="004F4ED3" w:rsidRDefault="00662A17" w:rsidP="00662A17">
      <w:pPr>
        <w:pStyle w:val="ListParagraph"/>
        <w:rPr>
          <w:rFonts w:ascii="Cambria" w:hAnsi="Cambria" w:cs="Calibri Light"/>
          <w:sz w:val="20"/>
          <w:szCs w:val="20"/>
          <w:lang w:val="es-ES"/>
        </w:rPr>
      </w:pPr>
    </w:p>
    <w:p w14:paraId="1319655F"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004F4ED3">
        <w:rPr>
          <w:rFonts w:ascii="Cambria" w:hAnsi="Cambria" w:cs="Calibri Light"/>
          <w:sz w:val="20"/>
          <w:szCs w:val="20"/>
          <w:lang w:val="es-ES"/>
        </w:rPr>
        <w:t>En 2012, el Estado informó que discrepaba y rechazaba esta recomendación</w:t>
      </w:r>
      <w:r w:rsidRPr="004F4ED3">
        <w:rPr>
          <w:rStyle w:val="FootnoteReference"/>
          <w:rFonts w:ascii="Cambria" w:hAnsi="Cambria" w:cs="Calibri Light"/>
          <w:sz w:val="20"/>
          <w:szCs w:val="20"/>
          <w:lang w:val="es-ES"/>
        </w:rPr>
        <w:footnoteReference w:id="8"/>
      </w:r>
      <w:r w:rsidRPr="004F4ED3">
        <w:rPr>
          <w:rFonts w:ascii="Cambria" w:hAnsi="Cambria" w:cs="Calibri Light"/>
          <w:sz w:val="20"/>
          <w:szCs w:val="20"/>
          <w:lang w:val="es-ES"/>
        </w:rPr>
        <w:t>. En 2020, el Estado reiteró su posición sin presentar nueva información sobre acciones tomadas para dar cumplimiento a esta recomendación.</w:t>
      </w:r>
    </w:p>
    <w:p w14:paraId="505299F2" w14:textId="77777777" w:rsidR="00662A17" w:rsidRPr="004F4ED3" w:rsidRDefault="00662A17" w:rsidP="00662A17">
      <w:pPr>
        <w:pStyle w:val="ListParagraph"/>
        <w:rPr>
          <w:rFonts w:ascii="Cambria" w:hAnsi="Cambria" w:cs="Calibri Light"/>
          <w:sz w:val="20"/>
          <w:szCs w:val="20"/>
          <w:lang w:val="es-ES"/>
        </w:rPr>
      </w:pPr>
    </w:p>
    <w:p w14:paraId="0BE8A7BE"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004F4ED3">
        <w:rPr>
          <w:rFonts w:ascii="Cambria" w:hAnsi="Cambria" w:cs="Calibri Light"/>
          <w:sz w:val="20"/>
          <w:szCs w:val="20"/>
          <w:lang w:val="es-ES"/>
        </w:rPr>
        <w:t xml:space="preserve">Los peticionarios informaron en 2013 que la ejecución de Timothy </w:t>
      </w:r>
      <w:proofErr w:type="spellStart"/>
      <w:r w:rsidRPr="004F4ED3">
        <w:rPr>
          <w:rFonts w:ascii="Cambria" w:hAnsi="Cambria" w:cs="Calibri Light"/>
          <w:sz w:val="20"/>
          <w:szCs w:val="20"/>
          <w:lang w:val="es-ES"/>
        </w:rPr>
        <w:t>Landrigan</w:t>
      </w:r>
      <w:proofErr w:type="spellEnd"/>
      <w:r w:rsidRPr="004F4ED3">
        <w:rPr>
          <w:rFonts w:ascii="Cambria" w:hAnsi="Cambria" w:cs="Calibri Light"/>
          <w:sz w:val="20"/>
          <w:szCs w:val="20"/>
          <w:lang w:val="es-ES"/>
        </w:rPr>
        <w:t xml:space="preserve"> se llevó a cabo utilizando una sustancia importada ilegalmente, según se determinó mediante acciones subsiguientes de agencias federales y decisiones de tribunales federales. Afirmaron </w:t>
      </w:r>
      <w:proofErr w:type="gramStart"/>
      <w:r w:rsidRPr="004F4ED3">
        <w:rPr>
          <w:rFonts w:ascii="Cambria" w:hAnsi="Cambria" w:cs="Calibri Light"/>
          <w:sz w:val="20"/>
          <w:szCs w:val="20"/>
          <w:lang w:val="es-ES"/>
        </w:rPr>
        <w:t>que</w:t>
      </w:r>
      <w:proofErr w:type="gramEnd"/>
      <w:r w:rsidRPr="004F4ED3">
        <w:rPr>
          <w:rFonts w:ascii="Cambria" w:hAnsi="Cambria" w:cs="Calibri Light"/>
          <w:sz w:val="20"/>
          <w:szCs w:val="20"/>
          <w:lang w:val="es-ES"/>
        </w:rPr>
        <w:t xml:space="preserve"> en nueve de las últimas trece ejecuciones por parte del estado de Arizona, a partir de la ejecución de Timothy </w:t>
      </w:r>
      <w:proofErr w:type="spellStart"/>
      <w:r w:rsidRPr="004F4ED3">
        <w:rPr>
          <w:rFonts w:ascii="Cambria" w:hAnsi="Cambria" w:cs="Calibri Light"/>
          <w:sz w:val="20"/>
          <w:szCs w:val="20"/>
          <w:lang w:val="es-ES"/>
        </w:rPr>
        <w:t>Landrigan</w:t>
      </w:r>
      <w:proofErr w:type="spellEnd"/>
      <w:r w:rsidRPr="004F4ED3">
        <w:rPr>
          <w:rFonts w:ascii="Cambria" w:hAnsi="Cambria" w:cs="Calibri Light"/>
          <w:sz w:val="20"/>
          <w:szCs w:val="20"/>
          <w:lang w:val="es-ES"/>
        </w:rPr>
        <w:t xml:space="preserve"> el 26 de octubre de 2013, los condenados fueron sometidos a un procedimiento quirúrgicamente doloroso e invasivo para colocar los tubos intravenosos letales</w:t>
      </w:r>
      <w:r w:rsidRPr="004F4ED3">
        <w:rPr>
          <w:rStyle w:val="FootnoteReference"/>
          <w:rFonts w:ascii="Cambria" w:hAnsi="Cambria" w:cs="Calibri Light"/>
          <w:sz w:val="20"/>
          <w:szCs w:val="20"/>
          <w:lang w:val="es-ES"/>
        </w:rPr>
        <w:footnoteReference w:id="9"/>
      </w:r>
      <w:r w:rsidRPr="004F4ED3">
        <w:rPr>
          <w:rFonts w:ascii="Cambria" w:hAnsi="Cambria" w:cs="Calibri Light"/>
          <w:sz w:val="20"/>
          <w:szCs w:val="20"/>
          <w:lang w:val="es-ES"/>
        </w:rPr>
        <w:t xml:space="preserve">. En 2018, los peticionarios informaron que el Estado no había cumplido con esta recomendación. </w:t>
      </w:r>
    </w:p>
    <w:p w14:paraId="7777DACB" w14:textId="77777777" w:rsidR="00662A17" w:rsidRPr="004F4ED3" w:rsidRDefault="00662A17" w:rsidP="00662A17">
      <w:pPr>
        <w:pStyle w:val="ListParagraph"/>
        <w:jc w:val="both"/>
        <w:rPr>
          <w:rFonts w:ascii="Cambria" w:hAnsi="Cambria" w:cs="Calibri Light"/>
          <w:sz w:val="20"/>
          <w:szCs w:val="20"/>
          <w:lang w:val="es-ES"/>
        </w:rPr>
      </w:pPr>
    </w:p>
    <w:p w14:paraId="4C11957B"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004F4ED3">
        <w:rPr>
          <w:rFonts w:ascii="Cambria" w:hAnsi="Cambria" w:cs="Calibri Light"/>
          <w:sz w:val="20"/>
          <w:szCs w:val="20"/>
          <w:lang w:val="es-ES"/>
        </w:rPr>
        <w:t xml:space="preserve">El 22 de octubre de 2010, la CIDH emitió un comunicado de prensa reafirmando la violación de los derechos fundamentales de Timothy </w:t>
      </w:r>
      <w:proofErr w:type="spellStart"/>
      <w:r w:rsidRPr="004F4ED3">
        <w:rPr>
          <w:rFonts w:ascii="Cambria" w:hAnsi="Cambria" w:cs="Calibri Light"/>
          <w:sz w:val="20"/>
          <w:szCs w:val="20"/>
          <w:lang w:val="es-ES"/>
        </w:rPr>
        <w:t>Landrigan</w:t>
      </w:r>
      <w:proofErr w:type="spellEnd"/>
      <w:r w:rsidRPr="004F4ED3">
        <w:rPr>
          <w:rFonts w:ascii="Cambria" w:hAnsi="Cambria" w:cs="Calibri Light"/>
          <w:sz w:val="20"/>
          <w:szCs w:val="20"/>
          <w:lang w:val="es-ES"/>
        </w:rPr>
        <w:t>, urgiendo al Estado a suspender su ejecución</w:t>
      </w:r>
      <w:r w:rsidRPr="004F4ED3">
        <w:rPr>
          <w:rStyle w:val="FootnoteReference"/>
          <w:rFonts w:ascii="Cambria" w:hAnsi="Cambria" w:cs="Calibri Light"/>
          <w:sz w:val="20"/>
          <w:szCs w:val="20"/>
        </w:rPr>
        <w:footnoteReference w:id="10"/>
      </w:r>
      <w:r w:rsidRPr="004F4ED3">
        <w:rPr>
          <w:rFonts w:ascii="Cambria" w:hAnsi="Cambria" w:cs="Calibri Light"/>
          <w:sz w:val="20"/>
          <w:szCs w:val="20"/>
          <w:lang w:val="es-ES"/>
        </w:rPr>
        <w:t>, la cual tuvo lugar el 26 de octubre de 2010, en el estado de Arizona. La CIDH reitera a los Estados Unidos que ha cometido una grave e irreparable violación del derecho fundamental a la vida, bajo el Artículo 1 de la Declaración Americana. La Comisión deplora el incumplimiento de Estados Unidos y el estado de Arizona de cumplir con esta recomendación, lo que constituye una violación de las obligaciones internacionales del Estado en derechos humanos bajo la Carta de la OEA y otros instrumentos relacionados.</w:t>
      </w:r>
      <w:r w:rsidRPr="004F4ED3">
        <w:rPr>
          <w:rStyle w:val="FootnoteReference"/>
          <w:rFonts w:ascii="Cambria" w:hAnsi="Cambria" w:cs="Calibri Light"/>
          <w:sz w:val="20"/>
          <w:szCs w:val="20"/>
        </w:rPr>
        <w:footnoteReference w:id="11"/>
      </w:r>
      <w:r w:rsidRPr="004F4ED3">
        <w:rPr>
          <w:rFonts w:ascii="Cambria" w:hAnsi="Cambria" w:cs="Calibri Light"/>
          <w:sz w:val="20"/>
          <w:szCs w:val="20"/>
          <w:lang w:val="es-BO"/>
        </w:rPr>
        <w:t xml:space="preserve"> Con base a este análisis la Comisión considera que el Estado no ha cumplido con la Recomendación 1. </w:t>
      </w:r>
    </w:p>
    <w:p w14:paraId="59A073B6" w14:textId="77777777" w:rsidR="00662A17" w:rsidRPr="004F4ED3" w:rsidRDefault="00662A17" w:rsidP="00662A17">
      <w:pPr>
        <w:pStyle w:val="ListParagraph"/>
        <w:jc w:val="both"/>
        <w:rPr>
          <w:rFonts w:ascii="Cambria" w:hAnsi="Cambria" w:cs="Calibri Light"/>
          <w:sz w:val="20"/>
          <w:szCs w:val="20"/>
          <w:lang w:val="es-ES"/>
        </w:rPr>
      </w:pPr>
    </w:p>
    <w:p w14:paraId="7B83F9C3"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20346017">
        <w:rPr>
          <w:rFonts w:ascii="Cambria" w:hAnsi="Cambria" w:cs="Calibri Light"/>
          <w:b/>
          <w:bCs/>
          <w:sz w:val="20"/>
          <w:szCs w:val="20"/>
          <w:lang w:val="es-ES"/>
        </w:rPr>
        <w:t>En relación con la segunda recomendación</w:t>
      </w:r>
      <w:r w:rsidRPr="004F4ED3">
        <w:rPr>
          <w:rFonts w:ascii="Cambria" w:hAnsi="Cambria" w:cs="Calibri Light"/>
          <w:sz w:val="20"/>
          <w:szCs w:val="20"/>
          <w:lang w:val="es-ES"/>
        </w:rPr>
        <w:t>, en 2012, el Estado informó que discrepaba y rechazaba esta recomendación</w:t>
      </w:r>
      <w:r w:rsidRPr="004F4ED3">
        <w:rPr>
          <w:rStyle w:val="FootnoteReference"/>
          <w:rFonts w:ascii="Cambria" w:hAnsi="Cambria" w:cs="Calibri Light"/>
          <w:sz w:val="20"/>
          <w:szCs w:val="20"/>
          <w:lang w:val="es-ES"/>
        </w:rPr>
        <w:footnoteReference w:id="12"/>
      </w:r>
      <w:r w:rsidRPr="004F4ED3">
        <w:rPr>
          <w:rFonts w:ascii="Cambria" w:hAnsi="Cambria" w:cs="Calibri Light"/>
          <w:sz w:val="20"/>
          <w:szCs w:val="20"/>
          <w:lang w:val="es-ES"/>
        </w:rPr>
        <w:t xml:space="preserve">. En 2020, el </w:t>
      </w:r>
      <w:r w:rsidRPr="004F4ED3">
        <w:rPr>
          <w:rFonts w:ascii="Cambria" w:eastAsia="MS Mincho" w:hAnsi="Cambria"/>
          <w:sz w:val="20"/>
          <w:szCs w:val="20"/>
          <w:lang w:val="es-AR"/>
        </w:rPr>
        <w:t>Estado reiteró sus respuestas anteriores sobre este informe de fondo, sin indicar esfuerzo alguno emprendido este año a fin de cumplir con las recomendaciones de la CIDH.</w:t>
      </w:r>
    </w:p>
    <w:p w14:paraId="11119638" w14:textId="77777777" w:rsidR="00662A17" w:rsidRPr="004F4ED3" w:rsidRDefault="00662A17" w:rsidP="00662A17">
      <w:pPr>
        <w:jc w:val="both"/>
        <w:rPr>
          <w:rFonts w:ascii="Cambria" w:hAnsi="Cambria" w:cs="Calibri Light"/>
          <w:sz w:val="20"/>
          <w:szCs w:val="20"/>
          <w:lang w:val="es-ES"/>
        </w:rPr>
      </w:pPr>
    </w:p>
    <w:p w14:paraId="6ABC96DE"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20346017">
        <w:rPr>
          <w:rFonts w:ascii="Cambria" w:hAnsi="Cambria" w:cs="Calibri Light"/>
          <w:sz w:val="20"/>
          <w:szCs w:val="20"/>
          <w:lang w:val="es-ES"/>
        </w:rPr>
        <w:t xml:space="preserve">En 2018, los peticionarios informaron que el Estado no había cumplido con esta recomendación. </w:t>
      </w:r>
    </w:p>
    <w:p w14:paraId="5FF4A926" w14:textId="77777777" w:rsidR="00662A17" w:rsidRPr="004F4ED3" w:rsidRDefault="00662A17" w:rsidP="00662A17">
      <w:pPr>
        <w:pStyle w:val="ListParagraph"/>
        <w:rPr>
          <w:rFonts w:ascii="Cambria" w:hAnsi="Cambria" w:cs="Calibri Light"/>
          <w:sz w:val="20"/>
          <w:szCs w:val="20"/>
          <w:lang w:val="es-ES"/>
        </w:rPr>
      </w:pPr>
    </w:p>
    <w:p w14:paraId="480A033A"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20346017">
        <w:rPr>
          <w:rFonts w:ascii="Cambria" w:hAnsi="Cambria" w:cs="Calibri Light"/>
          <w:sz w:val="20"/>
          <w:szCs w:val="20"/>
          <w:lang w:val="es-ES"/>
        </w:rPr>
        <w:t xml:space="preserve">La Comisión reitera su condena a la ejecución del señor Jeffrey Timothy </w:t>
      </w:r>
      <w:proofErr w:type="spellStart"/>
      <w:r w:rsidRPr="20346017">
        <w:rPr>
          <w:rFonts w:ascii="Cambria" w:hAnsi="Cambria" w:cs="Calibri Light"/>
          <w:sz w:val="20"/>
          <w:szCs w:val="20"/>
          <w:lang w:val="es-ES"/>
        </w:rPr>
        <w:t>Landrigan</w:t>
      </w:r>
      <w:proofErr w:type="spellEnd"/>
      <w:r w:rsidRPr="20346017">
        <w:rPr>
          <w:rFonts w:ascii="Cambria" w:hAnsi="Cambria" w:cs="Calibri Light"/>
          <w:sz w:val="20"/>
          <w:szCs w:val="20"/>
          <w:lang w:val="es-ES"/>
        </w:rPr>
        <w:t xml:space="preserve"> por parte de los Estados Unidos en desafío a las recomendaciones emitidas en el Informe de Fondo N° 81/11, la cual resultó en una grave e irreparable violación del derecho a la vida de la víctima. En ese sentido, la CIDH considera que el Estado no ha cumplido con la Recomendación 2.</w:t>
      </w:r>
    </w:p>
    <w:p w14:paraId="432A9B8A" w14:textId="77777777" w:rsidR="00662A17" w:rsidRPr="004F4ED3" w:rsidRDefault="00662A17" w:rsidP="00662A17">
      <w:pPr>
        <w:pStyle w:val="ListParagraph"/>
        <w:rPr>
          <w:rFonts w:ascii="Cambria" w:hAnsi="Cambria" w:cs="Calibri Light"/>
          <w:sz w:val="20"/>
          <w:szCs w:val="20"/>
          <w:lang w:val="es-ES"/>
        </w:rPr>
      </w:pPr>
    </w:p>
    <w:p w14:paraId="549DE44F"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20346017">
        <w:rPr>
          <w:rFonts w:ascii="Cambria" w:hAnsi="Cambria" w:cs="Calibri Light"/>
          <w:b/>
          <w:bCs/>
          <w:sz w:val="20"/>
          <w:szCs w:val="20"/>
          <w:lang w:val="es-ES"/>
        </w:rPr>
        <w:t xml:space="preserve">Con respecto a la tercera y cuarta recomendación, </w:t>
      </w:r>
      <w:r w:rsidRPr="20346017">
        <w:rPr>
          <w:rFonts w:ascii="Cambria" w:hAnsi="Cambria" w:cs="Calibri Light"/>
          <w:sz w:val="20"/>
          <w:szCs w:val="20"/>
          <w:lang w:val="es-ES"/>
        </w:rPr>
        <w:t>ninguna de las partes ha remitido información sobre las acciones adoptadas por el Estado para cumplir con estas recomendaciones.</w:t>
      </w:r>
    </w:p>
    <w:p w14:paraId="484C891C" w14:textId="77777777" w:rsidR="00662A17" w:rsidRPr="004F4ED3" w:rsidRDefault="00662A17" w:rsidP="00662A17">
      <w:pPr>
        <w:pStyle w:val="ListParagraph"/>
        <w:rPr>
          <w:rFonts w:ascii="Cambria" w:hAnsi="Cambria" w:cs="Calibri Light"/>
          <w:sz w:val="20"/>
          <w:szCs w:val="20"/>
          <w:lang w:val="es-ES"/>
        </w:rPr>
      </w:pPr>
    </w:p>
    <w:p w14:paraId="3B34CBEB"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20346017">
        <w:rPr>
          <w:rFonts w:ascii="Cambria" w:hAnsi="Cambria" w:cs="Calibri Light"/>
          <w:sz w:val="20"/>
          <w:szCs w:val="20"/>
          <w:lang w:val="es-ES"/>
        </w:rPr>
        <w:t>Con base a ello, la Comisión considera que la Recomendación 3 y 4 están pendientes de cumplimiento.</w:t>
      </w:r>
    </w:p>
    <w:p w14:paraId="737FBA8E" w14:textId="77777777" w:rsidR="00662A17" w:rsidRPr="004F4ED3" w:rsidRDefault="00662A17" w:rsidP="00662A17">
      <w:pPr>
        <w:pStyle w:val="ListParagraph"/>
        <w:rPr>
          <w:rFonts w:ascii="Cambria" w:hAnsi="Cambria"/>
          <w:sz w:val="20"/>
          <w:szCs w:val="20"/>
          <w:lang w:val="es-ES"/>
        </w:rPr>
      </w:pPr>
    </w:p>
    <w:p w14:paraId="500F541D" w14:textId="77777777" w:rsidR="009E3BAC" w:rsidRDefault="009E3BAC">
      <w:pPr>
        <w:rPr>
          <w:rFonts w:ascii="Cambria" w:hAnsi="Cambria" w:cs="Calibri Light"/>
          <w:b/>
          <w:bCs/>
          <w:sz w:val="20"/>
          <w:szCs w:val="20"/>
          <w:lang w:val="es-ES"/>
        </w:rPr>
      </w:pPr>
      <w:r>
        <w:rPr>
          <w:rFonts w:ascii="Cambria" w:hAnsi="Cambria" w:cs="Calibri Light"/>
          <w:b/>
          <w:bCs/>
          <w:sz w:val="20"/>
          <w:szCs w:val="20"/>
          <w:lang w:val="es-ES"/>
        </w:rPr>
        <w:br w:type="page"/>
      </w:r>
    </w:p>
    <w:p w14:paraId="0624BEAB" w14:textId="771ABA0B" w:rsidR="00662A17" w:rsidRPr="004F4ED3" w:rsidRDefault="00662A17" w:rsidP="20346017">
      <w:pPr>
        <w:pStyle w:val="ListParagraph"/>
        <w:numPr>
          <w:ilvl w:val="0"/>
          <w:numId w:val="8"/>
        </w:numPr>
        <w:ind w:left="1440"/>
        <w:jc w:val="both"/>
        <w:rPr>
          <w:rFonts w:ascii="Cambria" w:hAnsi="Cambria" w:cs="Calibri Light"/>
          <w:b/>
          <w:bCs/>
          <w:sz w:val="20"/>
          <w:szCs w:val="20"/>
          <w:lang w:val="es-ES"/>
        </w:rPr>
      </w:pPr>
      <w:r w:rsidRPr="20346017">
        <w:rPr>
          <w:rFonts w:ascii="Cambria" w:hAnsi="Cambria" w:cs="Calibri Light"/>
          <w:b/>
          <w:bCs/>
          <w:sz w:val="20"/>
          <w:szCs w:val="20"/>
          <w:lang w:val="es-ES"/>
        </w:rPr>
        <w:lastRenderedPageBreak/>
        <w:t>Nivel de cumplimiento del caso</w:t>
      </w:r>
    </w:p>
    <w:p w14:paraId="4AB35AF2" w14:textId="77777777" w:rsidR="00662A17" w:rsidRPr="004F4ED3" w:rsidRDefault="00662A17" w:rsidP="00662A17">
      <w:pPr>
        <w:jc w:val="both"/>
        <w:rPr>
          <w:rFonts w:ascii="Cambria" w:hAnsi="Cambria" w:cs="Calibri Light"/>
          <w:sz w:val="20"/>
          <w:szCs w:val="20"/>
          <w:lang w:val="es-ES"/>
        </w:rPr>
      </w:pPr>
    </w:p>
    <w:p w14:paraId="5DB4D1ED" w14:textId="77777777" w:rsidR="00662A17" w:rsidRPr="004F4ED3" w:rsidRDefault="00662A17" w:rsidP="00662A17">
      <w:pPr>
        <w:pStyle w:val="ListParagraph"/>
        <w:numPr>
          <w:ilvl w:val="0"/>
          <w:numId w:val="11"/>
        </w:numPr>
        <w:jc w:val="both"/>
        <w:rPr>
          <w:rFonts w:ascii="Cambria" w:hAnsi="Cambria" w:cs="Calibri Light"/>
          <w:sz w:val="20"/>
          <w:szCs w:val="20"/>
          <w:lang w:val="es-ES"/>
        </w:rPr>
      </w:pPr>
      <w:r w:rsidRPr="20346017">
        <w:rPr>
          <w:rFonts w:ascii="Cambria" w:hAnsi="Cambria" w:cs="Calibri Light"/>
          <w:sz w:val="20"/>
          <w:szCs w:val="20"/>
          <w:lang w:val="es-ES"/>
        </w:rPr>
        <w:t>En virtud de lo anterior, la CIDH concluye que el nivel de cumplimiento del caso es pendiente. Por consiguiente, la Comisión continuará supervisando el cumplimiento de las Recomendaciones 3 y 4. La Comisión insta al Estado a adoptar las medidas necesarias para dar cumplimiento a las recomendaciones emitidas en el Informe de Fondo Nº 81/11. Asimismo, invita al Estado a proporcionar información actualizada y detallada sobre dichas medidas a la Comisión.</w:t>
      </w:r>
    </w:p>
    <w:p w14:paraId="7CE64D08" w14:textId="77777777" w:rsidR="00662A17" w:rsidRPr="004F4ED3" w:rsidRDefault="00662A17" w:rsidP="00662A17">
      <w:pPr>
        <w:jc w:val="both"/>
        <w:rPr>
          <w:rFonts w:ascii="Cambria" w:hAnsi="Cambria"/>
          <w:sz w:val="20"/>
          <w:szCs w:val="20"/>
          <w:lang w:val="es-ES"/>
        </w:rPr>
      </w:pPr>
    </w:p>
    <w:p w14:paraId="2A26273D" w14:textId="77777777" w:rsidR="00662A17" w:rsidRPr="004F4ED3" w:rsidRDefault="00662A17" w:rsidP="009E3BAC">
      <w:pPr>
        <w:pStyle w:val="ListParagraph"/>
        <w:numPr>
          <w:ilvl w:val="0"/>
          <w:numId w:val="8"/>
        </w:numPr>
        <w:ind w:left="1440"/>
        <w:jc w:val="both"/>
        <w:rPr>
          <w:rFonts w:ascii="Cambria" w:hAnsi="Cambria"/>
          <w:b/>
          <w:bCs/>
          <w:sz w:val="20"/>
          <w:szCs w:val="20"/>
          <w:lang w:val="es-ES"/>
        </w:rPr>
      </w:pPr>
      <w:r w:rsidRPr="20346017">
        <w:rPr>
          <w:rFonts w:ascii="Cambria" w:hAnsi="Cambria"/>
          <w:b/>
          <w:bCs/>
          <w:sz w:val="20"/>
          <w:szCs w:val="20"/>
          <w:lang w:val="es-ES"/>
        </w:rPr>
        <w:t>Resultados individuales y estructurales del caso</w:t>
      </w:r>
    </w:p>
    <w:p w14:paraId="14BC2867" w14:textId="77777777" w:rsidR="00662A17" w:rsidRPr="004F4ED3" w:rsidRDefault="00662A17" w:rsidP="20346017">
      <w:pPr>
        <w:jc w:val="both"/>
        <w:rPr>
          <w:rFonts w:ascii="Cambria" w:hAnsi="Cambria"/>
          <w:b/>
          <w:bCs/>
          <w:sz w:val="20"/>
          <w:szCs w:val="20"/>
          <w:lang w:val="es-ES"/>
        </w:rPr>
      </w:pPr>
    </w:p>
    <w:p w14:paraId="1166B7B6" w14:textId="77777777" w:rsidR="00662A17" w:rsidRPr="004F4ED3" w:rsidRDefault="00662A17" w:rsidP="00662A17">
      <w:pPr>
        <w:pStyle w:val="ListParagraph"/>
        <w:numPr>
          <w:ilvl w:val="0"/>
          <w:numId w:val="11"/>
        </w:numPr>
        <w:jc w:val="both"/>
        <w:rPr>
          <w:rFonts w:ascii="Cambria" w:hAnsi="Cambria"/>
          <w:sz w:val="20"/>
          <w:szCs w:val="20"/>
          <w:lang w:val="es-ES"/>
        </w:rPr>
      </w:pPr>
      <w:r w:rsidRPr="20346017">
        <w:rPr>
          <w:rFonts w:ascii="Cambria" w:hAnsi="Cambria"/>
          <w:sz w:val="20"/>
          <w:szCs w:val="20"/>
          <w:lang w:val="es-ES"/>
        </w:rPr>
        <w:t>Dado que el caso está pendiente de cumplimiento, no hay resultados individuales o estructurales reportados por las partes.</w:t>
      </w:r>
    </w:p>
    <w:p w14:paraId="2CA26EC0" w14:textId="77777777" w:rsidR="00662A17" w:rsidRPr="00A07BBB" w:rsidRDefault="00662A17" w:rsidP="00662A17">
      <w:pPr>
        <w:pStyle w:val="ListParagraph"/>
        <w:jc w:val="both"/>
        <w:rPr>
          <w:rFonts w:ascii="Cambria" w:hAnsi="Cambria"/>
          <w:sz w:val="20"/>
          <w:szCs w:val="20"/>
          <w:lang w:val="es-ES"/>
        </w:rPr>
      </w:pPr>
    </w:p>
    <w:p w14:paraId="6E7F86FA" w14:textId="77777777" w:rsidR="00662A17" w:rsidRPr="00A07BBB" w:rsidRDefault="00662A17" w:rsidP="00662A17">
      <w:pPr>
        <w:rPr>
          <w:lang w:val="es-ES"/>
        </w:rPr>
      </w:pPr>
    </w:p>
    <w:p w14:paraId="45B26099" w14:textId="77777777" w:rsidR="00BD17B0" w:rsidRPr="00662A17" w:rsidRDefault="00BD17B0" w:rsidP="00662A17">
      <w:pPr>
        <w:rPr>
          <w:lang w:val="es-ES"/>
        </w:rPr>
      </w:pPr>
    </w:p>
    <w:sectPr w:rsidR="00BD17B0" w:rsidRPr="00662A17" w:rsidSect="00566CD0">
      <w:headerReference w:type="default" r:id="rId11"/>
      <w:foot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6866" w14:textId="77777777" w:rsidR="00C60D7A" w:rsidRDefault="00C60D7A" w:rsidP="00672733">
      <w:r>
        <w:separator/>
      </w:r>
    </w:p>
  </w:endnote>
  <w:endnote w:type="continuationSeparator" w:id="0">
    <w:p w14:paraId="60D8C24B" w14:textId="77777777" w:rsidR="00C60D7A" w:rsidRDefault="00C60D7A"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FEEE" w14:textId="77777777" w:rsidR="00C60D7A" w:rsidRDefault="00C60D7A" w:rsidP="00672733">
      <w:r>
        <w:separator/>
      </w:r>
    </w:p>
  </w:footnote>
  <w:footnote w:type="continuationSeparator" w:id="0">
    <w:p w14:paraId="71EC859A" w14:textId="77777777" w:rsidR="00C60D7A" w:rsidRDefault="00C60D7A" w:rsidP="00672733">
      <w:r>
        <w:continuationSeparator/>
      </w:r>
    </w:p>
  </w:footnote>
  <w:footnote w:id="1">
    <w:p w14:paraId="2D6A0CBF" w14:textId="77777777" w:rsidR="00662A17" w:rsidRPr="00662A17" w:rsidRDefault="00662A17" w:rsidP="00662A17">
      <w:pPr>
        <w:pStyle w:val="FootnoteText"/>
        <w:spacing w:after="120"/>
        <w:ind w:firstLine="720"/>
        <w:jc w:val="both"/>
        <w:rPr>
          <w:rFonts w:ascii="Cambria" w:hAnsi="Cambria"/>
          <w:sz w:val="16"/>
          <w:szCs w:val="16"/>
          <w:lang w:val="es-ES"/>
        </w:rPr>
      </w:pPr>
      <w:r w:rsidRPr="00695246">
        <w:rPr>
          <w:rStyle w:val="FootnoteReference"/>
          <w:rFonts w:ascii="Cambria" w:hAnsi="Cambria"/>
          <w:sz w:val="16"/>
          <w:szCs w:val="16"/>
        </w:rPr>
        <w:footnoteRef/>
      </w:r>
      <w:r w:rsidRPr="00695246">
        <w:rPr>
          <w:rFonts w:ascii="Cambria" w:hAnsi="Cambria"/>
          <w:sz w:val="16"/>
          <w:szCs w:val="16"/>
          <w:lang w:val="es-ES"/>
        </w:rPr>
        <w:t xml:space="preserve"> CIDH, </w:t>
      </w:r>
      <w:hyperlink r:id="rId1" w:history="1">
        <w:r w:rsidRPr="00695246">
          <w:rPr>
            <w:rStyle w:val="Hyperlink"/>
            <w:rFonts w:ascii="Cambria" w:hAnsi="Cambria"/>
            <w:sz w:val="16"/>
            <w:szCs w:val="16"/>
            <w:lang w:val="es-ES"/>
          </w:rPr>
          <w:t>Caso 12.776, Informe de Fondo</w:t>
        </w:r>
        <w:r>
          <w:rPr>
            <w:rStyle w:val="Hyperlink"/>
            <w:rFonts w:ascii="Cambria" w:hAnsi="Cambria"/>
            <w:sz w:val="16"/>
            <w:szCs w:val="16"/>
            <w:lang w:val="es-ES"/>
          </w:rPr>
          <w:t xml:space="preserve"> </w:t>
        </w:r>
        <w:proofErr w:type="spellStart"/>
        <w:r>
          <w:rPr>
            <w:rStyle w:val="Hyperlink"/>
            <w:rFonts w:ascii="Cambria" w:hAnsi="Cambria"/>
            <w:sz w:val="16"/>
            <w:szCs w:val="16"/>
            <w:lang w:val="es-ES"/>
          </w:rPr>
          <w:t>Nº</w:t>
        </w:r>
        <w:proofErr w:type="spellEnd"/>
        <w:r w:rsidRPr="00695246">
          <w:rPr>
            <w:rStyle w:val="Hyperlink"/>
            <w:rFonts w:ascii="Cambria" w:hAnsi="Cambria"/>
            <w:sz w:val="16"/>
            <w:szCs w:val="16"/>
            <w:lang w:val="es-ES"/>
          </w:rPr>
          <w:t xml:space="preserve"> 81/11, Jeffrey Timothy </w:t>
        </w:r>
        <w:proofErr w:type="spellStart"/>
        <w:r w:rsidRPr="00695246">
          <w:rPr>
            <w:rStyle w:val="Hyperlink"/>
            <w:rFonts w:ascii="Cambria" w:hAnsi="Cambria"/>
            <w:sz w:val="16"/>
            <w:szCs w:val="16"/>
            <w:lang w:val="es-ES"/>
          </w:rPr>
          <w:t>Landrigan</w:t>
        </w:r>
        <w:proofErr w:type="spellEnd"/>
        <w:r w:rsidRPr="00695246">
          <w:rPr>
            <w:rStyle w:val="Hyperlink"/>
            <w:rFonts w:ascii="Cambria" w:hAnsi="Cambria"/>
            <w:sz w:val="16"/>
            <w:szCs w:val="16"/>
            <w:lang w:val="es-ES"/>
          </w:rPr>
          <w:t xml:space="preserve"> (Estados Unidos)</w:t>
        </w:r>
      </w:hyperlink>
      <w:r w:rsidRPr="00695246">
        <w:rPr>
          <w:rFonts w:ascii="Cambria" w:hAnsi="Cambria"/>
          <w:sz w:val="16"/>
          <w:szCs w:val="16"/>
          <w:lang w:val="es-ES"/>
        </w:rPr>
        <w:t xml:space="preserve">, párr. </w:t>
      </w:r>
      <w:r w:rsidRPr="00662A17">
        <w:rPr>
          <w:rFonts w:ascii="Cambria" w:hAnsi="Cambria"/>
          <w:sz w:val="16"/>
          <w:szCs w:val="16"/>
          <w:lang w:val="es-ES"/>
        </w:rPr>
        <w:t xml:space="preserve">64. </w:t>
      </w:r>
    </w:p>
  </w:footnote>
  <w:footnote w:id="2">
    <w:p w14:paraId="5877D2D4" w14:textId="77777777" w:rsidR="00662A17" w:rsidRPr="00695246" w:rsidRDefault="00662A17" w:rsidP="00662A17">
      <w:pPr>
        <w:pStyle w:val="FootnoteText"/>
        <w:spacing w:after="120"/>
        <w:ind w:firstLine="720"/>
        <w:jc w:val="both"/>
        <w:rPr>
          <w:rFonts w:ascii="Cambria" w:hAnsi="Cambria"/>
          <w:sz w:val="16"/>
          <w:szCs w:val="16"/>
          <w:lang w:val="es-ES"/>
        </w:rPr>
      </w:pPr>
      <w:r w:rsidRPr="00695246">
        <w:rPr>
          <w:rStyle w:val="FootnoteReference"/>
          <w:rFonts w:ascii="Cambria" w:hAnsi="Cambria"/>
          <w:sz w:val="16"/>
          <w:szCs w:val="16"/>
        </w:rPr>
        <w:footnoteRef/>
      </w:r>
      <w:r w:rsidRPr="00695246">
        <w:rPr>
          <w:rFonts w:ascii="Cambria" w:hAnsi="Cambria"/>
          <w:sz w:val="16"/>
          <w:szCs w:val="16"/>
          <w:lang w:val="es-ES"/>
        </w:rPr>
        <w:t xml:space="preserve"> CIDH, </w:t>
      </w:r>
      <w:hyperlink r:id="rId2" w:history="1">
        <w:r>
          <w:rPr>
            <w:rStyle w:val="Hyperlink"/>
            <w:rFonts w:ascii="Cambria" w:hAnsi="Cambria"/>
            <w:sz w:val="16"/>
            <w:szCs w:val="16"/>
            <w:lang w:val="es-ES"/>
          </w:rPr>
          <w:t>Caso</w:t>
        </w:r>
        <w:r w:rsidRPr="00695246">
          <w:rPr>
            <w:rStyle w:val="Hyperlink"/>
            <w:rFonts w:ascii="Cambria" w:hAnsi="Cambria"/>
            <w:sz w:val="16"/>
            <w:szCs w:val="16"/>
            <w:lang w:val="es-ES"/>
          </w:rPr>
          <w:t xml:space="preserve"> 12.776, Informe de Fondo</w:t>
        </w:r>
        <w:r>
          <w:rPr>
            <w:rStyle w:val="Hyperlink"/>
            <w:rFonts w:ascii="Cambria" w:hAnsi="Cambria"/>
            <w:sz w:val="16"/>
            <w:szCs w:val="16"/>
            <w:lang w:val="es-ES"/>
          </w:rPr>
          <w:t xml:space="preserve"> </w:t>
        </w:r>
        <w:proofErr w:type="spellStart"/>
        <w:r>
          <w:rPr>
            <w:rStyle w:val="Hyperlink"/>
            <w:rFonts w:ascii="Cambria" w:hAnsi="Cambria"/>
            <w:sz w:val="16"/>
            <w:szCs w:val="16"/>
            <w:lang w:val="es-ES"/>
          </w:rPr>
          <w:t>Nº</w:t>
        </w:r>
        <w:proofErr w:type="spellEnd"/>
        <w:r w:rsidRPr="00695246">
          <w:rPr>
            <w:rStyle w:val="Hyperlink"/>
            <w:rFonts w:ascii="Cambria" w:hAnsi="Cambria"/>
            <w:sz w:val="16"/>
            <w:szCs w:val="16"/>
            <w:lang w:val="es-ES"/>
          </w:rPr>
          <w:t xml:space="preserve"> 81/11, Jeffrey Timothy </w:t>
        </w:r>
        <w:proofErr w:type="spellStart"/>
        <w:r w:rsidRPr="00695246">
          <w:rPr>
            <w:rStyle w:val="Hyperlink"/>
            <w:rFonts w:ascii="Cambria" w:hAnsi="Cambria"/>
            <w:sz w:val="16"/>
            <w:szCs w:val="16"/>
            <w:lang w:val="es-ES"/>
          </w:rPr>
          <w:t>Landrigan</w:t>
        </w:r>
        <w:proofErr w:type="spellEnd"/>
        <w:r w:rsidRPr="00695246">
          <w:rPr>
            <w:rStyle w:val="Hyperlink"/>
            <w:rFonts w:ascii="Cambria" w:hAnsi="Cambria"/>
            <w:sz w:val="16"/>
            <w:szCs w:val="16"/>
            <w:lang w:val="es-ES"/>
          </w:rPr>
          <w:t xml:space="preserve"> (Estados Unidos)</w:t>
        </w:r>
      </w:hyperlink>
      <w:r w:rsidRPr="00695246">
        <w:rPr>
          <w:rFonts w:ascii="Cambria" w:hAnsi="Cambria"/>
          <w:sz w:val="16"/>
          <w:szCs w:val="16"/>
          <w:lang w:val="es-ES"/>
        </w:rPr>
        <w:t>, párr. 64.</w:t>
      </w:r>
    </w:p>
  </w:footnote>
  <w:footnote w:id="3">
    <w:p w14:paraId="07DFE7E2" w14:textId="77777777" w:rsidR="00662A17" w:rsidRPr="00662A17" w:rsidRDefault="00662A17" w:rsidP="00662A17">
      <w:pPr>
        <w:pStyle w:val="FootnoteText"/>
        <w:spacing w:after="120"/>
        <w:ind w:firstLine="720"/>
        <w:jc w:val="both"/>
        <w:rPr>
          <w:rFonts w:ascii="Cambria" w:hAnsi="Cambria"/>
          <w:sz w:val="16"/>
          <w:szCs w:val="16"/>
          <w:lang w:val="es-ES"/>
        </w:rPr>
      </w:pPr>
      <w:r w:rsidRPr="00695246">
        <w:rPr>
          <w:rStyle w:val="FootnoteReference"/>
          <w:rFonts w:ascii="Cambria" w:hAnsi="Cambria"/>
          <w:sz w:val="16"/>
          <w:szCs w:val="16"/>
        </w:rPr>
        <w:footnoteRef/>
      </w:r>
      <w:r w:rsidRPr="00695246">
        <w:rPr>
          <w:rFonts w:ascii="Cambria" w:hAnsi="Cambria"/>
          <w:sz w:val="16"/>
          <w:szCs w:val="16"/>
          <w:lang w:val="es-ES"/>
        </w:rPr>
        <w:t xml:space="preserve"> CIDH, </w:t>
      </w:r>
      <w:hyperlink r:id="rId3" w:history="1">
        <w:r>
          <w:rPr>
            <w:rStyle w:val="Hyperlink"/>
            <w:rFonts w:ascii="Cambria" w:hAnsi="Cambria"/>
            <w:sz w:val="16"/>
            <w:szCs w:val="16"/>
            <w:lang w:val="es-ES"/>
          </w:rPr>
          <w:t xml:space="preserve">Caso 12.776, Informe de Fondo </w:t>
        </w:r>
        <w:proofErr w:type="spellStart"/>
        <w:r>
          <w:rPr>
            <w:rStyle w:val="Hyperlink"/>
            <w:rFonts w:ascii="Cambria" w:hAnsi="Cambria"/>
            <w:sz w:val="16"/>
            <w:szCs w:val="16"/>
            <w:lang w:val="es-ES"/>
          </w:rPr>
          <w:t>Nº</w:t>
        </w:r>
        <w:proofErr w:type="spellEnd"/>
        <w:r w:rsidRPr="00695246">
          <w:rPr>
            <w:rStyle w:val="Hyperlink"/>
            <w:rFonts w:ascii="Cambria" w:hAnsi="Cambria"/>
            <w:sz w:val="16"/>
            <w:szCs w:val="16"/>
            <w:lang w:val="es-ES"/>
          </w:rPr>
          <w:t xml:space="preserve"> 81/11, Jeffrey Timothy </w:t>
        </w:r>
        <w:proofErr w:type="spellStart"/>
        <w:r w:rsidRPr="00695246">
          <w:rPr>
            <w:rStyle w:val="Hyperlink"/>
            <w:rFonts w:ascii="Cambria" w:hAnsi="Cambria"/>
            <w:sz w:val="16"/>
            <w:szCs w:val="16"/>
            <w:lang w:val="es-ES"/>
          </w:rPr>
          <w:t>Landrigan</w:t>
        </w:r>
        <w:proofErr w:type="spellEnd"/>
        <w:r w:rsidRPr="00695246">
          <w:rPr>
            <w:rStyle w:val="Hyperlink"/>
            <w:rFonts w:ascii="Cambria" w:hAnsi="Cambria"/>
            <w:sz w:val="16"/>
            <w:szCs w:val="16"/>
            <w:lang w:val="es-ES"/>
          </w:rPr>
          <w:t xml:space="preserve"> (Estados Unidos)</w:t>
        </w:r>
      </w:hyperlink>
      <w:r w:rsidRPr="00695246">
        <w:rPr>
          <w:rFonts w:ascii="Cambria" w:hAnsi="Cambria"/>
          <w:sz w:val="16"/>
          <w:szCs w:val="16"/>
          <w:lang w:val="es-ES"/>
        </w:rPr>
        <w:t xml:space="preserve">, párr. </w:t>
      </w:r>
      <w:r w:rsidRPr="00662A17">
        <w:rPr>
          <w:rFonts w:ascii="Cambria" w:hAnsi="Cambria"/>
          <w:sz w:val="16"/>
          <w:szCs w:val="16"/>
          <w:lang w:val="es-ES"/>
        </w:rPr>
        <w:t>59.</w:t>
      </w:r>
    </w:p>
  </w:footnote>
  <w:footnote w:id="4">
    <w:p w14:paraId="33CF8CEA" w14:textId="77777777" w:rsidR="00662A17" w:rsidRPr="00695246" w:rsidRDefault="00662A17" w:rsidP="00662A17">
      <w:pPr>
        <w:pStyle w:val="FootnoteText"/>
        <w:spacing w:after="120"/>
        <w:ind w:firstLine="720"/>
        <w:jc w:val="both"/>
        <w:rPr>
          <w:rFonts w:ascii="Cambria" w:hAnsi="Cambria"/>
          <w:sz w:val="16"/>
          <w:szCs w:val="16"/>
          <w:lang w:val="es-US"/>
        </w:rPr>
      </w:pPr>
      <w:r w:rsidRPr="00695246">
        <w:rPr>
          <w:rStyle w:val="FootnoteReference"/>
          <w:rFonts w:ascii="Cambria" w:hAnsi="Cambria"/>
          <w:sz w:val="16"/>
          <w:szCs w:val="16"/>
        </w:rPr>
        <w:footnoteRef/>
      </w:r>
      <w:r w:rsidRPr="00695246">
        <w:rPr>
          <w:rFonts w:ascii="Cambria" w:hAnsi="Cambria"/>
          <w:sz w:val="16"/>
          <w:szCs w:val="16"/>
          <w:lang w:val="es-US"/>
        </w:rPr>
        <w:t xml:space="preserve"> CIDH, Comunicado de prensa </w:t>
      </w:r>
      <w:r>
        <w:rPr>
          <w:rFonts w:ascii="Cambria" w:hAnsi="Cambria"/>
          <w:sz w:val="16"/>
          <w:szCs w:val="16"/>
          <w:lang w:val="es-US"/>
        </w:rPr>
        <w:t xml:space="preserve">Nº </w:t>
      </w:r>
      <w:r w:rsidRPr="00695246">
        <w:rPr>
          <w:rFonts w:ascii="Cambria" w:hAnsi="Cambria"/>
          <w:sz w:val="16"/>
          <w:szCs w:val="16"/>
          <w:lang w:val="es-US"/>
        </w:rPr>
        <w:t xml:space="preserve">107/10 – </w:t>
      </w:r>
      <w:hyperlink r:id="rId4" w:history="1">
        <w:r w:rsidRPr="00695246">
          <w:rPr>
            <w:rStyle w:val="Hyperlink"/>
            <w:rFonts w:ascii="Cambria" w:hAnsi="Cambria"/>
            <w:sz w:val="16"/>
            <w:szCs w:val="16"/>
            <w:lang w:val="es-US"/>
          </w:rPr>
          <w:t xml:space="preserve">CIDH concluye que </w:t>
        </w:r>
        <w:proofErr w:type="gramStart"/>
        <w:r w:rsidRPr="00695246">
          <w:rPr>
            <w:rStyle w:val="Hyperlink"/>
            <w:rFonts w:ascii="Cambria" w:hAnsi="Cambria"/>
            <w:sz w:val="16"/>
            <w:szCs w:val="16"/>
            <w:lang w:val="es-US"/>
          </w:rPr>
          <w:t>EEUU</w:t>
        </w:r>
        <w:proofErr w:type="gramEnd"/>
        <w:r w:rsidRPr="00695246">
          <w:rPr>
            <w:rStyle w:val="Hyperlink"/>
            <w:rFonts w:ascii="Cambria" w:hAnsi="Cambria"/>
            <w:sz w:val="16"/>
            <w:szCs w:val="16"/>
            <w:lang w:val="es-US"/>
          </w:rPr>
          <w:t xml:space="preserve"> violó derechos fundamentales de </w:t>
        </w:r>
        <w:proofErr w:type="spellStart"/>
        <w:r w:rsidRPr="00695246">
          <w:rPr>
            <w:rStyle w:val="Hyperlink"/>
            <w:rFonts w:ascii="Cambria" w:hAnsi="Cambria"/>
            <w:sz w:val="16"/>
            <w:szCs w:val="16"/>
            <w:lang w:val="es-US"/>
          </w:rPr>
          <w:t>Landrigan</w:t>
        </w:r>
        <w:proofErr w:type="spellEnd"/>
        <w:r w:rsidRPr="00695246">
          <w:rPr>
            <w:rStyle w:val="Hyperlink"/>
            <w:rFonts w:ascii="Cambria" w:hAnsi="Cambria"/>
            <w:sz w:val="16"/>
            <w:szCs w:val="16"/>
            <w:lang w:val="es-US"/>
          </w:rPr>
          <w:t xml:space="preserve"> y requiere la suspensión de su ejecución</w:t>
        </w:r>
      </w:hyperlink>
      <w:r w:rsidRPr="00695246">
        <w:rPr>
          <w:rFonts w:ascii="Cambria" w:hAnsi="Cambria"/>
          <w:sz w:val="16"/>
          <w:szCs w:val="16"/>
          <w:lang w:val="es-US"/>
        </w:rPr>
        <w:t>. Washington, D</w:t>
      </w:r>
      <w:r>
        <w:rPr>
          <w:rFonts w:ascii="Cambria" w:hAnsi="Cambria"/>
          <w:sz w:val="16"/>
          <w:szCs w:val="16"/>
          <w:lang w:val="es-US"/>
        </w:rPr>
        <w:t>.</w:t>
      </w:r>
      <w:r w:rsidRPr="00695246">
        <w:rPr>
          <w:rFonts w:ascii="Cambria" w:hAnsi="Cambria"/>
          <w:sz w:val="16"/>
          <w:szCs w:val="16"/>
          <w:lang w:val="es-US"/>
        </w:rPr>
        <w:t>C</w:t>
      </w:r>
      <w:r>
        <w:rPr>
          <w:rFonts w:ascii="Cambria" w:hAnsi="Cambria"/>
          <w:sz w:val="16"/>
          <w:szCs w:val="16"/>
          <w:lang w:val="es-US"/>
        </w:rPr>
        <w:t>.</w:t>
      </w:r>
      <w:r w:rsidRPr="00695246">
        <w:rPr>
          <w:rFonts w:ascii="Cambria" w:hAnsi="Cambria"/>
          <w:sz w:val="16"/>
          <w:szCs w:val="16"/>
          <w:lang w:val="es-US"/>
        </w:rPr>
        <w:t xml:space="preserve">, 22 de octubre 2010. </w:t>
      </w:r>
    </w:p>
  </w:footnote>
  <w:footnote w:id="5">
    <w:p w14:paraId="3C5DAF3F" w14:textId="77777777" w:rsidR="00662A17" w:rsidRPr="00695246" w:rsidRDefault="00662A17" w:rsidP="00662A17">
      <w:pPr>
        <w:pStyle w:val="FootnoteText"/>
        <w:spacing w:after="120"/>
        <w:ind w:firstLine="720"/>
        <w:jc w:val="both"/>
        <w:rPr>
          <w:rFonts w:ascii="Cambria" w:hAnsi="Cambria"/>
          <w:sz w:val="16"/>
          <w:szCs w:val="16"/>
          <w:lang w:val="es-US"/>
        </w:rPr>
      </w:pPr>
      <w:r w:rsidRPr="00695246">
        <w:rPr>
          <w:rStyle w:val="FootnoteReference"/>
          <w:rFonts w:ascii="Cambria" w:hAnsi="Cambria"/>
          <w:sz w:val="16"/>
          <w:szCs w:val="16"/>
        </w:rPr>
        <w:footnoteRef/>
      </w:r>
      <w:r w:rsidRPr="00695246">
        <w:rPr>
          <w:rFonts w:ascii="Cambria" w:hAnsi="Cambria"/>
          <w:sz w:val="16"/>
          <w:szCs w:val="16"/>
          <w:lang w:val="es-US"/>
        </w:rPr>
        <w:t xml:space="preserve"> CIDH, </w:t>
      </w:r>
      <w:hyperlink r:id="rId5" w:history="1">
        <w:r w:rsidRPr="00695246">
          <w:rPr>
            <w:rStyle w:val="Hyperlink"/>
            <w:rFonts w:ascii="Cambria" w:hAnsi="Cambria"/>
            <w:sz w:val="16"/>
            <w:szCs w:val="16"/>
            <w:lang w:val="es-US"/>
          </w:rPr>
          <w:t xml:space="preserve">Caso 12.776, Informe de Fondo No. 81/11, Jeffrey Timothy </w:t>
        </w:r>
        <w:proofErr w:type="spellStart"/>
        <w:r w:rsidRPr="00695246">
          <w:rPr>
            <w:rStyle w:val="Hyperlink"/>
            <w:rFonts w:ascii="Cambria" w:hAnsi="Cambria"/>
            <w:sz w:val="16"/>
            <w:szCs w:val="16"/>
            <w:lang w:val="es-US"/>
          </w:rPr>
          <w:t>Landrigan</w:t>
        </w:r>
        <w:proofErr w:type="spellEnd"/>
        <w:r w:rsidRPr="00695246">
          <w:rPr>
            <w:rStyle w:val="Hyperlink"/>
            <w:rFonts w:ascii="Cambria" w:hAnsi="Cambria"/>
            <w:sz w:val="16"/>
            <w:szCs w:val="16"/>
            <w:lang w:val="es-US"/>
          </w:rPr>
          <w:t xml:space="preserve"> (Estados Unidos)</w:t>
        </w:r>
      </w:hyperlink>
      <w:r w:rsidRPr="00695246">
        <w:rPr>
          <w:rFonts w:ascii="Cambria" w:hAnsi="Cambria"/>
          <w:sz w:val="16"/>
          <w:szCs w:val="16"/>
          <w:lang w:val="es-US"/>
        </w:rPr>
        <w:t>, párr. 62.</w:t>
      </w:r>
    </w:p>
  </w:footnote>
  <w:footnote w:id="6">
    <w:p w14:paraId="7118CD3D" w14:textId="77777777" w:rsidR="00662A17" w:rsidRPr="00695246" w:rsidRDefault="00662A17" w:rsidP="00662A17">
      <w:pPr>
        <w:pStyle w:val="FootnoteText"/>
        <w:spacing w:after="120"/>
        <w:ind w:firstLine="720"/>
        <w:jc w:val="both"/>
        <w:rPr>
          <w:rFonts w:ascii="Cambria" w:hAnsi="Cambria"/>
          <w:sz w:val="16"/>
          <w:szCs w:val="16"/>
          <w:lang w:val="es-US"/>
        </w:rPr>
      </w:pPr>
      <w:r w:rsidRPr="00695246">
        <w:rPr>
          <w:rStyle w:val="FootnoteReference"/>
          <w:rFonts w:ascii="Cambria" w:hAnsi="Cambria"/>
          <w:sz w:val="16"/>
          <w:szCs w:val="16"/>
        </w:rPr>
        <w:footnoteRef/>
      </w:r>
      <w:r w:rsidRPr="00695246">
        <w:rPr>
          <w:rFonts w:ascii="Cambria" w:hAnsi="Cambria"/>
          <w:sz w:val="16"/>
          <w:szCs w:val="16"/>
          <w:lang w:val="es-US"/>
        </w:rPr>
        <w:t xml:space="preserve"> CIDH, </w:t>
      </w:r>
      <w:hyperlink r:id="rId6" w:history="1">
        <w:r w:rsidRPr="00695246">
          <w:rPr>
            <w:rStyle w:val="Hyperlink"/>
            <w:rFonts w:ascii="Cambria" w:hAnsi="Cambria"/>
            <w:sz w:val="16"/>
            <w:szCs w:val="16"/>
            <w:lang w:val="es-US"/>
          </w:rPr>
          <w:t xml:space="preserve">Caso 12.776, Informe de Fondo No. 81/11, Jeffrey Timothy </w:t>
        </w:r>
        <w:proofErr w:type="spellStart"/>
        <w:r w:rsidRPr="00695246">
          <w:rPr>
            <w:rStyle w:val="Hyperlink"/>
            <w:rFonts w:ascii="Cambria" w:hAnsi="Cambria"/>
            <w:sz w:val="16"/>
            <w:szCs w:val="16"/>
            <w:lang w:val="es-US"/>
          </w:rPr>
          <w:t>Landrigan</w:t>
        </w:r>
        <w:proofErr w:type="spellEnd"/>
        <w:r w:rsidRPr="00695246">
          <w:rPr>
            <w:rStyle w:val="Hyperlink"/>
            <w:rFonts w:ascii="Cambria" w:hAnsi="Cambria"/>
            <w:sz w:val="16"/>
            <w:szCs w:val="16"/>
            <w:lang w:val="es-US"/>
          </w:rPr>
          <w:t xml:space="preserve"> (Estados Unidos)</w:t>
        </w:r>
      </w:hyperlink>
      <w:r w:rsidRPr="00695246">
        <w:rPr>
          <w:rFonts w:ascii="Cambria" w:hAnsi="Cambria"/>
          <w:sz w:val="16"/>
          <w:szCs w:val="16"/>
          <w:lang w:val="es-US"/>
        </w:rPr>
        <w:t xml:space="preserve">, </w:t>
      </w:r>
      <w:proofErr w:type="spellStart"/>
      <w:r w:rsidRPr="00662A17">
        <w:rPr>
          <w:rFonts w:ascii="Cambria" w:hAnsi="Cambria"/>
          <w:sz w:val="16"/>
          <w:szCs w:val="16"/>
          <w:lang w:val="es-ES"/>
        </w:rPr>
        <w:t>párr</w:t>
      </w:r>
      <w:proofErr w:type="spellEnd"/>
      <w:r w:rsidRPr="00695246">
        <w:rPr>
          <w:rFonts w:ascii="Cambria" w:hAnsi="Cambria"/>
          <w:sz w:val="16"/>
          <w:szCs w:val="16"/>
          <w:lang w:val="es-US"/>
        </w:rPr>
        <w:t>. 62.</w:t>
      </w:r>
    </w:p>
  </w:footnote>
  <w:footnote w:id="7">
    <w:p w14:paraId="5F8696B1" w14:textId="77777777" w:rsidR="00662A17" w:rsidRPr="00695246" w:rsidRDefault="00662A17" w:rsidP="00662A17">
      <w:pPr>
        <w:pStyle w:val="FootnoteText"/>
        <w:spacing w:after="120"/>
        <w:ind w:firstLine="720"/>
        <w:jc w:val="both"/>
        <w:rPr>
          <w:rFonts w:ascii="Cambria" w:hAnsi="Cambria"/>
          <w:sz w:val="16"/>
          <w:szCs w:val="16"/>
          <w:lang w:val="es-US"/>
        </w:rPr>
      </w:pPr>
      <w:r w:rsidRPr="00695246">
        <w:rPr>
          <w:rStyle w:val="FootnoteReference"/>
          <w:rFonts w:ascii="Cambria" w:hAnsi="Cambria"/>
          <w:sz w:val="16"/>
          <w:szCs w:val="16"/>
        </w:rPr>
        <w:footnoteRef/>
      </w:r>
      <w:r w:rsidRPr="00695246">
        <w:rPr>
          <w:rFonts w:ascii="Cambria" w:hAnsi="Cambria"/>
          <w:sz w:val="16"/>
          <w:szCs w:val="16"/>
          <w:lang w:val="es-US"/>
        </w:rPr>
        <w:t xml:space="preserve"> CIDH, </w:t>
      </w:r>
      <w:hyperlink r:id="rId7" w:history="1">
        <w:r w:rsidRPr="00695246">
          <w:rPr>
            <w:rStyle w:val="Hyperlink"/>
            <w:rFonts w:ascii="Cambria" w:hAnsi="Cambria"/>
            <w:sz w:val="16"/>
            <w:szCs w:val="16"/>
            <w:lang w:val="es-US"/>
          </w:rPr>
          <w:t xml:space="preserve">Caso 12.776, Informe de Fondo No. 81/11, Jeffrey Timothy </w:t>
        </w:r>
        <w:proofErr w:type="spellStart"/>
        <w:r w:rsidRPr="00695246">
          <w:rPr>
            <w:rStyle w:val="Hyperlink"/>
            <w:rFonts w:ascii="Cambria" w:hAnsi="Cambria"/>
            <w:sz w:val="16"/>
            <w:szCs w:val="16"/>
            <w:lang w:val="es-US"/>
          </w:rPr>
          <w:t>Landrigan</w:t>
        </w:r>
        <w:proofErr w:type="spellEnd"/>
        <w:r w:rsidRPr="00695246">
          <w:rPr>
            <w:rStyle w:val="Hyperlink"/>
            <w:rFonts w:ascii="Cambria" w:hAnsi="Cambria"/>
            <w:sz w:val="16"/>
            <w:szCs w:val="16"/>
            <w:lang w:val="es-US"/>
          </w:rPr>
          <w:t xml:space="preserve"> (Estados Unidos)</w:t>
        </w:r>
      </w:hyperlink>
      <w:r w:rsidRPr="00695246">
        <w:rPr>
          <w:rFonts w:ascii="Cambria" w:hAnsi="Cambria"/>
          <w:sz w:val="16"/>
          <w:szCs w:val="16"/>
          <w:lang w:val="es-US"/>
        </w:rPr>
        <w:t xml:space="preserve">, </w:t>
      </w:r>
      <w:r w:rsidRPr="00D75DE6">
        <w:rPr>
          <w:rFonts w:ascii="Cambria" w:hAnsi="Cambria"/>
          <w:sz w:val="16"/>
          <w:szCs w:val="16"/>
          <w:lang w:val="es-ES"/>
        </w:rPr>
        <w:t>párr.</w:t>
      </w:r>
      <w:r w:rsidRPr="00695246">
        <w:rPr>
          <w:rFonts w:ascii="Cambria" w:hAnsi="Cambria"/>
          <w:sz w:val="16"/>
          <w:szCs w:val="16"/>
          <w:lang w:val="es-US"/>
        </w:rPr>
        <w:t xml:space="preserve"> 64.</w:t>
      </w:r>
    </w:p>
  </w:footnote>
  <w:footnote w:id="8">
    <w:p w14:paraId="494FF61E" w14:textId="77777777" w:rsidR="00662A17" w:rsidRPr="0096736E" w:rsidRDefault="00662A17" w:rsidP="00662A17">
      <w:pPr>
        <w:pStyle w:val="FootnoteText"/>
        <w:spacing w:after="120"/>
        <w:ind w:firstLine="720"/>
        <w:jc w:val="both"/>
        <w:rPr>
          <w:rFonts w:ascii="Cambria" w:hAnsi="Cambria"/>
          <w:sz w:val="16"/>
          <w:szCs w:val="16"/>
          <w:lang w:val="es-US"/>
        </w:rPr>
      </w:pPr>
      <w:r w:rsidRPr="00695246">
        <w:rPr>
          <w:rStyle w:val="FootnoteReference"/>
          <w:rFonts w:ascii="Cambria" w:hAnsi="Cambria"/>
          <w:sz w:val="16"/>
          <w:szCs w:val="16"/>
        </w:rPr>
        <w:footnoteRef/>
      </w:r>
      <w:r w:rsidRPr="00862C0C">
        <w:rPr>
          <w:rFonts w:ascii="Cambria" w:hAnsi="Cambria"/>
          <w:sz w:val="16"/>
          <w:szCs w:val="16"/>
          <w:lang w:val="es-US"/>
        </w:rPr>
        <w:t xml:space="preserve"> CIDH, Informe Anual 2012, </w:t>
      </w:r>
      <w:hyperlink r:id="rId8" w:history="1">
        <w:r w:rsidRPr="00862C0C">
          <w:rPr>
            <w:rStyle w:val="Hyperlink"/>
            <w:rFonts w:ascii="Cambria" w:hAnsi="Cambria"/>
            <w:sz w:val="16"/>
            <w:szCs w:val="16"/>
            <w:lang w:val="es-US"/>
          </w:rPr>
          <w:t xml:space="preserve">Capítulo III, </w:t>
        </w:r>
        <w:r w:rsidRPr="00695246">
          <w:rPr>
            <w:rStyle w:val="Hyperlink"/>
            <w:rFonts w:ascii="Cambria" w:hAnsi="Cambria"/>
            <w:sz w:val="16"/>
            <w:szCs w:val="16"/>
            <w:lang w:val="es-US"/>
          </w:rPr>
          <w:t>Sección D: Estado del cumplimiento de las recomendaciones de la CIDH</w:t>
        </w:r>
      </w:hyperlink>
      <w:r w:rsidRPr="00695246">
        <w:rPr>
          <w:rFonts w:ascii="Cambria" w:hAnsi="Cambria"/>
          <w:sz w:val="16"/>
          <w:szCs w:val="16"/>
          <w:lang w:val="es-US"/>
        </w:rPr>
        <w:t>, párr. 653.</w:t>
      </w:r>
      <w:r w:rsidRPr="0096736E">
        <w:rPr>
          <w:rFonts w:ascii="Cambria" w:hAnsi="Cambria"/>
          <w:sz w:val="16"/>
          <w:szCs w:val="16"/>
          <w:lang w:val="es-US"/>
        </w:rPr>
        <w:t xml:space="preserve">  </w:t>
      </w:r>
    </w:p>
  </w:footnote>
  <w:footnote w:id="9">
    <w:p w14:paraId="1BA1B35E" w14:textId="77777777" w:rsidR="00662A17" w:rsidRPr="00CA2A19" w:rsidRDefault="00662A17" w:rsidP="00662A17">
      <w:pPr>
        <w:pStyle w:val="FootnoteText"/>
        <w:spacing w:after="120"/>
        <w:ind w:firstLine="720"/>
        <w:jc w:val="both"/>
        <w:rPr>
          <w:rFonts w:ascii="Cambria" w:hAnsi="Cambria"/>
          <w:sz w:val="16"/>
          <w:szCs w:val="16"/>
          <w:lang w:val="es-US"/>
        </w:rPr>
      </w:pPr>
      <w:r w:rsidRPr="009B6A7B">
        <w:rPr>
          <w:rStyle w:val="FootnoteReference"/>
          <w:rFonts w:ascii="Cambria" w:hAnsi="Cambria"/>
          <w:sz w:val="16"/>
          <w:szCs w:val="16"/>
        </w:rPr>
        <w:footnoteRef/>
      </w:r>
      <w:r w:rsidRPr="009B6A7B">
        <w:rPr>
          <w:rFonts w:ascii="Cambria" w:hAnsi="Cambria"/>
          <w:sz w:val="16"/>
          <w:szCs w:val="16"/>
          <w:lang w:val="es-US"/>
        </w:rPr>
        <w:t xml:space="preserve"> </w:t>
      </w:r>
      <w:r w:rsidRPr="009B6A7B">
        <w:rPr>
          <w:rFonts w:ascii="Cambria" w:hAnsi="Cambria"/>
          <w:sz w:val="16"/>
          <w:szCs w:val="16"/>
          <w:lang w:val="es-ES"/>
        </w:rPr>
        <w:t xml:space="preserve">CIDH, Informe Anual 2017, </w:t>
      </w:r>
      <w:hyperlink r:id="rId9" w:history="1">
        <w:r w:rsidRPr="009B6A7B">
          <w:rPr>
            <w:rStyle w:val="Hyperlink"/>
            <w:rFonts w:ascii="Cambria" w:hAnsi="Cambria"/>
            <w:sz w:val="16"/>
            <w:szCs w:val="16"/>
            <w:lang w:val="es-ES"/>
          </w:rPr>
          <w:t>Capítulo II, Sección F: Estado del cumplimiento de las recomendaciones de la CIDH</w:t>
        </w:r>
      </w:hyperlink>
      <w:r w:rsidRPr="009B6A7B">
        <w:rPr>
          <w:rFonts w:ascii="Cambria" w:hAnsi="Cambria"/>
          <w:sz w:val="16"/>
          <w:szCs w:val="16"/>
          <w:lang w:val="es-ES"/>
        </w:rPr>
        <w:t xml:space="preserve">, párr. </w:t>
      </w:r>
      <w:r w:rsidRPr="00CA2A19">
        <w:rPr>
          <w:rFonts w:ascii="Cambria" w:hAnsi="Cambria"/>
          <w:sz w:val="16"/>
          <w:szCs w:val="16"/>
          <w:lang w:val="es-US"/>
        </w:rPr>
        <w:t>1287</w:t>
      </w:r>
    </w:p>
  </w:footnote>
  <w:footnote w:id="10">
    <w:p w14:paraId="256AE827" w14:textId="77777777" w:rsidR="00662A17" w:rsidRPr="006013A3" w:rsidRDefault="00662A17" w:rsidP="00662A17">
      <w:pPr>
        <w:pStyle w:val="FootnoteText"/>
        <w:spacing w:after="120"/>
        <w:ind w:firstLine="720"/>
        <w:jc w:val="both"/>
        <w:rPr>
          <w:rFonts w:ascii="Cambria" w:hAnsi="Cambria"/>
          <w:sz w:val="16"/>
          <w:szCs w:val="16"/>
        </w:rPr>
      </w:pPr>
      <w:r w:rsidRPr="002B320D">
        <w:rPr>
          <w:rStyle w:val="FootnoteReference"/>
          <w:rFonts w:ascii="Cambria" w:hAnsi="Cambria"/>
          <w:sz w:val="16"/>
          <w:szCs w:val="16"/>
        </w:rPr>
        <w:footnoteRef/>
      </w:r>
      <w:r w:rsidRPr="002B320D">
        <w:rPr>
          <w:rFonts w:ascii="Cambria" w:hAnsi="Cambria"/>
          <w:sz w:val="16"/>
          <w:szCs w:val="16"/>
        </w:rPr>
        <w:t xml:space="preserve"> IACHR, </w:t>
      </w:r>
      <w:proofErr w:type="gramStart"/>
      <w:r w:rsidRPr="002B320D">
        <w:rPr>
          <w:rFonts w:ascii="Cambria" w:hAnsi="Cambria"/>
          <w:sz w:val="16"/>
          <w:szCs w:val="16"/>
        </w:rPr>
        <w:t>Press</w:t>
      </w:r>
      <w:proofErr w:type="gramEnd"/>
      <w:r w:rsidRPr="002B320D">
        <w:rPr>
          <w:rFonts w:ascii="Cambria" w:hAnsi="Cambria"/>
          <w:sz w:val="16"/>
          <w:szCs w:val="16"/>
        </w:rPr>
        <w:t xml:space="preserve"> release 107/10 - </w:t>
      </w:r>
      <w:hyperlink r:id="rId10" w:history="1">
        <w:r w:rsidRPr="002B320D">
          <w:rPr>
            <w:rStyle w:val="Hyperlink"/>
            <w:rFonts w:ascii="Cambria" w:hAnsi="Cambria"/>
            <w:sz w:val="16"/>
            <w:szCs w:val="16"/>
          </w:rPr>
          <w:t xml:space="preserve">IACHR concludes that the United States violated </w:t>
        </w:r>
        <w:proofErr w:type="spellStart"/>
        <w:r w:rsidRPr="002B320D">
          <w:rPr>
            <w:rStyle w:val="Hyperlink"/>
            <w:rFonts w:ascii="Cambria" w:hAnsi="Cambria"/>
            <w:sz w:val="16"/>
            <w:szCs w:val="16"/>
          </w:rPr>
          <w:t>Landrigan’s</w:t>
        </w:r>
        <w:proofErr w:type="spellEnd"/>
        <w:r w:rsidRPr="002B320D">
          <w:rPr>
            <w:rStyle w:val="Hyperlink"/>
            <w:rFonts w:ascii="Cambria" w:hAnsi="Cambria"/>
            <w:sz w:val="16"/>
            <w:szCs w:val="16"/>
          </w:rPr>
          <w:t xml:space="preserve"> basic rights and asks that his execution be suspended</w:t>
        </w:r>
      </w:hyperlink>
      <w:r w:rsidRPr="002B320D">
        <w:rPr>
          <w:rFonts w:ascii="Cambria" w:hAnsi="Cambria"/>
          <w:sz w:val="16"/>
          <w:szCs w:val="16"/>
        </w:rPr>
        <w:t xml:space="preserve">. </w:t>
      </w:r>
      <w:r w:rsidRPr="006013A3">
        <w:rPr>
          <w:rFonts w:ascii="Cambria" w:hAnsi="Cambria"/>
          <w:sz w:val="16"/>
          <w:szCs w:val="16"/>
        </w:rPr>
        <w:t xml:space="preserve">Washington, D.C., October 22, 2010. </w:t>
      </w:r>
    </w:p>
  </w:footnote>
  <w:footnote w:id="11">
    <w:p w14:paraId="1158F331" w14:textId="77777777" w:rsidR="00662A17" w:rsidRPr="00203097" w:rsidRDefault="00662A17" w:rsidP="00662A17">
      <w:pPr>
        <w:pStyle w:val="FootnoteText"/>
        <w:spacing w:after="120"/>
        <w:ind w:firstLine="720"/>
        <w:jc w:val="both"/>
        <w:rPr>
          <w:rFonts w:ascii="Cambria" w:hAnsi="Cambria"/>
          <w:sz w:val="16"/>
          <w:szCs w:val="16"/>
          <w:lang w:val="es-BO"/>
        </w:rPr>
      </w:pPr>
      <w:r w:rsidRPr="00C62768">
        <w:rPr>
          <w:rStyle w:val="FootnoteReference"/>
          <w:rFonts w:ascii="Cambria" w:hAnsi="Cambria"/>
          <w:sz w:val="16"/>
          <w:szCs w:val="16"/>
        </w:rPr>
        <w:footnoteRef/>
      </w:r>
      <w:r w:rsidRPr="00C62768">
        <w:rPr>
          <w:rFonts w:ascii="Cambria" w:hAnsi="Cambria"/>
          <w:sz w:val="16"/>
          <w:szCs w:val="16"/>
        </w:rPr>
        <w:t xml:space="preserve"> IACHR, </w:t>
      </w:r>
      <w:proofErr w:type="gramStart"/>
      <w:r w:rsidRPr="00C62768">
        <w:rPr>
          <w:rFonts w:ascii="Cambria" w:hAnsi="Cambria"/>
          <w:sz w:val="16"/>
          <w:szCs w:val="16"/>
        </w:rPr>
        <w:t>Press</w:t>
      </w:r>
      <w:proofErr w:type="gramEnd"/>
      <w:r w:rsidRPr="00C62768">
        <w:rPr>
          <w:rFonts w:ascii="Cambria" w:hAnsi="Cambria"/>
          <w:sz w:val="16"/>
          <w:szCs w:val="16"/>
        </w:rPr>
        <w:t xml:space="preserve"> release 244/18 - </w:t>
      </w:r>
      <w:hyperlink r:id="rId11" w:history="1">
        <w:r w:rsidRPr="00C62768">
          <w:rPr>
            <w:rStyle w:val="Hyperlink"/>
            <w:rFonts w:ascii="Cambria" w:hAnsi="Cambria"/>
            <w:sz w:val="16"/>
            <w:szCs w:val="16"/>
          </w:rPr>
          <w:t>IACHR Condemns Execution of Roberto Moreno Ramos in Texas</w:t>
        </w:r>
      </w:hyperlink>
      <w:r w:rsidRPr="00C62768">
        <w:rPr>
          <w:rFonts w:ascii="Cambria" w:hAnsi="Cambria"/>
          <w:sz w:val="16"/>
          <w:szCs w:val="16"/>
        </w:rPr>
        <w:t xml:space="preserve">. </w:t>
      </w:r>
      <w:r w:rsidRPr="00203097">
        <w:rPr>
          <w:rFonts w:ascii="Cambria" w:hAnsi="Cambria"/>
          <w:sz w:val="16"/>
          <w:szCs w:val="16"/>
          <w:lang w:val="es-BO"/>
        </w:rPr>
        <w:t xml:space="preserve">Washington, D.C., </w:t>
      </w:r>
      <w:proofErr w:type="spellStart"/>
      <w:r w:rsidRPr="00203097">
        <w:rPr>
          <w:rFonts w:ascii="Cambria" w:hAnsi="Cambria"/>
          <w:sz w:val="16"/>
          <w:szCs w:val="16"/>
          <w:lang w:val="es-BO"/>
        </w:rPr>
        <w:t>November</w:t>
      </w:r>
      <w:proofErr w:type="spellEnd"/>
      <w:r w:rsidRPr="00203097">
        <w:rPr>
          <w:rFonts w:ascii="Cambria" w:hAnsi="Cambria"/>
          <w:sz w:val="16"/>
          <w:szCs w:val="16"/>
          <w:lang w:val="es-BO"/>
        </w:rPr>
        <w:t xml:space="preserve"> 16, 2018. </w:t>
      </w:r>
    </w:p>
  </w:footnote>
  <w:footnote w:id="12">
    <w:p w14:paraId="1C765C2B" w14:textId="77777777" w:rsidR="00662A17" w:rsidRPr="00CA2A19" w:rsidRDefault="00662A17" w:rsidP="00662A17">
      <w:pPr>
        <w:pStyle w:val="FootnoteText"/>
        <w:spacing w:after="120"/>
        <w:ind w:firstLine="720"/>
        <w:jc w:val="both"/>
        <w:rPr>
          <w:rFonts w:ascii="Cambria" w:hAnsi="Cambria"/>
          <w:sz w:val="16"/>
          <w:szCs w:val="16"/>
          <w:lang w:val="es-US"/>
        </w:rPr>
      </w:pPr>
      <w:r w:rsidRPr="009B6A7B">
        <w:rPr>
          <w:rStyle w:val="FootnoteReference"/>
          <w:rFonts w:ascii="Cambria" w:hAnsi="Cambria"/>
          <w:sz w:val="16"/>
          <w:szCs w:val="16"/>
        </w:rPr>
        <w:footnoteRef/>
      </w:r>
      <w:r w:rsidRPr="009B6A7B">
        <w:rPr>
          <w:rFonts w:ascii="Cambria" w:hAnsi="Cambria"/>
          <w:sz w:val="16"/>
          <w:szCs w:val="16"/>
          <w:lang w:val="pt-BR"/>
        </w:rPr>
        <w:t xml:space="preserve"> </w:t>
      </w:r>
      <w:r w:rsidRPr="009B6A7B">
        <w:rPr>
          <w:rFonts w:ascii="Cambria" w:hAnsi="Cambria"/>
          <w:sz w:val="16"/>
          <w:szCs w:val="16"/>
          <w:lang w:val="pt-BR"/>
        </w:rPr>
        <w:t xml:space="preserve">CIDH, Informe Anual 2012, </w:t>
      </w:r>
      <w:hyperlink r:id="rId12" w:history="1">
        <w:r w:rsidRPr="009B6A7B">
          <w:rPr>
            <w:rStyle w:val="Hyperlink"/>
            <w:rFonts w:ascii="Cambria" w:hAnsi="Cambria"/>
            <w:sz w:val="16"/>
            <w:szCs w:val="16"/>
            <w:lang w:val="pt-BR"/>
          </w:rPr>
          <w:t xml:space="preserve">Capítulo III. </w:t>
        </w:r>
        <w:r w:rsidRPr="009B6A7B">
          <w:rPr>
            <w:rStyle w:val="Hyperlink"/>
            <w:rFonts w:ascii="Cambria" w:hAnsi="Cambria"/>
            <w:sz w:val="16"/>
            <w:szCs w:val="16"/>
            <w:lang w:val="es-US"/>
          </w:rPr>
          <w:t>Sección D: Estado del cumplimiento de las recomendaciones de la CIDH</w:t>
        </w:r>
      </w:hyperlink>
      <w:r w:rsidRPr="009B6A7B">
        <w:rPr>
          <w:rFonts w:ascii="Cambria" w:hAnsi="Cambria"/>
          <w:sz w:val="16"/>
          <w:szCs w:val="16"/>
          <w:lang w:val="es-US"/>
        </w:rPr>
        <w:t xml:space="preserve">, párr. </w:t>
      </w:r>
      <w:r w:rsidRPr="00CA2A19">
        <w:rPr>
          <w:rFonts w:ascii="Cambria" w:hAnsi="Cambria"/>
          <w:sz w:val="16"/>
          <w:szCs w:val="16"/>
          <w:lang w:val="es-US"/>
        </w:rPr>
        <w:t xml:space="preserve">653.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1742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422F4BE">
              <v:stroke joinstyle="miter"/>
              <v:path gradientshapeok="t" o:connecttype="rect"/>
            </v:shapetype>
            <v:shape id="Caixa de Texto 9"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">
              <v:textbox>
                <w:txbxContent>
                  <w:p w:rsidR="00181DA0" w:rsidRDefault="00500FDE" w14:paraId="4F74AD32" w14:textId="69328626">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213A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5E93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234"/>
    <w:multiLevelType w:val="hybridMultilevel"/>
    <w:tmpl w:val="1E04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01F10"/>
    <w:multiLevelType w:val="hybridMultilevel"/>
    <w:tmpl w:val="A600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7D864E1"/>
    <w:multiLevelType w:val="hybridMultilevel"/>
    <w:tmpl w:val="919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8"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 w15:restartNumberingAfterBreak="0">
    <w:nsid w:val="3B3C2CB4"/>
    <w:multiLevelType w:val="hybridMultilevel"/>
    <w:tmpl w:val="4BD2442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3C780D84"/>
    <w:multiLevelType w:val="hybridMultilevel"/>
    <w:tmpl w:val="9E6E5C00"/>
    <w:lvl w:ilvl="0" w:tplc="68D670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3" w15:restartNumberingAfterBreak="0">
    <w:nsid w:val="427662E5"/>
    <w:multiLevelType w:val="hybridMultilevel"/>
    <w:tmpl w:val="8A8E021E"/>
    <w:lvl w:ilvl="0" w:tplc="FC120C76">
      <w:start w:val="1"/>
      <w:numFmt w:val="decimal"/>
      <w:lvlText w:val="%1."/>
      <w:lvlJc w:val="left"/>
      <w:pPr>
        <w:ind w:left="0" w:firstLine="72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A07D1"/>
    <w:multiLevelType w:val="hybridMultilevel"/>
    <w:tmpl w:val="EE085A36"/>
    <w:lvl w:ilvl="0" w:tplc="36DC0F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92294D"/>
    <w:multiLevelType w:val="hybridMultilevel"/>
    <w:tmpl w:val="330CCABE"/>
    <w:lvl w:ilvl="0" w:tplc="367EFF8C">
      <w:start w:val="1"/>
      <w:numFmt w:val="decimal"/>
      <w:lvlText w:val="%1."/>
      <w:lvlJc w:val="left"/>
      <w:pPr>
        <w:ind w:left="0" w:firstLine="720"/>
      </w:pPr>
      <w:rPr>
        <w:rFonts w:hint="default"/>
        <w:b w:val="0"/>
        <w:color w:val="auto"/>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554506518">
    <w:abstractNumId w:val="12"/>
  </w:num>
  <w:num w:numId="2" w16cid:durableId="875510657">
    <w:abstractNumId w:val="18"/>
  </w:num>
  <w:num w:numId="3" w16cid:durableId="977995243">
    <w:abstractNumId w:val="15"/>
  </w:num>
  <w:num w:numId="4" w16cid:durableId="1998263015">
    <w:abstractNumId w:val="7"/>
  </w:num>
  <w:num w:numId="5" w16cid:durableId="1547643224">
    <w:abstractNumId w:val="5"/>
  </w:num>
  <w:num w:numId="6" w16cid:durableId="1008216942">
    <w:abstractNumId w:val="9"/>
  </w:num>
  <w:num w:numId="7" w16cid:durableId="472795081">
    <w:abstractNumId w:val="1"/>
  </w:num>
  <w:num w:numId="8" w16cid:durableId="828441630">
    <w:abstractNumId w:val="14"/>
  </w:num>
  <w:num w:numId="9" w16cid:durableId="2130784292">
    <w:abstractNumId w:val="2"/>
  </w:num>
  <w:num w:numId="10" w16cid:durableId="1259631204">
    <w:abstractNumId w:val="17"/>
  </w:num>
  <w:num w:numId="11" w16cid:durableId="148061429">
    <w:abstractNumId w:val="16"/>
  </w:num>
  <w:num w:numId="12" w16cid:durableId="1895651784">
    <w:abstractNumId w:val="13"/>
  </w:num>
  <w:num w:numId="13" w16cid:durableId="161241677">
    <w:abstractNumId w:val="6"/>
  </w:num>
  <w:num w:numId="14" w16cid:durableId="1489398133">
    <w:abstractNumId w:val="11"/>
  </w:num>
  <w:num w:numId="15" w16cid:durableId="972255455">
    <w:abstractNumId w:val="0"/>
  </w:num>
  <w:num w:numId="16" w16cid:durableId="1672096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9672636">
    <w:abstractNumId w:val="10"/>
  </w:num>
  <w:num w:numId="18" w16cid:durableId="1793203312">
    <w:abstractNumId w:val="3"/>
  </w:num>
  <w:num w:numId="19" w16cid:durableId="607810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B5E1D"/>
    <w:rsid w:val="00105B23"/>
    <w:rsid w:val="00181DA0"/>
    <w:rsid w:val="002248FB"/>
    <w:rsid w:val="00234E64"/>
    <w:rsid w:val="00322720"/>
    <w:rsid w:val="00453115"/>
    <w:rsid w:val="004758C9"/>
    <w:rsid w:val="0048723C"/>
    <w:rsid w:val="00500FDE"/>
    <w:rsid w:val="00566CD0"/>
    <w:rsid w:val="006265E9"/>
    <w:rsid w:val="00637ED3"/>
    <w:rsid w:val="00662A17"/>
    <w:rsid w:val="006638E5"/>
    <w:rsid w:val="00672733"/>
    <w:rsid w:val="006B1F24"/>
    <w:rsid w:val="006B441C"/>
    <w:rsid w:val="006C11E1"/>
    <w:rsid w:val="007C4DCE"/>
    <w:rsid w:val="007D31D6"/>
    <w:rsid w:val="008463D3"/>
    <w:rsid w:val="00862E37"/>
    <w:rsid w:val="008818B0"/>
    <w:rsid w:val="008861D6"/>
    <w:rsid w:val="0091160B"/>
    <w:rsid w:val="0096505F"/>
    <w:rsid w:val="0097712A"/>
    <w:rsid w:val="00987D94"/>
    <w:rsid w:val="009E3BAC"/>
    <w:rsid w:val="00B2018D"/>
    <w:rsid w:val="00BD17B0"/>
    <w:rsid w:val="00BF7A78"/>
    <w:rsid w:val="00C60D7A"/>
    <w:rsid w:val="00CA2A19"/>
    <w:rsid w:val="00CD5456"/>
    <w:rsid w:val="00D56DC4"/>
    <w:rsid w:val="00E042FE"/>
    <w:rsid w:val="00E516AB"/>
    <w:rsid w:val="00E90CB3"/>
    <w:rsid w:val="00EA0262"/>
    <w:rsid w:val="00EC61E3"/>
    <w:rsid w:val="00ED0AAA"/>
    <w:rsid w:val="00ED1EBA"/>
    <w:rsid w:val="00F41E7E"/>
    <w:rsid w:val="00FD65F9"/>
    <w:rsid w:val="20346017"/>
    <w:rsid w:val="4A29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E37"/>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FD65F9"/>
    <w:pPr>
      <w:spacing w:after="160" w:line="240" w:lineRule="exact"/>
    </w:pPr>
    <w:rPr>
      <w:vertAlign w:val="superscript"/>
    </w:rPr>
  </w:style>
  <w:style w:type="character" w:styleId="Hyperlink">
    <w:name w:val="Hyperlink"/>
    <w:uiPriority w:val="99"/>
    <w:unhideWhenUsed/>
    <w:rsid w:val="00FD65F9"/>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FD65F9"/>
  </w:style>
  <w:style w:type="character" w:customStyle="1" w:styleId="xhyperlink1">
    <w:name w:val="x_hyperlink1"/>
    <w:rsid w:val="00B2018D"/>
  </w:style>
  <w:style w:type="paragraph" w:styleId="NoSpacing">
    <w:name w:val="No Spacing"/>
    <w:uiPriority w:val="1"/>
    <w:qFormat/>
    <w:rsid w:val="00862E37"/>
    <w:rPr>
      <w:rFonts w:ascii="Calibri" w:eastAsia="Calibri" w:hAnsi="Calibri" w:cs="Times New Roman"/>
      <w:sz w:val="22"/>
      <w:szCs w:val="22"/>
      <w:lang w:val="pt-BR"/>
    </w:rPr>
  </w:style>
  <w:style w:type="paragraph" w:customStyle="1" w:styleId="Default">
    <w:name w:val="Default"/>
    <w:rsid w:val="00CD5456"/>
    <w:pPr>
      <w:autoSpaceDE w:val="0"/>
      <w:autoSpaceDN w:val="0"/>
      <w:adjustRightInd w:val="0"/>
    </w:pPr>
    <w:rPr>
      <w:rFonts w:ascii="Cambria" w:eastAsia="Calibri" w:hAnsi="Cambria" w:cs="Cambria"/>
      <w:color w:val="000000"/>
    </w:rPr>
  </w:style>
  <w:style w:type="paragraph" w:styleId="ListBullet">
    <w:name w:val="List Bullet"/>
    <w:basedOn w:val="Normal"/>
    <w:uiPriority w:val="99"/>
    <w:unhideWhenUsed/>
    <w:rsid w:val="00CD5456"/>
    <w:pPr>
      <w:numPr>
        <w:numId w:val="15"/>
      </w:numPr>
      <w:spacing w:after="200" w:line="276" w:lineRule="auto"/>
      <w:contextualSpacing/>
    </w:pPr>
    <w:rPr>
      <w:rFonts w:ascii="Calibri" w:eastAsia="Calibri" w:hAnsi="Calibri" w:cs="Times New Roman"/>
      <w:sz w:val="22"/>
      <w:szCs w:val="22"/>
    </w:rPr>
  </w:style>
  <w:style w:type="paragraph" w:styleId="BlockText">
    <w:name w:val="Block Text"/>
    <w:basedOn w:val="Normal"/>
    <w:uiPriority w:val="99"/>
    <w:rsid w:val="00987D94"/>
    <w:pPr>
      <w:spacing w:before="100" w:beforeAutospacing="1" w:after="100" w:afterAutospacing="1"/>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2011/USPU12776ES.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dh.org/medidas/2004.sp.htm" TargetMode="External"/><Relationship Id="rId4" Type="http://schemas.openxmlformats.org/officeDocument/2006/relationships/settings" Target="settings.xml"/><Relationship Id="rId9" Type="http://schemas.openxmlformats.org/officeDocument/2006/relationships/hyperlink" Target="http://www.cidh.oas.org/annualrep/2009sp/EEUU1177-04.sp.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n/iachr/docs/annual/2012/Chap.3.D.doc" TargetMode="External"/><Relationship Id="rId3" Type="http://schemas.openxmlformats.org/officeDocument/2006/relationships/hyperlink" Target="http://www.oas.org/es/cidh/decisiones/2011/USPU12776ES.doc" TargetMode="External"/><Relationship Id="rId7" Type="http://schemas.openxmlformats.org/officeDocument/2006/relationships/hyperlink" Target="http://www.oas.org/es/cidh/decisiones/2011/USPU12776ES.doc" TargetMode="External"/><Relationship Id="rId12" Type="http://schemas.openxmlformats.org/officeDocument/2006/relationships/hyperlink" Target="http://www.oas.org/en/iachr/docs/annual/2012/Chap.3.D.doc" TargetMode="External"/><Relationship Id="rId2" Type="http://schemas.openxmlformats.org/officeDocument/2006/relationships/hyperlink" Target="http://www.oas.org/es/cidh/decisiones/2011/USPU12776ES.doc" TargetMode="External"/><Relationship Id="rId1" Type="http://schemas.openxmlformats.org/officeDocument/2006/relationships/hyperlink" Target="http://www.oas.org/es/cidh/decisiones/2011/USPU12776ES.doc" TargetMode="External"/><Relationship Id="rId6" Type="http://schemas.openxmlformats.org/officeDocument/2006/relationships/hyperlink" Target="http://www.oas.org/es/cidh/decisiones/2011/USPU12776ES.doc" TargetMode="External"/><Relationship Id="rId11" Type="http://schemas.openxmlformats.org/officeDocument/2006/relationships/hyperlink" Target="http://www.oas.org/en/iachr/media_center/PReleases/2018/244.asp" TargetMode="External"/><Relationship Id="rId5" Type="http://schemas.openxmlformats.org/officeDocument/2006/relationships/hyperlink" Target="http://www.oas.org/es/cidh/decisiones/2011/USPU12776ES.doc" TargetMode="External"/><Relationship Id="rId10" Type="http://schemas.openxmlformats.org/officeDocument/2006/relationships/hyperlink" Target="http://www.cidh.oas.org/Comunicados/English/2010/107-10eng.htm" TargetMode="External"/><Relationship Id="rId4" Type="http://schemas.openxmlformats.org/officeDocument/2006/relationships/hyperlink" Target="http://www.cidh.oas.org/Comunicados/Spanish/2010/107-10sp.htm" TargetMode="External"/><Relationship Id="rId9" Type="http://schemas.openxmlformats.org/officeDocument/2006/relationships/hyperlink" Target="http://www.oas.org/es/cidh/docs/anual/2017/docs/IA2017cap.2-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2022-04-21T12:55:00Z</dcterms:created>
  <dcterms:modified xsi:type="dcterms:W3CDTF">2022-04-21T12:55:00Z</dcterms:modified>
</cp:coreProperties>
</file>