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8DD7" w14:textId="77777777" w:rsidR="001A7561" w:rsidRPr="00895EA2" w:rsidRDefault="001A7561" w:rsidP="001A7561">
      <w:pPr>
        <w:jc w:val="center"/>
        <w:rPr>
          <w:rFonts w:ascii="Cambria" w:hAnsi="Cambria"/>
          <w:b/>
          <w:color w:val="000000" w:themeColor="text1"/>
          <w:sz w:val="20"/>
          <w:szCs w:val="20"/>
          <w:lang w:val="es-ES"/>
        </w:rPr>
      </w:pPr>
    </w:p>
    <w:p w14:paraId="62163BF5" w14:textId="77777777" w:rsidR="001A7561" w:rsidRPr="00895EA2" w:rsidRDefault="001A7561" w:rsidP="001A7561">
      <w:pPr>
        <w:pStyle w:val="Header"/>
        <w:jc w:val="center"/>
        <w:rPr>
          <w:rFonts w:ascii="Cambria" w:hAnsi="Cambria"/>
          <w:color w:val="000000" w:themeColor="text1"/>
          <w:sz w:val="20"/>
          <w:szCs w:val="20"/>
          <w:lang w:val="es-ES"/>
        </w:rPr>
      </w:pPr>
      <w:r w:rsidRPr="00895EA2">
        <w:rPr>
          <w:rFonts w:ascii="Cambria" w:hAnsi="Cambria"/>
          <w:b/>
          <w:color w:val="000000" w:themeColor="text1"/>
          <w:sz w:val="20"/>
          <w:szCs w:val="20"/>
          <w:lang w:val="es-ES"/>
        </w:rPr>
        <w:t>FICHA DE SEGUIMIENTO DEL INFORME Nº 53/13</w:t>
      </w:r>
    </w:p>
    <w:p w14:paraId="0A071174" w14:textId="77777777" w:rsidR="001A7561" w:rsidRPr="00895EA2" w:rsidRDefault="001A7561" w:rsidP="001A7561">
      <w:pPr>
        <w:jc w:val="center"/>
        <w:rPr>
          <w:rFonts w:ascii="Cambria" w:hAnsi="Cambria"/>
          <w:b/>
          <w:color w:val="000000" w:themeColor="text1"/>
          <w:sz w:val="20"/>
          <w:szCs w:val="20"/>
          <w:lang w:val="es-ES"/>
        </w:rPr>
      </w:pPr>
      <w:r w:rsidRPr="00895EA2">
        <w:rPr>
          <w:rFonts w:ascii="Cambria" w:hAnsi="Cambria"/>
          <w:b/>
          <w:color w:val="000000" w:themeColor="text1"/>
          <w:sz w:val="20"/>
          <w:szCs w:val="20"/>
          <w:lang w:val="es-ES"/>
        </w:rPr>
        <w:t>CASO 12.864</w:t>
      </w:r>
    </w:p>
    <w:p w14:paraId="4C3554C0" w14:textId="77777777" w:rsidR="001A7561" w:rsidRPr="00895EA2" w:rsidRDefault="001A7561" w:rsidP="001A7561">
      <w:pPr>
        <w:jc w:val="center"/>
        <w:rPr>
          <w:rFonts w:ascii="Cambria" w:hAnsi="Cambria"/>
          <w:b/>
          <w:color w:val="000000" w:themeColor="text1"/>
          <w:sz w:val="20"/>
          <w:szCs w:val="20"/>
          <w:lang w:val="es-ES"/>
        </w:rPr>
      </w:pPr>
      <w:r w:rsidRPr="00895EA2">
        <w:rPr>
          <w:rFonts w:ascii="Cambria" w:hAnsi="Cambria"/>
          <w:b/>
          <w:color w:val="000000" w:themeColor="text1"/>
          <w:sz w:val="20"/>
          <w:szCs w:val="20"/>
          <w:lang w:val="es-ES"/>
        </w:rPr>
        <w:t>IVÁN TELEGUZ</w:t>
      </w:r>
    </w:p>
    <w:p w14:paraId="350119C6" w14:textId="77777777" w:rsidR="001A7561" w:rsidRPr="00895EA2" w:rsidRDefault="001A7561" w:rsidP="001A7561">
      <w:pPr>
        <w:jc w:val="center"/>
        <w:rPr>
          <w:rFonts w:ascii="Cambria" w:hAnsi="Cambria"/>
          <w:b/>
          <w:color w:val="000000" w:themeColor="text1"/>
          <w:sz w:val="20"/>
          <w:szCs w:val="20"/>
          <w:lang w:val="es-ES"/>
        </w:rPr>
      </w:pPr>
      <w:r w:rsidRPr="00895EA2">
        <w:rPr>
          <w:rFonts w:ascii="Cambria" w:hAnsi="Cambria"/>
          <w:b/>
          <w:color w:val="000000" w:themeColor="text1"/>
          <w:sz w:val="20"/>
          <w:szCs w:val="20"/>
          <w:lang w:val="es-ES"/>
        </w:rPr>
        <w:t>(Estados Unidos)</w:t>
      </w:r>
    </w:p>
    <w:p w14:paraId="06469A79" w14:textId="77777777" w:rsidR="001A7561" w:rsidRPr="00895EA2" w:rsidRDefault="001A7561" w:rsidP="001A7561">
      <w:pPr>
        <w:jc w:val="both"/>
        <w:rPr>
          <w:rFonts w:ascii="Cambria" w:hAnsi="Cambria"/>
          <w:b/>
          <w:color w:val="000000" w:themeColor="text1"/>
          <w:sz w:val="20"/>
          <w:szCs w:val="20"/>
          <w:lang w:val="es-ES"/>
        </w:rPr>
      </w:pPr>
    </w:p>
    <w:p w14:paraId="5DA0C9C1" w14:textId="77777777" w:rsidR="001A7561" w:rsidRPr="00895EA2" w:rsidRDefault="001A7561" w:rsidP="001A7561">
      <w:pPr>
        <w:numPr>
          <w:ilvl w:val="0"/>
          <w:numId w:val="8"/>
        </w:numPr>
        <w:ind w:left="1440"/>
        <w:rPr>
          <w:rFonts w:ascii="Cambria" w:hAnsi="Cambria" w:cs="Calibri Light"/>
          <w:b/>
          <w:color w:val="000000" w:themeColor="text1"/>
          <w:sz w:val="20"/>
          <w:szCs w:val="20"/>
          <w:lang w:val="es-ES"/>
        </w:rPr>
      </w:pPr>
      <w:r w:rsidRPr="00895EA2">
        <w:rPr>
          <w:rFonts w:ascii="Cambria" w:hAnsi="Cambria" w:cs="Calibri Light"/>
          <w:b/>
          <w:color w:val="000000" w:themeColor="text1"/>
          <w:sz w:val="20"/>
          <w:szCs w:val="20"/>
          <w:lang w:val="es-ES"/>
        </w:rPr>
        <w:t xml:space="preserve">Resumen del caso </w:t>
      </w:r>
    </w:p>
    <w:p w14:paraId="7C68DAFC" w14:textId="77777777" w:rsidR="001A7561" w:rsidRPr="00895EA2" w:rsidRDefault="001A7561" w:rsidP="001A7561">
      <w:pPr>
        <w:ind w:left="1080"/>
        <w:jc w:val="both"/>
        <w:rPr>
          <w:rFonts w:ascii="Cambria" w:hAnsi="Cambria" w:cs="Calibri Light"/>
          <w:b/>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895EA2" w:rsidRPr="00425EEA" w14:paraId="0E108C3B" w14:textId="77777777" w:rsidTr="00AA3A3F">
        <w:trPr>
          <w:jc w:val="center"/>
        </w:trPr>
        <w:tc>
          <w:tcPr>
            <w:tcW w:w="9576" w:type="dxa"/>
            <w:shd w:val="clear" w:color="auto" w:fill="F2F2F2"/>
          </w:tcPr>
          <w:p w14:paraId="5DA5E8A3" w14:textId="77777777" w:rsidR="001A7561" w:rsidRPr="00895EA2" w:rsidRDefault="001A7561" w:rsidP="00AA3A3F">
            <w:pPr>
              <w:spacing w:before="120"/>
              <w:jc w:val="both"/>
              <w:rPr>
                <w:rFonts w:ascii="Cambria" w:hAnsi="Cambria"/>
                <w:color w:val="000000" w:themeColor="text1"/>
                <w:sz w:val="20"/>
                <w:szCs w:val="20"/>
                <w:lang w:val="es-ES"/>
              </w:rPr>
            </w:pPr>
            <w:r w:rsidRPr="00895EA2">
              <w:rPr>
                <w:rFonts w:ascii="Cambria" w:hAnsi="Cambria"/>
                <w:b/>
                <w:color w:val="000000" w:themeColor="text1"/>
                <w:sz w:val="20"/>
                <w:szCs w:val="20"/>
                <w:lang w:val="es-ES"/>
              </w:rPr>
              <w:t xml:space="preserve">Víctima (s): </w:t>
            </w:r>
            <w:r w:rsidRPr="00895EA2">
              <w:rPr>
                <w:rFonts w:ascii="Cambria" w:hAnsi="Cambria"/>
                <w:color w:val="000000" w:themeColor="text1"/>
                <w:sz w:val="20"/>
                <w:szCs w:val="20"/>
                <w:lang w:val="es-ES"/>
              </w:rPr>
              <w:t xml:space="preserve">Iván </w:t>
            </w:r>
            <w:proofErr w:type="spellStart"/>
            <w:r w:rsidRPr="00895EA2">
              <w:rPr>
                <w:rFonts w:ascii="Cambria" w:hAnsi="Cambria"/>
                <w:color w:val="000000" w:themeColor="text1"/>
                <w:sz w:val="20"/>
                <w:szCs w:val="20"/>
                <w:lang w:val="es-ES"/>
              </w:rPr>
              <w:t>Teleguz</w:t>
            </w:r>
            <w:proofErr w:type="spellEnd"/>
          </w:p>
          <w:p w14:paraId="40DA8F0E" w14:textId="77777777" w:rsidR="001A7561" w:rsidRPr="00895EA2" w:rsidRDefault="001A7561" w:rsidP="00AA3A3F">
            <w:pPr>
              <w:jc w:val="both"/>
              <w:rPr>
                <w:rFonts w:ascii="Cambria" w:hAnsi="Cambria"/>
                <w:b/>
                <w:color w:val="000000" w:themeColor="text1"/>
                <w:sz w:val="20"/>
                <w:szCs w:val="20"/>
                <w:lang w:val="es-ES"/>
              </w:rPr>
            </w:pPr>
            <w:r w:rsidRPr="00895EA2">
              <w:rPr>
                <w:rFonts w:ascii="Cambria" w:hAnsi="Cambria"/>
                <w:b/>
                <w:color w:val="000000" w:themeColor="text1"/>
                <w:sz w:val="20"/>
                <w:szCs w:val="20"/>
                <w:lang w:val="es-ES"/>
              </w:rPr>
              <w:t>Peticionario (s):</w:t>
            </w:r>
            <w:r w:rsidRPr="00895EA2">
              <w:rPr>
                <w:rFonts w:ascii="Cambria" w:hAnsi="Cambria"/>
                <w:color w:val="000000" w:themeColor="text1"/>
                <w:sz w:val="20"/>
                <w:szCs w:val="20"/>
                <w:lang w:val="es-ES"/>
              </w:rPr>
              <w:t xml:space="preserve"> Elizabeth </w:t>
            </w:r>
            <w:proofErr w:type="spellStart"/>
            <w:r w:rsidRPr="00895EA2">
              <w:rPr>
                <w:rFonts w:ascii="Cambria" w:hAnsi="Cambria"/>
                <w:color w:val="000000" w:themeColor="text1"/>
                <w:sz w:val="20"/>
                <w:szCs w:val="20"/>
                <w:lang w:val="es-ES"/>
              </w:rPr>
              <w:t>Peiffer</w:t>
            </w:r>
            <w:proofErr w:type="spellEnd"/>
            <w:r w:rsidRPr="00895EA2">
              <w:rPr>
                <w:rFonts w:ascii="Cambria" w:hAnsi="Cambria"/>
                <w:color w:val="000000" w:themeColor="text1"/>
                <w:sz w:val="20"/>
                <w:szCs w:val="20"/>
                <w:lang w:val="es-ES"/>
              </w:rPr>
              <w:t xml:space="preserve">, </w:t>
            </w:r>
            <w:proofErr w:type="spellStart"/>
            <w:r w:rsidRPr="00895EA2">
              <w:rPr>
                <w:rFonts w:ascii="Cambria" w:hAnsi="Cambria"/>
                <w:color w:val="000000" w:themeColor="text1"/>
                <w:sz w:val="20"/>
                <w:szCs w:val="20"/>
                <w:lang w:val="es-ES"/>
              </w:rPr>
              <w:t>Reprieve</w:t>
            </w:r>
            <w:proofErr w:type="spellEnd"/>
            <w:r w:rsidRPr="00895EA2">
              <w:rPr>
                <w:rFonts w:ascii="Cambria" w:hAnsi="Cambria"/>
                <w:color w:val="000000" w:themeColor="text1"/>
                <w:sz w:val="20"/>
                <w:szCs w:val="20"/>
                <w:lang w:val="es-ES"/>
              </w:rPr>
              <w:t xml:space="preserve"> </w:t>
            </w:r>
          </w:p>
          <w:p w14:paraId="1BAEDDC3" w14:textId="77777777" w:rsidR="001A7561" w:rsidRPr="00895EA2" w:rsidRDefault="001A7561" w:rsidP="00AA3A3F">
            <w:pPr>
              <w:jc w:val="both"/>
              <w:rPr>
                <w:rFonts w:ascii="Cambria" w:hAnsi="Cambria"/>
                <w:color w:val="000000" w:themeColor="text1"/>
                <w:sz w:val="20"/>
                <w:szCs w:val="20"/>
                <w:lang w:val="es-ES"/>
              </w:rPr>
            </w:pPr>
            <w:r w:rsidRPr="00895EA2">
              <w:rPr>
                <w:rFonts w:ascii="Cambria" w:hAnsi="Cambria"/>
                <w:b/>
                <w:color w:val="000000" w:themeColor="text1"/>
                <w:sz w:val="20"/>
                <w:szCs w:val="20"/>
                <w:lang w:val="es-ES"/>
              </w:rPr>
              <w:t xml:space="preserve">Estado: </w:t>
            </w:r>
            <w:r w:rsidRPr="00895EA2">
              <w:rPr>
                <w:rFonts w:ascii="Cambria" w:hAnsi="Cambria"/>
                <w:color w:val="000000" w:themeColor="text1"/>
                <w:sz w:val="20"/>
                <w:szCs w:val="20"/>
                <w:lang w:val="es-ES"/>
              </w:rPr>
              <w:t>Estados Unidos</w:t>
            </w:r>
          </w:p>
          <w:p w14:paraId="1E7E34DE" w14:textId="77777777" w:rsidR="001A7561" w:rsidRPr="00895EA2" w:rsidRDefault="001A7561" w:rsidP="00AA3A3F">
            <w:pPr>
              <w:jc w:val="both"/>
              <w:rPr>
                <w:rFonts w:ascii="Cambria" w:hAnsi="Cambria"/>
                <w:color w:val="000000" w:themeColor="text1"/>
                <w:sz w:val="20"/>
                <w:szCs w:val="20"/>
                <w:lang w:val="es-ES"/>
              </w:rPr>
            </w:pPr>
            <w:r w:rsidRPr="00895EA2">
              <w:rPr>
                <w:rFonts w:ascii="Cambria" w:hAnsi="Cambria"/>
                <w:b/>
                <w:color w:val="000000" w:themeColor="text1"/>
                <w:sz w:val="20"/>
                <w:szCs w:val="20"/>
                <w:lang w:val="es-ES"/>
              </w:rPr>
              <w:t xml:space="preserve">Informe de Fondo </w:t>
            </w:r>
            <w:proofErr w:type="spellStart"/>
            <w:r w:rsidRPr="00895EA2">
              <w:rPr>
                <w:rFonts w:ascii="Cambria" w:hAnsi="Cambria"/>
                <w:b/>
                <w:color w:val="000000" w:themeColor="text1"/>
                <w:sz w:val="20"/>
                <w:szCs w:val="20"/>
                <w:lang w:val="es-ES"/>
              </w:rPr>
              <w:t>Nº</w:t>
            </w:r>
            <w:proofErr w:type="spellEnd"/>
            <w:r w:rsidRPr="00895EA2">
              <w:rPr>
                <w:rFonts w:ascii="Cambria" w:hAnsi="Cambria"/>
                <w:b/>
                <w:color w:val="000000" w:themeColor="text1"/>
                <w:sz w:val="20"/>
                <w:szCs w:val="20"/>
                <w:lang w:val="es-ES"/>
              </w:rPr>
              <w:t xml:space="preserve">: </w:t>
            </w:r>
            <w:hyperlink r:id="rId8" w:history="1">
              <w:r w:rsidRPr="00895EA2">
                <w:rPr>
                  <w:rStyle w:val="Hyperlink"/>
                  <w:rFonts w:ascii="Cambria" w:hAnsi="Cambria"/>
                  <w:color w:val="000000" w:themeColor="text1"/>
                  <w:sz w:val="20"/>
                  <w:szCs w:val="20"/>
                  <w:lang w:val="es-ES"/>
                </w:rPr>
                <w:t>53/13</w:t>
              </w:r>
            </w:hyperlink>
            <w:r w:rsidRPr="00895EA2">
              <w:rPr>
                <w:rFonts w:ascii="Cambria" w:hAnsi="Cambria"/>
                <w:color w:val="000000" w:themeColor="text1"/>
                <w:sz w:val="20"/>
                <w:szCs w:val="20"/>
                <w:lang w:val="es-ES"/>
              </w:rPr>
              <w:t xml:space="preserve">, publicado el 15 de julio de 2013 </w:t>
            </w:r>
          </w:p>
          <w:p w14:paraId="6ABEF6DF" w14:textId="77777777" w:rsidR="001A7561" w:rsidRPr="00895EA2" w:rsidRDefault="001A7561" w:rsidP="00AA3A3F">
            <w:pPr>
              <w:jc w:val="both"/>
              <w:rPr>
                <w:rFonts w:ascii="Cambria" w:hAnsi="Cambria"/>
                <w:color w:val="000000" w:themeColor="text1"/>
                <w:sz w:val="20"/>
                <w:szCs w:val="20"/>
                <w:lang w:val="es-ES"/>
              </w:rPr>
            </w:pPr>
            <w:r w:rsidRPr="00895EA2">
              <w:rPr>
                <w:rFonts w:ascii="Cambria" w:hAnsi="Cambria"/>
                <w:b/>
                <w:color w:val="000000" w:themeColor="text1"/>
                <w:sz w:val="20"/>
                <w:szCs w:val="20"/>
                <w:lang w:val="es-ES"/>
              </w:rPr>
              <w:t xml:space="preserve">Informe de Admisibilidad </w:t>
            </w:r>
            <w:proofErr w:type="spellStart"/>
            <w:r w:rsidRPr="00895EA2">
              <w:rPr>
                <w:rFonts w:ascii="Cambria" w:hAnsi="Cambria"/>
                <w:b/>
                <w:color w:val="000000" w:themeColor="text1"/>
                <w:sz w:val="20"/>
                <w:szCs w:val="20"/>
                <w:lang w:val="es-ES"/>
              </w:rPr>
              <w:t>Nº</w:t>
            </w:r>
            <w:proofErr w:type="spellEnd"/>
            <w:r w:rsidRPr="00895EA2">
              <w:rPr>
                <w:rFonts w:ascii="Cambria" w:hAnsi="Cambria"/>
                <w:b/>
                <w:color w:val="000000" w:themeColor="text1"/>
                <w:sz w:val="20"/>
                <w:szCs w:val="20"/>
                <w:lang w:val="es-ES"/>
              </w:rPr>
              <w:t xml:space="preserve">: </w:t>
            </w:r>
            <w:hyperlink r:id="rId9" w:history="1">
              <w:r w:rsidRPr="00895EA2">
                <w:rPr>
                  <w:rStyle w:val="Hyperlink"/>
                  <w:rFonts w:ascii="Cambria" w:hAnsi="Cambria"/>
                  <w:color w:val="000000" w:themeColor="text1"/>
                  <w:sz w:val="20"/>
                  <w:szCs w:val="20"/>
                  <w:lang w:val="es-ES"/>
                </w:rPr>
                <w:t>16/12</w:t>
              </w:r>
            </w:hyperlink>
            <w:r w:rsidRPr="00895EA2">
              <w:rPr>
                <w:rFonts w:ascii="Cambria" w:hAnsi="Cambria"/>
                <w:color w:val="000000" w:themeColor="text1"/>
                <w:sz w:val="20"/>
                <w:szCs w:val="20"/>
                <w:lang w:val="es-ES"/>
              </w:rPr>
              <w:t xml:space="preserve">, publicado el 20 de marzo de 2012 </w:t>
            </w:r>
          </w:p>
          <w:p w14:paraId="3B11BB21" w14:textId="77777777" w:rsidR="001A7561" w:rsidRPr="00895EA2" w:rsidRDefault="001A7561" w:rsidP="00AA3A3F">
            <w:pPr>
              <w:jc w:val="both"/>
              <w:rPr>
                <w:rFonts w:ascii="Cambria" w:hAnsi="Cambria"/>
                <w:b/>
                <w:color w:val="000000" w:themeColor="text1"/>
                <w:sz w:val="20"/>
                <w:szCs w:val="20"/>
                <w:lang w:val="es-ES"/>
              </w:rPr>
            </w:pPr>
            <w:r w:rsidRPr="00895EA2">
              <w:rPr>
                <w:rFonts w:ascii="Cambria" w:hAnsi="Cambria"/>
                <w:b/>
                <w:color w:val="000000" w:themeColor="text1"/>
                <w:sz w:val="20"/>
                <w:szCs w:val="20"/>
                <w:lang w:val="es-ES"/>
              </w:rPr>
              <w:t xml:space="preserve">Medidas cautelares:  </w:t>
            </w:r>
            <w:hyperlink r:id="rId10" w:anchor="tab2011" w:history="1">
              <w:r w:rsidRPr="00895EA2">
                <w:rPr>
                  <w:rStyle w:val="Hyperlink"/>
                  <w:rFonts w:ascii="Cambria" w:hAnsi="Cambria"/>
                  <w:color w:val="000000" w:themeColor="text1"/>
                  <w:sz w:val="20"/>
                  <w:szCs w:val="20"/>
                  <w:lang w:val="es-ES"/>
                </w:rPr>
                <w:t>MC 470/11</w:t>
              </w:r>
            </w:hyperlink>
            <w:r w:rsidRPr="00895EA2">
              <w:rPr>
                <w:rFonts w:ascii="Cambria" w:hAnsi="Cambria"/>
                <w:color w:val="000000" w:themeColor="text1"/>
                <w:sz w:val="20"/>
                <w:szCs w:val="20"/>
                <w:lang w:val="es-ES"/>
              </w:rPr>
              <w:t>, otorgadas en diciembre de 2011</w:t>
            </w:r>
          </w:p>
          <w:p w14:paraId="3244ACF7" w14:textId="77777777" w:rsidR="001A7561" w:rsidRPr="00895EA2" w:rsidRDefault="001A7561" w:rsidP="00AA3A3F">
            <w:pPr>
              <w:spacing w:after="120"/>
              <w:jc w:val="both"/>
              <w:rPr>
                <w:rFonts w:ascii="Cambria" w:hAnsi="Cambria"/>
                <w:b/>
                <w:color w:val="000000" w:themeColor="text1"/>
                <w:sz w:val="20"/>
                <w:szCs w:val="20"/>
                <w:lang w:val="es-ES"/>
              </w:rPr>
            </w:pPr>
            <w:r w:rsidRPr="00895EA2">
              <w:rPr>
                <w:rFonts w:ascii="Cambria" w:hAnsi="Cambria"/>
                <w:b/>
                <w:color w:val="000000" w:themeColor="text1"/>
                <w:sz w:val="20"/>
                <w:szCs w:val="20"/>
                <w:lang w:val="es-ES"/>
              </w:rPr>
              <w:t xml:space="preserve">Temas: </w:t>
            </w:r>
            <w:r w:rsidRPr="00895EA2">
              <w:rPr>
                <w:rFonts w:ascii="Cambria" w:hAnsi="Cambria"/>
                <w:color w:val="000000" w:themeColor="text1"/>
                <w:sz w:val="20"/>
                <w:szCs w:val="20"/>
                <w:lang w:val="es-ES"/>
              </w:rPr>
              <w:t>Pena de Muerte / Derecho a la Vida / Derecho a la Libertad Personal / Garantías Judiciales / Protección Judicial / Deber de Adoptar Medidas y Disposiciones de Derecho Interno / Notificación Consular o Información de Asistencia Consular / Condiciones de Detención / Derecho a la Integridad Personal / Tortura y otros Tratos Crueles, Inhumanos y/o Degradantes.</w:t>
            </w:r>
          </w:p>
          <w:p w14:paraId="0FAC609E" w14:textId="77777777" w:rsidR="001A7561" w:rsidRPr="00895EA2" w:rsidRDefault="001A7561" w:rsidP="00AA3A3F">
            <w:pPr>
              <w:spacing w:after="120"/>
              <w:jc w:val="both"/>
              <w:rPr>
                <w:rFonts w:ascii="Cambria" w:hAnsi="Cambria"/>
                <w:color w:val="000000" w:themeColor="text1"/>
                <w:sz w:val="20"/>
                <w:szCs w:val="20"/>
                <w:lang w:val="es-ES"/>
              </w:rPr>
            </w:pPr>
            <w:r w:rsidRPr="00895EA2">
              <w:rPr>
                <w:rFonts w:ascii="Cambria" w:hAnsi="Cambria"/>
                <w:b/>
                <w:color w:val="000000" w:themeColor="text1"/>
                <w:sz w:val="20"/>
                <w:szCs w:val="20"/>
                <w:lang w:val="es-ES"/>
              </w:rPr>
              <w:t xml:space="preserve">Hechos: </w:t>
            </w:r>
            <w:r w:rsidRPr="00895EA2">
              <w:rPr>
                <w:rFonts w:ascii="Cambria" w:hAnsi="Cambria"/>
                <w:color w:val="000000" w:themeColor="text1"/>
                <w:sz w:val="20"/>
                <w:szCs w:val="20"/>
                <w:lang w:val="es-ES"/>
              </w:rPr>
              <w:t xml:space="preserve">Este caso se refiere a Iván </w:t>
            </w:r>
            <w:proofErr w:type="spellStart"/>
            <w:r w:rsidRPr="00895EA2">
              <w:rPr>
                <w:rFonts w:ascii="Cambria" w:hAnsi="Cambria"/>
                <w:color w:val="000000" w:themeColor="text1"/>
                <w:sz w:val="20"/>
                <w:szCs w:val="20"/>
                <w:lang w:val="es-ES"/>
              </w:rPr>
              <w:t>Teleguz</w:t>
            </w:r>
            <w:proofErr w:type="spellEnd"/>
            <w:r w:rsidRPr="00895EA2">
              <w:rPr>
                <w:rFonts w:ascii="Cambria" w:hAnsi="Cambria"/>
                <w:color w:val="000000" w:themeColor="text1"/>
                <w:sz w:val="20"/>
                <w:szCs w:val="20"/>
                <w:lang w:val="es-ES"/>
              </w:rPr>
              <w:t>, ciudadano ucraniano, quien fue sentenciado a muerte en 2006 en un procedimiento que violó su derecho al debido proceso, entre otras por la aceptación de testimonios falsos y pocos fiables, y porque no se le informó de su derecho a la notificación y acceso consular.</w:t>
            </w:r>
          </w:p>
          <w:p w14:paraId="63033B8D" w14:textId="77777777" w:rsidR="001A7561" w:rsidRPr="00895EA2" w:rsidRDefault="001A7561" w:rsidP="00AA3A3F">
            <w:pPr>
              <w:pStyle w:val="Default"/>
              <w:spacing w:after="120"/>
              <w:jc w:val="both"/>
              <w:rPr>
                <w:color w:val="000000" w:themeColor="text1"/>
                <w:sz w:val="20"/>
                <w:szCs w:val="20"/>
                <w:lang w:val="es-ES"/>
              </w:rPr>
            </w:pPr>
            <w:r w:rsidRPr="00895EA2">
              <w:rPr>
                <w:b/>
                <w:color w:val="000000" w:themeColor="text1"/>
                <w:sz w:val="20"/>
                <w:szCs w:val="20"/>
                <w:lang w:val="es-ES"/>
              </w:rPr>
              <w:t xml:space="preserve">Derechos violados: </w:t>
            </w:r>
            <w:r w:rsidRPr="00895EA2">
              <w:rPr>
                <w:color w:val="000000" w:themeColor="text1"/>
                <w:sz w:val="20"/>
                <w:szCs w:val="20"/>
                <w:lang w:val="es-ES"/>
              </w:rPr>
              <w:t xml:space="preserve">La Comisión concluyó que Estados Unidos era responsable de la violación del derecho a la vida, a la libertad, a la seguridad e integridad de la persona (artículo I), el derecho de justicia (artículo XVIII), el derecho de petición (artículo XXIV), el derecho de protección contra la detención arbitraria (artículo XXV) y el derecho al debido proceso (artículo XXVI), garantizados en la Declaración Americana, con respecto a Iván </w:t>
            </w:r>
            <w:proofErr w:type="spellStart"/>
            <w:r w:rsidRPr="00895EA2">
              <w:rPr>
                <w:color w:val="000000" w:themeColor="text1"/>
                <w:sz w:val="20"/>
                <w:szCs w:val="20"/>
                <w:lang w:val="es-ES"/>
              </w:rPr>
              <w:t>Teleguz</w:t>
            </w:r>
            <w:proofErr w:type="spellEnd"/>
            <w:r w:rsidRPr="00895EA2">
              <w:rPr>
                <w:color w:val="000000" w:themeColor="text1"/>
                <w:sz w:val="20"/>
                <w:szCs w:val="20"/>
                <w:lang w:val="es-ES"/>
              </w:rPr>
              <w:t>, quien se encuentra privado de la libertad en el pabellón de los condenados a pena de muerte en el estado de Virginia.</w:t>
            </w:r>
          </w:p>
        </w:tc>
      </w:tr>
    </w:tbl>
    <w:p w14:paraId="2BE07E83" w14:textId="77777777" w:rsidR="001A7561" w:rsidRPr="00895EA2" w:rsidRDefault="001A7561" w:rsidP="001A7561">
      <w:pPr>
        <w:jc w:val="both"/>
        <w:rPr>
          <w:rFonts w:ascii="Cambria" w:hAnsi="Cambria"/>
          <w:color w:val="000000" w:themeColor="text1"/>
          <w:sz w:val="20"/>
          <w:szCs w:val="20"/>
          <w:lang w:val="es-ES"/>
        </w:rPr>
      </w:pPr>
    </w:p>
    <w:p w14:paraId="5E624194" w14:textId="77777777" w:rsidR="001A7561" w:rsidRPr="00895EA2" w:rsidRDefault="001A7561" w:rsidP="001A7561">
      <w:pPr>
        <w:numPr>
          <w:ilvl w:val="0"/>
          <w:numId w:val="8"/>
        </w:numPr>
        <w:ind w:left="1440"/>
        <w:jc w:val="both"/>
        <w:rPr>
          <w:rFonts w:ascii="Cambria" w:hAnsi="Cambria" w:cs="Calibri Light"/>
          <w:b/>
          <w:color w:val="000000" w:themeColor="text1"/>
          <w:sz w:val="20"/>
          <w:szCs w:val="20"/>
          <w:lang w:val="es-ES"/>
        </w:rPr>
      </w:pPr>
      <w:r w:rsidRPr="00895EA2">
        <w:rPr>
          <w:rFonts w:ascii="Cambria" w:hAnsi="Cambria" w:cs="Calibri Light"/>
          <w:b/>
          <w:color w:val="000000" w:themeColor="text1"/>
          <w:sz w:val="20"/>
          <w:szCs w:val="20"/>
          <w:lang w:val="es-ES"/>
        </w:rPr>
        <w:t>Recomendaciones</w:t>
      </w:r>
    </w:p>
    <w:p w14:paraId="7A7AAA5F" w14:textId="77777777" w:rsidR="001A7561" w:rsidRPr="00895EA2" w:rsidRDefault="001A7561" w:rsidP="001A7561">
      <w:pPr>
        <w:ind w:left="1080"/>
        <w:jc w:val="both"/>
        <w:rPr>
          <w:rFonts w:ascii="Cambria" w:hAnsi="Cambria" w:cs="Calibri Light"/>
          <w:b/>
          <w:color w:val="000000" w:themeColor="text1"/>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2193"/>
      </w:tblGrid>
      <w:tr w:rsidR="00895EA2" w:rsidRPr="00425EEA" w14:paraId="78E38A1C" w14:textId="77777777" w:rsidTr="00AA3A3F">
        <w:tc>
          <w:tcPr>
            <w:tcW w:w="7320" w:type="dxa"/>
            <w:shd w:val="clear" w:color="auto" w:fill="auto"/>
          </w:tcPr>
          <w:p w14:paraId="4EE6F606" w14:textId="77777777" w:rsidR="001A7561" w:rsidRPr="00895EA2" w:rsidRDefault="001A7561" w:rsidP="00AA3A3F">
            <w:pPr>
              <w:spacing w:before="120"/>
              <w:jc w:val="center"/>
              <w:rPr>
                <w:rFonts w:ascii="Cambria" w:hAnsi="Cambria" w:cs="Calibri Light"/>
                <w:b/>
                <w:color w:val="000000" w:themeColor="text1"/>
                <w:sz w:val="18"/>
                <w:szCs w:val="18"/>
                <w:lang w:val="es-ES"/>
              </w:rPr>
            </w:pPr>
            <w:r w:rsidRPr="00895EA2">
              <w:rPr>
                <w:rFonts w:ascii="Cambria" w:hAnsi="Cambria" w:cs="Calibri Light"/>
                <w:b/>
                <w:color w:val="000000" w:themeColor="text1"/>
                <w:sz w:val="18"/>
                <w:szCs w:val="18"/>
                <w:lang w:val="es-ES"/>
              </w:rPr>
              <w:t>Recomendaciones</w:t>
            </w:r>
          </w:p>
        </w:tc>
        <w:tc>
          <w:tcPr>
            <w:tcW w:w="2220" w:type="dxa"/>
            <w:shd w:val="clear" w:color="auto" w:fill="auto"/>
          </w:tcPr>
          <w:p w14:paraId="0D79133C" w14:textId="77B5AE66" w:rsidR="001A7561" w:rsidRPr="00895EA2" w:rsidRDefault="001A7561" w:rsidP="00AA3A3F">
            <w:pPr>
              <w:jc w:val="center"/>
              <w:rPr>
                <w:rFonts w:ascii="Cambria" w:hAnsi="Cambria" w:cs="Calibri Light"/>
                <w:b/>
                <w:color w:val="000000" w:themeColor="text1"/>
                <w:sz w:val="18"/>
                <w:szCs w:val="18"/>
                <w:lang w:val="es-ES"/>
              </w:rPr>
            </w:pPr>
            <w:r w:rsidRPr="00895EA2">
              <w:rPr>
                <w:rFonts w:ascii="Cambria" w:hAnsi="Cambria" w:cs="Calibri Light"/>
                <w:b/>
                <w:color w:val="000000" w:themeColor="text1"/>
                <w:sz w:val="18"/>
                <w:szCs w:val="18"/>
                <w:lang w:val="es-ES"/>
              </w:rPr>
              <w:t xml:space="preserve">Estado de cumplimiento en el </w:t>
            </w:r>
            <w:r w:rsidR="00C441A9" w:rsidRPr="00895EA2">
              <w:rPr>
                <w:rFonts w:ascii="Cambria" w:hAnsi="Cambria" w:cs="Calibri Light"/>
                <w:b/>
                <w:color w:val="000000" w:themeColor="text1"/>
                <w:sz w:val="18"/>
                <w:szCs w:val="18"/>
                <w:lang w:val="es-ES"/>
              </w:rPr>
              <w:t>2021</w:t>
            </w:r>
          </w:p>
        </w:tc>
      </w:tr>
      <w:tr w:rsidR="00895EA2" w:rsidRPr="00895EA2" w14:paraId="5BF38E84" w14:textId="77777777" w:rsidTr="00AA3A3F">
        <w:tc>
          <w:tcPr>
            <w:tcW w:w="7320" w:type="dxa"/>
            <w:shd w:val="clear" w:color="auto" w:fill="auto"/>
          </w:tcPr>
          <w:p w14:paraId="4C363F8B" w14:textId="77777777" w:rsidR="001A7561" w:rsidRPr="00895EA2" w:rsidRDefault="001A7561" w:rsidP="00AA3A3F">
            <w:pPr>
              <w:jc w:val="both"/>
              <w:rPr>
                <w:rFonts w:ascii="Cambria" w:hAnsi="Cambria"/>
                <w:color w:val="000000" w:themeColor="text1"/>
                <w:sz w:val="18"/>
                <w:szCs w:val="18"/>
                <w:lang w:val="es-ES"/>
              </w:rPr>
            </w:pPr>
            <w:r w:rsidRPr="00895EA2">
              <w:rPr>
                <w:rFonts w:ascii="Cambria" w:hAnsi="Cambria"/>
                <w:color w:val="000000" w:themeColor="text1"/>
                <w:sz w:val="18"/>
                <w:szCs w:val="18"/>
                <w:lang w:val="es-ES"/>
              </w:rPr>
              <w:t xml:space="preserve">1. Otorgar a Iván </w:t>
            </w:r>
            <w:proofErr w:type="spellStart"/>
            <w:r w:rsidRPr="00895EA2">
              <w:rPr>
                <w:rFonts w:ascii="Cambria" w:hAnsi="Cambria"/>
                <w:color w:val="000000" w:themeColor="text1"/>
                <w:sz w:val="18"/>
                <w:szCs w:val="18"/>
                <w:lang w:val="es-ES"/>
              </w:rPr>
              <w:t>Teleguz</w:t>
            </w:r>
            <w:proofErr w:type="spellEnd"/>
            <w:r w:rsidRPr="00895EA2">
              <w:rPr>
                <w:rFonts w:ascii="Cambria" w:hAnsi="Cambria"/>
                <w:color w:val="000000" w:themeColor="text1"/>
                <w:sz w:val="18"/>
                <w:szCs w:val="18"/>
                <w:lang w:val="es-ES"/>
              </w:rPr>
              <w:t xml:space="preserve"> una reparación efectiva, incluida una revisión de su juicio de conformidad con las garantías del debido proceso y de un juicio justo consagradas en los artículos I, XVIII, XXIV y XXVI de la Declaración Americana.</w:t>
            </w:r>
          </w:p>
        </w:tc>
        <w:tc>
          <w:tcPr>
            <w:tcW w:w="2220" w:type="dxa"/>
            <w:shd w:val="clear" w:color="auto" w:fill="auto"/>
            <w:vAlign w:val="center"/>
          </w:tcPr>
          <w:p w14:paraId="58309C93" w14:textId="77777777" w:rsidR="001A7561" w:rsidRPr="00895EA2" w:rsidRDefault="001A7561" w:rsidP="00AA3A3F">
            <w:pPr>
              <w:jc w:val="center"/>
              <w:rPr>
                <w:rFonts w:ascii="Cambria" w:hAnsi="Cambria" w:cs="Calibri Light"/>
                <w:b/>
                <w:color w:val="000000" w:themeColor="text1"/>
                <w:sz w:val="18"/>
                <w:szCs w:val="18"/>
                <w:lang w:val="es-ES"/>
              </w:rPr>
            </w:pPr>
            <w:r w:rsidRPr="00895EA2">
              <w:rPr>
                <w:rFonts w:ascii="Cambria" w:hAnsi="Cambria"/>
                <w:color w:val="000000" w:themeColor="text1"/>
                <w:sz w:val="18"/>
                <w:szCs w:val="18"/>
                <w:lang w:val="es-ES"/>
              </w:rPr>
              <w:t>Cumplimiento parcial</w:t>
            </w:r>
          </w:p>
        </w:tc>
      </w:tr>
      <w:tr w:rsidR="00895EA2" w:rsidRPr="00895EA2" w14:paraId="7272C141" w14:textId="77777777" w:rsidTr="00AA3A3F">
        <w:tc>
          <w:tcPr>
            <w:tcW w:w="7320" w:type="dxa"/>
            <w:shd w:val="clear" w:color="auto" w:fill="auto"/>
          </w:tcPr>
          <w:p w14:paraId="29AF3300" w14:textId="77777777" w:rsidR="001A7561" w:rsidRPr="00895EA2" w:rsidRDefault="001A7561" w:rsidP="00AA3A3F">
            <w:pPr>
              <w:jc w:val="both"/>
              <w:rPr>
                <w:rFonts w:ascii="Cambria" w:hAnsi="Cambria" w:cs="Calibri Light"/>
                <w:color w:val="000000" w:themeColor="text1"/>
                <w:sz w:val="18"/>
                <w:szCs w:val="18"/>
                <w:lang w:val="es-ES"/>
              </w:rPr>
            </w:pPr>
            <w:r w:rsidRPr="00895EA2">
              <w:rPr>
                <w:rFonts w:ascii="Cambria" w:hAnsi="Cambria"/>
                <w:color w:val="000000" w:themeColor="text1"/>
                <w:sz w:val="18"/>
                <w:szCs w:val="18"/>
                <w:lang w:val="es-ES"/>
              </w:rPr>
              <w:t>2. Revisar sus leyes, procedimientos y prácticas a fin de que las personas acusadas de delitos punibles con la pena de muerte sean juzgadas y, de ser declaradas culpables, sentenciadas de conformidad con los derechos establecidos en la Declaración Americana, incluidos sus artículos I, XVIII, XXIV, XXV y XXVI.</w:t>
            </w:r>
          </w:p>
        </w:tc>
        <w:tc>
          <w:tcPr>
            <w:tcW w:w="2220" w:type="dxa"/>
            <w:shd w:val="clear" w:color="auto" w:fill="auto"/>
            <w:vAlign w:val="center"/>
          </w:tcPr>
          <w:p w14:paraId="414440B2" w14:textId="64568C30" w:rsidR="001A7561" w:rsidRPr="00895EA2" w:rsidRDefault="003003B6" w:rsidP="00AA3A3F">
            <w:pPr>
              <w:jc w:val="center"/>
              <w:rPr>
                <w:rFonts w:ascii="Cambria" w:hAnsi="Cambria" w:cs="Calibri Light"/>
                <w:b/>
                <w:color w:val="000000" w:themeColor="text1"/>
                <w:sz w:val="18"/>
                <w:szCs w:val="18"/>
                <w:lang w:val="es-ES"/>
              </w:rPr>
            </w:pPr>
            <w:r w:rsidRPr="00895EA2">
              <w:rPr>
                <w:rFonts w:ascii="Cambria" w:hAnsi="Cambria"/>
                <w:color w:val="000000" w:themeColor="text1"/>
                <w:sz w:val="18"/>
                <w:szCs w:val="18"/>
                <w:lang w:val="es-ES"/>
              </w:rPr>
              <w:t xml:space="preserve">Cumplimiento </w:t>
            </w:r>
            <w:r w:rsidR="007319DB" w:rsidRPr="00895EA2">
              <w:rPr>
                <w:rFonts w:ascii="Cambria" w:hAnsi="Cambria"/>
                <w:color w:val="000000" w:themeColor="text1"/>
                <w:sz w:val="18"/>
                <w:szCs w:val="18"/>
                <w:lang w:val="es-ES"/>
              </w:rPr>
              <w:t>parcial</w:t>
            </w:r>
          </w:p>
        </w:tc>
      </w:tr>
      <w:tr w:rsidR="00895EA2" w:rsidRPr="00895EA2" w14:paraId="7EF4F5EC" w14:textId="77777777" w:rsidTr="00AA3A3F">
        <w:tc>
          <w:tcPr>
            <w:tcW w:w="7320" w:type="dxa"/>
            <w:shd w:val="clear" w:color="auto" w:fill="auto"/>
          </w:tcPr>
          <w:p w14:paraId="376CDD97" w14:textId="77777777" w:rsidR="001A7561" w:rsidRPr="00895EA2" w:rsidRDefault="001A7561" w:rsidP="00AA3A3F">
            <w:pPr>
              <w:jc w:val="both"/>
              <w:rPr>
                <w:rFonts w:ascii="Cambria" w:hAnsi="Cambria"/>
                <w:color w:val="000000" w:themeColor="text1"/>
                <w:sz w:val="18"/>
                <w:szCs w:val="18"/>
                <w:lang w:val="es-ES"/>
              </w:rPr>
            </w:pPr>
            <w:r w:rsidRPr="00895EA2">
              <w:rPr>
                <w:rFonts w:ascii="Cambria" w:hAnsi="Cambria" w:cs="Arial"/>
                <w:color w:val="000000" w:themeColor="text1"/>
                <w:sz w:val="18"/>
                <w:szCs w:val="18"/>
                <w:lang w:val="es-ES"/>
              </w:rPr>
              <w:t>3. Asegurar que toda persona extranjera privada de libertad sea informada, sin demora y antes de rendir su primera declaración, de su derecho a la asistencia consular y a solicitar que se notifique a las autoridades diplomáticas de manera inmediata su privación de libertad.</w:t>
            </w:r>
          </w:p>
        </w:tc>
        <w:tc>
          <w:tcPr>
            <w:tcW w:w="2220" w:type="dxa"/>
            <w:shd w:val="clear" w:color="auto" w:fill="auto"/>
            <w:vAlign w:val="center"/>
          </w:tcPr>
          <w:p w14:paraId="667DB0CF" w14:textId="77777777" w:rsidR="001A7561" w:rsidRPr="00895EA2" w:rsidRDefault="001A7561" w:rsidP="00AA3A3F">
            <w:pPr>
              <w:jc w:val="center"/>
              <w:rPr>
                <w:rFonts w:ascii="Cambria" w:hAnsi="Cambria" w:cs="Calibri Light"/>
                <w:b/>
                <w:color w:val="000000" w:themeColor="text1"/>
                <w:sz w:val="18"/>
                <w:szCs w:val="18"/>
                <w:lang w:val="es-ES"/>
              </w:rPr>
            </w:pPr>
            <w:r w:rsidRPr="00895EA2">
              <w:rPr>
                <w:rFonts w:ascii="Cambria" w:hAnsi="Cambria"/>
                <w:color w:val="000000" w:themeColor="text1"/>
                <w:sz w:val="18"/>
                <w:szCs w:val="18"/>
                <w:lang w:val="es-ES"/>
              </w:rPr>
              <w:t xml:space="preserve">Pendiente de cumplimiento </w:t>
            </w:r>
          </w:p>
        </w:tc>
      </w:tr>
      <w:tr w:rsidR="001A7561" w:rsidRPr="00895EA2" w14:paraId="5FAC8FE6" w14:textId="77777777" w:rsidTr="00AA3A3F">
        <w:tc>
          <w:tcPr>
            <w:tcW w:w="7320" w:type="dxa"/>
            <w:shd w:val="clear" w:color="auto" w:fill="auto"/>
          </w:tcPr>
          <w:p w14:paraId="168B6130" w14:textId="77777777" w:rsidR="001A7561" w:rsidRPr="00895EA2" w:rsidRDefault="001A7561" w:rsidP="00AA3A3F">
            <w:pPr>
              <w:pStyle w:val="NoSpacing"/>
              <w:jc w:val="both"/>
              <w:rPr>
                <w:rFonts w:ascii="Cambria" w:hAnsi="Cambria"/>
                <w:color w:val="000000" w:themeColor="text1"/>
                <w:sz w:val="18"/>
                <w:szCs w:val="18"/>
                <w:lang w:val="es-ES"/>
              </w:rPr>
            </w:pPr>
            <w:r w:rsidRPr="00895EA2">
              <w:rPr>
                <w:rFonts w:ascii="Cambria" w:hAnsi="Cambria" w:cs="Calibri"/>
                <w:color w:val="000000" w:themeColor="text1"/>
                <w:sz w:val="18"/>
                <w:szCs w:val="18"/>
                <w:lang w:val="es-ES"/>
              </w:rPr>
              <w:t xml:space="preserve">4. Impulsar la aprobación urgente del proyecto de </w:t>
            </w:r>
            <w:r w:rsidRPr="00895EA2">
              <w:rPr>
                <w:rFonts w:ascii="Cambria" w:hAnsi="Cambria"/>
                <w:color w:val="000000" w:themeColor="text1"/>
                <w:sz w:val="18"/>
                <w:szCs w:val="18"/>
                <w:lang w:val="es-ES"/>
              </w:rPr>
              <w:t>“Ley para el Cumplimiento de la Notificación Consular” (“CNCA” por sus siglas en inglés) que se encuentra pendiente ante el Congreso de los Estados Unidos desde 2011</w:t>
            </w:r>
            <w:r w:rsidRPr="00895EA2">
              <w:rPr>
                <w:rFonts w:ascii="Cambria" w:hAnsi="Cambria" w:cs="Calibri"/>
                <w:color w:val="000000" w:themeColor="text1"/>
                <w:sz w:val="18"/>
                <w:szCs w:val="18"/>
                <w:lang w:val="es-ES"/>
              </w:rPr>
              <w:t>.</w:t>
            </w:r>
          </w:p>
        </w:tc>
        <w:tc>
          <w:tcPr>
            <w:tcW w:w="2220" w:type="dxa"/>
            <w:shd w:val="clear" w:color="auto" w:fill="auto"/>
            <w:vAlign w:val="center"/>
          </w:tcPr>
          <w:p w14:paraId="7C1C2B0D" w14:textId="77777777" w:rsidR="001A7561" w:rsidRPr="00895EA2" w:rsidRDefault="001A7561" w:rsidP="00AA3A3F">
            <w:pPr>
              <w:jc w:val="center"/>
              <w:rPr>
                <w:rFonts w:ascii="Cambria" w:hAnsi="Cambria" w:cs="Calibri Light"/>
                <w:b/>
                <w:color w:val="000000" w:themeColor="text1"/>
                <w:sz w:val="18"/>
                <w:szCs w:val="18"/>
                <w:lang w:val="es-ES"/>
              </w:rPr>
            </w:pPr>
            <w:r w:rsidRPr="00895EA2">
              <w:rPr>
                <w:rFonts w:ascii="Cambria" w:hAnsi="Cambria"/>
                <w:color w:val="000000" w:themeColor="text1"/>
                <w:sz w:val="18"/>
                <w:szCs w:val="18"/>
                <w:lang w:val="es-ES"/>
              </w:rPr>
              <w:t>Pendiente de cumplimiento</w:t>
            </w:r>
          </w:p>
        </w:tc>
      </w:tr>
    </w:tbl>
    <w:p w14:paraId="7A196642" w14:textId="77777777" w:rsidR="001A7561" w:rsidRPr="00895EA2" w:rsidRDefault="001A7561" w:rsidP="001A7561">
      <w:pPr>
        <w:jc w:val="both"/>
        <w:rPr>
          <w:rFonts w:ascii="Cambria" w:hAnsi="Cambria" w:cs="Calibri Light"/>
          <w:b/>
          <w:color w:val="000000" w:themeColor="text1"/>
          <w:sz w:val="20"/>
          <w:lang w:val="es-ES"/>
        </w:rPr>
      </w:pPr>
    </w:p>
    <w:p w14:paraId="3B74EDE9" w14:textId="77777777" w:rsidR="001A7561" w:rsidRPr="00895EA2" w:rsidRDefault="001A7561" w:rsidP="001A7561">
      <w:pPr>
        <w:pStyle w:val="ListParagraph"/>
        <w:numPr>
          <w:ilvl w:val="0"/>
          <w:numId w:val="8"/>
        </w:numPr>
        <w:ind w:left="1440"/>
        <w:jc w:val="both"/>
        <w:rPr>
          <w:rFonts w:ascii="Cambria" w:hAnsi="Cambria" w:cs="Calibri Light"/>
          <w:b/>
          <w:color w:val="000000" w:themeColor="text1"/>
          <w:sz w:val="20"/>
          <w:szCs w:val="20"/>
          <w:lang w:val="es-ES"/>
        </w:rPr>
      </w:pPr>
      <w:r w:rsidRPr="00895EA2">
        <w:rPr>
          <w:rFonts w:ascii="Cambria" w:hAnsi="Cambria"/>
          <w:b/>
          <w:color w:val="000000" w:themeColor="text1"/>
          <w:sz w:val="20"/>
          <w:szCs w:val="20"/>
          <w:lang w:val="es-ES"/>
        </w:rPr>
        <w:t>Actividad procesal</w:t>
      </w:r>
    </w:p>
    <w:p w14:paraId="0FD7C7E8" w14:textId="77777777" w:rsidR="001A7561" w:rsidRPr="00895EA2" w:rsidRDefault="001A7561" w:rsidP="001A7561">
      <w:pPr>
        <w:pStyle w:val="ListParagraph"/>
        <w:jc w:val="both"/>
        <w:rPr>
          <w:rFonts w:ascii="Cambria" w:hAnsi="Cambria" w:cs="Calibri Light"/>
          <w:color w:val="000000" w:themeColor="text1"/>
          <w:sz w:val="20"/>
          <w:szCs w:val="20"/>
          <w:lang w:val="es-ES"/>
        </w:rPr>
      </w:pPr>
    </w:p>
    <w:p w14:paraId="641CD4F6" w14:textId="77777777" w:rsidR="001A7561" w:rsidRPr="00895EA2" w:rsidRDefault="001A7561" w:rsidP="001A7561">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 xml:space="preserve">El 11 de marzo de 2016, los peticionarios informaron que la ejecución del señor </w:t>
      </w:r>
      <w:proofErr w:type="spellStart"/>
      <w:r w:rsidRPr="00895EA2">
        <w:rPr>
          <w:rFonts w:ascii="Cambria" w:hAnsi="Cambria" w:cs="Calibri Light"/>
          <w:color w:val="000000" w:themeColor="text1"/>
          <w:sz w:val="20"/>
          <w:szCs w:val="20"/>
          <w:lang w:val="es-ES"/>
        </w:rPr>
        <w:t>Teleguz</w:t>
      </w:r>
      <w:proofErr w:type="spellEnd"/>
      <w:r w:rsidRPr="00895EA2">
        <w:rPr>
          <w:rFonts w:ascii="Cambria" w:hAnsi="Cambria" w:cs="Calibri Light"/>
          <w:color w:val="000000" w:themeColor="text1"/>
          <w:sz w:val="20"/>
          <w:szCs w:val="20"/>
          <w:lang w:val="es-ES"/>
        </w:rPr>
        <w:t xml:space="preserve"> había sido programada para el 13 de abril de 2016. En este sentido, la CIDH emitió un comunicado de prensa el 1º de </w:t>
      </w:r>
      <w:r w:rsidRPr="00895EA2">
        <w:rPr>
          <w:rFonts w:ascii="Cambria" w:hAnsi="Cambria" w:cs="Calibri Light"/>
          <w:color w:val="000000" w:themeColor="text1"/>
          <w:sz w:val="20"/>
          <w:szCs w:val="20"/>
          <w:lang w:val="es-ES"/>
        </w:rPr>
        <w:lastRenderedPageBreak/>
        <w:t>abril de 2016, instando a los Estados Unidos a dar cumplimiento a las recomendaciones emitidas en este caso, y a respetar sus obligaciones internacionales de derechos humanos, en particular, aquellas derivadas de la Declaración Americana y de la Carta de la OEA</w:t>
      </w:r>
      <w:r w:rsidRPr="00895EA2">
        <w:rPr>
          <w:rStyle w:val="FootnoteReference"/>
          <w:rFonts w:ascii="Cambria" w:hAnsi="Cambria" w:cs="Calibri Light"/>
          <w:color w:val="000000" w:themeColor="text1"/>
          <w:sz w:val="20"/>
          <w:lang w:val="es-ES"/>
        </w:rPr>
        <w:footnoteReference w:id="1"/>
      </w:r>
      <w:r w:rsidRPr="00895EA2">
        <w:rPr>
          <w:rFonts w:ascii="Cambria" w:hAnsi="Cambria" w:cs="Calibri Light"/>
          <w:color w:val="000000" w:themeColor="text1"/>
          <w:sz w:val="20"/>
          <w:szCs w:val="20"/>
          <w:lang w:val="es-ES"/>
        </w:rPr>
        <w:t xml:space="preserve">. </w:t>
      </w:r>
    </w:p>
    <w:p w14:paraId="4122DEB9" w14:textId="77777777" w:rsidR="001A7561" w:rsidRPr="00895EA2" w:rsidRDefault="001A7561" w:rsidP="001A7561">
      <w:pPr>
        <w:pStyle w:val="ListParagraph"/>
        <w:jc w:val="both"/>
        <w:rPr>
          <w:rFonts w:ascii="Cambria" w:hAnsi="Cambria" w:cs="Calibri Light"/>
          <w:color w:val="000000" w:themeColor="text1"/>
          <w:sz w:val="20"/>
          <w:szCs w:val="20"/>
          <w:lang w:val="es-ES"/>
        </w:rPr>
      </w:pPr>
    </w:p>
    <w:p w14:paraId="04C8AC55" w14:textId="7DB0C4A2" w:rsidR="00C441A9" w:rsidRPr="00895EA2" w:rsidRDefault="00C441A9" w:rsidP="003A1219">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 xml:space="preserve">En 2021, la CIDH solicitó al Estado información actualizada sobre el cumplimiento de recomendaciones el 19 de agosto. </w:t>
      </w:r>
      <w:r w:rsidR="009F7321" w:rsidRPr="00895EA2">
        <w:rPr>
          <w:rFonts w:ascii="Cambria" w:hAnsi="Cambria" w:cs="Calibri Light"/>
          <w:color w:val="000000" w:themeColor="text1"/>
          <w:sz w:val="20"/>
          <w:szCs w:val="20"/>
          <w:lang w:val="es-ES"/>
        </w:rPr>
        <w:t xml:space="preserve">El Estado </w:t>
      </w:r>
      <w:r w:rsidR="009F7321" w:rsidRPr="00895EA2">
        <w:rPr>
          <w:rFonts w:ascii="Cambria" w:hAnsi="Cambria"/>
          <w:color w:val="000000" w:themeColor="text1"/>
          <w:sz w:val="20"/>
          <w:szCs w:val="20"/>
          <w:lang w:val="es-ES"/>
        </w:rPr>
        <w:t xml:space="preserve">presentó dicha información el 17 de noviembre de 2021.  </w:t>
      </w:r>
    </w:p>
    <w:p w14:paraId="023ABAAA" w14:textId="77777777" w:rsidR="001A7561" w:rsidRPr="00895EA2" w:rsidRDefault="001A7561" w:rsidP="00895EA2">
      <w:pPr>
        <w:jc w:val="both"/>
        <w:rPr>
          <w:rFonts w:ascii="Cambria" w:hAnsi="Cambria" w:cs="Calibri Light"/>
          <w:color w:val="000000" w:themeColor="text1"/>
          <w:sz w:val="20"/>
          <w:szCs w:val="20"/>
          <w:lang w:val="es-ES"/>
        </w:rPr>
      </w:pPr>
    </w:p>
    <w:p w14:paraId="54EEC520" w14:textId="1B951A7F" w:rsidR="007319DB" w:rsidRPr="00895EA2" w:rsidRDefault="00C441A9" w:rsidP="007319DB">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 xml:space="preserve">La CIDH </w:t>
      </w:r>
      <w:r w:rsidRPr="00895EA2">
        <w:rPr>
          <w:rFonts w:ascii="Cambria" w:hAnsi="Cambria"/>
          <w:color w:val="000000" w:themeColor="text1"/>
          <w:sz w:val="20"/>
          <w:szCs w:val="20"/>
          <w:lang w:val="es-ES"/>
        </w:rPr>
        <w:t>solicitó a los peticionarios información actualizada sobre el cumplimiento de recomendaciones el 19 de agosto de 202</w:t>
      </w:r>
      <w:r w:rsidR="002E7DA6" w:rsidRPr="00895EA2">
        <w:rPr>
          <w:rFonts w:ascii="Cambria" w:hAnsi="Cambria"/>
          <w:color w:val="000000" w:themeColor="text1"/>
          <w:sz w:val="20"/>
          <w:szCs w:val="20"/>
          <w:lang w:val="es-ES"/>
        </w:rPr>
        <w:t>1</w:t>
      </w:r>
      <w:r w:rsidRPr="00895EA2">
        <w:rPr>
          <w:rFonts w:ascii="Cambria" w:hAnsi="Cambria"/>
          <w:color w:val="000000" w:themeColor="text1"/>
          <w:sz w:val="20"/>
          <w:szCs w:val="20"/>
          <w:lang w:val="es-ES"/>
        </w:rPr>
        <w:t xml:space="preserve">. Los peticionarios presentaron dicha información el 18 de octubre de 2021.  </w:t>
      </w:r>
    </w:p>
    <w:p w14:paraId="05F31CC0" w14:textId="77777777" w:rsidR="001A7561" w:rsidRPr="00895EA2" w:rsidRDefault="001A7561" w:rsidP="001A7561">
      <w:pPr>
        <w:jc w:val="both"/>
        <w:rPr>
          <w:rFonts w:ascii="Cambria" w:hAnsi="Cambria" w:cs="Calibri Light"/>
          <w:color w:val="000000" w:themeColor="text1"/>
          <w:sz w:val="20"/>
          <w:lang w:val="es-ES"/>
        </w:rPr>
      </w:pPr>
    </w:p>
    <w:p w14:paraId="5AA2939E" w14:textId="77777777" w:rsidR="001A7561" w:rsidRPr="00895EA2" w:rsidRDefault="001A7561" w:rsidP="001A7561">
      <w:pPr>
        <w:pStyle w:val="ListParagraph"/>
        <w:numPr>
          <w:ilvl w:val="0"/>
          <w:numId w:val="8"/>
        </w:numPr>
        <w:ind w:left="1440"/>
        <w:jc w:val="both"/>
        <w:rPr>
          <w:rFonts w:ascii="Cambria" w:hAnsi="Cambria" w:cs="Calibri Light"/>
          <w:b/>
          <w:color w:val="000000" w:themeColor="text1"/>
          <w:sz w:val="20"/>
          <w:szCs w:val="20"/>
          <w:lang w:val="es-ES"/>
        </w:rPr>
      </w:pPr>
      <w:r w:rsidRPr="00895EA2">
        <w:rPr>
          <w:rFonts w:ascii="Cambria" w:hAnsi="Cambria" w:cs="Calibri Light"/>
          <w:b/>
          <w:color w:val="000000" w:themeColor="text1"/>
          <w:sz w:val="20"/>
          <w:szCs w:val="20"/>
          <w:lang w:val="es-ES"/>
        </w:rPr>
        <w:t>Análisis relativo a la información proporcionada</w:t>
      </w:r>
    </w:p>
    <w:p w14:paraId="2A05F223" w14:textId="77777777" w:rsidR="001A7561" w:rsidRPr="00895EA2" w:rsidRDefault="001A7561" w:rsidP="001A7561">
      <w:pPr>
        <w:jc w:val="both"/>
        <w:rPr>
          <w:rFonts w:ascii="Cambria" w:hAnsi="Cambria" w:cs="Calibri Light"/>
          <w:color w:val="000000" w:themeColor="text1"/>
          <w:sz w:val="20"/>
          <w:lang w:val="es-ES"/>
        </w:rPr>
      </w:pPr>
    </w:p>
    <w:p w14:paraId="48D218B0" w14:textId="57A5F9B9" w:rsidR="001A7561" w:rsidRPr="00895EA2" w:rsidRDefault="009F7321" w:rsidP="00902E74">
      <w:pPr>
        <w:pStyle w:val="ListParagraph"/>
        <w:numPr>
          <w:ilvl w:val="0"/>
          <w:numId w:val="10"/>
        </w:numPr>
        <w:jc w:val="both"/>
        <w:rPr>
          <w:rFonts w:ascii="Cambria" w:hAnsi="Cambria" w:cs="Arial"/>
          <w:color w:val="000000" w:themeColor="text1"/>
          <w:sz w:val="20"/>
          <w:szCs w:val="20"/>
          <w:lang w:val="es-ES"/>
        </w:rPr>
      </w:pPr>
      <w:r w:rsidRPr="00895EA2">
        <w:rPr>
          <w:rFonts w:ascii="Cambria" w:hAnsi="Cambria" w:cs="Calibri Light"/>
          <w:color w:val="000000" w:themeColor="text1"/>
          <w:sz w:val="20"/>
          <w:szCs w:val="20"/>
          <w:lang w:val="es-ES"/>
        </w:rPr>
        <w:t xml:space="preserve">La Comisión considera que la información proporcionada por el Estado en 2021 no es relevante para actualizar el seguimiento del caso, puesto que es repetitiva de la información presentada en años anteriores sin contener información sobre medidas adoptadas recientemente para cumplir con al menos una de las recomendaciones. </w:t>
      </w:r>
    </w:p>
    <w:p w14:paraId="156A0713" w14:textId="77777777" w:rsidR="00FC1D10" w:rsidRPr="00895EA2" w:rsidRDefault="00FC1D10" w:rsidP="00FC1D10">
      <w:pPr>
        <w:pStyle w:val="ListParagraph"/>
        <w:jc w:val="both"/>
        <w:rPr>
          <w:rFonts w:ascii="Cambria" w:hAnsi="Cambria" w:cs="Arial"/>
          <w:color w:val="000000" w:themeColor="text1"/>
          <w:sz w:val="20"/>
          <w:szCs w:val="20"/>
          <w:lang w:val="es-ES"/>
        </w:rPr>
      </w:pPr>
    </w:p>
    <w:p w14:paraId="1B4F94B4" w14:textId="1BA4DB59" w:rsidR="002E7DA6" w:rsidRPr="00895EA2" w:rsidRDefault="00C441A9" w:rsidP="003A1219">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olor w:val="000000" w:themeColor="text1"/>
          <w:sz w:val="20"/>
          <w:szCs w:val="20"/>
          <w:lang w:val="es-ES"/>
        </w:rPr>
        <w:t xml:space="preserve">La Comisión considera que la información proporcionada por los peticionarios en 2021 es relevante dado que es actualizada y amplia sobre medidas de cumplimiento de al menos una de las recomendaciones emitidas en el Informe de Fondo Nº 53/13. </w:t>
      </w:r>
    </w:p>
    <w:p w14:paraId="670D47D8" w14:textId="77777777" w:rsidR="007319DB" w:rsidRPr="00895EA2" w:rsidRDefault="007319DB" w:rsidP="007319DB">
      <w:pPr>
        <w:pStyle w:val="ListParagraph"/>
        <w:rPr>
          <w:rFonts w:ascii="Cambria" w:hAnsi="Cambria" w:cs="Calibri Light"/>
          <w:color w:val="000000" w:themeColor="text1"/>
          <w:sz w:val="20"/>
          <w:lang w:val="es-ES"/>
        </w:rPr>
      </w:pPr>
    </w:p>
    <w:p w14:paraId="79E0E43B" w14:textId="77777777" w:rsidR="001A7561" w:rsidRPr="00895EA2" w:rsidRDefault="001A7561" w:rsidP="001A7561">
      <w:pPr>
        <w:jc w:val="both"/>
        <w:rPr>
          <w:rFonts w:ascii="Cambria" w:hAnsi="Cambria" w:cs="Calibri Light"/>
          <w:color w:val="000000" w:themeColor="text1"/>
          <w:sz w:val="20"/>
          <w:lang w:val="es-ES"/>
        </w:rPr>
      </w:pPr>
    </w:p>
    <w:p w14:paraId="43A0AB69" w14:textId="77777777" w:rsidR="001A7561" w:rsidRPr="00895EA2" w:rsidRDefault="001A7561" w:rsidP="001A7561">
      <w:pPr>
        <w:pStyle w:val="ListParagraph"/>
        <w:numPr>
          <w:ilvl w:val="0"/>
          <w:numId w:val="8"/>
        </w:numPr>
        <w:ind w:left="1440"/>
        <w:jc w:val="both"/>
        <w:rPr>
          <w:rFonts w:ascii="Cambria" w:hAnsi="Cambria" w:cs="Calibri Light"/>
          <w:b/>
          <w:color w:val="000000" w:themeColor="text1"/>
          <w:sz w:val="20"/>
          <w:szCs w:val="20"/>
          <w:lang w:val="es-ES"/>
        </w:rPr>
      </w:pPr>
      <w:r w:rsidRPr="00895EA2">
        <w:rPr>
          <w:rFonts w:ascii="Cambria" w:hAnsi="Cambria" w:cs="Calibri Light"/>
          <w:b/>
          <w:color w:val="000000" w:themeColor="text1"/>
          <w:sz w:val="20"/>
          <w:szCs w:val="20"/>
          <w:lang w:val="es-ES"/>
        </w:rPr>
        <w:t>Análisis del cumplimiento de las recomendaciones</w:t>
      </w:r>
    </w:p>
    <w:p w14:paraId="05DCBE47" w14:textId="77777777" w:rsidR="001A7561" w:rsidRPr="00895EA2" w:rsidRDefault="001A7561" w:rsidP="001A7561">
      <w:pPr>
        <w:jc w:val="both"/>
        <w:rPr>
          <w:rFonts w:ascii="Cambria" w:hAnsi="Cambria" w:cs="Calibri Light"/>
          <w:color w:val="000000" w:themeColor="text1"/>
          <w:sz w:val="20"/>
          <w:lang w:val="es-ES"/>
        </w:rPr>
      </w:pPr>
    </w:p>
    <w:p w14:paraId="007C6930" w14:textId="0EADA385" w:rsidR="001A7561" w:rsidRPr="00895EA2" w:rsidRDefault="001A7561" w:rsidP="001A7561">
      <w:pPr>
        <w:pStyle w:val="Default"/>
        <w:numPr>
          <w:ilvl w:val="0"/>
          <w:numId w:val="10"/>
        </w:numPr>
        <w:jc w:val="both"/>
        <w:rPr>
          <w:color w:val="000000" w:themeColor="text1"/>
          <w:lang w:val="es-ES"/>
        </w:rPr>
      </w:pPr>
      <w:r w:rsidRPr="00895EA2">
        <w:rPr>
          <w:rFonts w:cs="Calibri Light"/>
          <w:b/>
          <w:color w:val="000000" w:themeColor="text1"/>
          <w:sz w:val="20"/>
          <w:szCs w:val="20"/>
          <w:lang w:val="es-ES"/>
        </w:rPr>
        <w:t>En relación con la primera recomendación</w:t>
      </w:r>
      <w:r w:rsidRPr="00895EA2">
        <w:rPr>
          <w:rFonts w:cs="Calibri Light"/>
          <w:color w:val="000000" w:themeColor="text1"/>
          <w:sz w:val="20"/>
          <w:lang w:val="es-ES"/>
        </w:rPr>
        <w:t xml:space="preserve">, en 2015, el Estado informó a la Comisión </w:t>
      </w:r>
      <w:r w:rsidRPr="00895EA2">
        <w:rPr>
          <w:color w:val="000000" w:themeColor="text1"/>
          <w:sz w:val="20"/>
          <w:szCs w:val="20"/>
          <w:lang w:val="es-ES"/>
        </w:rPr>
        <w:t>que el Gobierno Federal había remitido las recomendaciones de la Comisión al estado de Virginia, pero que el estado de Virginia no había respondido a la solicitud de información</w:t>
      </w:r>
      <w:r w:rsidRPr="00895EA2">
        <w:rPr>
          <w:rStyle w:val="FootnoteReference"/>
          <w:color w:val="000000" w:themeColor="text1"/>
          <w:sz w:val="20"/>
          <w:szCs w:val="20"/>
          <w:lang w:val="es-ES"/>
        </w:rPr>
        <w:footnoteReference w:id="2"/>
      </w:r>
      <w:r w:rsidRPr="00895EA2">
        <w:rPr>
          <w:color w:val="000000" w:themeColor="text1"/>
          <w:sz w:val="20"/>
          <w:szCs w:val="20"/>
          <w:lang w:val="es-ES"/>
        </w:rPr>
        <w:t xml:space="preserve">. En 2016, el Estado informó que el 19 de marzo de 2016, la Corte de Apelaciones del 4º Circuito decidió conceder la suspensión de la ejecución del señor </w:t>
      </w:r>
      <w:proofErr w:type="spellStart"/>
      <w:r w:rsidRPr="00895EA2">
        <w:rPr>
          <w:color w:val="000000" w:themeColor="text1"/>
          <w:sz w:val="20"/>
          <w:szCs w:val="20"/>
          <w:lang w:val="es-ES"/>
        </w:rPr>
        <w:t>Teleguz</w:t>
      </w:r>
      <w:proofErr w:type="spellEnd"/>
      <w:r w:rsidRPr="00895EA2">
        <w:rPr>
          <w:color w:val="000000" w:themeColor="text1"/>
          <w:sz w:val="20"/>
          <w:szCs w:val="20"/>
          <w:lang w:val="es-ES"/>
        </w:rPr>
        <w:t xml:space="preserve">, mientras se decidía un recurso de </w:t>
      </w:r>
      <w:proofErr w:type="spellStart"/>
      <w:r w:rsidRPr="00895EA2">
        <w:rPr>
          <w:i/>
          <w:iCs/>
          <w:color w:val="000000" w:themeColor="text1"/>
          <w:sz w:val="20"/>
          <w:szCs w:val="20"/>
          <w:lang w:val="es-ES"/>
        </w:rPr>
        <w:t>certiorari</w:t>
      </w:r>
      <w:proofErr w:type="spellEnd"/>
      <w:r w:rsidRPr="00895EA2">
        <w:rPr>
          <w:i/>
          <w:iCs/>
          <w:color w:val="000000" w:themeColor="text1"/>
          <w:sz w:val="20"/>
          <w:szCs w:val="20"/>
          <w:lang w:val="es-ES"/>
        </w:rPr>
        <w:t xml:space="preserve"> </w:t>
      </w:r>
      <w:r w:rsidRPr="00895EA2">
        <w:rPr>
          <w:color w:val="000000" w:themeColor="text1"/>
          <w:sz w:val="20"/>
          <w:szCs w:val="20"/>
          <w:lang w:val="es-ES"/>
        </w:rPr>
        <w:t>ante la Corte Suprema de los Estados Unidos</w:t>
      </w:r>
      <w:r w:rsidRPr="00895EA2">
        <w:rPr>
          <w:rStyle w:val="FootnoteReference"/>
          <w:color w:val="000000" w:themeColor="text1"/>
          <w:sz w:val="20"/>
          <w:szCs w:val="20"/>
          <w:lang w:val="es-ES"/>
        </w:rPr>
        <w:footnoteReference w:id="3"/>
      </w:r>
      <w:r w:rsidRPr="00895EA2">
        <w:rPr>
          <w:color w:val="000000" w:themeColor="text1"/>
          <w:sz w:val="20"/>
          <w:szCs w:val="20"/>
          <w:lang w:val="es-ES"/>
        </w:rPr>
        <w:t xml:space="preserve">. </w:t>
      </w:r>
      <w:r w:rsidRPr="00895EA2">
        <w:rPr>
          <w:rFonts w:cs="Calibri Light"/>
          <w:color w:val="000000" w:themeColor="text1"/>
          <w:sz w:val="20"/>
          <w:szCs w:val="20"/>
          <w:lang w:val="es-ES"/>
        </w:rPr>
        <w:t xml:space="preserve">En </w:t>
      </w:r>
      <w:r w:rsidR="004F2BA6" w:rsidRPr="00895EA2">
        <w:rPr>
          <w:rFonts w:cs="Calibri Light"/>
          <w:color w:val="000000" w:themeColor="text1"/>
          <w:sz w:val="20"/>
          <w:szCs w:val="20"/>
          <w:lang w:val="es-ES"/>
        </w:rPr>
        <w:t>2020</w:t>
      </w:r>
      <w:r w:rsidRPr="00895EA2">
        <w:rPr>
          <w:rFonts w:cs="Calibri Light"/>
          <w:color w:val="000000" w:themeColor="text1"/>
          <w:sz w:val="20"/>
          <w:szCs w:val="20"/>
          <w:lang w:val="es-ES"/>
        </w:rPr>
        <w:t>, el Estado reiteró su posición sin presentar nueva información sobre acciones tomadas para dar cumplimiento a esta recomendación.</w:t>
      </w:r>
    </w:p>
    <w:p w14:paraId="3FDBFD2D" w14:textId="77777777" w:rsidR="001A7561" w:rsidRPr="00895EA2" w:rsidRDefault="001A7561" w:rsidP="001A7561">
      <w:pPr>
        <w:pStyle w:val="ListParagraph"/>
        <w:jc w:val="both"/>
        <w:rPr>
          <w:rFonts w:ascii="Cambria" w:hAnsi="Cambria" w:cs="Calibri Light"/>
          <w:color w:val="000000" w:themeColor="text1"/>
          <w:sz w:val="20"/>
          <w:lang w:val="es-ES"/>
        </w:rPr>
      </w:pPr>
    </w:p>
    <w:p w14:paraId="758C7DAA" w14:textId="77777777" w:rsidR="001A7561" w:rsidRPr="00895EA2" w:rsidRDefault="001A7561" w:rsidP="001A7561">
      <w:pPr>
        <w:pStyle w:val="Default"/>
        <w:numPr>
          <w:ilvl w:val="0"/>
          <w:numId w:val="10"/>
        </w:numPr>
        <w:jc w:val="both"/>
        <w:rPr>
          <w:color w:val="000000" w:themeColor="text1"/>
          <w:lang w:val="es-ES"/>
        </w:rPr>
      </w:pPr>
      <w:r w:rsidRPr="00895EA2">
        <w:rPr>
          <w:color w:val="000000" w:themeColor="text1"/>
          <w:sz w:val="20"/>
          <w:szCs w:val="20"/>
          <w:lang w:val="es-ES"/>
        </w:rPr>
        <w:t xml:space="preserve">El 11 de marzo de 2016, los peticionarios informaron que la ejecución del señor </w:t>
      </w:r>
      <w:proofErr w:type="spellStart"/>
      <w:r w:rsidRPr="00895EA2">
        <w:rPr>
          <w:color w:val="000000" w:themeColor="text1"/>
          <w:sz w:val="20"/>
          <w:szCs w:val="20"/>
          <w:lang w:val="es-ES"/>
        </w:rPr>
        <w:t>Teleguz</w:t>
      </w:r>
      <w:proofErr w:type="spellEnd"/>
      <w:r w:rsidRPr="00895EA2">
        <w:rPr>
          <w:color w:val="000000" w:themeColor="text1"/>
          <w:sz w:val="20"/>
          <w:szCs w:val="20"/>
          <w:lang w:val="es-ES"/>
        </w:rPr>
        <w:t xml:space="preserve"> había sido fijada para el 13 de abril de 2016</w:t>
      </w:r>
      <w:r w:rsidRPr="00895EA2">
        <w:rPr>
          <w:rStyle w:val="FootnoteReference"/>
          <w:color w:val="000000" w:themeColor="text1"/>
          <w:sz w:val="20"/>
          <w:szCs w:val="20"/>
          <w:lang w:val="es-ES"/>
        </w:rPr>
        <w:footnoteReference w:id="4"/>
      </w:r>
      <w:r w:rsidRPr="00895EA2">
        <w:rPr>
          <w:color w:val="000000" w:themeColor="text1"/>
          <w:sz w:val="20"/>
          <w:szCs w:val="20"/>
          <w:lang w:val="es-ES"/>
        </w:rPr>
        <w:t>. El 18 de marzo de 2017, los peticionarios informaron que la sentencia de muerte del se</w:t>
      </w:r>
      <w:r w:rsidRPr="00895EA2">
        <w:rPr>
          <w:rFonts w:cs="Times New Roman"/>
          <w:color w:val="000000" w:themeColor="text1"/>
          <w:sz w:val="20"/>
          <w:szCs w:val="20"/>
          <w:lang w:val="es-ES"/>
        </w:rPr>
        <w:t>ñ</w:t>
      </w:r>
      <w:r w:rsidRPr="00895EA2">
        <w:rPr>
          <w:color w:val="000000" w:themeColor="text1"/>
          <w:sz w:val="20"/>
          <w:szCs w:val="20"/>
          <w:lang w:val="es-ES"/>
        </w:rPr>
        <w:t xml:space="preserve">or </w:t>
      </w:r>
      <w:proofErr w:type="spellStart"/>
      <w:r w:rsidRPr="00895EA2">
        <w:rPr>
          <w:color w:val="000000" w:themeColor="text1"/>
          <w:sz w:val="20"/>
          <w:szCs w:val="20"/>
          <w:lang w:val="es-ES"/>
        </w:rPr>
        <w:t>Teleguz</w:t>
      </w:r>
      <w:proofErr w:type="spellEnd"/>
      <w:r w:rsidRPr="00895EA2">
        <w:rPr>
          <w:color w:val="000000" w:themeColor="text1"/>
          <w:sz w:val="20"/>
          <w:szCs w:val="20"/>
          <w:lang w:val="es-ES"/>
        </w:rPr>
        <w:t xml:space="preserve"> había sido conmutada a prisión, sin posibilidad de libertad condicional, evitando que fuera ejecutado</w:t>
      </w:r>
      <w:r w:rsidRPr="00895EA2">
        <w:rPr>
          <w:rStyle w:val="FootnoteReference"/>
          <w:color w:val="000000" w:themeColor="text1"/>
          <w:sz w:val="20"/>
          <w:szCs w:val="20"/>
          <w:lang w:val="es-ES"/>
        </w:rPr>
        <w:footnoteReference w:id="5"/>
      </w:r>
      <w:r w:rsidRPr="00895EA2">
        <w:rPr>
          <w:rFonts w:cs="Calibri Light"/>
          <w:color w:val="000000" w:themeColor="text1"/>
          <w:sz w:val="20"/>
          <w:lang w:val="es-ES"/>
        </w:rPr>
        <w:t>.</w:t>
      </w:r>
    </w:p>
    <w:p w14:paraId="29BDD1A7" w14:textId="77777777" w:rsidR="001A7561" w:rsidRPr="00895EA2" w:rsidRDefault="001A7561" w:rsidP="00895EA2">
      <w:pPr>
        <w:rPr>
          <w:rFonts w:ascii="Cambria" w:hAnsi="Cambria" w:cs="Calibri Light"/>
          <w:color w:val="000000" w:themeColor="text1"/>
          <w:sz w:val="20"/>
          <w:lang w:val="es-ES"/>
        </w:rPr>
      </w:pPr>
    </w:p>
    <w:p w14:paraId="7220C6E9" w14:textId="52F1C693" w:rsidR="001A7561" w:rsidRPr="00895EA2" w:rsidRDefault="0088488D" w:rsidP="001A7561">
      <w:pPr>
        <w:pStyle w:val="ListParagraph"/>
        <w:numPr>
          <w:ilvl w:val="0"/>
          <w:numId w:val="10"/>
        </w:numPr>
        <w:jc w:val="both"/>
        <w:rPr>
          <w:rFonts w:ascii="Cambria" w:hAnsi="Cambria" w:cs="Calibri Light"/>
          <w:color w:val="000000" w:themeColor="text1"/>
          <w:sz w:val="20"/>
          <w:lang w:val="es-ES"/>
        </w:rPr>
      </w:pPr>
      <w:r w:rsidRPr="00895EA2">
        <w:rPr>
          <w:rFonts w:ascii="Cambria" w:hAnsi="Cambria" w:cs="Calibri Light"/>
          <w:color w:val="000000" w:themeColor="text1"/>
          <w:sz w:val="20"/>
          <w:lang w:val="es-ES"/>
        </w:rPr>
        <w:t>Ante la ausencia de nueva información que dé cuenta de avances en la implementación de esta recomendación, la Comisión reitera el análisis hecho en el año 2020. Al respecto, l</w:t>
      </w:r>
      <w:r w:rsidR="001A7561" w:rsidRPr="00895EA2">
        <w:rPr>
          <w:rFonts w:ascii="Cambria" w:hAnsi="Cambria" w:cs="Calibri Light"/>
          <w:color w:val="000000" w:themeColor="text1"/>
          <w:sz w:val="20"/>
          <w:lang w:val="es-ES"/>
        </w:rPr>
        <w:t xml:space="preserve">a Comisión valora que la sentencia del señor </w:t>
      </w:r>
      <w:proofErr w:type="spellStart"/>
      <w:r w:rsidR="001A7561" w:rsidRPr="00895EA2">
        <w:rPr>
          <w:rFonts w:ascii="Cambria" w:hAnsi="Cambria" w:cs="Calibri Light"/>
          <w:color w:val="000000" w:themeColor="text1"/>
          <w:sz w:val="20"/>
          <w:lang w:val="es-ES"/>
        </w:rPr>
        <w:t>Teleguz</w:t>
      </w:r>
      <w:proofErr w:type="spellEnd"/>
      <w:r w:rsidR="001A7561" w:rsidRPr="00895EA2">
        <w:rPr>
          <w:rFonts w:ascii="Cambria" w:hAnsi="Cambria" w:cs="Calibri Light"/>
          <w:color w:val="000000" w:themeColor="text1"/>
          <w:sz w:val="20"/>
          <w:lang w:val="es-ES"/>
        </w:rPr>
        <w:t xml:space="preserve"> haya sido conmutada el 18 de marzo de 2017 y nota que ello constituye el primer paso para proporcionarle una reparación adecuada. Por consiguiente, la Comisión concluye que la Recomendación 1 se encuentra parcialmente cumplida. </w:t>
      </w:r>
    </w:p>
    <w:p w14:paraId="6E7BD147" w14:textId="77777777" w:rsidR="001A7561" w:rsidRPr="00895EA2" w:rsidRDefault="001A7561" w:rsidP="007319DB">
      <w:pPr>
        <w:rPr>
          <w:rFonts w:ascii="Cambria" w:hAnsi="Cambria"/>
          <w:b/>
          <w:color w:val="000000" w:themeColor="text1"/>
          <w:sz w:val="20"/>
          <w:szCs w:val="20"/>
          <w:lang w:val="es-ES"/>
        </w:rPr>
      </w:pPr>
    </w:p>
    <w:p w14:paraId="2C859CCC" w14:textId="248AEAF8" w:rsidR="00A20880" w:rsidRPr="00895EA2" w:rsidRDefault="00C441A9" w:rsidP="00B764C7">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b/>
          <w:bCs/>
          <w:color w:val="000000" w:themeColor="text1"/>
          <w:sz w:val="20"/>
          <w:lang w:val="es-ES"/>
        </w:rPr>
        <w:lastRenderedPageBreak/>
        <w:t xml:space="preserve">En relación con la segunda recomendación, </w:t>
      </w:r>
      <w:r w:rsidRPr="00895EA2">
        <w:rPr>
          <w:rFonts w:ascii="Cambria" w:hAnsi="Cambria" w:cs="Calibri Light"/>
          <w:color w:val="000000" w:themeColor="text1"/>
          <w:sz w:val="20"/>
          <w:szCs w:val="20"/>
          <w:lang w:val="es-ES"/>
        </w:rPr>
        <w:t xml:space="preserve">los peticionarios informaron que, </w:t>
      </w:r>
      <w:r w:rsidR="00A20880" w:rsidRPr="00895EA2">
        <w:rPr>
          <w:rFonts w:ascii="Cambria" w:hAnsi="Cambria" w:cs="Calibri Light"/>
          <w:color w:val="000000" w:themeColor="text1"/>
          <w:sz w:val="20"/>
          <w:szCs w:val="20"/>
          <w:lang w:val="es-ES"/>
        </w:rPr>
        <w:t>a principios de 2021, la Asamblea General de Virginia aprobó el proyecto de ley </w:t>
      </w:r>
      <w:hyperlink r:id="rId11" w:tgtFrame="_Blank" w:history="1">
        <w:r w:rsidR="00A20880" w:rsidRPr="00895EA2">
          <w:rPr>
            <w:rFonts w:ascii="Cambria" w:hAnsi="Cambria" w:cs="Calibri Light"/>
            <w:color w:val="000000" w:themeColor="text1"/>
            <w:sz w:val="20"/>
            <w:szCs w:val="20"/>
            <w:lang w:val="es-ES"/>
          </w:rPr>
          <w:t>HB 2263</w:t>
        </w:r>
      </w:hyperlink>
      <w:r w:rsidR="00A20880" w:rsidRPr="00895EA2">
        <w:rPr>
          <w:rFonts w:ascii="Cambria" w:hAnsi="Cambria" w:cs="Calibri Light"/>
          <w:color w:val="000000" w:themeColor="text1"/>
          <w:sz w:val="20"/>
          <w:szCs w:val="20"/>
          <w:lang w:val="es-ES"/>
        </w:rPr>
        <w:t> que deja sin efecto la pena muerte en el estado y</w:t>
      </w:r>
      <w:r w:rsidR="009E4486" w:rsidRPr="00895EA2">
        <w:rPr>
          <w:rFonts w:ascii="Cambria" w:hAnsi="Cambria" w:cs="Calibri Light"/>
          <w:color w:val="000000" w:themeColor="text1"/>
          <w:sz w:val="20"/>
          <w:szCs w:val="20"/>
          <w:lang w:val="es-ES"/>
        </w:rPr>
        <w:t xml:space="preserve"> que,</w:t>
      </w:r>
      <w:r w:rsidR="00A20880" w:rsidRPr="00895EA2">
        <w:rPr>
          <w:rFonts w:ascii="Cambria" w:hAnsi="Cambria" w:cs="Calibri Light"/>
          <w:color w:val="000000" w:themeColor="text1"/>
          <w:sz w:val="20"/>
          <w:szCs w:val="20"/>
          <w:lang w:val="es-ES"/>
        </w:rPr>
        <w:t xml:space="preserve"> el 24 de marzo</w:t>
      </w:r>
      <w:r w:rsidR="009E4486" w:rsidRPr="00895EA2">
        <w:rPr>
          <w:rFonts w:ascii="Cambria" w:hAnsi="Cambria" w:cs="Calibri Light"/>
          <w:color w:val="000000" w:themeColor="text1"/>
          <w:sz w:val="20"/>
          <w:szCs w:val="20"/>
          <w:lang w:val="es-ES"/>
        </w:rPr>
        <w:t xml:space="preserve"> de 2021,</w:t>
      </w:r>
      <w:r w:rsidR="00A20880" w:rsidRPr="00895EA2">
        <w:rPr>
          <w:rFonts w:ascii="Cambria" w:hAnsi="Cambria" w:cs="Calibri Light"/>
          <w:color w:val="000000" w:themeColor="text1"/>
          <w:sz w:val="20"/>
          <w:szCs w:val="20"/>
          <w:lang w:val="es-ES"/>
        </w:rPr>
        <w:t xml:space="preserve"> el gobernador de Virginia firmó el proyecto convirtiéndolo en ley. </w:t>
      </w:r>
    </w:p>
    <w:p w14:paraId="0FEEF93F" w14:textId="77777777" w:rsidR="005D6BBB" w:rsidRPr="00895EA2" w:rsidRDefault="005D6BBB" w:rsidP="005D6BBB">
      <w:pPr>
        <w:jc w:val="both"/>
        <w:rPr>
          <w:rFonts w:ascii="Cambria" w:hAnsi="Cambria" w:cs="Calibri Light"/>
          <w:color w:val="000000" w:themeColor="text1"/>
          <w:sz w:val="20"/>
          <w:szCs w:val="20"/>
          <w:lang w:val="es-ES"/>
        </w:rPr>
      </w:pPr>
    </w:p>
    <w:p w14:paraId="271FD2B5" w14:textId="77777777" w:rsidR="007319DB" w:rsidRPr="00895EA2" w:rsidRDefault="00A20880" w:rsidP="007319DB">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Además, la Asamblea General de Virgin</w:t>
      </w:r>
      <w:r w:rsidR="009E4486" w:rsidRPr="00895EA2">
        <w:rPr>
          <w:rFonts w:ascii="Cambria" w:hAnsi="Cambria" w:cs="Calibri Light"/>
          <w:color w:val="000000" w:themeColor="text1"/>
          <w:sz w:val="20"/>
          <w:szCs w:val="20"/>
          <w:lang w:val="es-ES"/>
        </w:rPr>
        <w:t>i</w:t>
      </w:r>
      <w:r w:rsidRPr="00895EA2">
        <w:rPr>
          <w:rFonts w:ascii="Cambria" w:hAnsi="Cambria" w:cs="Calibri Light"/>
          <w:color w:val="000000" w:themeColor="text1"/>
          <w:sz w:val="20"/>
          <w:szCs w:val="20"/>
          <w:lang w:val="es-ES"/>
        </w:rPr>
        <w:t xml:space="preserve">a aprobó el proyecto de la Ley Va. </w:t>
      </w:r>
      <w:proofErr w:type="spellStart"/>
      <w:r w:rsidRPr="00895EA2">
        <w:rPr>
          <w:rFonts w:ascii="Cambria" w:hAnsi="Cambria" w:cs="Calibri Light"/>
          <w:color w:val="000000" w:themeColor="text1"/>
          <w:sz w:val="20"/>
          <w:szCs w:val="20"/>
          <w:lang w:val="es-ES"/>
        </w:rPr>
        <w:t>Code</w:t>
      </w:r>
      <w:proofErr w:type="spellEnd"/>
      <w:r w:rsidRPr="00895EA2">
        <w:rPr>
          <w:rFonts w:ascii="Cambria" w:hAnsi="Cambria" w:cs="Calibri Light"/>
          <w:color w:val="000000" w:themeColor="text1"/>
          <w:sz w:val="20"/>
          <w:szCs w:val="20"/>
          <w:lang w:val="es-ES"/>
        </w:rPr>
        <w:t xml:space="preserve"> Ann. § 2.2-3706 para la obtención de información </w:t>
      </w:r>
      <w:r w:rsidR="007319DB" w:rsidRPr="00895EA2">
        <w:rPr>
          <w:rFonts w:ascii="Cambria" w:hAnsi="Cambria" w:cs="Calibri Light"/>
          <w:color w:val="000000" w:themeColor="text1"/>
          <w:sz w:val="20"/>
          <w:szCs w:val="20"/>
          <w:lang w:val="es-ES"/>
        </w:rPr>
        <w:t>de</w:t>
      </w:r>
      <w:r w:rsidRPr="00895EA2">
        <w:rPr>
          <w:rFonts w:ascii="Cambria" w:hAnsi="Cambria" w:cs="Calibri Light"/>
          <w:color w:val="000000" w:themeColor="text1"/>
          <w:sz w:val="20"/>
          <w:szCs w:val="20"/>
          <w:lang w:val="es-ES"/>
        </w:rPr>
        <w:t xml:space="preserve"> las personas privadas de libertad que podrían haber sido condenados injustamente. Esta ley no se refiere en sí mismo a la pena capital, sino que elimina una barrera previa a la información que puede ser relevante para los reclusos </w:t>
      </w:r>
      <w:r w:rsidR="009E4486" w:rsidRPr="00895EA2">
        <w:rPr>
          <w:rFonts w:ascii="Cambria" w:hAnsi="Cambria" w:cs="Calibri Light"/>
          <w:color w:val="000000" w:themeColor="text1"/>
          <w:sz w:val="20"/>
          <w:szCs w:val="20"/>
          <w:lang w:val="es-ES"/>
        </w:rPr>
        <w:t>a quienes</w:t>
      </w:r>
      <w:r w:rsidRPr="00895EA2">
        <w:rPr>
          <w:rFonts w:ascii="Cambria" w:hAnsi="Cambria" w:cs="Calibri Light"/>
          <w:color w:val="000000" w:themeColor="text1"/>
          <w:sz w:val="20"/>
          <w:szCs w:val="20"/>
          <w:lang w:val="es-ES"/>
        </w:rPr>
        <w:t xml:space="preserve"> anteriormente </w:t>
      </w:r>
      <w:r w:rsidR="009E4486" w:rsidRPr="00895EA2">
        <w:rPr>
          <w:rFonts w:ascii="Cambria" w:hAnsi="Cambria" w:cs="Calibri Light"/>
          <w:color w:val="000000" w:themeColor="text1"/>
          <w:sz w:val="20"/>
          <w:szCs w:val="20"/>
          <w:lang w:val="es-ES"/>
        </w:rPr>
        <w:t xml:space="preserve">se les había impuesto </w:t>
      </w:r>
      <w:r w:rsidRPr="00895EA2">
        <w:rPr>
          <w:rFonts w:ascii="Cambria" w:hAnsi="Cambria" w:cs="Calibri Light"/>
          <w:color w:val="000000" w:themeColor="text1"/>
          <w:sz w:val="20"/>
          <w:szCs w:val="20"/>
          <w:lang w:val="es-ES"/>
        </w:rPr>
        <w:t xml:space="preserve">una sentencia de muerte. Antes de </w:t>
      </w:r>
      <w:r w:rsidR="009E4486" w:rsidRPr="00895EA2">
        <w:rPr>
          <w:rFonts w:ascii="Cambria" w:hAnsi="Cambria" w:cs="Calibri Light"/>
          <w:color w:val="000000" w:themeColor="text1"/>
          <w:sz w:val="20"/>
          <w:szCs w:val="20"/>
          <w:lang w:val="es-ES"/>
        </w:rPr>
        <w:t>la</w:t>
      </w:r>
      <w:r w:rsidRPr="00895EA2">
        <w:rPr>
          <w:rFonts w:ascii="Cambria" w:hAnsi="Cambria" w:cs="Calibri Light"/>
          <w:color w:val="000000" w:themeColor="text1"/>
          <w:sz w:val="20"/>
          <w:szCs w:val="20"/>
          <w:lang w:val="es-ES"/>
        </w:rPr>
        <w:t xml:space="preserve"> aprobación de este proyecto de ley, los registros denominados </w:t>
      </w:r>
      <w:r w:rsidR="009E4486" w:rsidRPr="00895EA2">
        <w:rPr>
          <w:rFonts w:ascii="Cambria" w:hAnsi="Cambria" w:cs="Calibri Light"/>
          <w:color w:val="000000" w:themeColor="text1"/>
          <w:sz w:val="20"/>
          <w:szCs w:val="20"/>
          <w:lang w:val="es-ES"/>
        </w:rPr>
        <w:t>“</w:t>
      </w:r>
      <w:r w:rsidRPr="00895EA2">
        <w:rPr>
          <w:rFonts w:ascii="Cambria" w:hAnsi="Cambria" w:cs="Calibri Light"/>
          <w:color w:val="000000" w:themeColor="text1"/>
          <w:sz w:val="20"/>
          <w:szCs w:val="20"/>
          <w:lang w:val="es-ES"/>
        </w:rPr>
        <w:t>registros de investigación criminal</w:t>
      </w:r>
      <w:r w:rsidR="009E4486" w:rsidRPr="00895EA2">
        <w:rPr>
          <w:rFonts w:ascii="Cambria" w:hAnsi="Cambria" w:cs="Calibri Light"/>
          <w:color w:val="000000" w:themeColor="text1"/>
          <w:sz w:val="20"/>
          <w:szCs w:val="20"/>
          <w:lang w:val="es-ES"/>
        </w:rPr>
        <w:t>”</w:t>
      </w:r>
      <w:r w:rsidRPr="00895EA2">
        <w:rPr>
          <w:rFonts w:ascii="Cambria" w:hAnsi="Cambria" w:cs="Calibri Light"/>
          <w:color w:val="000000" w:themeColor="text1"/>
          <w:sz w:val="20"/>
          <w:szCs w:val="20"/>
          <w:lang w:val="es-ES"/>
        </w:rPr>
        <w:t xml:space="preserve"> estaban exentos de la Ley de Libertad de Información de Virginia. Bajo esta nueva ley, las agencias </w:t>
      </w:r>
      <w:r w:rsidR="007319DB" w:rsidRPr="00895EA2">
        <w:rPr>
          <w:rFonts w:ascii="Cambria" w:hAnsi="Cambria" w:cs="Calibri Light"/>
          <w:color w:val="000000" w:themeColor="text1"/>
          <w:sz w:val="20"/>
          <w:szCs w:val="20"/>
          <w:lang w:val="es-ES"/>
        </w:rPr>
        <w:t>que aplican</w:t>
      </w:r>
      <w:r w:rsidRPr="00895EA2">
        <w:rPr>
          <w:rFonts w:ascii="Cambria" w:hAnsi="Cambria" w:cs="Calibri Light"/>
          <w:color w:val="000000" w:themeColor="text1"/>
          <w:sz w:val="20"/>
          <w:szCs w:val="20"/>
          <w:lang w:val="es-ES"/>
        </w:rPr>
        <w:t xml:space="preserve"> la ley están obligadas a producir dichos registros de investigación, </w:t>
      </w:r>
      <w:r w:rsidR="007319DB" w:rsidRPr="00895EA2">
        <w:rPr>
          <w:rFonts w:ascii="Cambria" w:hAnsi="Cambria" w:cs="Calibri Light"/>
          <w:color w:val="000000" w:themeColor="text1"/>
          <w:sz w:val="20"/>
          <w:szCs w:val="20"/>
          <w:lang w:val="es-ES"/>
        </w:rPr>
        <w:t xml:space="preserve">lo </w:t>
      </w:r>
      <w:r w:rsidRPr="00895EA2">
        <w:rPr>
          <w:rFonts w:ascii="Cambria" w:hAnsi="Cambria" w:cs="Calibri Light"/>
          <w:color w:val="000000" w:themeColor="text1"/>
          <w:sz w:val="20"/>
          <w:szCs w:val="20"/>
          <w:lang w:val="es-ES"/>
        </w:rPr>
        <w:t>que puede ayudar a los equipos legales a determinar si el Estado ha violado algún derecho establecido en la Declaración Americana.</w:t>
      </w:r>
    </w:p>
    <w:p w14:paraId="0AE32E51" w14:textId="77777777" w:rsidR="007319DB" w:rsidRPr="00895EA2" w:rsidRDefault="007319DB" w:rsidP="007319DB">
      <w:pPr>
        <w:pStyle w:val="ListParagraph"/>
        <w:rPr>
          <w:rFonts w:ascii="Cambria" w:hAnsi="Cambria" w:cs="Calibri Light"/>
          <w:color w:val="000000" w:themeColor="text1"/>
          <w:sz w:val="20"/>
          <w:szCs w:val="20"/>
          <w:lang w:val="es-ES"/>
        </w:rPr>
      </w:pPr>
    </w:p>
    <w:p w14:paraId="2820B6BC" w14:textId="3B691026" w:rsidR="006C4D17" w:rsidRPr="00895EA2" w:rsidRDefault="005054C2" w:rsidP="006C4D17">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 xml:space="preserve">La CIDH </w:t>
      </w:r>
      <w:r w:rsidR="00A20880" w:rsidRPr="00895EA2">
        <w:rPr>
          <w:rFonts w:ascii="Cambria" w:hAnsi="Cambria" w:cs="Calibri Light"/>
          <w:color w:val="000000" w:themeColor="text1"/>
          <w:sz w:val="20"/>
          <w:szCs w:val="20"/>
          <w:lang w:val="es-ES"/>
        </w:rPr>
        <w:t xml:space="preserve">celebra la abolición de la pena de muerte en el estado de Virginia, así como la Ley Va. </w:t>
      </w:r>
      <w:proofErr w:type="spellStart"/>
      <w:r w:rsidR="00A20880" w:rsidRPr="00895EA2">
        <w:rPr>
          <w:rFonts w:ascii="Cambria" w:hAnsi="Cambria" w:cs="Calibri Light"/>
          <w:color w:val="000000" w:themeColor="text1"/>
          <w:sz w:val="20"/>
          <w:szCs w:val="20"/>
          <w:lang w:val="es-ES"/>
        </w:rPr>
        <w:t>Code</w:t>
      </w:r>
      <w:proofErr w:type="spellEnd"/>
      <w:r w:rsidR="00A20880" w:rsidRPr="00895EA2">
        <w:rPr>
          <w:rFonts w:ascii="Cambria" w:hAnsi="Cambria" w:cs="Calibri Light"/>
          <w:color w:val="000000" w:themeColor="text1"/>
          <w:sz w:val="20"/>
          <w:szCs w:val="20"/>
          <w:lang w:val="es-ES"/>
        </w:rPr>
        <w:t xml:space="preserve"> Ann. § 2.2-3706</w:t>
      </w:r>
      <w:r w:rsidR="009E4486" w:rsidRPr="00895EA2">
        <w:rPr>
          <w:rFonts w:ascii="Cambria" w:hAnsi="Cambria" w:cs="Calibri Light"/>
          <w:color w:val="000000" w:themeColor="text1"/>
          <w:sz w:val="20"/>
          <w:szCs w:val="20"/>
          <w:lang w:val="es-ES"/>
        </w:rPr>
        <w:t>, que</w:t>
      </w:r>
      <w:r w:rsidR="003003B6" w:rsidRPr="00895EA2">
        <w:rPr>
          <w:rFonts w:ascii="Cambria" w:hAnsi="Cambria" w:cs="Calibri Light"/>
          <w:color w:val="000000" w:themeColor="text1"/>
          <w:sz w:val="20"/>
          <w:szCs w:val="20"/>
          <w:lang w:val="es-ES"/>
        </w:rPr>
        <w:t xml:space="preserve"> deja sin efectos la posibilidad de que</w:t>
      </w:r>
      <w:r w:rsidR="009E4486" w:rsidRPr="00895EA2">
        <w:rPr>
          <w:rFonts w:ascii="Cambria" w:hAnsi="Cambria" w:cs="Calibri Light"/>
          <w:color w:val="000000" w:themeColor="text1"/>
          <w:sz w:val="20"/>
          <w:szCs w:val="20"/>
          <w:lang w:val="es-ES"/>
        </w:rPr>
        <w:t xml:space="preserve"> las</w:t>
      </w:r>
      <w:r w:rsidR="003003B6" w:rsidRPr="00895EA2">
        <w:rPr>
          <w:rFonts w:ascii="Cambria" w:hAnsi="Cambria" w:cs="Calibri Light"/>
          <w:color w:val="000000" w:themeColor="text1"/>
          <w:sz w:val="20"/>
          <w:szCs w:val="20"/>
          <w:lang w:val="es-ES"/>
        </w:rPr>
        <w:t xml:space="preserve"> personas puedan ser sentenciadas con pena de muerte en ese estado. </w:t>
      </w:r>
      <w:r w:rsidR="007319DB" w:rsidRPr="00895EA2">
        <w:rPr>
          <w:rFonts w:ascii="Cambria" w:hAnsi="Cambria" w:cs="Calibri Light"/>
          <w:color w:val="000000" w:themeColor="text1"/>
          <w:sz w:val="20"/>
          <w:szCs w:val="20"/>
          <w:lang w:val="es-ES"/>
        </w:rPr>
        <w:t>Sin embargo, la Comisión invita al Estado a remitir información sobre</w:t>
      </w:r>
      <w:r w:rsidR="00CA223E" w:rsidRPr="00895EA2">
        <w:rPr>
          <w:rFonts w:ascii="Cambria" w:hAnsi="Cambria" w:cs="Calibri Light"/>
          <w:color w:val="000000" w:themeColor="text1"/>
          <w:sz w:val="20"/>
          <w:szCs w:val="20"/>
          <w:lang w:val="es-ES"/>
        </w:rPr>
        <w:t xml:space="preserve"> la</w:t>
      </w:r>
      <w:r w:rsidR="007319DB" w:rsidRPr="00895EA2">
        <w:rPr>
          <w:rFonts w:ascii="Cambria" w:hAnsi="Cambria" w:cs="Calibri Light"/>
          <w:color w:val="000000" w:themeColor="text1"/>
          <w:sz w:val="20"/>
          <w:szCs w:val="20"/>
          <w:lang w:val="es-ES"/>
        </w:rPr>
        <w:t xml:space="preserve"> revisión de </w:t>
      </w:r>
      <w:r w:rsidR="007319DB" w:rsidRPr="00895EA2">
        <w:rPr>
          <w:rFonts w:ascii="Cambria" w:hAnsi="Cambria"/>
          <w:color w:val="000000" w:themeColor="text1"/>
          <w:sz w:val="20"/>
          <w:szCs w:val="20"/>
          <w:lang w:val="es-ES"/>
        </w:rPr>
        <w:t xml:space="preserve">sus leyes, procedimientos y prácticas a fin de que las personas acusadas de delitos punibles con la pena de muerte en los demás estados pertinentes sean juzgadas y, de ser declaradas culpables, sentenciadas de conformidad con los derechos establecidos en la Declaración Americana, incluidos sus artículos I, XVIII, XXIV, XXV y XXVI. </w:t>
      </w:r>
      <w:bookmarkStart w:id="0" w:name="_Hlk90370607"/>
      <w:r w:rsidR="007319DB" w:rsidRPr="00895EA2">
        <w:rPr>
          <w:rStyle w:val="normaltextrun"/>
          <w:rFonts w:ascii="Cambria" w:hAnsi="Cambria"/>
          <w:color w:val="000000" w:themeColor="text1"/>
          <w:sz w:val="20"/>
          <w:szCs w:val="20"/>
          <w:lang w:val="es-CO"/>
        </w:rPr>
        <w:t xml:space="preserve">En este sentido, la Comisión invita a ambas partes a aportar información relativa a avances en el cumplimiento de esta recomendación. </w:t>
      </w:r>
      <w:bookmarkEnd w:id="0"/>
      <w:r w:rsidR="007319DB" w:rsidRPr="00895EA2">
        <w:rPr>
          <w:rFonts w:ascii="Cambria" w:hAnsi="Cambria"/>
          <w:color w:val="000000" w:themeColor="text1"/>
          <w:sz w:val="20"/>
          <w:szCs w:val="20"/>
          <w:lang w:val="es-CO"/>
        </w:rPr>
        <w:t xml:space="preserve">En vista de lo anterior, la Comisión observa que </w:t>
      </w:r>
      <w:r w:rsidR="006C4D17" w:rsidRPr="00895EA2">
        <w:rPr>
          <w:rFonts w:ascii="Cambria" w:hAnsi="Cambria"/>
          <w:color w:val="000000" w:themeColor="text1"/>
          <w:sz w:val="20"/>
          <w:szCs w:val="20"/>
          <w:lang w:val="es-CO"/>
        </w:rPr>
        <w:t>se</w:t>
      </w:r>
      <w:r w:rsidR="007319DB" w:rsidRPr="00895EA2">
        <w:rPr>
          <w:rFonts w:ascii="Cambria" w:hAnsi="Cambria"/>
          <w:color w:val="000000" w:themeColor="text1"/>
          <w:sz w:val="20"/>
          <w:szCs w:val="20"/>
          <w:lang w:val="es-CO"/>
        </w:rPr>
        <w:t xml:space="preserve"> ha aportado información relevante para actualizar el estado de cumplimiento de esta recomendación y considera que el nivel de dicha recomendación es parcial</w:t>
      </w:r>
      <w:r w:rsidR="003003B6" w:rsidRPr="00895EA2">
        <w:rPr>
          <w:rFonts w:ascii="Cambria" w:hAnsi="Cambria" w:cs="Calibri Light"/>
          <w:color w:val="000000" w:themeColor="text1"/>
          <w:sz w:val="20"/>
          <w:szCs w:val="20"/>
          <w:lang w:val="es-ES"/>
        </w:rPr>
        <w:t>.</w:t>
      </w:r>
    </w:p>
    <w:p w14:paraId="0A0F1275" w14:textId="77777777" w:rsidR="006C4D17" w:rsidRPr="00895EA2" w:rsidRDefault="006C4D17" w:rsidP="006C4D17">
      <w:pPr>
        <w:pStyle w:val="ListParagraph"/>
        <w:rPr>
          <w:rFonts w:ascii="Cambria" w:hAnsi="Cambria"/>
          <w:b/>
          <w:color w:val="000000" w:themeColor="text1"/>
          <w:sz w:val="20"/>
          <w:szCs w:val="20"/>
          <w:lang w:val="es-ES"/>
        </w:rPr>
      </w:pPr>
    </w:p>
    <w:p w14:paraId="7809B7DD" w14:textId="2160F0FB" w:rsidR="00CA07B3" w:rsidRPr="00895EA2" w:rsidRDefault="001A7561" w:rsidP="00CA07B3">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b/>
          <w:color w:val="000000" w:themeColor="text1"/>
          <w:sz w:val="20"/>
          <w:szCs w:val="20"/>
          <w:lang w:val="es-ES"/>
        </w:rPr>
        <w:t>Con respecto a las recomendaciones tercera y cuarta</w:t>
      </w:r>
      <w:r w:rsidRPr="00895EA2">
        <w:rPr>
          <w:rFonts w:ascii="Cambria" w:hAnsi="Cambria" w:cs="Calibri Light"/>
          <w:color w:val="000000" w:themeColor="text1"/>
          <w:sz w:val="20"/>
          <w:lang w:val="es-ES"/>
        </w:rPr>
        <w:t xml:space="preserve">, </w:t>
      </w:r>
      <w:r w:rsidR="00CA07B3" w:rsidRPr="00895EA2">
        <w:rPr>
          <w:rFonts w:ascii="Cambria" w:hAnsi="Cambria" w:cs="Calibri Light"/>
          <w:color w:val="000000" w:themeColor="text1"/>
          <w:sz w:val="20"/>
          <w:szCs w:val="20"/>
          <w:lang w:val="es-ES"/>
        </w:rPr>
        <w:t>e</w:t>
      </w:r>
      <w:r w:rsidR="005B2081" w:rsidRPr="00895EA2">
        <w:rPr>
          <w:rFonts w:ascii="Cambria" w:hAnsi="Cambria" w:cs="Calibri Light"/>
          <w:color w:val="000000" w:themeColor="text1"/>
          <w:sz w:val="20"/>
          <w:szCs w:val="20"/>
          <w:lang w:val="es-ES"/>
        </w:rPr>
        <w:t xml:space="preserve">n 2021, los peticionarios refirieron que el 117° Congreso aún no cuenta con un proyecto de ley que incluya lenguaje sobre el cumplimiento de la notificación consular. El texto propuesto del proyecto de ley más reciente que discute el cumplimiento de la notificación consular fue presentado el 7 de septiembre de 2017 como parte de la propuesta Ley de Apropiación del Departamento de Estado, Operaciones Extranjeras y Programas Relacionados de 2018. Por otra parte, en 2021 el presidente de Estados Unidos incluyó el cumplimiento de la notificación consular en su propuesta de presupuesto para el año fiscal 2022. </w:t>
      </w:r>
      <w:r w:rsidR="00612B17" w:rsidRPr="00895EA2">
        <w:rPr>
          <w:rFonts w:ascii="Cambria" w:hAnsi="Cambria" w:cs="Calibri Light"/>
          <w:color w:val="000000" w:themeColor="text1"/>
          <w:sz w:val="20"/>
          <w:szCs w:val="20"/>
          <w:lang w:val="es-ES"/>
        </w:rPr>
        <w:t xml:space="preserve">Sin embargo, </w:t>
      </w:r>
      <w:r w:rsidR="00CA07B3" w:rsidRPr="00895EA2">
        <w:rPr>
          <w:rFonts w:ascii="Cambria" w:hAnsi="Cambria" w:cs="Calibri Light"/>
          <w:color w:val="000000" w:themeColor="text1"/>
          <w:sz w:val="20"/>
          <w:szCs w:val="20"/>
          <w:lang w:val="es-ES"/>
        </w:rPr>
        <w:t xml:space="preserve">la parte peticionaria señaló que </w:t>
      </w:r>
      <w:r w:rsidR="00612B17" w:rsidRPr="00895EA2">
        <w:rPr>
          <w:rFonts w:ascii="Cambria" w:hAnsi="Cambria" w:cs="Calibri Light"/>
          <w:color w:val="000000" w:themeColor="text1"/>
          <w:sz w:val="20"/>
          <w:szCs w:val="20"/>
          <w:lang w:val="es-ES"/>
        </w:rPr>
        <w:t>el</w:t>
      </w:r>
      <w:r w:rsidR="005B2081" w:rsidRPr="00895EA2">
        <w:rPr>
          <w:rFonts w:ascii="Cambria" w:hAnsi="Cambria" w:cs="Calibri Light"/>
          <w:color w:val="000000" w:themeColor="text1"/>
          <w:sz w:val="20"/>
          <w:szCs w:val="20"/>
          <w:lang w:val="es-ES"/>
        </w:rPr>
        <w:t xml:space="preserve"> cumplimiento de la notificación consular no está incluido actualmente en ningún proyecto de ley pendiente en el Congreso.</w:t>
      </w:r>
      <w:r w:rsidR="00612B17" w:rsidRPr="00895EA2">
        <w:rPr>
          <w:rFonts w:ascii="Cambria" w:hAnsi="Cambria" w:cs="Calibri Light"/>
          <w:color w:val="000000" w:themeColor="text1"/>
          <w:sz w:val="20"/>
          <w:szCs w:val="20"/>
          <w:lang w:val="es-ES"/>
        </w:rPr>
        <w:t xml:space="preserve"> </w:t>
      </w:r>
    </w:p>
    <w:p w14:paraId="27DF9CDC" w14:textId="77777777" w:rsidR="00CA07B3" w:rsidRPr="00895EA2" w:rsidRDefault="00CA07B3" w:rsidP="00CA07B3">
      <w:pPr>
        <w:pStyle w:val="ListParagraph"/>
        <w:rPr>
          <w:rFonts w:ascii="Cambria" w:hAnsi="Cambria" w:cs="Calibri Light"/>
          <w:color w:val="000000" w:themeColor="text1"/>
          <w:sz w:val="20"/>
          <w:szCs w:val="20"/>
          <w:lang w:val="es-ES"/>
        </w:rPr>
      </w:pPr>
    </w:p>
    <w:p w14:paraId="215473FB" w14:textId="465D8667" w:rsidR="00895EA2" w:rsidRPr="00895EA2" w:rsidRDefault="00895EA2" w:rsidP="006C4D17">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Con base en lo anterior, la Comisión considera que hay un cumplimiento parcial en la recomendación 2 y las recomendaciones 3 y 4 continúan pendientes de cumplimiento.</w:t>
      </w:r>
    </w:p>
    <w:p w14:paraId="094EFD1E" w14:textId="77777777" w:rsidR="001A7561" w:rsidRPr="00895EA2" w:rsidRDefault="001A7561" w:rsidP="001A7561">
      <w:pPr>
        <w:jc w:val="both"/>
        <w:rPr>
          <w:rFonts w:ascii="Cambria" w:hAnsi="Cambria" w:cs="Calibri Light"/>
          <w:b/>
          <w:color w:val="000000" w:themeColor="text1"/>
          <w:sz w:val="20"/>
          <w:szCs w:val="20"/>
          <w:lang w:val="es-ES"/>
        </w:rPr>
      </w:pPr>
    </w:p>
    <w:p w14:paraId="36510F03" w14:textId="77777777" w:rsidR="001A7561" w:rsidRPr="00895EA2" w:rsidRDefault="001A7561" w:rsidP="001A7561">
      <w:pPr>
        <w:numPr>
          <w:ilvl w:val="0"/>
          <w:numId w:val="8"/>
        </w:numPr>
        <w:ind w:left="1440"/>
        <w:jc w:val="both"/>
        <w:rPr>
          <w:rFonts w:ascii="Cambria" w:hAnsi="Cambria" w:cs="Calibri Light"/>
          <w:b/>
          <w:color w:val="000000" w:themeColor="text1"/>
          <w:sz w:val="20"/>
          <w:szCs w:val="20"/>
          <w:lang w:val="es-ES"/>
        </w:rPr>
      </w:pPr>
      <w:r w:rsidRPr="00895EA2">
        <w:rPr>
          <w:rFonts w:ascii="Cambria" w:hAnsi="Cambria" w:cs="Calibri Light"/>
          <w:b/>
          <w:color w:val="000000" w:themeColor="text1"/>
          <w:sz w:val="20"/>
          <w:szCs w:val="20"/>
          <w:lang w:val="es-ES"/>
        </w:rPr>
        <w:t>Nivel del cumplimiento del caso</w:t>
      </w:r>
    </w:p>
    <w:p w14:paraId="5EB9B8E2" w14:textId="77777777" w:rsidR="001A7561" w:rsidRPr="00895EA2" w:rsidRDefault="001A7561" w:rsidP="001A7561">
      <w:pPr>
        <w:jc w:val="both"/>
        <w:rPr>
          <w:rFonts w:ascii="Cambria" w:hAnsi="Cambria" w:cs="Calibri Light"/>
          <w:color w:val="000000" w:themeColor="text1"/>
          <w:sz w:val="20"/>
          <w:lang w:val="es-ES"/>
        </w:rPr>
      </w:pPr>
    </w:p>
    <w:p w14:paraId="15F6AB4B" w14:textId="77777777" w:rsidR="001A7561" w:rsidRPr="00895EA2" w:rsidRDefault="001A7561" w:rsidP="00895EA2">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Por lo anterior, la Comisión concluye que el nivel de cumplimiento del caso es parcial. En consecuencia, la Comisión seguirá supervisando el cumplimiento de todas las recomendaciones.</w:t>
      </w:r>
    </w:p>
    <w:p w14:paraId="33161305" w14:textId="77777777" w:rsidR="001A7561" w:rsidRPr="00895EA2" w:rsidRDefault="001A7561" w:rsidP="001A7561">
      <w:pPr>
        <w:pStyle w:val="ListParagraph"/>
        <w:jc w:val="both"/>
        <w:rPr>
          <w:rFonts w:ascii="Cambria" w:hAnsi="Cambria" w:cs="Calibri Light"/>
          <w:color w:val="000000" w:themeColor="text1"/>
          <w:sz w:val="20"/>
          <w:lang w:val="es-ES"/>
        </w:rPr>
      </w:pPr>
    </w:p>
    <w:p w14:paraId="70E47830" w14:textId="77777777" w:rsidR="001A7561" w:rsidRPr="00895EA2" w:rsidRDefault="001A7561" w:rsidP="00895EA2">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 xml:space="preserve">La Comisión insta al Estado a adoptar las medidas necesarias para cumplir con las recomendaciones emitidas en el Informe de Fondo Nº 53/13, y a remitir a la Comisión información detallada y actualizada sobre estas medidas. </w:t>
      </w:r>
    </w:p>
    <w:p w14:paraId="07E3AD52" w14:textId="77777777" w:rsidR="001A7561" w:rsidRPr="00895EA2" w:rsidRDefault="001A7561" w:rsidP="001A7561">
      <w:pPr>
        <w:jc w:val="both"/>
        <w:rPr>
          <w:rFonts w:ascii="Cambria" w:hAnsi="Cambria"/>
          <w:color w:val="000000" w:themeColor="text1"/>
          <w:sz w:val="20"/>
          <w:lang w:val="es-ES"/>
        </w:rPr>
      </w:pPr>
    </w:p>
    <w:p w14:paraId="447CDB36" w14:textId="77777777" w:rsidR="001A7561" w:rsidRPr="00895EA2" w:rsidRDefault="001A7561" w:rsidP="001A7561">
      <w:pPr>
        <w:pStyle w:val="ListParagraph"/>
        <w:numPr>
          <w:ilvl w:val="0"/>
          <w:numId w:val="8"/>
        </w:numPr>
        <w:ind w:left="1440"/>
        <w:jc w:val="both"/>
        <w:rPr>
          <w:rFonts w:ascii="Cambria" w:hAnsi="Cambria"/>
          <w:b/>
          <w:color w:val="000000" w:themeColor="text1"/>
          <w:sz w:val="20"/>
          <w:szCs w:val="20"/>
          <w:lang w:val="es-ES"/>
        </w:rPr>
      </w:pPr>
      <w:r w:rsidRPr="00895EA2">
        <w:rPr>
          <w:rFonts w:ascii="Cambria" w:hAnsi="Cambria"/>
          <w:b/>
          <w:color w:val="000000" w:themeColor="text1"/>
          <w:sz w:val="20"/>
          <w:szCs w:val="20"/>
          <w:lang w:val="es-ES"/>
        </w:rPr>
        <w:t>Resultados individuales y estructurales del caso</w:t>
      </w:r>
      <w:r w:rsidRPr="00895EA2">
        <w:rPr>
          <w:rFonts w:ascii="Cambria" w:hAnsi="Cambria"/>
          <w:b/>
          <w:color w:val="000000" w:themeColor="text1"/>
          <w:sz w:val="20"/>
          <w:lang w:val="es-ES"/>
        </w:rPr>
        <w:t xml:space="preserve"> </w:t>
      </w:r>
    </w:p>
    <w:p w14:paraId="04F277D8" w14:textId="77777777" w:rsidR="001A7561" w:rsidRPr="00895EA2" w:rsidRDefault="001A7561" w:rsidP="001A7561">
      <w:pPr>
        <w:jc w:val="both"/>
        <w:rPr>
          <w:rFonts w:ascii="Cambria" w:hAnsi="Cambria"/>
          <w:b/>
          <w:color w:val="000000" w:themeColor="text1"/>
          <w:sz w:val="20"/>
          <w:lang w:val="es-ES"/>
        </w:rPr>
      </w:pPr>
    </w:p>
    <w:p w14:paraId="64EC490C" w14:textId="77777777" w:rsidR="001A7561" w:rsidRPr="00895EA2" w:rsidRDefault="001A7561" w:rsidP="00895EA2">
      <w:pPr>
        <w:pStyle w:val="ListParagraph"/>
        <w:numPr>
          <w:ilvl w:val="0"/>
          <w:numId w:val="10"/>
        </w:numPr>
        <w:jc w:val="both"/>
        <w:rPr>
          <w:rFonts w:ascii="Cambria" w:hAnsi="Cambria" w:cs="Calibri Light"/>
          <w:color w:val="000000" w:themeColor="text1"/>
          <w:sz w:val="20"/>
          <w:szCs w:val="20"/>
          <w:lang w:val="es-ES"/>
        </w:rPr>
      </w:pPr>
      <w:r w:rsidRPr="00895EA2">
        <w:rPr>
          <w:rFonts w:ascii="Cambria" w:hAnsi="Cambria" w:cs="Calibri Light"/>
          <w:color w:val="000000" w:themeColor="text1"/>
          <w:sz w:val="20"/>
          <w:szCs w:val="20"/>
          <w:lang w:val="es-ES"/>
        </w:rPr>
        <w:t xml:space="preserve">En esta sección se destacan los resultados individuales y estructurales del caso informados por las partes. </w:t>
      </w:r>
    </w:p>
    <w:p w14:paraId="57BB384F" w14:textId="77777777" w:rsidR="001A7561" w:rsidRPr="00895EA2" w:rsidRDefault="001A7561" w:rsidP="001A7561">
      <w:pPr>
        <w:pStyle w:val="ListParagraph"/>
        <w:jc w:val="both"/>
        <w:rPr>
          <w:rFonts w:ascii="Cambria" w:hAnsi="Cambria"/>
          <w:color w:val="000000" w:themeColor="text1"/>
          <w:sz w:val="20"/>
          <w:szCs w:val="20"/>
          <w:lang w:val="es-ES"/>
        </w:rPr>
      </w:pPr>
    </w:p>
    <w:p w14:paraId="33115823" w14:textId="77777777" w:rsidR="00425EEA" w:rsidRDefault="00425EEA">
      <w:pPr>
        <w:rPr>
          <w:rFonts w:ascii="Cambria" w:hAnsi="Cambria"/>
          <w:b/>
          <w:color w:val="000000" w:themeColor="text1"/>
          <w:sz w:val="20"/>
          <w:szCs w:val="20"/>
          <w:lang w:val="es-ES"/>
        </w:rPr>
      </w:pPr>
      <w:r>
        <w:rPr>
          <w:rFonts w:ascii="Cambria" w:hAnsi="Cambria"/>
          <w:b/>
          <w:color w:val="000000" w:themeColor="text1"/>
          <w:sz w:val="20"/>
          <w:szCs w:val="20"/>
          <w:lang w:val="es-ES"/>
        </w:rPr>
        <w:br w:type="page"/>
      </w:r>
    </w:p>
    <w:p w14:paraId="446C1E91" w14:textId="26BCC654" w:rsidR="001A7561" w:rsidRPr="00895EA2" w:rsidRDefault="001A7561" w:rsidP="001A7561">
      <w:pPr>
        <w:pStyle w:val="ListParagraph"/>
        <w:numPr>
          <w:ilvl w:val="0"/>
          <w:numId w:val="11"/>
        </w:numPr>
        <w:ind w:left="1440" w:hanging="720"/>
        <w:jc w:val="both"/>
        <w:rPr>
          <w:rFonts w:ascii="Cambria" w:hAnsi="Cambria"/>
          <w:b/>
          <w:color w:val="000000" w:themeColor="text1"/>
          <w:sz w:val="20"/>
          <w:szCs w:val="20"/>
          <w:lang w:val="es-ES"/>
        </w:rPr>
      </w:pPr>
      <w:r w:rsidRPr="00895EA2">
        <w:rPr>
          <w:rFonts w:ascii="Cambria" w:hAnsi="Cambria"/>
          <w:b/>
          <w:color w:val="000000" w:themeColor="text1"/>
          <w:sz w:val="20"/>
          <w:szCs w:val="20"/>
          <w:lang w:val="es-ES"/>
        </w:rPr>
        <w:lastRenderedPageBreak/>
        <w:t>Resultados individuales del caso</w:t>
      </w:r>
    </w:p>
    <w:p w14:paraId="02DD81C9" w14:textId="77777777" w:rsidR="001A7561" w:rsidRPr="00895EA2" w:rsidRDefault="001A7561" w:rsidP="001A7561">
      <w:pPr>
        <w:jc w:val="both"/>
        <w:rPr>
          <w:rFonts w:ascii="Cambria" w:hAnsi="Cambria"/>
          <w:b/>
          <w:color w:val="000000" w:themeColor="text1"/>
          <w:sz w:val="20"/>
          <w:szCs w:val="20"/>
          <w:lang w:val="es-ES"/>
        </w:rPr>
      </w:pPr>
    </w:p>
    <w:p w14:paraId="06C8BF16" w14:textId="77777777" w:rsidR="001A7561" w:rsidRPr="00895EA2" w:rsidRDefault="001A7561" w:rsidP="001A7561">
      <w:pPr>
        <w:jc w:val="both"/>
        <w:rPr>
          <w:rFonts w:ascii="Cambria" w:hAnsi="Cambria"/>
          <w:i/>
          <w:color w:val="000000" w:themeColor="text1"/>
          <w:sz w:val="20"/>
          <w:szCs w:val="20"/>
          <w:lang w:val="es-ES"/>
        </w:rPr>
      </w:pPr>
      <w:r w:rsidRPr="00895EA2">
        <w:rPr>
          <w:rFonts w:ascii="Cambria" w:hAnsi="Cambria"/>
          <w:i/>
          <w:color w:val="000000" w:themeColor="text1"/>
          <w:sz w:val="20"/>
          <w:szCs w:val="20"/>
          <w:lang w:val="es-ES"/>
        </w:rPr>
        <w:t>Medidas de restitución en el ejercicio del derecho</w:t>
      </w:r>
    </w:p>
    <w:p w14:paraId="5E5751E9" w14:textId="77777777" w:rsidR="001A7561" w:rsidRPr="00895EA2" w:rsidRDefault="001A7561" w:rsidP="001A7561">
      <w:pPr>
        <w:pStyle w:val="ListParagraph"/>
        <w:numPr>
          <w:ilvl w:val="0"/>
          <w:numId w:val="13"/>
        </w:numPr>
        <w:jc w:val="both"/>
        <w:rPr>
          <w:rFonts w:ascii="Cambria" w:hAnsi="Cambria"/>
          <w:b/>
          <w:color w:val="000000" w:themeColor="text1"/>
          <w:sz w:val="20"/>
          <w:szCs w:val="20"/>
          <w:lang w:val="es-ES"/>
        </w:rPr>
      </w:pPr>
      <w:r w:rsidRPr="00895EA2">
        <w:rPr>
          <w:rFonts w:ascii="Cambria" w:hAnsi="Cambria" w:cs="Calibri Light"/>
          <w:color w:val="000000" w:themeColor="text1"/>
          <w:sz w:val="20"/>
          <w:lang w:val="es-ES"/>
        </w:rPr>
        <w:t xml:space="preserve">El 18 de marzo de 2017, la pena de muerte del señor </w:t>
      </w:r>
      <w:proofErr w:type="spellStart"/>
      <w:r w:rsidRPr="00895EA2">
        <w:rPr>
          <w:rFonts w:ascii="Cambria" w:hAnsi="Cambria" w:cs="Calibri Light"/>
          <w:color w:val="000000" w:themeColor="text1"/>
          <w:sz w:val="20"/>
          <w:lang w:val="es-ES"/>
        </w:rPr>
        <w:t>Ivan</w:t>
      </w:r>
      <w:proofErr w:type="spellEnd"/>
      <w:r w:rsidRPr="00895EA2">
        <w:rPr>
          <w:rFonts w:ascii="Cambria" w:hAnsi="Cambria" w:cs="Calibri Light"/>
          <w:color w:val="000000" w:themeColor="text1"/>
          <w:sz w:val="20"/>
          <w:lang w:val="es-ES"/>
        </w:rPr>
        <w:t xml:space="preserve"> </w:t>
      </w:r>
      <w:proofErr w:type="spellStart"/>
      <w:r w:rsidRPr="00895EA2">
        <w:rPr>
          <w:rFonts w:ascii="Cambria" w:hAnsi="Cambria" w:cs="Calibri Light"/>
          <w:color w:val="000000" w:themeColor="text1"/>
          <w:sz w:val="20"/>
          <w:lang w:val="es-ES"/>
        </w:rPr>
        <w:t>Teleguz</w:t>
      </w:r>
      <w:proofErr w:type="spellEnd"/>
      <w:r w:rsidRPr="00895EA2">
        <w:rPr>
          <w:rFonts w:ascii="Cambria" w:hAnsi="Cambria" w:cs="Calibri Light"/>
          <w:color w:val="000000" w:themeColor="text1"/>
          <w:sz w:val="20"/>
          <w:lang w:val="es-ES"/>
        </w:rPr>
        <w:t xml:space="preserve"> fue conmutada a prisión </w:t>
      </w:r>
      <w:r w:rsidRPr="00895EA2">
        <w:rPr>
          <w:rFonts w:ascii="Cambria" w:hAnsi="Cambria"/>
          <w:color w:val="000000" w:themeColor="text1"/>
          <w:sz w:val="20"/>
          <w:szCs w:val="20"/>
          <w:lang w:val="es-ES"/>
        </w:rPr>
        <w:t>sin posibilidad de libertad condicional.</w:t>
      </w:r>
    </w:p>
    <w:p w14:paraId="56EE3AD7" w14:textId="77777777" w:rsidR="001A7561" w:rsidRPr="00895EA2" w:rsidRDefault="001A7561" w:rsidP="001A7561">
      <w:pPr>
        <w:pStyle w:val="ListParagraph"/>
        <w:jc w:val="both"/>
        <w:rPr>
          <w:rFonts w:ascii="Cambria" w:hAnsi="Cambria"/>
          <w:b/>
          <w:color w:val="000000" w:themeColor="text1"/>
          <w:sz w:val="20"/>
          <w:szCs w:val="20"/>
          <w:lang w:val="es-ES"/>
        </w:rPr>
      </w:pPr>
    </w:p>
    <w:p w14:paraId="0C54278B" w14:textId="77777777" w:rsidR="001A7561" w:rsidRPr="00895EA2" w:rsidRDefault="001A7561" w:rsidP="001A7561">
      <w:pPr>
        <w:pStyle w:val="ListParagraph"/>
        <w:numPr>
          <w:ilvl w:val="0"/>
          <w:numId w:val="11"/>
        </w:numPr>
        <w:ind w:left="1440" w:hanging="720"/>
        <w:jc w:val="both"/>
        <w:rPr>
          <w:rFonts w:ascii="Cambria" w:hAnsi="Cambria"/>
          <w:b/>
          <w:color w:val="000000" w:themeColor="text1"/>
          <w:sz w:val="20"/>
          <w:szCs w:val="20"/>
          <w:lang w:val="es-ES"/>
        </w:rPr>
      </w:pPr>
      <w:r w:rsidRPr="00895EA2">
        <w:rPr>
          <w:rFonts w:ascii="Cambria" w:hAnsi="Cambria"/>
          <w:b/>
          <w:color w:val="000000" w:themeColor="text1"/>
          <w:sz w:val="20"/>
          <w:szCs w:val="20"/>
          <w:lang w:val="es-ES"/>
        </w:rPr>
        <w:t>Resultados estructurales del caso</w:t>
      </w:r>
    </w:p>
    <w:p w14:paraId="137DC662" w14:textId="77777777" w:rsidR="001A7561" w:rsidRPr="00895EA2" w:rsidRDefault="001A7561" w:rsidP="001A7561">
      <w:pPr>
        <w:jc w:val="both"/>
        <w:rPr>
          <w:rFonts w:ascii="Cambria" w:hAnsi="Cambria"/>
          <w:b/>
          <w:i/>
          <w:iCs/>
          <w:color w:val="000000" w:themeColor="text1"/>
          <w:sz w:val="20"/>
          <w:szCs w:val="20"/>
          <w:lang w:val="es-ES"/>
        </w:rPr>
      </w:pPr>
    </w:p>
    <w:p w14:paraId="3C08E614" w14:textId="54F2AB98" w:rsidR="009F2E0C" w:rsidRPr="00895EA2" w:rsidRDefault="009F2E0C" w:rsidP="009F2E0C">
      <w:pPr>
        <w:jc w:val="both"/>
        <w:rPr>
          <w:rFonts w:ascii="Cambria" w:hAnsi="Cambria"/>
          <w:i/>
          <w:iCs/>
          <w:color w:val="000000" w:themeColor="text1"/>
          <w:sz w:val="20"/>
          <w:szCs w:val="20"/>
          <w:lang w:val="es-ES"/>
        </w:rPr>
      </w:pPr>
      <w:r w:rsidRPr="00895EA2">
        <w:rPr>
          <w:rFonts w:ascii="Cambria" w:hAnsi="Cambria"/>
          <w:i/>
          <w:iCs/>
          <w:color w:val="000000" w:themeColor="text1"/>
          <w:sz w:val="20"/>
          <w:szCs w:val="20"/>
          <w:lang w:val="es-ES"/>
        </w:rPr>
        <w:t>Legislación/Normativa</w:t>
      </w:r>
    </w:p>
    <w:p w14:paraId="763326B7" w14:textId="4E086914" w:rsidR="00F0077A" w:rsidRPr="00895EA2" w:rsidRDefault="009F2E0C">
      <w:pPr>
        <w:pStyle w:val="ListParagraph"/>
        <w:numPr>
          <w:ilvl w:val="0"/>
          <w:numId w:val="12"/>
        </w:numPr>
        <w:jc w:val="both"/>
        <w:rPr>
          <w:rFonts w:ascii="Cambria" w:hAnsi="Cambria"/>
          <w:color w:val="000000" w:themeColor="text1"/>
          <w:sz w:val="20"/>
          <w:szCs w:val="20"/>
          <w:lang w:val="es-ES"/>
        </w:rPr>
      </w:pPr>
      <w:r w:rsidRPr="00895EA2">
        <w:rPr>
          <w:rFonts w:ascii="Cambria" w:hAnsi="Cambria" w:cs="Calibri Light"/>
          <w:color w:val="000000" w:themeColor="text1"/>
          <w:sz w:val="20"/>
          <w:szCs w:val="20"/>
          <w:lang w:val="es-ES"/>
        </w:rPr>
        <w:t>A principios de 2021, la Asamblea General de Virginia aprobó el proyecto de ley </w:t>
      </w:r>
      <w:hyperlink r:id="rId12" w:tgtFrame="_Blank" w:history="1">
        <w:r w:rsidRPr="00895EA2">
          <w:rPr>
            <w:rFonts w:ascii="Cambria" w:hAnsi="Cambria" w:cs="Calibri Light"/>
            <w:color w:val="000000" w:themeColor="text1"/>
            <w:sz w:val="20"/>
            <w:szCs w:val="20"/>
            <w:lang w:val="es-ES"/>
          </w:rPr>
          <w:t>HB 2263</w:t>
        </w:r>
      </w:hyperlink>
      <w:r w:rsidRPr="00895EA2">
        <w:rPr>
          <w:rFonts w:ascii="Cambria" w:hAnsi="Cambria" w:cs="Calibri Light"/>
          <w:color w:val="000000" w:themeColor="text1"/>
          <w:sz w:val="20"/>
          <w:szCs w:val="20"/>
          <w:lang w:val="es-ES"/>
        </w:rPr>
        <w:t> que deja sin efecto la pena muerte en el estado de Virginia. El 24 de marzo de 2021, el gobernador de Virginia firmó el proyecto convirtiéndolo en ley.</w:t>
      </w:r>
    </w:p>
    <w:sectPr w:rsidR="00F0077A" w:rsidRPr="00895EA2" w:rsidSect="00566CD0">
      <w:headerReference w:type="default"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43A7" w14:textId="77777777" w:rsidR="00AF72AE" w:rsidRDefault="00AF72AE" w:rsidP="00672733">
      <w:r>
        <w:separator/>
      </w:r>
    </w:p>
  </w:endnote>
  <w:endnote w:type="continuationSeparator" w:id="0">
    <w:p w14:paraId="6E89429C" w14:textId="77777777" w:rsidR="00AF72AE" w:rsidRDefault="00AF72AE"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1BE180C0"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9D04D8">
      <w:rPr>
        <w:caps/>
        <w:noProof/>
        <w:color w:val="000000" w:themeColor="text1"/>
        <w:sz w:val="20"/>
        <w:szCs w:val="20"/>
      </w:rPr>
      <w:t>3</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D88B" w14:textId="77777777" w:rsidR="00AF72AE" w:rsidRDefault="00AF72AE" w:rsidP="00672733">
      <w:r>
        <w:separator/>
      </w:r>
    </w:p>
  </w:footnote>
  <w:footnote w:type="continuationSeparator" w:id="0">
    <w:p w14:paraId="59AC9EF6" w14:textId="77777777" w:rsidR="00AF72AE" w:rsidRDefault="00AF72AE" w:rsidP="00672733">
      <w:r>
        <w:continuationSeparator/>
      </w:r>
    </w:p>
  </w:footnote>
  <w:footnote w:id="1">
    <w:p w14:paraId="67EF40F0" w14:textId="77777777" w:rsidR="001A7561" w:rsidRPr="001667BE" w:rsidRDefault="001A7561" w:rsidP="001A7561">
      <w:pPr>
        <w:pStyle w:val="NoSpacing"/>
        <w:spacing w:after="120"/>
        <w:ind w:firstLine="720"/>
        <w:jc w:val="both"/>
        <w:rPr>
          <w:rFonts w:ascii="Cambria" w:hAnsi="Cambria"/>
          <w:color w:val="000000"/>
          <w:sz w:val="16"/>
          <w:szCs w:val="16"/>
          <w:lang w:val="es-CO"/>
        </w:rPr>
      </w:pPr>
      <w:r w:rsidRPr="001667BE">
        <w:rPr>
          <w:rStyle w:val="FootnoteReference"/>
          <w:rFonts w:ascii="Cambria" w:hAnsi="Cambria"/>
          <w:color w:val="000000"/>
          <w:sz w:val="16"/>
          <w:szCs w:val="16"/>
        </w:rPr>
        <w:footnoteRef/>
      </w:r>
      <w:r w:rsidRPr="001667BE">
        <w:rPr>
          <w:rFonts w:ascii="Cambria" w:hAnsi="Cambria"/>
          <w:color w:val="000000"/>
          <w:sz w:val="16"/>
          <w:szCs w:val="16"/>
          <w:lang w:val="es-CO"/>
        </w:rPr>
        <w:t xml:space="preserve"> CIDH, </w:t>
      </w:r>
      <w:hyperlink r:id="rId1" w:history="1">
        <w:r w:rsidRPr="001667BE">
          <w:rPr>
            <w:rStyle w:val="Hyperlink"/>
            <w:rFonts w:ascii="Cambria" w:hAnsi="Cambria"/>
            <w:color w:val="000000"/>
            <w:sz w:val="16"/>
            <w:szCs w:val="16"/>
            <w:lang w:val="es-CO"/>
          </w:rPr>
          <w:t xml:space="preserve">Comunicado de Prensa </w:t>
        </w:r>
        <w:proofErr w:type="spellStart"/>
        <w:r w:rsidRPr="001667BE">
          <w:rPr>
            <w:rStyle w:val="Hyperlink"/>
            <w:rFonts w:ascii="Cambria" w:hAnsi="Cambria"/>
            <w:color w:val="000000"/>
            <w:sz w:val="16"/>
            <w:szCs w:val="16"/>
            <w:lang w:val="es-CO"/>
          </w:rPr>
          <w:t>Nº</w:t>
        </w:r>
        <w:proofErr w:type="spellEnd"/>
        <w:r w:rsidRPr="001667BE">
          <w:rPr>
            <w:rStyle w:val="Hyperlink"/>
            <w:rFonts w:ascii="Cambria" w:hAnsi="Cambria"/>
            <w:color w:val="000000"/>
            <w:sz w:val="16"/>
            <w:szCs w:val="16"/>
            <w:lang w:val="es-CO"/>
          </w:rPr>
          <w:t xml:space="preserve"> 45/16 - </w:t>
        </w:r>
        <w:r w:rsidRPr="001667BE">
          <w:rPr>
            <w:rStyle w:val="Hyperlink"/>
            <w:rFonts w:ascii="Cambria" w:hAnsi="Cambria"/>
            <w:bCs/>
            <w:color w:val="000000"/>
            <w:kern w:val="36"/>
            <w:sz w:val="16"/>
            <w:szCs w:val="16"/>
            <w:lang w:val="es-CO"/>
          </w:rPr>
          <w:t>CIDH urge a Estados Unidos a cumplir con recomendaciones en caso de pena de muerte</w:t>
        </w:r>
      </w:hyperlink>
      <w:r w:rsidRPr="001667BE">
        <w:rPr>
          <w:rFonts w:ascii="Cambria" w:hAnsi="Cambria"/>
          <w:color w:val="000000"/>
          <w:sz w:val="16"/>
          <w:szCs w:val="16"/>
          <w:lang w:val="es-CO"/>
        </w:rPr>
        <w:t xml:space="preserve">. Washington, D.C., 1 de abril de 2016; </w:t>
      </w:r>
      <w:r w:rsidRPr="001667BE">
        <w:rPr>
          <w:rFonts w:ascii="Cambria" w:hAnsi="Cambria"/>
          <w:color w:val="000000"/>
          <w:sz w:val="16"/>
          <w:szCs w:val="16"/>
          <w:lang w:val="es-ES"/>
        </w:rPr>
        <w:t xml:space="preserve">CIDH, Informe Anual 2017, </w:t>
      </w:r>
      <w:hyperlink r:id="rId2" w:history="1">
        <w:r w:rsidRPr="001667BE">
          <w:rPr>
            <w:rStyle w:val="Hyperlink"/>
            <w:rFonts w:ascii="Cambria" w:hAnsi="Cambria"/>
            <w:color w:val="000000"/>
            <w:sz w:val="16"/>
            <w:szCs w:val="16"/>
            <w:lang w:val="es-ES"/>
          </w:rPr>
          <w:t>Capítulo II, Sección F: Estado del cumplimiento de las recomendaciones de la CIDH</w:t>
        </w:r>
      </w:hyperlink>
      <w:r w:rsidRPr="001667BE">
        <w:rPr>
          <w:rFonts w:ascii="Cambria" w:hAnsi="Cambria"/>
          <w:color w:val="000000"/>
          <w:sz w:val="16"/>
          <w:szCs w:val="16"/>
          <w:lang w:val="es-ES"/>
        </w:rPr>
        <w:t>, párr.</w:t>
      </w:r>
      <w:r w:rsidRPr="001667BE">
        <w:rPr>
          <w:rFonts w:ascii="Cambria" w:hAnsi="Cambria"/>
          <w:color w:val="000000"/>
          <w:sz w:val="16"/>
          <w:szCs w:val="16"/>
          <w:lang w:val="es-CO"/>
        </w:rPr>
        <w:t xml:space="preserve"> 1304. </w:t>
      </w:r>
    </w:p>
  </w:footnote>
  <w:footnote w:id="2">
    <w:p w14:paraId="609B2BD9" w14:textId="77777777" w:rsidR="001A7561" w:rsidRPr="001667BE" w:rsidRDefault="001A7561" w:rsidP="001A7561">
      <w:pPr>
        <w:pStyle w:val="NoSpacing"/>
        <w:spacing w:after="120"/>
        <w:ind w:firstLine="720"/>
        <w:jc w:val="both"/>
        <w:rPr>
          <w:rFonts w:ascii="Cambria" w:hAnsi="Cambria"/>
          <w:color w:val="000000"/>
          <w:sz w:val="16"/>
          <w:szCs w:val="16"/>
          <w:lang w:val="es-CO"/>
        </w:rPr>
      </w:pPr>
      <w:r w:rsidRPr="001667BE">
        <w:rPr>
          <w:rStyle w:val="FootnoteReference"/>
          <w:rFonts w:ascii="Cambria" w:hAnsi="Cambria"/>
          <w:color w:val="000000"/>
          <w:sz w:val="16"/>
          <w:szCs w:val="16"/>
        </w:rPr>
        <w:footnoteRef/>
      </w:r>
      <w:r w:rsidRPr="001667BE">
        <w:rPr>
          <w:rFonts w:ascii="Cambria" w:hAnsi="Cambria"/>
          <w:color w:val="000000"/>
          <w:sz w:val="16"/>
          <w:szCs w:val="16"/>
          <w:lang w:val="es-CO"/>
        </w:rPr>
        <w:t xml:space="preserve"> </w:t>
      </w:r>
      <w:r w:rsidRPr="001667BE">
        <w:rPr>
          <w:rFonts w:ascii="Cambria" w:hAnsi="Cambria"/>
          <w:color w:val="000000"/>
          <w:sz w:val="16"/>
          <w:szCs w:val="16"/>
          <w:lang w:val="es-ES"/>
        </w:rPr>
        <w:t xml:space="preserve">CIDH, Informe Anual 2017, </w:t>
      </w:r>
      <w:hyperlink r:id="rId3" w:history="1">
        <w:r w:rsidRPr="001667BE">
          <w:rPr>
            <w:rStyle w:val="Hyperlink"/>
            <w:rFonts w:ascii="Cambria" w:hAnsi="Cambria"/>
            <w:color w:val="000000"/>
            <w:sz w:val="16"/>
            <w:szCs w:val="16"/>
            <w:lang w:val="es-ES"/>
          </w:rPr>
          <w:t>Capítulo II, Sección F: Estado del cumplimiento de las recomendaciones de la CIDH</w:t>
        </w:r>
      </w:hyperlink>
      <w:r w:rsidRPr="001667BE">
        <w:rPr>
          <w:rFonts w:ascii="Cambria" w:hAnsi="Cambria"/>
          <w:color w:val="000000"/>
          <w:sz w:val="16"/>
          <w:szCs w:val="16"/>
          <w:lang w:val="es-ES"/>
        </w:rPr>
        <w:t>, párr.</w:t>
      </w:r>
      <w:r w:rsidRPr="001667BE">
        <w:rPr>
          <w:rFonts w:ascii="Cambria" w:hAnsi="Cambria"/>
          <w:color w:val="000000"/>
          <w:sz w:val="16"/>
          <w:szCs w:val="16"/>
          <w:lang w:val="es-CO"/>
        </w:rPr>
        <w:t xml:space="preserve"> 1301.</w:t>
      </w:r>
    </w:p>
  </w:footnote>
  <w:footnote w:id="3">
    <w:p w14:paraId="3BEE1CEB" w14:textId="77777777" w:rsidR="001A7561" w:rsidRPr="001667BE" w:rsidRDefault="001A7561" w:rsidP="001A7561">
      <w:pPr>
        <w:pStyle w:val="NoSpacing"/>
        <w:spacing w:after="120"/>
        <w:ind w:firstLine="720"/>
        <w:jc w:val="both"/>
        <w:rPr>
          <w:rFonts w:ascii="Cambria" w:hAnsi="Cambria"/>
          <w:color w:val="000000"/>
          <w:sz w:val="16"/>
          <w:szCs w:val="16"/>
          <w:lang w:val="es-CO"/>
        </w:rPr>
      </w:pPr>
      <w:r w:rsidRPr="001667BE">
        <w:rPr>
          <w:rStyle w:val="FootnoteReference"/>
          <w:rFonts w:ascii="Cambria" w:hAnsi="Cambria"/>
          <w:color w:val="000000"/>
          <w:sz w:val="16"/>
          <w:szCs w:val="16"/>
        </w:rPr>
        <w:footnoteRef/>
      </w:r>
      <w:r w:rsidRPr="001667BE">
        <w:rPr>
          <w:rFonts w:ascii="Cambria" w:hAnsi="Cambria"/>
          <w:color w:val="000000"/>
          <w:sz w:val="16"/>
          <w:szCs w:val="16"/>
          <w:lang w:val="es-CO"/>
        </w:rPr>
        <w:t xml:space="preserve"> </w:t>
      </w:r>
      <w:r w:rsidRPr="001667BE">
        <w:rPr>
          <w:rFonts w:ascii="Cambria" w:hAnsi="Cambria"/>
          <w:color w:val="000000"/>
          <w:sz w:val="16"/>
          <w:szCs w:val="16"/>
          <w:lang w:val="es-ES"/>
        </w:rPr>
        <w:t xml:space="preserve">CIDH, Informe Anual 2017, </w:t>
      </w:r>
      <w:hyperlink r:id="rId4" w:history="1">
        <w:r w:rsidRPr="001667BE">
          <w:rPr>
            <w:rStyle w:val="Hyperlink"/>
            <w:rFonts w:ascii="Cambria" w:hAnsi="Cambria"/>
            <w:color w:val="000000"/>
            <w:sz w:val="16"/>
            <w:szCs w:val="16"/>
            <w:lang w:val="es-ES"/>
          </w:rPr>
          <w:t>Capítulo II, Sección F: Estado del cumplimiento de las recomendaciones de la CIDH</w:t>
        </w:r>
      </w:hyperlink>
      <w:r w:rsidRPr="001667BE">
        <w:rPr>
          <w:rFonts w:ascii="Cambria" w:hAnsi="Cambria"/>
          <w:color w:val="000000"/>
          <w:sz w:val="16"/>
          <w:szCs w:val="16"/>
          <w:lang w:val="es-ES"/>
        </w:rPr>
        <w:t>, párr.</w:t>
      </w:r>
      <w:r w:rsidRPr="001667BE">
        <w:rPr>
          <w:rFonts w:ascii="Cambria" w:hAnsi="Cambria"/>
          <w:color w:val="000000"/>
          <w:sz w:val="16"/>
          <w:szCs w:val="16"/>
          <w:lang w:val="es-CO"/>
        </w:rPr>
        <w:t xml:space="preserve"> 1305.</w:t>
      </w:r>
    </w:p>
  </w:footnote>
  <w:footnote w:id="4">
    <w:p w14:paraId="38D82B3A" w14:textId="77777777" w:rsidR="001A7561" w:rsidRPr="001667BE" w:rsidRDefault="001A7561" w:rsidP="001A7561">
      <w:pPr>
        <w:pStyle w:val="NoSpacing"/>
        <w:spacing w:after="120"/>
        <w:ind w:firstLine="720"/>
        <w:jc w:val="both"/>
        <w:rPr>
          <w:rFonts w:ascii="Cambria" w:hAnsi="Cambria"/>
          <w:color w:val="000000"/>
          <w:sz w:val="16"/>
          <w:szCs w:val="16"/>
          <w:lang w:val="es-CO"/>
        </w:rPr>
      </w:pPr>
      <w:r w:rsidRPr="001667BE">
        <w:rPr>
          <w:rStyle w:val="FootnoteReference"/>
          <w:rFonts w:ascii="Cambria" w:hAnsi="Cambria"/>
          <w:color w:val="000000"/>
          <w:sz w:val="16"/>
          <w:szCs w:val="16"/>
        </w:rPr>
        <w:footnoteRef/>
      </w:r>
      <w:r w:rsidRPr="001667BE">
        <w:rPr>
          <w:rFonts w:ascii="Cambria" w:hAnsi="Cambria"/>
          <w:color w:val="000000"/>
          <w:sz w:val="16"/>
          <w:szCs w:val="16"/>
          <w:lang w:val="es-CO"/>
        </w:rPr>
        <w:t xml:space="preserve"> </w:t>
      </w:r>
      <w:r w:rsidRPr="001667BE">
        <w:rPr>
          <w:rFonts w:ascii="Cambria" w:hAnsi="Cambria"/>
          <w:color w:val="000000"/>
          <w:sz w:val="16"/>
          <w:szCs w:val="16"/>
          <w:lang w:val="es-ES"/>
        </w:rPr>
        <w:t xml:space="preserve">CIDH, Informe Anual 2017, </w:t>
      </w:r>
      <w:hyperlink r:id="rId5" w:history="1">
        <w:r w:rsidRPr="001667BE">
          <w:rPr>
            <w:rStyle w:val="Hyperlink"/>
            <w:rFonts w:ascii="Cambria" w:hAnsi="Cambria"/>
            <w:color w:val="000000"/>
            <w:sz w:val="16"/>
            <w:szCs w:val="16"/>
            <w:lang w:val="es-ES"/>
          </w:rPr>
          <w:t>Capítulo II, Sección F: Estado del cumplimiento de las recomendaciones de la CIDH</w:t>
        </w:r>
      </w:hyperlink>
      <w:r w:rsidRPr="001667BE">
        <w:rPr>
          <w:rFonts w:ascii="Cambria" w:hAnsi="Cambria"/>
          <w:color w:val="000000"/>
          <w:sz w:val="16"/>
          <w:szCs w:val="16"/>
          <w:lang w:val="es-ES"/>
        </w:rPr>
        <w:t>, párr.</w:t>
      </w:r>
      <w:r w:rsidRPr="001667BE">
        <w:rPr>
          <w:rFonts w:ascii="Cambria" w:hAnsi="Cambria"/>
          <w:color w:val="000000"/>
          <w:sz w:val="16"/>
          <w:szCs w:val="16"/>
          <w:lang w:val="es-CO"/>
        </w:rPr>
        <w:t xml:space="preserve"> 1303.</w:t>
      </w:r>
    </w:p>
  </w:footnote>
  <w:footnote w:id="5">
    <w:p w14:paraId="57FF3153" w14:textId="77777777" w:rsidR="001A7561" w:rsidRPr="00732C92" w:rsidRDefault="001A7561" w:rsidP="001A7561">
      <w:pPr>
        <w:pStyle w:val="NoSpacing"/>
        <w:spacing w:after="120"/>
        <w:ind w:firstLine="720"/>
        <w:jc w:val="both"/>
        <w:rPr>
          <w:lang w:val="es-CO"/>
        </w:rPr>
      </w:pPr>
      <w:r w:rsidRPr="001667BE">
        <w:rPr>
          <w:rStyle w:val="FootnoteReference"/>
          <w:rFonts w:ascii="Cambria" w:hAnsi="Cambria"/>
          <w:color w:val="000000"/>
          <w:sz w:val="16"/>
          <w:szCs w:val="16"/>
        </w:rPr>
        <w:footnoteRef/>
      </w:r>
      <w:r w:rsidRPr="001667BE">
        <w:rPr>
          <w:rFonts w:ascii="Cambria" w:hAnsi="Cambria"/>
          <w:color w:val="000000"/>
          <w:sz w:val="16"/>
          <w:szCs w:val="16"/>
          <w:lang w:val="es-CO"/>
        </w:rPr>
        <w:t xml:space="preserve"> </w:t>
      </w:r>
      <w:r w:rsidRPr="001667BE">
        <w:rPr>
          <w:rFonts w:ascii="Cambria" w:hAnsi="Cambria"/>
          <w:color w:val="000000"/>
          <w:sz w:val="16"/>
          <w:szCs w:val="16"/>
          <w:lang w:val="es-ES"/>
        </w:rPr>
        <w:t xml:space="preserve">CIDH, Informe Anual 2017, </w:t>
      </w:r>
      <w:hyperlink r:id="rId6" w:history="1">
        <w:r w:rsidRPr="001667BE">
          <w:rPr>
            <w:rStyle w:val="Hyperlink"/>
            <w:rFonts w:ascii="Cambria" w:hAnsi="Cambria"/>
            <w:color w:val="000000"/>
            <w:sz w:val="16"/>
            <w:szCs w:val="16"/>
            <w:lang w:val="es-ES"/>
          </w:rPr>
          <w:t>Capítulo II, Sección F: Estado del cumplimiento de las recomendaciones de la CIDH</w:t>
        </w:r>
      </w:hyperlink>
      <w:r w:rsidRPr="001667BE">
        <w:rPr>
          <w:rFonts w:ascii="Cambria" w:hAnsi="Cambria"/>
          <w:color w:val="000000"/>
          <w:sz w:val="16"/>
          <w:szCs w:val="16"/>
          <w:lang w:val="es-ES"/>
        </w:rPr>
        <w:t>, párr.</w:t>
      </w:r>
      <w:r w:rsidRPr="001667BE">
        <w:rPr>
          <w:rFonts w:ascii="Cambria" w:hAnsi="Cambria"/>
          <w:color w:val="000000"/>
          <w:sz w:val="16"/>
          <w:szCs w:val="16"/>
          <w:lang w:val="es-CO"/>
        </w:rPr>
        <w:t xml:space="preserve"> 1306.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8284" w14:textId="210DFBCE" w:rsidR="00425EEA" w:rsidRDefault="00425EEA" w:rsidP="00425EEA">
    <w:pPr>
      <w:pStyle w:val="Header"/>
      <w:rPr>
        <w:rFonts w:ascii="Arial" w:hAnsi="Arial" w:cs="Arial"/>
        <w:color w:val="3B3838" w:themeColor="background2" w:themeShade="40"/>
        <w:sz w:val="22"/>
        <w:szCs w:val="28"/>
      </w:rPr>
    </w:pPr>
    <w:r>
      <w:rPr>
        <w:noProof/>
      </w:rPr>
      <w:drawing>
        <wp:anchor distT="0" distB="0" distL="114300" distR="114300" simplePos="0" relativeHeight="251669504" behindDoc="0" locked="0" layoutInCell="1" allowOverlap="1" wp14:anchorId="6909FC89" wp14:editId="0AEF7FFE">
          <wp:simplePos x="0" y="0"/>
          <wp:positionH relativeFrom="column">
            <wp:posOffset>4658995</wp:posOffset>
          </wp:positionH>
          <wp:positionV relativeFrom="paragraph">
            <wp:posOffset>-3175</wp:posOffset>
          </wp:positionV>
          <wp:extent cx="1485900" cy="346075"/>
          <wp:effectExtent l="0" t="0" r="0" b="0"/>
          <wp:wrapSquare wrapText="bothSides"/>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8FFFB4" wp14:editId="45F99FAD">
          <wp:extent cx="1333500" cy="314325"/>
          <wp:effectExtent l="0" t="0" r="0" b="952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2408F1E6" w14:textId="6216DE0F" w:rsidR="00425EEA" w:rsidRDefault="00425EEA" w:rsidP="00425EEA">
    <w:pPr>
      <w:pStyle w:val="Header"/>
      <w:rPr>
        <w:rFonts w:ascii="Arial" w:hAnsi="Arial" w:cs="Arial"/>
        <w:b/>
        <w:bCs/>
        <w:color w:val="404040" w:themeColor="text1" w:themeTint="BF"/>
        <w:sz w:val="44"/>
        <w:szCs w:val="44"/>
        <w:lang w:val="es-ES"/>
      </w:rPr>
    </w:pPr>
    <w:r>
      <w:rPr>
        <w:noProof/>
      </w:rPr>
      <mc:AlternateContent>
        <mc:Choice Requires="wps">
          <w:drawing>
            <wp:anchor distT="0" distB="0" distL="114300" distR="114300" simplePos="0" relativeHeight="251668480" behindDoc="0" locked="0" layoutInCell="1" allowOverlap="1" wp14:anchorId="3F29F45A" wp14:editId="07945F40">
              <wp:simplePos x="0" y="0"/>
              <wp:positionH relativeFrom="column">
                <wp:posOffset>-5080</wp:posOffset>
              </wp:positionH>
              <wp:positionV relativeFrom="paragraph">
                <wp:posOffset>173990</wp:posOffset>
              </wp:positionV>
              <wp:extent cx="61480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9D6FF"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4143" w14:textId="4628EC94" w:rsidR="00566CD0" w:rsidRPr="006B1F24" w:rsidRDefault="00F0077A" w:rsidP="008818B0">
    <w:pPr>
      <w:pStyle w:val="Header"/>
      <w:tabs>
        <w:tab w:val="clear" w:pos="4680"/>
        <w:tab w:val="clear" w:pos="9360"/>
        <w:tab w:val="left" w:pos="1925"/>
      </w:tabs>
      <w:rPr>
        <w:rFonts w:ascii="Arial" w:hAnsi="Arial" w:cs="Arial"/>
        <w:b/>
        <w:bCs/>
        <w:color w:val="404040" w:themeColor="text1" w:themeTint="BF"/>
        <w:sz w:val="38"/>
        <w:szCs w:val="38"/>
        <w:lang w:val="es-ES"/>
      </w:rPr>
    </w:pPr>
    <w:r w:rsidRPr="006B1F24">
      <w:rPr>
        <w:noProof/>
        <w:sz w:val="28"/>
        <w:szCs w:val="28"/>
      </w:rPr>
      <w:drawing>
        <wp:anchor distT="0" distB="0" distL="114300" distR="114300" simplePos="0" relativeHeight="251666432" behindDoc="0" locked="0" layoutInCell="1" allowOverlap="1" wp14:anchorId="52FD2EC9" wp14:editId="08A56C44">
          <wp:simplePos x="0" y="0"/>
          <wp:positionH relativeFrom="column">
            <wp:posOffset>3964940</wp:posOffset>
          </wp:positionH>
          <wp:positionV relativeFrom="paragraph">
            <wp:posOffset>-39046</wp:posOffset>
          </wp:positionV>
          <wp:extent cx="2183130" cy="508635"/>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6868CB" wp14:editId="6C7E5D85">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CF6"/>
    <w:multiLevelType w:val="hybridMultilevel"/>
    <w:tmpl w:val="A01CD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12FE8"/>
    <w:multiLevelType w:val="hybridMultilevel"/>
    <w:tmpl w:val="8354A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67E3"/>
    <w:multiLevelType w:val="hybridMultilevel"/>
    <w:tmpl w:val="9E5CABAE"/>
    <w:lvl w:ilvl="0" w:tplc="FFFFFFFF">
      <w:start w:val="1"/>
      <w:numFmt w:val="decimal"/>
      <w:lvlText w:val="%1."/>
      <w:lvlJc w:val="left"/>
      <w:pPr>
        <w:ind w:left="0" w:firstLine="72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284775A5"/>
    <w:multiLevelType w:val="hybridMultilevel"/>
    <w:tmpl w:val="9E5CABAE"/>
    <w:lvl w:ilvl="0" w:tplc="88B2BFE6">
      <w:start w:val="1"/>
      <w:numFmt w:val="decimal"/>
      <w:lvlText w:val="%1."/>
      <w:lvlJc w:val="left"/>
      <w:pPr>
        <w:ind w:left="0" w:firstLine="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555EC"/>
    <w:multiLevelType w:val="hybridMultilevel"/>
    <w:tmpl w:val="EAE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427662E5"/>
    <w:multiLevelType w:val="hybridMultilevel"/>
    <w:tmpl w:val="79B4784A"/>
    <w:lvl w:ilvl="0" w:tplc="342CD32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92294D"/>
    <w:multiLevelType w:val="hybridMultilevel"/>
    <w:tmpl w:val="BFB638E0"/>
    <w:lvl w:ilvl="0" w:tplc="6400DF4A">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79526302">
    <w:abstractNumId w:val="9"/>
  </w:num>
  <w:num w:numId="2" w16cid:durableId="1685746532">
    <w:abstractNumId w:val="14"/>
  </w:num>
  <w:num w:numId="3" w16cid:durableId="917129911">
    <w:abstractNumId w:val="12"/>
  </w:num>
  <w:num w:numId="4" w16cid:durableId="9337294">
    <w:abstractNumId w:val="5"/>
  </w:num>
  <w:num w:numId="5" w16cid:durableId="251790627">
    <w:abstractNumId w:val="4"/>
  </w:num>
  <w:num w:numId="6" w16cid:durableId="683629903">
    <w:abstractNumId w:val="6"/>
  </w:num>
  <w:num w:numId="7" w16cid:durableId="294331994">
    <w:abstractNumId w:val="1"/>
  </w:num>
  <w:num w:numId="8" w16cid:durableId="1609042263">
    <w:abstractNumId w:val="11"/>
  </w:num>
  <w:num w:numId="9" w16cid:durableId="2057393334">
    <w:abstractNumId w:val="10"/>
  </w:num>
  <w:num w:numId="10" w16cid:durableId="1033648778">
    <w:abstractNumId w:val="7"/>
  </w:num>
  <w:num w:numId="11" w16cid:durableId="236214490">
    <w:abstractNumId w:val="2"/>
  </w:num>
  <w:num w:numId="12" w16cid:durableId="1869950343">
    <w:abstractNumId w:val="8"/>
  </w:num>
  <w:num w:numId="13" w16cid:durableId="1690402758">
    <w:abstractNumId w:val="0"/>
  </w:num>
  <w:num w:numId="14" w16cid:durableId="1488789008">
    <w:abstractNumId w:val="13"/>
  </w:num>
  <w:num w:numId="15" w16cid:durableId="887835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0C5C4A"/>
    <w:rsid w:val="001344FF"/>
    <w:rsid w:val="001A7561"/>
    <w:rsid w:val="001B1F92"/>
    <w:rsid w:val="001C7AAF"/>
    <w:rsid w:val="001D4AA3"/>
    <w:rsid w:val="001E2E71"/>
    <w:rsid w:val="002E7DA6"/>
    <w:rsid w:val="003003B6"/>
    <w:rsid w:val="00322720"/>
    <w:rsid w:val="003A1219"/>
    <w:rsid w:val="003D158A"/>
    <w:rsid w:val="00425EEA"/>
    <w:rsid w:val="00453115"/>
    <w:rsid w:val="0048723C"/>
    <w:rsid w:val="004F2BA6"/>
    <w:rsid w:val="005054C2"/>
    <w:rsid w:val="00566CD0"/>
    <w:rsid w:val="005B2081"/>
    <w:rsid w:val="005D6BBB"/>
    <w:rsid w:val="0060297B"/>
    <w:rsid w:val="00612B17"/>
    <w:rsid w:val="00637ED3"/>
    <w:rsid w:val="006638E5"/>
    <w:rsid w:val="00672733"/>
    <w:rsid w:val="006B1F24"/>
    <w:rsid w:val="006C4D17"/>
    <w:rsid w:val="007319DB"/>
    <w:rsid w:val="00750246"/>
    <w:rsid w:val="007F4CE1"/>
    <w:rsid w:val="0082165B"/>
    <w:rsid w:val="00834BF0"/>
    <w:rsid w:val="00835FED"/>
    <w:rsid w:val="00837637"/>
    <w:rsid w:val="008463D3"/>
    <w:rsid w:val="0085547A"/>
    <w:rsid w:val="008818B0"/>
    <w:rsid w:val="0088488D"/>
    <w:rsid w:val="00895EA2"/>
    <w:rsid w:val="009546C8"/>
    <w:rsid w:val="009D04D8"/>
    <w:rsid w:val="009E4486"/>
    <w:rsid w:val="009F2E0C"/>
    <w:rsid w:val="009F7321"/>
    <w:rsid w:val="00A20880"/>
    <w:rsid w:val="00A31E02"/>
    <w:rsid w:val="00A6139F"/>
    <w:rsid w:val="00AF72AE"/>
    <w:rsid w:val="00BB0D06"/>
    <w:rsid w:val="00C441A9"/>
    <w:rsid w:val="00C841A8"/>
    <w:rsid w:val="00CA07B3"/>
    <w:rsid w:val="00CA223E"/>
    <w:rsid w:val="00D56DC4"/>
    <w:rsid w:val="00DE58B5"/>
    <w:rsid w:val="00E042FE"/>
    <w:rsid w:val="00E50D33"/>
    <w:rsid w:val="00E516AB"/>
    <w:rsid w:val="00E90CB3"/>
    <w:rsid w:val="00EA66F3"/>
    <w:rsid w:val="00ED270A"/>
    <w:rsid w:val="00F0077A"/>
    <w:rsid w:val="00F10BC0"/>
    <w:rsid w:val="00F41EF7"/>
    <w:rsid w:val="00F45D21"/>
    <w:rsid w:val="00F6011F"/>
    <w:rsid w:val="00FC1D10"/>
    <w:rsid w:val="00FD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uiPriority w:val="1"/>
    <w:qFormat/>
    <w:rsid w:val="001A7561"/>
    <w:rPr>
      <w:rFonts w:ascii="Calibri" w:eastAsia="Calibri" w:hAnsi="Calibri" w:cs="Times New Roman"/>
      <w:sz w:val="22"/>
      <w:szCs w:val="22"/>
    </w:rPr>
  </w:style>
  <w:style w:type="paragraph" w:customStyle="1" w:styleId="Default">
    <w:name w:val="Default"/>
    <w:rsid w:val="001A7561"/>
    <w:pPr>
      <w:autoSpaceDE w:val="0"/>
      <w:autoSpaceDN w:val="0"/>
      <w:adjustRightInd w:val="0"/>
    </w:pPr>
    <w:rPr>
      <w:rFonts w:ascii="Cambria" w:eastAsia="Calibri" w:hAnsi="Cambria" w:cs="Cambria"/>
      <w:color w:val="000000"/>
    </w:rPr>
  </w:style>
  <w:style w:type="paragraph" w:styleId="BalloonText">
    <w:name w:val="Balloon Text"/>
    <w:basedOn w:val="Normal"/>
    <w:link w:val="BalloonTextChar"/>
    <w:uiPriority w:val="99"/>
    <w:semiHidden/>
    <w:unhideWhenUsed/>
    <w:rsid w:val="00F41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EF7"/>
    <w:rPr>
      <w:rFonts w:ascii="Segoe UI" w:hAnsi="Segoe UI" w:cs="Segoe UI"/>
      <w:sz w:val="18"/>
      <w:szCs w:val="18"/>
    </w:rPr>
  </w:style>
  <w:style w:type="character" w:styleId="CommentReference">
    <w:name w:val="annotation reference"/>
    <w:basedOn w:val="DefaultParagraphFont"/>
    <w:uiPriority w:val="99"/>
    <w:semiHidden/>
    <w:unhideWhenUsed/>
    <w:rsid w:val="00F41EF7"/>
    <w:rPr>
      <w:sz w:val="16"/>
      <w:szCs w:val="16"/>
    </w:rPr>
  </w:style>
  <w:style w:type="paragraph" w:styleId="CommentText">
    <w:name w:val="annotation text"/>
    <w:basedOn w:val="Normal"/>
    <w:link w:val="CommentTextChar"/>
    <w:uiPriority w:val="99"/>
    <w:semiHidden/>
    <w:unhideWhenUsed/>
    <w:rsid w:val="00F41EF7"/>
    <w:rPr>
      <w:sz w:val="20"/>
      <w:szCs w:val="20"/>
    </w:rPr>
  </w:style>
  <w:style w:type="character" w:customStyle="1" w:styleId="CommentTextChar">
    <w:name w:val="Comment Text Char"/>
    <w:basedOn w:val="DefaultParagraphFont"/>
    <w:link w:val="CommentText"/>
    <w:uiPriority w:val="99"/>
    <w:semiHidden/>
    <w:rsid w:val="00F41EF7"/>
    <w:rPr>
      <w:sz w:val="20"/>
      <w:szCs w:val="20"/>
    </w:rPr>
  </w:style>
  <w:style w:type="paragraph" w:styleId="CommentSubject">
    <w:name w:val="annotation subject"/>
    <w:basedOn w:val="CommentText"/>
    <w:next w:val="CommentText"/>
    <w:link w:val="CommentSubjectChar"/>
    <w:uiPriority w:val="99"/>
    <w:semiHidden/>
    <w:unhideWhenUsed/>
    <w:rsid w:val="00F41EF7"/>
    <w:rPr>
      <w:b/>
      <w:bCs/>
    </w:rPr>
  </w:style>
  <w:style w:type="character" w:customStyle="1" w:styleId="CommentSubjectChar">
    <w:name w:val="Comment Subject Char"/>
    <w:basedOn w:val="CommentTextChar"/>
    <w:link w:val="CommentSubject"/>
    <w:uiPriority w:val="99"/>
    <w:semiHidden/>
    <w:rsid w:val="00F41EF7"/>
    <w:rPr>
      <w:b/>
      <w:bCs/>
      <w:sz w:val="20"/>
      <w:szCs w:val="20"/>
    </w:rPr>
  </w:style>
  <w:style w:type="paragraph" w:styleId="HTMLPreformatted">
    <w:name w:val="HTML Preformatted"/>
    <w:basedOn w:val="Normal"/>
    <w:link w:val="HTMLPreformattedChar"/>
    <w:uiPriority w:val="99"/>
    <w:semiHidden/>
    <w:unhideWhenUsed/>
    <w:rsid w:val="00C44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41A9"/>
    <w:rPr>
      <w:rFonts w:ascii="Courier New" w:eastAsia="Times New Roman" w:hAnsi="Courier New" w:cs="Courier New"/>
      <w:sz w:val="20"/>
      <w:szCs w:val="20"/>
    </w:rPr>
  </w:style>
  <w:style w:type="character" w:customStyle="1" w:styleId="y2iqfc">
    <w:name w:val="y2iqfc"/>
    <w:basedOn w:val="DefaultParagraphFont"/>
    <w:rsid w:val="00C441A9"/>
  </w:style>
  <w:style w:type="character" w:customStyle="1" w:styleId="apple-converted-space">
    <w:name w:val="apple-converted-space"/>
    <w:basedOn w:val="DefaultParagraphFont"/>
    <w:rsid w:val="00A20880"/>
  </w:style>
  <w:style w:type="character" w:customStyle="1" w:styleId="normaltextrun">
    <w:name w:val="normaltextrun"/>
    <w:basedOn w:val="DefaultParagraphFont"/>
    <w:rsid w:val="0073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3973">
      <w:bodyDiv w:val="1"/>
      <w:marLeft w:val="0"/>
      <w:marRight w:val="0"/>
      <w:marTop w:val="0"/>
      <w:marBottom w:val="0"/>
      <w:divBdr>
        <w:top w:val="none" w:sz="0" w:space="0" w:color="auto"/>
        <w:left w:val="none" w:sz="0" w:space="0" w:color="auto"/>
        <w:bottom w:val="none" w:sz="0" w:space="0" w:color="auto"/>
        <w:right w:val="none" w:sz="0" w:space="0" w:color="auto"/>
      </w:divBdr>
    </w:div>
    <w:div w:id="747574328">
      <w:bodyDiv w:val="1"/>
      <w:marLeft w:val="0"/>
      <w:marRight w:val="0"/>
      <w:marTop w:val="0"/>
      <w:marBottom w:val="0"/>
      <w:divBdr>
        <w:top w:val="none" w:sz="0" w:space="0" w:color="auto"/>
        <w:left w:val="none" w:sz="0" w:space="0" w:color="auto"/>
        <w:bottom w:val="none" w:sz="0" w:space="0" w:color="auto"/>
        <w:right w:val="none" w:sz="0" w:space="0" w:color="auto"/>
      </w:divBdr>
    </w:div>
    <w:div w:id="1177421575">
      <w:bodyDiv w:val="1"/>
      <w:marLeft w:val="0"/>
      <w:marRight w:val="0"/>
      <w:marTop w:val="0"/>
      <w:marBottom w:val="0"/>
      <w:divBdr>
        <w:top w:val="none" w:sz="0" w:space="0" w:color="auto"/>
        <w:left w:val="none" w:sz="0" w:space="0" w:color="auto"/>
        <w:bottom w:val="none" w:sz="0" w:space="0" w:color="auto"/>
        <w:right w:val="none" w:sz="0" w:space="0" w:color="auto"/>
      </w:divBdr>
    </w:div>
    <w:div w:id="1465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3/USPU12864ES.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s.virginia.gov/cgi-bin/legp604.exe?211+sum+HB2263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11+sum+HB2263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as.org/es/cidh/decisiones/cautelares.asp" TargetMode="External"/><Relationship Id="rId4" Type="http://schemas.openxmlformats.org/officeDocument/2006/relationships/settings" Target="settings.xml"/><Relationship Id="rId9" Type="http://schemas.openxmlformats.org/officeDocument/2006/relationships/hyperlink" Target="http://www.oas.org/es/cidh/decisiones/2012/USAD1528-11ES.doc"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7/docs/IA2017cap.2-es.pdf" TargetMode="External"/><Relationship Id="rId2" Type="http://schemas.openxmlformats.org/officeDocument/2006/relationships/hyperlink" Target="http://www.oas.org/es/cidh/docs/anual/2017/docs/IA2017cap.2-es.pdf" TargetMode="External"/><Relationship Id="rId1" Type="http://schemas.openxmlformats.org/officeDocument/2006/relationships/hyperlink" Target="http://www.oas.org/es/cidh/prensa/Comunicados/2016/045.asp" TargetMode="External"/><Relationship Id="rId6" Type="http://schemas.openxmlformats.org/officeDocument/2006/relationships/hyperlink" Target="http://www.oas.org/es/cidh/docs/anual/2017/docs/IA2017cap.2-es.pdf" TargetMode="External"/><Relationship Id="rId5" Type="http://schemas.openxmlformats.org/officeDocument/2006/relationships/hyperlink" Target="http://www.oas.org/es/cidh/docs/anual/2017/docs/IA2017cap.2-es.pdf" TargetMode="External"/><Relationship Id="rId4"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0203-F2BF-4D00-AC33-CDF9D889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2022-04-21T12:45:00Z</dcterms:created>
  <dcterms:modified xsi:type="dcterms:W3CDTF">2022-04-21T12:45:00Z</dcterms:modified>
</cp:coreProperties>
</file>