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F439" w14:textId="0F9A21C6" w:rsidR="001D149B" w:rsidRPr="008A5E17" w:rsidRDefault="001D149B" w:rsidP="290CB1C0">
      <w:pPr>
        <w:pStyle w:val="Header"/>
        <w:jc w:val="center"/>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 xml:space="preserve">FICHA DE SEGUIMIENTO DEL INFORME </w:t>
      </w:r>
      <w:proofErr w:type="spellStart"/>
      <w:r w:rsidRPr="290CB1C0">
        <w:rPr>
          <w:rFonts w:ascii="Cambria" w:hAnsi="Cambria"/>
          <w:b/>
          <w:bCs/>
          <w:color w:val="000000" w:themeColor="text1"/>
          <w:sz w:val="20"/>
          <w:szCs w:val="20"/>
          <w:lang w:val="es-ES"/>
        </w:rPr>
        <w:t>Nº</w:t>
      </w:r>
      <w:proofErr w:type="spellEnd"/>
      <w:r w:rsidRPr="290CB1C0">
        <w:rPr>
          <w:rFonts w:ascii="Cambria" w:hAnsi="Cambria"/>
          <w:b/>
          <w:bCs/>
          <w:color w:val="000000" w:themeColor="text1"/>
          <w:sz w:val="20"/>
          <w:szCs w:val="20"/>
          <w:lang w:val="es-ES"/>
        </w:rPr>
        <w:t xml:space="preserve"> 81/07</w:t>
      </w:r>
    </w:p>
    <w:p w14:paraId="3E4A1A74" w14:textId="77777777" w:rsidR="001D149B" w:rsidRPr="008A5E17" w:rsidRDefault="001D149B" w:rsidP="290CB1C0">
      <w:pPr>
        <w:jc w:val="center"/>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CASO 12.504</w:t>
      </w:r>
    </w:p>
    <w:p w14:paraId="3BE5B59F" w14:textId="77777777" w:rsidR="001D149B" w:rsidRPr="008A5E17" w:rsidRDefault="001D149B" w:rsidP="290CB1C0">
      <w:pPr>
        <w:jc w:val="center"/>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DANIEL Y KORNEL VAUX</w:t>
      </w:r>
    </w:p>
    <w:p w14:paraId="76757AA9" w14:textId="270E5883" w:rsidR="001D149B" w:rsidRPr="008A5E17" w:rsidRDefault="001D149B" w:rsidP="290CB1C0">
      <w:pPr>
        <w:jc w:val="center"/>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(Guyana)</w:t>
      </w:r>
    </w:p>
    <w:p w14:paraId="13EFA6CC" w14:textId="77777777" w:rsidR="001D149B" w:rsidRPr="008A5E17" w:rsidRDefault="001D149B" w:rsidP="290CB1C0">
      <w:pPr>
        <w:jc w:val="center"/>
        <w:rPr>
          <w:rFonts w:ascii="Cambria" w:hAnsi="Cambria"/>
          <w:b/>
          <w:bCs/>
          <w:color w:val="000000" w:themeColor="text1"/>
          <w:sz w:val="20"/>
          <w:szCs w:val="20"/>
          <w:lang w:val="es-ES"/>
        </w:rPr>
      </w:pPr>
    </w:p>
    <w:p w14:paraId="6BDEAE42" w14:textId="77777777" w:rsidR="001D149B" w:rsidRPr="008A5E17" w:rsidRDefault="001D149B" w:rsidP="290CB1C0">
      <w:pPr>
        <w:numPr>
          <w:ilvl w:val="0"/>
          <w:numId w:val="8"/>
        </w:numPr>
        <w:ind w:left="1440"/>
        <w:rPr>
          <w:rFonts w:ascii="Cambria" w:hAnsi="Cambria" w:cs="Calibri Light"/>
          <w:b/>
          <w:bCs/>
          <w:color w:val="000000" w:themeColor="text1"/>
          <w:sz w:val="20"/>
          <w:szCs w:val="20"/>
          <w:lang w:val="es-ES"/>
        </w:rPr>
      </w:pPr>
      <w:r w:rsidRPr="290CB1C0">
        <w:rPr>
          <w:rFonts w:ascii="Cambria" w:hAnsi="Cambria" w:cs="Calibri Light"/>
          <w:b/>
          <w:bCs/>
          <w:color w:val="000000" w:themeColor="text1"/>
          <w:sz w:val="20"/>
          <w:szCs w:val="20"/>
          <w:lang w:val="es-ES"/>
        </w:rPr>
        <w:t xml:space="preserve">Resumen del caso  </w:t>
      </w:r>
    </w:p>
    <w:p w14:paraId="58D0051F" w14:textId="77777777" w:rsidR="001D149B" w:rsidRPr="008A5E17" w:rsidRDefault="001D149B" w:rsidP="001D149B">
      <w:pPr>
        <w:ind w:left="1080"/>
        <w:rPr>
          <w:rFonts w:ascii="Cambria" w:hAnsi="Cambria" w:cs="Calibri Light"/>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D149B" w:rsidRPr="0093753B" w14:paraId="4CC39AEC" w14:textId="77777777" w:rsidTr="290CB1C0">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616CE0" w14:textId="77777777" w:rsidR="001D149B" w:rsidRPr="008A5E17" w:rsidRDefault="001D149B" w:rsidP="290CB1C0">
            <w:pPr>
              <w:spacing w:before="120"/>
              <w:rPr>
                <w:rFonts w:ascii="Cambria" w:hAnsi="Cambria" w:cs="Times New Roman"/>
                <w:b/>
                <w:bCs/>
                <w:color w:val="000000" w:themeColor="text1"/>
                <w:sz w:val="20"/>
                <w:szCs w:val="20"/>
                <w:lang w:val="es-ES"/>
              </w:rPr>
            </w:pPr>
            <w:r w:rsidRPr="290CB1C0">
              <w:rPr>
                <w:rFonts w:ascii="Cambria" w:hAnsi="Cambria"/>
                <w:b/>
                <w:bCs/>
                <w:color w:val="000000" w:themeColor="text1"/>
                <w:sz w:val="20"/>
                <w:szCs w:val="20"/>
                <w:lang w:val="es-ES"/>
              </w:rPr>
              <w:t xml:space="preserve">Víctima (s): </w:t>
            </w:r>
            <w:proofErr w:type="spellStart"/>
            <w:r w:rsidRPr="290CB1C0">
              <w:rPr>
                <w:rFonts w:ascii="Cambria" w:hAnsi="Cambria"/>
                <w:color w:val="000000" w:themeColor="text1"/>
                <w:sz w:val="20"/>
                <w:szCs w:val="20"/>
                <w:lang w:val="es-ES"/>
              </w:rPr>
              <w:t>Kornel</w:t>
            </w:r>
            <w:proofErr w:type="spellEnd"/>
            <w:r w:rsidRPr="290CB1C0">
              <w:rPr>
                <w:rFonts w:ascii="Cambria" w:hAnsi="Cambria"/>
                <w:color w:val="000000" w:themeColor="text1"/>
                <w:sz w:val="20"/>
                <w:szCs w:val="20"/>
                <w:lang w:val="es-ES"/>
              </w:rPr>
              <w:t xml:space="preserve"> </w:t>
            </w:r>
            <w:proofErr w:type="spellStart"/>
            <w:r w:rsidRPr="290CB1C0">
              <w:rPr>
                <w:rFonts w:ascii="Cambria" w:hAnsi="Cambria"/>
                <w:color w:val="000000" w:themeColor="text1"/>
                <w:sz w:val="20"/>
                <w:szCs w:val="20"/>
                <w:lang w:val="es-ES"/>
              </w:rPr>
              <w:t>Vaux</w:t>
            </w:r>
            <w:proofErr w:type="spellEnd"/>
            <w:r w:rsidRPr="290CB1C0">
              <w:rPr>
                <w:rFonts w:ascii="Cambria" w:hAnsi="Cambria"/>
                <w:color w:val="000000" w:themeColor="text1"/>
                <w:sz w:val="20"/>
                <w:szCs w:val="20"/>
                <w:lang w:val="es-ES"/>
              </w:rPr>
              <w:t xml:space="preserve"> y Daniel </w:t>
            </w:r>
            <w:proofErr w:type="spellStart"/>
            <w:r w:rsidRPr="290CB1C0">
              <w:rPr>
                <w:rFonts w:ascii="Cambria" w:hAnsi="Cambria"/>
                <w:color w:val="000000" w:themeColor="text1"/>
                <w:sz w:val="20"/>
                <w:szCs w:val="20"/>
                <w:lang w:val="es-ES"/>
              </w:rPr>
              <w:t>Vaux</w:t>
            </w:r>
            <w:proofErr w:type="spellEnd"/>
          </w:p>
          <w:p w14:paraId="179A9575" w14:textId="77777777" w:rsidR="001D149B" w:rsidRPr="008A5E17" w:rsidRDefault="001D149B" w:rsidP="290CB1C0">
            <w:pPr>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Peticionario (s):</w:t>
            </w:r>
            <w:r w:rsidRPr="290CB1C0">
              <w:rPr>
                <w:rFonts w:ascii="Cambria" w:hAnsi="Cambria"/>
                <w:color w:val="000000" w:themeColor="text1"/>
                <w:sz w:val="20"/>
                <w:szCs w:val="20"/>
                <w:lang w:val="es-ES"/>
              </w:rPr>
              <w:t xml:space="preserve"> </w:t>
            </w:r>
            <w:proofErr w:type="spellStart"/>
            <w:r w:rsidRPr="290CB1C0">
              <w:rPr>
                <w:rFonts w:ascii="Cambria" w:hAnsi="Cambria"/>
                <w:color w:val="000000" w:themeColor="text1"/>
                <w:sz w:val="20"/>
                <w:szCs w:val="20"/>
                <w:lang w:val="es-ES"/>
              </w:rPr>
              <w:t>Avril</w:t>
            </w:r>
            <w:proofErr w:type="spellEnd"/>
            <w:r w:rsidRPr="290CB1C0">
              <w:rPr>
                <w:rFonts w:ascii="Cambria" w:hAnsi="Cambria"/>
                <w:color w:val="000000" w:themeColor="text1"/>
                <w:sz w:val="20"/>
                <w:szCs w:val="20"/>
                <w:lang w:val="es-ES"/>
              </w:rPr>
              <w:t xml:space="preserve"> </w:t>
            </w:r>
            <w:proofErr w:type="spellStart"/>
            <w:r w:rsidRPr="290CB1C0">
              <w:rPr>
                <w:rFonts w:ascii="Cambria" w:hAnsi="Cambria"/>
                <w:color w:val="000000" w:themeColor="text1"/>
                <w:sz w:val="20"/>
                <w:szCs w:val="20"/>
                <w:lang w:val="es-ES"/>
              </w:rPr>
              <w:t>Salomon</w:t>
            </w:r>
            <w:proofErr w:type="spellEnd"/>
          </w:p>
          <w:p w14:paraId="2064794E" w14:textId="77777777" w:rsidR="001D149B" w:rsidRPr="008A5E17" w:rsidRDefault="001D149B">
            <w:pPr>
              <w:rPr>
                <w:rFonts w:ascii="Cambria" w:hAnsi="Cambria"/>
                <w:color w:val="000000" w:themeColor="text1"/>
                <w:sz w:val="20"/>
                <w:szCs w:val="20"/>
                <w:lang w:val="es-ES"/>
              </w:rPr>
            </w:pPr>
            <w:r w:rsidRPr="290CB1C0">
              <w:rPr>
                <w:rFonts w:ascii="Cambria" w:hAnsi="Cambria"/>
                <w:b/>
                <w:bCs/>
                <w:color w:val="000000" w:themeColor="text1"/>
                <w:sz w:val="20"/>
                <w:szCs w:val="20"/>
                <w:lang w:val="es-ES"/>
              </w:rPr>
              <w:t xml:space="preserve">Estado: </w:t>
            </w:r>
            <w:r w:rsidRPr="290CB1C0">
              <w:rPr>
                <w:rFonts w:ascii="Cambria" w:hAnsi="Cambria"/>
                <w:color w:val="000000" w:themeColor="text1"/>
                <w:sz w:val="20"/>
                <w:szCs w:val="20"/>
                <w:lang w:val="es-ES"/>
              </w:rPr>
              <w:t>Guyana</w:t>
            </w:r>
          </w:p>
          <w:p w14:paraId="498E69F8" w14:textId="77777777" w:rsidR="001D149B" w:rsidRPr="008A5E17" w:rsidRDefault="001D149B">
            <w:pPr>
              <w:rPr>
                <w:rFonts w:ascii="Cambria" w:hAnsi="Cambria"/>
                <w:color w:val="000000" w:themeColor="text1"/>
                <w:sz w:val="20"/>
                <w:szCs w:val="20"/>
                <w:lang w:val="es-ES"/>
              </w:rPr>
            </w:pPr>
            <w:r w:rsidRPr="290CB1C0">
              <w:rPr>
                <w:rFonts w:ascii="Cambria" w:hAnsi="Cambria"/>
                <w:b/>
                <w:bCs/>
                <w:color w:val="000000" w:themeColor="text1"/>
                <w:sz w:val="20"/>
                <w:szCs w:val="20"/>
                <w:lang w:val="es-ES"/>
              </w:rPr>
              <w:t xml:space="preserve">Informe de Fondo </w:t>
            </w:r>
            <w:proofErr w:type="spellStart"/>
            <w:r w:rsidRPr="290CB1C0">
              <w:rPr>
                <w:rFonts w:ascii="Cambria" w:hAnsi="Cambria"/>
                <w:b/>
                <w:bCs/>
                <w:color w:val="000000" w:themeColor="text1"/>
                <w:sz w:val="20"/>
                <w:szCs w:val="20"/>
                <w:lang w:val="es-ES"/>
              </w:rPr>
              <w:t>Nº</w:t>
            </w:r>
            <w:proofErr w:type="spellEnd"/>
            <w:r w:rsidRPr="290CB1C0">
              <w:rPr>
                <w:rFonts w:ascii="Cambria" w:hAnsi="Cambria"/>
                <w:b/>
                <w:bCs/>
                <w:color w:val="000000" w:themeColor="text1"/>
                <w:sz w:val="20"/>
                <w:szCs w:val="20"/>
                <w:lang w:val="es-ES"/>
              </w:rPr>
              <w:t xml:space="preserve">: </w:t>
            </w:r>
            <w:hyperlink r:id="rId8">
              <w:r w:rsidRPr="290CB1C0">
                <w:rPr>
                  <w:rStyle w:val="Hyperlink"/>
                  <w:rFonts w:ascii="Cambria" w:hAnsi="Cambria"/>
                  <w:color w:val="000000" w:themeColor="text1"/>
                  <w:sz w:val="20"/>
                  <w:szCs w:val="20"/>
                  <w:lang w:val="es-ES"/>
                </w:rPr>
                <w:t>81/07</w:t>
              </w:r>
            </w:hyperlink>
            <w:r w:rsidRPr="290CB1C0">
              <w:rPr>
                <w:rFonts w:ascii="Cambria" w:hAnsi="Cambria"/>
                <w:color w:val="000000" w:themeColor="text1"/>
                <w:sz w:val="20"/>
                <w:szCs w:val="20"/>
                <w:lang w:val="es-ES"/>
              </w:rPr>
              <w:t>, publicado el 15 de octubre de 2007</w:t>
            </w:r>
          </w:p>
          <w:p w14:paraId="7784379E" w14:textId="77777777" w:rsidR="001D149B" w:rsidRPr="008A5E17" w:rsidRDefault="001D149B">
            <w:pPr>
              <w:rPr>
                <w:rFonts w:ascii="Cambria" w:hAnsi="Cambria"/>
                <w:color w:val="000000" w:themeColor="text1"/>
                <w:sz w:val="20"/>
                <w:szCs w:val="20"/>
                <w:lang w:val="es-ES"/>
              </w:rPr>
            </w:pPr>
            <w:r w:rsidRPr="290CB1C0">
              <w:rPr>
                <w:rFonts w:ascii="Cambria" w:hAnsi="Cambria"/>
                <w:b/>
                <w:bCs/>
                <w:color w:val="000000" w:themeColor="text1"/>
                <w:sz w:val="20"/>
                <w:szCs w:val="20"/>
                <w:lang w:val="es-ES"/>
              </w:rPr>
              <w:t xml:space="preserve">Informe de Admisibilidad: </w:t>
            </w:r>
            <w:r w:rsidRPr="290CB1C0">
              <w:rPr>
                <w:rFonts w:ascii="Cambria" w:hAnsi="Cambria"/>
                <w:color w:val="000000" w:themeColor="text1"/>
                <w:sz w:val="20"/>
                <w:szCs w:val="20"/>
                <w:lang w:val="es-ES"/>
              </w:rPr>
              <w:t xml:space="preserve">Analizado junto con el Informe de Fondo </w:t>
            </w:r>
            <w:proofErr w:type="spellStart"/>
            <w:r w:rsidRPr="290CB1C0">
              <w:rPr>
                <w:rFonts w:ascii="Cambria" w:hAnsi="Cambria"/>
                <w:color w:val="000000" w:themeColor="text1"/>
                <w:sz w:val="20"/>
                <w:szCs w:val="20"/>
                <w:lang w:val="es-ES"/>
              </w:rPr>
              <w:t>Nº</w:t>
            </w:r>
            <w:proofErr w:type="spellEnd"/>
            <w:r w:rsidRPr="290CB1C0">
              <w:rPr>
                <w:rFonts w:ascii="Cambria" w:hAnsi="Cambria"/>
                <w:color w:val="000000" w:themeColor="text1"/>
                <w:sz w:val="20"/>
                <w:szCs w:val="20"/>
                <w:lang w:val="es-ES"/>
              </w:rPr>
              <w:t xml:space="preserve"> 81/07</w:t>
            </w:r>
          </w:p>
          <w:p w14:paraId="26569126" w14:textId="77777777" w:rsidR="001D149B" w:rsidRPr="008A5E17" w:rsidRDefault="001D149B">
            <w:pPr>
              <w:spacing w:after="120"/>
              <w:jc w:val="both"/>
              <w:rPr>
                <w:rFonts w:ascii="Cambria" w:hAnsi="Cambria"/>
                <w:color w:val="000000" w:themeColor="text1"/>
                <w:sz w:val="20"/>
                <w:szCs w:val="20"/>
                <w:lang w:val="es-ES"/>
              </w:rPr>
            </w:pPr>
            <w:r w:rsidRPr="290CB1C0">
              <w:rPr>
                <w:rFonts w:ascii="Cambria" w:hAnsi="Cambria"/>
                <w:b/>
                <w:bCs/>
                <w:color w:val="000000" w:themeColor="text1"/>
                <w:sz w:val="20"/>
                <w:szCs w:val="20"/>
                <w:lang w:val="es-ES"/>
              </w:rPr>
              <w:t>Temas:</w:t>
            </w:r>
            <w:r w:rsidRPr="290CB1C0">
              <w:rPr>
                <w:rFonts w:ascii="Cambria" w:hAnsi="Cambria"/>
                <w:color w:val="000000" w:themeColor="text1"/>
                <w:sz w:val="20"/>
                <w:szCs w:val="20"/>
                <w:lang w:val="es-ES"/>
              </w:rPr>
              <w:t xml:space="preserve"> </w:t>
            </w:r>
            <w:r w:rsidRPr="290CB1C0">
              <w:rPr>
                <w:rFonts w:ascii="Cambria" w:eastAsia="Times New Roman" w:hAnsi="Cambria"/>
                <w:color w:val="000000" w:themeColor="text1"/>
                <w:sz w:val="20"/>
                <w:szCs w:val="20"/>
                <w:lang w:val="es-MX" w:eastAsia="es-MX"/>
              </w:rPr>
              <w:t>Deber de Adoptar Medidas y Disposiciones de Derecho Interno</w:t>
            </w:r>
            <w:r w:rsidRPr="290CB1C0">
              <w:rPr>
                <w:rFonts w:ascii="Cambria" w:hAnsi="Cambria"/>
                <w:color w:val="000000" w:themeColor="text1"/>
                <w:sz w:val="20"/>
                <w:szCs w:val="20"/>
                <w:lang w:val="es-ES"/>
              </w:rPr>
              <w:t xml:space="preserve"> / Derecho a la Vida / Derecho a la Integridad Personal / Derecho a la Libertad Personal / Garantías Judiciales / Protección Judicial / Detención Arbitraria / Pena de Muerte</w:t>
            </w:r>
          </w:p>
          <w:p w14:paraId="620B363F" w14:textId="77777777" w:rsidR="001D149B" w:rsidRPr="008A5E17" w:rsidRDefault="001D149B">
            <w:pPr>
              <w:spacing w:after="120"/>
              <w:jc w:val="both"/>
              <w:rPr>
                <w:rFonts w:ascii="Cambria" w:eastAsia="Times New Roman" w:hAnsi="Cambria"/>
                <w:color w:val="000000" w:themeColor="text1"/>
                <w:sz w:val="20"/>
                <w:szCs w:val="20"/>
                <w:lang w:val="es-ES"/>
              </w:rPr>
            </w:pPr>
            <w:r w:rsidRPr="290CB1C0">
              <w:rPr>
                <w:rFonts w:ascii="Cambria" w:hAnsi="Cambria"/>
                <w:b/>
                <w:bCs/>
                <w:color w:val="000000" w:themeColor="text1"/>
                <w:sz w:val="20"/>
                <w:szCs w:val="20"/>
                <w:lang w:val="es-ES"/>
              </w:rPr>
              <w:t xml:space="preserve">Hechos: </w:t>
            </w:r>
            <w:r w:rsidRPr="290CB1C0">
              <w:rPr>
                <w:rFonts w:ascii="Cambria" w:hAnsi="Cambria"/>
                <w:color w:val="000000" w:themeColor="text1"/>
                <w:sz w:val="20"/>
                <w:szCs w:val="20"/>
                <w:lang w:val="es-ES"/>
              </w:rPr>
              <w:t xml:space="preserve">Este caso se refiere a </w:t>
            </w:r>
            <w:r w:rsidRPr="290CB1C0">
              <w:rPr>
                <w:rFonts w:ascii="Cambria" w:eastAsia="Times New Roman" w:hAnsi="Cambria"/>
                <w:color w:val="000000" w:themeColor="text1"/>
                <w:sz w:val="20"/>
                <w:szCs w:val="20"/>
                <w:lang w:val="es-ES"/>
              </w:rPr>
              <w:t xml:space="preserve">Daniel y </w:t>
            </w:r>
            <w:proofErr w:type="spellStart"/>
            <w:r w:rsidRPr="290CB1C0">
              <w:rPr>
                <w:rFonts w:ascii="Cambria" w:eastAsia="Times New Roman" w:hAnsi="Cambria"/>
                <w:color w:val="000000" w:themeColor="text1"/>
                <w:sz w:val="20"/>
                <w:szCs w:val="20"/>
                <w:lang w:val="es-ES"/>
              </w:rPr>
              <w:t>Kornel</w:t>
            </w:r>
            <w:proofErr w:type="spellEnd"/>
            <w:r w:rsidRPr="290CB1C0">
              <w:rPr>
                <w:rFonts w:ascii="Cambria" w:eastAsia="Times New Roman" w:hAnsi="Cambria"/>
                <w:color w:val="000000" w:themeColor="text1"/>
                <w:sz w:val="20"/>
                <w:szCs w:val="20"/>
                <w:lang w:val="es-ES"/>
              </w:rPr>
              <w:t xml:space="preserve"> </w:t>
            </w:r>
            <w:proofErr w:type="spellStart"/>
            <w:r w:rsidRPr="290CB1C0">
              <w:rPr>
                <w:rFonts w:ascii="Cambria" w:eastAsia="Times New Roman" w:hAnsi="Cambria"/>
                <w:color w:val="000000" w:themeColor="text1"/>
                <w:sz w:val="20"/>
                <w:szCs w:val="20"/>
                <w:lang w:val="es-ES"/>
              </w:rPr>
              <w:t>Vaux</w:t>
            </w:r>
            <w:proofErr w:type="spellEnd"/>
            <w:r w:rsidRPr="290CB1C0">
              <w:rPr>
                <w:rFonts w:ascii="Cambria" w:eastAsia="Times New Roman" w:hAnsi="Cambria"/>
                <w:color w:val="000000" w:themeColor="text1"/>
                <w:sz w:val="20"/>
                <w:szCs w:val="20"/>
                <w:lang w:val="es-ES"/>
              </w:rPr>
              <w:t xml:space="preserve">, quienes fueron acusados por el asesinato de </w:t>
            </w:r>
            <w:proofErr w:type="spellStart"/>
            <w:r w:rsidRPr="290CB1C0">
              <w:rPr>
                <w:rFonts w:ascii="Cambria" w:eastAsia="Times New Roman" w:hAnsi="Cambria"/>
                <w:color w:val="000000" w:themeColor="text1"/>
                <w:sz w:val="20"/>
                <w:szCs w:val="20"/>
                <w:lang w:val="es-ES"/>
              </w:rPr>
              <w:t>Baiwant</w:t>
            </w:r>
            <w:proofErr w:type="spellEnd"/>
            <w:r w:rsidRPr="290CB1C0">
              <w:rPr>
                <w:rFonts w:ascii="Cambria" w:eastAsia="Times New Roman" w:hAnsi="Cambria"/>
                <w:color w:val="000000" w:themeColor="text1"/>
                <w:sz w:val="20"/>
                <w:szCs w:val="20"/>
                <w:lang w:val="es-ES"/>
              </w:rPr>
              <w:t xml:space="preserve"> </w:t>
            </w:r>
            <w:proofErr w:type="spellStart"/>
            <w:r w:rsidRPr="290CB1C0">
              <w:rPr>
                <w:rFonts w:ascii="Cambria" w:eastAsia="Times New Roman" w:hAnsi="Cambria"/>
                <w:color w:val="000000" w:themeColor="text1"/>
                <w:sz w:val="20"/>
                <w:szCs w:val="20"/>
                <w:lang w:val="es-ES"/>
              </w:rPr>
              <w:t>Jaikissoon</w:t>
            </w:r>
            <w:proofErr w:type="spellEnd"/>
            <w:r w:rsidRPr="290CB1C0">
              <w:rPr>
                <w:rFonts w:ascii="Cambria" w:eastAsia="Times New Roman" w:hAnsi="Cambria"/>
                <w:color w:val="000000" w:themeColor="text1"/>
                <w:sz w:val="20"/>
                <w:szCs w:val="20"/>
                <w:lang w:val="es-ES"/>
              </w:rPr>
              <w:t xml:space="preserve"> el 11 de julio de 1993 y posteriormente, condenados a muerte el 19 de diciembre de 1997. Su apelación ante el Tribunal de Apelación de Guyana fue desestimada el 7 de diciembre de 2000.</w:t>
            </w:r>
          </w:p>
          <w:p w14:paraId="632CE7C0" w14:textId="77777777" w:rsidR="001D149B" w:rsidRPr="008A5E17" w:rsidRDefault="001D149B">
            <w:pPr>
              <w:spacing w:after="120"/>
              <w:jc w:val="both"/>
              <w:rPr>
                <w:rFonts w:ascii="Cambria" w:eastAsia="Calibri" w:hAnsi="Cambria"/>
                <w:snapToGrid w:val="0"/>
                <w:color w:val="000000" w:themeColor="text1"/>
                <w:sz w:val="20"/>
                <w:szCs w:val="20"/>
                <w:lang w:val="es-ES"/>
              </w:rPr>
            </w:pPr>
            <w:r w:rsidRPr="290CB1C0">
              <w:rPr>
                <w:rFonts w:ascii="Cambria" w:hAnsi="Cambria"/>
                <w:b/>
                <w:bCs/>
                <w:color w:val="000000" w:themeColor="text1"/>
                <w:sz w:val="20"/>
                <w:szCs w:val="20"/>
                <w:lang w:val="es-ES"/>
              </w:rPr>
              <w:t xml:space="preserve">Derechos violados: </w:t>
            </w:r>
            <w:r w:rsidRPr="008A5E17">
              <w:rPr>
                <w:rFonts w:ascii="Cambria" w:hAnsi="Cambria"/>
                <w:snapToGrid w:val="0"/>
                <w:color w:val="000000" w:themeColor="text1"/>
                <w:sz w:val="20"/>
                <w:szCs w:val="20"/>
                <w:lang w:val="es-ES"/>
              </w:rPr>
              <w:t xml:space="preserve">La CIDH concluyó que el Estado de Guyana era responsable del maltrato infligido por agentes de policía a los hermanos Daniel y </w:t>
            </w:r>
            <w:proofErr w:type="spellStart"/>
            <w:r w:rsidRPr="008A5E17">
              <w:rPr>
                <w:rFonts w:ascii="Cambria" w:hAnsi="Cambria"/>
                <w:snapToGrid w:val="0"/>
                <w:color w:val="000000" w:themeColor="text1"/>
                <w:sz w:val="20"/>
                <w:szCs w:val="20"/>
                <w:lang w:val="es-ES"/>
              </w:rPr>
              <w:t>Kornel</w:t>
            </w:r>
            <w:proofErr w:type="spellEnd"/>
            <w:r w:rsidRPr="008A5E17">
              <w:rPr>
                <w:rFonts w:ascii="Cambria" w:hAnsi="Cambria"/>
                <w:snapToGrid w:val="0"/>
                <w:color w:val="000000" w:themeColor="text1"/>
                <w:sz w:val="20"/>
                <w:szCs w:val="20"/>
                <w:lang w:val="es-ES"/>
              </w:rPr>
              <w:t xml:space="preserve"> </w:t>
            </w:r>
            <w:proofErr w:type="spellStart"/>
            <w:r w:rsidRPr="008A5E17">
              <w:rPr>
                <w:rFonts w:ascii="Cambria" w:hAnsi="Cambria"/>
                <w:snapToGrid w:val="0"/>
                <w:color w:val="000000" w:themeColor="text1"/>
                <w:sz w:val="20"/>
                <w:szCs w:val="20"/>
                <w:lang w:val="es-ES"/>
              </w:rPr>
              <w:t>Vaux</w:t>
            </w:r>
            <w:proofErr w:type="spellEnd"/>
            <w:r w:rsidRPr="008A5E17">
              <w:rPr>
                <w:rFonts w:ascii="Cambria" w:hAnsi="Cambria"/>
                <w:snapToGrid w:val="0"/>
                <w:color w:val="000000" w:themeColor="text1"/>
                <w:sz w:val="20"/>
                <w:szCs w:val="20"/>
                <w:lang w:val="es-ES"/>
              </w:rPr>
              <w:t xml:space="preserve"> mientras estaban bajo su custodia y de no ofrecerles un juicio imparcial, en particular con respecto al trato dado a la confesión por los tribunales del país, que les impidió impugnar plenamente la voluntariedad de la confesión presentada por la fiscalía. Por consiguiente, la CIDH concluyó que el Estado de Guyana violó los derechos de los hermanos </w:t>
            </w:r>
            <w:proofErr w:type="spellStart"/>
            <w:r w:rsidRPr="008A5E17">
              <w:rPr>
                <w:rFonts w:ascii="Cambria" w:hAnsi="Cambria"/>
                <w:snapToGrid w:val="0"/>
                <w:color w:val="000000" w:themeColor="text1"/>
                <w:sz w:val="20"/>
                <w:szCs w:val="20"/>
                <w:lang w:val="es-ES"/>
              </w:rPr>
              <w:t>Vaux</w:t>
            </w:r>
            <w:proofErr w:type="spellEnd"/>
            <w:r w:rsidRPr="008A5E17">
              <w:rPr>
                <w:rFonts w:ascii="Cambria" w:hAnsi="Cambria"/>
                <w:snapToGrid w:val="0"/>
                <w:color w:val="000000" w:themeColor="text1"/>
                <w:sz w:val="20"/>
                <w:szCs w:val="20"/>
                <w:lang w:val="es-ES"/>
              </w:rPr>
              <w:t xml:space="preserve"> consagrados en los artículos XVIII, XXV y XXVI de la Declaración Americana de los Derechos y Deberes del Hombre y que la ejecución de los hermanos </w:t>
            </w:r>
            <w:proofErr w:type="spellStart"/>
            <w:r w:rsidRPr="008A5E17">
              <w:rPr>
                <w:rFonts w:ascii="Cambria" w:hAnsi="Cambria"/>
                <w:snapToGrid w:val="0"/>
                <w:color w:val="000000" w:themeColor="text1"/>
                <w:sz w:val="20"/>
                <w:szCs w:val="20"/>
                <w:lang w:val="es-ES"/>
              </w:rPr>
              <w:t>Vaux</w:t>
            </w:r>
            <w:proofErr w:type="spellEnd"/>
            <w:r w:rsidRPr="008A5E17">
              <w:rPr>
                <w:rFonts w:ascii="Cambria" w:hAnsi="Cambria"/>
                <w:snapToGrid w:val="0"/>
                <w:color w:val="000000" w:themeColor="text1"/>
                <w:sz w:val="20"/>
                <w:szCs w:val="20"/>
                <w:lang w:val="es-ES"/>
              </w:rPr>
              <w:t xml:space="preserve"> basada en el procedimiento penal que condujo a su actual sentencia y condena sería contraria al artículo I de la Declaración Americana.</w:t>
            </w:r>
          </w:p>
        </w:tc>
      </w:tr>
    </w:tbl>
    <w:p w14:paraId="071B3857" w14:textId="77777777" w:rsidR="001D149B" w:rsidRPr="008A5E17" w:rsidRDefault="001D149B" w:rsidP="001D149B">
      <w:pPr>
        <w:ind w:left="180"/>
        <w:rPr>
          <w:rFonts w:ascii="Cambria" w:eastAsia="Calibri" w:hAnsi="Cambria"/>
          <w:color w:val="000000" w:themeColor="text1"/>
          <w:sz w:val="20"/>
          <w:szCs w:val="20"/>
          <w:lang w:val="es-ES"/>
        </w:rPr>
      </w:pPr>
    </w:p>
    <w:p w14:paraId="3A4D0499" w14:textId="77777777" w:rsidR="001D149B" w:rsidRPr="008A5E17" w:rsidRDefault="001D149B" w:rsidP="290CB1C0">
      <w:pPr>
        <w:numPr>
          <w:ilvl w:val="0"/>
          <w:numId w:val="8"/>
        </w:numPr>
        <w:ind w:left="1440"/>
        <w:jc w:val="both"/>
        <w:rPr>
          <w:rFonts w:ascii="Cambria" w:hAnsi="Cambria" w:cs="Calibri Light"/>
          <w:b/>
          <w:bCs/>
          <w:color w:val="000000" w:themeColor="text1"/>
          <w:sz w:val="20"/>
          <w:szCs w:val="20"/>
          <w:lang w:val="es-ES"/>
        </w:rPr>
      </w:pPr>
      <w:r w:rsidRPr="290CB1C0">
        <w:rPr>
          <w:rFonts w:ascii="Cambria" w:hAnsi="Cambria" w:cs="Calibri Light"/>
          <w:b/>
          <w:bCs/>
          <w:color w:val="000000" w:themeColor="text1"/>
          <w:sz w:val="20"/>
          <w:szCs w:val="20"/>
          <w:lang w:val="es-ES"/>
        </w:rPr>
        <w:t>Recomendaciones</w:t>
      </w:r>
    </w:p>
    <w:p w14:paraId="37B634C1" w14:textId="77777777" w:rsidR="001D149B" w:rsidRPr="008A5E17" w:rsidRDefault="001D149B" w:rsidP="001D149B">
      <w:pPr>
        <w:ind w:left="1080"/>
        <w:jc w:val="both"/>
        <w:rPr>
          <w:rFonts w:ascii="Cambria" w:hAnsi="Cambria" w:cs="Calibri Light"/>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2309"/>
      </w:tblGrid>
      <w:tr w:rsidR="001D149B" w:rsidRPr="008A5E17" w14:paraId="63986607" w14:textId="77777777" w:rsidTr="290CB1C0">
        <w:tc>
          <w:tcPr>
            <w:tcW w:w="7200" w:type="dxa"/>
            <w:tcBorders>
              <w:top w:val="single" w:sz="4" w:space="0" w:color="auto"/>
              <w:left w:val="single" w:sz="4" w:space="0" w:color="auto"/>
              <w:bottom w:val="single" w:sz="4" w:space="0" w:color="auto"/>
              <w:right w:val="single" w:sz="4" w:space="0" w:color="auto"/>
            </w:tcBorders>
            <w:vAlign w:val="center"/>
            <w:hideMark/>
          </w:tcPr>
          <w:p w14:paraId="64129B6A" w14:textId="77777777"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Light"/>
                <w:b/>
                <w:bCs/>
                <w:color w:val="000000" w:themeColor="text1"/>
                <w:sz w:val="18"/>
                <w:szCs w:val="18"/>
                <w:lang w:val="es-ES"/>
              </w:rPr>
              <w:t>Recomendaciones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8E12067" w14:textId="77777777"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Light"/>
                <w:b/>
                <w:bCs/>
                <w:color w:val="000000" w:themeColor="text1"/>
                <w:sz w:val="18"/>
                <w:szCs w:val="18"/>
                <w:lang w:val="es-ES"/>
              </w:rPr>
              <w:t>Estado de cumplimiento</w:t>
            </w:r>
          </w:p>
          <w:p w14:paraId="2FA4E2AA" w14:textId="401B78EE"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Light"/>
                <w:b/>
                <w:bCs/>
                <w:color w:val="000000" w:themeColor="text1"/>
                <w:sz w:val="18"/>
                <w:szCs w:val="18"/>
                <w:lang w:val="es-ES"/>
              </w:rPr>
              <w:t xml:space="preserve">en </w:t>
            </w:r>
            <w:r w:rsidR="009634D2" w:rsidRPr="290CB1C0">
              <w:rPr>
                <w:rFonts w:ascii="Cambria" w:hAnsi="Cambria" w:cs="Calibri Light"/>
                <w:b/>
                <w:bCs/>
                <w:color w:val="000000" w:themeColor="text1"/>
                <w:sz w:val="18"/>
                <w:szCs w:val="18"/>
                <w:lang w:val="es-ES"/>
              </w:rPr>
              <w:t>2021</w:t>
            </w:r>
          </w:p>
        </w:tc>
      </w:tr>
      <w:tr w:rsidR="001D149B" w:rsidRPr="008A5E17" w14:paraId="11C6431D" w14:textId="77777777" w:rsidTr="290CB1C0">
        <w:tc>
          <w:tcPr>
            <w:tcW w:w="7200" w:type="dxa"/>
            <w:tcBorders>
              <w:top w:val="single" w:sz="4" w:space="0" w:color="auto"/>
              <w:left w:val="single" w:sz="4" w:space="0" w:color="auto"/>
              <w:bottom w:val="single" w:sz="4" w:space="0" w:color="auto"/>
              <w:right w:val="single" w:sz="4" w:space="0" w:color="auto"/>
            </w:tcBorders>
            <w:hideMark/>
          </w:tcPr>
          <w:p w14:paraId="688F0550" w14:textId="77777777" w:rsidR="001D149B" w:rsidRPr="008A5E17" w:rsidRDefault="001D149B">
            <w:pPr>
              <w:ind w:right="-14"/>
              <w:jc w:val="both"/>
              <w:rPr>
                <w:rFonts w:ascii="Cambria" w:hAnsi="Cambria" w:cs="Times New Roman"/>
                <w:color w:val="000000" w:themeColor="text1"/>
                <w:sz w:val="18"/>
                <w:szCs w:val="18"/>
                <w:lang w:val="es-ES"/>
              </w:rPr>
            </w:pPr>
            <w:r w:rsidRPr="290CB1C0">
              <w:rPr>
                <w:rFonts w:ascii="Cambria" w:hAnsi="Cambria"/>
                <w:color w:val="000000" w:themeColor="text1"/>
                <w:sz w:val="18"/>
                <w:szCs w:val="18"/>
                <w:lang w:val="es-ES"/>
              </w:rPr>
              <w:t xml:space="preserve">1. Otorgue una reparación efectiva, que incluya una indemnización por el maltrato infligido a los hermanos </w:t>
            </w:r>
            <w:proofErr w:type="spellStart"/>
            <w:r w:rsidRPr="290CB1C0">
              <w:rPr>
                <w:rFonts w:ascii="Cambria" w:hAnsi="Cambria"/>
                <w:color w:val="000000" w:themeColor="text1"/>
                <w:sz w:val="18"/>
                <w:szCs w:val="18"/>
                <w:lang w:val="es-ES"/>
              </w:rPr>
              <w:t>Vaux</w:t>
            </w:r>
            <w:proofErr w:type="spellEnd"/>
            <w:r w:rsidRPr="290CB1C0">
              <w:rPr>
                <w:rFonts w:ascii="Cambria" w:hAnsi="Cambria"/>
                <w:color w:val="000000" w:themeColor="text1"/>
                <w:sz w:val="18"/>
                <w:szCs w:val="18"/>
                <w:lang w:val="es-ES"/>
              </w:rPr>
              <w:t xml:space="preserve">; un nuevo juicio sobre los cargos que se imputan a los hermanos </w:t>
            </w:r>
            <w:proofErr w:type="spellStart"/>
            <w:r w:rsidRPr="290CB1C0">
              <w:rPr>
                <w:rFonts w:ascii="Cambria" w:hAnsi="Cambria"/>
                <w:color w:val="000000" w:themeColor="text1"/>
                <w:sz w:val="18"/>
                <w:szCs w:val="18"/>
                <w:lang w:val="es-ES"/>
              </w:rPr>
              <w:t>Vaux</w:t>
            </w:r>
            <w:proofErr w:type="spellEnd"/>
            <w:r w:rsidRPr="290CB1C0">
              <w:rPr>
                <w:rFonts w:ascii="Cambria" w:hAnsi="Cambria"/>
                <w:color w:val="000000" w:themeColor="text1"/>
                <w:sz w:val="18"/>
                <w:szCs w:val="18"/>
                <w:lang w:val="es-ES"/>
              </w:rPr>
              <w:t>, de acuerdo con las protecciones judiciales consagradas en la Declaración Americana, o, en su defecto, la debida revocación o conmutación de la sentencia.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C80C" w14:textId="153E2D56"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w:color w:val="000000" w:themeColor="text1"/>
                <w:sz w:val="18"/>
                <w:szCs w:val="18"/>
                <w:lang w:val="es-ES"/>
              </w:rPr>
              <w:t>Cumplimiento parcial</w:t>
            </w:r>
            <w:r w:rsidR="002922D8" w:rsidRPr="290CB1C0">
              <w:rPr>
                <w:rFonts w:ascii="Cambria" w:hAnsi="Cambria" w:cs="Calibri"/>
                <w:color w:val="000000" w:themeColor="text1"/>
                <w:sz w:val="18"/>
                <w:szCs w:val="18"/>
                <w:lang w:val="es-ES"/>
              </w:rPr>
              <w:t xml:space="preserve"> sustancial </w:t>
            </w:r>
          </w:p>
        </w:tc>
      </w:tr>
      <w:tr w:rsidR="001D149B" w:rsidRPr="008A5E17" w14:paraId="0C0F3CAA" w14:textId="77777777" w:rsidTr="290CB1C0">
        <w:tc>
          <w:tcPr>
            <w:tcW w:w="7200" w:type="dxa"/>
            <w:tcBorders>
              <w:top w:val="single" w:sz="4" w:space="0" w:color="auto"/>
              <w:left w:val="single" w:sz="4" w:space="0" w:color="auto"/>
              <w:bottom w:val="single" w:sz="4" w:space="0" w:color="auto"/>
              <w:right w:val="single" w:sz="4" w:space="0" w:color="auto"/>
            </w:tcBorders>
            <w:hideMark/>
          </w:tcPr>
          <w:p w14:paraId="7E095F56" w14:textId="77777777" w:rsidR="001D149B" w:rsidRPr="008A5E17" w:rsidRDefault="001D149B">
            <w:pPr>
              <w:pStyle w:val="ListParagraph"/>
              <w:ind w:left="0" w:right="-14"/>
              <w:jc w:val="both"/>
              <w:rPr>
                <w:rFonts w:ascii="Cambria" w:hAnsi="Cambria" w:cs="Times New Roman"/>
                <w:color w:val="000000" w:themeColor="text1"/>
                <w:sz w:val="18"/>
                <w:szCs w:val="18"/>
                <w:lang w:val="es-ES"/>
              </w:rPr>
            </w:pPr>
            <w:r w:rsidRPr="290CB1C0">
              <w:rPr>
                <w:rFonts w:ascii="Cambria" w:hAnsi="Cambria"/>
                <w:color w:val="000000" w:themeColor="text1"/>
                <w:sz w:val="18"/>
                <w:szCs w:val="18"/>
                <w:lang w:val="es-ES"/>
              </w:rPr>
              <w:t>2. Adopte las medidas legislativas u otras medidas necesarias para asegurar que los acusados obtengan acceso a las pruebas bajo control del Estado que puedan razonablemente necesitar para impugnar el carácter voluntario de las confesiones usadas como pruebas.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9B6219" w14:textId="77777777"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w:color w:val="000000" w:themeColor="text1"/>
                <w:sz w:val="18"/>
                <w:szCs w:val="18"/>
                <w:lang w:val="es-ES"/>
              </w:rPr>
              <w:t>Pendiente de cumplimiento</w:t>
            </w:r>
          </w:p>
        </w:tc>
      </w:tr>
      <w:tr w:rsidR="001D149B" w:rsidRPr="008A5E17" w14:paraId="27865492" w14:textId="77777777" w:rsidTr="290CB1C0">
        <w:tc>
          <w:tcPr>
            <w:tcW w:w="7200" w:type="dxa"/>
            <w:tcBorders>
              <w:top w:val="single" w:sz="4" w:space="0" w:color="auto"/>
              <w:left w:val="single" w:sz="4" w:space="0" w:color="auto"/>
              <w:bottom w:val="single" w:sz="4" w:space="0" w:color="auto"/>
              <w:right w:val="single" w:sz="4" w:space="0" w:color="auto"/>
            </w:tcBorders>
            <w:hideMark/>
          </w:tcPr>
          <w:p w14:paraId="3F970898" w14:textId="77777777" w:rsidR="001D149B" w:rsidRPr="008A5E17" w:rsidRDefault="001D149B">
            <w:pPr>
              <w:pStyle w:val="ListParagraph"/>
              <w:ind w:left="0" w:right="-14"/>
              <w:jc w:val="both"/>
              <w:rPr>
                <w:rFonts w:ascii="Cambria" w:hAnsi="Cambria" w:cs="Times New Roman"/>
                <w:color w:val="000000" w:themeColor="text1"/>
                <w:sz w:val="18"/>
                <w:szCs w:val="18"/>
                <w:lang w:val="es-ES"/>
              </w:rPr>
            </w:pPr>
            <w:r w:rsidRPr="290CB1C0">
              <w:rPr>
                <w:rFonts w:ascii="Cambria" w:hAnsi="Cambria"/>
                <w:color w:val="000000" w:themeColor="text1"/>
                <w:sz w:val="18"/>
                <w:szCs w:val="18"/>
                <w:lang w:val="es-ES"/>
              </w:rPr>
              <w:t xml:space="preserve">3. Realice una investigación para identificar a los autores materiales de las golpizas infligidas a Daniel </w:t>
            </w:r>
            <w:proofErr w:type="spellStart"/>
            <w:r w:rsidRPr="290CB1C0">
              <w:rPr>
                <w:rFonts w:ascii="Cambria" w:hAnsi="Cambria"/>
                <w:color w:val="000000" w:themeColor="text1"/>
                <w:sz w:val="18"/>
                <w:szCs w:val="18"/>
                <w:lang w:val="es-ES"/>
              </w:rPr>
              <w:t>Vaux</w:t>
            </w:r>
            <w:proofErr w:type="spellEnd"/>
            <w:r w:rsidRPr="290CB1C0">
              <w:rPr>
                <w:rFonts w:ascii="Cambria" w:hAnsi="Cambria"/>
                <w:color w:val="000000" w:themeColor="text1"/>
                <w:sz w:val="18"/>
                <w:szCs w:val="18"/>
                <w:lang w:val="es-ES"/>
              </w:rPr>
              <w:t xml:space="preserve"> y </w:t>
            </w:r>
            <w:proofErr w:type="spellStart"/>
            <w:r w:rsidRPr="290CB1C0">
              <w:rPr>
                <w:rFonts w:ascii="Cambria" w:hAnsi="Cambria"/>
                <w:color w:val="000000" w:themeColor="text1"/>
                <w:sz w:val="18"/>
                <w:szCs w:val="18"/>
                <w:lang w:val="es-ES"/>
              </w:rPr>
              <w:t>Kornel</w:t>
            </w:r>
            <w:proofErr w:type="spellEnd"/>
            <w:r w:rsidRPr="290CB1C0">
              <w:rPr>
                <w:rFonts w:ascii="Cambria" w:hAnsi="Cambria"/>
                <w:color w:val="000000" w:themeColor="text1"/>
                <w:sz w:val="18"/>
                <w:szCs w:val="18"/>
                <w:lang w:val="es-ES"/>
              </w:rPr>
              <w:t xml:space="preserve"> </w:t>
            </w:r>
            <w:proofErr w:type="spellStart"/>
            <w:r w:rsidRPr="290CB1C0">
              <w:rPr>
                <w:rFonts w:ascii="Cambria" w:hAnsi="Cambria"/>
                <w:color w:val="000000" w:themeColor="text1"/>
                <w:sz w:val="18"/>
                <w:szCs w:val="18"/>
                <w:lang w:val="es-ES"/>
              </w:rPr>
              <w:t>Vaux</w:t>
            </w:r>
            <w:proofErr w:type="spellEnd"/>
            <w:r w:rsidRPr="290CB1C0">
              <w:rPr>
                <w:rFonts w:ascii="Cambria" w:hAnsi="Cambria"/>
                <w:color w:val="000000" w:themeColor="text1"/>
                <w:sz w:val="18"/>
                <w:szCs w:val="18"/>
                <w:lang w:val="es-ES"/>
              </w:rPr>
              <w:t xml:space="preserve"> cuando estaban bajo custodia, para extraerles confesiones, y aplicarles el debido de castigo que fije la ley.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03189F6" w14:textId="77777777"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w:color w:val="000000" w:themeColor="text1"/>
                <w:sz w:val="18"/>
                <w:szCs w:val="18"/>
                <w:lang w:val="es-ES"/>
              </w:rPr>
              <w:t>Pendiente de cumplimiento</w:t>
            </w:r>
          </w:p>
        </w:tc>
      </w:tr>
      <w:tr w:rsidR="001D149B" w:rsidRPr="008A5E17" w14:paraId="37D4555F" w14:textId="77777777" w:rsidTr="290CB1C0">
        <w:tc>
          <w:tcPr>
            <w:tcW w:w="7200" w:type="dxa"/>
            <w:tcBorders>
              <w:top w:val="single" w:sz="4" w:space="0" w:color="auto"/>
              <w:left w:val="single" w:sz="4" w:space="0" w:color="auto"/>
              <w:bottom w:val="single" w:sz="4" w:space="0" w:color="auto"/>
              <w:right w:val="single" w:sz="4" w:space="0" w:color="auto"/>
            </w:tcBorders>
            <w:hideMark/>
          </w:tcPr>
          <w:p w14:paraId="67673356" w14:textId="77777777" w:rsidR="001D149B" w:rsidRPr="008A5E17" w:rsidRDefault="001D149B">
            <w:pPr>
              <w:pStyle w:val="ListParagraph"/>
              <w:ind w:left="0" w:right="-14"/>
              <w:jc w:val="both"/>
              <w:rPr>
                <w:rFonts w:ascii="Cambria" w:hAnsi="Cambria" w:cs="Times New Roman"/>
                <w:color w:val="000000" w:themeColor="text1"/>
                <w:sz w:val="18"/>
                <w:szCs w:val="18"/>
                <w:lang w:val="es-ES"/>
              </w:rPr>
            </w:pPr>
            <w:r w:rsidRPr="290CB1C0">
              <w:rPr>
                <w:rFonts w:ascii="Cambria" w:hAnsi="Cambria"/>
                <w:color w:val="000000" w:themeColor="text1"/>
                <w:sz w:val="18"/>
                <w:szCs w:val="18"/>
                <w:lang w:val="es-ES"/>
              </w:rPr>
              <w:t>4. Adopte las medidas legislativas u otras medidas necesarias para asegurar que toda confesión de culpabilidad de un acusado sea válida únicamente si es formulada libre de coerción de cualquier tipo, de acuerdo con el artículo XXV de la Declaración Americana.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296353" w14:textId="77777777" w:rsidR="001D149B" w:rsidRPr="008A5E17" w:rsidRDefault="001D149B" w:rsidP="290CB1C0">
            <w:pPr>
              <w:jc w:val="center"/>
              <w:rPr>
                <w:rFonts w:ascii="Cambria" w:hAnsi="Cambria" w:cs="Calibri Light"/>
                <w:b/>
                <w:bCs/>
                <w:color w:val="000000" w:themeColor="text1"/>
                <w:sz w:val="18"/>
                <w:szCs w:val="18"/>
                <w:lang w:val="es-ES"/>
              </w:rPr>
            </w:pPr>
            <w:r w:rsidRPr="290CB1C0">
              <w:rPr>
                <w:rFonts w:ascii="Cambria" w:hAnsi="Cambria" w:cs="Calibri"/>
                <w:color w:val="000000" w:themeColor="text1"/>
                <w:sz w:val="18"/>
                <w:szCs w:val="18"/>
                <w:lang w:val="es-ES"/>
              </w:rPr>
              <w:t>Pendiente de cumplimiento</w:t>
            </w:r>
          </w:p>
        </w:tc>
      </w:tr>
    </w:tbl>
    <w:p w14:paraId="67DBFED7" w14:textId="77777777" w:rsidR="001D149B" w:rsidRPr="008A5E17" w:rsidRDefault="001D149B" w:rsidP="290CB1C0">
      <w:pPr>
        <w:jc w:val="both"/>
        <w:rPr>
          <w:rFonts w:ascii="Cambria" w:eastAsia="Calibri" w:hAnsi="Cambria" w:cs="Calibri Light"/>
          <w:b/>
          <w:bCs/>
          <w:color w:val="000000" w:themeColor="text1"/>
          <w:sz w:val="20"/>
          <w:szCs w:val="20"/>
          <w:lang w:val="es-ES"/>
        </w:rPr>
      </w:pPr>
    </w:p>
    <w:p w14:paraId="7DCC7C6E" w14:textId="77777777" w:rsidR="001D149B" w:rsidRPr="008A5E17" w:rsidRDefault="001D149B" w:rsidP="290CB1C0">
      <w:pPr>
        <w:pStyle w:val="ListParagraph"/>
        <w:numPr>
          <w:ilvl w:val="0"/>
          <w:numId w:val="8"/>
        </w:numPr>
        <w:ind w:left="1440"/>
        <w:jc w:val="both"/>
        <w:rPr>
          <w:rFonts w:ascii="Cambria" w:hAnsi="Cambria" w:cs="Calibri Light"/>
          <w:b/>
          <w:bCs/>
          <w:color w:val="000000" w:themeColor="text1"/>
          <w:sz w:val="20"/>
          <w:szCs w:val="20"/>
          <w:lang w:val="es-ES"/>
        </w:rPr>
      </w:pPr>
      <w:r w:rsidRPr="290CB1C0">
        <w:rPr>
          <w:rFonts w:ascii="Cambria" w:hAnsi="Cambria"/>
          <w:b/>
          <w:bCs/>
          <w:color w:val="000000" w:themeColor="text1"/>
          <w:sz w:val="20"/>
          <w:szCs w:val="20"/>
          <w:lang w:val="es-ES"/>
        </w:rPr>
        <w:t xml:space="preserve">Actividad procesal </w:t>
      </w:r>
    </w:p>
    <w:p w14:paraId="28CE919B" w14:textId="77777777" w:rsidR="001D149B" w:rsidRPr="008A5E17" w:rsidRDefault="001D149B" w:rsidP="001D149B">
      <w:pPr>
        <w:jc w:val="both"/>
        <w:rPr>
          <w:rFonts w:ascii="Cambria" w:hAnsi="Cambria" w:cs="Calibri Light"/>
          <w:color w:val="000000" w:themeColor="text1"/>
          <w:sz w:val="20"/>
          <w:szCs w:val="20"/>
          <w:lang w:val="es-ES"/>
        </w:rPr>
      </w:pPr>
    </w:p>
    <w:p w14:paraId="0A8575F3" w14:textId="476B55EB" w:rsidR="001D149B" w:rsidRPr="00EE59A3" w:rsidRDefault="001D149B" w:rsidP="290CB1C0">
      <w:pPr>
        <w:pStyle w:val="ListParagraph"/>
        <w:numPr>
          <w:ilvl w:val="0"/>
          <w:numId w:val="9"/>
        </w:numPr>
        <w:ind w:left="0" w:firstLine="709"/>
        <w:jc w:val="both"/>
        <w:rPr>
          <w:rFonts w:ascii="Cambria" w:hAnsi="Cambria" w:cs="Calibri Light"/>
          <w:color w:val="000000" w:themeColor="text1"/>
          <w:sz w:val="20"/>
          <w:szCs w:val="20"/>
          <w:lang w:val="es-ES"/>
        </w:rPr>
      </w:pPr>
      <w:r w:rsidRPr="290CB1C0">
        <w:rPr>
          <w:rFonts w:ascii="Cambria" w:hAnsi="Cambria" w:cs="Calibri Light"/>
          <w:color w:val="000000" w:themeColor="text1"/>
          <w:sz w:val="20"/>
          <w:szCs w:val="20"/>
          <w:lang w:val="es-ES"/>
        </w:rPr>
        <w:t>En 202</w:t>
      </w:r>
      <w:r w:rsidR="00EE59A3" w:rsidRPr="290CB1C0">
        <w:rPr>
          <w:rFonts w:ascii="Cambria" w:hAnsi="Cambria" w:cs="Calibri Light"/>
          <w:color w:val="000000" w:themeColor="text1"/>
          <w:sz w:val="20"/>
          <w:szCs w:val="20"/>
          <w:lang w:val="es-ES"/>
        </w:rPr>
        <w:t>1</w:t>
      </w:r>
      <w:r w:rsidRPr="290CB1C0">
        <w:rPr>
          <w:rFonts w:ascii="Cambria" w:hAnsi="Cambria" w:cs="Calibri Light"/>
          <w:color w:val="000000" w:themeColor="text1"/>
          <w:sz w:val="20"/>
          <w:szCs w:val="20"/>
          <w:lang w:val="es-ES"/>
        </w:rPr>
        <w:t xml:space="preserve">, la CIDH solicitó información actualizada sobre el cumplimiento de las recomendaciones </w:t>
      </w:r>
      <w:r w:rsidR="00EE59A3" w:rsidRPr="290CB1C0">
        <w:rPr>
          <w:rFonts w:ascii="Cambria" w:hAnsi="Cambria" w:cs="Calibri Light"/>
          <w:color w:val="000000" w:themeColor="text1"/>
          <w:sz w:val="20"/>
          <w:szCs w:val="20"/>
          <w:lang w:val="es-ES"/>
        </w:rPr>
        <w:t>a ambas partes</w:t>
      </w:r>
      <w:r w:rsidRPr="290CB1C0">
        <w:rPr>
          <w:rFonts w:ascii="Cambria" w:hAnsi="Cambria" w:cs="Calibri Light"/>
          <w:color w:val="000000" w:themeColor="text1"/>
          <w:sz w:val="20"/>
          <w:szCs w:val="20"/>
          <w:lang w:val="es-ES"/>
        </w:rPr>
        <w:t xml:space="preserve"> el 1</w:t>
      </w:r>
      <w:r w:rsidR="00EE59A3" w:rsidRPr="290CB1C0">
        <w:rPr>
          <w:rFonts w:ascii="Cambria" w:hAnsi="Cambria" w:cs="Calibri Light"/>
          <w:color w:val="000000" w:themeColor="text1"/>
          <w:sz w:val="20"/>
          <w:szCs w:val="20"/>
          <w:lang w:val="es-ES"/>
        </w:rPr>
        <w:t>6</w:t>
      </w:r>
      <w:r w:rsidRPr="290CB1C0">
        <w:rPr>
          <w:rFonts w:ascii="Cambria" w:hAnsi="Cambria" w:cs="Calibri Light"/>
          <w:color w:val="000000" w:themeColor="text1"/>
          <w:sz w:val="20"/>
          <w:szCs w:val="20"/>
          <w:lang w:val="es-ES"/>
        </w:rPr>
        <w:t xml:space="preserve"> de agosto. A la fecha de cierre de este informe, </w:t>
      </w:r>
      <w:r w:rsidRPr="290CB1C0">
        <w:rPr>
          <w:rFonts w:ascii="Cambria" w:hAnsi="Cambria"/>
          <w:color w:val="000000" w:themeColor="text1"/>
          <w:sz w:val="20"/>
          <w:szCs w:val="20"/>
          <w:lang w:val="es-ES"/>
        </w:rPr>
        <w:t>la Comisión no había recibido dicha información de</w:t>
      </w:r>
      <w:r w:rsidR="00EE59A3" w:rsidRPr="290CB1C0">
        <w:rPr>
          <w:rFonts w:ascii="Cambria" w:hAnsi="Cambria"/>
          <w:color w:val="000000" w:themeColor="text1"/>
          <w:sz w:val="20"/>
          <w:szCs w:val="20"/>
          <w:lang w:val="es-ES"/>
        </w:rPr>
        <w:t xml:space="preserve"> ninguna de las partes</w:t>
      </w:r>
      <w:r w:rsidRPr="290CB1C0">
        <w:rPr>
          <w:rFonts w:ascii="Cambria" w:hAnsi="Cambria"/>
          <w:color w:val="000000" w:themeColor="text1"/>
          <w:sz w:val="20"/>
          <w:szCs w:val="20"/>
          <w:lang w:val="es-ES"/>
        </w:rPr>
        <w:t>.</w:t>
      </w:r>
      <w:r w:rsidR="004129CA" w:rsidRPr="290CB1C0">
        <w:rPr>
          <w:rFonts w:ascii="Cambria" w:hAnsi="Cambria"/>
          <w:color w:val="000000" w:themeColor="text1"/>
          <w:sz w:val="20"/>
          <w:szCs w:val="20"/>
          <w:lang w:val="es-ES"/>
        </w:rPr>
        <w:t xml:space="preserve"> </w:t>
      </w:r>
      <w:r w:rsidR="004129CA" w:rsidRPr="290CB1C0">
        <w:rPr>
          <w:rFonts w:ascii="Cambria" w:hAnsi="Cambria" w:cs="Calibri Light"/>
          <w:color w:val="000000" w:themeColor="text1"/>
          <w:sz w:val="20"/>
          <w:szCs w:val="20"/>
          <w:lang w:val="es-ES"/>
        </w:rPr>
        <w:t xml:space="preserve">La Comisión observa con preocupación que el Estado no </w:t>
      </w:r>
      <w:r w:rsidR="004129CA" w:rsidRPr="290CB1C0">
        <w:rPr>
          <w:rFonts w:ascii="Cambria" w:hAnsi="Cambria" w:cs="Calibri Light"/>
          <w:color w:val="000000" w:themeColor="text1"/>
          <w:sz w:val="20"/>
          <w:szCs w:val="20"/>
          <w:lang w:val="es-ES"/>
        </w:rPr>
        <w:lastRenderedPageBreak/>
        <w:t>ha presentado información sobre las medidas adoptadas para cumplir con dichas recomendaciones desde el 2015.</w:t>
      </w:r>
    </w:p>
    <w:p w14:paraId="7BCBFB59" w14:textId="77777777" w:rsidR="00EE59A3" w:rsidRPr="008A5E17" w:rsidRDefault="00EE59A3" w:rsidP="00EE59A3">
      <w:pPr>
        <w:pStyle w:val="ListParagraph"/>
        <w:ind w:left="709"/>
        <w:jc w:val="both"/>
        <w:rPr>
          <w:rFonts w:ascii="Cambria" w:hAnsi="Cambria" w:cs="Calibri Light"/>
          <w:color w:val="000000" w:themeColor="text1"/>
          <w:sz w:val="20"/>
          <w:szCs w:val="20"/>
          <w:lang w:val="es-ES"/>
        </w:rPr>
      </w:pPr>
    </w:p>
    <w:p w14:paraId="0E179D18" w14:textId="1A8F8E5E" w:rsidR="00F444EF" w:rsidRPr="00EE59A3" w:rsidRDefault="001D149B" w:rsidP="290CB1C0">
      <w:pPr>
        <w:pStyle w:val="ListParagraph"/>
        <w:keepNext/>
        <w:numPr>
          <w:ilvl w:val="0"/>
          <w:numId w:val="8"/>
        </w:numPr>
        <w:ind w:left="1440"/>
        <w:jc w:val="both"/>
        <w:rPr>
          <w:rFonts w:ascii="Cambria" w:hAnsi="Cambria" w:cs="Calibri Light"/>
          <w:b/>
          <w:bCs/>
          <w:color w:val="000000" w:themeColor="text1"/>
          <w:sz w:val="20"/>
          <w:szCs w:val="20"/>
          <w:lang w:val="es-ES"/>
        </w:rPr>
      </w:pPr>
      <w:r w:rsidRPr="290CB1C0">
        <w:rPr>
          <w:rFonts w:ascii="Cambria" w:hAnsi="Cambria" w:cs="Calibri Light"/>
          <w:b/>
          <w:bCs/>
          <w:color w:val="000000" w:themeColor="text1"/>
          <w:sz w:val="20"/>
          <w:szCs w:val="20"/>
          <w:lang w:val="es-ES"/>
        </w:rPr>
        <w:t xml:space="preserve">Análisis relativo a la información proporcionada </w:t>
      </w:r>
    </w:p>
    <w:p w14:paraId="4C4FD967" w14:textId="77777777" w:rsidR="00EE59A3" w:rsidRPr="00EE59A3" w:rsidRDefault="00EE59A3" w:rsidP="290CB1C0">
      <w:pPr>
        <w:pStyle w:val="ListParagraph"/>
        <w:ind w:left="709"/>
        <w:jc w:val="both"/>
        <w:rPr>
          <w:rFonts w:ascii="Cambria" w:hAnsi="Cambria" w:cs="Calibri Light"/>
          <w:color w:val="000000" w:themeColor="text1"/>
          <w:sz w:val="20"/>
          <w:szCs w:val="20"/>
          <w:lang w:val="es-ES"/>
        </w:rPr>
      </w:pPr>
    </w:p>
    <w:p w14:paraId="5B262DB8" w14:textId="42D59BE8" w:rsidR="00EE59A3" w:rsidRPr="00EE59A3" w:rsidRDefault="00EE59A3" w:rsidP="290CB1C0">
      <w:pPr>
        <w:pStyle w:val="ListParagraph"/>
        <w:numPr>
          <w:ilvl w:val="0"/>
          <w:numId w:val="9"/>
        </w:numPr>
        <w:ind w:left="0" w:firstLine="709"/>
        <w:jc w:val="both"/>
        <w:rPr>
          <w:rFonts w:ascii="Cambria" w:hAnsi="Cambria" w:cs="Calibri Light"/>
          <w:color w:val="000000" w:themeColor="text1"/>
          <w:sz w:val="20"/>
          <w:szCs w:val="20"/>
          <w:lang w:val="es-ES"/>
        </w:rPr>
      </w:pPr>
      <w:r w:rsidRPr="290CB1C0">
        <w:rPr>
          <w:rFonts w:ascii="Cambria" w:hAnsi="Cambria" w:cs="Calibri Light"/>
          <w:color w:val="000000" w:themeColor="text1"/>
          <w:sz w:val="20"/>
          <w:szCs w:val="20"/>
          <w:lang w:val="es-ES"/>
        </w:rPr>
        <w:t xml:space="preserve">Ante la ausencia de información actualizada respecto al cumplimiento de las recomendaciones, a continuación, la Comisión reitera las consideraciones hechas en el informe anual 2020. </w:t>
      </w:r>
    </w:p>
    <w:p w14:paraId="10349E4B" w14:textId="77777777" w:rsidR="001D149B" w:rsidRPr="00EE59A3" w:rsidRDefault="001D149B" w:rsidP="001D149B">
      <w:pPr>
        <w:keepNext/>
        <w:keepLines/>
        <w:jc w:val="both"/>
        <w:rPr>
          <w:rFonts w:ascii="Cambria" w:hAnsi="Cambria" w:cs="Calibri Light"/>
          <w:color w:val="000000" w:themeColor="text1"/>
          <w:sz w:val="20"/>
          <w:szCs w:val="20"/>
          <w:lang w:val="es-ES"/>
        </w:rPr>
      </w:pPr>
    </w:p>
    <w:p w14:paraId="4DA94AE2" w14:textId="77777777" w:rsidR="001D149B" w:rsidRPr="008A5E17" w:rsidRDefault="001D149B" w:rsidP="290CB1C0">
      <w:pPr>
        <w:pStyle w:val="ListParagraph"/>
        <w:numPr>
          <w:ilvl w:val="0"/>
          <w:numId w:val="8"/>
        </w:numPr>
        <w:ind w:left="1440"/>
        <w:jc w:val="both"/>
        <w:rPr>
          <w:rFonts w:ascii="Cambria" w:hAnsi="Cambria" w:cs="Calibri Light"/>
          <w:b/>
          <w:bCs/>
          <w:color w:val="000000" w:themeColor="text1"/>
          <w:sz w:val="20"/>
          <w:szCs w:val="20"/>
          <w:lang w:val="es-ES"/>
        </w:rPr>
      </w:pPr>
      <w:r w:rsidRPr="290CB1C0">
        <w:rPr>
          <w:rFonts w:ascii="Cambria" w:hAnsi="Cambria" w:cs="Calibri Light"/>
          <w:b/>
          <w:bCs/>
          <w:color w:val="000000" w:themeColor="text1"/>
          <w:sz w:val="20"/>
          <w:szCs w:val="20"/>
          <w:lang w:val="es-ES"/>
        </w:rPr>
        <w:t xml:space="preserve">Análisis del cumplimiento de las recomendaciones </w:t>
      </w:r>
    </w:p>
    <w:p w14:paraId="72AA9D4F" w14:textId="77777777" w:rsidR="001D149B" w:rsidRPr="008A5E17" w:rsidRDefault="001D149B" w:rsidP="001D149B">
      <w:pPr>
        <w:jc w:val="both"/>
        <w:rPr>
          <w:rFonts w:ascii="Cambria" w:hAnsi="Cambria" w:cs="Calibri Light"/>
          <w:color w:val="000000" w:themeColor="text1"/>
          <w:sz w:val="20"/>
          <w:szCs w:val="20"/>
          <w:lang w:val="es-ES"/>
        </w:rPr>
      </w:pPr>
    </w:p>
    <w:p w14:paraId="1661DE68" w14:textId="77777777" w:rsidR="001D149B" w:rsidRPr="008A5E17" w:rsidRDefault="001D149B" w:rsidP="001D149B">
      <w:pPr>
        <w:pStyle w:val="ListParagraph"/>
        <w:numPr>
          <w:ilvl w:val="0"/>
          <w:numId w:val="9"/>
        </w:numPr>
        <w:ind w:left="0" w:firstLine="709"/>
        <w:jc w:val="both"/>
        <w:rPr>
          <w:rFonts w:ascii="Cambria" w:hAnsi="Cambria" w:cs="Calibri Light"/>
          <w:color w:val="000000" w:themeColor="text1"/>
          <w:sz w:val="20"/>
          <w:szCs w:val="20"/>
          <w:lang w:val="es-ES"/>
        </w:rPr>
      </w:pPr>
      <w:r w:rsidRPr="290CB1C0">
        <w:rPr>
          <w:rFonts w:ascii="Cambria" w:hAnsi="Cambria" w:cs="Calibri Light"/>
          <w:b/>
          <w:bCs/>
          <w:color w:val="000000" w:themeColor="text1"/>
          <w:sz w:val="20"/>
          <w:szCs w:val="20"/>
          <w:lang w:val="es-ES"/>
        </w:rPr>
        <w:t xml:space="preserve">En relación con la primera recomendación, </w:t>
      </w:r>
      <w:r w:rsidRPr="290CB1C0">
        <w:rPr>
          <w:rFonts w:ascii="Cambria" w:hAnsi="Cambria" w:cs="Calibri Light"/>
          <w:color w:val="000000" w:themeColor="text1"/>
          <w:sz w:val="20"/>
          <w:szCs w:val="20"/>
          <w:lang w:val="es-ES"/>
        </w:rPr>
        <w:t>en 2018 las partes no presentaron información sobre las medidas adoptadas por el Estado para cumplirla.</w:t>
      </w:r>
    </w:p>
    <w:p w14:paraId="439DF540" w14:textId="77777777" w:rsidR="001D149B" w:rsidRPr="008A5E17" w:rsidRDefault="001D149B" w:rsidP="001D149B">
      <w:pPr>
        <w:pStyle w:val="ListParagraph"/>
        <w:ind w:left="0" w:firstLine="709"/>
        <w:jc w:val="both"/>
        <w:rPr>
          <w:rFonts w:ascii="Cambria" w:hAnsi="Cambria" w:cs="Calibri Light"/>
          <w:color w:val="000000" w:themeColor="text1"/>
          <w:sz w:val="20"/>
          <w:szCs w:val="20"/>
          <w:lang w:val="es-ES"/>
        </w:rPr>
      </w:pPr>
    </w:p>
    <w:p w14:paraId="1DD67E4E" w14:textId="53C06A15" w:rsidR="001D149B" w:rsidRPr="008A5E17" w:rsidRDefault="001D149B" w:rsidP="001D149B">
      <w:pPr>
        <w:pStyle w:val="ListParagraph"/>
        <w:numPr>
          <w:ilvl w:val="0"/>
          <w:numId w:val="9"/>
        </w:numPr>
        <w:ind w:left="0" w:firstLine="709"/>
        <w:jc w:val="both"/>
        <w:rPr>
          <w:rFonts w:ascii="Cambria" w:hAnsi="Cambria" w:cs="Calibri Light"/>
          <w:color w:val="000000" w:themeColor="text1"/>
          <w:sz w:val="20"/>
          <w:szCs w:val="20"/>
          <w:lang w:val="es-ES"/>
        </w:rPr>
      </w:pPr>
      <w:r w:rsidRPr="290CB1C0">
        <w:rPr>
          <w:rFonts w:ascii="Cambria" w:hAnsi="Cambria"/>
          <w:color w:val="000000" w:themeColor="text1"/>
          <w:sz w:val="20"/>
          <w:szCs w:val="20"/>
          <w:lang w:val="es-ES"/>
        </w:rPr>
        <w:t xml:space="preserve">El 6 de febrero de 2015, el Estado informó que, a raíz de la reforma de 2010 de la Ley de Delitos en el Ámbito del Derecho Penal, mediante la cual se abolió la pena de muerte para personas condenadas por homicidio y se introdujeron normas sobre la cadena perpetua con posibilidad de libertad condicional, el Tribunal Superior conmutó las condenas de Daniel y </w:t>
      </w:r>
      <w:proofErr w:type="spellStart"/>
      <w:r w:rsidRPr="290CB1C0">
        <w:rPr>
          <w:rFonts w:ascii="Cambria" w:hAnsi="Cambria"/>
          <w:color w:val="000000" w:themeColor="text1"/>
          <w:sz w:val="20"/>
          <w:szCs w:val="20"/>
          <w:lang w:val="es-ES"/>
        </w:rPr>
        <w:t>Kornel</w:t>
      </w:r>
      <w:proofErr w:type="spellEnd"/>
      <w:r w:rsidRPr="290CB1C0">
        <w:rPr>
          <w:rFonts w:ascii="Cambria" w:hAnsi="Cambria"/>
          <w:color w:val="000000" w:themeColor="text1"/>
          <w:sz w:val="20"/>
          <w:szCs w:val="20"/>
          <w:lang w:val="es-ES"/>
        </w:rPr>
        <w:t xml:space="preserve"> </w:t>
      </w:r>
      <w:proofErr w:type="spellStart"/>
      <w:r w:rsidRPr="290CB1C0">
        <w:rPr>
          <w:rFonts w:ascii="Cambria" w:hAnsi="Cambria"/>
          <w:color w:val="000000" w:themeColor="text1"/>
          <w:sz w:val="20"/>
          <w:szCs w:val="20"/>
          <w:lang w:val="es-ES"/>
        </w:rPr>
        <w:t>Vaux</w:t>
      </w:r>
      <w:proofErr w:type="spellEnd"/>
      <w:r w:rsidRPr="290CB1C0">
        <w:rPr>
          <w:rFonts w:ascii="Cambria" w:hAnsi="Cambria"/>
          <w:color w:val="000000" w:themeColor="text1"/>
          <w:sz w:val="20"/>
          <w:szCs w:val="20"/>
          <w:lang w:val="es-ES"/>
        </w:rPr>
        <w:t xml:space="preserve"> a cadena perpetua el 28 de enero de 2013. </w:t>
      </w:r>
    </w:p>
    <w:p w14:paraId="3A425A8C" w14:textId="77777777" w:rsidR="00EB599B" w:rsidRPr="008A5E17" w:rsidRDefault="00EB599B" w:rsidP="00EB599B">
      <w:pPr>
        <w:pStyle w:val="ListParagraph"/>
        <w:rPr>
          <w:color w:val="000000" w:themeColor="text1"/>
          <w:lang w:val="es-ES"/>
        </w:rPr>
      </w:pPr>
    </w:p>
    <w:p w14:paraId="17B29D1F" w14:textId="5CC1DD1C" w:rsidR="00EB599B" w:rsidRPr="008A5E17" w:rsidRDefault="00EB599B" w:rsidP="001D149B">
      <w:pPr>
        <w:pStyle w:val="ListParagraph"/>
        <w:numPr>
          <w:ilvl w:val="0"/>
          <w:numId w:val="9"/>
        </w:numPr>
        <w:ind w:left="0" w:firstLine="709"/>
        <w:jc w:val="both"/>
        <w:rPr>
          <w:rFonts w:ascii="Cambria" w:hAnsi="Cambria" w:cs="Calibri Light"/>
          <w:color w:val="000000" w:themeColor="text1"/>
          <w:sz w:val="20"/>
          <w:szCs w:val="20"/>
          <w:lang w:val="es-ES"/>
        </w:rPr>
      </w:pPr>
      <w:r w:rsidRPr="290CB1C0">
        <w:rPr>
          <w:rFonts w:ascii="Cambria" w:hAnsi="Cambria" w:cs="Calibri Light"/>
          <w:color w:val="000000" w:themeColor="text1"/>
          <w:sz w:val="20"/>
          <w:szCs w:val="20"/>
          <w:lang w:val="es-ES"/>
        </w:rPr>
        <w:t xml:space="preserve">En 2020, Daniel </w:t>
      </w:r>
      <w:proofErr w:type="spellStart"/>
      <w:r w:rsidRPr="290CB1C0">
        <w:rPr>
          <w:rFonts w:ascii="Cambria" w:hAnsi="Cambria" w:cs="Calibri Light"/>
          <w:color w:val="000000" w:themeColor="text1"/>
          <w:sz w:val="20"/>
          <w:szCs w:val="20"/>
          <w:lang w:val="es-ES"/>
        </w:rPr>
        <w:t>Vaux</w:t>
      </w:r>
      <w:proofErr w:type="spellEnd"/>
      <w:r w:rsidRPr="290CB1C0">
        <w:rPr>
          <w:rFonts w:ascii="Cambria" w:hAnsi="Cambria" w:cs="Calibri Light"/>
          <w:color w:val="000000" w:themeColor="text1"/>
          <w:sz w:val="20"/>
          <w:szCs w:val="20"/>
          <w:lang w:val="es-ES"/>
        </w:rPr>
        <w:t>, una de las víctimas, envió una nota a la Comisión informando qu</w:t>
      </w:r>
      <w:r w:rsidR="00F17298" w:rsidRPr="290CB1C0">
        <w:rPr>
          <w:rFonts w:ascii="Cambria" w:hAnsi="Cambria" w:cs="Calibri Light"/>
          <w:color w:val="000000" w:themeColor="text1"/>
          <w:sz w:val="20"/>
          <w:szCs w:val="20"/>
          <w:lang w:val="es-ES"/>
        </w:rPr>
        <w:t>e, el 2 de diciembre de 2019, se les otorgó la libertad condicional (</w:t>
      </w:r>
      <w:proofErr w:type="spellStart"/>
      <w:r w:rsidR="00F17298" w:rsidRPr="290CB1C0">
        <w:rPr>
          <w:rFonts w:ascii="Cambria" w:hAnsi="Cambria" w:cs="Calibri Light"/>
          <w:i/>
          <w:iCs/>
          <w:color w:val="000000" w:themeColor="text1"/>
          <w:sz w:val="20"/>
          <w:szCs w:val="20"/>
          <w:lang w:val="es-ES"/>
        </w:rPr>
        <w:t>parole</w:t>
      </w:r>
      <w:proofErr w:type="spellEnd"/>
      <w:r w:rsidR="00F17298" w:rsidRPr="290CB1C0">
        <w:rPr>
          <w:rFonts w:ascii="Cambria" w:hAnsi="Cambria" w:cs="Calibri Light"/>
          <w:color w:val="000000" w:themeColor="text1"/>
          <w:sz w:val="20"/>
          <w:szCs w:val="20"/>
          <w:lang w:val="es-ES"/>
        </w:rPr>
        <w:t>)</w:t>
      </w:r>
      <w:r w:rsidRPr="290CB1C0">
        <w:rPr>
          <w:rFonts w:ascii="Cambria" w:hAnsi="Cambria" w:cs="Calibri Light"/>
          <w:color w:val="000000" w:themeColor="text1"/>
          <w:sz w:val="20"/>
          <w:szCs w:val="20"/>
          <w:lang w:val="es-ES"/>
        </w:rPr>
        <w:t xml:space="preserve"> </w:t>
      </w:r>
      <w:r w:rsidR="00F17298" w:rsidRPr="290CB1C0">
        <w:rPr>
          <w:rFonts w:ascii="Cambria" w:hAnsi="Cambria" w:cs="Calibri Light"/>
          <w:color w:val="000000" w:themeColor="text1"/>
          <w:sz w:val="20"/>
          <w:szCs w:val="20"/>
          <w:lang w:val="es-ES"/>
        </w:rPr>
        <w:t xml:space="preserve">a </w:t>
      </w:r>
      <w:r w:rsidRPr="290CB1C0">
        <w:rPr>
          <w:rFonts w:ascii="Cambria" w:hAnsi="Cambria" w:cs="Calibri Light"/>
          <w:color w:val="000000" w:themeColor="text1"/>
          <w:sz w:val="20"/>
          <w:szCs w:val="20"/>
          <w:lang w:val="es-ES"/>
        </w:rPr>
        <w:t xml:space="preserve">él y </w:t>
      </w:r>
      <w:r w:rsidR="00F17298" w:rsidRPr="290CB1C0">
        <w:rPr>
          <w:rFonts w:ascii="Cambria" w:hAnsi="Cambria" w:cs="Calibri Light"/>
          <w:color w:val="000000" w:themeColor="text1"/>
          <w:sz w:val="20"/>
          <w:szCs w:val="20"/>
          <w:lang w:val="es-ES"/>
        </w:rPr>
        <w:t xml:space="preserve">a </w:t>
      </w:r>
      <w:r w:rsidRPr="290CB1C0">
        <w:rPr>
          <w:rFonts w:ascii="Cambria" w:hAnsi="Cambria" w:cs="Calibri Light"/>
          <w:color w:val="000000" w:themeColor="text1"/>
          <w:sz w:val="20"/>
          <w:szCs w:val="20"/>
          <w:lang w:val="es-ES"/>
        </w:rPr>
        <w:t xml:space="preserve">su hermano, </w:t>
      </w:r>
      <w:proofErr w:type="spellStart"/>
      <w:r w:rsidRPr="290CB1C0">
        <w:rPr>
          <w:rFonts w:ascii="Cambria" w:hAnsi="Cambria" w:cs="Calibri Light"/>
          <w:color w:val="000000" w:themeColor="text1"/>
          <w:sz w:val="20"/>
          <w:szCs w:val="20"/>
          <w:lang w:val="es-ES"/>
        </w:rPr>
        <w:t>Kornel</w:t>
      </w:r>
      <w:proofErr w:type="spellEnd"/>
      <w:r w:rsidRPr="290CB1C0">
        <w:rPr>
          <w:rFonts w:ascii="Cambria" w:hAnsi="Cambria" w:cs="Calibri Light"/>
          <w:color w:val="000000" w:themeColor="text1"/>
          <w:sz w:val="20"/>
          <w:szCs w:val="20"/>
          <w:lang w:val="es-ES"/>
        </w:rPr>
        <w:t xml:space="preserve"> </w:t>
      </w:r>
      <w:proofErr w:type="spellStart"/>
      <w:r w:rsidRPr="290CB1C0">
        <w:rPr>
          <w:rFonts w:ascii="Cambria" w:hAnsi="Cambria" w:cs="Calibri Light"/>
          <w:color w:val="000000" w:themeColor="text1"/>
          <w:sz w:val="20"/>
          <w:szCs w:val="20"/>
          <w:lang w:val="es-ES"/>
        </w:rPr>
        <w:t>Vaux</w:t>
      </w:r>
      <w:proofErr w:type="spellEnd"/>
      <w:r w:rsidRPr="290CB1C0">
        <w:rPr>
          <w:rFonts w:ascii="Cambria" w:hAnsi="Cambria" w:cs="Calibri Light"/>
          <w:color w:val="000000" w:themeColor="text1"/>
          <w:sz w:val="20"/>
          <w:szCs w:val="20"/>
          <w:lang w:val="es-ES"/>
        </w:rPr>
        <w:t>.</w:t>
      </w:r>
    </w:p>
    <w:p w14:paraId="1CB03F0F" w14:textId="77777777" w:rsidR="002922D8" w:rsidRPr="008A5E17" w:rsidRDefault="002922D8" w:rsidP="002922D8">
      <w:pPr>
        <w:rPr>
          <w:rFonts w:ascii="Cambria" w:eastAsia="Times New Roman" w:hAnsi="Cambria" w:cs="Calibri Light"/>
          <w:color w:val="000000" w:themeColor="text1"/>
          <w:sz w:val="20"/>
          <w:szCs w:val="20"/>
          <w:lang w:val="es-CO"/>
        </w:rPr>
      </w:pPr>
    </w:p>
    <w:p w14:paraId="26D3325D" w14:textId="7EBDC58C" w:rsidR="001208A1" w:rsidRPr="008A5E17" w:rsidRDefault="002922D8" w:rsidP="002922D8">
      <w:pPr>
        <w:pStyle w:val="ListParagraph"/>
        <w:numPr>
          <w:ilvl w:val="0"/>
          <w:numId w:val="9"/>
        </w:numPr>
        <w:ind w:left="0" w:firstLine="709"/>
        <w:jc w:val="both"/>
        <w:rPr>
          <w:rFonts w:ascii="Cambria" w:hAnsi="Cambria"/>
          <w:color w:val="000000" w:themeColor="text1"/>
          <w:sz w:val="20"/>
          <w:szCs w:val="20"/>
          <w:lang w:val="es-ES"/>
        </w:rPr>
      </w:pPr>
      <w:r w:rsidRPr="008A5E17">
        <w:rPr>
          <w:rFonts w:ascii="Cambria" w:eastAsia="Times New Roman" w:hAnsi="Cambria" w:cs="Calibri Light"/>
          <w:color w:val="000000" w:themeColor="text1"/>
          <w:sz w:val="20"/>
          <w:szCs w:val="20"/>
          <w:lang w:val="es-CO"/>
        </w:rPr>
        <w:t>La Comisión valora positivamente que las sentencias de</w:t>
      </w:r>
      <w:r w:rsidR="00077CB2" w:rsidRPr="008A5E17">
        <w:rPr>
          <w:rFonts w:ascii="Cambria" w:eastAsia="Times New Roman" w:hAnsi="Cambria" w:cs="Calibri Light"/>
          <w:color w:val="000000" w:themeColor="text1"/>
          <w:sz w:val="20"/>
          <w:szCs w:val="20"/>
          <w:lang w:val="es-CO"/>
        </w:rPr>
        <w:t xml:space="preserve"> pena de</w:t>
      </w:r>
      <w:r w:rsidRPr="008A5E17">
        <w:rPr>
          <w:rFonts w:ascii="Cambria" w:eastAsia="Times New Roman" w:hAnsi="Cambria" w:cs="Calibri Light"/>
          <w:color w:val="000000" w:themeColor="text1"/>
          <w:sz w:val="20"/>
          <w:szCs w:val="20"/>
          <w:lang w:val="es-CO"/>
        </w:rPr>
        <w:t xml:space="preserve"> muerte de los señores Daniel </w:t>
      </w:r>
      <w:proofErr w:type="spellStart"/>
      <w:r w:rsidRPr="008A5E17">
        <w:rPr>
          <w:rFonts w:ascii="Cambria" w:eastAsia="Times New Roman" w:hAnsi="Cambria" w:cs="Calibri Light"/>
          <w:color w:val="000000" w:themeColor="text1"/>
          <w:sz w:val="20"/>
          <w:szCs w:val="20"/>
          <w:lang w:val="es-CO"/>
        </w:rPr>
        <w:t>Vaux</w:t>
      </w:r>
      <w:proofErr w:type="spellEnd"/>
      <w:r w:rsidRPr="008A5E17">
        <w:rPr>
          <w:rFonts w:ascii="Cambria" w:eastAsia="Times New Roman" w:hAnsi="Cambria" w:cs="Calibri Light"/>
          <w:color w:val="000000" w:themeColor="text1"/>
          <w:sz w:val="20"/>
          <w:szCs w:val="20"/>
          <w:lang w:val="es-CO"/>
        </w:rPr>
        <w:t xml:space="preserve"> y </w:t>
      </w:r>
      <w:proofErr w:type="spellStart"/>
      <w:r w:rsidRPr="008A5E17">
        <w:rPr>
          <w:rFonts w:ascii="Cambria" w:eastAsia="Times New Roman" w:hAnsi="Cambria" w:cs="Calibri Light"/>
          <w:color w:val="000000" w:themeColor="text1"/>
          <w:sz w:val="20"/>
          <w:szCs w:val="20"/>
          <w:lang w:val="es-CO"/>
        </w:rPr>
        <w:t>Komel</w:t>
      </w:r>
      <w:proofErr w:type="spellEnd"/>
      <w:r w:rsidRPr="008A5E17">
        <w:rPr>
          <w:rFonts w:ascii="Cambria" w:eastAsia="Times New Roman" w:hAnsi="Cambria" w:cs="Calibri Light"/>
          <w:color w:val="000000" w:themeColor="text1"/>
          <w:sz w:val="20"/>
          <w:szCs w:val="20"/>
          <w:lang w:val="es-CO"/>
        </w:rPr>
        <w:t xml:space="preserve"> </w:t>
      </w:r>
      <w:proofErr w:type="spellStart"/>
      <w:r w:rsidRPr="008A5E17">
        <w:rPr>
          <w:rFonts w:ascii="Cambria" w:eastAsia="Times New Roman" w:hAnsi="Cambria" w:cs="Calibri Light"/>
          <w:color w:val="000000" w:themeColor="text1"/>
          <w:sz w:val="20"/>
          <w:szCs w:val="20"/>
          <w:lang w:val="es-CO"/>
        </w:rPr>
        <w:t>Vaux</w:t>
      </w:r>
      <w:proofErr w:type="spellEnd"/>
      <w:r w:rsidRPr="008A5E17">
        <w:rPr>
          <w:rFonts w:ascii="Cambria" w:eastAsia="Times New Roman" w:hAnsi="Cambria" w:cs="Calibri Light"/>
          <w:color w:val="000000" w:themeColor="text1"/>
          <w:sz w:val="20"/>
          <w:szCs w:val="20"/>
          <w:lang w:val="es-CO"/>
        </w:rPr>
        <w:t xml:space="preserve"> hayan sido conmutadas a cadena perpetua </w:t>
      </w:r>
      <w:r w:rsidR="00CE2F0D" w:rsidRPr="008A5E17">
        <w:rPr>
          <w:rFonts w:ascii="Cambria" w:eastAsia="Times New Roman" w:hAnsi="Cambria" w:cs="Calibri Light"/>
          <w:color w:val="000000" w:themeColor="text1"/>
          <w:sz w:val="20"/>
          <w:szCs w:val="20"/>
          <w:lang w:val="es-CO"/>
        </w:rPr>
        <w:t xml:space="preserve">en enero de 2013 </w:t>
      </w:r>
      <w:r w:rsidRPr="008A5E17">
        <w:rPr>
          <w:rFonts w:ascii="Cambria" w:eastAsia="Times New Roman" w:hAnsi="Cambria" w:cs="Calibri Light"/>
          <w:color w:val="000000" w:themeColor="text1"/>
          <w:sz w:val="20"/>
          <w:szCs w:val="20"/>
          <w:lang w:val="es-CO"/>
        </w:rPr>
        <w:t>y que</w:t>
      </w:r>
      <w:r w:rsidR="00077CB2" w:rsidRPr="008A5E17">
        <w:rPr>
          <w:rFonts w:ascii="Cambria" w:eastAsia="Times New Roman" w:hAnsi="Cambria" w:cs="Calibri Light"/>
          <w:color w:val="000000" w:themeColor="text1"/>
          <w:sz w:val="20"/>
          <w:szCs w:val="20"/>
          <w:lang w:val="es-CO"/>
        </w:rPr>
        <w:t>, posteriormente,</w:t>
      </w:r>
      <w:r w:rsidRPr="008A5E17">
        <w:rPr>
          <w:rFonts w:ascii="Cambria" w:eastAsia="Times New Roman" w:hAnsi="Cambria" w:cs="Calibri Light"/>
          <w:color w:val="000000" w:themeColor="text1"/>
          <w:sz w:val="20"/>
          <w:szCs w:val="20"/>
          <w:lang w:val="es-CO"/>
        </w:rPr>
        <w:t xml:space="preserve"> les haya sido concedida la libertad condicional (</w:t>
      </w:r>
      <w:proofErr w:type="spellStart"/>
      <w:r w:rsidRPr="290CB1C0">
        <w:rPr>
          <w:rFonts w:ascii="Cambria" w:eastAsia="Times New Roman" w:hAnsi="Cambria" w:cs="Calibri Light"/>
          <w:i/>
          <w:iCs/>
          <w:color w:val="000000" w:themeColor="text1"/>
          <w:sz w:val="20"/>
          <w:szCs w:val="20"/>
          <w:lang w:val="es-CO"/>
        </w:rPr>
        <w:t>parole</w:t>
      </w:r>
      <w:proofErr w:type="spellEnd"/>
      <w:r w:rsidRPr="008A5E17">
        <w:rPr>
          <w:rFonts w:ascii="Cambria" w:eastAsia="Times New Roman" w:hAnsi="Cambria" w:cs="Calibri Light"/>
          <w:color w:val="000000" w:themeColor="text1"/>
          <w:sz w:val="20"/>
          <w:szCs w:val="20"/>
          <w:lang w:val="es-CO"/>
        </w:rPr>
        <w:t xml:space="preserve">) el 2 de diciembre de 2019. Sin embargo, la Comisión sigue sin tener noticia de que se haya otorgado una indemnización a las víctimas. Al respecto, </w:t>
      </w:r>
      <w:r w:rsidR="001208A1" w:rsidRPr="008A5E17">
        <w:rPr>
          <w:rFonts w:ascii="Cambria" w:hAnsi="Cambria"/>
          <w:color w:val="000000" w:themeColor="text1"/>
          <w:sz w:val="20"/>
          <w:szCs w:val="20"/>
          <w:lang w:val="es-ES"/>
        </w:rPr>
        <w:t>la CIDH recuerda al Estado que, de acuerdo con los principios del derecho internacional, todo incumplimiento de una obligación internacional que ocasione un perjuicio da lugar al deber de repararlo de manera adecuada</w:t>
      </w:r>
      <w:r w:rsidR="001208A1" w:rsidRPr="008A5E17">
        <w:rPr>
          <w:rStyle w:val="FootnoteReference"/>
          <w:rFonts w:ascii="Cambria" w:hAnsi="Cambria"/>
          <w:color w:val="000000" w:themeColor="text1"/>
          <w:sz w:val="20"/>
          <w:szCs w:val="20"/>
          <w:lang w:val="es-ES"/>
        </w:rPr>
        <w:footnoteReference w:id="1"/>
      </w:r>
      <w:r w:rsidR="001208A1" w:rsidRPr="008A5E17">
        <w:rPr>
          <w:rFonts w:ascii="Cambria" w:hAnsi="Cambria"/>
          <w:color w:val="000000" w:themeColor="text1"/>
          <w:sz w:val="20"/>
          <w:szCs w:val="20"/>
          <w:lang w:val="es-ES"/>
        </w:rPr>
        <w:t>. De conformidad con la jurisprudencia del sistema interamericano, las víctimas de violaciones de derechos humanos tienen derecho a percibir una indemnización adecuada por el daño sufrido, la cual debe concretarse en medidas individuales para restituir, indemnizar y rehabilitar a la víctima, así como medidas de satisfacción y garantías de que no se repitan tales actos</w:t>
      </w:r>
      <w:r w:rsidR="001208A1" w:rsidRPr="008A5E17">
        <w:rPr>
          <w:rStyle w:val="FootnoteReference"/>
          <w:rFonts w:ascii="Cambria" w:hAnsi="Cambria"/>
          <w:color w:val="000000" w:themeColor="text1"/>
          <w:sz w:val="20"/>
          <w:szCs w:val="20"/>
          <w:lang w:val="es-ES"/>
        </w:rPr>
        <w:footnoteReference w:id="2"/>
      </w:r>
      <w:r w:rsidR="001208A1" w:rsidRPr="008A5E17">
        <w:rPr>
          <w:rFonts w:ascii="Cambria" w:hAnsi="Cambria"/>
          <w:color w:val="000000" w:themeColor="text1"/>
          <w:sz w:val="20"/>
          <w:szCs w:val="20"/>
          <w:lang w:val="es-ES"/>
        </w:rPr>
        <w:t>. Además, un Estado no puede recurrir a su derecho interno para modificar esta obligación o hacer caso omiso de ella</w:t>
      </w:r>
      <w:r w:rsidR="001208A1" w:rsidRPr="008A5E17">
        <w:rPr>
          <w:rStyle w:val="FootnoteReference"/>
          <w:rFonts w:ascii="Cambria" w:hAnsi="Cambria"/>
          <w:color w:val="000000" w:themeColor="text1"/>
          <w:sz w:val="20"/>
          <w:szCs w:val="20"/>
          <w:lang w:val="es-ES"/>
        </w:rPr>
        <w:footnoteReference w:id="3"/>
      </w:r>
      <w:r w:rsidR="001208A1" w:rsidRPr="008A5E17">
        <w:rPr>
          <w:rFonts w:ascii="Cambria" w:hAnsi="Cambria"/>
          <w:color w:val="000000" w:themeColor="text1"/>
          <w:sz w:val="20"/>
          <w:szCs w:val="20"/>
          <w:lang w:val="es-ES"/>
        </w:rPr>
        <w:t xml:space="preserve">. </w:t>
      </w:r>
      <w:r w:rsidR="005076E2" w:rsidRPr="008A5E17">
        <w:rPr>
          <w:rFonts w:ascii="Cambria" w:hAnsi="Cambria" w:cs="Calibri Light"/>
          <w:color w:val="000000" w:themeColor="text1"/>
          <w:sz w:val="20"/>
          <w:szCs w:val="20"/>
          <w:lang w:val="es-US"/>
        </w:rPr>
        <w:t>En vista de lo anterior, la Comisión observa que la víctima ha aportado información relevante para actualizar el estado de cumplimiento de esta recomendación y considera que el nivel de cumplimiento de dicha recomendación es parcial sustancial.</w:t>
      </w:r>
    </w:p>
    <w:p w14:paraId="2B0B7F1A" w14:textId="77777777" w:rsidR="001D149B" w:rsidRPr="008A5E17" w:rsidRDefault="001D149B" w:rsidP="001D149B">
      <w:pPr>
        <w:ind w:firstLine="709"/>
        <w:jc w:val="both"/>
        <w:rPr>
          <w:rFonts w:ascii="Cambria" w:hAnsi="Cambria" w:cs="Calibri Light"/>
          <w:color w:val="000000" w:themeColor="text1"/>
          <w:sz w:val="20"/>
          <w:szCs w:val="20"/>
          <w:lang w:val="es-ES"/>
        </w:rPr>
      </w:pPr>
    </w:p>
    <w:p w14:paraId="7317D59E" w14:textId="2CCEA60B" w:rsidR="001D149B" w:rsidRPr="008A5E17" w:rsidRDefault="001D149B" w:rsidP="001D149B">
      <w:pPr>
        <w:pStyle w:val="ListParagraph"/>
        <w:numPr>
          <w:ilvl w:val="0"/>
          <w:numId w:val="9"/>
        </w:numPr>
        <w:shd w:val="clear" w:color="auto" w:fill="FFFFFF" w:themeFill="background1"/>
        <w:ind w:left="0" w:firstLine="709"/>
        <w:jc w:val="both"/>
        <w:rPr>
          <w:rFonts w:ascii="Cambria" w:hAnsi="Cambria" w:cs="Calibri Light"/>
          <w:color w:val="000000" w:themeColor="text1"/>
          <w:sz w:val="20"/>
          <w:szCs w:val="20"/>
          <w:lang w:val="es-ES"/>
        </w:rPr>
      </w:pPr>
      <w:r w:rsidRPr="290CB1C0">
        <w:rPr>
          <w:rFonts w:ascii="Cambria" w:hAnsi="Cambria" w:cs="Calibri Light"/>
          <w:b/>
          <w:bCs/>
          <w:color w:val="000000" w:themeColor="text1"/>
          <w:sz w:val="20"/>
          <w:szCs w:val="20"/>
          <w:lang w:val="es-ES"/>
        </w:rPr>
        <w:t xml:space="preserve">Respecto de </w:t>
      </w:r>
      <w:r w:rsidR="001A3C1C" w:rsidRPr="290CB1C0">
        <w:rPr>
          <w:rFonts w:ascii="Cambria" w:hAnsi="Cambria" w:cs="Calibri Light"/>
          <w:b/>
          <w:bCs/>
          <w:color w:val="000000" w:themeColor="text1"/>
          <w:sz w:val="20"/>
          <w:szCs w:val="20"/>
          <w:lang w:val="es-ES"/>
        </w:rPr>
        <w:t>las recomendaciones 2, 3 y 4</w:t>
      </w:r>
      <w:r w:rsidRPr="290CB1C0">
        <w:rPr>
          <w:rFonts w:ascii="Cambria" w:hAnsi="Cambria" w:cs="Calibri Light"/>
          <w:color w:val="000000" w:themeColor="text1"/>
          <w:sz w:val="20"/>
          <w:szCs w:val="20"/>
          <w:lang w:val="es-ES"/>
        </w:rPr>
        <w:t>,</w:t>
      </w:r>
      <w:r w:rsidRPr="290CB1C0">
        <w:rPr>
          <w:rFonts w:ascii="Cambria" w:hAnsi="Cambria" w:cs="Calibri Light"/>
          <w:b/>
          <w:bCs/>
          <w:color w:val="000000" w:themeColor="text1"/>
          <w:sz w:val="20"/>
          <w:szCs w:val="20"/>
          <w:lang w:val="es-ES"/>
        </w:rPr>
        <w:t xml:space="preserve"> </w:t>
      </w:r>
      <w:r w:rsidRPr="290CB1C0">
        <w:rPr>
          <w:rFonts w:ascii="Cambria" w:hAnsi="Cambria" w:cs="Calibri Light"/>
          <w:color w:val="000000" w:themeColor="text1"/>
          <w:sz w:val="20"/>
          <w:szCs w:val="20"/>
          <w:lang w:val="es-ES"/>
        </w:rPr>
        <w:t>las partes no han presentado información sobre las medidas adoptadas por el Estado para cumplirlas. Por consiguiente, la Comisión concluye que las Recomendaciones 2, 3 y 4 siguen pendientes de cumplimiento.</w:t>
      </w:r>
    </w:p>
    <w:p w14:paraId="245132D4" w14:textId="3EC3C223" w:rsidR="00E94EB4" w:rsidRPr="008A5E17" w:rsidRDefault="00E94EB4" w:rsidP="001D149B">
      <w:pPr>
        <w:rPr>
          <w:rFonts w:ascii="Cambria" w:hAnsi="Cambria" w:cs="Times New Roman"/>
          <w:color w:val="000000" w:themeColor="text1"/>
          <w:sz w:val="20"/>
          <w:szCs w:val="20"/>
          <w:lang w:val="es-ES"/>
        </w:rPr>
      </w:pPr>
    </w:p>
    <w:p w14:paraId="4AA035BE" w14:textId="77777777" w:rsidR="001D149B" w:rsidRPr="008A5E17" w:rsidRDefault="001D149B" w:rsidP="290CB1C0">
      <w:pPr>
        <w:pStyle w:val="ListParagraph"/>
        <w:numPr>
          <w:ilvl w:val="0"/>
          <w:numId w:val="8"/>
        </w:numPr>
        <w:ind w:left="1440"/>
        <w:jc w:val="both"/>
        <w:rPr>
          <w:rFonts w:ascii="Cambria" w:hAnsi="Cambria" w:cs="Calibri Light"/>
          <w:b/>
          <w:bCs/>
          <w:color w:val="000000" w:themeColor="text1"/>
          <w:sz w:val="20"/>
          <w:szCs w:val="20"/>
          <w:lang w:val="es-ES"/>
        </w:rPr>
      </w:pPr>
      <w:r w:rsidRPr="290CB1C0">
        <w:rPr>
          <w:rFonts w:ascii="Cambria" w:hAnsi="Cambria" w:cs="Calibri Light"/>
          <w:b/>
          <w:bCs/>
          <w:color w:val="000000" w:themeColor="text1"/>
          <w:sz w:val="20"/>
          <w:szCs w:val="20"/>
          <w:lang w:val="es-ES"/>
        </w:rPr>
        <w:t xml:space="preserve">Nivel del cumplimiento del caso  </w:t>
      </w:r>
    </w:p>
    <w:p w14:paraId="7F3A9CB3" w14:textId="77777777" w:rsidR="001D149B" w:rsidRPr="008A5E17" w:rsidRDefault="001D149B" w:rsidP="001D149B">
      <w:pPr>
        <w:jc w:val="both"/>
        <w:rPr>
          <w:rFonts w:ascii="Cambria" w:hAnsi="Cambria" w:cs="Calibri Light"/>
          <w:color w:val="000000" w:themeColor="text1"/>
          <w:sz w:val="20"/>
          <w:szCs w:val="20"/>
          <w:lang w:val="es-ES"/>
        </w:rPr>
      </w:pPr>
    </w:p>
    <w:p w14:paraId="71549D7D" w14:textId="2C8C71DA" w:rsidR="001D149B" w:rsidRPr="008A5E17" w:rsidRDefault="001D149B" w:rsidP="00C06B7D">
      <w:pPr>
        <w:pStyle w:val="ListParagraph"/>
        <w:numPr>
          <w:ilvl w:val="0"/>
          <w:numId w:val="9"/>
        </w:numPr>
        <w:shd w:val="clear" w:color="auto" w:fill="FFFFFF" w:themeFill="background1"/>
        <w:ind w:left="0" w:firstLine="709"/>
        <w:jc w:val="both"/>
        <w:rPr>
          <w:rFonts w:ascii="Cambria" w:hAnsi="Cambria" w:cs="Calibri Light"/>
          <w:color w:val="000000" w:themeColor="text1"/>
          <w:sz w:val="20"/>
          <w:szCs w:val="20"/>
          <w:lang w:val="es-ES"/>
        </w:rPr>
      </w:pPr>
      <w:r w:rsidRPr="290CB1C0">
        <w:rPr>
          <w:rFonts w:ascii="Cambria" w:hAnsi="Cambria" w:cs="Calibri Light"/>
          <w:color w:val="000000" w:themeColor="text1"/>
          <w:sz w:val="20"/>
          <w:szCs w:val="20"/>
          <w:lang w:val="es-ES"/>
        </w:rPr>
        <w:t>Sobre la base de lo que antecede, la CIDH concluye que el nivel de cumplimiento del caso es parcial. Por consiguiente, seguirá dando seguimiento a las recomendaciones 1, 2, 3 y 4.</w:t>
      </w:r>
    </w:p>
    <w:p w14:paraId="562ABED8" w14:textId="77777777" w:rsidR="001D149B" w:rsidRPr="008A5E17" w:rsidRDefault="001D149B" w:rsidP="001D149B">
      <w:pPr>
        <w:pStyle w:val="ListParagraph"/>
        <w:numPr>
          <w:ilvl w:val="0"/>
          <w:numId w:val="9"/>
        </w:numPr>
        <w:shd w:val="clear" w:color="auto" w:fill="FFFFFF" w:themeFill="background1"/>
        <w:ind w:left="0" w:firstLine="709"/>
        <w:jc w:val="both"/>
        <w:rPr>
          <w:rFonts w:ascii="Cambria" w:hAnsi="Cambria" w:cs="Calibri Light"/>
          <w:color w:val="000000" w:themeColor="text1"/>
          <w:sz w:val="20"/>
          <w:szCs w:val="20"/>
          <w:lang w:val="es-ES"/>
        </w:rPr>
      </w:pPr>
      <w:r w:rsidRPr="290CB1C0">
        <w:rPr>
          <w:rFonts w:ascii="Cambria" w:hAnsi="Cambria" w:cs="Calibri Light"/>
          <w:color w:val="000000" w:themeColor="text1"/>
          <w:sz w:val="20"/>
          <w:szCs w:val="20"/>
          <w:lang w:val="es-ES"/>
        </w:rPr>
        <w:t xml:space="preserve">La Comisión insta a las partes a que proporcionen información detallada sobre las medidas tomadas para cumplir con las recomendaciones emitidas en el Informe de Fondo </w:t>
      </w:r>
      <w:proofErr w:type="spellStart"/>
      <w:r w:rsidRPr="290CB1C0">
        <w:rPr>
          <w:rFonts w:ascii="Cambria" w:hAnsi="Cambria" w:cs="Calibri Light"/>
          <w:color w:val="000000" w:themeColor="text1"/>
          <w:sz w:val="20"/>
          <w:szCs w:val="20"/>
          <w:lang w:val="es-ES"/>
        </w:rPr>
        <w:t>Nº</w:t>
      </w:r>
      <w:proofErr w:type="spellEnd"/>
      <w:r w:rsidRPr="290CB1C0">
        <w:rPr>
          <w:rFonts w:ascii="Cambria" w:hAnsi="Cambria" w:cs="Calibri Light"/>
          <w:color w:val="000000" w:themeColor="text1"/>
          <w:sz w:val="20"/>
          <w:szCs w:val="20"/>
          <w:lang w:val="es-ES"/>
        </w:rPr>
        <w:t xml:space="preserve"> 81/07.</w:t>
      </w:r>
    </w:p>
    <w:p w14:paraId="40E836D1" w14:textId="77777777" w:rsidR="001D149B" w:rsidRPr="008A5E17" w:rsidRDefault="001D149B" w:rsidP="001D149B">
      <w:pPr>
        <w:jc w:val="both"/>
        <w:rPr>
          <w:rFonts w:ascii="Cambria" w:hAnsi="Cambria" w:cs="Times New Roman"/>
          <w:color w:val="000000" w:themeColor="text1"/>
          <w:sz w:val="20"/>
          <w:szCs w:val="20"/>
          <w:lang w:val="es-ES"/>
        </w:rPr>
      </w:pPr>
    </w:p>
    <w:p w14:paraId="278BBB4E" w14:textId="77777777" w:rsidR="001D149B" w:rsidRPr="008A5E17" w:rsidRDefault="001D149B" w:rsidP="290CB1C0">
      <w:pPr>
        <w:pStyle w:val="ListParagraph"/>
        <w:numPr>
          <w:ilvl w:val="0"/>
          <w:numId w:val="8"/>
        </w:numPr>
        <w:ind w:left="1440"/>
        <w:jc w:val="both"/>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lastRenderedPageBreak/>
        <w:t xml:space="preserve">Resultados individuales y estructurales del caso </w:t>
      </w:r>
    </w:p>
    <w:p w14:paraId="369D6ED6" w14:textId="77777777" w:rsidR="001D149B" w:rsidRPr="008A5E17" w:rsidRDefault="001D149B" w:rsidP="001D149B">
      <w:pPr>
        <w:jc w:val="both"/>
        <w:rPr>
          <w:rFonts w:ascii="Cambria" w:hAnsi="Cambria"/>
          <w:color w:val="000000" w:themeColor="text1"/>
          <w:sz w:val="20"/>
          <w:szCs w:val="20"/>
          <w:lang w:val="es-ES"/>
        </w:rPr>
      </w:pPr>
    </w:p>
    <w:p w14:paraId="50B1D6DE" w14:textId="77777777" w:rsidR="001D149B" w:rsidRPr="008A5E17" w:rsidRDefault="001D149B" w:rsidP="001D149B">
      <w:pPr>
        <w:pStyle w:val="ListParagraph"/>
        <w:numPr>
          <w:ilvl w:val="0"/>
          <w:numId w:val="9"/>
        </w:numPr>
        <w:ind w:left="0" w:firstLine="720"/>
        <w:jc w:val="both"/>
        <w:rPr>
          <w:rFonts w:ascii="Cambria" w:hAnsi="Cambria"/>
          <w:color w:val="000000" w:themeColor="text1"/>
          <w:sz w:val="20"/>
          <w:szCs w:val="20"/>
          <w:lang w:val="es-ES"/>
        </w:rPr>
      </w:pPr>
      <w:r w:rsidRPr="290CB1C0">
        <w:rPr>
          <w:rFonts w:ascii="Cambria" w:hAnsi="Cambria"/>
          <w:color w:val="000000" w:themeColor="text1"/>
          <w:sz w:val="20"/>
          <w:szCs w:val="20"/>
          <w:lang w:val="es-ES"/>
        </w:rPr>
        <w:t xml:space="preserve">En esta sección se destacan los resultados individuales y estructurales informados por las partes. </w:t>
      </w:r>
    </w:p>
    <w:p w14:paraId="518CD54B" w14:textId="77777777" w:rsidR="001D149B" w:rsidRPr="008A5E17" w:rsidRDefault="001D149B" w:rsidP="001D149B">
      <w:pPr>
        <w:pStyle w:val="ListParagraph"/>
        <w:jc w:val="both"/>
        <w:rPr>
          <w:rFonts w:ascii="Cambria" w:hAnsi="Cambria"/>
          <w:color w:val="000000" w:themeColor="text1"/>
          <w:sz w:val="20"/>
          <w:szCs w:val="20"/>
          <w:lang w:val="es-ES"/>
        </w:rPr>
      </w:pPr>
    </w:p>
    <w:p w14:paraId="22DF8580" w14:textId="77777777" w:rsidR="001D149B" w:rsidRPr="008A5E17" w:rsidRDefault="001D149B" w:rsidP="290CB1C0">
      <w:pPr>
        <w:pStyle w:val="ListParagraph"/>
        <w:numPr>
          <w:ilvl w:val="0"/>
          <w:numId w:val="10"/>
        </w:numPr>
        <w:autoSpaceDE w:val="0"/>
        <w:autoSpaceDN w:val="0"/>
        <w:adjustRightInd w:val="0"/>
        <w:ind w:left="1440" w:hanging="720"/>
        <w:jc w:val="both"/>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Resultados individuales del caso</w:t>
      </w:r>
    </w:p>
    <w:p w14:paraId="74113E83" w14:textId="77777777" w:rsidR="001D149B" w:rsidRPr="008A5E17" w:rsidRDefault="001D149B" w:rsidP="290CB1C0">
      <w:pPr>
        <w:rPr>
          <w:rFonts w:ascii="Cambria" w:hAnsi="Cambria"/>
          <w:i/>
          <w:iCs/>
          <w:color w:val="000000" w:themeColor="text1"/>
          <w:sz w:val="20"/>
          <w:szCs w:val="20"/>
          <w:lang w:val="es-ES"/>
        </w:rPr>
      </w:pPr>
    </w:p>
    <w:p w14:paraId="54981E93" w14:textId="77777777" w:rsidR="001D149B" w:rsidRPr="008A5E17" w:rsidRDefault="001D149B" w:rsidP="290CB1C0">
      <w:pPr>
        <w:autoSpaceDE w:val="0"/>
        <w:autoSpaceDN w:val="0"/>
        <w:adjustRightInd w:val="0"/>
        <w:jc w:val="both"/>
        <w:rPr>
          <w:rFonts w:ascii="Cambria" w:hAnsi="Cambria"/>
          <w:b/>
          <w:bCs/>
          <w:color w:val="000000" w:themeColor="text1"/>
          <w:sz w:val="20"/>
          <w:szCs w:val="20"/>
          <w:lang w:val="es-ES"/>
        </w:rPr>
      </w:pPr>
      <w:r w:rsidRPr="290CB1C0">
        <w:rPr>
          <w:rFonts w:ascii="Cambria" w:hAnsi="Cambria"/>
          <w:i/>
          <w:iCs/>
          <w:color w:val="000000" w:themeColor="text1"/>
          <w:sz w:val="20"/>
          <w:szCs w:val="20"/>
          <w:lang w:val="es-ES"/>
        </w:rPr>
        <w:t>Medidas de restitución en el ejercicio del derecho</w:t>
      </w:r>
    </w:p>
    <w:p w14:paraId="6AD9D853" w14:textId="31A74462" w:rsidR="001D149B" w:rsidRPr="008A5E17" w:rsidRDefault="001D149B" w:rsidP="290CB1C0">
      <w:pPr>
        <w:pStyle w:val="ListParagraph"/>
        <w:numPr>
          <w:ilvl w:val="0"/>
          <w:numId w:val="11"/>
        </w:numPr>
        <w:shd w:val="clear" w:color="auto" w:fill="FFFFFF" w:themeFill="background1"/>
        <w:jc w:val="both"/>
        <w:rPr>
          <w:rFonts w:ascii="Cambria" w:hAnsi="Cambria"/>
          <w:color w:val="000000" w:themeColor="text1"/>
          <w:sz w:val="20"/>
          <w:szCs w:val="20"/>
          <w:lang w:val="es-ES"/>
        </w:rPr>
      </w:pPr>
      <w:r w:rsidRPr="290CB1C0">
        <w:rPr>
          <w:rFonts w:ascii="Cambria" w:hAnsi="Cambria"/>
          <w:color w:val="000000" w:themeColor="text1"/>
          <w:sz w:val="20"/>
          <w:szCs w:val="20"/>
          <w:lang w:val="es-ES"/>
        </w:rPr>
        <w:t xml:space="preserve">El 28 de enero de 2013, el Tribunal Superior conmutó las condenas de Daniel y </w:t>
      </w:r>
      <w:proofErr w:type="spellStart"/>
      <w:r w:rsidRPr="290CB1C0">
        <w:rPr>
          <w:rFonts w:ascii="Cambria" w:hAnsi="Cambria"/>
          <w:color w:val="000000" w:themeColor="text1"/>
          <w:sz w:val="20"/>
          <w:szCs w:val="20"/>
          <w:lang w:val="es-ES"/>
        </w:rPr>
        <w:t>Kornel</w:t>
      </w:r>
      <w:proofErr w:type="spellEnd"/>
      <w:r w:rsidRPr="290CB1C0">
        <w:rPr>
          <w:rFonts w:ascii="Cambria" w:hAnsi="Cambria"/>
          <w:color w:val="000000" w:themeColor="text1"/>
          <w:sz w:val="20"/>
          <w:szCs w:val="20"/>
          <w:lang w:val="es-ES"/>
        </w:rPr>
        <w:t xml:space="preserve"> </w:t>
      </w:r>
      <w:proofErr w:type="spellStart"/>
      <w:r w:rsidRPr="290CB1C0">
        <w:rPr>
          <w:rFonts w:ascii="Cambria" w:hAnsi="Cambria"/>
          <w:color w:val="000000" w:themeColor="text1"/>
          <w:sz w:val="20"/>
          <w:szCs w:val="20"/>
          <w:lang w:val="es-ES"/>
        </w:rPr>
        <w:t>Vaux</w:t>
      </w:r>
      <w:proofErr w:type="spellEnd"/>
      <w:r w:rsidRPr="290CB1C0">
        <w:rPr>
          <w:rFonts w:ascii="Cambria" w:hAnsi="Cambria"/>
          <w:color w:val="000000" w:themeColor="text1"/>
          <w:sz w:val="20"/>
          <w:szCs w:val="20"/>
          <w:lang w:val="es-ES"/>
        </w:rPr>
        <w:t xml:space="preserve"> a cadena perpetua.</w:t>
      </w:r>
    </w:p>
    <w:p w14:paraId="78F7204A" w14:textId="4A4A0D20" w:rsidR="00CE2F0D" w:rsidRPr="008A5E17" w:rsidRDefault="00CE2F0D" w:rsidP="290CB1C0">
      <w:pPr>
        <w:pStyle w:val="ListParagraph"/>
        <w:numPr>
          <w:ilvl w:val="0"/>
          <w:numId w:val="11"/>
        </w:numPr>
        <w:shd w:val="clear" w:color="auto" w:fill="FFFFFF" w:themeFill="background1"/>
        <w:jc w:val="both"/>
        <w:rPr>
          <w:rFonts w:ascii="Cambria" w:hAnsi="Cambria"/>
          <w:color w:val="000000" w:themeColor="text1"/>
          <w:sz w:val="20"/>
          <w:szCs w:val="20"/>
          <w:lang w:val="es-ES"/>
        </w:rPr>
      </w:pPr>
      <w:bookmarkStart w:id="0" w:name="_Hlk55903390"/>
      <w:r w:rsidRPr="290CB1C0">
        <w:rPr>
          <w:rFonts w:ascii="Cambria" w:hAnsi="Cambria"/>
          <w:color w:val="000000" w:themeColor="text1"/>
          <w:sz w:val="20"/>
          <w:szCs w:val="20"/>
          <w:lang w:val="es-ES"/>
        </w:rPr>
        <w:t xml:space="preserve">El 2 de diciembre de 2019, los hermanos Daniel y </w:t>
      </w:r>
      <w:proofErr w:type="spellStart"/>
      <w:r w:rsidRPr="290CB1C0">
        <w:rPr>
          <w:rFonts w:ascii="Cambria" w:hAnsi="Cambria"/>
          <w:color w:val="000000" w:themeColor="text1"/>
          <w:sz w:val="20"/>
          <w:szCs w:val="20"/>
          <w:lang w:val="es-ES"/>
        </w:rPr>
        <w:t>Kornel</w:t>
      </w:r>
      <w:proofErr w:type="spellEnd"/>
      <w:r w:rsidRPr="290CB1C0">
        <w:rPr>
          <w:rFonts w:ascii="Cambria" w:hAnsi="Cambria"/>
          <w:color w:val="000000" w:themeColor="text1"/>
          <w:sz w:val="20"/>
          <w:szCs w:val="20"/>
          <w:lang w:val="es-ES"/>
        </w:rPr>
        <w:t xml:space="preserve"> </w:t>
      </w:r>
      <w:proofErr w:type="spellStart"/>
      <w:r w:rsidRPr="290CB1C0">
        <w:rPr>
          <w:rFonts w:ascii="Cambria" w:hAnsi="Cambria"/>
          <w:color w:val="000000" w:themeColor="text1"/>
          <w:sz w:val="20"/>
          <w:szCs w:val="20"/>
          <w:lang w:val="es-ES"/>
        </w:rPr>
        <w:t>Vaux</w:t>
      </w:r>
      <w:proofErr w:type="spellEnd"/>
      <w:r w:rsidRPr="290CB1C0">
        <w:rPr>
          <w:rFonts w:ascii="Cambria" w:hAnsi="Cambria"/>
          <w:color w:val="000000" w:themeColor="text1"/>
          <w:sz w:val="20"/>
          <w:szCs w:val="20"/>
          <w:lang w:val="es-ES"/>
        </w:rPr>
        <w:t xml:space="preserve"> fueron liberados condicionalmente (</w:t>
      </w:r>
      <w:proofErr w:type="spellStart"/>
      <w:r w:rsidRPr="290CB1C0">
        <w:rPr>
          <w:rFonts w:ascii="Cambria" w:hAnsi="Cambria"/>
          <w:color w:val="000000" w:themeColor="text1"/>
          <w:sz w:val="20"/>
          <w:szCs w:val="20"/>
          <w:lang w:val="es-ES"/>
        </w:rPr>
        <w:t>parole</w:t>
      </w:r>
      <w:proofErr w:type="spellEnd"/>
      <w:r w:rsidRPr="290CB1C0">
        <w:rPr>
          <w:rFonts w:ascii="Cambria" w:hAnsi="Cambria"/>
          <w:color w:val="000000" w:themeColor="text1"/>
          <w:sz w:val="20"/>
          <w:szCs w:val="20"/>
          <w:lang w:val="es-ES"/>
        </w:rPr>
        <w:t xml:space="preserve">). </w:t>
      </w:r>
    </w:p>
    <w:bookmarkEnd w:id="0"/>
    <w:p w14:paraId="424CC9B6" w14:textId="77777777" w:rsidR="001D149B" w:rsidRPr="008A5E17" w:rsidRDefault="001D149B" w:rsidP="290CB1C0">
      <w:pPr>
        <w:pStyle w:val="ListParagraph"/>
        <w:autoSpaceDE w:val="0"/>
        <w:autoSpaceDN w:val="0"/>
        <w:adjustRightInd w:val="0"/>
        <w:jc w:val="both"/>
        <w:rPr>
          <w:rFonts w:ascii="Cambria" w:hAnsi="Cambria"/>
          <w:b/>
          <w:bCs/>
          <w:color w:val="000000" w:themeColor="text1"/>
          <w:sz w:val="20"/>
          <w:szCs w:val="20"/>
          <w:lang w:val="es-ES"/>
        </w:rPr>
      </w:pPr>
    </w:p>
    <w:p w14:paraId="202DBDC9" w14:textId="70B33120" w:rsidR="001D149B" w:rsidRPr="008A5E17" w:rsidRDefault="001D149B" w:rsidP="290CB1C0">
      <w:pPr>
        <w:pStyle w:val="ListParagraph"/>
        <w:numPr>
          <w:ilvl w:val="0"/>
          <w:numId w:val="10"/>
        </w:numPr>
        <w:autoSpaceDE w:val="0"/>
        <w:autoSpaceDN w:val="0"/>
        <w:adjustRightInd w:val="0"/>
        <w:ind w:left="1440" w:hanging="720"/>
        <w:jc w:val="both"/>
        <w:rPr>
          <w:rFonts w:ascii="Cambria" w:hAnsi="Cambria"/>
          <w:b/>
          <w:bCs/>
          <w:color w:val="000000" w:themeColor="text1"/>
          <w:sz w:val="20"/>
          <w:szCs w:val="20"/>
          <w:lang w:val="es-ES"/>
        </w:rPr>
      </w:pPr>
      <w:r w:rsidRPr="290CB1C0">
        <w:rPr>
          <w:rFonts w:ascii="Cambria" w:hAnsi="Cambria"/>
          <w:b/>
          <w:bCs/>
          <w:color w:val="000000" w:themeColor="text1"/>
          <w:sz w:val="20"/>
          <w:szCs w:val="20"/>
          <w:lang w:val="es-ES"/>
        </w:rPr>
        <w:t>Resultados estructurales del caso</w:t>
      </w:r>
    </w:p>
    <w:p w14:paraId="410195CE" w14:textId="54038313" w:rsidR="000C5C4A" w:rsidRDefault="001D149B" w:rsidP="00847DAE">
      <w:pPr>
        <w:rPr>
          <w:sz w:val="20"/>
          <w:szCs w:val="20"/>
          <w:lang w:val="es-ES"/>
        </w:rPr>
      </w:pPr>
      <w:r w:rsidRPr="290CB1C0">
        <w:rPr>
          <w:rFonts w:ascii="Cambria" w:hAnsi="Cambria"/>
          <w:color w:val="000000" w:themeColor="text1"/>
          <w:sz w:val="20"/>
          <w:szCs w:val="20"/>
          <w:lang w:val="es-ES"/>
        </w:rPr>
        <w:t>No hay resultados estructurales informados</w:t>
      </w:r>
      <w:r w:rsidRPr="290CB1C0">
        <w:rPr>
          <w:rFonts w:ascii="Times New Roman" w:hAnsi="Times New Roman"/>
          <w:lang w:val="es-CO"/>
        </w:rPr>
        <w:t xml:space="preserve"> </w:t>
      </w:r>
    </w:p>
    <w:p w14:paraId="577DB4AF" w14:textId="0C8975C5" w:rsidR="000C5C4A" w:rsidRDefault="000C5C4A" w:rsidP="008463D3">
      <w:pPr>
        <w:jc w:val="center"/>
        <w:rPr>
          <w:sz w:val="20"/>
          <w:szCs w:val="20"/>
          <w:lang w:val="es-ES"/>
        </w:rPr>
      </w:pPr>
    </w:p>
    <w:p w14:paraId="1077B207" w14:textId="5AF57781" w:rsidR="000C5C4A" w:rsidRDefault="000C5C4A" w:rsidP="008463D3">
      <w:pPr>
        <w:jc w:val="center"/>
        <w:rPr>
          <w:sz w:val="20"/>
          <w:szCs w:val="20"/>
          <w:lang w:val="es-ES"/>
        </w:rPr>
      </w:pPr>
    </w:p>
    <w:p w14:paraId="15F67C36" w14:textId="2C07F01F" w:rsidR="000C5C4A" w:rsidRDefault="000C5C4A" w:rsidP="008463D3">
      <w:pPr>
        <w:jc w:val="center"/>
        <w:rPr>
          <w:sz w:val="20"/>
          <w:szCs w:val="20"/>
          <w:lang w:val="es-ES"/>
        </w:rPr>
      </w:pPr>
    </w:p>
    <w:p w14:paraId="47939A32" w14:textId="048F4E34" w:rsidR="000C5C4A" w:rsidRDefault="000C5C4A" w:rsidP="008463D3">
      <w:pPr>
        <w:jc w:val="center"/>
        <w:rPr>
          <w:sz w:val="20"/>
          <w:szCs w:val="20"/>
          <w:lang w:val="es-ES"/>
        </w:rPr>
      </w:pPr>
    </w:p>
    <w:p w14:paraId="08B7D2CC" w14:textId="0F1E8E8A" w:rsidR="000C5C4A" w:rsidRDefault="000C5C4A" w:rsidP="008463D3">
      <w:pPr>
        <w:jc w:val="center"/>
        <w:rPr>
          <w:sz w:val="20"/>
          <w:szCs w:val="20"/>
          <w:lang w:val="es-ES"/>
        </w:rPr>
      </w:pPr>
    </w:p>
    <w:p w14:paraId="224F00FA" w14:textId="4BE53D2D" w:rsidR="000C5C4A" w:rsidRDefault="000C5C4A" w:rsidP="008463D3">
      <w:pPr>
        <w:jc w:val="center"/>
        <w:rPr>
          <w:sz w:val="20"/>
          <w:szCs w:val="20"/>
          <w:lang w:val="es-ES"/>
        </w:rPr>
      </w:pPr>
    </w:p>
    <w:p w14:paraId="3468D6B1" w14:textId="35011AFE" w:rsidR="000C5C4A" w:rsidRDefault="000C5C4A" w:rsidP="008463D3">
      <w:pPr>
        <w:jc w:val="center"/>
        <w:rPr>
          <w:sz w:val="20"/>
          <w:szCs w:val="20"/>
          <w:lang w:val="es-ES"/>
        </w:rPr>
      </w:pPr>
    </w:p>
    <w:p w14:paraId="0675622F" w14:textId="60446BBB" w:rsidR="000C5C4A" w:rsidRDefault="000C5C4A" w:rsidP="008463D3">
      <w:pPr>
        <w:jc w:val="center"/>
        <w:rPr>
          <w:sz w:val="20"/>
          <w:szCs w:val="20"/>
          <w:lang w:val="es-ES"/>
        </w:rPr>
      </w:pPr>
    </w:p>
    <w:p w14:paraId="3BE5C9CA" w14:textId="797B1096" w:rsidR="000C5C4A" w:rsidRDefault="000C5C4A" w:rsidP="008463D3">
      <w:pPr>
        <w:jc w:val="center"/>
        <w:rPr>
          <w:sz w:val="20"/>
          <w:szCs w:val="20"/>
          <w:lang w:val="es-ES"/>
        </w:rPr>
      </w:pPr>
    </w:p>
    <w:p w14:paraId="01385244" w14:textId="68B8B346" w:rsidR="000C5C4A" w:rsidRDefault="000C5C4A" w:rsidP="008463D3">
      <w:pPr>
        <w:jc w:val="center"/>
        <w:rPr>
          <w:sz w:val="20"/>
          <w:szCs w:val="20"/>
          <w:lang w:val="es-ES"/>
        </w:rPr>
      </w:pPr>
    </w:p>
    <w:p w14:paraId="10C26398" w14:textId="0C737106" w:rsidR="000C5C4A" w:rsidRDefault="000C5C4A" w:rsidP="008463D3">
      <w:pPr>
        <w:jc w:val="center"/>
        <w:rPr>
          <w:sz w:val="20"/>
          <w:szCs w:val="20"/>
          <w:lang w:val="es-ES"/>
        </w:rPr>
      </w:pPr>
    </w:p>
    <w:p w14:paraId="43C3AC80" w14:textId="44BD829E" w:rsidR="000C5C4A" w:rsidRDefault="000C5C4A" w:rsidP="008463D3">
      <w:pPr>
        <w:jc w:val="center"/>
        <w:rPr>
          <w:sz w:val="20"/>
          <w:szCs w:val="20"/>
          <w:lang w:val="es-ES"/>
        </w:rPr>
      </w:pPr>
    </w:p>
    <w:p w14:paraId="3548B241" w14:textId="40EB2CB3" w:rsidR="000C5C4A" w:rsidRDefault="000C5C4A" w:rsidP="008463D3">
      <w:pPr>
        <w:jc w:val="center"/>
        <w:rPr>
          <w:sz w:val="20"/>
          <w:szCs w:val="20"/>
          <w:lang w:val="es-ES"/>
        </w:rPr>
      </w:pPr>
    </w:p>
    <w:p w14:paraId="0FDD5607" w14:textId="393A1253" w:rsidR="000C5C4A" w:rsidRDefault="000C5C4A" w:rsidP="00847DAE">
      <w:pPr>
        <w:rPr>
          <w:sz w:val="20"/>
          <w:szCs w:val="20"/>
          <w:lang w:val="es-ES"/>
        </w:rPr>
      </w:pPr>
    </w:p>
    <w:p w14:paraId="03DDD472" w14:textId="702BC82B" w:rsidR="000C5C4A" w:rsidRDefault="000C5C4A" w:rsidP="008463D3">
      <w:pPr>
        <w:jc w:val="center"/>
        <w:rPr>
          <w:sz w:val="20"/>
          <w:szCs w:val="20"/>
          <w:lang w:val="es-ES"/>
        </w:rPr>
      </w:pPr>
    </w:p>
    <w:p w14:paraId="5AAB00A5" w14:textId="6D44B0DA" w:rsidR="000C5C4A" w:rsidRDefault="000C5C4A" w:rsidP="008463D3">
      <w:pPr>
        <w:jc w:val="center"/>
        <w:rPr>
          <w:sz w:val="20"/>
          <w:szCs w:val="20"/>
          <w:lang w:val="es-ES"/>
        </w:rPr>
      </w:pPr>
    </w:p>
    <w:p w14:paraId="0D37F02B" w14:textId="77777777" w:rsidR="000C5C4A" w:rsidRDefault="000C5C4A" w:rsidP="008463D3">
      <w:pPr>
        <w:jc w:val="center"/>
        <w:rPr>
          <w:sz w:val="20"/>
          <w:szCs w:val="20"/>
          <w:lang w:val="es-ES"/>
        </w:rPr>
      </w:pPr>
    </w:p>
    <w:sectPr w:rsidR="000C5C4A" w:rsidSect="00566CD0">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5A43" w14:textId="77777777" w:rsidR="004217C8" w:rsidRDefault="004217C8" w:rsidP="00672733">
      <w:r>
        <w:separator/>
      </w:r>
    </w:p>
  </w:endnote>
  <w:endnote w:type="continuationSeparator" w:id="0">
    <w:p w14:paraId="62999A00" w14:textId="77777777" w:rsidR="004217C8" w:rsidRDefault="004217C8"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7EC799EF"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8A5E17">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CBC0" w14:textId="77777777" w:rsidR="004217C8" w:rsidRDefault="004217C8" w:rsidP="00672733">
      <w:r>
        <w:separator/>
      </w:r>
    </w:p>
  </w:footnote>
  <w:footnote w:type="continuationSeparator" w:id="0">
    <w:p w14:paraId="4EEEB899" w14:textId="77777777" w:rsidR="004217C8" w:rsidRDefault="004217C8" w:rsidP="00672733">
      <w:r>
        <w:continuationSeparator/>
      </w:r>
    </w:p>
  </w:footnote>
  <w:footnote w:id="1">
    <w:p w14:paraId="0F3FD5BB" w14:textId="77777777" w:rsidR="001208A1" w:rsidRPr="00503AC0" w:rsidRDefault="001208A1" w:rsidP="001208A1">
      <w:pPr>
        <w:pStyle w:val="FootnoteText"/>
        <w:spacing w:after="120"/>
        <w:ind w:firstLine="720"/>
        <w:jc w:val="both"/>
        <w:rPr>
          <w:rFonts w:ascii="Cambria" w:hAnsi="Cambria"/>
          <w:sz w:val="16"/>
          <w:szCs w:val="16"/>
          <w:lang w:val="es-CO"/>
        </w:rPr>
      </w:pPr>
      <w:r>
        <w:rPr>
          <w:rStyle w:val="FootnoteReference"/>
          <w:rFonts w:ascii="Cambria" w:hAnsi="Cambria"/>
          <w:sz w:val="16"/>
          <w:szCs w:val="16"/>
          <w:lang w:val="es-ES"/>
        </w:rPr>
        <w:footnoteRef/>
      </w:r>
      <w:r w:rsidRPr="004E1C9C">
        <w:rPr>
          <w:rFonts w:ascii="Cambria" w:hAnsi="Cambria"/>
          <w:sz w:val="16"/>
          <w:szCs w:val="16"/>
          <w:lang w:val="it-IT"/>
        </w:rPr>
        <w:t xml:space="preserve"> Corte IDH, </w:t>
      </w:r>
      <w:hyperlink r:id="rId1" w:history="1">
        <w:r w:rsidRPr="004E1C9C">
          <w:rPr>
            <w:rStyle w:val="Hyperlink"/>
            <w:rFonts w:ascii="Cambria" w:hAnsi="Cambria"/>
            <w:sz w:val="16"/>
            <w:szCs w:val="16"/>
            <w:lang w:val="it-IT"/>
          </w:rPr>
          <w:t xml:space="preserve">Caso La Cantuta Vs. </w:t>
        </w:r>
        <w:r w:rsidRPr="00503AC0">
          <w:rPr>
            <w:rStyle w:val="Hyperlink"/>
            <w:rFonts w:ascii="Cambria" w:hAnsi="Cambria"/>
            <w:sz w:val="16"/>
            <w:szCs w:val="16"/>
            <w:lang w:val="es-CO"/>
          </w:rPr>
          <w:t>Perú, Sentencia de 29 de noviembre de 2006</w:t>
        </w:r>
      </w:hyperlink>
      <w:r w:rsidRPr="00503AC0">
        <w:rPr>
          <w:rFonts w:ascii="Cambria" w:hAnsi="Cambria"/>
          <w:sz w:val="16"/>
          <w:szCs w:val="16"/>
          <w:lang w:val="es-CO"/>
        </w:rPr>
        <w:t xml:space="preserve">. Serie C No. 162, </w:t>
      </w:r>
      <w:proofErr w:type="spellStart"/>
      <w:r w:rsidRPr="00503AC0">
        <w:rPr>
          <w:rFonts w:ascii="Cambria" w:hAnsi="Cambria"/>
          <w:sz w:val="16"/>
          <w:szCs w:val="16"/>
          <w:lang w:val="es-CO"/>
        </w:rPr>
        <w:t>párrs</w:t>
      </w:r>
      <w:proofErr w:type="spellEnd"/>
      <w:r w:rsidRPr="00503AC0">
        <w:rPr>
          <w:rFonts w:ascii="Cambria" w:hAnsi="Cambria"/>
          <w:sz w:val="16"/>
          <w:szCs w:val="16"/>
          <w:lang w:val="es-CO"/>
        </w:rPr>
        <w:t xml:space="preserve">. 199-200. </w:t>
      </w:r>
    </w:p>
  </w:footnote>
  <w:footnote w:id="2">
    <w:p w14:paraId="1EF72666" w14:textId="77777777" w:rsidR="001208A1" w:rsidRDefault="001208A1" w:rsidP="001208A1">
      <w:pPr>
        <w:pStyle w:val="FootnoteText"/>
        <w:spacing w:after="120"/>
        <w:ind w:firstLine="720"/>
        <w:jc w:val="both"/>
        <w:rPr>
          <w:rFonts w:ascii="Cambria" w:hAnsi="Cambria"/>
          <w:sz w:val="16"/>
          <w:szCs w:val="16"/>
          <w:lang w:val="es-ES"/>
        </w:rPr>
      </w:pPr>
      <w:r>
        <w:rPr>
          <w:rStyle w:val="FootnoteReference"/>
          <w:rFonts w:ascii="Cambria" w:hAnsi="Cambria"/>
          <w:sz w:val="16"/>
          <w:szCs w:val="16"/>
          <w:lang w:val="es-ES"/>
        </w:rPr>
        <w:footnoteRef/>
      </w:r>
      <w:r w:rsidRPr="00503AC0">
        <w:rPr>
          <w:rFonts w:ascii="Cambria" w:hAnsi="Cambria"/>
          <w:sz w:val="16"/>
          <w:szCs w:val="16"/>
          <w:lang w:val="es-CO"/>
        </w:rPr>
        <w:t xml:space="preserve"> CIDH</w:t>
      </w:r>
      <w:hyperlink r:id="rId2" w:history="1">
        <w:r w:rsidRPr="00503AC0">
          <w:rPr>
            <w:rStyle w:val="Hyperlink"/>
            <w:rFonts w:ascii="Cambria" w:hAnsi="Cambria"/>
            <w:sz w:val="16"/>
            <w:szCs w:val="16"/>
            <w:lang w:val="es-CO"/>
          </w:rPr>
          <w:t>, Lineamientos principales para una política integral de reparaciones</w:t>
        </w:r>
      </w:hyperlink>
      <w:r w:rsidRPr="00503AC0">
        <w:rPr>
          <w:rFonts w:ascii="Cambria" w:hAnsi="Cambria"/>
          <w:sz w:val="16"/>
          <w:szCs w:val="16"/>
          <w:lang w:val="es-CO"/>
        </w:rPr>
        <w:t xml:space="preserve">, 19 de febrero de 2008, OEA/Ser/L/V/II.131, doc. 1, párr. </w:t>
      </w:r>
      <w:r>
        <w:rPr>
          <w:rFonts w:ascii="Cambria" w:hAnsi="Cambria"/>
          <w:sz w:val="16"/>
          <w:szCs w:val="16"/>
          <w:lang w:val="es-ES"/>
        </w:rPr>
        <w:t xml:space="preserve">1; Asamblea General de las Naciones Unidas, </w:t>
      </w:r>
      <w:hyperlink r:id="rId3" w:history="1">
        <w:r>
          <w:rPr>
            <w:rStyle w:val="Hyperlink"/>
            <w:rFonts w:ascii="Cambria" w:hAnsi="Cambria"/>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Pr>
          <w:rFonts w:ascii="Cambria" w:hAnsi="Cambria"/>
          <w:sz w:val="16"/>
          <w:szCs w:val="16"/>
          <w:lang w:val="es-ES"/>
        </w:rPr>
        <w:t xml:space="preserve">, 16 de diciembre de 2005. A/RES/60/147. </w:t>
      </w:r>
    </w:p>
  </w:footnote>
  <w:footnote w:id="3">
    <w:p w14:paraId="0A88EB21" w14:textId="77777777" w:rsidR="001208A1" w:rsidRPr="001208A1" w:rsidRDefault="001208A1" w:rsidP="001208A1">
      <w:pPr>
        <w:pStyle w:val="FootnoteText"/>
        <w:spacing w:after="120"/>
        <w:ind w:firstLine="720"/>
        <w:jc w:val="both"/>
        <w:rPr>
          <w:rFonts w:ascii="Cambria" w:hAnsi="Cambria"/>
          <w:color w:val="000000"/>
          <w:sz w:val="16"/>
          <w:szCs w:val="16"/>
          <w:lang w:val="it-IT"/>
        </w:rPr>
      </w:pPr>
      <w:r>
        <w:rPr>
          <w:rStyle w:val="FootnoteReference"/>
          <w:rFonts w:ascii="Cambria" w:hAnsi="Cambria"/>
          <w:sz w:val="16"/>
          <w:szCs w:val="16"/>
          <w:lang w:val="es-ES"/>
        </w:rPr>
        <w:footnoteRef/>
      </w:r>
      <w:r>
        <w:rPr>
          <w:rFonts w:ascii="Cambria" w:hAnsi="Cambria"/>
          <w:sz w:val="16"/>
          <w:szCs w:val="16"/>
          <w:lang w:val="es-ES"/>
        </w:rPr>
        <w:t xml:space="preserve"> Corte IDH, </w:t>
      </w:r>
      <w:hyperlink r:id="rId4" w:history="1">
        <w:r>
          <w:rPr>
            <w:rStyle w:val="Hyperlink"/>
            <w:rFonts w:ascii="Cambria" w:hAnsi="Cambria"/>
            <w:sz w:val="16"/>
            <w:szCs w:val="16"/>
            <w:lang w:val="es-ES"/>
          </w:rPr>
          <w:t>Caso La Cantuta Vs. Perú, Sentencia de 29 de noviembre de 2006</w:t>
        </w:r>
      </w:hyperlink>
      <w:r>
        <w:rPr>
          <w:rFonts w:ascii="Cambria" w:hAnsi="Cambria"/>
          <w:sz w:val="16"/>
          <w:szCs w:val="16"/>
          <w:lang w:val="es-ES"/>
        </w:rPr>
        <w:t xml:space="preserve">. </w:t>
      </w:r>
      <w:r w:rsidRPr="001208A1">
        <w:rPr>
          <w:rFonts w:ascii="Cambria" w:hAnsi="Cambria"/>
          <w:sz w:val="16"/>
          <w:szCs w:val="16"/>
          <w:lang w:val="it-IT"/>
        </w:rPr>
        <w:t>Serie C No. 162, párr. 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A69" w14:textId="79E79E0F" w:rsidR="0093753B" w:rsidRDefault="0093753B" w:rsidP="0093753B">
    <w:pPr>
      <w:pStyle w:val="Header"/>
      <w:rPr>
        <w:rFonts w:ascii="Arial" w:hAnsi="Arial" w:cs="Arial"/>
        <w:color w:val="3B3838" w:themeColor="background2" w:themeShade="40"/>
        <w:sz w:val="22"/>
        <w:szCs w:val="28"/>
      </w:rPr>
    </w:pPr>
    <w:r>
      <w:rPr>
        <w:noProof/>
      </w:rPr>
      <w:drawing>
        <wp:anchor distT="0" distB="0" distL="114300" distR="114300" simplePos="0" relativeHeight="251671552" behindDoc="0" locked="0" layoutInCell="1" allowOverlap="1" wp14:anchorId="79ED79FA" wp14:editId="5181C176">
          <wp:simplePos x="0" y="0"/>
          <wp:positionH relativeFrom="column">
            <wp:posOffset>4658995</wp:posOffset>
          </wp:positionH>
          <wp:positionV relativeFrom="paragraph">
            <wp:posOffset>-3175</wp:posOffset>
          </wp:positionV>
          <wp:extent cx="1485900" cy="346075"/>
          <wp:effectExtent l="0" t="0" r="0" b="0"/>
          <wp:wrapSquare wrapText="bothSides"/>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29501A" wp14:editId="4D422C2E">
          <wp:extent cx="1333500" cy="314325"/>
          <wp:effectExtent l="0" t="0" r="0" b="952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434C1D99" w14:textId="27753254" w:rsidR="0093753B" w:rsidRDefault="0093753B" w:rsidP="0093753B">
    <w:pPr>
      <w:pStyle w:val="Header"/>
      <w:rPr>
        <w:rFonts w:ascii="Arial" w:hAnsi="Arial" w:cs="Arial"/>
        <w:b/>
        <w:bCs/>
        <w:color w:val="404040" w:themeColor="text1" w:themeTint="BF"/>
        <w:sz w:val="44"/>
        <w:szCs w:val="44"/>
        <w:lang w:val="es-ES"/>
      </w:rPr>
    </w:pPr>
    <w:r>
      <w:rPr>
        <w:noProof/>
      </w:rPr>
      <mc:AlternateContent>
        <mc:Choice Requires="wps">
          <w:drawing>
            <wp:anchor distT="0" distB="0" distL="114300" distR="114300" simplePos="0" relativeHeight="251670528" behindDoc="0" locked="0" layoutInCell="1" allowOverlap="1" wp14:anchorId="266D6E33" wp14:editId="0A562FD2">
              <wp:simplePos x="0" y="0"/>
              <wp:positionH relativeFrom="column">
                <wp:posOffset>-5080</wp:posOffset>
              </wp:positionH>
              <wp:positionV relativeFrom="paragraph">
                <wp:posOffset>173990</wp:posOffset>
              </wp:positionV>
              <wp:extent cx="61480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64919"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CEA6" w14:textId="37AD71B0" w:rsidR="009634D2" w:rsidRDefault="009634D2" w:rsidP="009634D2">
    <w:pPr>
      <w:pStyle w:val="Header"/>
      <w:spacing w:line="216" w:lineRule="auto"/>
      <w:rPr>
        <w:rFonts w:ascii="Arial" w:hAnsi="Arial" w:cs="Arial"/>
        <w:color w:val="3B3838"/>
        <w:sz w:val="28"/>
        <w:szCs w:val="28"/>
        <w:lang w:val="es-ES"/>
      </w:rPr>
    </w:pPr>
    <w:r>
      <w:rPr>
        <w:noProof/>
      </w:rPr>
      <w:drawing>
        <wp:anchor distT="0" distB="0" distL="114300" distR="114300" simplePos="0" relativeHeight="251667456" behindDoc="0" locked="0" layoutInCell="1" allowOverlap="1" wp14:anchorId="3D1D7C3F" wp14:editId="3D63C5F1">
          <wp:simplePos x="0" y="0"/>
          <wp:positionH relativeFrom="column">
            <wp:posOffset>4088765</wp:posOffset>
          </wp:positionH>
          <wp:positionV relativeFrom="paragraph">
            <wp:posOffset>72390</wp:posOffset>
          </wp:positionV>
          <wp:extent cx="2183130" cy="508635"/>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2F34638A" wp14:editId="60067008">
              <wp:simplePos x="0" y="0"/>
              <wp:positionH relativeFrom="column">
                <wp:posOffset>-166370</wp:posOffset>
              </wp:positionH>
              <wp:positionV relativeFrom="paragraph">
                <wp:posOffset>48895</wp:posOffset>
              </wp:positionV>
              <wp:extent cx="2936875" cy="6648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0D3BCFE9" w14:textId="37FD6D7F" w:rsidR="009634D2" w:rsidRDefault="009634D2" w:rsidP="009634D2">
                          <w:r w:rsidRPr="00AD498E">
                            <w:rPr>
                              <w:noProof/>
                            </w:rPr>
                            <w:drawing>
                              <wp:inline distT="0" distB="0" distL="0" distR="0" wp14:anchorId="09C2B238" wp14:editId="19504896">
                                <wp:extent cx="2021205" cy="468630"/>
                                <wp:effectExtent l="0" t="0" r="0" b="7620"/>
                                <wp:docPr id="7" name="Picture 7"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1205" cy="468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34638A" id="_x0000_t202" coordsize="21600,21600" o:spt="202" path="m,l,21600r21600,l21600,xe">
              <v:stroke joinstyle="miter"/>
              <v:path gradientshapeok="t" o:connecttype="rect"/>
            </v:shapetype>
            <v:shape id="Text Box 9" o:spid="_x0000_s1026" type="#_x0000_t202" style="position:absolute;margin-left:-13.1pt;margin-top:3.85pt;width:231.2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0D3BCFE9" w14:textId="37FD6D7F" w:rsidR="009634D2" w:rsidRDefault="009634D2" w:rsidP="009634D2">
                    <w:r w:rsidRPr="00AD498E">
                      <w:rPr>
                        <w:noProof/>
                      </w:rPr>
                      <w:drawing>
                        <wp:inline distT="0" distB="0" distL="0" distR="0" wp14:anchorId="09C2B238" wp14:editId="19504896">
                          <wp:extent cx="2021205" cy="468630"/>
                          <wp:effectExtent l="0" t="0" r="0" b="7620"/>
                          <wp:docPr id="7" name="Picture 7"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1205" cy="468630"/>
                                  </a:xfrm>
                                  <a:prstGeom prst="rect">
                                    <a:avLst/>
                                  </a:prstGeom>
                                  <a:noFill/>
                                  <a:ln>
                                    <a:noFill/>
                                  </a:ln>
                                </pic:spPr>
                              </pic:pic>
                            </a:graphicData>
                          </a:graphic>
                        </wp:inline>
                      </w:drawing>
                    </w:r>
                  </w:p>
                </w:txbxContent>
              </v:textbox>
            </v:shape>
          </w:pict>
        </mc:Fallback>
      </mc:AlternateContent>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p>
  <w:p w14:paraId="093B8834" w14:textId="77777777" w:rsidR="009634D2" w:rsidRPr="00AD498E" w:rsidRDefault="009634D2" w:rsidP="009634D2">
    <w:pPr>
      <w:pStyle w:val="Header"/>
      <w:spacing w:line="216" w:lineRule="auto"/>
      <w:rPr>
        <w:rFonts w:ascii="Arial" w:hAnsi="Arial" w:cs="Arial"/>
        <w:color w:val="3B3838"/>
        <w:sz w:val="28"/>
        <w:szCs w:val="28"/>
        <w:lang w:val="es-ES"/>
      </w:rPr>
    </w:pPr>
  </w:p>
  <w:p w14:paraId="4BE4FAD2" w14:textId="77777777" w:rsidR="009634D2" w:rsidRDefault="009634D2" w:rsidP="009634D2">
    <w:pPr>
      <w:pStyle w:val="Header"/>
      <w:spacing w:line="216" w:lineRule="auto"/>
      <w:rPr>
        <w:rFonts w:ascii="Arial" w:hAnsi="Arial" w:cs="Arial"/>
        <w:b/>
        <w:bCs/>
        <w:color w:val="404040"/>
        <w:sz w:val="44"/>
        <w:szCs w:val="44"/>
        <w:lang w:val="es-ES"/>
      </w:rPr>
    </w:pP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3839D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250B5432"/>
    <w:multiLevelType w:val="hybridMultilevel"/>
    <w:tmpl w:val="803AC4DE"/>
    <w:lvl w:ilvl="0" w:tplc="FE467348">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A535B60"/>
    <w:multiLevelType w:val="hybridMultilevel"/>
    <w:tmpl w:val="EF4A7054"/>
    <w:lvl w:ilvl="0" w:tplc="137A879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2F2"/>
    <w:multiLevelType w:val="hybridMultilevel"/>
    <w:tmpl w:val="570CF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4C216337"/>
    <w:multiLevelType w:val="hybridMultilevel"/>
    <w:tmpl w:val="8196C2FA"/>
    <w:lvl w:ilvl="0" w:tplc="8ADC9432">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0A07D1"/>
    <w:multiLevelType w:val="hybridMultilevel"/>
    <w:tmpl w:val="ABBA8D18"/>
    <w:lvl w:ilvl="0" w:tplc="36DC0F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537545"/>
    <w:multiLevelType w:val="hybridMultilevel"/>
    <w:tmpl w:val="67602A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161848667">
    <w:abstractNumId w:val="7"/>
  </w:num>
  <w:num w:numId="2" w16cid:durableId="171189907">
    <w:abstractNumId w:val="12"/>
  </w:num>
  <w:num w:numId="3" w16cid:durableId="476072492">
    <w:abstractNumId w:val="10"/>
  </w:num>
  <w:num w:numId="4" w16cid:durableId="659889300">
    <w:abstractNumId w:val="2"/>
  </w:num>
  <w:num w:numId="5" w16cid:durableId="2036999136">
    <w:abstractNumId w:val="1"/>
  </w:num>
  <w:num w:numId="6" w16cid:durableId="307588140">
    <w:abstractNumId w:val="4"/>
  </w:num>
  <w:num w:numId="7" w16cid:durableId="1600261862">
    <w:abstractNumId w:val="0"/>
  </w:num>
  <w:num w:numId="8" w16cid:durableId="1895584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075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0575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8848299">
    <w:abstractNumId w:val="6"/>
  </w:num>
  <w:num w:numId="12" w16cid:durableId="1115826692">
    <w:abstractNumId w:val="5"/>
  </w:num>
  <w:num w:numId="13" w16cid:durableId="535431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77CB2"/>
    <w:rsid w:val="000968F4"/>
    <w:rsid w:val="000A28FE"/>
    <w:rsid w:val="000B5E1D"/>
    <w:rsid w:val="000C5C4A"/>
    <w:rsid w:val="00102F7D"/>
    <w:rsid w:val="001208A1"/>
    <w:rsid w:val="001A3C1C"/>
    <w:rsid w:val="001D149B"/>
    <w:rsid w:val="00214897"/>
    <w:rsid w:val="0022157E"/>
    <w:rsid w:val="002922D8"/>
    <w:rsid w:val="00322720"/>
    <w:rsid w:val="003754CE"/>
    <w:rsid w:val="004129CA"/>
    <w:rsid w:val="004217C8"/>
    <w:rsid w:val="00453115"/>
    <w:rsid w:val="0048723C"/>
    <w:rsid w:val="004A23D5"/>
    <w:rsid w:val="004D7A51"/>
    <w:rsid w:val="004E1C9C"/>
    <w:rsid w:val="00503AC0"/>
    <w:rsid w:val="00504BEE"/>
    <w:rsid w:val="005076E2"/>
    <w:rsid w:val="00566CD0"/>
    <w:rsid w:val="00580383"/>
    <w:rsid w:val="00620B6F"/>
    <w:rsid w:val="00636DEF"/>
    <w:rsid w:val="00637ED3"/>
    <w:rsid w:val="006638E5"/>
    <w:rsid w:val="00672733"/>
    <w:rsid w:val="00692DFB"/>
    <w:rsid w:val="006B1F24"/>
    <w:rsid w:val="00722841"/>
    <w:rsid w:val="00726DF2"/>
    <w:rsid w:val="008463D3"/>
    <w:rsid w:val="00847DAE"/>
    <w:rsid w:val="00853318"/>
    <w:rsid w:val="00856D64"/>
    <w:rsid w:val="008818B0"/>
    <w:rsid w:val="008A5E17"/>
    <w:rsid w:val="0093753B"/>
    <w:rsid w:val="009634D2"/>
    <w:rsid w:val="009B322A"/>
    <w:rsid w:val="00AB102E"/>
    <w:rsid w:val="00B246B9"/>
    <w:rsid w:val="00B40C6B"/>
    <w:rsid w:val="00BB0D06"/>
    <w:rsid w:val="00C06B7D"/>
    <w:rsid w:val="00C45AA2"/>
    <w:rsid w:val="00C61789"/>
    <w:rsid w:val="00CE2F0D"/>
    <w:rsid w:val="00D47AD1"/>
    <w:rsid w:val="00D56DC4"/>
    <w:rsid w:val="00D9081F"/>
    <w:rsid w:val="00DA3686"/>
    <w:rsid w:val="00DC6E2F"/>
    <w:rsid w:val="00E042FE"/>
    <w:rsid w:val="00E516AB"/>
    <w:rsid w:val="00E90CB3"/>
    <w:rsid w:val="00E94EB4"/>
    <w:rsid w:val="00EB599B"/>
    <w:rsid w:val="00EE59A3"/>
    <w:rsid w:val="00F17298"/>
    <w:rsid w:val="00F444EF"/>
    <w:rsid w:val="00F93EBB"/>
    <w:rsid w:val="00F9714F"/>
    <w:rsid w:val="290CB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semiHidden/>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semiHidden/>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styleId="Hyperlink">
    <w:name w:val="Hyperlink"/>
    <w:basedOn w:val="DefaultParagraphFont"/>
    <w:uiPriority w:val="99"/>
    <w:semiHidden/>
    <w:unhideWhenUsed/>
    <w:rsid w:val="001D149B"/>
    <w:rPr>
      <w:color w:val="0563C1" w:themeColor="hyperlink"/>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1D149B"/>
  </w:style>
  <w:style w:type="paragraph" w:customStyle="1" w:styleId="Appelnotedebasde">
    <w:name w:val="Appel note de bas de..."/>
    <w:basedOn w:val="Normal"/>
    <w:link w:val="FootnoteReference"/>
    <w:uiPriority w:val="99"/>
    <w:rsid w:val="001D149B"/>
    <w:pPr>
      <w:spacing w:after="160" w:line="240" w:lineRule="exact"/>
    </w:pPr>
    <w:rPr>
      <w:vertAlign w:val="superscript"/>
    </w:rPr>
  </w:style>
  <w:style w:type="paragraph" w:styleId="BalloonText">
    <w:name w:val="Balloon Text"/>
    <w:basedOn w:val="Normal"/>
    <w:link w:val="BalloonTextChar"/>
    <w:uiPriority w:val="99"/>
    <w:semiHidden/>
    <w:unhideWhenUsed/>
    <w:rsid w:val="00DA3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686"/>
    <w:rPr>
      <w:rFonts w:ascii="Segoe UI" w:hAnsi="Segoe UI" w:cs="Segoe UI"/>
      <w:sz w:val="18"/>
      <w:szCs w:val="18"/>
    </w:rPr>
  </w:style>
  <w:style w:type="character" w:styleId="CommentReference">
    <w:name w:val="annotation reference"/>
    <w:basedOn w:val="DefaultParagraphFont"/>
    <w:uiPriority w:val="99"/>
    <w:semiHidden/>
    <w:unhideWhenUsed/>
    <w:rsid w:val="00DA3686"/>
    <w:rPr>
      <w:sz w:val="16"/>
      <w:szCs w:val="16"/>
    </w:rPr>
  </w:style>
  <w:style w:type="paragraph" w:styleId="CommentText">
    <w:name w:val="annotation text"/>
    <w:basedOn w:val="Normal"/>
    <w:link w:val="CommentTextChar"/>
    <w:uiPriority w:val="99"/>
    <w:unhideWhenUsed/>
    <w:rsid w:val="00DA3686"/>
    <w:rPr>
      <w:sz w:val="20"/>
      <w:szCs w:val="20"/>
    </w:rPr>
  </w:style>
  <w:style w:type="character" w:customStyle="1" w:styleId="CommentTextChar">
    <w:name w:val="Comment Text Char"/>
    <w:basedOn w:val="DefaultParagraphFont"/>
    <w:link w:val="CommentText"/>
    <w:uiPriority w:val="99"/>
    <w:rsid w:val="00DA3686"/>
    <w:rPr>
      <w:sz w:val="20"/>
      <w:szCs w:val="20"/>
    </w:rPr>
  </w:style>
  <w:style w:type="paragraph" w:styleId="CommentSubject">
    <w:name w:val="annotation subject"/>
    <w:basedOn w:val="CommentText"/>
    <w:next w:val="CommentText"/>
    <w:link w:val="CommentSubjectChar"/>
    <w:uiPriority w:val="99"/>
    <w:semiHidden/>
    <w:unhideWhenUsed/>
    <w:rsid w:val="00DA3686"/>
    <w:rPr>
      <w:b/>
      <w:bCs/>
    </w:rPr>
  </w:style>
  <w:style w:type="character" w:customStyle="1" w:styleId="CommentSubjectChar">
    <w:name w:val="Comment Subject Char"/>
    <w:basedOn w:val="CommentTextChar"/>
    <w:link w:val="CommentSubject"/>
    <w:uiPriority w:val="99"/>
    <w:semiHidden/>
    <w:rsid w:val="00DA3686"/>
    <w:rPr>
      <w:b/>
      <w:bCs/>
      <w:sz w:val="20"/>
      <w:szCs w:val="20"/>
    </w:rPr>
  </w:style>
  <w:style w:type="paragraph" w:styleId="PlainText">
    <w:name w:val="Plain Text"/>
    <w:basedOn w:val="Normal"/>
    <w:link w:val="PlainTextChar"/>
    <w:uiPriority w:val="99"/>
    <w:unhideWhenUsed/>
    <w:rsid w:val="002922D8"/>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2922D8"/>
    <w:rPr>
      <w:rFonts w:ascii="Calibri" w:eastAsia="Times New Roman"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2820">
      <w:bodyDiv w:val="1"/>
      <w:marLeft w:val="0"/>
      <w:marRight w:val="0"/>
      <w:marTop w:val="0"/>
      <w:marBottom w:val="0"/>
      <w:divBdr>
        <w:top w:val="none" w:sz="0" w:space="0" w:color="auto"/>
        <w:left w:val="none" w:sz="0" w:space="0" w:color="auto"/>
        <w:bottom w:val="none" w:sz="0" w:space="0" w:color="auto"/>
        <w:right w:val="none" w:sz="0" w:space="0" w:color="auto"/>
      </w:divBdr>
    </w:div>
    <w:div w:id="1608655919">
      <w:bodyDiv w:val="1"/>
      <w:marLeft w:val="0"/>
      <w:marRight w:val="0"/>
      <w:marTop w:val="0"/>
      <w:marBottom w:val="0"/>
      <w:divBdr>
        <w:top w:val="none" w:sz="0" w:space="0" w:color="auto"/>
        <w:left w:val="none" w:sz="0" w:space="0" w:color="auto"/>
        <w:bottom w:val="none" w:sz="0" w:space="0" w:color="auto"/>
        <w:right w:val="none" w:sz="0" w:space="0" w:color="auto"/>
      </w:divBdr>
    </w:div>
    <w:div w:id="17558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7sp/Guyana12504sp.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p/professionalinterest/pages/remedyandreparation.aspx" TargetMode="External"/><Relationship Id="rId2" Type="http://schemas.openxmlformats.org/officeDocument/2006/relationships/hyperlink" Target="http://www.cidh.org/pdf%20files/Lineamientos%20principales%20para%20una%20pol%C3%ADtica%20integral%20de%20reparaciones.pdf" TargetMode="External"/><Relationship Id="rId1" Type="http://schemas.openxmlformats.org/officeDocument/2006/relationships/hyperlink" Target="http://www.corteidh.or.cr/docs/casos/articulos/seriec_162_esp.pdf" TargetMode="External"/><Relationship Id="rId4" Type="http://schemas.openxmlformats.org/officeDocument/2006/relationships/hyperlink" Target="http://www.corteidh.or.cr/docs/casos/articulos/seriec_162_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EE7C-4BD5-496A-9684-C295E63E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2022-04-21T14:04:00Z</dcterms:created>
  <dcterms:modified xsi:type="dcterms:W3CDTF">2022-04-21T14:06:00Z</dcterms:modified>
</cp:coreProperties>
</file>