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B203" w14:textId="5FFDC062" w:rsidR="003B1BF9" w:rsidRPr="00491517" w:rsidRDefault="003B1BF9" w:rsidP="003B1BF9">
      <w:pPr>
        <w:pStyle w:val="NoSpacing"/>
        <w:ind w:right="-72"/>
        <w:rPr>
          <w:rFonts w:ascii="Cambria" w:hAnsi="Cambria"/>
          <w:b/>
          <w:color w:val="000000" w:themeColor="text1"/>
          <w:sz w:val="20"/>
          <w:szCs w:val="20"/>
          <w:lang w:val="es-ES"/>
        </w:rPr>
      </w:pPr>
    </w:p>
    <w:p w14:paraId="773EEBB2" w14:textId="77777777" w:rsidR="002E4A29" w:rsidRPr="00491517" w:rsidRDefault="002E4A29" w:rsidP="003B1BF9">
      <w:pPr>
        <w:pStyle w:val="NoSpacing"/>
        <w:ind w:right="-72"/>
        <w:rPr>
          <w:rFonts w:ascii="Cambria" w:hAnsi="Cambria"/>
          <w:b/>
          <w:color w:val="000000" w:themeColor="text1"/>
          <w:sz w:val="20"/>
          <w:szCs w:val="20"/>
          <w:lang w:val="es-ES"/>
        </w:rPr>
      </w:pPr>
    </w:p>
    <w:p w14:paraId="10952EFA" w14:textId="56AD53CF" w:rsidR="00842B44" w:rsidRPr="00491517" w:rsidRDefault="00842B44" w:rsidP="00583A43">
      <w:pPr>
        <w:pStyle w:val="NoSpacing"/>
        <w:ind w:right="-72"/>
        <w:jc w:val="center"/>
        <w:rPr>
          <w:rFonts w:ascii="Cambria" w:hAnsi="Cambria"/>
          <w:b/>
          <w:color w:val="000000" w:themeColor="text1"/>
          <w:sz w:val="20"/>
          <w:szCs w:val="20"/>
          <w:lang w:val="es-ES"/>
        </w:rPr>
      </w:pPr>
      <w:r w:rsidRPr="00491517">
        <w:rPr>
          <w:rFonts w:ascii="Cambria" w:hAnsi="Cambria"/>
          <w:b/>
          <w:color w:val="000000" w:themeColor="text1"/>
          <w:sz w:val="20"/>
          <w:szCs w:val="20"/>
          <w:lang w:val="es-ES"/>
        </w:rPr>
        <w:t>FICHA DE SEGUIMIENTO</w:t>
      </w:r>
    </w:p>
    <w:p w14:paraId="345604AC" w14:textId="3F83DF62" w:rsidR="002D1101" w:rsidRPr="00491517" w:rsidRDefault="00842B44" w:rsidP="000865BB">
      <w:pPr>
        <w:pStyle w:val="NoSpacing"/>
        <w:ind w:right="-72"/>
        <w:jc w:val="center"/>
        <w:rPr>
          <w:rFonts w:ascii="Cambria" w:hAnsi="Cambria"/>
          <w:b/>
          <w:color w:val="000000" w:themeColor="text1"/>
          <w:sz w:val="20"/>
          <w:szCs w:val="20"/>
          <w:lang w:val="es-ES"/>
        </w:rPr>
      </w:pPr>
      <w:bookmarkStart w:id="0" w:name="_Hlk88149206"/>
      <w:r w:rsidRPr="00491517">
        <w:rPr>
          <w:rFonts w:ascii="Cambria" w:hAnsi="Cambria"/>
          <w:b/>
          <w:color w:val="000000" w:themeColor="text1"/>
          <w:sz w:val="20"/>
          <w:szCs w:val="20"/>
          <w:lang w:val="es-ES"/>
        </w:rPr>
        <w:t xml:space="preserve">CASOS </w:t>
      </w:r>
      <w:r w:rsidR="002D1101" w:rsidRPr="00491517">
        <w:rPr>
          <w:rFonts w:ascii="Cambria" w:hAnsi="Cambria"/>
          <w:b/>
          <w:color w:val="000000" w:themeColor="text1"/>
          <w:sz w:val="20"/>
          <w:szCs w:val="20"/>
          <w:lang w:val="es-ES"/>
        </w:rPr>
        <w:t>CON INFORMES DE FONDO PUBLICADOS</w:t>
      </w:r>
    </w:p>
    <w:p w14:paraId="687F36F6" w14:textId="560322A3" w:rsidR="00842B44" w:rsidRPr="00491517" w:rsidRDefault="00842B44" w:rsidP="00162CB2">
      <w:pPr>
        <w:pStyle w:val="NoSpacing"/>
        <w:ind w:right="-72"/>
        <w:jc w:val="center"/>
        <w:rPr>
          <w:rFonts w:ascii="Cambria" w:hAnsi="Cambria"/>
          <w:b/>
          <w:color w:val="000000" w:themeColor="text1"/>
          <w:sz w:val="20"/>
          <w:szCs w:val="20"/>
          <w:lang w:val="es-ES"/>
        </w:rPr>
      </w:pPr>
      <w:r w:rsidRPr="00491517">
        <w:rPr>
          <w:rFonts w:ascii="Cambria" w:hAnsi="Cambria"/>
          <w:b/>
          <w:color w:val="000000" w:themeColor="text1"/>
          <w:sz w:val="20"/>
          <w:szCs w:val="20"/>
          <w:lang w:val="es-ES"/>
        </w:rPr>
        <w:t>LITERALES C Y D DE</w:t>
      </w:r>
      <w:r w:rsidR="00B770FD" w:rsidRPr="00491517">
        <w:rPr>
          <w:rFonts w:ascii="Cambria" w:hAnsi="Cambria"/>
          <w:b/>
          <w:color w:val="000000" w:themeColor="text1"/>
          <w:sz w:val="20"/>
          <w:szCs w:val="20"/>
          <w:lang w:val="es-ES"/>
        </w:rPr>
        <w:t>L</w:t>
      </w:r>
      <w:r w:rsidRPr="00491517">
        <w:rPr>
          <w:rFonts w:ascii="Cambria" w:hAnsi="Cambria"/>
          <w:b/>
          <w:color w:val="000000" w:themeColor="text1"/>
          <w:sz w:val="20"/>
          <w:szCs w:val="20"/>
          <w:lang w:val="es-ES"/>
        </w:rPr>
        <w:t xml:space="preserve"> COMUNICADO DE PRENSA CONJUNT</w:t>
      </w:r>
      <w:r w:rsidR="00162CB2" w:rsidRPr="00491517">
        <w:rPr>
          <w:rFonts w:ascii="Cambria" w:hAnsi="Cambria"/>
          <w:b/>
          <w:color w:val="000000" w:themeColor="text1"/>
          <w:sz w:val="20"/>
          <w:szCs w:val="20"/>
          <w:lang w:val="es-ES"/>
        </w:rPr>
        <w:t xml:space="preserve">O </w:t>
      </w:r>
      <w:r w:rsidRPr="00491517">
        <w:rPr>
          <w:rFonts w:ascii="Cambria" w:hAnsi="Cambria"/>
          <w:b/>
          <w:color w:val="000000" w:themeColor="text1"/>
          <w:sz w:val="20"/>
          <w:szCs w:val="20"/>
          <w:lang w:val="es-ES"/>
        </w:rPr>
        <w:t>P-1193-CA</w:t>
      </w:r>
    </w:p>
    <w:p w14:paraId="736C63F7" w14:textId="77777777" w:rsidR="00842B44" w:rsidRPr="00491517" w:rsidRDefault="00842B44" w:rsidP="000865BB">
      <w:pPr>
        <w:pStyle w:val="NoSpacing"/>
        <w:ind w:right="-72"/>
        <w:jc w:val="center"/>
        <w:rPr>
          <w:rFonts w:ascii="Cambria" w:hAnsi="Cambria"/>
          <w:b/>
          <w:color w:val="000000" w:themeColor="text1"/>
          <w:sz w:val="20"/>
          <w:szCs w:val="20"/>
          <w:lang w:val="es-ES"/>
        </w:rPr>
      </w:pPr>
      <w:r w:rsidRPr="00491517">
        <w:rPr>
          <w:rFonts w:ascii="Cambria" w:hAnsi="Cambria"/>
          <w:b/>
          <w:color w:val="000000" w:themeColor="text1"/>
          <w:sz w:val="20"/>
          <w:szCs w:val="20"/>
          <w:lang w:val="es-ES"/>
        </w:rPr>
        <w:t>(Perú)</w:t>
      </w:r>
    </w:p>
    <w:bookmarkEnd w:id="0"/>
    <w:p w14:paraId="2043EA73" w14:textId="77777777" w:rsidR="00842B44" w:rsidRPr="00491517" w:rsidRDefault="00842B44" w:rsidP="00B537A7">
      <w:pPr>
        <w:pStyle w:val="NoSpacing"/>
        <w:ind w:left="-900" w:right="-784"/>
        <w:jc w:val="both"/>
        <w:rPr>
          <w:rFonts w:ascii="Cambria" w:hAnsi="Cambria"/>
          <w:color w:val="000000" w:themeColor="text1"/>
          <w:sz w:val="20"/>
          <w:szCs w:val="20"/>
          <w:lang w:val="es-ES"/>
        </w:rPr>
      </w:pPr>
    </w:p>
    <w:p w14:paraId="68861105" w14:textId="77777777" w:rsidR="00842B44" w:rsidRPr="00491517" w:rsidRDefault="00842B44" w:rsidP="00B537A7">
      <w:pPr>
        <w:numPr>
          <w:ilvl w:val="0"/>
          <w:numId w:val="2"/>
        </w:numPr>
        <w:spacing w:after="0" w:line="240" w:lineRule="auto"/>
        <w:ind w:left="1440"/>
        <w:jc w:val="both"/>
        <w:rPr>
          <w:rFonts w:ascii="Cambria" w:hAnsi="Cambria" w:cs="Calibri Light"/>
          <w:b/>
          <w:color w:val="000000" w:themeColor="text1"/>
          <w:sz w:val="20"/>
          <w:szCs w:val="20"/>
          <w:lang w:val="es-US"/>
        </w:rPr>
      </w:pPr>
      <w:r w:rsidRPr="00491517">
        <w:rPr>
          <w:rFonts w:ascii="Cambria" w:hAnsi="Cambria" w:cs="Calibri Light"/>
          <w:b/>
          <w:color w:val="000000" w:themeColor="text1"/>
          <w:sz w:val="20"/>
          <w:szCs w:val="20"/>
          <w:lang w:val="es-US"/>
        </w:rPr>
        <w:t>Resumen de los hechos</w:t>
      </w:r>
    </w:p>
    <w:p w14:paraId="7A47E573" w14:textId="77777777" w:rsidR="00842B44" w:rsidRPr="00491517" w:rsidRDefault="00842B44" w:rsidP="00B537A7">
      <w:pPr>
        <w:spacing w:after="0" w:line="240" w:lineRule="auto"/>
        <w:ind w:left="1440"/>
        <w:jc w:val="both"/>
        <w:rPr>
          <w:rFonts w:ascii="Cambria" w:hAnsi="Cambria" w:cs="Calibri Light"/>
          <w:b/>
          <w:color w:val="000000" w:themeColor="text1"/>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828"/>
      </w:tblGrid>
      <w:tr w:rsidR="00491517" w:rsidRPr="00A36C6E" w14:paraId="24774581" w14:textId="77777777" w:rsidTr="003365D7">
        <w:trPr>
          <w:jc w:val="center"/>
        </w:trPr>
        <w:tc>
          <w:tcPr>
            <w:tcW w:w="9576" w:type="dxa"/>
            <w:shd w:val="clear" w:color="auto" w:fill="F2F2F2"/>
          </w:tcPr>
          <w:p w14:paraId="0B9EF9A2" w14:textId="4CE45F6C" w:rsidR="00685477" w:rsidRPr="00491517" w:rsidRDefault="00006179" w:rsidP="00B537A7">
            <w:pPr>
              <w:pStyle w:val="NoSpacing"/>
              <w:spacing w:before="120"/>
              <w:jc w:val="both"/>
              <w:rPr>
                <w:rFonts w:ascii="Cambria" w:hAnsi="Cambria"/>
                <w:bCs/>
                <w:color w:val="000000" w:themeColor="text1"/>
                <w:sz w:val="20"/>
                <w:szCs w:val="20"/>
                <w:lang w:val="es-CO"/>
              </w:rPr>
            </w:pPr>
            <w:r w:rsidRPr="00491517">
              <w:rPr>
                <w:rFonts w:ascii="Cambria" w:hAnsi="Cambria"/>
                <w:b/>
                <w:color w:val="000000" w:themeColor="text1"/>
                <w:sz w:val="20"/>
                <w:szCs w:val="20"/>
                <w:lang w:val="es-ES"/>
              </w:rPr>
              <w:t>H</w:t>
            </w:r>
            <w:r w:rsidR="00842B44" w:rsidRPr="00491517">
              <w:rPr>
                <w:rFonts w:ascii="Cambria" w:hAnsi="Cambria"/>
                <w:b/>
                <w:color w:val="000000" w:themeColor="text1"/>
                <w:sz w:val="20"/>
                <w:szCs w:val="20"/>
                <w:lang w:val="es-ES"/>
              </w:rPr>
              <w:t>echos</w:t>
            </w:r>
            <w:r w:rsidR="003205F0" w:rsidRPr="00491517">
              <w:rPr>
                <w:rFonts w:ascii="Cambria" w:hAnsi="Cambria"/>
                <w:b/>
                <w:color w:val="000000" w:themeColor="text1"/>
                <w:sz w:val="20"/>
                <w:szCs w:val="20"/>
                <w:lang w:val="es-ES"/>
              </w:rPr>
              <w:t xml:space="preserve"> relativos al Comunicado de Prensa Conjunto</w:t>
            </w:r>
            <w:r w:rsidR="004F1B13" w:rsidRPr="00491517">
              <w:rPr>
                <w:rFonts w:ascii="Cambria" w:hAnsi="Cambria"/>
                <w:b/>
                <w:color w:val="000000" w:themeColor="text1"/>
                <w:sz w:val="20"/>
                <w:szCs w:val="20"/>
                <w:lang w:val="es-ES"/>
              </w:rPr>
              <w:t xml:space="preserve">: </w:t>
            </w:r>
            <w:r w:rsidRPr="00491517">
              <w:rPr>
                <w:rFonts w:ascii="Cambria" w:hAnsi="Cambria"/>
                <w:bCs/>
                <w:color w:val="000000" w:themeColor="text1"/>
                <w:sz w:val="20"/>
                <w:szCs w:val="20"/>
                <w:lang w:val="es-ES"/>
              </w:rPr>
              <w:t>Durante</w:t>
            </w:r>
            <w:r w:rsidR="00AB2024" w:rsidRPr="00491517">
              <w:rPr>
                <w:rFonts w:ascii="Cambria" w:hAnsi="Cambria"/>
                <w:bCs/>
                <w:color w:val="000000" w:themeColor="text1"/>
                <w:sz w:val="20"/>
                <w:szCs w:val="20"/>
                <w:lang w:val="es-CO"/>
              </w:rPr>
              <w:t xml:space="preserve"> </w:t>
            </w:r>
            <w:r w:rsidR="00C048A6" w:rsidRPr="00491517">
              <w:rPr>
                <w:rFonts w:ascii="Cambria" w:hAnsi="Cambria"/>
                <w:bCs/>
                <w:color w:val="000000" w:themeColor="text1"/>
                <w:sz w:val="20"/>
                <w:szCs w:val="20"/>
                <w:lang w:val="es-CO"/>
              </w:rPr>
              <w:t>la</w:t>
            </w:r>
            <w:r w:rsidR="00AB2024" w:rsidRPr="00491517">
              <w:rPr>
                <w:rFonts w:ascii="Cambria" w:hAnsi="Cambria"/>
                <w:bCs/>
                <w:color w:val="000000" w:themeColor="text1"/>
                <w:sz w:val="20"/>
                <w:szCs w:val="20"/>
                <w:lang w:val="es-CO"/>
              </w:rPr>
              <w:t xml:space="preserve"> reunión de trabajo sostenida</w:t>
            </w:r>
            <w:r w:rsidR="00370DF0" w:rsidRPr="00491517">
              <w:rPr>
                <w:rFonts w:ascii="Cambria" w:hAnsi="Cambria"/>
                <w:bCs/>
                <w:color w:val="000000" w:themeColor="text1"/>
                <w:sz w:val="20"/>
                <w:szCs w:val="20"/>
                <w:lang w:val="es-CO"/>
              </w:rPr>
              <w:t xml:space="preserve"> el 22 de febrero de 2001</w:t>
            </w:r>
            <w:r w:rsidR="00AB2024" w:rsidRPr="00491517">
              <w:rPr>
                <w:rFonts w:ascii="Cambria" w:hAnsi="Cambria"/>
                <w:bCs/>
                <w:color w:val="000000" w:themeColor="text1"/>
                <w:sz w:val="20"/>
                <w:szCs w:val="20"/>
                <w:lang w:val="es-CO"/>
              </w:rPr>
              <w:t xml:space="preserve"> </w:t>
            </w:r>
            <w:r w:rsidR="002E7198" w:rsidRPr="00491517">
              <w:rPr>
                <w:rFonts w:ascii="Cambria" w:hAnsi="Cambria"/>
                <w:bCs/>
                <w:color w:val="000000" w:themeColor="text1"/>
                <w:sz w:val="20"/>
                <w:szCs w:val="20"/>
                <w:lang w:val="es-CO"/>
              </w:rPr>
              <w:t>durante</w:t>
            </w:r>
            <w:r w:rsidR="00AB2024" w:rsidRPr="00491517">
              <w:rPr>
                <w:rFonts w:ascii="Cambria" w:hAnsi="Cambria"/>
                <w:bCs/>
                <w:color w:val="000000" w:themeColor="text1"/>
                <w:sz w:val="20"/>
                <w:szCs w:val="20"/>
                <w:lang w:val="es-CO"/>
              </w:rPr>
              <w:t xml:space="preserve"> el 110º Período Ordinario de Sesiones</w:t>
            </w:r>
            <w:r w:rsidR="00370DF0" w:rsidRPr="00491517">
              <w:rPr>
                <w:rFonts w:ascii="Cambria" w:hAnsi="Cambria"/>
                <w:bCs/>
                <w:color w:val="000000" w:themeColor="text1"/>
                <w:sz w:val="20"/>
                <w:szCs w:val="20"/>
                <w:lang w:val="es-CO"/>
              </w:rPr>
              <w:t xml:space="preserve"> de</w:t>
            </w:r>
            <w:r w:rsidRPr="00491517">
              <w:rPr>
                <w:rFonts w:ascii="Cambria" w:hAnsi="Cambria"/>
                <w:bCs/>
                <w:color w:val="000000" w:themeColor="text1"/>
                <w:sz w:val="20"/>
                <w:szCs w:val="20"/>
                <w:lang w:val="es-CO"/>
              </w:rPr>
              <w:t xml:space="preserve"> </w:t>
            </w:r>
            <w:r w:rsidR="00DE3BAF" w:rsidRPr="00491517">
              <w:rPr>
                <w:rFonts w:ascii="Cambria" w:hAnsi="Cambria"/>
                <w:bCs/>
                <w:color w:val="000000" w:themeColor="text1"/>
                <w:sz w:val="20"/>
                <w:szCs w:val="20"/>
                <w:lang w:val="es-CO"/>
              </w:rPr>
              <w:t>la Comisión Interamericana de Derechos Humanos</w:t>
            </w:r>
            <w:r w:rsidR="00AB2024" w:rsidRPr="00491517">
              <w:rPr>
                <w:rFonts w:ascii="Cambria" w:hAnsi="Cambria"/>
                <w:bCs/>
                <w:color w:val="000000" w:themeColor="text1"/>
                <w:sz w:val="20"/>
                <w:szCs w:val="20"/>
                <w:lang w:val="es-CO"/>
              </w:rPr>
              <w:t xml:space="preserve"> (CIDH)</w:t>
            </w:r>
            <w:r w:rsidR="00370DF0" w:rsidRPr="00491517">
              <w:rPr>
                <w:rFonts w:ascii="Cambria" w:hAnsi="Cambria"/>
                <w:bCs/>
                <w:color w:val="000000" w:themeColor="text1"/>
                <w:sz w:val="20"/>
                <w:szCs w:val="20"/>
                <w:lang w:val="es-CO"/>
              </w:rPr>
              <w:t>, fue emitido</w:t>
            </w:r>
            <w:r w:rsidR="00DE3BAF" w:rsidRPr="00491517">
              <w:rPr>
                <w:rFonts w:ascii="Cambria" w:hAnsi="Cambria"/>
                <w:bCs/>
                <w:color w:val="000000" w:themeColor="text1"/>
                <w:sz w:val="20"/>
                <w:szCs w:val="20"/>
                <w:lang w:val="es-CO"/>
              </w:rPr>
              <w:t xml:space="preserve"> un </w:t>
            </w:r>
            <w:r w:rsidR="008B2960" w:rsidRPr="00491517">
              <w:rPr>
                <w:rFonts w:ascii="Cambria" w:hAnsi="Cambria"/>
                <w:bCs/>
                <w:color w:val="000000" w:themeColor="text1"/>
                <w:sz w:val="20"/>
                <w:szCs w:val="20"/>
                <w:lang w:val="es-CO"/>
              </w:rPr>
              <w:t>C</w:t>
            </w:r>
            <w:r w:rsidR="00DE3BAF" w:rsidRPr="00491517">
              <w:rPr>
                <w:rFonts w:ascii="Cambria" w:hAnsi="Cambria"/>
                <w:bCs/>
                <w:color w:val="000000" w:themeColor="text1"/>
                <w:sz w:val="20"/>
                <w:szCs w:val="20"/>
                <w:lang w:val="es-CO"/>
              </w:rPr>
              <w:t xml:space="preserve">omunicado de </w:t>
            </w:r>
            <w:r w:rsidR="008B2960" w:rsidRPr="00491517">
              <w:rPr>
                <w:rFonts w:ascii="Cambria" w:hAnsi="Cambria"/>
                <w:bCs/>
                <w:color w:val="000000" w:themeColor="text1"/>
                <w:sz w:val="20"/>
                <w:szCs w:val="20"/>
                <w:lang w:val="es-CO"/>
              </w:rPr>
              <w:t>P</w:t>
            </w:r>
            <w:r w:rsidR="00DE3BAF" w:rsidRPr="00491517">
              <w:rPr>
                <w:rFonts w:ascii="Cambria" w:hAnsi="Cambria"/>
                <w:bCs/>
                <w:color w:val="000000" w:themeColor="text1"/>
                <w:sz w:val="20"/>
                <w:szCs w:val="20"/>
                <w:lang w:val="es-CO"/>
              </w:rPr>
              <w:t>rensa</w:t>
            </w:r>
            <w:r w:rsidR="008B2960" w:rsidRPr="00491517">
              <w:rPr>
                <w:rFonts w:ascii="Cambria" w:hAnsi="Cambria"/>
                <w:bCs/>
                <w:color w:val="000000" w:themeColor="text1"/>
                <w:sz w:val="20"/>
                <w:szCs w:val="20"/>
                <w:lang w:val="es-CO"/>
              </w:rPr>
              <w:t xml:space="preserve"> Conjunto</w:t>
            </w:r>
            <w:r w:rsidR="00DE3BAF" w:rsidRPr="00491517">
              <w:rPr>
                <w:rFonts w:ascii="Cambria" w:hAnsi="Cambria"/>
                <w:bCs/>
                <w:color w:val="000000" w:themeColor="text1"/>
                <w:sz w:val="20"/>
                <w:szCs w:val="20"/>
                <w:lang w:val="es-CO"/>
              </w:rPr>
              <w:t xml:space="preserve"> suscrito </w:t>
            </w:r>
            <w:r w:rsidR="002E7198" w:rsidRPr="00491517">
              <w:rPr>
                <w:rFonts w:ascii="Cambria" w:hAnsi="Cambria"/>
                <w:bCs/>
                <w:color w:val="000000" w:themeColor="text1"/>
                <w:sz w:val="20"/>
                <w:szCs w:val="20"/>
                <w:lang w:val="es-CO"/>
              </w:rPr>
              <w:t>con</w:t>
            </w:r>
            <w:r w:rsidR="00DE3BAF" w:rsidRPr="00491517">
              <w:rPr>
                <w:rFonts w:ascii="Cambria" w:hAnsi="Cambria"/>
                <w:bCs/>
                <w:color w:val="000000" w:themeColor="text1"/>
                <w:sz w:val="20"/>
                <w:szCs w:val="20"/>
                <w:lang w:val="es-CO"/>
              </w:rPr>
              <w:t xml:space="preserve"> el </w:t>
            </w:r>
            <w:r w:rsidR="00AB2024" w:rsidRPr="00491517">
              <w:rPr>
                <w:rFonts w:ascii="Cambria" w:hAnsi="Cambria"/>
                <w:bCs/>
                <w:color w:val="000000" w:themeColor="text1"/>
                <w:sz w:val="20"/>
                <w:szCs w:val="20"/>
                <w:lang w:val="es-CO"/>
              </w:rPr>
              <w:t>e</w:t>
            </w:r>
            <w:r w:rsidR="001761B6" w:rsidRPr="00491517">
              <w:rPr>
                <w:rFonts w:ascii="Cambria" w:hAnsi="Cambria"/>
                <w:bCs/>
                <w:color w:val="000000" w:themeColor="text1"/>
                <w:sz w:val="20"/>
                <w:szCs w:val="20"/>
                <w:lang w:val="es-CO"/>
              </w:rPr>
              <w:t>ntonces</w:t>
            </w:r>
            <w:r w:rsidR="00DE3BAF" w:rsidRPr="00491517">
              <w:rPr>
                <w:rFonts w:ascii="Cambria" w:hAnsi="Cambria"/>
                <w:bCs/>
                <w:color w:val="000000" w:themeColor="text1"/>
                <w:sz w:val="20"/>
                <w:szCs w:val="20"/>
                <w:lang w:val="es-CO"/>
              </w:rPr>
              <w:t xml:space="preserve"> </w:t>
            </w:r>
            <w:proofErr w:type="gramStart"/>
            <w:r w:rsidR="00DE3BAF" w:rsidRPr="00491517">
              <w:rPr>
                <w:rFonts w:ascii="Cambria" w:hAnsi="Cambria"/>
                <w:bCs/>
                <w:color w:val="000000" w:themeColor="text1"/>
                <w:sz w:val="20"/>
                <w:szCs w:val="20"/>
                <w:lang w:val="es-CO"/>
              </w:rPr>
              <w:t>Ministro</w:t>
            </w:r>
            <w:proofErr w:type="gramEnd"/>
            <w:r w:rsidR="00DE3BAF" w:rsidRPr="00491517">
              <w:rPr>
                <w:rFonts w:ascii="Cambria" w:hAnsi="Cambria"/>
                <w:bCs/>
                <w:color w:val="000000" w:themeColor="text1"/>
                <w:sz w:val="20"/>
                <w:szCs w:val="20"/>
                <w:lang w:val="es-CO"/>
              </w:rPr>
              <w:t xml:space="preserve"> de Justicia del </w:t>
            </w:r>
            <w:r w:rsidR="00685477" w:rsidRPr="00491517">
              <w:rPr>
                <w:rFonts w:ascii="Cambria" w:hAnsi="Cambria"/>
                <w:bCs/>
                <w:color w:val="000000" w:themeColor="text1"/>
                <w:sz w:val="20"/>
                <w:szCs w:val="20"/>
                <w:lang w:val="es-CO"/>
              </w:rPr>
              <w:t xml:space="preserve">Estado de </w:t>
            </w:r>
            <w:r w:rsidR="00DE3BAF" w:rsidRPr="00491517">
              <w:rPr>
                <w:rFonts w:ascii="Cambria" w:hAnsi="Cambria"/>
                <w:bCs/>
                <w:color w:val="000000" w:themeColor="text1"/>
                <w:sz w:val="20"/>
                <w:szCs w:val="20"/>
                <w:lang w:val="es-CO"/>
              </w:rPr>
              <w:t>Perú. E</w:t>
            </w:r>
            <w:r w:rsidR="001420B9" w:rsidRPr="00491517">
              <w:rPr>
                <w:rFonts w:ascii="Cambria" w:hAnsi="Cambria"/>
                <w:bCs/>
                <w:color w:val="000000" w:themeColor="text1"/>
                <w:sz w:val="20"/>
                <w:szCs w:val="20"/>
                <w:lang w:val="es-CO"/>
              </w:rPr>
              <w:t xml:space="preserve">n </w:t>
            </w:r>
            <w:r w:rsidR="008B2960" w:rsidRPr="00491517">
              <w:rPr>
                <w:rFonts w:ascii="Cambria" w:hAnsi="Cambria"/>
                <w:bCs/>
                <w:color w:val="000000" w:themeColor="text1"/>
                <w:sz w:val="20"/>
                <w:szCs w:val="20"/>
                <w:lang w:val="es-CO"/>
              </w:rPr>
              <w:t>este</w:t>
            </w:r>
            <w:r w:rsidR="001420B9" w:rsidRPr="00491517">
              <w:rPr>
                <w:rFonts w:ascii="Cambria" w:hAnsi="Cambria"/>
                <w:bCs/>
                <w:color w:val="000000" w:themeColor="text1"/>
                <w:sz w:val="20"/>
                <w:szCs w:val="20"/>
                <w:lang w:val="es-CO"/>
              </w:rPr>
              <w:t xml:space="preserve"> comunicado, e</w:t>
            </w:r>
            <w:r w:rsidR="00DE3BAF" w:rsidRPr="00491517">
              <w:rPr>
                <w:rFonts w:ascii="Cambria" w:hAnsi="Cambria"/>
                <w:color w:val="000000" w:themeColor="text1"/>
                <w:sz w:val="20"/>
                <w:szCs w:val="20"/>
                <w:lang w:val="es-ES"/>
              </w:rPr>
              <w:t xml:space="preserve">l Estado asumió el compromiso de </w:t>
            </w:r>
            <w:r w:rsidR="00C048A6" w:rsidRPr="00491517">
              <w:rPr>
                <w:rFonts w:ascii="Cambria" w:hAnsi="Cambria"/>
                <w:color w:val="000000" w:themeColor="text1"/>
                <w:sz w:val="20"/>
                <w:szCs w:val="20"/>
                <w:lang w:val="es-ES"/>
              </w:rPr>
              <w:t>gestionar</w:t>
            </w:r>
            <w:r w:rsidR="00DE3BAF" w:rsidRPr="00491517">
              <w:rPr>
                <w:rFonts w:ascii="Cambria" w:hAnsi="Cambria"/>
                <w:color w:val="000000" w:themeColor="text1"/>
                <w:sz w:val="20"/>
                <w:szCs w:val="20"/>
                <w:lang w:val="es-ES"/>
              </w:rPr>
              <w:t xml:space="preserve"> el cumplimiento de las recomendaciones formuladas por la CIDH en 159 informes de fondo </w:t>
            </w:r>
            <w:r w:rsidR="00DE3BAF" w:rsidRPr="00491517">
              <w:rPr>
                <w:rFonts w:ascii="Cambria" w:hAnsi="Cambria"/>
                <w:bCs/>
                <w:color w:val="000000" w:themeColor="text1"/>
                <w:sz w:val="20"/>
                <w:szCs w:val="20"/>
                <w:lang w:val="es-CO"/>
              </w:rPr>
              <w:t xml:space="preserve">comprendidos en </w:t>
            </w:r>
            <w:r w:rsidR="008B2960" w:rsidRPr="00491517">
              <w:rPr>
                <w:rFonts w:ascii="Cambria" w:hAnsi="Cambria"/>
                <w:bCs/>
                <w:color w:val="000000" w:themeColor="text1"/>
                <w:sz w:val="20"/>
                <w:szCs w:val="20"/>
                <w:lang w:val="es-CO"/>
              </w:rPr>
              <w:t>sus</w:t>
            </w:r>
            <w:r w:rsidR="00DE3BAF" w:rsidRPr="00491517">
              <w:rPr>
                <w:rFonts w:ascii="Cambria" w:hAnsi="Cambria"/>
                <w:bCs/>
                <w:color w:val="000000" w:themeColor="text1"/>
                <w:sz w:val="20"/>
                <w:szCs w:val="20"/>
                <w:lang w:val="es-CO"/>
              </w:rPr>
              <w:t xml:space="preserve"> literales </w:t>
            </w:r>
            <w:r w:rsidR="001761B6" w:rsidRPr="00491517">
              <w:rPr>
                <w:rFonts w:ascii="Cambria" w:hAnsi="Cambria"/>
                <w:bCs/>
                <w:i/>
                <w:iCs/>
                <w:color w:val="000000" w:themeColor="text1"/>
                <w:sz w:val="20"/>
                <w:szCs w:val="20"/>
                <w:lang w:val="es-CO"/>
              </w:rPr>
              <w:t>c</w:t>
            </w:r>
            <w:r w:rsidR="00DE3BAF" w:rsidRPr="00491517">
              <w:rPr>
                <w:rFonts w:ascii="Cambria" w:hAnsi="Cambria"/>
                <w:bCs/>
                <w:color w:val="000000" w:themeColor="text1"/>
                <w:sz w:val="20"/>
                <w:szCs w:val="20"/>
                <w:lang w:val="es-CO"/>
              </w:rPr>
              <w:t xml:space="preserve"> y </w:t>
            </w:r>
            <w:r w:rsidR="001761B6" w:rsidRPr="00491517">
              <w:rPr>
                <w:rFonts w:ascii="Cambria" w:hAnsi="Cambria"/>
                <w:bCs/>
                <w:i/>
                <w:iCs/>
                <w:color w:val="000000" w:themeColor="text1"/>
                <w:sz w:val="20"/>
                <w:szCs w:val="20"/>
                <w:lang w:val="es-CO"/>
              </w:rPr>
              <w:t>d</w:t>
            </w:r>
            <w:r w:rsidR="00DE3BAF" w:rsidRPr="00491517">
              <w:rPr>
                <w:rFonts w:ascii="Cambria" w:hAnsi="Cambria"/>
                <w:color w:val="000000" w:themeColor="text1"/>
                <w:sz w:val="20"/>
                <w:szCs w:val="20"/>
                <w:lang w:val="es-ES"/>
              </w:rPr>
              <w:t>.</w:t>
            </w:r>
            <w:r w:rsidR="00DE3BAF" w:rsidRPr="00491517">
              <w:rPr>
                <w:rFonts w:ascii="Cambria" w:hAnsi="Cambria"/>
                <w:bCs/>
                <w:color w:val="000000" w:themeColor="text1"/>
                <w:sz w:val="20"/>
                <w:szCs w:val="20"/>
                <w:lang w:val="es-CO"/>
              </w:rPr>
              <w:t xml:space="preserve"> </w:t>
            </w:r>
            <w:r w:rsidR="002E7198" w:rsidRPr="00491517">
              <w:rPr>
                <w:rFonts w:ascii="Cambria" w:hAnsi="Cambria"/>
                <w:bCs/>
                <w:color w:val="000000" w:themeColor="text1"/>
                <w:sz w:val="20"/>
                <w:szCs w:val="20"/>
                <w:lang w:val="es-CO"/>
              </w:rPr>
              <w:t>Por un lado, e</w:t>
            </w:r>
            <w:r w:rsidR="00DE3BAF" w:rsidRPr="00491517">
              <w:rPr>
                <w:rFonts w:ascii="Cambria" w:hAnsi="Cambria"/>
                <w:bCs/>
                <w:color w:val="000000" w:themeColor="text1"/>
                <w:sz w:val="20"/>
                <w:szCs w:val="20"/>
                <w:lang w:val="es-CO"/>
              </w:rPr>
              <w:t xml:space="preserve">l literal </w:t>
            </w:r>
            <w:r w:rsidR="001761B6" w:rsidRPr="00491517">
              <w:rPr>
                <w:rFonts w:ascii="Cambria" w:hAnsi="Cambria"/>
                <w:bCs/>
                <w:i/>
                <w:iCs/>
                <w:color w:val="000000" w:themeColor="text1"/>
                <w:sz w:val="20"/>
                <w:szCs w:val="20"/>
                <w:lang w:val="es-CO"/>
              </w:rPr>
              <w:t>c</w:t>
            </w:r>
            <w:r w:rsidR="00DE3BAF" w:rsidRPr="00491517">
              <w:rPr>
                <w:rFonts w:ascii="Cambria" w:hAnsi="Cambria"/>
                <w:bCs/>
                <w:color w:val="000000" w:themeColor="text1"/>
                <w:sz w:val="20"/>
                <w:szCs w:val="20"/>
                <w:lang w:val="es-CO"/>
              </w:rPr>
              <w:t xml:space="preserve"> se refi</w:t>
            </w:r>
            <w:r w:rsidR="002E7198" w:rsidRPr="00491517">
              <w:rPr>
                <w:rFonts w:ascii="Cambria" w:hAnsi="Cambria"/>
                <w:bCs/>
                <w:color w:val="000000" w:themeColor="text1"/>
                <w:sz w:val="20"/>
                <w:szCs w:val="20"/>
                <w:lang w:val="es-CO"/>
              </w:rPr>
              <w:t>rió</w:t>
            </w:r>
            <w:r w:rsidR="00DE3BAF" w:rsidRPr="00491517">
              <w:rPr>
                <w:rFonts w:ascii="Cambria" w:hAnsi="Cambria"/>
                <w:bCs/>
                <w:color w:val="000000" w:themeColor="text1"/>
                <w:sz w:val="20"/>
                <w:szCs w:val="20"/>
                <w:lang w:val="es-CO"/>
              </w:rPr>
              <w:t xml:space="preserve"> a 102 informes de fondo </w:t>
            </w:r>
            <w:r w:rsidR="002E7198" w:rsidRPr="00491517">
              <w:rPr>
                <w:rFonts w:ascii="Cambria" w:hAnsi="Cambria"/>
                <w:bCs/>
                <w:color w:val="000000" w:themeColor="text1"/>
                <w:sz w:val="20"/>
                <w:szCs w:val="20"/>
                <w:lang w:val="es-CO"/>
              </w:rPr>
              <w:t>publicados por la CIDH</w:t>
            </w:r>
            <w:r w:rsidR="00685477" w:rsidRPr="00491517">
              <w:rPr>
                <w:rFonts w:ascii="Cambria" w:hAnsi="Cambria"/>
                <w:bCs/>
                <w:color w:val="000000" w:themeColor="text1"/>
                <w:sz w:val="20"/>
                <w:szCs w:val="20"/>
                <w:lang w:val="es-CO"/>
              </w:rPr>
              <w:t xml:space="preserve"> entre los años 1987 y 2000,</w:t>
            </w:r>
            <w:r w:rsidR="002E7198" w:rsidRPr="00491517">
              <w:rPr>
                <w:rFonts w:ascii="Cambria" w:hAnsi="Cambria"/>
                <w:bCs/>
                <w:color w:val="000000" w:themeColor="text1"/>
                <w:sz w:val="20"/>
                <w:szCs w:val="20"/>
                <w:lang w:val="es-CO"/>
              </w:rPr>
              <w:t xml:space="preserve"> los cuales</w:t>
            </w:r>
            <w:r w:rsidR="00DE3BAF" w:rsidRPr="00491517">
              <w:rPr>
                <w:rFonts w:ascii="Cambria" w:hAnsi="Cambria"/>
                <w:bCs/>
                <w:color w:val="000000" w:themeColor="text1"/>
                <w:sz w:val="20"/>
                <w:szCs w:val="20"/>
                <w:lang w:val="es-CO"/>
              </w:rPr>
              <w:t xml:space="preserve"> comprenden 133 casos</w:t>
            </w:r>
            <w:r w:rsidR="003320E8" w:rsidRPr="00491517">
              <w:rPr>
                <w:rFonts w:ascii="Cambria" w:hAnsi="Cambria"/>
                <w:bCs/>
                <w:color w:val="000000" w:themeColor="text1"/>
                <w:sz w:val="20"/>
                <w:szCs w:val="20"/>
                <w:lang w:val="es-CO"/>
              </w:rPr>
              <w:t xml:space="preserve"> y que</w:t>
            </w:r>
            <w:r w:rsidR="001761B6" w:rsidRPr="00491517">
              <w:rPr>
                <w:rFonts w:ascii="Cambria" w:hAnsi="Cambria"/>
                <w:bCs/>
                <w:color w:val="000000" w:themeColor="text1"/>
                <w:sz w:val="20"/>
                <w:szCs w:val="20"/>
                <w:lang w:val="es-CO"/>
              </w:rPr>
              <w:t xml:space="preserve"> fueron específicamente enlistados en el </w:t>
            </w:r>
            <w:r w:rsidR="008B2960" w:rsidRPr="00491517">
              <w:rPr>
                <w:rFonts w:ascii="Cambria" w:hAnsi="Cambria"/>
                <w:bCs/>
                <w:color w:val="000000" w:themeColor="text1"/>
                <w:sz w:val="20"/>
                <w:szCs w:val="20"/>
                <w:lang w:val="es-CO"/>
              </w:rPr>
              <w:t>Comunicado de Prensa</w:t>
            </w:r>
            <w:r w:rsidR="002E7198" w:rsidRPr="00491517">
              <w:rPr>
                <w:rFonts w:ascii="Cambria" w:hAnsi="Cambria"/>
                <w:bCs/>
                <w:color w:val="000000" w:themeColor="text1"/>
                <w:sz w:val="20"/>
                <w:szCs w:val="20"/>
                <w:lang w:val="es-CO"/>
              </w:rPr>
              <w:t>. Por su parte,</w:t>
            </w:r>
            <w:r w:rsidR="00DE3BAF" w:rsidRPr="00491517">
              <w:rPr>
                <w:rFonts w:ascii="Cambria" w:hAnsi="Cambria"/>
                <w:bCs/>
                <w:color w:val="000000" w:themeColor="text1"/>
                <w:sz w:val="20"/>
                <w:szCs w:val="20"/>
                <w:lang w:val="es-CO"/>
              </w:rPr>
              <w:t xml:space="preserve"> el literal </w:t>
            </w:r>
            <w:r w:rsidR="008B2960" w:rsidRPr="00491517">
              <w:rPr>
                <w:rFonts w:ascii="Cambria" w:hAnsi="Cambria"/>
                <w:bCs/>
                <w:i/>
                <w:iCs/>
                <w:color w:val="000000" w:themeColor="text1"/>
                <w:sz w:val="20"/>
                <w:szCs w:val="20"/>
                <w:lang w:val="es-CO"/>
              </w:rPr>
              <w:t>d</w:t>
            </w:r>
            <w:r w:rsidR="00DE3BAF" w:rsidRPr="00491517">
              <w:rPr>
                <w:rFonts w:ascii="Cambria" w:hAnsi="Cambria"/>
                <w:bCs/>
                <w:color w:val="000000" w:themeColor="text1"/>
                <w:sz w:val="20"/>
                <w:szCs w:val="20"/>
                <w:lang w:val="es-CO"/>
              </w:rPr>
              <w:t xml:space="preserve"> </w:t>
            </w:r>
            <w:r w:rsidR="008B2960" w:rsidRPr="00491517">
              <w:rPr>
                <w:rFonts w:ascii="Cambria" w:hAnsi="Cambria"/>
                <w:bCs/>
                <w:color w:val="000000" w:themeColor="text1"/>
                <w:sz w:val="20"/>
                <w:szCs w:val="20"/>
                <w:lang w:val="es-CO"/>
              </w:rPr>
              <w:t>incluyó</w:t>
            </w:r>
            <w:r w:rsidR="00DE3BAF" w:rsidRPr="00491517">
              <w:rPr>
                <w:rFonts w:ascii="Cambria" w:hAnsi="Cambria"/>
                <w:bCs/>
                <w:color w:val="000000" w:themeColor="text1"/>
                <w:sz w:val="20"/>
                <w:szCs w:val="20"/>
                <w:lang w:val="es-CO"/>
              </w:rPr>
              <w:t xml:space="preserve"> 26 casos </w:t>
            </w:r>
            <w:r w:rsidR="001761B6" w:rsidRPr="00491517">
              <w:rPr>
                <w:rFonts w:ascii="Cambria" w:hAnsi="Cambria"/>
                <w:bCs/>
                <w:color w:val="000000" w:themeColor="text1"/>
                <w:sz w:val="20"/>
                <w:szCs w:val="20"/>
                <w:lang w:val="es-CO"/>
              </w:rPr>
              <w:t xml:space="preserve">cuyos informes de fondo habían sido emitidos </w:t>
            </w:r>
            <w:r w:rsidRPr="00491517">
              <w:rPr>
                <w:rFonts w:ascii="Cambria" w:hAnsi="Cambria"/>
                <w:bCs/>
                <w:color w:val="000000" w:themeColor="text1"/>
                <w:sz w:val="20"/>
                <w:szCs w:val="20"/>
                <w:lang w:val="es-CO"/>
              </w:rPr>
              <w:t xml:space="preserve">conforme al artículo 50 de la Convención Americana sobre Derechos Humanos (CADH) </w:t>
            </w:r>
            <w:r w:rsidR="001761B6" w:rsidRPr="00491517">
              <w:rPr>
                <w:rFonts w:ascii="Cambria" w:hAnsi="Cambria"/>
                <w:bCs/>
                <w:color w:val="000000" w:themeColor="text1"/>
                <w:sz w:val="20"/>
                <w:szCs w:val="20"/>
                <w:lang w:val="es-CO"/>
              </w:rPr>
              <w:t>pero que</w:t>
            </w:r>
            <w:r w:rsidR="008B2960" w:rsidRPr="00491517">
              <w:rPr>
                <w:rFonts w:ascii="Cambria" w:hAnsi="Cambria"/>
                <w:bCs/>
                <w:color w:val="000000" w:themeColor="text1"/>
                <w:sz w:val="20"/>
                <w:szCs w:val="20"/>
                <w:lang w:val="es-CO"/>
              </w:rPr>
              <w:t>,</w:t>
            </w:r>
            <w:r w:rsidR="001761B6" w:rsidRPr="00491517">
              <w:rPr>
                <w:rFonts w:ascii="Cambria" w:hAnsi="Cambria"/>
                <w:bCs/>
                <w:color w:val="000000" w:themeColor="text1"/>
                <w:sz w:val="20"/>
                <w:szCs w:val="20"/>
                <w:lang w:val="es-CO"/>
              </w:rPr>
              <w:t xml:space="preserve"> al momento de la firma del </w:t>
            </w:r>
            <w:r w:rsidR="008B2960" w:rsidRPr="00491517">
              <w:rPr>
                <w:rFonts w:ascii="Cambria" w:hAnsi="Cambria"/>
                <w:bCs/>
                <w:color w:val="000000" w:themeColor="text1"/>
                <w:sz w:val="20"/>
                <w:szCs w:val="20"/>
                <w:lang w:val="es-CO"/>
              </w:rPr>
              <w:t xml:space="preserve">Comunicado de Prensa, </w:t>
            </w:r>
            <w:r w:rsidRPr="00491517">
              <w:rPr>
                <w:rFonts w:ascii="Cambria" w:hAnsi="Cambria"/>
                <w:bCs/>
                <w:color w:val="000000" w:themeColor="text1"/>
                <w:sz w:val="20"/>
                <w:szCs w:val="20"/>
                <w:lang w:val="es-CO"/>
              </w:rPr>
              <w:t>no habían sido publicados de conformidad con el artículo 5</w:t>
            </w:r>
            <w:r w:rsidR="00685477" w:rsidRPr="00491517">
              <w:rPr>
                <w:rFonts w:ascii="Cambria" w:hAnsi="Cambria"/>
                <w:bCs/>
                <w:color w:val="000000" w:themeColor="text1"/>
                <w:sz w:val="20"/>
                <w:szCs w:val="20"/>
                <w:lang w:val="es-CO"/>
              </w:rPr>
              <w:t>1</w:t>
            </w:r>
            <w:r w:rsidRPr="00491517">
              <w:rPr>
                <w:rFonts w:ascii="Cambria" w:hAnsi="Cambria"/>
                <w:bCs/>
                <w:color w:val="000000" w:themeColor="text1"/>
                <w:sz w:val="20"/>
                <w:szCs w:val="20"/>
                <w:lang w:val="es-CO"/>
              </w:rPr>
              <w:t xml:space="preserve"> de es</w:t>
            </w:r>
            <w:r w:rsidR="002E4A29" w:rsidRPr="00491517">
              <w:rPr>
                <w:rFonts w:ascii="Cambria" w:hAnsi="Cambria"/>
                <w:bCs/>
                <w:color w:val="000000" w:themeColor="text1"/>
                <w:sz w:val="20"/>
                <w:szCs w:val="20"/>
                <w:lang w:val="es-CO"/>
              </w:rPr>
              <w:t>t</w:t>
            </w:r>
            <w:r w:rsidRPr="00491517">
              <w:rPr>
                <w:rFonts w:ascii="Cambria" w:hAnsi="Cambria"/>
                <w:bCs/>
                <w:color w:val="000000" w:themeColor="text1"/>
                <w:sz w:val="20"/>
                <w:szCs w:val="20"/>
                <w:lang w:val="es-CO"/>
              </w:rPr>
              <w:t>e instrumento</w:t>
            </w:r>
            <w:r w:rsidR="00DE3BAF" w:rsidRPr="00491517">
              <w:rPr>
                <w:rFonts w:ascii="Cambria" w:hAnsi="Cambria"/>
                <w:bCs/>
                <w:color w:val="000000" w:themeColor="text1"/>
                <w:sz w:val="20"/>
                <w:szCs w:val="20"/>
                <w:lang w:val="es-CO"/>
              </w:rPr>
              <w:t xml:space="preserve">. </w:t>
            </w:r>
          </w:p>
          <w:p w14:paraId="2505E515" w14:textId="6E32224E" w:rsidR="00D81F2D" w:rsidRPr="00491517" w:rsidRDefault="00685477" w:rsidP="00B537A7">
            <w:pPr>
              <w:pStyle w:val="NoSpacing"/>
              <w:spacing w:before="120" w:after="240"/>
              <w:jc w:val="both"/>
              <w:rPr>
                <w:rFonts w:ascii="Cambria" w:hAnsi="Cambria"/>
                <w:bCs/>
                <w:color w:val="000000" w:themeColor="text1"/>
                <w:sz w:val="20"/>
                <w:szCs w:val="20"/>
                <w:lang w:val="es-CO"/>
              </w:rPr>
            </w:pPr>
            <w:r w:rsidRPr="00491517">
              <w:rPr>
                <w:rFonts w:ascii="Cambria" w:hAnsi="Cambria"/>
                <w:bCs/>
                <w:color w:val="000000" w:themeColor="text1"/>
                <w:sz w:val="20"/>
                <w:szCs w:val="20"/>
                <w:lang w:val="es-CO"/>
              </w:rPr>
              <w:t>El Comunicado de Prensa Conjunto fue adoptado como una iniciativa dirigida a implementar una política estatal respetuosa de los derechos humanos dirigida al fortalecimiento de la institucionalidad democrática y del Estado de Derecho en Perú.</w:t>
            </w:r>
            <w:r w:rsidR="00006179" w:rsidRPr="00491517">
              <w:rPr>
                <w:rFonts w:ascii="Cambria" w:hAnsi="Cambria"/>
                <w:bCs/>
                <w:color w:val="000000" w:themeColor="text1"/>
                <w:sz w:val="20"/>
                <w:szCs w:val="20"/>
                <w:lang w:val="es-CO"/>
              </w:rPr>
              <w:t xml:space="preserve"> </w:t>
            </w:r>
            <w:r w:rsidRPr="00491517">
              <w:rPr>
                <w:rFonts w:ascii="Cambria" w:hAnsi="Cambria"/>
                <w:bCs/>
                <w:color w:val="000000" w:themeColor="text1"/>
                <w:sz w:val="20"/>
                <w:szCs w:val="20"/>
                <w:lang w:val="es-CO"/>
              </w:rPr>
              <w:t>La CIDH reconoció la firma del Comunicado de Prensa como una medida importante encaminada a adoptar procesos de cumplimiento de sus recomendaciones.</w:t>
            </w:r>
          </w:p>
          <w:p w14:paraId="603D8FEA" w14:textId="19AA57E7" w:rsidR="00842B44" w:rsidRPr="00491517" w:rsidRDefault="003320E8" w:rsidP="00B537A7">
            <w:pPr>
              <w:pStyle w:val="NoSpacing"/>
              <w:jc w:val="both"/>
              <w:rPr>
                <w:rFonts w:ascii="Cambria" w:hAnsi="Cambria"/>
                <w:bCs/>
                <w:color w:val="000000" w:themeColor="text1"/>
                <w:sz w:val="20"/>
                <w:szCs w:val="20"/>
                <w:lang w:val="es-ES"/>
              </w:rPr>
            </w:pPr>
            <w:r w:rsidRPr="00491517">
              <w:rPr>
                <w:rFonts w:ascii="Cambria" w:hAnsi="Cambria"/>
                <w:b/>
                <w:color w:val="000000" w:themeColor="text1"/>
                <w:sz w:val="20"/>
                <w:szCs w:val="20"/>
                <w:lang w:val="es-ES"/>
              </w:rPr>
              <w:t>Hechos de los casos</w:t>
            </w:r>
            <w:r w:rsidR="0090095F" w:rsidRPr="00491517">
              <w:rPr>
                <w:rFonts w:ascii="Cambria" w:hAnsi="Cambria"/>
                <w:b/>
                <w:color w:val="000000" w:themeColor="text1"/>
                <w:sz w:val="20"/>
                <w:szCs w:val="20"/>
                <w:lang w:val="es-ES"/>
              </w:rPr>
              <w:t xml:space="preserve">: </w:t>
            </w:r>
            <w:r w:rsidR="002E4A29" w:rsidRPr="00491517">
              <w:rPr>
                <w:rFonts w:ascii="Cambria" w:hAnsi="Cambria"/>
                <w:bCs/>
                <w:color w:val="000000" w:themeColor="text1"/>
                <w:sz w:val="20"/>
                <w:szCs w:val="20"/>
                <w:lang w:val="es-ES"/>
              </w:rPr>
              <w:t xml:space="preserve">El anexo </w:t>
            </w:r>
            <w:r w:rsidRPr="00491517">
              <w:rPr>
                <w:rFonts w:ascii="Cambria" w:hAnsi="Cambria"/>
                <w:bCs/>
                <w:color w:val="000000" w:themeColor="text1"/>
                <w:sz w:val="20"/>
                <w:szCs w:val="20"/>
                <w:lang w:val="es-ES"/>
              </w:rPr>
              <w:t xml:space="preserve">de esta ficha comprende </w:t>
            </w:r>
            <w:r w:rsidR="00D81F2D" w:rsidRPr="00491517">
              <w:rPr>
                <w:rFonts w:ascii="Cambria" w:hAnsi="Cambria"/>
                <w:bCs/>
                <w:color w:val="000000" w:themeColor="text1"/>
                <w:sz w:val="20"/>
                <w:szCs w:val="20"/>
                <w:lang w:val="es-ES"/>
              </w:rPr>
              <w:t>la</w:t>
            </w:r>
            <w:r w:rsidRPr="00491517">
              <w:rPr>
                <w:rFonts w:ascii="Cambria" w:hAnsi="Cambria"/>
                <w:bCs/>
                <w:color w:val="000000" w:themeColor="text1"/>
                <w:sz w:val="20"/>
                <w:szCs w:val="20"/>
                <w:lang w:val="es-ES"/>
              </w:rPr>
              <w:t xml:space="preserve"> síntesis de los hechos de los casos incluidos en el Comunicado de Prensa Conjunto</w:t>
            </w:r>
            <w:r w:rsidR="00D81F2D" w:rsidRPr="00491517">
              <w:rPr>
                <w:rFonts w:ascii="Cambria" w:hAnsi="Cambria"/>
                <w:bCs/>
                <w:color w:val="000000" w:themeColor="text1"/>
                <w:sz w:val="20"/>
                <w:szCs w:val="20"/>
                <w:lang w:val="es-ES"/>
              </w:rPr>
              <w:t xml:space="preserve"> que son objeto de seguimiento</w:t>
            </w:r>
            <w:r w:rsidRPr="00491517">
              <w:rPr>
                <w:rFonts w:ascii="Cambria" w:hAnsi="Cambria"/>
                <w:bCs/>
                <w:color w:val="000000" w:themeColor="text1"/>
                <w:sz w:val="20"/>
                <w:szCs w:val="20"/>
                <w:lang w:val="es-ES"/>
              </w:rPr>
              <w:t xml:space="preserve"> y de las</w:t>
            </w:r>
            <w:r w:rsidR="002E4A29" w:rsidRPr="00491517">
              <w:rPr>
                <w:rFonts w:ascii="Cambria" w:hAnsi="Cambria"/>
                <w:bCs/>
                <w:color w:val="000000" w:themeColor="text1"/>
                <w:sz w:val="20"/>
                <w:szCs w:val="20"/>
                <w:lang w:val="es-ES"/>
              </w:rPr>
              <w:t xml:space="preserve"> violaciones declaradas por la CIDH en los respectivos</w:t>
            </w:r>
            <w:r w:rsidR="00D81F2D" w:rsidRPr="00491517">
              <w:rPr>
                <w:rFonts w:ascii="Cambria" w:hAnsi="Cambria"/>
                <w:bCs/>
                <w:color w:val="000000" w:themeColor="text1"/>
                <w:sz w:val="20"/>
                <w:szCs w:val="20"/>
                <w:lang w:val="es-ES"/>
              </w:rPr>
              <w:t xml:space="preserve"> Informe de Fondo</w:t>
            </w:r>
            <w:r w:rsidR="004E7BB6" w:rsidRPr="00491517">
              <w:rPr>
                <w:rStyle w:val="FootnoteReference"/>
                <w:rFonts w:ascii="Cambria" w:hAnsi="Cambria"/>
                <w:bCs/>
                <w:color w:val="000000" w:themeColor="text1"/>
                <w:sz w:val="20"/>
                <w:szCs w:val="20"/>
                <w:lang w:val="es-ES"/>
              </w:rPr>
              <w:footnoteReference w:id="1"/>
            </w:r>
            <w:r w:rsidR="004E7BB6" w:rsidRPr="00491517">
              <w:rPr>
                <w:rFonts w:ascii="Cambria" w:hAnsi="Cambria"/>
                <w:bCs/>
                <w:color w:val="000000" w:themeColor="text1"/>
                <w:sz w:val="20"/>
                <w:szCs w:val="20"/>
                <w:lang w:val="es-ES"/>
              </w:rPr>
              <w:t>.</w:t>
            </w:r>
            <w:r w:rsidR="00D81F2D" w:rsidRPr="00491517">
              <w:rPr>
                <w:rFonts w:ascii="Cambria" w:hAnsi="Cambria"/>
                <w:bCs/>
                <w:color w:val="000000" w:themeColor="text1"/>
                <w:sz w:val="20"/>
                <w:szCs w:val="20"/>
                <w:lang w:val="es-ES"/>
              </w:rPr>
              <w:t xml:space="preserve"> </w:t>
            </w:r>
            <w:r w:rsidRPr="00491517">
              <w:rPr>
                <w:rFonts w:ascii="Cambria" w:hAnsi="Cambria"/>
                <w:bCs/>
                <w:color w:val="000000" w:themeColor="text1"/>
                <w:sz w:val="20"/>
                <w:szCs w:val="20"/>
                <w:lang w:val="es-ES"/>
              </w:rPr>
              <w:t xml:space="preserve"> </w:t>
            </w:r>
          </w:p>
          <w:p w14:paraId="55D9E3D5" w14:textId="77777777" w:rsidR="00D81F2D" w:rsidRPr="00491517" w:rsidRDefault="00D81F2D" w:rsidP="00B537A7">
            <w:pPr>
              <w:pStyle w:val="NoSpacing"/>
              <w:jc w:val="both"/>
              <w:rPr>
                <w:rFonts w:ascii="Cambria" w:hAnsi="Cambria"/>
                <w:color w:val="000000" w:themeColor="text1"/>
                <w:sz w:val="20"/>
                <w:szCs w:val="20"/>
                <w:lang w:val="es-ES"/>
              </w:rPr>
            </w:pPr>
          </w:p>
          <w:p w14:paraId="7E5860A5" w14:textId="6BC5DF40" w:rsidR="0041166C" w:rsidRPr="00491517" w:rsidRDefault="004E7BB6" w:rsidP="003B1BF9">
            <w:pPr>
              <w:pStyle w:val="NoSpacing"/>
              <w:spacing w:after="240"/>
              <w:jc w:val="both"/>
              <w:rPr>
                <w:rFonts w:ascii="Cambria" w:hAnsi="Cambria"/>
                <w:bCs/>
                <w:color w:val="000000" w:themeColor="text1"/>
                <w:sz w:val="20"/>
                <w:szCs w:val="20"/>
                <w:lang w:val="es-ES"/>
              </w:rPr>
            </w:pPr>
            <w:r w:rsidRPr="00491517">
              <w:rPr>
                <w:rFonts w:ascii="Cambria" w:hAnsi="Cambria"/>
                <w:b/>
                <w:color w:val="000000" w:themeColor="text1"/>
                <w:sz w:val="20"/>
                <w:szCs w:val="20"/>
                <w:lang w:val="es-ES"/>
              </w:rPr>
              <w:t>Parte peticionaria</w:t>
            </w:r>
            <w:r w:rsidR="0090095F" w:rsidRPr="00491517">
              <w:rPr>
                <w:rFonts w:ascii="Cambria" w:hAnsi="Cambria"/>
                <w:b/>
                <w:color w:val="000000" w:themeColor="text1"/>
                <w:sz w:val="20"/>
                <w:szCs w:val="20"/>
                <w:lang w:val="es-ES"/>
              </w:rPr>
              <w:t xml:space="preserve">: </w:t>
            </w:r>
            <w:r w:rsidR="001D2E33" w:rsidRPr="00491517">
              <w:rPr>
                <w:rFonts w:ascii="Cambria" w:hAnsi="Cambria"/>
                <w:bCs/>
                <w:color w:val="000000" w:themeColor="text1"/>
                <w:sz w:val="20"/>
                <w:szCs w:val="20"/>
                <w:lang w:val="es-ES"/>
              </w:rPr>
              <w:t>A</w:t>
            </w:r>
            <w:r w:rsidR="0090095F" w:rsidRPr="00491517">
              <w:rPr>
                <w:rFonts w:ascii="Cambria" w:hAnsi="Cambria"/>
                <w:bCs/>
                <w:color w:val="000000" w:themeColor="text1"/>
                <w:sz w:val="20"/>
                <w:szCs w:val="20"/>
                <w:lang w:val="es-ES"/>
              </w:rPr>
              <w:t>PRODEH</w:t>
            </w:r>
            <w:r w:rsidR="00C36B46" w:rsidRPr="00491517">
              <w:rPr>
                <w:rFonts w:ascii="Cambria" w:hAnsi="Cambria"/>
                <w:bCs/>
                <w:color w:val="000000" w:themeColor="text1"/>
                <w:sz w:val="20"/>
                <w:szCs w:val="20"/>
                <w:lang w:val="es-ES"/>
              </w:rPr>
              <w:t>; CEJIL</w:t>
            </w:r>
            <w:r w:rsidR="003B1BF9" w:rsidRPr="00491517">
              <w:rPr>
                <w:rFonts w:ascii="Cambria" w:hAnsi="Cambria"/>
                <w:bCs/>
                <w:color w:val="000000" w:themeColor="text1"/>
                <w:sz w:val="20"/>
                <w:szCs w:val="20"/>
                <w:lang w:val="es-ES"/>
              </w:rPr>
              <w:t>; COMISEDH</w:t>
            </w:r>
            <w:r w:rsidRPr="00491517">
              <w:rPr>
                <w:rStyle w:val="FootnoteReference"/>
                <w:rFonts w:ascii="Cambria" w:hAnsi="Cambria"/>
                <w:bCs/>
                <w:color w:val="000000" w:themeColor="text1"/>
                <w:sz w:val="20"/>
                <w:szCs w:val="20"/>
                <w:lang w:val="es-ES"/>
              </w:rPr>
              <w:footnoteReference w:id="2"/>
            </w:r>
            <w:r w:rsidRPr="00491517">
              <w:rPr>
                <w:rFonts w:ascii="Cambria" w:hAnsi="Cambria"/>
                <w:bCs/>
                <w:color w:val="000000" w:themeColor="text1"/>
                <w:sz w:val="20"/>
                <w:szCs w:val="20"/>
                <w:lang w:val="es-ES"/>
              </w:rPr>
              <w:t xml:space="preserve">. </w:t>
            </w:r>
          </w:p>
          <w:p w14:paraId="515B4467" w14:textId="173599C2" w:rsidR="00842B44" w:rsidRPr="00491517" w:rsidRDefault="00842B44" w:rsidP="00B537A7">
            <w:pPr>
              <w:pStyle w:val="NoSpacing"/>
              <w:spacing w:after="240"/>
              <w:jc w:val="both"/>
              <w:rPr>
                <w:rFonts w:ascii="Cambria" w:hAnsi="Cambria"/>
                <w:bCs/>
                <w:color w:val="000000" w:themeColor="text1"/>
                <w:sz w:val="20"/>
                <w:szCs w:val="20"/>
                <w:lang w:val="es-ES"/>
              </w:rPr>
            </w:pPr>
            <w:r w:rsidRPr="00491517">
              <w:rPr>
                <w:rFonts w:ascii="Cambria" w:hAnsi="Cambria"/>
                <w:b/>
                <w:color w:val="000000" w:themeColor="text1"/>
                <w:sz w:val="20"/>
                <w:szCs w:val="20"/>
                <w:lang w:val="es-ES"/>
              </w:rPr>
              <w:t>Estado</w:t>
            </w:r>
            <w:r w:rsidR="0090095F" w:rsidRPr="00491517">
              <w:rPr>
                <w:rFonts w:ascii="Cambria" w:hAnsi="Cambria"/>
                <w:b/>
                <w:color w:val="000000" w:themeColor="text1"/>
                <w:sz w:val="20"/>
                <w:szCs w:val="20"/>
                <w:lang w:val="es-ES"/>
              </w:rPr>
              <w:t xml:space="preserve">: </w:t>
            </w:r>
            <w:r w:rsidR="0090095F" w:rsidRPr="00491517">
              <w:rPr>
                <w:rFonts w:ascii="Cambria" w:hAnsi="Cambria"/>
                <w:bCs/>
                <w:color w:val="000000" w:themeColor="text1"/>
                <w:sz w:val="20"/>
                <w:szCs w:val="20"/>
                <w:lang w:val="es-ES"/>
              </w:rPr>
              <w:t>Perú</w:t>
            </w:r>
          </w:p>
          <w:p w14:paraId="355BF949" w14:textId="62B4CB64" w:rsidR="00842B44" w:rsidRPr="00491517" w:rsidRDefault="00842B44" w:rsidP="00B537A7">
            <w:pPr>
              <w:pStyle w:val="NoSpacing"/>
              <w:spacing w:after="120"/>
              <w:jc w:val="both"/>
              <w:rPr>
                <w:rFonts w:ascii="Cambria" w:hAnsi="Cambria"/>
                <w:bCs/>
                <w:color w:val="000000" w:themeColor="text1"/>
                <w:sz w:val="20"/>
                <w:szCs w:val="20"/>
                <w:lang w:val="es-ES"/>
              </w:rPr>
            </w:pPr>
            <w:r w:rsidRPr="00491517">
              <w:rPr>
                <w:rFonts w:ascii="Cambria" w:hAnsi="Cambria"/>
                <w:b/>
                <w:color w:val="000000" w:themeColor="text1"/>
                <w:sz w:val="20"/>
                <w:szCs w:val="20"/>
                <w:lang w:val="es-ES"/>
              </w:rPr>
              <w:t>Temas</w:t>
            </w:r>
            <w:r w:rsidR="00266155" w:rsidRPr="00491517">
              <w:rPr>
                <w:rFonts w:ascii="Cambria" w:hAnsi="Cambria"/>
                <w:b/>
                <w:color w:val="000000" w:themeColor="text1"/>
                <w:sz w:val="20"/>
                <w:szCs w:val="20"/>
                <w:lang w:val="es-ES"/>
              </w:rPr>
              <w:t xml:space="preserve">: </w:t>
            </w:r>
            <w:r w:rsidR="00266155" w:rsidRPr="00491517">
              <w:rPr>
                <w:rFonts w:ascii="Cambria" w:hAnsi="Cambria"/>
                <w:bCs/>
                <w:color w:val="000000" w:themeColor="text1"/>
                <w:sz w:val="20"/>
                <w:szCs w:val="20"/>
                <w:lang w:val="es-ES"/>
              </w:rPr>
              <w:t>Derecho a la Vida / Derecho a la Integridad Personal / Derecho a la Libertad Personal / Derecho a Reconocimiento de la Personalidad Jurídica / Garantías Judiciales / Protección Judicial / Detención Arbitraria / Desaparición Forzada / Memoria, Verdad y Justicia / Tortura, Tratos Crueles, Inhumanos y/o Degradantes</w:t>
            </w:r>
            <w:r w:rsidR="00280FDB" w:rsidRPr="00491517">
              <w:rPr>
                <w:rFonts w:ascii="Cambria" w:hAnsi="Cambria"/>
                <w:bCs/>
                <w:color w:val="000000" w:themeColor="text1"/>
                <w:sz w:val="20"/>
                <w:szCs w:val="20"/>
                <w:lang w:val="es-ES"/>
              </w:rPr>
              <w:t xml:space="preserve"> / </w:t>
            </w:r>
            <w:r w:rsidR="003511A4" w:rsidRPr="00491517">
              <w:rPr>
                <w:rFonts w:ascii="Cambria" w:hAnsi="Cambria"/>
                <w:bCs/>
                <w:color w:val="000000" w:themeColor="text1"/>
                <w:sz w:val="20"/>
                <w:szCs w:val="20"/>
                <w:lang w:val="es-ES"/>
              </w:rPr>
              <w:t>Deber de Adoptar Medidas y Disposiciones de Derecho Interno / Derechos de Niñas, Niños y Adolescentes / Ejecuciones sumarias, extrajudiciales o arbitrarias</w:t>
            </w:r>
          </w:p>
        </w:tc>
      </w:tr>
    </w:tbl>
    <w:p w14:paraId="20E192EB" w14:textId="6E20FDBF" w:rsidR="003B1BF9" w:rsidRDefault="003B1BF9" w:rsidP="003B1BF9">
      <w:pPr>
        <w:spacing w:after="0" w:line="240" w:lineRule="auto"/>
        <w:jc w:val="both"/>
        <w:rPr>
          <w:rFonts w:ascii="Cambria" w:hAnsi="Cambria" w:cs="Calibri Light"/>
          <w:b/>
          <w:color w:val="000000" w:themeColor="text1"/>
          <w:sz w:val="20"/>
          <w:szCs w:val="20"/>
          <w:lang w:val="es-US"/>
        </w:rPr>
      </w:pPr>
    </w:p>
    <w:p w14:paraId="02B36DEB" w14:textId="388C88A5" w:rsidR="007D7B0D" w:rsidRDefault="007D7B0D" w:rsidP="003B1BF9">
      <w:pPr>
        <w:spacing w:after="0" w:line="240" w:lineRule="auto"/>
        <w:jc w:val="both"/>
        <w:rPr>
          <w:rFonts w:ascii="Cambria" w:hAnsi="Cambria" w:cs="Calibri Light"/>
          <w:b/>
          <w:color w:val="000000" w:themeColor="text1"/>
          <w:sz w:val="20"/>
          <w:szCs w:val="20"/>
          <w:lang w:val="es-US"/>
        </w:rPr>
      </w:pPr>
    </w:p>
    <w:p w14:paraId="0262E53C" w14:textId="2700D743" w:rsidR="007D7B0D" w:rsidRDefault="007D7B0D" w:rsidP="003B1BF9">
      <w:pPr>
        <w:spacing w:after="0" w:line="240" w:lineRule="auto"/>
        <w:jc w:val="both"/>
        <w:rPr>
          <w:rFonts w:ascii="Cambria" w:hAnsi="Cambria" w:cs="Calibri Light"/>
          <w:b/>
          <w:color w:val="000000" w:themeColor="text1"/>
          <w:sz w:val="20"/>
          <w:szCs w:val="20"/>
          <w:lang w:val="es-US"/>
        </w:rPr>
      </w:pPr>
    </w:p>
    <w:p w14:paraId="664EDC1D" w14:textId="77777777" w:rsidR="007D7B0D" w:rsidRPr="00491517" w:rsidRDefault="007D7B0D" w:rsidP="003B1BF9">
      <w:pPr>
        <w:spacing w:after="0" w:line="240" w:lineRule="auto"/>
        <w:jc w:val="both"/>
        <w:rPr>
          <w:rFonts w:ascii="Cambria" w:hAnsi="Cambria" w:cs="Calibri Light"/>
          <w:b/>
          <w:color w:val="000000" w:themeColor="text1"/>
          <w:sz w:val="20"/>
          <w:szCs w:val="20"/>
          <w:lang w:val="es-US"/>
        </w:rPr>
      </w:pPr>
    </w:p>
    <w:p w14:paraId="55509713" w14:textId="21127FA1" w:rsidR="00707DFA" w:rsidRPr="00491517" w:rsidRDefault="00707DFA" w:rsidP="006C10E7">
      <w:pPr>
        <w:pStyle w:val="ListParagraph"/>
        <w:numPr>
          <w:ilvl w:val="0"/>
          <w:numId w:val="2"/>
        </w:numPr>
        <w:spacing w:after="0" w:line="240" w:lineRule="auto"/>
        <w:ind w:left="1440"/>
        <w:jc w:val="both"/>
        <w:rPr>
          <w:rFonts w:ascii="Cambria" w:hAnsi="Cambria" w:cs="Calibri Light"/>
          <w:b/>
          <w:color w:val="000000" w:themeColor="text1"/>
          <w:sz w:val="20"/>
          <w:szCs w:val="20"/>
          <w:lang w:val="es-US"/>
        </w:rPr>
      </w:pPr>
      <w:r w:rsidRPr="00491517">
        <w:rPr>
          <w:rFonts w:ascii="Cambria" w:hAnsi="Cambria" w:cs="Calibri Light"/>
          <w:b/>
          <w:color w:val="000000" w:themeColor="text1"/>
          <w:sz w:val="20"/>
          <w:szCs w:val="20"/>
          <w:lang w:val="es-US"/>
        </w:rPr>
        <w:lastRenderedPageBreak/>
        <w:t xml:space="preserve">Actividad procesal </w:t>
      </w:r>
    </w:p>
    <w:p w14:paraId="2D824399" w14:textId="796813B4" w:rsidR="00707DFA" w:rsidRPr="00491517" w:rsidRDefault="00707DFA" w:rsidP="00B537A7">
      <w:pPr>
        <w:spacing w:after="0" w:line="240" w:lineRule="auto"/>
        <w:jc w:val="both"/>
        <w:rPr>
          <w:rFonts w:ascii="Cambria" w:hAnsi="Cambria" w:cs="Calibri Light"/>
          <w:b/>
          <w:color w:val="000000" w:themeColor="text1"/>
          <w:sz w:val="20"/>
          <w:szCs w:val="20"/>
          <w:lang w:val="es-US"/>
        </w:rPr>
      </w:pPr>
    </w:p>
    <w:p w14:paraId="6F6B210F" w14:textId="291D023F" w:rsidR="00252438" w:rsidRPr="00491517" w:rsidRDefault="00AF6FE1" w:rsidP="00A36C6E">
      <w:pPr>
        <w:pStyle w:val="ListParagraph"/>
        <w:numPr>
          <w:ilvl w:val="0"/>
          <w:numId w:val="16"/>
        </w:numPr>
        <w:spacing w:after="0" w:line="240" w:lineRule="auto"/>
        <w:ind w:left="0" w:firstLine="720"/>
        <w:jc w:val="both"/>
        <w:rPr>
          <w:rFonts w:ascii="Cambria" w:hAnsi="Cambria"/>
          <w:bCs/>
          <w:color w:val="000000" w:themeColor="text1"/>
          <w:sz w:val="20"/>
          <w:szCs w:val="20"/>
          <w:lang w:val="es-CO"/>
        </w:rPr>
      </w:pPr>
      <w:r w:rsidRPr="00491517">
        <w:rPr>
          <w:rFonts w:ascii="Cambria" w:hAnsi="Cambria" w:cs="Calibri Light"/>
          <w:bCs/>
          <w:color w:val="000000" w:themeColor="text1"/>
          <w:sz w:val="20"/>
          <w:szCs w:val="20"/>
          <w:lang w:val="es-US"/>
        </w:rPr>
        <w:t xml:space="preserve">El 22 de febrero de 2001, durante el </w:t>
      </w:r>
      <w:r w:rsidRPr="00491517">
        <w:rPr>
          <w:rFonts w:ascii="Cambria" w:hAnsi="Cambria"/>
          <w:bCs/>
          <w:color w:val="000000" w:themeColor="text1"/>
          <w:sz w:val="20"/>
          <w:szCs w:val="20"/>
          <w:lang w:val="es-CO"/>
        </w:rPr>
        <w:t xml:space="preserve">110º Período Ordinario de Sesiones de la Comisión Interamericana de Derechos Humanos (CIDH), fue emitido </w:t>
      </w:r>
      <w:r w:rsidR="005B67C6" w:rsidRPr="00491517">
        <w:rPr>
          <w:rFonts w:ascii="Cambria" w:hAnsi="Cambria"/>
          <w:bCs/>
          <w:color w:val="000000" w:themeColor="text1"/>
          <w:sz w:val="20"/>
          <w:szCs w:val="20"/>
          <w:lang w:val="es-CO"/>
        </w:rPr>
        <w:t>el</w:t>
      </w:r>
      <w:r w:rsidRPr="00491517">
        <w:rPr>
          <w:rFonts w:ascii="Cambria" w:hAnsi="Cambria"/>
          <w:bCs/>
          <w:color w:val="000000" w:themeColor="text1"/>
          <w:sz w:val="20"/>
          <w:szCs w:val="20"/>
          <w:lang w:val="es-CO"/>
        </w:rPr>
        <w:t xml:space="preserve"> Comunicado de Prensa Conjunto</w:t>
      </w:r>
      <w:r w:rsidR="005B67C6" w:rsidRPr="00491517">
        <w:rPr>
          <w:rFonts w:ascii="Cambria" w:hAnsi="Cambria"/>
          <w:bCs/>
          <w:color w:val="000000" w:themeColor="text1"/>
          <w:sz w:val="20"/>
          <w:szCs w:val="20"/>
          <w:lang w:val="es-CO"/>
        </w:rPr>
        <w:t xml:space="preserve"> P-1193-CA</w:t>
      </w:r>
      <w:r w:rsidRPr="00491517">
        <w:rPr>
          <w:rFonts w:ascii="Cambria" w:hAnsi="Cambria"/>
          <w:bCs/>
          <w:color w:val="000000" w:themeColor="text1"/>
          <w:sz w:val="20"/>
          <w:szCs w:val="20"/>
          <w:lang w:val="es-CO"/>
        </w:rPr>
        <w:t xml:space="preserve"> suscrito con el entonces </w:t>
      </w:r>
      <w:proofErr w:type="gramStart"/>
      <w:r w:rsidRPr="00491517">
        <w:rPr>
          <w:rFonts w:ascii="Cambria" w:hAnsi="Cambria"/>
          <w:bCs/>
          <w:color w:val="000000" w:themeColor="text1"/>
          <w:sz w:val="20"/>
          <w:szCs w:val="20"/>
          <w:lang w:val="es-CO"/>
        </w:rPr>
        <w:t>Ministro</w:t>
      </w:r>
      <w:proofErr w:type="gramEnd"/>
      <w:r w:rsidRPr="00491517">
        <w:rPr>
          <w:rFonts w:ascii="Cambria" w:hAnsi="Cambria"/>
          <w:bCs/>
          <w:color w:val="000000" w:themeColor="text1"/>
          <w:sz w:val="20"/>
          <w:szCs w:val="20"/>
          <w:lang w:val="es-CO"/>
        </w:rPr>
        <w:t xml:space="preserve"> de Justicia del Estado de Perú</w:t>
      </w:r>
      <w:r w:rsidR="005B67C6" w:rsidRPr="00491517">
        <w:rPr>
          <w:rFonts w:ascii="Cambria" w:hAnsi="Cambria"/>
          <w:bCs/>
          <w:color w:val="000000" w:themeColor="text1"/>
          <w:sz w:val="20"/>
          <w:szCs w:val="20"/>
          <w:lang w:val="es-CO"/>
        </w:rPr>
        <w:t xml:space="preserve">. </w:t>
      </w:r>
    </w:p>
    <w:p w14:paraId="58EBFB35" w14:textId="77777777" w:rsidR="00205443" w:rsidRPr="00491517" w:rsidRDefault="00205443" w:rsidP="00A36C6E">
      <w:pPr>
        <w:pStyle w:val="ListParagraph"/>
        <w:spacing w:after="0" w:line="240" w:lineRule="auto"/>
        <w:ind w:left="0" w:firstLine="720"/>
        <w:jc w:val="both"/>
        <w:rPr>
          <w:rStyle w:val="normaltextrun"/>
          <w:rFonts w:ascii="Cambria" w:hAnsi="Cambria"/>
          <w:bCs/>
          <w:color w:val="000000" w:themeColor="text1"/>
          <w:sz w:val="20"/>
          <w:szCs w:val="20"/>
          <w:lang w:val="es-CO"/>
        </w:rPr>
      </w:pPr>
    </w:p>
    <w:p w14:paraId="66F7B3B3" w14:textId="3A28C8E2" w:rsidR="00252438" w:rsidRPr="00491517" w:rsidRDefault="00FE0C1F" w:rsidP="00A36C6E">
      <w:pPr>
        <w:pStyle w:val="ListParagraph"/>
        <w:numPr>
          <w:ilvl w:val="0"/>
          <w:numId w:val="16"/>
        </w:numPr>
        <w:spacing w:after="0" w:line="240" w:lineRule="auto"/>
        <w:ind w:left="0" w:firstLine="720"/>
        <w:jc w:val="both"/>
        <w:rPr>
          <w:rStyle w:val="normaltextrun"/>
          <w:rFonts w:ascii="Cambria" w:hAnsi="Cambria"/>
          <w:bCs/>
          <w:color w:val="000000" w:themeColor="text1"/>
          <w:sz w:val="20"/>
          <w:szCs w:val="20"/>
          <w:lang w:val="es-CO"/>
        </w:rPr>
      </w:pPr>
      <w:r w:rsidRPr="00491517">
        <w:rPr>
          <w:rStyle w:val="normaltextrun"/>
          <w:rFonts w:ascii="Cambria" w:hAnsi="Cambria"/>
          <w:color w:val="000000" w:themeColor="text1"/>
          <w:sz w:val="20"/>
          <w:szCs w:val="20"/>
          <w:shd w:val="clear" w:color="auto" w:fill="FFFFFF"/>
          <w:lang w:val="es-CO"/>
        </w:rPr>
        <w:t> </w:t>
      </w:r>
      <w:r w:rsidR="00205443" w:rsidRPr="00491517">
        <w:rPr>
          <w:rStyle w:val="normaltextrun"/>
          <w:rFonts w:ascii="Cambria" w:hAnsi="Cambria"/>
          <w:color w:val="000000" w:themeColor="text1"/>
          <w:sz w:val="20"/>
          <w:szCs w:val="20"/>
          <w:shd w:val="clear" w:color="auto" w:fill="FFFFFF"/>
          <w:lang w:val="es-ES"/>
        </w:rPr>
        <w:t>L</w:t>
      </w:r>
      <w:r w:rsidR="00252438" w:rsidRPr="00491517">
        <w:rPr>
          <w:rStyle w:val="normaltextrun"/>
          <w:rFonts w:ascii="Cambria" w:hAnsi="Cambria"/>
          <w:color w:val="000000" w:themeColor="text1"/>
          <w:sz w:val="20"/>
          <w:szCs w:val="20"/>
          <w:shd w:val="clear" w:color="auto" w:fill="FFFFFF"/>
          <w:lang w:val="es-ES"/>
        </w:rPr>
        <w:t>a CIDH sostuvo reuniones de trabajo para monitorear el cumplimiento de las recomendaciones emitidas en los informes de fondo</w:t>
      </w:r>
      <w:r w:rsidR="00205443" w:rsidRPr="00491517">
        <w:rPr>
          <w:rStyle w:val="normaltextrun"/>
          <w:rFonts w:ascii="Cambria" w:hAnsi="Cambria"/>
          <w:color w:val="000000" w:themeColor="text1"/>
          <w:sz w:val="20"/>
          <w:szCs w:val="20"/>
          <w:shd w:val="clear" w:color="auto" w:fill="FFFFFF"/>
          <w:lang w:val="es-ES"/>
        </w:rPr>
        <w:t xml:space="preserve"> de estos casos</w:t>
      </w:r>
      <w:r w:rsidR="00252438" w:rsidRPr="00491517">
        <w:rPr>
          <w:rStyle w:val="normaltextrun"/>
          <w:rFonts w:ascii="Cambria" w:hAnsi="Cambria"/>
          <w:color w:val="000000" w:themeColor="text1"/>
          <w:sz w:val="20"/>
          <w:szCs w:val="20"/>
          <w:shd w:val="clear" w:color="auto" w:fill="FFFFFF"/>
          <w:lang w:val="es-ES"/>
        </w:rPr>
        <w:t> </w:t>
      </w:r>
      <w:r w:rsidR="00252438" w:rsidRPr="00491517">
        <w:rPr>
          <w:rStyle w:val="normaltextrun"/>
          <w:rFonts w:ascii="Cambria" w:hAnsi="Cambria"/>
          <w:color w:val="000000" w:themeColor="text1"/>
          <w:sz w:val="20"/>
          <w:szCs w:val="20"/>
          <w:shd w:val="clear" w:color="auto" w:fill="FFFFFF"/>
          <w:lang w:val="es-EC"/>
        </w:rPr>
        <w:t xml:space="preserve">en sus </w:t>
      </w:r>
      <w:r w:rsidR="00205443" w:rsidRPr="00491517">
        <w:rPr>
          <w:rStyle w:val="normaltextrun"/>
          <w:rFonts w:ascii="Cambria" w:hAnsi="Cambria"/>
          <w:color w:val="000000" w:themeColor="text1"/>
          <w:sz w:val="20"/>
          <w:szCs w:val="20"/>
          <w:shd w:val="clear" w:color="auto" w:fill="FFFFFF"/>
          <w:lang w:val="es-EC"/>
        </w:rPr>
        <w:t>Periodos de Sesiones</w:t>
      </w:r>
      <w:r w:rsidR="00252438" w:rsidRPr="00491517">
        <w:rPr>
          <w:rStyle w:val="normaltextrun"/>
          <w:rFonts w:ascii="Cambria" w:hAnsi="Cambria"/>
          <w:color w:val="000000" w:themeColor="text1"/>
          <w:sz w:val="20"/>
          <w:szCs w:val="20"/>
          <w:shd w:val="clear" w:color="auto" w:fill="FFFFFF"/>
          <w:lang w:val="es-EC"/>
        </w:rPr>
        <w:t> 141º</w:t>
      </w:r>
      <w:r w:rsidR="00583A50" w:rsidRPr="00491517">
        <w:rPr>
          <w:rStyle w:val="normaltextrun"/>
          <w:rFonts w:ascii="Cambria" w:hAnsi="Cambria"/>
          <w:color w:val="000000" w:themeColor="text1"/>
          <w:sz w:val="20"/>
          <w:szCs w:val="20"/>
          <w:shd w:val="clear" w:color="auto" w:fill="FFFFFF"/>
          <w:lang w:val="es-EC"/>
        </w:rPr>
        <w:t xml:space="preserve"> (marzo 2011)</w:t>
      </w:r>
      <w:r w:rsidR="00252438" w:rsidRPr="00491517">
        <w:rPr>
          <w:rStyle w:val="normaltextrun"/>
          <w:rFonts w:ascii="Cambria" w:hAnsi="Cambria"/>
          <w:color w:val="000000" w:themeColor="text1"/>
          <w:sz w:val="20"/>
          <w:szCs w:val="20"/>
          <w:shd w:val="clear" w:color="auto" w:fill="FFFFFF"/>
          <w:lang w:val="es-EC"/>
        </w:rPr>
        <w:t>, 144º</w:t>
      </w:r>
      <w:r w:rsidR="00583A50" w:rsidRPr="00491517">
        <w:rPr>
          <w:rStyle w:val="normaltextrun"/>
          <w:rFonts w:ascii="Cambria" w:hAnsi="Cambria"/>
          <w:color w:val="000000" w:themeColor="text1"/>
          <w:sz w:val="20"/>
          <w:szCs w:val="20"/>
          <w:shd w:val="clear" w:color="auto" w:fill="FFFFFF"/>
          <w:lang w:val="es-EC"/>
        </w:rPr>
        <w:t xml:space="preserve"> (marzo 2021)</w:t>
      </w:r>
      <w:r w:rsidR="00252438" w:rsidRPr="00491517">
        <w:rPr>
          <w:rStyle w:val="normaltextrun"/>
          <w:rFonts w:ascii="Cambria" w:hAnsi="Cambria"/>
          <w:color w:val="000000" w:themeColor="text1"/>
          <w:sz w:val="20"/>
          <w:szCs w:val="20"/>
          <w:shd w:val="clear" w:color="auto" w:fill="FFFFFF"/>
          <w:lang w:val="es-EC"/>
        </w:rPr>
        <w:t>, 147º</w:t>
      </w:r>
      <w:r w:rsidR="00583A50" w:rsidRPr="00491517">
        <w:rPr>
          <w:rStyle w:val="normaltextrun"/>
          <w:rFonts w:ascii="Cambria" w:hAnsi="Cambria"/>
          <w:color w:val="000000" w:themeColor="text1"/>
          <w:sz w:val="20"/>
          <w:szCs w:val="20"/>
          <w:shd w:val="clear" w:color="auto" w:fill="FFFFFF"/>
          <w:lang w:val="es-EC"/>
        </w:rPr>
        <w:t xml:space="preserve"> (marzo 2013)</w:t>
      </w:r>
      <w:r w:rsidR="00252438" w:rsidRPr="00491517">
        <w:rPr>
          <w:rStyle w:val="normaltextrun"/>
          <w:rFonts w:ascii="Cambria" w:hAnsi="Cambria"/>
          <w:color w:val="000000" w:themeColor="text1"/>
          <w:sz w:val="20"/>
          <w:szCs w:val="20"/>
          <w:shd w:val="clear" w:color="auto" w:fill="FFFFFF"/>
          <w:lang w:val="es-EC"/>
        </w:rPr>
        <w:t>, 150º</w:t>
      </w:r>
      <w:r w:rsidR="00583A50" w:rsidRPr="00491517">
        <w:rPr>
          <w:rStyle w:val="normaltextrun"/>
          <w:rFonts w:ascii="Cambria" w:hAnsi="Cambria"/>
          <w:color w:val="000000" w:themeColor="text1"/>
          <w:sz w:val="20"/>
          <w:szCs w:val="20"/>
          <w:shd w:val="clear" w:color="auto" w:fill="FFFFFF"/>
          <w:lang w:val="es-EC"/>
        </w:rPr>
        <w:t xml:space="preserve"> (marzo 2014)</w:t>
      </w:r>
      <w:r w:rsidR="00252438" w:rsidRPr="00491517">
        <w:rPr>
          <w:rStyle w:val="normaltextrun"/>
          <w:rFonts w:ascii="Cambria" w:hAnsi="Cambria"/>
          <w:color w:val="000000" w:themeColor="text1"/>
          <w:sz w:val="20"/>
          <w:szCs w:val="20"/>
          <w:shd w:val="clear" w:color="auto" w:fill="FFFFFF"/>
          <w:lang w:val="es-EC"/>
        </w:rPr>
        <w:t>, 153º</w:t>
      </w:r>
      <w:r w:rsidR="00583A50" w:rsidRPr="00491517">
        <w:rPr>
          <w:rStyle w:val="normaltextrun"/>
          <w:rFonts w:ascii="Cambria" w:hAnsi="Cambria"/>
          <w:color w:val="000000" w:themeColor="text1"/>
          <w:sz w:val="20"/>
          <w:szCs w:val="20"/>
          <w:shd w:val="clear" w:color="auto" w:fill="FFFFFF"/>
          <w:lang w:val="es-EC"/>
        </w:rPr>
        <w:t xml:space="preserve"> (octubre 2014)</w:t>
      </w:r>
      <w:r w:rsidR="00252438" w:rsidRPr="00491517">
        <w:rPr>
          <w:rStyle w:val="normaltextrun"/>
          <w:rFonts w:ascii="Cambria" w:hAnsi="Cambria"/>
          <w:color w:val="000000" w:themeColor="text1"/>
          <w:sz w:val="20"/>
          <w:szCs w:val="20"/>
          <w:shd w:val="clear" w:color="auto" w:fill="FFFFFF"/>
          <w:lang w:val="es-EC"/>
        </w:rPr>
        <w:t>, 154º</w:t>
      </w:r>
      <w:r w:rsidR="00583A50" w:rsidRPr="00491517">
        <w:rPr>
          <w:rStyle w:val="normaltextrun"/>
          <w:rFonts w:ascii="Cambria" w:hAnsi="Cambria"/>
          <w:color w:val="000000" w:themeColor="text1"/>
          <w:sz w:val="20"/>
          <w:szCs w:val="20"/>
          <w:shd w:val="clear" w:color="auto" w:fill="FFFFFF"/>
          <w:lang w:val="es-EC"/>
        </w:rPr>
        <w:t xml:space="preserve"> (marzo 2015)</w:t>
      </w:r>
      <w:r w:rsidR="00252438" w:rsidRPr="00491517">
        <w:rPr>
          <w:rStyle w:val="normaltextrun"/>
          <w:rFonts w:ascii="Cambria" w:hAnsi="Cambria"/>
          <w:color w:val="000000" w:themeColor="text1"/>
          <w:sz w:val="20"/>
          <w:szCs w:val="20"/>
          <w:shd w:val="clear" w:color="auto" w:fill="FFFFFF"/>
          <w:lang w:val="es-EC"/>
        </w:rPr>
        <w:t>, 171º</w:t>
      </w:r>
      <w:r w:rsidR="00583A50" w:rsidRPr="00491517">
        <w:rPr>
          <w:rStyle w:val="normaltextrun"/>
          <w:rFonts w:ascii="Cambria" w:hAnsi="Cambria"/>
          <w:color w:val="000000" w:themeColor="text1"/>
          <w:sz w:val="20"/>
          <w:szCs w:val="20"/>
          <w:shd w:val="clear" w:color="auto" w:fill="FFFFFF"/>
          <w:lang w:val="es-EC"/>
        </w:rPr>
        <w:t xml:space="preserve"> (febrero 2019)</w:t>
      </w:r>
      <w:r w:rsidR="00252438" w:rsidRPr="00491517">
        <w:rPr>
          <w:rStyle w:val="normaltextrun"/>
          <w:rFonts w:ascii="Cambria" w:hAnsi="Cambria"/>
          <w:color w:val="000000" w:themeColor="text1"/>
          <w:sz w:val="20"/>
          <w:szCs w:val="20"/>
          <w:shd w:val="clear" w:color="auto" w:fill="FFFFFF"/>
          <w:lang w:val="es-EC"/>
        </w:rPr>
        <w:t>, 173º </w:t>
      </w:r>
      <w:r w:rsidR="00583A50" w:rsidRPr="00491517">
        <w:rPr>
          <w:rStyle w:val="normaltextrun"/>
          <w:rFonts w:ascii="Cambria" w:hAnsi="Cambria"/>
          <w:color w:val="000000" w:themeColor="text1"/>
          <w:sz w:val="20"/>
          <w:szCs w:val="20"/>
          <w:shd w:val="clear" w:color="auto" w:fill="FFFFFF"/>
          <w:lang w:val="es-EC"/>
        </w:rPr>
        <w:t xml:space="preserve">(septiembre 2019) </w:t>
      </w:r>
      <w:r w:rsidR="00252438" w:rsidRPr="00491517">
        <w:rPr>
          <w:rStyle w:val="normaltextrun"/>
          <w:rFonts w:ascii="Cambria" w:hAnsi="Cambria"/>
          <w:color w:val="000000" w:themeColor="text1"/>
          <w:sz w:val="20"/>
          <w:szCs w:val="20"/>
          <w:shd w:val="clear" w:color="auto" w:fill="FFFFFF"/>
          <w:lang w:val="es-EC"/>
        </w:rPr>
        <w:t>y 177º</w:t>
      </w:r>
      <w:r w:rsidR="00583A50" w:rsidRPr="00491517">
        <w:rPr>
          <w:rStyle w:val="normaltextrun"/>
          <w:rFonts w:ascii="Cambria" w:hAnsi="Cambria"/>
          <w:color w:val="000000" w:themeColor="text1"/>
          <w:sz w:val="20"/>
          <w:szCs w:val="20"/>
          <w:shd w:val="clear" w:color="auto" w:fill="FFFFFF"/>
          <w:lang w:val="es-EC"/>
        </w:rPr>
        <w:t xml:space="preserve"> (septiembre 2020)</w:t>
      </w:r>
      <w:r w:rsidR="00252438" w:rsidRPr="00491517">
        <w:rPr>
          <w:rStyle w:val="normaltextrun"/>
          <w:rFonts w:ascii="Cambria" w:hAnsi="Cambria"/>
          <w:color w:val="000000" w:themeColor="text1"/>
          <w:sz w:val="20"/>
          <w:szCs w:val="20"/>
          <w:shd w:val="clear" w:color="auto" w:fill="FFFFFF"/>
          <w:lang w:val="es-EC"/>
        </w:rPr>
        <w:t>.</w:t>
      </w:r>
    </w:p>
    <w:p w14:paraId="70ECD9A1" w14:textId="77777777" w:rsidR="00205443" w:rsidRPr="00491517" w:rsidRDefault="00205443" w:rsidP="00A36C6E">
      <w:pPr>
        <w:pStyle w:val="ListParagraph"/>
        <w:ind w:left="0" w:firstLine="720"/>
        <w:rPr>
          <w:rStyle w:val="normaltextrun"/>
          <w:rFonts w:ascii="Cambria" w:hAnsi="Cambria"/>
          <w:bCs/>
          <w:color w:val="000000" w:themeColor="text1"/>
          <w:sz w:val="20"/>
          <w:szCs w:val="20"/>
          <w:lang w:val="es-CO"/>
        </w:rPr>
      </w:pPr>
    </w:p>
    <w:p w14:paraId="5A790CCC" w14:textId="3F43202B" w:rsidR="00205443" w:rsidRPr="00491517" w:rsidRDefault="00205443" w:rsidP="00A36C6E">
      <w:pPr>
        <w:pStyle w:val="ListParagraph"/>
        <w:numPr>
          <w:ilvl w:val="0"/>
          <w:numId w:val="16"/>
        </w:numPr>
        <w:spacing w:after="0" w:line="240" w:lineRule="auto"/>
        <w:ind w:left="0" w:firstLine="720"/>
        <w:jc w:val="both"/>
        <w:rPr>
          <w:rStyle w:val="normaltextrun"/>
          <w:rFonts w:ascii="Cambria" w:hAnsi="Cambria"/>
          <w:bCs/>
          <w:color w:val="000000" w:themeColor="text1"/>
          <w:sz w:val="20"/>
          <w:szCs w:val="20"/>
          <w:lang w:val="es-CO"/>
        </w:rPr>
      </w:pPr>
      <w:r w:rsidRPr="00491517">
        <w:rPr>
          <w:rStyle w:val="normaltextrun"/>
          <w:rFonts w:ascii="Cambria" w:hAnsi="Cambria"/>
          <w:color w:val="000000" w:themeColor="text1"/>
          <w:sz w:val="20"/>
          <w:szCs w:val="20"/>
          <w:shd w:val="clear" w:color="auto" w:fill="FFFFFF"/>
          <w:lang w:val="es-CO"/>
        </w:rPr>
        <w:t xml:space="preserve">El Estado de Perú y la CIDH firmaron dos actas en el marco de las reuniones de trabajo llevadas a cabo los días 26 de marzo y 14 de noviembre de 2014 en las que acordaron por escrito compromisos dirigidos a impulsar el cumplimiento de las recomendaciones de los informes de fondo cuyo seguimiento fue incluido en los literales </w:t>
      </w:r>
      <w:r w:rsidRPr="00491517">
        <w:rPr>
          <w:rStyle w:val="normaltextrun"/>
          <w:rFonts w:ascii="Cambria" w:hAnsi="Cambria"/>
          <w:i/>
          <w:iCs/>
          <w:color w:val="000000" w:themeColor="text1"/>
          <w:sz w:val="20"/>
          <w:szCs w:val="20"/>
          <w:shd w:val="clear" w:color="auto" w:fill="FFFFFF"/>
          <w:lang w:val="es-CO"/>
        </w:rPr>
        <w:t>c</w:t>
      </w:r>
      <w:r w:rsidRPr="00491517">
        <w:rPr>
          <w:rStyle w:val="normaltextrun"/>
          <w:rFonts w:ascii="Cambria" w:hAnsi="Cambria"/>
          <w:color w:val="000000" w:themeColor="text1"/>
          <w:sz w:val="20"/>
          <w:szCs w:val="20"/>
          <w:shd w:val="clear" w:color="auto" w:fill="FFFFFF"/>
          <w:lang w:val="es-CO"/>
        </w:rPr>
        <w:t xml:space="preserve"> y </w:t>
      </w:r>
      <w:r w:rsidRPr="00491517">
        <w:rPr>
          <w:rStyle w:val="normaltextrun"/>
          <w:rFonts w:ascii="Cambria" w:hAnsi="Cambria"/>
          <w:i/>
          <w:iCs/>
          <w:color w:val="000000" w:themeColor="text1"/>
          <w:sz w:val="20"/>
          <w:szCs w:val="20"/>
          <w:shd w:val="clear" w:color="auto" w:fill="FFFFFF"/>
          <w:lang w:val="es-CO"/>
        </w:rPr>
        <w:t>d</w:t>
      </w:r>
      <w:r w:rsidRPr="00491517">
        <w:rPr>
          <w:rStyle w:val="normaltextrun"/>
          <w:rFonts w:ascii="Cambria" w:hAnsi="Cambria"/>
          <w:color w:val="000000" w:themeColor="text1"/>
          <w:sz w:val="20"/>
          <w:szCs w:val="20"/>
          <w:shd w:val="clear" w:color="auto" w:fill="FFFFFF"/>
          <w:lang w:val="es-CO"/>
        </w:rPr>
        <w:t xml:space="preserve"> del Comunicado de Prensa Conjunto.</w:t>
      </w:r>
    </w:p>
    <w:p w14:paraId="6ED97A5A" w14:textId="77777777" w:rsidR="00C30558" w:rsidRPr="00491517" w:rsidRDefault="00C30558" w:rsidP="00A36C6E">
      <w:pPr>
        <w:spacing w:after="0" w:line="240" w:lineRule="auto"/>
        <w:ind w:firstLine="720"/>
        <w:jc w:val="both"/>
        <w:rPr>
          <w:rFonts w:ascii="Cambria" w:hAnsi="Cambria"/>
          <w:bCs/>
          <w:color w:val="000000" w:themeColor="text1"/>
          <w:sz w:val="20"/>
          <w:szCs w:val="20"/>
          <w:lang w:val="es-CO"/>
        </w:rPr>
      </w:pPr>
    </w:p>
    <w:p w14:paraId="42E4CCA7" w14:textId="56C7CE79" w:rsidR="00B537A7" w:rsidRPr="00491517" w:rsidRDefault="00D36A41" w:rsidP="00A36C6E">
      <w:pPr>
        <w:pStyle w:val="ListParagraph"/>
        <w:numPr>
          <w:ilvl w:val="0"/>
          <w:numId w:val="16"/>
        </w:numPr>
        <w:spacing w:after="0" w:line="240" w:lineRule="auto"/>
        <w:ind w:left="0" w:firstLine="720"/>
        <w:jc w:val="both"/>
        <w:rPr>
          <w:rStyle w:val="normaltextrun"/>
          <w:rFonts w:ascii="Cambria" w:hAnsi="Cambria"/>
          <w:color w:val="000000" w:themeColor="text1"/>
          <w:sz w:val="20"/>
          <w:szCs w:val="20"/>
          <w:lang w:val="es-EC"/>
        </w:rPr>
      </w:pPr>
      <w:r w:rsidRPr="00491517">
        <w:rPr>
          <w:rFonts w:ascii="Cambria" w:hAnsi="Cambria"/>
          <w:bCs/>
          <w:color w:val="000000" w:themeColor="text1"/>
          <w:sz w:val="20"/>
          <w:szCs w:val="20"/>
          <w:lang w:val="es-CO"/>
        </w:rPr>
        <w:t>D</w:t>
      </w:r>
      <w:r w:rsidR="00BB56B4" w:rsidRPr="00491517">
        <w:rPr>
          <w:rFonts w:ascii="Cambria" w:hAnsi="Cambria"/>
          <w:bCs/>
          <w:color w:val="000000" w:themeColor="text1"/>
          <w:sz w:val="20"/>
          <w:szCs w:val="20"/>
          <w:lang w:val="es-CO"/>
        </w:rPr>
        <w:t>esde</w:t>
      </w:r>
      <w:r w:rsidR="00252438" w:rsidRPr="00491517">
        <w:rPr>
          <w:rStyle w:val="normaltextrun"/>
          <w:rFonts w:ascii="Cambria" w:hAnsi="Cambria"/>
          <w:color w:val="000000" w:themeColor="text1"/>
          <w:sz w:val="20"/>
          <w:szCs w:val="20"/>
          <w:lang w:val="es-EC"/>
        </w:rPr>
        <w:t xml:space="preserve"> el</w:t>
      </w:r>
      <w:r w:rsidR="00BB56B4" w:rsidRPr="00491517">
        <w:rPr>
          <w:rStyle w:val="normaltextrun"/>
          <w:rFonts w:ascii="Cambria" w:hAnsi="Cambria"/>
          <w:color w:val="000000" w:themeColor="text1"/>
          <w:sz w:val="20"/>
          <w:szCs w:val="20"/>
          <w:lang w:val="es-EC"/>
        </w:rPr>
        <w:t xml:space="preserve"> año</w:t>
      </w:r>
      <w:r w:rsidR="00252438" w:rsidRPr="00491517">
        <w:rPr>
          <w:rStyle w:val="normaltextrun"/>
          <w:rFonts w:ascii="Cambria" w:hAnsi="Cambria"/>
          <w:color w:val="000000" w:themeColor="text1"/>
          <w:sz w:val="20"/>
          <w:szCs w:val="20"/>
          <w:lang w:val="es-EC"/>
        </w:rPr>
        <w:t xml:space="preserve"> 2021, la CIDH implementó la realización de reuniones bimensuales de seguimiento</w:t>
      </w:r>
      <w:r w:rsidR="00BB56B4" w:rsidRPr="00491517">
        <w:rPr>
          <w:rStyle w:val="normaltextrun"/>
          <w:rFonts w:ascii="Cambria" w:hAnsi="Cambria"/>
          <w:color w:val="000000" w:themeColor="text1"/>
          <w:sz w:val="20"/>
          <w:szCs w:val="20"/>
          <w:lang w:val="es-EC"/>
        </w:rPr>
        <w:t xml:space="preserve"> </w:t>
      </w:r>
      <w:r w:rsidRPr="00491517">
        <w:rPr>
          <w:rStyle w:val="normaltextrun"/>
          <w:rFonts w:ascii="Cambria" w:hAnsi="Cambria"/>
          <w:color w:val="000000" w:themeColor="text1"/>
          <w:sz w:val="20"/>
          <w:szCs w:val="20"/>
          <w:lang w:val="es-EC"/>
        </w:rPr>
        <w:t>en</w:t>
      </w:r>
      <w:r w:rsidR="00BB56B4" w:rsidRPr="00491517">
        <w:rPr>
          <w:rStyle w:val="normaltextrun"/>
          <w:rFonts w:ascii="Cambria" w:hAnsi="Cambria"/>
          <w:color w:val="000000" w:themeColor="text1"/>
          <w:sz w:val="20"/>
          <w:szCs w:val="20"/>
          <w:lang w:val="es-EC"/>
        </w:rPr>
        <w:t xml:space="preserve"> consenso </w:t>
      </w:r>
      <w:r w:rsidRPr="00491517">
        <w:rPr>
          <w:rStyle w:val="normaltextrun"/>
          <w:rFonts w:ascii="Cambria" w:hAnsi="Cambria"/>
          <w:color w:val="000000" w:themeColor="text1"/>
          <w:sz w:val="20"/>
          <w:szCs w:val="20"/>
          <w:lang w:val="es-EC"/>
        </w:rPr>
        <w:t>con</w:t>
      </w:r>
      <w:r w:rsidR="00BB56B4" w:rsidRPr="00491517">
        <w:rPr>
          <w:rStyle w:val="normaltextrun"/>
          <w:rFonts w:ascii="Cambria" w:hAnsi="Cambria"/>
          <w:color w:val="000000" w:themeColor="text1"/>
          <w:sz w:val="20"/>
          <w:szCs w:val="20"/>
          <w:lang w:val="es-EC"/>
        </w:rPr>
        <w:t xml:space="preserve"> las partes. Estas reuniones han </w:t>
      </w:r>
      <w:r w:rsidRPr="00491517">
        <w:rPr>
          <w:rStyle w:val="normaltextrun"/>
          <w:rFonts w:ascii="Cambria" w:hAnsi="Cambria"/>
          <w:color w:val="000000" w:themeColor="text1"/>
          <w:sz w:val="20"/>
          <w:szCs w:val="20"/>
          <w:lang w:val="es-EC"/>
        </w:rPr>
        <w:t>implementado</w:t>
      </w:r>
      <w:r w:rsidR="00252438" w:rsidRPr="00491517">
        <w:rPr>
          <w:rStyle w:val="normaltextrun"/>
          <w:rFonts w:ascii="Cambria" w:hAnsi="Cambria"/>
          <w:color w:val="000000" w:themeColor="text1"/>
          <w:sz w:val="20"/>
          <w:szCs w:val="20"/>
          <w:lang w:val="es-EC"/>
        </w:rPr>
        <w:t> un seguimiento periódico y cercano por parte de la Comisión</w:t>
      </w:r>
      <w:r w:rsidR="00BB56B4" w:rsidRPr="00491517">
        <w:rPr>
          <w:rStyle w:val="normaltextrun"/>
          <w:rFonts w:ascii="Cambria" w:hAnsi="Cambria"/>
          <w:color w:val="000000" w:themeColor="text1"/>
          <w:sz w:val="20"/>
          <w:szCs w:val="20"/>
          <w:lang w:val="es-EC"/>
        </w:rPr>
        <w:t xml:space="preserve"> y </w:t>
      </w:r>
      <w:r w:rsidRPr="00491517">
        <w:rPr>
          <w:rStyle w:val="normaltextrun"/>
          <w:rFonts w:ascii="Cambria" w:hAnsi="Cambria"/>
          <w:color w:val="000000" w:themeColor="text1"/>
          <w:sz w:val="20"/>
          <w:szCs w:val="20"/>
          <w:lang w:val="es-EC"/>
        </w:rPr>
        <w:t xml:space="preserve">han fortalecido </w:t>
      </w:r>
      <w:r w:rsidR="00252438" w:rsidRPr="00491517">
        <w:rPr>
          <w:rStyle w:val="normaltextrun"/>
          <w:rFonts w:ascii="Cambria" w:hAnsi="Cambria"/>
          <w:color w:val="000000" w:themeColor="text1"/>
          <w:sz w:val="20"/>
          <w:szCs w:val="20"/>
          <w:lang w:val="es-EC"/>
        </w:rPr>
        <w:t>una vía de diálogo y participación de la Comisión, del Estado y de la</w:t>
      </w:r>
      <w:r w:rsidR="00BB56B4" w:rsidRPr="00491517">
        <w:rPr>
          <w:rStyle w:val="normaltextrun"/>
          <w:rFonts w:ascii="Cambria" w:hAnsi="Cambria"/>
          <w:color w:val="000000" w:themeColor="text1"/>
          <w:sz w:val="20"/>
          <w:szCs w:val="20"/>
          <w:lang w:val="es-EC"/>
        </w:rPr>
        <w:t xml:space="preserve"> parte peticionaria de los casos. </w:t>
      </w:r>
      <w:r w:rsidR="00252438" w:rsidRPr="00491517">
        <w:rPr>
          <w:rStyle w:val="eop"/>
          <w:rFonts w:ascii="Cambria" w:hAnsi="Cambria"/>
          <w:color w:val="000000" w:themeColor="text1"/>
          <w:sz w:val="20"/>
          <w:szCs w:val="20"/>
          <w:lang w:val="es-CO"/>
        </w:rPr>
        <w:t> </w:t>
      </w:r>
      <w:r w:rsidR="00BB56B4" w:rsidRPr="00491517">
        <w:rPr>
          <w:rStyle w:val="eop"/>
          <w:rFonts w:ascii="Cambria" w:hAnsi="Cambria"/>
          <w:color w:val="000000" w:themeColor="text1"/>
          <w:sz w:val="20"/>
          <w:szCs w:val="20"/>
          <w:lang w:val="es-CO"/>
        </w:rPr>
        <w:t xml:space="preserve">Estas reuniones </w:t>
      </w:r>
      <w:r w:rsidRPr="00491517">
        <w:rPr>
          <w:rStyle w:val="eop"/>
          <w:rFonts w:ascii="Cambria" w:hAnsi="Cambria"/>
          <w:color w:val="000000" w:themeColor="text1"/>
          <w:sz w:val="20"/>
          <w:szCs w:val="20"/>
          <w:lang w:val="es-CO"/>
        </w:rPr>
        <w:t>fueron</w:t>
      </w:r>
      <w:r w:rsidR="00BB56B4" w:rsidRPr="00491517">
        <w:rPr>
          <w:rStyle w:val="eop"/>
          <w:rFonts w:ascii="Cambria" w:hAnsi="Cambria"/>
          <w:color w:val="000000" w:themeColor="text1"/>
          <w:sz w:val="20"/>
          <w:szCs w:val="20"/>
          <w:lang w:val="es-CO"/>
        </w:rPr>
        <w:t xml:space="preserve"> realizadas </w:t>
      </w:r>
      <w:r w:rsidR="00270A8D" w:rsidRPr="00491517">
        <w:rPr>
          <w:rStyle w:val="eop"/>
          <w:rFonts w:ascii="Cambria" w:hAnsi="Cambria"/>
          <w:color w:val="000000" w:themeColor="text1"/>
          <w:sz w:val="20"/>
          <w:szCs w:val="20"/>
          <w:lang w:val="es-CO"/>
        </w:rPr>
        <w:t xml:space="preserve">en las siguientes fechas del año </w:t>
      </w:r>
      <w:r w:rsidR="00BB56B4" w:rsidRPr="00491517">
        <w:rPr>
          <w:rStyle w:val="eop"/>
          <w:rFonts w:ascii="Cambria" w:hAnsi="Cambria"/>
          <w:color w:val="000000" w:themeColor="text1"/>
          <w:sz w:val="20"/>
          <w:szCs w:val="20"/>
          <w:lang w:val="es-CO"/>
        </w:rPr>
        <w:t xml:space="preserve">2021: </w:t>
      </w:r>
      <w:r w:rsidR="00252438" w:rsidRPr="00491517">
        <w:rPr>
          <w:rStyle w:val="normaltextrun"/>
          <w:rFonts w:ascii="Cambria" w:hAnsi="Cambria"/>
          <w:color w:val="000000" w:themeColor="text1"/>
          <w:sz w:val="20"/>
          <w:szCs w:val="20"/>
          <w:lang w:val="es-EC"/>
        </w:rPr>
        <w:t>26 de marzo del 2021</w:t>
      </w:r>
      <w:r w:rsidR="00BB56B4" w:rsidRPr="00491517">
        <w:rPr>
          <w:rStyle w:val="normaltextrun"/>
          <w:rFonts w:ascii="Cambria" w:hAnsi="Cambria"/>
          <w:color w:val="000000" w:themeColor="text1"/>
          <w:sz w:val="20"/>
          <w:szCs w:val="20"/>
          <w:lang w:val="es-EC"/>
        </w:rPr>
        <w:t>;</w:t>
      </w:r>
      <w:r w:rsidR="00252438" w:rsidRPr="00491517">
        <w:rPr>
          <w:rStyle w:val="normaltextrun"/>
          <w:rFonts w:ascii="Cambria" w:hAnsi="Cambria"/>
          <w:color w:val="000000" w:themeColor="text1"/>
          <w:sz w:val="20"/>
          <w:szCs w:val="20"/>
          <w:lang w:val="es-EC"/>
        </w:rPr>
        <w:t xml:space="preserve"> 25 de mayo</w:t>
      </w:r>
      <w:r w:rsidR="00270A8D" w:rsidRPr="00491517">
        <w:rPr>
          <w:rStyle w:val="normaltextrun"/>
          <w:rFonts w:ascii="Cambria" w:hAnsi="Cambria"/>
          <w:color w:val="000000" w:themeColor="text1"/>
          <w:sz w:val="20"/>
          <w:szCs w:val="20"/>
          <w:lang w:val="es-EC"/>
        </w:rPr>
        <w:t xml:space="preserve">; </w:t>
      </w:r>
      <w:r w:rsidR="00252438" w:rsidRPr="00491517">
        <w:rPr>
          <w:rStyle w:val="normaltextrun"/>
          <w:rFonts w:ascii="Cambria" w:hAnsi="Cambria"/>
          <w:color w:val="000000" w:themeColor="text1"/>
          <w:sz w:val="20"/>
          <w:szCs w:val="20"/>
          <w:lang w:val="es-EC"/>
        </w:rPr>
        <w:t>26 de julio de 2021</w:t>
      </w:r>
      <w:r w:rsidR="00270A8D" w:rsidRPr="00491517">
        <w:rPr>
          <w:rStyle w:val="normaltextrun"/>
          <w:rFonts w:ascii="Cambria" w:hAnsi="Cambria"/>
          <w:color w:val="000000" w:themeColor="text1"/>
          <w:sz w:val="20"/>
          <w:szCs w:val="20"/>
          <w:lang w:val="es-EC"/>
        </w:rPr>
        <w:t>, y</w:t>
      </w:r>
      <w:r w:rsidR="00252438" w:rsidRPr="00491517">
        <w:rPr>
          <w:rStyle w:val="normaltextrun"/>
          <w:rFonts w:ascii="Cambria" w:hAnsi="Cambria"/>
          <w:color w:val="000000" w:themeColor="text1"/>
          <w:sz w:val="20"/>
          <w:szCs w:val="20"/>
          <w:lang w:val="es-EC"/>
        </w:rPr>
        <w:t> 29 de septiembre de 2021</w:t>
      </w:r>
      <w:r w:rsidR="00270A8D" w:rsidRPr="00491517">
        <w:rPr>
          <w:rStyle w:val="normaltextrun"/>
          <w:rFonts w:ascii="Cambria" w:hAnsi="Cambria"/>
          <w:color w:val="000000" w:themeColor="text1"/>
          <w:sz w:val="20"/>
          <w:szCs w:val="20"/>
          <w:lang w:val="es-EC"/>
        </w:rPr>
        <w:t>.</w:t>
      </w:r>
      <w:r w:rsidR="00D93039" w:rsidRPr="00491517">
        <w:rPr>
          <w:rStyle w:val="normaltextrun"/>
          <w:rFonts w:ascii="Cambria" w:hAnsi="Cambria"/>
          <w:color w:val="000000" w:themeColor="text1"/>
          <w:sz w:val="20"/>
          <w:szCs w:val="20"/>
          <w:lang w:val="es-EC"/>
        </w:rPr>
        <w:t xml:space="preserve"> </w:t>
      </w:r>
    </w:p>
    <w:p w14:paraId="0E5A905A" w14:textId="77777777" w:rsidR="00C30558" w:rsidRPr="00491517" w:rsidRDefault="00C30558" w:rsidP="00A36C6E">
      <w:pPr>
        <w:spacing w:after="0" w:line="240" w:lineRule="auto"/>
        <w:ind w:firstLine="720"/>
        <w:jc w:val="both"/>
        <w:rPr>
          <w:rFonts w:ascii="Cambria" w:hAnsi="Cambria"/>
          <w:color w:val="000000" w:themeColor="text1"/>
          <w:sz w:val="20"/>
          <w:szCs w:val="20"/>
          <w:lang w:val="es-EC"/>
        </w:rPr>
      </w:pPr>
    </w:p>
    <w:p w14:paraId="1CB4105F" w14:textId="1A1EA0BF" w:rsidR="00B537A7" w:rsidRPr="00491517" w:rsidRDefault="00B537A7" w:rsidP="00A36C6E">
      <w:pPr>
        <w:pStyle w:val="ListParagraph"/>
        <w:numPr>
          <w:ilvl w:val="0"/>
          <w:numId w:val="16"/>
        </w:numPr>
        <w:spacing w:after="0" w:line="240" w:lineRule="auto"/>
        <w:ind w:left="0" w:firstLine="720"/>
        <w:jc w:val="both"/>
        <w:rPr>
          <w:rFonts w:ascii="Cambria" w:hAnsi="Cambria"/>
          <w:color w:val="000000" w:themeColor="text1"/>
          <w:sz w:val="20"/>
          <w:szCs w:val="20"/>
          <w:lang w:val="es-EC"/>
        </w:rPr>
      </w:pPr>
      <w:r w:rsidRPr="00491517">
        <w:rPr>
          <w:rFonts w:ascii="Cambria" w:hAnsi="Cambria"/>
          <w:color w:val="000000" w:themeColor="text1"/>
          <w:sz w:val="20"/>
          <w:szCs w:val="20"/>
          <w:lang w:val="es-EC"/>
        </w:rPr>
        <w:t xml:space="preserve">Durante el año 2021, el Estado proporcionó a la CIDH información relativa a los procesos de cumplimiento de los casos incluidos en los literales </w:t>
      </w:r>
      <w:r w:rsidRPr="00491517">
        <w:rPr>
          <w:rFonts w:ascii="Cambria" w:hAnsi="Cambria"/>
          <w:i/>
          <w:iCs/>
          <w:color w:val="000000" w:themeColor="text1"/>
          <w:sz w:val="20"/>
          <w:szCs w:val="20"/>
          <w:lang w:val="es-EC"/>
        </w:rPr>
        <w:t>c</w:t>
      </w:r>
      <w:r w:rsidRPr="00491517">
        <w:rPr>
          <w:rFonts w:ascii="Cambria" w:hAnsi="Cambria"/>
          <w:color w:val="000000" w:themeColor="text1"/>
          <w:sz w:val="20"/>
          <w:szCs w:val="20"/>
          <w:lang w:val="es-EC"/>
        </w:rPr>
        <w:t xml:space="preserve"> y </w:t>
      </w:r>
      <w:r w:rsidRPr="00491517">
        <w:rPr>
          <w:rFonts w:ascii="Cambria" w:hAnsi="Cambria"/>
          <w:i/>
          <w:iCs/>
          <w:color w:val="000000" w:themeColor="text1"/>
          <w:sz w:val="20"/>
          <w:szCs w:val="20"/>
          <w:lang w:val="es-EC"/>
        </w:rPr>
        <w:t>d</w:t>
      </w:r>
      <w:r w:rsidRPr="00491517">
        <w:rPr>
          <w:rFonts w:ascii="Cambria" w:hAnsi="Cambria"/>
          <w:color w:val="000000" w:themeColor="text1"/>
          <w:sz w:val="20"/>
          <w:szCs w:val="20"/>
          <w:lang w:val="es-EC"/>
        </w:rPr>
        <w:t xml:space="preserve"> del Comunicado de Prensa Conjunto los días</w:t>
      </w:r>
      <w:r w:rsidR="00CF51B4" w:rsidRPr="00491517">
        <w:rPr>
          <w:rFonts w:ascii="Cambria" w:hAnsi="Cambria"/>
          <w:color w:val="000000" w:themeColor="text1"/>
          <w:sz w:val="20"/>
          <w:szCs w:val="20"/>
          <w:lang w:val="es-EC"/>
        </w:rPr>
        <w:t xml:space="preserve"> </w:t>
      </w:r>
      <w:r w:rsidR="00716BAA" w:rsidRPr="00491517">
        <w:rPr>
          <w:rFonts w:ascii="Cambria" w:hAnsi="Cambria"/>
          <w:color w:val="000000" w:themeColor="text1"/>
          <w:sz w:val="20"/>
          <w:szCs w:val="20"/>
          <w:lang w:val="es-EC"/>
        </w:rPr>
        <w:t>3 de marzo,</w:t>
      </w:r>
      <w:r w:rsidR="008B4839" w:rsidRPr="00491517">
        <w:rPr>
          <w:rFonts w:ascii="Cambria" w:hAnsi="Cambria"/>
          <w:color w:val="000000" w:themeColor="text1"/>
          <w:sz w:val="20"/>
          <w:szCs w:val="20"/>
          <w:lang w:val="es-EC"/>
        </w:rPr>
        <w:t xml:space="preserve"> </w:t>
      </w:r>
      <w:r w:rsidR="009D4345" w:rsidRPr="00491517">
        <w:rPr>
          <w:rFonts w:ascii="Cambria" w:hAnsi="Cambria"/>
          <w:color w:val="000000" w:themeColor="text1"/>
          <w:sz w:val="20"/>
          <w:szCs w:val="20"/>
          <w:lang w:val="es-EC"/>
        </w:rPr>
        <w:t xml:space="preserve">16 de abril, </w:t>
      </w:r>
      <w:r w:rsidR="008B4839" w:rsidRPr="00491517">
        <w:rPr>
          <w:rFonts w:ascii="Cambria" w:hAnsi="Cambria"/>
          <w:color w:val="000000" w:themeColor="text1"/>
          <w:sz w:val="20"/>
          <w:szCs w:val="20"/>
          <w:lang w:val="es-EC"/>
        </w:rPr>
        <w:t>1 de junio,</w:t>
      </w:r>
      <w:r w:rsidR="00B32EFF" w:rsidRPr="00491517">
        <w:rPr>
          <w:rFonts w:ascii="Cambria" w:hAnsi="Cambria"/>
          <w:color w:val="000000" w:themeColor="text1"/>
          <w:sz w:val="20"/>
          <w:szCs w:val="20"/>
          <w:lang w:val="es-EC"/>
        </w:rPr>
        <w:t xml:space="preserve"> </w:t>
      </w:r>
      <w:r w:rsidR="00E52087" w:rsidRPr="00491517">
        <w:rPr>
          <w:rFonts w:ascii="Cambria" w:hAnsi="Cambria"/>
          <w:color w:val="000000" w:themeColor="text1"/>
          <w:sz w:val="20"/>
          <w:szCs w:val="20"/>
          <w:lang w:val="es-EC"/>
        </w:rPr>
        <w:t xml:space="preserve">19 de julio, </w:t>
      </w:r>
      <w:r w:rsidR="00B32EFF" w:rsidRPr="00491517">
        <w:rPr>
          <w:rFonts w:ascii="Cambria" w:hAnsi="Cambria"/>
          <w:color w:val="000000" w:themeColor="text1"/>
          <w:sz w:val="20"/>
          <w:szCs w:val="20"/>
          <w:lang w:val="es-EC"/>
        </w:rPr>
        <w:t>12 de agosto,</w:t>
      </w:r>
      <w:r w:rsidR="0099346C" w:rsidRPr="00491517">
        <w:rPr>
          <w:rFonts w:ascii="Cambria" w:hAnsi="Cambria"/>
          <w:color w:val="000000" w:themeColor="text1"/>
          <w:sz w:val="20"/>
          <w:szCs w:val="20"/>
          <w:lang w:val="es-EC"/>
        </w:rPr>
        <w:t xml:space="preserve"> </w:t>
      </w:r>
      <w:r w:rsidR="008A4B19" w:rsidRPr="00491517">
        <w:rPr>
          <w:rFonts w:ascii="Cambria" w:hAnsi="Cambria"/>
          <w:color w:val="000000" w:themeColor="text1"/>
          <w:sz w:val="20"/>
          <w:szCs w:val="20"/>
          <w:lang w:val="es-EC"/>
        </w:rPr>
        <w:t>29 de septiembre</w:t>
      </w:r>
      <w:r w:rsidR="008B4839" w:rsidRPr="00491517">
        <w:rPr>
          <w:rFonts w:ascii="Cambria" w:hAnsi="Cambria"/>
          <w:color w:val="000000" w:themeColor="text1"/>
          <w:sz w:val="20"/>
          <w:szCs w:val="20"/>
          <w:lang w:val="es-EC"/>
        </w:rPr>
        <w:t xml:space="preserve"> y</w:t>
      </w:r>
      <w:r w:rsidR="008A4B19" w:rsidRPr="00491517">
        <w:rPr>
          <w:rFonts w:ascii="Cambria" w:hAnsi="Cambria"/>
          <w:color w:val="000000" w:themeColor="text1"/>
          <w:sz w:val="20"/>
          <w:szCs w:val="20"/>
          <w:lang w:val="es-EC"/>
        </w:rPr>
        <w:t xml:space="preserve"> </w:t>
      </w:r>
      <w:r w:rsidR="0099346C" w:rsidRPr="00491517">
        <w:rPr>
          <w:rFonts w:ascii="Cambria" w:hAnsi="Cambria"/>
          <w:color w:val="000000" w:themeColor="text1"/>
          <w:sz w:val="20"/>
          <w:szCs w:val="20"/>
          <w:lang w:val="es-EC"/>
        </w:rPr>
        <w:t xml:space="preserve">18 de octubre. </w:t>
      </w:r>
      <w:r w:rsidR="008A5EB3" w:rsidRPr="00491517">
        <w:rPr>
          <w:rFonts w:ascii="Cambria" w:hAnsi="Cambria"/>
          <w:color w:val="000000" w:themeColor="text1"/>
          <w:sz w:val="20"/>
          <w:szCs w:val="20"/>
          <w:lang w:val="es-EC"/>
        </w:rPr>
        <w:t xml:space="preserve"> </w:t>
      </w:r>
      <w:r w:rsidRPr="00491517">
        <w:rPr>
          <w:rFonts w:ascii="Cambria" w:hAnsi="Cambria"/>
          <w:color w:val="000000" w:themeColor="text1"/>
          <w:sz w:val="20"/>
          <w:szCs w:val="20"/>
          <w:lang w:val="es-EC"/>
        </w:rPr>
        <w:t xml:space="preserve"> </w:t>
      </w:r>
    </w:p>
    <w:p w14:paraId="2F2F3E72" w14:textId="77777777" w:rsidR="00B537A7" w:rsidRPr="00491517" w:rsidRDefault="00B537A7" w:rsidP="00A36C6E">
      <w:pPr>
        <w:pStyle w:val="ListParagraph"/>
        <w:ind w:left="0" w:firstLine="720"/>
        <w:jc w:val="both"/>
        <w:rPr>
          <w:rFonts w:ascii="Cambria" w:hAnsi="Cambria"/>
          <w:color w:val="000000" w:themeColor="text1"/>
          <w:sz w:val="20"/>
          <w:szCs w:val="20"/>
          <w:lang w:val="es-EC"/>
        </w:rPr>
      </w:pPr>
    </w:p>
    <w:p w14:paraId="1B313DD7" w14:textId="7C303094" w:rsidR="00B537A7" w:rsidRPr="00491517" w:rsidRDefault="00B537A7" w:rsidP="00A36C6E">
      <w:pPr>
        <w:pStyle w:val="ListParagraph"/>
        <w:numPr>
          <w:ilvl w:val="0"/>
          <w:numId w:val="16"/>
        </w:numPr>
        <w:spacing w:after="0" w:line="240" w:lineRule="auto"/>
        <w:ind w:left="0" w:firstLine="720"/>
        <w:jc w:val="both"/>
        <w:rPr>
          <w:rFonts w:ascii="Cambria" w:hAnsi="Cambria"/>
          <w:color w:val="000000" w:themeColor="text1"/>
          <w:sz w:val="20"/>
          <w:szCs w:val="20"/>
          <w:lang w:val="es-EC"/>
        </w:rPr>
      </w:pPr>
      <w:r w:rsidRPr="00491517">
        <w:rPr>
          <w:rFonts w:ascii="Cambria" w:hAnsi="Cambria"/>
          <w:color w:val="000000" w:themeColor="text1"/>
          <w:sz w:val="20"/>
          <w:szCs w:val="20"/>
          <w:lang w:val="es-EC"/>
        </w:rPr>
        <w:t xml:space="preserve">Durante el 2021, la parte peticionaria proporcionó a la CIDH información relativa a los procesos de cumplimiento de los casos incluidos en los literales </w:t>
      </w:r>
      <w:r w:rsidRPr="00491517">
        <w:rPr>
          <w:rFonts w:ascii="Cambria" w:hAnsi="Cambria"/>
          <w:i/>
          <w:iCs/>
          <w:color w:val="000000" w:themeColor="text1"/>
          <w:sz w:val="20"/>
          <w:szCs w:val="20"/>
          <w:lang w:val="es-EC"/>
        </w:rPr>
        <w:t xml:space="preserve">c </w:t>
      </w:r>
      <w:r w:rsidRPr="00491517">
        <w:rPr>
          <w:rFonts w:ascii="Cambria" w:hAnsi="Cambria"/>
          <w:color w:val="000000" w:themeColor="text1"/>
          <w:sz w:val="20"/>
          <w:szCs w:val="20"/>
          <w:lang w:val="es-EC"/>
        </w:rPr>
        <w:t xml:space="preserve">y </w:t>
      </w:r>
      <w:r w:rsidRPr="00491517">
        <w:rPr>
          <w:rFonts w:ascii="Cambria" w:hAnsi="Cambria"/>
          <w:i/>
          <w:iCs/>
          <w:color w:val="000000" w:themeColor="text1"/>
          <w:sz w:val="20"/>
          <w:szCs w:val="20"/>
          <w:lang w:val="es-EC"/>
        </w:rPr>
        <w:t>d</w:t>
      </w:r>
      <w:r w:rsidRPr="00491517">
        <w:rPr>
          <w:rFonts w:ascii="Cambria" w:hAnsi="Cambria"/>
          <w:color w:val="000000" w:themeColor="text1"/>
          <w:sz w:val="20"/>
          <w:szCs w:val="20"/>
          <w:lang w:val="es-EC"/>
        </w:rPr>
        <w:t xml:space="preserve"> del Comunicado de Prensa Conjunto los días</w:t>
      </w:r>
      <w:r w:rsidR="00CC6C52" w:rsidRPr="00491517">
        <w:rPr>
          <w:rFonts w:ascii="Cambria" w:hAnsi="Cambria"/>
          <w:color w:val="000000" w:themeColor="text1"/>
          <w:sz w:val="20"/>
          <w:szCs w:val="20"/>
          <w:lang w:val="es-EC"/>
        </w:rPr>
        <w:t xml:space="preserve"> </w:t>
      </w:r>
      <w:r w:rsidR="00716BAA" w:rsidRPr="00491517">
        <w:rPr>
          <w:rFonts w:ascii="Cambria" w:hAnsi="Cambria"/>
          <w:color w:val="000000" w:themeColor="text1"/>
          <w:sz w:val="20"/>
          <w:szCs w:val="20"/>
          <w:lang w:val="es-EC"/>
        </w:rPr>
        <w:t xml:space="preserve">22 de marzo, </w:t>
      </w:r>
      <w:r w:rsidR="00CC6C52" w:rsidRPr="00491517">
        <w:rPr>
          <w:rFonts w:ascii="Cambria" w:hAnsi="Cambria"/>
          <w:color w:val="000000" w:themeColor="text1"/>
          <w:sz w:val="20"/>
          <w:szCs w:val="20"/>
          <w:lang w:val="es-EC"/>
        </w:rPr>
        <w:t>21 de julio</w:t>
      </w:r>
      <w:r w:rsidR="00321770" w:rsidRPr="00491517">
        <w:rPr>
          <w:rFonts w:ascii="Cambria" w:hAnsi="Cambria"/>
          <w:color w:val="000000" w:themeColor="text1"/>
          <w:sz w:val="20"/>
          <w:szCs w:val="20"/>
          <w:lang w:val="es-EC"/>
        </w:rPr>
        <w:t xml:space="preserve"> y </w:t>
      </w:r>
      <w:r w:rsidR="00354BA2" w:rsidRPr="00491517">
        <w:rPr>
          <w:rFonts w:ascii="Cambria" w:hAnsi="Cambria"/>
          <w:color w:val="000000" w:themeColor="text1"/>
          <w:sz w:val="20"/>
          <w:szCs w:val="20"/>
          <w:lang w:val="es-EC"/>
        </w:rPr>
        <w:t>17 de noviembre.</w:t>
      </w:r>
    </w:p>
    <w:p w14:paraId="2EC77BD2" w14:textId="77777777" w:rsidR="006C10E7" w:rsidRPr="00491517" w:rsidRDefault="006C10E7" w:rsidP="006C10E7">
      <w:pPr>
        <w:pStyle w:val="ListParagraph"/>
        <w:rPr>
          <w:rFonts w:ascii="Cambria" w:hAnsi="Cambria"/>
          <w:color w:val="000000" w:themeColor="text1"/>
          <w:sz w:val="20"/>
          <w:szCs w:val="20"/>
          <w:lang w:val="es-EC"/>
        </w:rPr>
      </w:pPr>
    </w:p>
    <w:p w14:paraId="6B581FC3" w14:textId="572714C5" w:rsidR="006C10E7" w:rsidRPr="00491517" w:rsidRDefault="00E62FF3" w:rsidP="003914E4">
      <w:pPr>
        <w:pStyle w:val="ListParagraph"/>
        <w:numPr>
          <w:ilvl w:val="0"/>
          <w:numId w:val="2"/>
        </w:numPr>
        <w:spacing w:after="0" w:line="240" w:lineRule="auto"/>
        <w:ind w:left="1440"/>
        <w:jc w:val="both"/>
        <w:rPr>
          <w:rFonts w:ascii="Cambria" w:hAnsi="Cambria" w:cs="Calibri Light"/>
          <w:b/>
          <w:color w:val="000000" w:themeColor="text1"/>
          <w:sz w:val="20"/>
          <w:szCs w:val="20"/>
          <w:lang w:val="es-US"/>
        </w:rPr>
      </w:pPr>
      <w:r w:rsidRPr="00491517">
        <w:rPr>
          <w:rFonts w:ascii="Cambria" w:hAnsi="Cambria" w:cs="Calibri Light"/>
          <w:b/>
          <w:color w:val="000000" w:themeColor="text1"/>
          <w:sz w:val="20"/>
          <w:szCs w:val="20"/>
          <w:lang w:val="es-US"/>
        </w:rPr>
        <w:t>Análisis de la información proporcionada</w:t>
      </w:r>
    </w:p>
    <w:p w14:paraId="4BF8F00E" w14:textId="12A6A256" w:rsidR="003914E4" w:rsidRPr="00491517" w:rsidRDefault="003914E4" w:rsidP="003914E4">
      <w:pPr>
        <w:spacing w:after="0" w:line="240" w:lineRule="auto"/>
        <w:jc w:val="both"/>
        <w:rPr>
          <w:rFonts w:ascii="Cambria" w:hAnsi="Cambria" w:cs="Calibri Light"/>
          <w:bCs/>
          <w:color w:val="000000" w:themeColor="text1"/>
          <w:sz w:val="20"/>
          <w:szCs w:val="20"/>
          <w:lang w:val="es-US"/>
        </w:rPr>
      </w:pPr>
    </w:p>
    <w:p w14:paraId="1DAE7105" w14:textId="0FC76CB6" w:rsidR="003914E4" w:rsidRPr="00491517" w:rsidRDefault="00E36C4E" w:rsidP="003914E4">
      <w:pPr>
        <w:pStyle w:val="ListParagraph"/>
        <w:numPr>
          <w:ilvl w:val="0"/>
          <w:numId w:val="16"/>
        </w:numPr>
        <w:spacing w:after="0" w:line="240" w:lineRule="auto"/>
        <w:ind w:left="0" w:firstLine="720"/>
        <w:jc w:val="both"/>
        <w:rPr>
          <w:rFonts w:ascii="Cambria" w:hAnsi="Cambria" w:cs="Calibri Light"/>
          <w:bCs/>
          <w:color w:val="000000" w:themeColor="text1"/>
          <w:sz w:val="20"/>
          <w:szCs w:val="20"/>
          <w:lang w:val="es-US"/>
        </w:rPr>
      </w:pPr>
      <w:r w:rsidRPr="00491517">
        <w:rPr>
          <w:rFonts w:ascii="Cambria" w:hAnsi="Cambria" w:cs="Calibri Light"/>
          <w:bCs/>
          <w:color w:val="000000" w:themeColor="text1"/>
          <w:sz w:val="20"/>
          <w:szCs w:val="20"/>
          <w:lang w:val="es-US"/>
        </w:rPr>
        <w:t>L</w:t>
      </w:r>
      <w:r w:rsidR="00E62FF3" w:rsidRPr="00491517">
        <w:rPr>
          <w:rFonts w:ascii="Cambria" w:hAnsi="Cambria" w:cs="Calibri Light"/>
          <w:bCs/>
          <w:color w:val="000000" w:themeColor="text1"/>
          <w:sz w:val="20"/>
          <w:szCs w:val="20"/>
          <w:lang w:val="es-US"/>
        </w:rPr>
        <w:t>a CIDH establece que la información proporcionada por ambas partes y, particularmente, durante el</w:t>
      </w:r>
      <w:r w:rsidR="00921AD6" w:rsidRPr="00491517">
        <w:rPr>
          <w:rFonts w:ascii="Cambria" w:hAnsi="Cambria" w:cs="Calibri Light"/>
          <w:bCs/>
          <w:color w:val="000000" w:themeColor="text1"/>
          <w:sz w:val="20"/>
          <w:szCs w:val="20"/>
          <w:lang w:val="es-US"/>
        </w:rPr>
        <w:t xml:space="preserve"> </w:t>
      </w:r>
      <w:r w:rsidR="00E62FF3" w:rsidRPr="00491517">
        <w:rPr>
          <w:rFonts w:ascii="Cambria" w:hAnsi="Cambria" w:cs="Calibri Light"/>
          <w:bCs/>
          <w:color w:val="000000" w:themeColor="text1"/>
          <w:sz w:val="20"/>
          <w:szCs w:val="20"/>
          <w:lang w:val="es-US"/>
        </w:rPr>
        <w:t xml:space="preserve">año 2021, </w:t>
      </w:r>
      <w:r w:rsidR="00921AD6" w:rsidRPr="00491517">
        <w:rPr>
          <w:rFonts w:ascii="Cambria" w:hAnsi="Cambria" w:cs="Calibri Light"/>
          <w:bCs/>
          <w:color w:val="000000" w:themeColor="text1"/>
          <w:sz w:val="20"/>
          <w:szCs w:val="20"/>
          <w:lang w:val="es-US"/>
        </w:rPr>
        <w:t>es</w:t>
      </w:r>
      <w:r w:rsidR="00E62FF3" w:rsidRPr="00491517">
        <w:rPr>
          <w:rFonts w:ascii="Cambria" w:hAnsi="Cambria" w:cs="Calibri Light"/>
          <w:bCs/>
          <w:color w:val="000000" w:themeColor="text1"/>
          <w:sz w:val="20"/>
          <w:szCs w:val="20"/>
          <w:lang w:val="es-US"/>
        </w:rPr>
        <w:t xml:space="preserve"> relevante, amplia y </w:t>
      </w:r>
      <w:r w:rsidR="00921AD6" w:rsidRPr="00491517">
        <w:rPr>
          <w:rFonts w:ascii="Cambria" w:hAnsi="Cambria" w:cs="Calibri Light"/>
          <w:bCs/>
          <w:color w:val="000000" w:themeColor="text1"/>
          <w:sz w:val="20"/>
          <w:szCs w:val="20"/>
          <w:lang w:val="es-US"/>
        </w:rPr>
        <w:t xml:space="preserve">remitida en los plazos para actualizar el seguimiento </w:t>
      </w:r>
      <w:r w:rsidRPr="00491517">
        <w:rPr>
          <w:rFonts w:ascii="Cambria" w:hAnsi="Cambria" w:cs="Calibri Light"/>
          <w:bCs/>
          <w:color w:val="000000" w:themeColor="text1"/>
          <w:sz w:val="20"/>
          <w:szCs w:val="20"/>
          <w:lang w:val="es-US"/>
        </w:rPr>
        <w:t>de</w:t>
      </w:r>
      <w:r w:rsidR="00921AD6" w:rsidRPr="00491517">
        <w:rPr>
          <w:rFonts w:ascii="Cambria" w:hAnsi="Cambria" w:cs="Calibri Light"/>
          <w:bCs/>
          <w:color w:val="000000" w:themeColor="text1"/>
          <w:sz w:val="20"/>
          <w:szCs w:val="20"/>
          <w:lang w:val="es-US"/>
        </w:rPr>
        <w:t xml:space="preserve"> las medidas de cumplimiento de los ejes temáticos </w:t>
      </w:r>
      <w:r w:rsidR="00DA3A3C" w:rsidRPr="00491517">
        <w:rPr>
          <w:rFonts w:ascii="Cambria" w:hAnsi="Cambria" w:cs="Calibri Light"/>
          <w:bCs/>
          <w:color w:val="000000" w:themeColor="text1"/>
          <w:sz w:val="20"/>
          <w:szCs w:val="20"/>
          <w:lang w:val="es-US"/>
        </w:rPr>
        <w:t>abordados en esta ficha de seguimiento</w:t>
      </w:r>
      <w:r w:rsidR="00921AD6" w:rsidRPr="00491517">
        <w:rPr>
          <w:rFonts w:ascii="Cambria" w:hAnsi="Cambria" w:cs="Calibri Light"/>
          <w:bCs/>
          <w:color w:val="000000" w:themeColor="text1"/>
          <w:sz w:val="20"/>
          <w:szCs w:val="20"/>
          <w:lang w:val="es-US"/>
        </w:rPr>
        <w:t>.</w:t>
      </w:r>
      <w:r w:rsidR="00660515" w:rsidRPr="00491517">
        <w:rPr>
          <w:rFonts w:ascii="Cambria" w:hAnsi="Cambria" w:cs="Calibri Light"/>
          <w:bCs/>
          <w:color w:val="000000" w:themeColor="text1"/>
          <w:sz w:val="20"/>
          <w:szCs w:val="20"/>
          <w:lang w:val="es-US"/>
        </w:rPr>
        <w:t xml:space="preserve"> </w:t>
      </w:r>
    </w:p>
    <w:p w14:paraId="3E07238C" w14:textId="77777777" w:rsidR="00FA1F63" w:rsidRPr="00491517" w:rsidRDefault="00FA1F63" w:rsidP="00FA1F63">
      <w:pPr>
        <w:spacing w:after="0" w:line="240" w:lineRule="auto"/>
        <w:jc w:val="both"/>
        <w:rPr>
          <w:rFonts w:ascii="Cambria" w:hAnsi="Cambria"/>
          <w:color w:val="000000" w:themeColor="text1"/>
          <w:sz w:val="20"/>
          <w:szCs w:val="20"/>
          <w:lang w:val="es-EC"/>
        </w:rPr>
      </w:pPr>
    </w:p>
    <w:p w14:paraId="539C7FC1" w14:textId="09C1424E" w:rsidR="00B537A7" w:rsidRPr="00491517" w:rsidRDefault="00B537A7" w:rsidP="00B537A7">
      <w:pPr>
        <w:numPr>
          <w:ilvl w:val="0"/>
          <w:numId w:val="2"/>
        </w:numPr>
        <w:spacing w:after="0" w:line="240" w:lineRule="auto"/>
        <w:ind w:left="1440"/>
        <w:jc w:val="both"/>
        <w:rPr>
          <w:rFonts w:ascii="Cambria" w:hAnsi="Cambria" w:cs="Calibri Light"/>
          <w:b/>
          <w:color w:val="000000" w:themeColor="text1"/>
          <w:sz w:val="20"/>
          <w:szCs w:val="20"/>
          <w:lang w:val="es-US"/>
        </w:rPr>
      </w:pPr>
      <w:r w:rsidRPr="00491517">
        <w:rPr>
          <w:rFonts w:ascii="Cambria" w:hAnsi="Cambria" w:cs="Calibri Light"/>
          <w:b/>
          <w:color w:val="000000" w:themeColor="text1"/>
          <w:sz w:val="20"/>
          <w:szCs w:val="20"/>
          <w:lang w:val="es-US"/>
        </w:rPr>
        <w:t>E</w:t>
      </w:r>
      <w:r w:rsidR="00842B44" w:rsidRPr="00491517">
        <w:rPr>
          <w:rFonts w:ascii="Cambria" w:hAnsi="Cambria" w:cs="Calibri Light"/>
          <w:b/>
          <w:color w:val="000000" w:themeColor="text1"/>
          <w:sz w:val="20"/>
          <w:szCs w:val="20"/>
          <w:lang w:val="es-US"/>
        </w:rPr>
        <w:t xml:space="preserve">jes temáticos </w:t>
      </w:r>
      <w:r w:rsidRPr="00491517">
        <w:rPr>
          <w:rFonts w:ascii="Cambria" w:hAnsi="Cambria" w:cs="Calibri Light"/>
          <w:b/>
          <w:color w:val="000000" w:themeColor="text1"/>
          <w:sz w:val="20"/>
          <w:szCs w:val="20"/>
          <w:lang w:val="es-US"/>
        </w:rPr>
        <w:t>del seguimiento de los casos incluidos en los literales c y d del Comunicado de Prensa Conjunto 1193-CA</w:t>
      </w:r>
    </w:p>
    <w:p w14:paraId="1F1BD4D9" w14:textId="77777777" w:rsidR="00B537A7" w:rsidRPr="00491517" w:rsidRDefault="00B537A7" w:rsidP="00B537A7">
      <w:pPr>
        <w:spacing w:after="0" w:line="240" w:lineRule="auto"/>
        <w:jc w:val="both"/>
        <w:rPr>
          <w:rFonts w:ascii="Cambria" w:hAnsi="Cambria" w:cs="Calibri Light"/>
          <w:b/>
          <w:color w:val="000000" w:themeColor="text1"/>
          <w:sz w:val="20"/>
          <w:szCs w:val="20"/>
          <w:lang w:val="es-US"/>
        </w:rPr>
      </w:pPr>
    </w:p>
    <w:p w14:paraId="288B7A58" w14:textId="77179570" w:rsidR="008A6C65" w:rsidRPr="00491517" w:rsidRDefault="00654738" w:rsidP="00A36C6E">
      <w:pPr>
        <w:pStyle w:val="paragraph"/>
        <w:numPr>
          <w:ilvl w:val="0"/>
          <w:numId w:val="16"/>
        </w:numPr>
        <w:spacing w:before="0" w:beforeAutospacing="0" w:after="0" w:afterAutospacing="0"/>
        <w:ind w:left="0" w:firstLine="720"/>
        <w:jc w:val="both"/>
        <w:rPr>
          <w:rFonts w:ascii="Cambria" w:hAnsi="Cambria" w:cs="Segoe UI"/>
          <w:color w:val="000000" w:themeColor="text1"/>
          <w:sz w:val="20"/>
          <w:szCs w:val="20"/>
          <w:lang w:val="es-EC"/>
        </w:rPr>
      </w:pPr>
      <w:r w:rsidRPr="00491517">
        <w:rPr>
          <w:rFonts w:ascii="Cambria" w:hAnsi="Cambria" w:cs="Segoe UI"/>
          <w:color w:val="000000" w:themeColor="text1"/>
          <w:sz w:val="20"/>
          <w:szCs w:val="20"/>
          <w:lang w:val="es-EC"/>
        </w:rPr>
        <w:t>El seguimiento de los casos</w:t>
      </w:r>
      <w:r w:rsidR="000329F1" w:rsidRPr="00491517">
        <w:rPr>
          <w:rFonts w:ascii="Cambria" w:hAnsi="Cambria" w:cs="Segoe UI"/>
          <w:color w:val="000000" w:themeColor="text1"/>
          <w:sz w:val="20"/>
          <w:szCs w:val="20"/>
          <w:lang w:val="es-EC"/>
        </w:rPr>
        <w:t xml:space="preserve"> del Comunicado de Prensa Conjunto</w:t>
      </w:r>
      <w:r w:rsidRPr="00491517">
        <w:rPr>
          <w:rFonts w:ascii="Cambria" w:hAnsi="Cambria" w:cs="Segoe UI"/>
          <w:color w:val="000000" w:themeColor="text1"/>
          <w:sz w:val="20"/>
          <w:szCs w:val="20"/>
          <w:lang w:val="es-EC"/>
        </w:rPr>
        <w:t xml:space="preserve"> </w:t>
      </w:r>
      <w:r w:rsidR="0035630C" w:rsidRPr="00491517">
        <w:rPr>
          <w:rFonts w:ascii="Cambria" w:hAnsi="Cambria" w:cs="Segoe UI"/>
          <w:color w:val="000000" w:themeColor="text1"/>
          <w:sz w:val="20"/>
          <w:szCs w:val="20"/>
          <w:lang w:val="es-EC"/>
        </w:rPr>
        <w:t xml:space="preserve">a partir de ejes temáticos </w:t>
      </w:r>
      <w:r w:rsidR="00DA3A3C" w:rsidRPr="00491517">
        <w:rPr>
          <w:rFonts w:ascii="Cambria" w:hAnsi="Cambria" w:cs="Segoe UI"/>
          <w:color w:val="000000" w:themeColor="text1"/>
          <w:sz w:val="20"/>
          <w:szCs w:val="20"/>
          <w:lang w:val="es-EC"/>
        </w:rPr>
        <w:t>constituye</w:t>
      </w:r>
      <w:r w:rsidRPr="00491517">
        <w:rPr>
          <w:rFonts w:ascii="Cambria" w:hAnsi="Cambria" w:cs="Segoe UI"/>
          <w:color w:val="000000" w:themeColor="text1"/>
          <w:sz w:val="20"/>
          <w:szCs w:val="20"/>
          <w:lang w:val="es-EC"/>
        </w:rPr>
        <w:t xml:space="preserve"> una </w:t>
      </w:r>
      <w:r w:rsidR="00660515" w:rsidRPr="00491517">
        <w:rPr>
          <w:rFonts w:ascii="Cambria" w:hAnsi="Cambria" w:cs="Segoe UI"/>
          <w:color w:val="000000" w:themeColor="text1"/>
          <w:sz w:val="20"/>
          <w:szCs w:val="20"/>
          <w:lang w:val="es-EC"/>
        </w:rPr>
        <w:t>metodología</w:t>
      </w:r>
      <w:r w:rsidRPr="00491517">
        <w:rPr>
          <w:rFonts w:ascii="Cambria" w:hAnsi="Cambria" w:cs="Segoe UI"/>
          <w:color w:val="000000" w:themeColor="text1"/>
          <w:sz w:val="20"/>
          <w:szCs w:val="20"/>
          <w:lang w:val="es-EC"/>
        </w:rPr>
        <w:t xml:space="preserve"> que </w:t>
      </w:r>
      <w:r w:rsidR="006268D3" w:rsidRPr="00491517">
        <w:rPr>
          <w:rFonts w:ascii="Cambria" w:hAnsi="Cambria" w:cs="Segoe UI"/>
          <w:color w:val="000000" w:themeColor="text1"/>
          <w:sz w:val="20"/>
          <w:szCs w:val="20"/>
          <w:lang w:val="es-EC"/>
        </w:rPr>
        <w:t>impulsa</w:t>
      </w:r>
      <w:r w:rsidRPr="00491517">
        <w:rPr>
          <w:rFonts w:ascii="Cambria" w:hAnsi="Cambria" w:cs="Segoe UI"/>
          <w:color w:val="000000" w:themeColor="text1"/>
          <w:sz w:val="20"/>
          <w:szCs w:val="20"/>
          <w:lang w:val="es-EC"/>
        </w:rPr>
        <w:t xml:space="preserve"> el cumplimiento </w:t>
      </w:r>
      <w:r w:rsidR="00B537A7" w:rsidRPr="00491517">
        <w:rPr>
          <w:rFonts w:ascii="Cambria" w:hAnsi="Cambria" w:cs="Segoe UI"/>
          <w:color w:val="000000" w:themeColor="text1"/>
          <w:sz w:val="20"/>
          <w:szCs w:val="20"/>
          <w:lang w:val="es-EC"/>
        </w:rPr>
        <w:t>de</w:t>
      </w:r>
      <w:r w:rsidRPr="00491517">
        <w:rPr>
          <w:rFonts w:ascii="Cambria" w:hAnsi="Cambria" w:cs="Segoe UI"/>
          <w:color w:val="000000" w:themeColor="text1"/>
          <w:sz w:val="20"/>
          <w:szCs w:val="20"/>
          <w:lang w:val="es-EC"/>
        </w:rPr>
        <w:t xml:space="preserve"> las medidas </w:t>
      </w:r>
      <w:r w:rsidR="00DA3A3C" w:rsidRPr="00491517">
        <w:rPr>
          <w:rFonts w:ascii="Cambria" w:hAnsi="Cambria" w:cs="Segoe UI"/>
          <w:color w:val="000000" w:themeColor="text1"/>
          <w:sz w:val="20"/>
          <w:szCs w:val="20"/>
          <w:lang w:val="es-EC"/>
        </w:rPr>
        <w:t xml:space="preserve">estatales </w:t>
      </w:r>
      <w:r w:rsidRPr="00491517">
        <w:rPr>
          <w:rFonts w:ascii="Cambria" w:hAnsi="Cambria" w:cs="Segoe UI"/>
          <w:color w:val="000000" w:themeColor="text1"/>
          <w:sz w:val="20"/>
          <w:szCs w:val="20"/>
          <w:lang w:val="es-EC"/>
        </w:rPr>
        <w:t>de reparación</w:t>
      </w:r>
      <w:r w:rsidR="00660515" w:rsidRPr="00491517">
        <w:rPr>
          <w:rFonts w:ascii="Cambria" w:hAnsi="Cambria" w:cs="Segoe UI"/>
          <w:color w:val="000000" w:themeColor="text1"/>
          <w:sz w:val="20"/>
          <w:szCs w:val="20"/>
          <w:lang w:val="es-EC"/>
        </w:rPr>
        <w:t>, a partir de una estrategia de seguimiento conjunto</w:t>
      </w:r>
      <w:r w:rsidR="00B537A7" w:rsidRPr="00491517">
        <w:rPr>
          <w:rFonts w:ascii="Cambria" w:hAnsi="Cambria" w:cs="Segoe UI"/>
          <w:color w:val="000000" w:themeColor="text1"/>
          <w:sz w:val="20"/>
          <w:szCs w:val="20"/>
          <w:lang w:val="es-EC"/>
        </w:rPr>
        <w:t>. </w:t>
      </w:r>
      <w:r w:rsidR="00B537A7" w:rsidRPr="00491517">
        <w:rPr>
          <w:rFonts w:ascii="Cambria" w:hAnsi="Cambria" w:cs="Segoe UI"/>
          <w:color w:val="000000" w:themeColor="text1"/>
          <w:sz w:val="20"/>
          <w:szCs w:val="20"/>
          <w:lang w:val="es-CO"/>
        </w:rPr>
        <w:t> </w:t>
      </w:r>
      <w:r w:rsidR="00DA3A3C" w:rsidRPr="00491517">
        <w:rPr>
          <w:rFonts w:ascii="Cambria" w:hAnsi="Cambria" w:cs="Segoe UI"/>
          <w:color w:val="000000" w:themeColor="text1"/>
          <w:sz w:val="20"/>
          <w:szCs w:val="20"/>
          <w:lang w:val="es-EC"/>
        </w:rPr>
        <w:t>Esta ficha de seguimiento</w:t>
      </w:r>
      <w:r w:rsidR="006F656B" w:rsidRPr="00491517">
        <w:rPr>
          <w:rFonts w:ascii="Cambria" w:hAnsi="Cambria" w:cs="Segoe UI"/>
          <w:color w:val="000000" w:themeColor="text1"/>
          <w:sz w:val="20"/>
          <w:szCs w:val="20"/>
          <w:lang w:val="es-EC"/>
        </w:rPr>
        <w:t xml:space="preserve"> </w:t>
      </w:r>
      <w:r w:rsidR="009C135B" w:rsidRPr="00491517">
        <w:rPr>
          <w:rFonts w:ascii="Cambria" w:hAnsi="Cambria" w:cs="Segoe UI"/>
          <w:color w:val="000000" w:themeColor="text1"/>
          <w:sz w:val="20"/>
          <w:szCs w:val="20"/>
          <w:lang w:val="es-EC"/>
        </w:rPr>
        <w:t>sintetiza</w:t>
      </w:r>
      <w:r w:rsidR="006F656B" w:rsidRPr="00491517">
        <w:rPr>
          <w:rFonts w:ascii="Cambria" w:hAnsi="Cambria" w:cs="Segoe UI"/>
          <w:color w:val="000000" w:themeColor="text1"/>
          <w:sz w:val="20"/>
          <w:szCs w:val="20"/>
          <w:lang w:val="es-EC"/>
        </w:rPr>
        <w:t xml:space="preserve"> la información </w:t>
      </w:r>
      <w:r w:rsidR="00660515" w:rsidRPr="00491517">
        <w:rPr>
          <w:rFonts w:ascii="Cambria" w:hAnsi="Cambria" w:cs="Segoe UI"/>
          <w:color w:val="000000" w:themeColor="text1"/>
          <w:sz w:val="20"/>
          <w:szCs w:val="20"/>
          <w:lang w:val="es-EC"/>
        </w:rPr>
        <w:t xml:space="preserve">más actualizada </w:t>
      </w:r>
      <w:r w:rsidR="006F656B" w:rsidRPr="00491517">
        <w:rPr>
          <w:rFonts w:ascii="Cambria" w:hAnsi="Cambria" w:cs="Segoe UI"/>
          <w:color w:val="000000" w:themeColor="text1"/>
          <w:sz w:val="20"/>
          <w:szCs w:val="20"/>
          <w:lang w:val="es-EC"/>
        </w:rPr>
        <w:t xml:space="preserve">obtenida por ambas partes respecto de </w:t>
      </w:r>
      <w:r w:rsidR="000A1C7A" w:rsidRPr="00491517">
        <w:rPr>
          <w:rFonts w:ascii="Cambria" w:hAnsi="Cambria" w:cs="Segoe UI"/>
          <w:color w:val="000000" w:themeColor="text1"/>
          <w:sz w:val="20"/>
          <w:szCs w:val="20"/>
          <w:lang w:val="es-EC"/>
        </w:rPr>
        <w:t>los ejes</w:t>
      </w:r>
      <w:r w:rsidR="00660515" w:rsidRPr="00491517">
        <w:rPr>
          <w:rFonts w:ascii="Cambria" w:hAnsi="Cambria" w:cs="Segoe UI"/>
          <w:color w:val="000000" w:themeColor="text1"/>
          <w:sz w:val="20"/>
          <w:szCs w:val="20"/>
          <w:lang w:val="es-EC"/>
        </w:rPr>
        <w:t xml:space="preserve"> temáticos. </w:t>
      </w:r>
      <w:r w:rsidR="00642EFF" w:rsidRPr="00491517">
        <w:rPr>
          <w:rFonts w:ascii="Cambria" w:hAnsi="Cambria" w:cs="Segoe UI"/>
          <w:color w:val="000000" w:themeColor="text1"/>
          <w:sz w:val="20"/>
          <w:szCs w:val="20"/>
          <w:lang w:val="es-EC"/>
        </w:rPr>
        <w:t>Los ejes temáticos</w:t>
      </w:r>
      <w:r w:rsidR="006F656B" w:rsidRPr="00491517">
        <w:rPr>
          <w:rFonts w:ascii="Cambria" w:hAnsi="Cambria" w:cs="Segoe UI"/>
          <w:color w:val="000000" w:themeColor="text1"/>
          <w:sz w:val="20"/>
          <w:szCs w:val="20"/>
          <w:lang w:val="es-EC"/>
        </w:rPr>
        <w:t xml:space="preserve"> </w:t>
      </w:r>
      <w:r w:rsidR="00B537A7" w:rsidRPr="00491517">
        <w:rPr>
          <w:rFonts w:ascii="Cambria" w:hAnsi="Cambria" w:cs="Segoe UI"/>
          <w:color w:val="000000" w:themeColor="text1"/>
          <w:sz w:val="20"/>
          <w:szCs w:val="20"/>
          <w:lang w:val="es-EC"/>
        </w:rPr>
        <w:t>fue</w:t>
      </w:r>
      <w:r w:rsidR="006F656B" w:rsidRPr="00491517">
        <w:rPr>
          <w:rFonts w:ascii="Cambria" w:hAnsi="Cambria" w:cs="Segoe UI"/>
          <w:color w:val="000000" w:themeColor="text1"/>
          <w:sz w:val="20"/>
          <w:szCs w:val="20"/>
          <w:lang w:val="es-EC"/>
        </w:rPr>
        <w:t>ron</w:t>
      </w:r>
      <w:r w:rsidR="00B537A7" w:rsidRPr="00491517">
        <w:rPr>
          <w:rFonts w:ascii="Cambria" w:hAnsi="Cambria" w:cs="Segoe UI"/>
          <w:color w:val="000000" w:themeColor="text1"/>
          <w:sz w:val="20"/>
          <w:szCs w:val="20"/>
          <w:lang w:val="es-EC"/>
        </w:rPr>
        <w:t xml:space="preserve"> </w:t>
      </w:r>
      <w:r w:rsidR="006F656B" w:rsidRPr="00491517">
        <w:rPr>
          <w:rFonts w:ascii="Cambria" w:hAnsi="Cambria" w:cs="Segoe UI"/>
          <w:color w:val="000000" w:themeColor="text1"/>
          <w:sz w:val="20"/>
          <w:szCs w:val="20"/>
          <w:lang w:val="es-EC"/>
        </w:rPr>
        <w:t>definidos</w:t>
      </w:r>
      <w:r w:rsidR="00B537A7" w:rsidRPr="00491517">
        <w:rPr>
          <w:rFonts w:ascii="Cambria" w:hAnsi="Cambria" w:cs="Segoe UI"/>
          <w:color w:val="000000" w:themeColor="text1"/>
          <w:sz w:val="20"/>
          <w:szCs w:val="20"/>
          <w:lang w:val="es-EC"/>
        </w:rPr>
        <w:t xml:space="preserve"> a partir </w:t>
      </w:r>
      <w:r w:rsidR="000A1C7A" w:rsidRPr="00491517">
        <w:rPr>
          <w:rFonts w:ascii="Cambria" w:hAnsi="Cambria" w:cs="Segoe UI"/>
          <w:color w:val="000000" w:themeColor="text1"/>
          <w:sz w:val="20"/>
          <w:szCs w:val="20"/>
          <w:lang w:val="es-EC"/>
        </w:rPr>
        <w:t xml:space="preserve">de </w:t>
      </w:r>
      <w:r w:rsidR="00B537A7" w:rsidRPr="00491517">
        <w:rPr>
          <w:rFonts w:ascii="Cambria" w:hAnsi="Cambria" w:cs="Segoe UI"/>
          <w:color w:val="000000" w:themeColor="text1"/>
          <w:sz w:val="20"/>
          <w:szCs w:val="20"/>
          <w:lang w:val="es-EC"/>
        </w:rPr>
        <w:t>(i) </w:t>
      </w:r>
      <w:r w:rsidR="00DA3A3C" w:rsidRPr="00491517">
        <w:rPr>
          <w:rFonts w:ascii="Cambria" w:hAnsi="Cambria" w:cs="Segoe UI"/>
          <w:color w:val="000000" w:themeColor="text1"/>
          <w:sz w:val="20"/>
          <w:szCs w:val="20"/>
          <w:lang w:val="es-EC"/>
        </w:rPr>
        <w:t>los informes de fondo de los casos; (</w:t>
      </w:r>
      <w:proofErr w:type="spellStart"/>
      <w:r w:rsidR="00DA3A3C" w:rsidRPr="00491517">
        <w:rPr>
          <w:rFonts w:ascii="Cambria" w:hAnsi="Cambria" w:cs="Segoe UI"/>
          <w:color w:val="000000" w:themeColor="text1"/>
          <w:sz w:val="20"/>
          <w:szCs w:val="20"/>
          <w:lang w:val="es-EC"/>
        </w:rPr>
        <w:t>ii</w:t>
      </w:r>
      <w:proofErr w:type="spellEnd"/>
      <w:r w:rsidR="00DA3A3C" w:rsidRPr="00491517">
        <w:rPr>
          <w:rFonts w:ascii="Cambria" w:hAnsi="Cambria" w:cs="Segoe UI"/>
          <w:color w:val="000000" w:themeColor="text1"/>
          <w:sz w:val="20"/>
          <w:szCs w:val="20"/>
          <w:lang w:val="es-EC"/>
        </w:rPr>
        <w:t xml:space="preserve">) </w:t>
      </w:r>
      <w:r w:rsidR="00B537A7" w:rsidRPr="00491517">
        <w:rPr>
          <w:rFonts w:ascii="Cambria" w:hAnsi="Cambria" w:cs="Segoe UI"/>
          <w:color w:val="000000" w:themeColor="text1"/>
          <w:sz w:val="20"/>
          <w:szCs w:val="20"/>
          <w:lang w:val="es-EC"/>
        </w:rPr>
        <w:t>las </w:t>
      </w:r>
      <w:r w:rsidR="00B537A7" w:rsidRPr="00491517">
        <w:rPr>
          <w:rFonts w:ascii="Cambria" w:hAnsi="Cambria" w:cs="Segoe UI"/>
          <w:color w:val="000000" w:themeColor="text1"/>
          <w:sz w:val="20"/>
          <w:szCs w:val="20"/>
          <w:lang w:val="es-ES"/>
        </w:rPr>
        <w:t>dos actas firmadas los días 26 de marzo y 14 de noviembre de 2014</w:t>
      </w:r>
      <w:r w:rsidR="006F656B" w:rsidRPr="00491517">
        <w:rPr>
          <w:rFonts w:ascii="Cambria" w:hAnsi="Cambria" w:cs="Segoe UI"/>
          <w:color w:val="000000" w:themeColor="text1"/>
          <w:sz w:val="20"/>
          <w:szCs w:val="20"/>
          <w:lang w:val="es-ES"/>
        </w:rPr>
        <w:t>, que dan alcance al Comunicado de Prensa Conjunto</w:t>
      </w:r>
      <w:r w:rsidR="00B537A7" w:rsidRPr="00491517">
        <w:rPr>
          <w:rFonts w:ascii="Cambria" w:hAnsi="Cambria" w:cs="Segoe UI"/>
          <w:color w:val="000000" w:themeColor="text1"/>
          <w:sz w:val="20"/>
          <w:szCs w:val="20"/>
          <w:lang w:val="es-ES"/>
        </w:rPr>
        <w:t>, (</w:t>
      </w:r>
      <w:proofErr w:type="spellStart"/>
      <w:r w:rsidR="00B537A7" w:rsidRPr="00491517">
        <w:rPr>
          <w:rFonts w:ascii="Cambria" w:hAnsi="Cambria" w:cs="Segoe UI"/>
          <w:color w:val="000000" w:themeColor="text1"/>
          <w:sz w:val="20"/>
          <w:szCs w:val="20"/>
          <w:lang w:val="es-ES"/>
        </w:rPr>
        <w:t>i</w:t>
      </w:r>
      <w:r w:rsidR="00DA3A3C" w:rsidRPr="00491517">
        <w:rPr>
          <w:rFonts w:ascii="Cambria" w:hAnsi="Cambria" w:cs="Segoe UI"/>
          <w:color w:val="000000" w:themeColor="text1"/>
          <w:sz w:val="20"/>
          <w:szCs w:val="20"/>
          <w:lang w:val="es-ES"/>
        </w:rPr>
        <w:t>i</w:t>
      </w:r>
      <w:r w:rsidR="00B537A7" w:rsidRPr="00491517">
        <w:rPr>
          <w:rFonts w:ascii="Cambria" w:hAnsi="Cambria" w:cs="Segoe UI"/>
          <w:color w:val="000000" w:themeColor="text1"/>
          <w:sz w:val="20"/>
          <w:szCs w:val="20"/>
          <w:lang w:val="es-ES"/>
        </w:rPr>
        <w:t>i</w:t>
      </w:r>
      <w:proofErr w:type="spellEnd"/>
      <w:r w:rsidR="00B537A7" w:rsidRPr="00491517">
        <w:rPr>
          <w:rFonts w:ascii="Cambria" w:hAnsi="Cambria" w:cs="Segoe UI"/>
          <w:color w:val="000000" w:themeColor="text1"/>
          <w:sz w:val="20"/>
          <w:szCs w:val="20"/>
          <w:lang w:val="es-ES"/>
        </w:rPr>
        <w:t>) </w:t>
      </w:r>
      <w:r w:rsidR="000A1C7A" w:rsidRPr="00491517">
        <w:rPr>
          <w:rFonts w:ascii="Cambria" w:hAnsi="Cambria" w:cs="Segoe UI"/>
          <w:color w:val="000000" w:themeColor="text1"/>
          <w:sz w:val="20"/>
          <w:szCs w:val="20"/>
          <w:lang w:val="es-ES"/>
        </w:rPr>
        <w:t>la información proporcionada</w:t>
      </w:r>
      <w:r w:rsidR="00DA3A3C" w:rsidRPr="00491517">
        <w:rPr>
          <w:rFonts w:ascii="Cambria" w:hAnsi="Cambria" w:cs="Segoe UI"/>
          <w:color w:val="000000" w:themeColor="text1"/>
          <w:sz w:val="20"/>
          <w:szCs w:val="20"/>
          <w:lang w:val="es-ES"/>
        </w:rPr>
        <w:t>, incluida la proporcionada</w:t>
      </w:r>
      <w:r w:rsidR="000A1C7A" w:rsidRPr="00491517">
        <w:rPr>
          <w:rFonts w:ascii="Cambria" w:hAnsi="Cambria" w:cs="Segoe UI"/>
          <w:color w:val="000000" w:themeColor="text1"/>
          <w:sz w:val="20"/>
          <w:szCs w:val="20"/>
          <w:lang w:val="es-ES"/>
        </w:rPr>
        <w:t xml:space="preserve"> </w:t>
      </w:r>
      <w:r w:rsidR="00B537A7" w:rsidRPr="00491517">
        <w:rPr>
          <w:rFonts w:ascii="Cambria" w:hAnsi="Cambria" w:cs="Segoe UI"/>
          <w:color w:val="000000" w:themeColor="text1"/>
          <w:sz w:val="20"/>
          <w:szCs w:val="20"/>
          <w:lang w:val="es-EC"/>
        </w:rPr>
        <w:t>en las reuniones de trabajo.</w:t>
      </w:r>
      <w:r w:rsidR="00B537A7" w:rsidRPr="00491517">
        <w:rPr>
          <w:rFonts w:ascii="Cambria" w:hAnsi="Cambria" w:cs="Segoe UI"/>
          <w:color w:val="000000" w:themeColor="text1"/>
          <w:sz w:val="20"/>
          <w:szCs w:val="20"/>
          <w:lang w:val="es-CO"/>
        </w:rPr>
        <w:t> </w:t>
      </w:r>
      <w:r w:rsidR="00DA3A3C" w:rsidRPr="00491517">
        <w:rPr>
          <w:rFonts w:ascii="Cambria" w:hAnsi="Cambria" w:cs="Segoe UI"/>
          <w:color w:val="000000" w:themeColor="text1"/>
          <w:sz w:val="20"/>
          <w:szCs w:val="20"/>
          <w:lang w:val="es-EC"/>
        </w:rPr>
        <w:t>Además</w:t>
      </w:r>
      <w:r w:rsidR="00B537A7" w:rsidRPr="00491517">
        <w:rPr>
          <w:rFonts w:ascii="Cambria" w:hAnsi="Cambria" w:cs="Segoe UI"/>
          <w:color w:val="000000" w:themeColor="text1"/>
          <w:sz w:val="20"/>
          <w:szCs w:val="20"/>
          <w:lang w:val="es-EC"/>
        </w:rPr>
        <w:t>, </w:t>
      </w:r>
      <w:r w:rsidR="00DA3A3C" w:rsidRPr="00491517">
        <w:rPr>
          <w:rFonts w:ascii="Cambria" w:hAnsi="Cambria" w:cs="Segoe UI"/>
          <w:color w:val="000000" w:themeColor="text1"/>
          <w:sz w:val="20"/>
          <w:szCs w:val="20"/>
          <w:lang w:val="es-EC"/>
        </w:rPr>
        <w:t>l</w:t>
      </w:r>
      <w:r w:rsidR="000865BB" w:rsidRPr="00491517">
        <w:rPr>
          <w:rFonts w:ascii="Cambria" w:hAnsi="Cambria" w:cs="Segoe UI"/>
          <w:color w:val="000000" w:themeColor="text1"/>
          <w:sz w:val="20"/>
          <w:szCs w:val="20"/>
          <w:lang w:val="es-EC"/>
        </w:rPr>
        <w:t>a definición</w:t>
      </w:r>
      <w:r w:rsidR="00DA3A3C" w:rsidRPr="00491517">
        <w:rPr>
          <w:rFonts w:ascii="Cambria" w:hAnsi="Cambria" w:cs="Segoe UI"/>
          <w:color w:val="000000" w:themeColor="text1"/>
          <w:sz w:val="20"/>
          <w:szCs w:val="20"/>
          <w:lang w:val="es-EC"/>
        </w:rPr>
        <w:t xml:space="preserve"> de estos ejes</w:t>
      </w:r>
      <w:r w:rsidR="00B537A7" w:rsidRPr="00491517">
        <w:rPr>
          <w:rFonts w:ascii="Cambria" w:hAnsi="Cambria" w:cs="Segoe UI"/>
          <w:color w:val="000000" w:themeColor="text1"/>
          <w:sz w:val="20"/>
          <w:szCs w:val="20"/>
          <w:lang w:val="es-EC"/>
        </w:rPr>
        <w:t> </w:t>
      </w:r>
      <w:r w:rsidR="000A1C7A" w:rsidRPr="00491517">
        <w:rPr>
          <w:rFonts w:ascii="Cambria" w:hAnsi="Cambria" w:cs="Segoe UI"/>
          <w:color w:val="000000" w:themeColor="text1"/>
          <w:sz w:val="20"/>
          <w:szCs w:val="20"/>
          <w:lang w:val="es-EC"/>
        </w:rPr>
        <w:t>se basó en</w:t>
      </w:r>
      <w:r w:rsidR="00B537A7" w:rsidRPr="00491517">
        <w:rPr>
          <w:rFonts w:ascii="Cambria" w:hAnsi="Cambria" w:cs="Segoe UI"/>
          <w:color w:val="000000" w:themeColor="text1"/>
          <w:sz w:val="20"/>
          <w:szCs w:val="20"/>
          <w:lang w:val="es-EC"/>
        </w:rPr>
        <w:t xml:space="preserve"> la clasificación de</w:t>
      </w:r>
      <w:r w:rsidR="00645ED7" w:rsidRPr="00491517">
        <w:rPr>
          <w:rFonts w:ascii="Cambria" w:hAnsi="Cambria" w:cs="Segoe UI"/>
          <w:color w:val="000000" w:themeColor="text1"/>
          <w:sz w:val="20"/>
          <w:szCs w:val="20"/>
          <w:lang w:val="es-EC"/>
        </w:rPr>
        <w:t xml:space="preserve"> las</w:t>
      </w:r>
      <w:r w:rsidR="00B537A7" w:rsidRPr="00491517">
        <w:rPr>
          <w:rFonts w:ascii="Cambria" w:hAnsi="Cambria" w:cs="Segoe UI"/>
          <w:color w:val="000000" w:themeColor="text1"/>
          <w:sz w:val="20"/>
          <w:szCs w:val="20"/>
          <w:lang w:val="es-EC"/>
        </w:rPr>
        <w:t xml:space="preserve"> medidas de cumplimiento </w:t>
      </w:r>
      <w:r w:rsidR="00642EFF" w:rsidRPr="00491517">
        <w:rPr>
          <w:rFonts w:ascii="Cambria" w:hAnsi="Cambria" w:cs="Segoe UI"/>
          <w:color w:val="000000" w:themeColor="text1"/>
          <w:sz w:val="20"/>
          <w:szCs w:val="20"/>
          <w:lang w:val="es-EC"/>
        </w:rPr>
        <w:t>establecida por</w:t>
      </w:r>
      <w:r w:rsidR="00B537A7" w:rsidRPr="00491517">
        <w:rPr>
          <w:rFonts w:ascii="Cambria" w:hAnsi="Cambria" w:cs="Segoe UI"/>
          <w:color w:val="000000" w:themeColor="text1"/>
          <w:sz w:val="20"/>
          <w:szCs w:val="20"/>
          <w:lang w:val="es-EC"/>
        </w:rPr>
        <w:t xml:space="preserve"> las </w:t>
      </w:r>
      <w:r w:rsidR="00B537A7" w:rsidRPr="00491517">
        <w:rPr>
          <w:rFonts w:ascii="Cambria" w:hAnsi="Cambria" w:cs="Segoe UI"/>
          <w:color w:val="000000" w:themeColor="text1"/>
          <w:sz w:val="20"/>
          <w:szCs w:val="20"/>
          <w:lang w:val="es-AR"/>
        </w:rPr>
        <w:t>Directrices Generales de Seguimiento de Recomendaciones de la CIDH</w:t>
      </w:r>
      <w:r w:rsidR="00DA3A3C" w:rsidRPr="00491517">
        <w:rPr>
          <w:rStyle w:val="FootnoteReference"/>
          <w:rFonts w:ascii="Cambria" w:hAnsi="Cambria" w:cs="Segoe UI"/>
          <w:color w:val="000000" w:themeColor="text1"/>
          <w:sz w:val="20"/>
          <w:szCs w:val="20"/>
          <w:lang w:val="es-AR"/>
        </w:rPr>
        <w:footnoteReference w:id="3"/>
      </w:r>
      <w:r w:rsidR="008A6C65" w:rsidRPr="00491517">
        <w:rPr>
          <w:rFonts w:ascii="Cambria" w:hAnsi="Cambria" w:cs="Segoe UI"/>
          <w:color w:val="000000" w:themeColor="text1"/>
          <w:sz w:val="20"/>
          <w:szCs w:val="20"/>
          <w:lang w:val="es-AR"/>
        </w:rPr>
        <w:t>.</w:t>
      </w:r>
      <w:r w:rsidR="000865BB" w:rsidRPr="00491517">
        <w:rPr>
          <w:rFonts w:ascii="Cambria" w:hAnsi="Cambria" w:cs="Segoe UI"/>
          <w:color w:val="000000" w:themeColor="text1"/>
          <w:sz w:val="20"/>
          <w:szCs w:val="20"/>
          <w:vertAlign w:val="superscript"/>
          <w:lang w:val="es-AR"/>
        </w:rPr>
        <w:t xml:space="preserve"> </w:t>
      </w:r>
    </w:p>
    <w:p w14:paraId="1C07062C" w14:textId="77777777" w:rsidR="00DA3A3C" w:rsidRPr="00491517" w:rsidRDefault="00DA3A3C" w:rsidP="00DA3A3C">
      <w:pPr>
        <w:pStyle w:val="paragraph"/>
        <w:spacing w:before="0" w:beforeAutospacing="0" w:after="0" w:afterAutospacing="0"/>
        <w:ind w:left="720"/>
        <w:jc w:val="both"/>
        <w:textAlignment w:val="baseline"/>
        <w:rPr>
          <w:rFonts w:ascii="Cambria" w:hAnsi="Cambria" w:cs="Segoe UI"/>
          <w:color w:val="000000" w:themeColor="text1"/>
          <w:sz w:val="20"/>
          <w:szCs w:val="20"/>
          <w:lang w:val="es-EC"/>
        </w:rPr>
      </w:pPr>
    </w:p>
    <w:p w14:paraId="5F203E74" w14:textId="3CAEC7D6" w:rsidR="00645ED7" w:rsidRPr="00491517" w:rsidRDefault="00645ED7" w:rsidP="00D152F4">
      <w:pPr>
        <w:pStyle w:val="ListParagraph"/>
        <w:numPr>
          <w:ilvl w:val="0"/>
          <w:numId w:val="2"/>
        </w:numPr>
        <w:spacing w:after="0" w:line="240" w:lineRule="auto"/>
        <w:ind w:left="1440"/>
        <w:jc w:val="both"/>
        <w:rPr>
          <w:rFonts w:ascii="Cambria" w:eastAsia="Calibri" w:hAnsi="Cambria" w:cs="Times New Roman"/>
          <w:b/>
          <w:bCs/>
          <w:color w:val="000000" w:themeColor="text1"/>
          <w:sz w:val="20"/>
          <w:szCs w:val="20"/>
          <w:lang w:val="es-EC"/>
        </w:rPr>
      </w:pPr>
      <w:r w:rsidRPr="00491517">
        <w:rPr>
          <w:rFonts w:ascii="Cambria" w:eastAsia="Calibri" w:hAnsi="Cambria" w:cs="Times New Roman"/>
          <w:b/>
          <w:bCs/>
          <w:color w:val="000000" w:themeColor="text1"/>
          <w:sz w:val="20"/>
          <w:szCs w:val="20"/>
          <w:lang w:val="es-ES"/>
        </w:rPr>
        <w:lastRenderedPageBreak/>
        <w:t>Primer eje temático</w:t>
      </w:r>
      <w:r w:rsidR="006C10E7" w:rsidRPr="00491517">
        <w:rPr>
          <w:rFonts w:ascii="Cambria" w:eastAsia="Calibri" w:hAnsi="Cambria" w:cs="Times New Roman"/>
          <w:b/>
          <w:bCs/>
          <w:color w:val="000000" w:themeColor="text1"/>
          <w:sz w:val="20"/>
          <w:szCs w:val="20"/>
          <w:lang w:val="es-ES"/>
        </w:rPr>
        <w:t>.</w:t>
      </w:r>
      <w:r w:rsidRPr="00491517">
        <w:rPr>
          <w:rFonts w:ascii="Cambria" w:eastAsia="Calibri" w:hAnsi="Cambria" w:cs="Times New Roman"/>
          <w:b/>
          <w:bCs/>
          <w:color w:val="000000" w:themeColor="text1"/>
          <w:sz w:val="20"/>
          <w:szCs w:val="20"/>
          <w:lang w:val="es-ES"/>
        </w:rPr>
        <w:t xml:space="preserve"> Investigación, identificación, juzgamiento y sanción de las personas responsables de las violaciones de los derechos humanos.</w:t>
      </w:r>
    </w:p>
    <w:p w14:paraId="7E0DB014" w14:textId="77777777" w:rsidR="00087A3B" w:rsidRPr="00491517" w:rsidRDefault="00087A3B" w:rsidP="00B537A7">
      <w:pPr>
        <w:spacing w:after="0" w:line="240" w:lineRule="auto"/>
        <w:jc w:val="both"/>
        <w:rPr>
          <w:rFonts w:ascii="Cambria" w:hAnsi="Cambria" w:cs="Calibri Light"/>
          <w:b/>
          <w:bCs/>
          <w:color w:val="000000" w:themeColor="text1"/>
          <w:sz w:val="20"/>
          <w:szCs w:val="20"/>
          <w:lang w:val="es-EC"/>
        </w:rPr>
      </w:pPr>
    </w:p>
    <w:p w14:paraId="08DA2F64" w14:textId="7C6BBF9E" w:rsidR="00A021BB" w:rsidRPr="00491517" w:rsidRDefault="00823AB3"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b/>
          <w:bCs/>
          <w:color w:val="000000" w:themeColor="text1"/>
          <w:sz w:val="20"/>
          <w:szCs w:val="20"/>
          <w:lang w:val="es-ES"/>
        </w:rPr>
        <w:t>Información remitida por el Estado</w:t>
      </w:r>
      <w:r w:rsidR="00A1182D" w:rsidRPr="00491517">
        <w:rPr>
          <w:rFonts w:ascii="Cambria" w:hAnsi="Cambria"/>
          <w:b/>
          <w:bCs/>
          <w:color w:val="000000" w:themeColor="text1"/>
          <w:sz w:val="20"/>
          <w:szCs w:val="20"/>
          <w:lang w:val="es-ES"/>
        </w:rPr>
        <w:t xml:space="preserve"> en 2021</w:t>
      </w:r>
      <w:r w:rsidRPr="00491517">
        <w:rPr>
          <w:rFonts w:ascii="Cambria" w:hAnsi="Cambria"/>
          <w:b/>
          <w:bCs/>
          <w:color w:val="000000" w:themeColor="text1"/>
          <w:sz w:val="20"/>
          <w:szCs w:val="20"/>
          <w:lang w:val="es-ES"/>
        </w:rPr>
        <w:t xml:space="preserve">. </w:t>
      </w:r>
      <w:r w:rsidR="00A1182D" w:rsidRPr="00491517">
        <w:rPr>
          <w:rFonts w:ascii="Cambria" w:hAnsi="Cambria"/>
          <w:color w:val="000000" w:themeColor="text1"/>
          <w:sz w:val="20"/>
          <w:szCs w:val="20"/>
          <w:lang w:val="es-ES"/>
        </w:rPr>
        <w:t>E</w:t>
      </w:r>
      <w:r w:rsidR="00407C78" w:rsidRPr="00491517">
        <w:rPr>
          <w:rFonts w:ascii="Cambria" w:hAnsi="Cambria"/>
          <w:color w:val="000000" w:themeColor="text1"/>
          <w:sz w:val="20"/>
          <w:szCs w:val="20"/>
          <w:lang w:val="es-ES"/>
        </w:rPr>
        <w:t xml:space="preserve">l Estado </w:t>
      </w:r>
      <w:r w:rsidR="002A1E4A" w:rsidRPr="00491517">
        <w:rPr>
          <w:rFonts w:ascii="Cambria" w:hAnsi="Cambria"/>
          <w:color w:val="000000" w:themeColor="text1"/>
          <w:sz w:val="20"/>
          <w:szCs w:val="20"/>
          <w:lang w:val="es-ES"/>
        </w:rPr>
        <w:t xml:space="preserve">remitió información </w:t>
      </w:r>
      <w:r w:rsidR="002F045E" w:rsidRPr="00491517">
        <w:rPr>
          <w:rFonts w:ascii="Cambria" w:hAnsi="Cambria"/>
          <w:color w:val="000000" w:themeColor="text1"/>
          <w:sz w:val="20"/>
          <w:szCs w:val="20"/>
          <w:lang w:val="es-ES"/>
        </w:rPr>
        <w:t>relativa a la actuación del</w:t>
      </w:r>
      <w:r w:rsidR="002A1E4A" w:rsidRPr="00491517">
        <w:rPr>
          <w:rFonts w:ascii="Cambria" w:hAnsi="Cambria"/>
          <w:color w:val="000000" w:themeColor="text1"/>
          <w:sz w:val="20"/>
          <w:szCs w:val="20"/>
          <w:lang w:val="es-ES"/>
        </w:rPr>
        <w:t xml:space="preserve"> Ministerio Público</w:t>
      </w:r>
      <w:r w:rsidR="00D80A03" w:rsidRPr="00491517">
        <w:rPr>
          <w:rFonts w:ascii="Cambria" w:hAnsi="Cambria"/>
          <w:color w:val="000000" w:themeColor="text1"/>
          <w:sz w:val="20"/>
          <w:szCs w:val="20"/>
          <w:lang w:val="es-ES"/>
        </w:rPr>
        <w:t xml:space="preserve"> (MP)</w:t>
      </w:r>
      <w:r w:rsidR="002A1E4A" w:rsidRPr="00491517">
        <w:rPr>
          <w:rFonts w:ascii="Cambria" w:hAnsi="Cambria"/>
          <w:color w:val="000000" w:themeColor="text1"/>
          <w:sz w:val="20"/>
          <w:szCs w:val="20"/>
          <w:lang w:val="es-ES"/>
        </w:rPr>
        <w:t xml:space="preserve"> y del Poder Judicial</w:t>
      </w:r>
      <w:r w:rsidR="008A3ADB" w:rsidRPr="00491517">
        <w:rPr>
          <w:rFonts w:ascii="Cambria" w:hAnsi="Cambria"/>
          <w:color w:val="000000" w:themeColor="text1"/>
          <w:sz w:val="20"/>
          <w:szCs w:val="20"/>
          <w:lang w:val="es-ES"/>
        </w:rPr>
        <w:t xml:space="preserve"> (PJ)</w:t>
      </w:r>
      <w:r w:rsidR="002A1E4A" w:rsidRPr="00491517">
        <w:rPr>
          <w:rFonts w:ascii="Cambria" w:hAnsi="Cambria"/>
          <w:color w:val="000000" w:themeColor="text1"/>
          <w:sz w:val="20"/>
          <w:szCs w:val="20"/>
          <w:lang w:val="es-ES"/>
        </w:rPr>
        <w:t xml:space="preserve">. </w:t>
      </w:r>
      <w:r w:rsidR="00C11336" w:rsidRPr="00491517">
        <w:rPr>
          <w:rFonts w:ascii="Cambria" w:hAnsi="Cambria"/>
          <w:color w:val="000000" w:themeColor="text1"/>
          <w:sz w:val="20"/>
          <w:szCs w:val="20"/>
          <w:lang w:val="es-ES"/>
        </w:rPr>
        <w:t xml:space="preserve">Asimismo, compartió un cronograma </w:t>
      </w:r>
      <w:r w:rsidR="00A021BB" w:rsidRPr="00491517">
        <w:rPr>
          <w:rFonts w:ascii="Cambria" w:hAnsi="Cambria"/>
          <w:color w:val="000000" w:themeColor="text1"/>
          <w:sz w:val="20"/>
          <w:szCs w:val="20"/>
          <w:lang w:val="es-ES"/>
        </w:rPr>
        <w:t xml:space="preserve">para el año 2021 que incluyó actividades en materia de justicia tales como: </w:t>
      </w:r>
      <w:r w:rsidR="00A021BB" w:rsidRPr="00491517">
        <w:rPr>
          <w:rFonts w:ascii="Cambria" w:hAnsi="Cambria" w:cs="Calibri Light"/>
          <w:color w:val="000000" w:themeColor="text1"/>
          <w:sz w:val="20"/>
          <w:szCs w:val="20"/>
          <w:lang w:val="es-CO"/>
        </w:rPr>
        <w:t>visitas de control, reuniones con juntas de fiscales superiores de distritos fiscales, remisión de oficios a la Oficina de Control Interno, reapertura de investigaciones, reuniones con el Equipo Forense Especializado</w:t>
      </w:r>
      <w:r w:rsidR="009A7994" w:rsidRPr="00491517">
        <w:rPr>
          <w:rFonts w:ascii="Cambria" w:hAnsi="Cambria" w:cs="Calibri Light"/>
          <w:color w:val="000000" w:themeColor="text1"/>
          <w:sz w:val="20"/>
          <w:szCs w:val="20"/>
          <w:lang w:val="es-CO"/>
        </w:rPr>
        <w:t xml:space="preserve"> (EFE) y </w:t>
      </w:r>
      <w:r w:rsidR="00A021BB" w:rsidRPr="00491517">
        <w:rPr>
          <w:rFonts w:ascii="Cambria" w:hAnsi="Cambria" w:cs="Calibri Light"/>
          <w:color w:val="000000" w:themeColor="text1"/>
          <w:sz w:val="20"/>
          <w:szCs w:val="20"/>
          <w:lang w:val="es-CO"/>
        </w:rPr>
        <w:t xml:space="preserve">entre el </w:t>
      </w:r>
      <w:r w:rsidR="00D80A03" w:rsidRPr="00491517">
        <w:rPr>
          <w:rFonts w:ascii="Cambria" w:hAnsi="Cambria"/>
          <w:color w:val="000000" w:themeColor="text1"/>
          <w:sz w:val="20"/>
          <w:szCs w:val="20"/>
          <w:lang w:val="es-ES"/>
        </w:rPr>
        <w:t>MP</w:t>
      </w:r>
      <w:r w:rsidR="00D80A03" w:rsidRPr="00491517">
        <w:rPr>
          <w:rFonts w:ascii="Cambria" w:hAnsi="Cambria" w:cs="Calibri Light"/>
          <w:color w:val="000000" w:themeColor="text1"/>
          <w:sz w:val="20"/>
          <w:szCs w:val="20"/>
          <w:lang w:val="es-CO"/>
        </w:rPr>
        <w:t xml:space="preserve"> </w:t>
      </w:r>
      <w:r w:rsidR="00A021BB" w:rsidRPr="00491517">
        <w:rPr>
          <w:rFonts w:ascii="Cambria" w:hAnsi="Cambria" w:cs="Calibri Light"/>
          <w:color w:val="000000" w:themeColor="text1"/>
          <w:sz w:val="20"/>
          <w:szCs w:val="20"/>
          <w:lang w:val="es-CO"/>
        </w:rPr>
        <w:t xml:space="preserve">y el </w:t>
      </w:r>
      <w:r w:rsidR="008A3ADB" w:rsidRPr="00491517">
        <w:rPr>
          <w:rFonts w:ascii="Cambria" w:hAnsi="Cambria" w:cs="Calibri Light"/>
          <w:color w:val="000000" w:themeColor="text1"/>
          <w:sz w:val="20"/>
          <w:szCs w:val="20"/>
          <w:lang w:val="es-CO"/>
        </w:rPr>
        <w:t>PJ</w:t>
      </w:r>
      <w:r w:rsidR="00A021BB" w:rsidRPr="00491517">
        <w:rPr>
          <w:rFonts w:ascii="Cambria" w:hAnsi="Cambria" w:cs="Calibri Light"/>
          <w:color w:val="000000" w:themeColor="text1"/>
          <w:sz w:val="20"/>
          <w:szCs w:val="20"/>
          <w:lang w:val="es-CO"/>
        </w:rPr>
        <w:t>, entre otras.</w:t>
      </w:r>
    </w:p>
    <w:p w14:paraId="4F9CCC73" w14:textId="77777777" w:rsidR="00C11336" w:rsidRPr="00491517" w:rsidRDefault="00C11336" w:rsidP="00A36C6E">
      <w:pPr>
        <w:pStyle w:val="ListParagraph"/>
        <w:spacing w:after="0" w:line="240" w:lineRule="auto"/>
        <w:ind w:left="0" w:firstLine="720"/>
        <w:jc w:val="both"/>
        <w:rPr>
          <w:rFonts w:ascii="Cambria" w:hAnsi="Cambria" w:cs="Calibri Light"/>
          <w:color w:val="000000" w:themeColor="text1"/>
          <w:sz w:val="20"/>
          <w:szCs w:val="20"/>
          <w:lang w:val="es-CO"/>
        </w:rPr>
      </w:pPr>
    </w:p>
    <w:p w14:paraId="72989D94" w14:textId="5E288166" w:rsidR="00E35CE4" w:rsidRPr="00491517" w:rsidRDefault="00884A84"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olor w:val="000000" w:themeColor="text1"/>
          <w:sz w:val="20"/>
          <w:szCs w:val="20"/>
          <w:lang w:val="es-ES"/>
        </w:rPr>
        <w:t xml:space="preserve">Respecto al </w:t>
      </w:r>
      <w:r w:rsidR="00D80A03" w:rsidRPr="00491517">
        <w:rPr>
          <w:rFonts w:ascii="Cambria" w:hAnsi="Cambria"/>
          <w:color w:val="000000" w:themeColor="text1"/>
          <w:sz w:val="20"/>
          <w:szCs w:val="20"/>
          <w:lang w:val="es-ES"/>
        </w:rPr>
        <w:t>MP</w:t>
      </w:r>
      <w:r w:rsidRPr="00491517">
        <w:rPr>
          <w:rFonts w:ascii="Cambria" w:hAnsi="Cambria"/>
          <w:color w:val="000000" w:themeColor="text1"/>
          <w:sz w:val="20"/>
          <w:szCs w:val="20"/>
          <w:lang w:val="es-ES"/>
        </w:rPr>
        <w:t xml:space="preserve">, </w:t>
      </w:r>
      <w:r w:rsidR="00A021BB" w:rsidRPr="00491517">
        <w:rPr>
          <w:rFonts w:ascii="Cambria" w:hAnsi="Cambria"/>
          <w:color w:val="000000" w:themeColor="text1"/>
          <w:sz w:val="20"/>
          <w:szCs w:val="20"/>
          <w:lang w:val="es-ES"/>
        </w:rPr>
        <w:t xml:space="preserve">el Estado </w:t>
      </w:r>
      <w:r w:rsidRPr="00491517">
        <w:rPr>
          <w:rFonts w:ascii="Cambria" w:hAnsi="Cambria"/>
          <w:color w:val="000000" w:themeColor="text1"/>
          <w:sz w:val="20"/>
          <w:szCs w:val="20"/>
          <w:lang w:val="es-ES"/>
        </w:rPr>
        <w:t>s</w:t>
      </w:r>
      <w:r w:rsidR="0032663D" w:rsidRPr="00491517">
        <w:rPr>
          <w:rFonts w:ascii="Cambria" w:hAnsi="Cambria"/>
          <w:color w:val="000000" w:themeColor="text1"/>
          <w:sz w:val="20"/>
          <w:szCs w:val="20"/>
          <w:lang w:val="es-ES"/>
        </w:rPr>
        <w:t>eñaló que</w:t>
      </w:r>
      <w:r w:rsidRPr="00491517">
        <w:rPr>
          <w:rFonts w:ascii="Cambria" w:hAnsi="Cambria"/>
          <w:color w:val="000000" w:themeColor="text1"/>
          <w:sz w:val="20"/>
          <w:szCs w:val="20"/>
          <w:lang w:val="es-ES"/>
        </w:rPr>
        <w:t xml:space="preserve"> esta entidad</w:t>
      </w:r>
      <w:r w:rsidR="00EB2E93" w:rsidRPr="00491517">
        <w:rPr>
          <w:rFonts w:ascii="Cambria" w:hAnsi="Cambria"/>
          <w:color w:val="000000" w:themeColor="text1"/>
          <w:sz w:val="20"/>
          <w:szCs w:val="20"/>
          <w:lang w:val="es-ES"/>
        </w:rPr>
        <w:t xml:space="preserve"> </w:t>
      </w:r>
      <w:r w:rsidR="0032663D" w:rsidRPr="00491517">
        <w:rPr>
          <w:rFonts w:ascii="Cambria" w:hAnsi="Cambria"/>
          <w:color w:val="000000" w:themeColor="text1"/>
          <w:sz w:val="20"/>
          <w:szCs w:val="20"/>
          <w:lang w:val="es-ES"/>
        </w:rPr>
        <w:t>se ha esforzado en</w:t>
      </w:r>
      <w:r w:rsidR="00FE3036" w:rsidRPr="00491517">
        <w:rPr>
          <w:rFonts w:ascii="Cambria" w:hAnsi="Cambria"/>
          <w:color w:val="000000" w:themeColor="text1"/>
          <w:sz w:val="20"/>
          <w:szCs w:val="20"/>
          <w:lang w:val="es-ES"/>
        </w:rPr>
        <w:t xml:space="preserve"> sistematiza</w:t>
      </w:r>
      <w:r w:rsidR="00EB2E93" w:rsidRPr="00491517">
        <w:rPr>
          <w:rFonts w:ascii="Cambria" w:hAnsi="Cambria"/>
          <w:color w:val="000000" w:themeColor="text1"/>
          <w:sz w:val="20"/>
          <w:szCs w:val="20"/>
          <w:lang w:val="es-ES"/>
        </w:rPr>
        <w:t>r</w:t>
      </w:r>
      <w:r w:rsidR="00FE3036" w:rsidRPr="00491517">
        <w:rPr>
          <w:rFonts w:ascii="Cambria" w:hAnsi="Cambria"/>
          <w:color w:val="000000" w:themeColor="text1"/>
          <w:sz w:val="20"/>
          <w:szCs w:val="20"/>
          <w:lang w:val="es-ES"/>
        </w:rPr>
        <w:t xml:space="preserve"> </w:t>
      </w:r>
      <w:r w:rsidR="00E35CE4" w:rsidRPr="00491517">
        <w:rPr>
          <w:rFonts w:ascii="Cambria" w:hAnsi="Cambria"/>
          <w:color w:val="000000" w:themeColor="text1"/>
          <w:sz w:val="20"/>
          <w:szCs w:val="20"/>
          <w:lang w:val="es-ES"/>
        </w:rPr>
        <w:t>los casos</w:t>
      </w:r>
      <w:r w:rsidR="00FE3036" w:rsidRPr="00491517">
        <w:rPr>
          <w:rFonts w:ascii="Cambria" w:hAnsi="Cambria"/>
          <w:color w:val="000000" w:themeColor="text1"/>
          <w:sz w:val="20"/>
          <w:szCs w:val="20"/>
          <w:lang w:val="es-ES"/>
        </w:rPr>
        <w:t xml:space="preserve"> y víctimas</w:t>
      </w:r>
      <w:r w:rsidR="00E35CE4" w:rsidRPr="00491517">
        <w:rPr>
          <w:rFonts w:ascii="Cambria" w:hAnsi="Cambria"/>
          <w:color w:val="000000" w:themeColor="text1"/>
          <w:sz w:val="20"/>
          <w:szCs w:val="20"/>
          <w:lang w:val="es-ES"/>
        </w:rPr>
        <w:t xml:space="preserve"> </w:t>
      </w:r>
      <w:r w:rsidR="00EB2E93" w:rsidRPr="00491517">
        <w:rPr>
          <w:rFonts w:ascii="Cambria" w:hAnsi="Cambria"/>
          <w:color w:val="000000" w:themeColor="text1"/>
          <w:sz w:val="20"/>
          <w:szCs w:val="20"/>
          <w:lang w:val="es-ES"/>
        </w:rPr>
        <w:t>d</w:t>
      </w:r>
      <w:r w:rsidR="00E35CE4" w:rsidRPr="00491517">
        <w:rPr>
          <w:rFonts w:ascii="Cambria" w:hAnsi="Cambria"/>
          <w:color w:val="000000" w:themeColor="text1"/>
          <w:sz w:val="20"/>
          <w:szCs w:val="20"/>
          <w:lang w:val="es-ES"/>
        </w:rPr>
        <w:t>el Comunicado de Prensa</w:t>
      </w:r>
      <w:r w:rsidRPr="00491517">
        <w:rPr>
          <w:rFonts w:ascii="Cambria" w:hAnsi="Cambria"/>
          <w:color w:val="000000" w:themeColor="text1"/>
          <w:sz w:val="20"/>
          <w:szCs w:val="20"/>
          <w:lang w:val="es-ES"/>
        </w:rPr>
        <w:t xml:space="preserve"> </w:t>
      </w:r>
      <w:r w:rsidR="00DA1D45" w:rsidRPr="00491517">
        <w:rPr>
          <w:rFonts w:ascii="Cambria" w:hAnsi="Cambria"/>
          <w:color w:val="000000" w:themeColor="text1"/>
          <w:sz w:val="20"/>
          <w:szCs w:val="20"/>
          <w:lang w:val="es-ES"/>
        </w:rPr>
        <w:t>a partir de información de</w:t>
      </w:r>
      <w:r w:rsidRPr="00491517">
        <w:rPr>
          <w:rFonts w:ascii="Cambria" w:hAnsi="Cambria"/>
          <w:color w:val="000000" w:themeColor="text1"/>
          <w:sz w:val="20"/>
          <w:szCs w:val="20"/>
          <w:lang w:val="es-ES"/>
        </w:rPr>
        <w:t xml:space="preserve"> las fiscalías a </w:t>
      </w:r>
      <w:proofErr w:type="gramStart"/>
      <w:r w:rsidRPr="00491517">
        <w:rPr>
          <w:rFonts w:ascii="Cambria" w:hAnsi="Cambria"/>
          <w:color w:val="000000" w:themeColor="text1"/>
          <w:sz w:val="20"/>
          <w:szCs w:val="20"/>
          <w:lang w:val="es-ES"/>
        </w:rPr>
        <w:t>nivel  nacional</w:t>
      </w:r>
      <w:proofErr w:type="gramEnd"/>
      <w:r w:rsidR="00E35CE4" w:rsidRPr="00491517">
        <w:rPr>
          <w:rFonts w:ascii="Cambria" w:hAnsi="Cambria"/>
          <w:color w:val="000000" w:themeColor="text1"/>
          <w:sz w:val="20"/>
          <w:szCs w:val="20"/>
          <w:lang w:val="es-ES"/>
        </w:rPr>
        <w:t xml:space="preserve">. Indicó que </w:t>
      </w:r>
      <w:r w:rsidR="002F045E" w:rsidRPr="00491517">
        <w:rPr>
          <w:rFonts w:ascii="Cambria" w:hAnsi="Cambria"/>
          <w:color w:val="000000" w:themeColor="text1"/>
          <w:sz w:val="20"/>
          <w:szCs w:val="20"/>
          <w:lang w:val="es-ES"/>
        </w:rPr>
        <w:t>se registra</w:t>
      </w:r>
      <w:r w:rsidR="00DA1D45" w:rsidRPr="00491517">
        <w:rPr>
          <w:rFonts w:ascii="Cambria" w:hAnsi="Cambria"/>
          <w:color w:val="000000" w:themeColor="text1"/>
          <w:sz w:val="20"/>
          <w:szCs w:val="20"/>
          <w:lang w:val="es-ES"/>
        </w:rPr>
        <w:t>n</w:t>
      </w:r>
      <w:r w:rsidR="00E35CE4" w:rsidRPr="00491517">
        <w:rPr>
          <w:rFonts w:ascii="Cambria" w:hAnsi="Cambria"/>
          <w:color w:val="000000" w:themeColor="text1"/>
          <w:sz w:val="20"/>
          <w:szCs w:val="20"/>
          <w:lang w:val="es-ES"/>
        </w:rPr>
        <w:t xml:space="preserve"> 168 casos que comprenden 453 víctimas</w:t>
      </w:r>
      <w:r w:rsidR="00DA1D45" w:rsidRPr="00491517">
        <w:rPr>
          <w:rFonts w:ascii="Cambria" w:hAnsi="Cambria"/>
          <w:color w:val="000000" w:themeColor="text1"/>
          <w:sz w:val="20"/>
          <w:szCs w:val="20"/>
          <w:lang w:val="es-ES"/>
        </w:rPr>
        <w:t xml:space="preserve">. Informó que, dentro de estos casos, </w:t>
      </w:r>
      <w:r w:rsidR="00E35CE4" w:rsidRPr="00491517">
        <w:rPr>
          <w:rFonts w:ascii="Cambria" w:hAnsi="Cambria"/>
          <w:color w:val="000000" w:themeColor="text1"/>
          <w:sz w:val="20"/>
          <w:szCs w:val="20"/>
          <w:lang w:val="es-ES"/>
        </w:rPr>
        <w:t>52 fueron archivados definitivamente con 114 víctimas</w:t>
      </w:r>
      <w:r w:rsidR="00FE3036" w:rsidRPr="00491517">
        <w:rPr>
          <w:rFonts w:ascii="Cambria" w:hAnsi="Cambria"/>
          <w:color w:val="000000" w:themeColor="text1"/>
          <w:sz w:val="20"/>
          <w:szCs w:val="20"/>
          <w:lang w:val="es-ES"/>
        </w:rPr>
        <w:t xml:space="preserve"> y </w:t>
      </w:r>
      <w:r w:rsidR="00E35CE4" w:rsidRPr="00491517">
        <w:rPr>
          <w:rFonts w:ascii="Cambria" w:hAnsi="Cambria"/>
          <w:color w:val="000000" w:themeColor="text1"/>
          <w:sz w:val="20"/>
          <w:szCs w:val="20"/>
          <w:lang w:val="es-ES"/>
        </w:rPr>
        <w:t>19 casos están en última etapa (en audiencia de control de acusación, en inicio de juicio oral o en juicio oral) con 67 víctimas</w:t>
      </w:r>
      <w:r w:rsidR="00FE3036" w:rsidRPr="00491517">
        <w:rPr>
          <w:rFonts w:ascii="Cambria" w:hAnsi="Cambria"/>
          <w:color w:val="000000" w:themeColor="text1"/>
          <w:sz w:val="20"/>
          <w:szCs w:val="20"/>
          <w:lang w:val="es-ES"/>
        </w:rPr>
        <w:t xml:space="preserve">. Indicó que no fue posible identificar el estado de 12 casos y que </w:t>
      </w:r>
      <w:r w:rsidR="002F045E" w:rsidRPr="00491517">
        <w:rPr>
          <w:rFonts w:ascii="Cambria" w:hAnsi="Cambria"/>
          <w:color w:val="000000" w:themeColor="text1"/>
          <w:sz w:val="20"/>
          <w:szCs w:val="20"/>
          <w:lang w:val="es-ES"/>
        </w:rPr>
        <w:t>tampoco</w:t>
      </w:r>
      <w:r w:rsidR="00FE3036" w:rsidRPr="00491517">
        <w:rPr>
          <w:rFonts w:ascii="Cambria" w:hAnsi="Cambria"/>
          <w:color w:val="000000" w:themeColor="text1"/>
          <w:sz w:val="20"/>
          <w:szCs w:val="20"/>
          <w:lang w:val="es-ES"/>
        </w:rPr>
        <w:t xml:space="preserve"> fueron ubicadas 23 víctimas en el sistema de casos nacional.</w:t>
      </w:r>
      <w:r w:rsidR="00A01FB6" w:rsidRPr="00491517">
        <w:rPr>
          <w:rFonts w:ascii="Cambria" w:hAnsi="Cambria"/>
          <w:color w:val="000000" w:themeColor="text1"/>
          <w:sz w:val="20"/>
          <w:szCs w:val="20"/>
          <w:lang w:val="es-ES"/>
        </w:rPr>
        <w:t xml:space="preserve"> </w:t>
      </w:r>
    </w:p>
    <w:p w14:paraId="5EF0C11C" w14:textId="77777777" w:rsidR="00FE3036" w:rsidRPr="00491517" w:rsidRDefault="00FE3036" w:rsidP="00A36C6E">
      <w:pPr>
        <w:pStyle w:val="ListParagraph"/>
        <w:spacing w:after="0" w:line="240" w:lineRule="auto"/>
        <w:ind w:left="0" w:firstLine="720"/>
        <w:jc w:val="both"/>
        <w:rPr>
          <w:rFonts w:ascii="Cambria" w:hAnsi="Cambria" w:cs="Calibri Light"/>
          <w:color w:val="000000" w:themeColor="text1"/>
          <w:sz w:val="20"/>
          <w:szCs w:val="20"/>
          <w:lang w:val="es-CO"/>
        </w:rPr>
      </w:pPr>
    </w:p>
    <w:p w14:paraId="7936CB86" w14:textId="39E8D9A2" w:rsidR="002A1E4A" w:rsidRPr="00491517" w:rsidRDefault="00B1106F"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color w:val="000000" w:themeColor="text1"/>
          <w:sz w:val="20"/>
          <w:szCs w:val="20"/>
          <w:lang w:val="es-CO"/>
        </w:rPr>
        <w:t>E</w:t>
      </w:r>
      <w:r w:rsidR="00A021BB" w:rsidRPr="00491517">
        <w:rPr>
          <w:rFonts w:ascii="Cambria" w:hAnsi="Cambria" w:cs="Calibri Light"/>
          <w:color w:val="000000" w:themeColor="text1"/>
          <w:sz w:val="20"/>
          <w:szCs w:val="20"/>
          <w:lang w:val="es-CO"/>
        </w:rPr>
        <w:t>n cuanto al</w:t>
      </w:r>
      <w:r w:rsidR="00FE3036" w:rsidRPr="00491517">
        <w:rPr>
          <w:rFonts w:ascii="Cambria" w:hAnsi="Cambria" w:cs="Calibri Light"/>
          <w:color w:val="000000" w:themeColor="text1"/>
          <w:sz w:val="20"/>
          <w:szCs w:val="20"/>
          <w:lang w:val="es-CO"/>
        </w:rPr>
        <w:t xml:space="preserve"> cronograma de </w:t>
      </w:r>
      <w:r w:rsidR="00B542F1" w:rsidRPr="00491517">
        <w:rPr>
          <w:rFonts w:ascii="Cambria" w:hAnsi="Cambria" w:cs="Calibri Light"/>
          <w:color w:val="000000" w:themeColor="text1"/>
          <w:sz w:val="20"/>
          <w:szCs w:val="20"/>
          <w:lang w:val="es-CO"/>
        </w:rPr>
        <w:t>actividades,</w:t>
      </w:r>
      <w:r w:rsidR="00FE3036" w:rsidRPr="00491517">
        <w:rPr>
          <w:rFonts w:ascii="Cambria" w:hAnsi="Cambria" w:cs="Calibri Light"/>
          <w:color w:val="000000" w:themeColor="text1"/>
          <w:sz w:val="20"/>
          <w:szCs w:val="20"/>
          <w:lang w:val="es-CO"/>
        </w:rPr>
        <w:t xml:space="preserve"> </w:t>
      </w:r>
      <w:r w:rsidR="002A1E4A" w:rsidRPr="00491517">
        <w:rPr>
          <w:rFonts w:ascii="Cambria" w:hAnsi="Cambria" w:cs="Calibri Light"/>
          <w:color w:val="000000" w:themeColor="text1"/>
          <w:sz w:val="20"/>
          <w:szCs w:val="20"/>
          <w:lang w:val="es-CO"/>
        </w:rPr>
        <w:t xml:space="preserve">el </w:t>
      </w:r>
      <w:r w:rsidR="00D80A03" w:rsidRPr="00491517">
        <w:rPr>
          <w:rFonts w:ascii="Cambria" w:hAnsi="Cambria"/>
          <w:color w:val="000000" w:themeColor="text1"/>
          <w:sz w:val="20"/>
          <w:szCs w:val="20"/>
          <w:lang w:val="es-ES"/>
        </w:rPr>
        <w:t>MP</w:t>
      </w:r>
      <w:r w:rsidR="00A021BB" w:rsidRPr="00491517">
        <w:rPr>
          <w:rFonts w:ascii="Cambria" w:hAnsi="Cambria" w:cs="Calibri Light"/>
          <w:color w:val="000000" w:themeColor="text1"/>
          <w:sz w:val="20"/>
          <w:szCs w:val="20"/>
          <w:lang w:val="es-CO"/>
        </w:rPr>
        <w:t xml:space="preserve"> </w:t>
      </w:r>
      <w:r w:rsidR="001B4F5C" w:rsidRPr="00491517">
        <w:rPr>
          <w:rFonts w:ascii="Cambria" w:hAnsi="Cambria" w:cs="Calibri Light"/>
          <w:color w:val="000000" w:themeColor="text1"/>
          <w:sz w:val="20"/>
          <w:szCs w:val="20"/>
          <w:lang w:val="es-CO"/>
        </w:rPr>
        <w:t>report</w:t>
      </w:r>
      <w:r w:rsidR="00A021BB" w:rsidRPr="00491517">
        <w:rPr>
          <w:rFonts w:ascii="Cambria" w:hAnsi="Cambria" w:cs="Calibri Light"/>
          <w:color w:val="000000" w:themeColor="text1"/>
          <w:sz w:val="20"/>
          <w:szCs w:val="20"/>
          <w:lang w:val="es-CO"/>
        </w:rPr>
        <w:t xml:space="preserve">ó </w:t>
      </w:r>
      <w:r w:rsidR="001B4F5C" w:rsidRPr="00491517">
        <w:rPr>
          <w:rFonts w:ascii="Cambria" w:hAnsi="Cambria" w:cs="Calibri Light"/>
          <w:color w:val="000000" w:themeColor="text1"/>
          <w:sz w:val="20"/>
          <w:szCs w:val="20"/>
          <w:lang w:val="es-CO"/>
        </w:rPr>
        <w:t>reuniones con los Distritos Fiscales de San Martín, Huánuco, Pasco y Junín</w:t>
      </w:r>
      <w:r w:rsidR="005352AF" w:rsidRPr="00491517">
        <w:rPr>
          <w:rFonts w:ascii="Cambria" w:hAnsi="Cambria" w:cs="Calibri Light"/>
          <w:color w:val="000000" w:themeColor="text1"/>
          <w:sz w:val="20"/>
          <w:szCs w:val="20"/>
          <w:lang w:val="es-CO"/>
        </w:rPr>
        <w:t xml:space="preserve"> y </w:t>
      </w:r>
      <w:r w:rsidR="001B4F5C" w:rsidRPr="00491517">
        <w:rPr>
          <w:rFonts w:ascii="Cambria" w:hAnsi="Cambria" w:cs="Calibri Light"/>
          <w:color w:val="000000" w:themeColor="text1"/>
          <w:sz w:val="20"/>
          <w:szCs w:val="20"/>
          <w:lang w:val="es-CO"/>
        </w:rPr>
        <w:t>con la representación de algunas víctimas</w:t>
      </w:r>
      <w:r w:rsidR="00047A67" w:rsidRPr="00491517">
        <w:rPr>
          <w:rFonts w:ascii="Cambria" w:hAnsi="Cambria" w:cs="Calibri Light"/>
          <w:color w:val="000000" w:themeColor="text1"/>
          <w:sz w:val="20"/>
          <w:szCs w:val="20"/>
          <w:lang w:val="es-CO"/>
        </w:rPr>
        <w:t>, así como la</w:t>
      </w:r>
      <w:r w:rsidR="001B4F5C" w:rsidRPr="00491517">
        <w:rPr>
          <w:rFonts w:ascii="Cambria" w:hAnsi="Cambria" w:cs="Calibri Light"/>
          <w:color w:val="000000" w:themeColor="text1"/>
          <w:sz w:val="20"/>
          <w:szCs w:val="20"/>
          <w:lang w:val="es-CO"/>
        </w:rPr>
        <w:t xml:space="preserve"> revisión de carpetas de casos </w:t>
      </w:r>
      <w:r w:rsidR="00AF5AE1" w:rsidRPr="00491517">
        <w:rPr>
          <w:rFonts w:ascii="Cambria" w:hAnsi="Cambria" w:cs="Calibri Light"/>
          <w:color w:val="000000" w:themeColor="text1"/>
          <w:sz w:val="20"/>
          <w:szCs w:val="20"/>
          <w:lang w:val="es-CO"/>
        </w:rPr>
        <w:t>en</w:t>
      </w:r>
      <w:r w:rsidR="001B4F5C" w:rsidRPr="00491517">
        <w:rPr>
          <w:rFonts w:ascii="Cambria" w:hAnsi="Cambria" w:cs="Calibri Light"/>
          <w:color w:val="000000" w:themeColor="text1"/>
          <w:sz w:val="20"/>
          <w:szCs w:val="20"/>
          <w:lang w:val="es-CO"/>
        </w:rPr>
        <w:t xml:space="preserve"> </w:t>
      </w:r>
      <w:r w:rsidR="00AF5AE1" w:rsidRPr="00491517">
        <w:rPr>
          <w:rFonts w:ascii="Cambria" w:hAnsi="Cambria" w:cs="Calibri Light"/>
          <w:color w:val="000000" w:themeColor="text1"/>
          <w:sz w:val="20"/>
          <w:szCs w:val="20"/>
          <w:lang w:val="es-CO"/>
        </w:rPr>
        <w:t>e</w:t>
      </w:r>
      <w:r w:rsidR="001B4F5C" w:rsidRPr="00491517">
        <w:rPr>
          <w:rFonts w:ascii="Cambria" w:hAnsi="Cambria" w:cs="Calibri Light"/>
          <w:color w:val="000000" w:themeColor="text1"/>
          <w:sz w:val="20"/>
          <w:szCs w:val="20"/>
          <w:lang w:val="es-CO"/>
        </w:rPr>
        <w:t>l Distrito Fiscal de Huánuco</w:t>
      </w:r>
      <w:r w:rsidR="00B542F1" w:rsidRPr="00491517">
        <w:rPr>
          <w:rFonts w:ascii="Cambria" w:hAnsi="Cambria" w:cs="Calibri Light"/>
          <w:color w:val="000000" w:themeColor="text1"/>
          <w:sz w:val="20"/>
          <w:szCs w:val="20"/>
          <w:lang w:val="es-CO"/>
        </w:rPr>
        <w:t xml:space="preserve"> (que permitió revisar expedientes con archivo provisional</w:t>
      </w:r>
      <w:r w:rsidR="00047A67" w:rsidRPr="00491517">
        <w:rPr>
          <w:rFonts w:ascii="Cambria" w:hAnsi="Cambria" w:cs="Calibri Light"/>
          <w:color w:val="000000" w:themeColor="text1"/>
          <w:sz w:val="20"/>
          <w:szCs w:val="20"/>
          <w:lang w:val="es-CO"/>
        </w:rPr>
        <w:t xml:space="preserve"> y </w:t>
      </w:r>
      <w:r w:rsidR="00B542F1" w:rsidRPr="00491517">
        <w:rPr>
          <w:rFonts w:ascii="Cambria" w:hAnsi="Cambria" w:cs="Calibri Light"/>
          <w:color w:val="000000" w:themeColor="text1"/>
          <w:sz w:val="20"/>
          <w:szCs w:val="20"/>
          <w:lang w:val="es-CO"/>
        </w:rPr>
        <w:t>definitivo</w:t>
      </w:r>
      <w:r w:rsidR="005D51B7" w:rsidRPr="00491517">
        <w:rPr>
          <w:rFonts w:ascii="Cambria" w:hAnsi="Cambria" w:cs="Calibri Light"/>
          <w:color w:val="000000" w:themeColor="text1"/>
          <w:sz w:val="20"/>
          <w:szCs w:val="20"/>
          <w:lang w:val="es-CO"/>
        </w:rPr>
        <w:t>,</w:t>
      </w:r>
      <w:r w:rsidR="00B542F1" w:rsidRPr="00491517">
        <w:rPr>
          <w:rFonts w:ascii="Cambria" w:hAnsi="Cambria" w:cs="Calibri Light"/>
          <w:color w:val="000000" w:themeColor="text1"/>
          <w:sz w:val="20"/>
          <w:szCs w:val="20"/>
          <w:lang w:val="es-CO"/>
        </w:rPr>
        <w:t xml:space="preserve"> en investigación preliminar</w:t>
      </w:r>
      <w:r w:rsidR="005D51B7" w:rsidRPr="00491517">
        <w:rPr>
          <w:rFonts w:ascii="Cambria" w:hAnsi="Cambria" w:cs="Calibri Light"/>
          <w:color w:val="000000" w:themeColor="text1"/>
          <w:sz w:val="20"/>
          <w:szCs w:val="20"/>
          <w:lang w:val="es-CO"/>
        </w:rPr>
        <w:t xml:space="preserve"> y expedientes que no habían sido localizados</w:t>
      </w:r>
      <w:r w:rsidR="00B542F1" w:rsidRPr="00491517">
        <w:rPr>
          <w:rFonts w:ascii="Cambria" w:hAnsi="Cambria" w:cs="Calibri Light"/>
          <w:color w:val="000000" w:themeColor="text1"/>
          <w:sz w:val="20"/>
          <w:szCs w:val="20"/>
          <w:lang w:val="es-CO"/>
        </w:rPr>
        <w:t>)</w:t>
      </w:r>
      <w:r w:rsidR="007851E0" w:rsidRPr="00491517">
        <w:rPr>
          <w:rFonts w:ascii="Cambria" w:hAnsi="Cambria" w:cs="Calibri Light"/>
          <w:color w:val="000000" w:themeColor="text1"/>
          <w:sz w:val="20"/>
          <w:szCs w:val="20"/>
          <w:lang w:val="es-CO"/>
        </w:rPr>
        <w:t xml:space="preserve">. </w:t>
      </w:r>
      <w:r w:rsidR="00AF5AE1" w:rsidRPr="00491517">
        <w:rPr>
          <w:rFonts w:ascii="Cambria" w:hAnsi="Cambria" w:cs="Calibri Light"/>
          <w:color w:val="000000" w:themeColor="text1"/>
          <w:sz w:val="20"/>
          <w:szCs w:val="20"/>
          <w:lang w:val="es-CO"/>
        </w:rPr>
        <w:t>Además</w:t>
      </w:r>
      <w:r w:rsidR="00A01FB6" w:rsidRPr="00491517">
        <w:rPr>
          <w:rFonts w:ascii="Cambria" w:hAnsi="Cambria" w:cs="Calibri Light"/>
          <w:color w:val="000000" w:themeColor="text1"/>
          <w:sz w:val="20"/>
          <w:szCs w:val="20"/>
          <w:lang w:val="es-CO"/>
        </w:rPr>
        <w:t xml:space="preserve">, el Estado indicó que, como parte de su cronograma, </w:t>
      </w:r>
      <w:r w:rsidR="002A1E4A" w:rsidRPr="00491517">
        <w:rPr>
          <w:rFonts w:ascii="Cambria" w:hAnsi="Cambria" w:cs="Calibri Light"/>
          <w:color w:val="000000" w:themeColor="text1"/>
          <w:sz w:val="20"/>
          <w:szCs w:val="20"/>
          <w:lang w:val="es-CO"/>
        </w:rPr>
        <w:t xml:space="preserve">el </w:t>
      </w:r>
      <w:r w:rsidR="00D80A03" w:rsidRPr="00491517">
        <w:rPr>
          <w:rFonts w:ascii="Cambria" w:hAnsi="Cambria"/>
          <w:color w:val="000000" w:themeColor="text1"/>
          <w:sz w:val="20"/>
          <w:szCs w:val="20"/>
          <w:lang w:val="es-ES"/>
        </w:rPr>
        <w:t>MP</w:t>
      </w:r>
      <w:r w:rsidR="00D80A03" w:rsidRPr="00491517">
        <w:rPr>
          <w:rFonts w:ascii="Cambria" w:hAnsi="Cambria" w:cs="Calibri Light"/>
          <w:color w:val="000000" w:themeColor="text1"/>
          <w:sz w:val="20"/>
          <w:szCs w:val="20"/>
          <w:lang w:val="es-CO"/>
        </w:rPr>
        <w:t xml:space="preserve"> </w:t>
      </w:r>
      <w:r w:rsidR="002A1E4A" w:rsidRPr="00491517">
        <w:rPr>
          <w:rFonts w:ascii="Cambria" w:hAnsi="Cambria" w:cs="Calibri Light"/>
          <w:color w:val="000000" w:themeColor="text1"/>
          <w:sz w:val="20"/>
          <w:szCs w:val="20"/>
          <w:lang w:val="es-CO"/>
        </w:rPr>
        <w:t>programó</w:t>
      </w:r>
      <w:r w:rsidR="00A01FB6" w:rsidRPr="00491517">
        <w:rPr>
          <w:rFonts w:ascii="Cambria" w:hAnsi="Cambria" w:cs="Calibri Light"/>
          <w:color w:val="000000" w:themeColor="text1"/>
          <w:sz w:val="20"/>
          <w:szCs w:val="20"/>
          <w:lang w:val="es-CO"/>
        </w:rPr>
        <w:t xml:space="preserve"> visitas de control a las fiscalías especializadas para verificar </w:t>
      </w:r>
      <w:r w:rsidR="00A01FB6" w:rsidRPr="00491517">
        <w:rPr>
          <w:rFonts w:ascii="Cambria" w:hAnsi="Cambria" w:cs="Calibri Light"/>
          <w:i/>
          <w:iCs/>
          <w:color w:val="000000" w:themeColor="text1"/>
          <w:sz w:val="20"/>
          <w:szCs w:val="20"/>
          <w:lang w:val="es-CO"/>
        </w:rPr>
        <w:t xml:space="preserve">in situ </w:t>
      </w:r>
      <w:r w:rsidR="002A1E4A" w:rsidRPr="00491517">
        <w:rPr>
          <w:rFonts w:ascii="Cambria" w:hAnsi="Cambria" w:cs="Calibri Light"/>
          <w:color w:val="000000" w:themeColor="text1"/>
          <w:sz w:val="20"/>
          <w:szCs w:val="20"/>
          <w:lang w:val="es-CO"/>
        </w:rPr>
        <w:t xml:space="preserve">las actuaciones fiscales realizadas </w:t>
      </w:r>
      <w:r w:rsidR="008A3C98" w:rsidRPr="00491517">
        <w:rPr>
          <w:rFonts w:ascii="Cambria" w:hAnsi="Cambria" w:cs="Calibri Light"/>
          <w:color w:val="000000" w:themeColor="text1"/>
          <w:sz w:val="20"/>
          <w:szCs w:val="20"/>
          <w:lang w:val="es-CO"/>
        </w:rPr>
        <w:t>para</w:t>
      </w:r>
      <w:r w:rsidR="002A1E4A" w:rsidRPr="00491517">
        <w:rPr>
          <w:rFonts w:ascii="Cambria" w:hAnsi="Cambria" w:cs="Calibri Light"/>
          <w:color w:val="000000" w:themeColor="text1"/>
          <w:sz w:val="20"/>
          <w:szCs w:val="20"/>
          <w:lang w:val="es-CO"/>
        </w:rPr>
        <w:t xml:space="preserve"> casos archivados </w:t>
      </w:r>
      <w:r w:rsidR="00A80879" w:rsidRPr="00491517">
        <w:rPr>
          <w:rFonts w:ascii="Cambria" w:hAnsi="Cambria" w:cs="Calibri Light"/>
          <w:color w:val="000000" w:themeColor="text1"/>
          <w:sz w:val="20"/>
          <w:szCs w:val="20"/>
          <w:lang w:val="es-CO"/>
        </w:rPr>
        <w:t xml:space="preserve">y reportó </w:t>
      </w:r>
      <w:r w:rsidR="002A1E4A" w:rsidRPr="00491517">
        <w:rPr>
          <w:rFonts w:ascii="Cambria" w:hAnsi="Cambria" w:cs="Calibri Light"/>
          <w:color w:val="000000" w:themeColor="text1"/>
          <w:sz w:val="20"/>
          <w:szCs w:val="20"/>
          <w:lang w:val="es-CO"/>
        </w:rPr>
        <w:t xml:space="preserve">que fueron realizadas visitas </w:t>
      </w:r>
      <w:r w:rsidR="00AF5AE1" w:rsidRPr="00491517">
        <w:rPr>
          <w:rFonts w:ascii="Cambria" w:hAnsi="Cambria" w:cs="Calibri Light"/>
          <w:color w:val="000000" w:themeColor="text1"/>
          <w:sz w:val="20"/>
          <w:szCs w:val="20"/>
          <w:lang w:val="es-CO"/>
        </w:rPr>
        <w:t>a</w:t>
      </w:r>
      <w:r w:rsidR="008A3C98" w:rsidRPr="00491517">
        <w:rPr>
          <w:rFonts w:ascii="Cambria" w:hAnsi="Cambria" w:cs="Calibri Light"/>
          <w:color w:val="000000" w:themeColor="text1"/>
          <w:sz w:val="20"/>
          <w:szCs w:val="20"/>
          <w:lang w:val="es-CO"/>
        </w:rPr>
        <w:t xml:space="preserve"> </w:t>
      </w:r>
      <w:r w:rsidR="002A1E4A" w:rsidRPr="00491517">
        <w:rPr>
          <w:rFonts w:ascii="Cambria" w:hAnsi="Cambria" w:cs="Calibri Light"/>
          <w:color w:val="000000" w:themeColor="text1"/>
          <w:sz w:val="20"/>
          <w:szCs w:val="20"/>
          <w:lang w:val="es-CO"/>
        </w:rPr>
        <w:t>Fiscalías Supraprovinciales en Lima y Ayacucho</w:t>
      </w:r>
      <w:r w:rsidR="00C11336" w:rsidRPr="00491517">
        <w:rPr>
          <w:rFonts w:ascii="Cambria" w:hAnsi="Cambria" w:cs="Calibri Light"/>
          <w:color w:val="000000" w:themeColor="text1"/>
          <w:sz w:val="20"/>
          <w:szCs w:val="20"/>
          <w:lang w:val="es-CO"/>
        </w:rPr>
        <w:t>, cuyas observaciones y conclusiones están en elaboración.</w:t>
      </w:r>
    </w:p>
    <w:p w14:paraId="472B6418" w14:textId="77777777" w:rsidR="002810BE" w:rsidRPr="00491517" w:rsidRDefault="002810BE" w:rsidP="00A36C6E">
      <w:pPr>
        <w:pStyle w:val="ListParagraph"/>
        <w:spacing w:after="0" w:line="240" w:lineRule="auto"/>
        <w:ind w:left="0" w:firstLine="720"/>
        <w:jc w:val="both"/>
        <w:rPr>
          <w:rFonts w:ascii="Cambria" w:hAnsi="Cambria" w:cs="Calibri Light"/>
          <w:color w:val="000000" w:themeColor="text1"/>
          <w:sz w:val="20"/>
          <w:szCs w:val="20"/>
          <w:lang w:val="es-CO"/>
        </w:rPr>
      </w:pPr>
    </w:p>
    <w:p w14:paraId="4F5FBBCC" w14:textId="433EE28F" w:rsidR="00715D47" w:rsidRPr="00491517" w:rsidRDefault="00581E35"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cs="Calibri Light"/>
          <w:color w:val="000000" w:themeColor="text1"/>
          <w:sz w:val="20"/>
          <w:szCs w:val="20"/>
          <w:lang w:val="es-CO"/>
        </w:rPr>
        <w:t>Además</w:t>
      </w:r>
      <w:r w:rsidR="002810BE" w:rsidRPr="00491517">
        <w:rPr>
          <w:rFonts w:ascii="Cambria" w:hAnsi="Cambria" w:cs="Calibri Light"/>
          <w:color w:val="000000" w:themeColor="text1"/>
          <w:sz w:val="20"/>
          <w:szCs w:val="20"/>
          <w:lang w:val="es-CO"/>
        </w:rPr>
        <w:t xml:space="preserve">, </w:t>
      </w:r>
      <w:r w:rsidR="00466B60" w:rsidRPr="00491517">
        <w:rPr>
          <w:rFonts w:ascii="Cambria" w:hAnsi="Cambria" w:cs="Calibri Light"/>
          <w:color w:val="000000" w:themeColor="text1"/>
          <w:sz w:val="20"/>
          <w:szCs w:val="20"/>
          <w:lang w:val="es-CO"/>
        </w:rPr>
        <w:t xml:space="preserve">el </w:t>
      </w:r>
      <w:r w:rsidR="00D80A03" w:rsidRPr="00491517">
        <w:rPr>
          <w:rFonts w:ascii="Cambria" w:hAnsi="Cambria"/>
          <w:color w:val="000000" w:themeColor="text1"/>
          <w:sz w:val="20"/>
          <w:szCs w:val="20"/>
          <w:lang w:val="es-ES"/>
        </w:rPr>
        <w:t>MP</w:t>
      </w:r>
      <w:r w:rsidR="00D80A03" w:rsidRPr="00491517">
        <w:rPr>
          <w:rFonts w:ascii="Cambria" w:hAnsi="Cambria" w:cs="Calibri Light"/>
          <w:color w:val="000000" w:themeColor="text1"/>
          <w:sz w:val="20"/>
          <w:szCs w:val="20"/>
          <w:lang w:val="es-CO"/>
        </w:rPr>
        <w:t xml:space="preserve"> </w:t>
      </w:r>
      <w:r w:rsidR="002810BE" w:rsidRPr="00491517">
        <w:rPr>
          <w:rFonts w:ascii="Cambria" w:hAnsi="Cambria" w:cs="Calibri Light"/>
          <w:color w:val="000000" w:themeColor="text1"/>
          <w:sz w:val="20"/>
          <w:szCs w:val="20"/>
          <w:lang w:val="es-CO"/>
        </w:rPr>
        <w:t xml:space="preserve">indicó que, para fortalecer las investigaciones, en 2020, </w:t>
      </w:r>
      <w:r w:rsidR="002810BE" w:rsidRPr="00491517">
        <w:rPr>
          <w:rFonts w:ascii="Cambria" w:hAnsi="Cambria"/>
          <w:color w:val="000000" w:themeColor="text1"/>
          <w:sz w:val="20"/>
          <w:szCs w:val="20"/>
          <w:lang w:val="es-CO"/>
        </w:rPr>
        <w:t>la Fiscalía de la Nación creó dos fiscalías Supraprovinciales Especializadas en Derechos Humanos y Terrorismo en los departamentos de Apurímac y Junín</w:t>
      </w:r>
      <w:r w:rsidR="0072754E" w:rsidRPr="00491517">
        <w:rPr>
          <w:rFonts w:ascii="Cambria" w:hAnsi="Cambria"/>
          <w:color w:val="000000" w:themeColor="text1"/>
          <w:sz w:val="20"/>
          <w:szCs w:val="20"/>
          <w:lang w:val="es-CO"/>
        </w:rPr>
        <w:t xml:space="preserve"> y </w:t>
      </w:r>
      <w:r w:rsidR="002810BE" w:rsidRPr="00491517">
        <w:rPr>
          <w:rFonts w:ascii="Cambria" w:hAnsi="Cambria"/>
          <w:color w:val="000000" w:themeColor="text1"/>
          <w:sz w:val="20"/>
          <w:szCs w:val="20"/>
          <w:lang w:val="es-CO"/>
        </w:rPr>
        <w:t>que dotó</w:t>
      </w:r>
      <w:r w:rsidR="00466B60" w:rsidRPr="00491517">
        <w:rPr>
          <w:rFonts w:ascii="Cambria" w:hAnsi="Cambria"/>
          <w:color w:val="000000" w:themeColor="text1"/>
          <w:sz w:val="20"/>
          <w:szCs w:val="20"/>
          <w:lang w:val="es-CO"/>
        </w:rPr>
        <w:t xml:space="preserve"> de más personal fiscal</w:t>
      </w:r>
      <w:r w:rsidR="002810BE" w:rsidRPr="00491517">
        <w:rPr>
          <w:rFonts w:ascii="Cambria" w:hAnsi="Cambria"/>
          <w:color w:val="000000" w:themeColor="text1"/>
          <w:sz w:val="20"/>
          <w:szCs w:val="20"/>
          <w:lang w:val="es-CO"/>
        </w:rPr>
        <w:t xml:space="preserve"> a las fiscalías especializadas de Ayacucho y Huancavelica.</w:t>
      </w:r>
      <w:r w:rsidRPr="00491517">
        <w:rPr>
          <w:rFonts w:ascii="Cambria" w:hAnsi="Cambria"/>
          <w:color w:val="000000" w:themeColor="text1"/>
          <w:sz w:val="20"/>
          <w:szCs w:val="20"/>
          <w:lang w:val="es-CO"/>
        </w:rPr>
        <w:t xml:space="preserve"> Por otro lado, </w:t>
      </w:r>
      <w:r w:rsidR="00ED4E52" w:rsidRPr="00491517">
        <w:rPr>
          <w:rFonts w:ascii="Cambria" w:hAnsi="Cambria"/>
          <w:color w:val="000000" w:themeColor="text1"/>
          <w:sz w:val="20"/>
          <w:szCs w:val="20"/>
          <w:lang w:val="es-CO"/>
        </w:rPr>
        <w:t>el MP</w:t>
      </w:r>
      <w:r w:rsidRPr="00491517">
        <w:rPr>
          <w:rFonts w:ascii="Cambria" w:hAnsi="Cambria"/>
          <w:color w:val="000000" w:themeColor="text1"/>
          <w:sz w:val="20"/>
          <w:szCs w:val="20"/>
          <w:lang w:val="es-CO"/>
        </w:rPr>
        <w:t xml:space="preserve"> reconoció</w:t>
      </w:r>
      <w:r w:rsidR="00466B60" w:rsidRPr="00491517">
        <w:rPr>
          <w:rFonts w:ascii="Cambria" w:hAnsi="Cambria"/>
          <w:color w:val="000000" w:themeColor="text1"/>
          <w:sz w:val="20"/>
          <w:szCs w:val="20"/>
          <w:lang w:val="es-CO"/>
        </w:rPr>
        <w:t xml:space="preserve"> dos obstáculos importantes </w:t>
      </w:r>
      <w:r w:rsidR="00ED4E52" w:rsidRPr="00491517">
        <w:rPr>
          <w:rFonts w:ascii="Cambria" w:hAnsi="Cambria"/>
          <w:color w:val="000000" w:themeColor="text1"/>
          <w:sz w:val="20"/>
          <w:szCs w:val="20"/>
          <w:lang w:val="es-CO"/>
        </w:rPr>
        <w:t>respecto de</w:t>
      </w:r>
      <w:r w:rsidR="00466B60" w:rsidRPr="00491517">
        <w:rPr>
          <w:rFonts w:ascii="Cambria" w:hAnsi="Cambria"/>
          <w:color w:val="000000" w:themeColor="text1"/>
          <w:sz w:val="20"/>
          <w:szCs w:val="20"/>
          <w:lang w:val="es-CO"/>
        </w:rPr>
        <w:t xml:space="preserve"> las investigaciones</w:t>
      </w:r>
      <w:r w:rsidR="0072754E" w:rsidRPr="00491517">
        <w:rPr>
          <w:rFonts w:ascii="Cambria" w:hAnsi="Cambria"/>
          <w:color w:val="000000" w:themeColor="text1"/>
          <w:sz w:val="20"/>
          <w:szCs w:val="20"/>
          <w:lang w:val="es-CO"/>
        </w:rPr>
        <w:t>:</w:t>
      </w:r>
      <w:r w:rsidRPr="00491517">
        <w:rPr>
          <w:rFonts w:ascii="Cambria" w:hAnsi="Cambria"/>
          <w:color w:val="000000" w:themeColor="text1"/>
          <w:sz w:val="20"/>
          <w:szCs w:val="20"/>
          <w:lang w:val="es-CO"/>
        </w:rPr>
        <w:t xml:space="preserve"> </w:t>
      </w:r>
      <w:r w:rsidR="0072754E" w:rsidRPr="00491517">
        <w:rPr>
          <w:rFonts w:ascii="Cambria" w:hAnsi="Cambria"/>
          <w:color w:val="000000" w:themeColor="text1"/>
          <w:sz w:val="20"/>
          <w:szCs w:val="20"/>
          <w:lang w:val="es-CO"/>
        </w:rPr>
        <w:t>p</w:t>
      </w:r>
      <w:r w:rsidR="00466B60" w:rsidRPr="00491517">
        <w:rPr>
          <w:rFonts w:ascii="Cambria" w:hAnsi="Cambria"/>
          <w:color w:val="000000" w:themeColor="text1"/>
          <w:sz w:val="20"/>
          <w:szCs w:val="20"/>
          <w:lang w:val="es-CO"/>
        </w:rPr>
        <w:t xml:space="preserve">rimero, </w:t>
      </w:r>
      <w:r w:rsidRPr="00491517">
        <w:rPr>
          <w:rFonts w:ascii="Cambria" w:hAnsi="Cambria"/>
          <w:color w:val="000000" w:themeColor="text1"/>
          <w:sz w:val="20"/>
          <w:szCs w:val="20"/>
          <w:lang w:val="es-CO"/>
        </w:rPr>
        <w:t>la negativa de información por parte del Ministerio de Defensa</w:t>
      </w:r>
      <w:r w:rsidR="00466B60" w:rsidRPr="00491517">
        <w:rPr>
          <w:rFonts w:ascii="Cambria" w:hAnsi="Cambria"/>
          <w:color w:val="000000" w:themeColor="text1"/>
          <w:sz w:val="20"/>
          <w:szCs w:val="20"/>
          <w:lang w:val="es-CO"/>
        </w:rPr>
        <w:t>, frente a lo que</w:t>
      </w:r>
      <w:r w:rsidR="00ED4E52" w:rsidRPr="00491517">
        <w:rPr>
          <w:rFonts w:ascii="Cambria" w:hAnsi="Cambria"/>
          <w:color w:val="000000" w:themeColor="text1"/>
          <w:sz w:val="20"/>
          <w:szCs w:val="20"/>
          <w:lang w:val="es-CO"/>
        </w:rPr>
        <w:t xml:space="preserve"> indicó que</w:t>
      </w:r>
      <w:r w:rsidR="00466B60" w:rsidRPr="00491517">
        <w:rPr>
          <w:rFonts w:ascii="Cambria" w:hAnsi="Cambria"/>
          <w:color w:val="000000" w:themeColor="text1"/>
          <w:sz w:val="20"/>
          <w:szCs w:val="20"/>
          <w:lang w:val="es-CO"/>
        </w:rPr>
        <w:t xml:space="preserve"> </w:t>
      </w:r>
      <w:r w:rsidRPr="00491517">
        <w:rPr>
          <w:rFonts w:ascii="Cambria" w:hAnsi="Cambria"/>
          <w:color w:val="000000" w:themeColor="text1"/>
          <w:sz w:val="20"/>
          <w:szCs w:val="20"/>
          <w:lang w:val="es-CO"/>
        </w:rPr>
        <w:t>se está diseñando una estrategia interinstitucional y de otorgamiento de beneficios a colaboradores</w:t>
      </w:r>
      <w:r w:rsidR="00ED4E52" w:rsidRPr="00491517">
        <w:rPr>
          <w:rFonts w:ascii="Cambria" w:hAnsi="Cambria"/>
          <w:color w:val="000000" w:themeColor="text1"/>
          <w:sz w:val="20"/>
          <w:szCs w:val="20"/>
          <w:lang w:val="es-CO"/>
        </w:rPr>
        <w:t>, y</w:t>
      </w:r>
      <w:r w:rsidR="0072754E" w:rsidRPr="00491517">
        <w:rPr>
          <w:rFonts w:ascii="Cambria" w:hAnsi="Cambria"/>
          <w:color w:val="000000" w:themeColor="text1"/>
          <w:sz w:val="20"/>
          <w:szCs w:val="20"/>
          <w:lang w:val="es-CO"/>
        </w:rPr>
        <w:t xml:space="preserve"> s</w:t>
      </w:r>
      <w:r w:rsidR="00466B60" w:rsidRPr="00491517">
        <w:rPr>
          <w:rFonts w:ascii="Cambria" w:hAnsi="Cambria"/>
          <w:color w:val="000000" w:themeColor="text1"/>
          <w:sz w:val="20"/>
          <w:szCs w:val="20"/>
          <w:lang w:val="es-CO"/>
        </w:rPr>
        <w:t>egundo,</w:t>
      </w:r>
      <w:r w:rsidR="00A02029" w:rsidRPr="00491517">
        <w:rPr>
          <w:rFonts w:ascii="Cambria" w:hAnsi="Cambria"/>
          <w:color w:val="000000" w:themeColor="text1"/>
          <w:sz w:val="20"/>
          <w:szCs w:val="20"/>
          <w:lang w:val="es-CO"/>
        </w:rPr>
        <w:t xml:space="preserve"> </w:t>
      </w:r>
      <w:r w:rsidR="00547646" w:rsidRPr="00491517">
        <w:rPr>
          <w:rFonts w:ascii="Cambria" w:hAnsi="Cambria"/>
          <w:color w:val="000000" w:themeColor="text1"/>
          <w:sz w:val="20"/>
          <w:szCs w:val="20"/>
          <w:lang w:val="es-CO"/>
        </w:rPr>
        <w:t>la demora preocupante para desarrollar</w:t>
      </w:r>
      <w:r w:rsidR="00466B60" w:rsidRPr="00491517">
        <w:rPr>
          <w:rFonts w:ascii="Cambria" w:hAnsi="Cambria"/>
          <w:color w:val="000000" w:themeColor="text1"/>
          <w:sz w:val="20"/>
          <w:szCs w:val="20"/>
          <w:lang w:val="es-CO"/>
        </w:rPr>
        <w:t xml:space="preserve"> los juicios orales</w:t>
      </w:r>
      <w:r w:rsidR="00547646" w:rsidRPr="00491517">
        <w:rPr>
          <w:rStyle w:val="FootnoteReference"/>
          <w:rFonts w:ascii="Cambria" w:hAnsi="Cambria"/>
          <w:color w:val="000000" w:themeColor="text1"/>
          <w:sz w:val="20"/>
          <w:szCs w:val="20"/>
          <w:lang w:val="es-CO"/>
        </w:rPr>
        <w:footnoteReference w:id="4"/>
      </w:r>
      <w:r w:rsidR="00547646" w:rsidRPr="00491517">
        <w:rPr>
          <w:rFonts w:ascii="Cambria" w:hAnsi="Cambria"/>
          <w:color w:val="000000" w:themeColor="text1"/>
          <w:sz w:val="20"/>
          <w:szCs w:val="20"/>
          <w:lang w:val="es-CO"/>
        </w:rPr>
        <w:t xml:space="preserve">. </w:t>
      </w:r>
      <w:r w:rsidR="0072754E" w:rsidRPr="00491517">
        <w:rPr>
          <w:rFonts w:ascii="Cambria" w:hAnsi="Cambria"/>
          <w:color w:val="000000" w:themeColor="text1"/>
          <w:sz w:val="20"/>
          <w:szCs w:val="20"/>
          <w:lang w:val="es-CO"/>
        </w:rPr>
        <w:t xml:space="preserve">Por ejemplo, </w:t>
      </w:r>
      <w:r w:rsidR="00A02029" w:rsidRPr="00491517">
        <w:rPr>
          <w:rFonts w:ascii="Cambria" w:hAnsi="Cambria"/>
          <w:color w:val="000000" w:themeColor="text1"/>
          <w:sz w:val="20"/>
          <w:szCs w:val="20"/>
          <w:lang w:val="es-CO"/>
        </w:rPr>
        <w:t xml:space="preserve">señaló que, </w:t>
      </w:r>
      <w:r w:rsidR="00A02029" w:rsidRPr="00491517">
        <w:rPr>
          <w:rFonts w:ascii="Cambria" w:hAnsi="Cambria" w:cs="Calibri Light"/>
          <w:color w:val="000000" w:themeColor="text1"/>
          <w:sz w:val="20"/>
          <w:szCs w:val="20"/>
          <w:lang w:val="es-CO"/>
        </w:rPr>
        <w:t xml:space="preserve">aunque fue formulada la acusación </w:t>
      </w:r>
      <w:r w:rsidR="00ED4E52" w:rsidRPr="00491517">
        <w:rPr>
          <w:rFonts w:ascii="Cambria" w:hAnsi="Cambria" w:cs="Calibri Light"/>
          <w:color w:val="000000" w:themeColor="text1"/>
          <w:sz w:val="20"/>
          <w:szCs w:val="20"/>
          <w:lang w:val="es-CO"/>
        </w:rPr>
        <w:t>en</w:t>
      </w:r>
      <w:r w:rsidR="00A02029" w:rsidRPr="00491517">
        <w:rPr>
          <w:rFonts w:ascii="Cambria" w:hAnsi="Cambria" w:cs="Calibri Light"/>
          <w:color w:val="000000" w:themeColor="text1"/>
          <w:sz w:val="20"/>
          <w:szCs w:val="20"/>
          <w:lang w:val="es-CO"/>
        </w:rPr>
        <w:t xml:space="preserve"> algunos casos</w:t>
      </w:r>
      <w:r w:rsidR="00ED4E52" w:rsidRPr="00491517">
        <w:rPr>
          <w:rFonts w:ascii="Cambria" w:hAnsi="Cambria" w:cs="Calibri Light"/>
          <w:color w:val="000000" w:themeColor="text1"/>
          <w:sz w:val="20"/>
          <w:szCs w:val="20"/>
          <w:lang w:val="es-CO"/>
        </w:rPr>
        <w:t xml:space="preserve"> (</w:t>
      </w:r>
      <w:r w:rsidR="00A02029" w:rsidRPr="00491517">
        <w:rPr>
          <w:rFonts w:ascii="Cambria" w:hAnsi="Cambria" w:cs="Calibri Light"/>
          <w:color w:val="000000" w:themeColor="text1"/>
          <w:sz w:val="20"/>
          <w:szCs w:val="20"/>
          <w:lang w:val="es-CO"/>
        </w:rPr>
        <w:t>como</w:t>
      </w:r>
      <w:r w:rsidR="00ED4E52" w:rsidRPr="00491517">
        <w:rPr>
          <w:rFonts w:ascii="Cambria" w:hAnsi="Cambria" w:cs="Calibri Light"/>
          <w:color w:val="000000" w:themeColor="text1"/>
          <w:sz w:val="20"/>
          <w:szCs w:val="20"/>
          <w:lang w:val="es-CO"/>
        </w:rPr>
        <w:t xml:space="preserve"> sucedió con</w:t>
      </w:r>
      <w:r w:rsidR="00A02029" w:rsidRPr="00491517">
        <w:rPr>
          <w:rFonts w:ascii="Cambria" w:hAnsi="Cambria" w:cs="Calibri Light"/>
          <w:color w:val="000000" w:themeColor="text1"/>
          <w:sz w:val="20"/>
          <w:szCs w:val="20"/>
          <w:lang w:val="es-CO"/>
        </w:rPr>
        <w:t xml:space="preserve"> los denominados Huanta 84 y Santa Teresita</w:t>
      </w:r>
      <w:r w:rsidR="00ED4E52" w:rsidRPr="00491517">
        <w:rPr>
          <w:rFonts w:ascii="Cambria" w:hAnsi="Cambria" w:cs="Calibri Light"/>
          <w:color w:val="000000" w:themeColor="text1"/>
          <w:sz w:val="20"/>
          <w:szCs w:val="20"/>
          <w:lang w:val="es-CO"/>
        </w:rPr>
        <w:t xml:space="preserve">), </w:t>
      </w:r>
      <w:r w:rsidR="0072754E" w:rsidRPr="00491517">
        <w:rPr>
          <w:rFonts w:ascii="Cambria" w:hAnsi="Cambria" w:cs="Calibri Light"/>
          <w:color w:val="000000" w:themeColor="text1"/>
          <w:sz w:val="20"/>
          <w:szCs w:val="20"/>
          <w:lang w:val="es-CO"/>
        </w:rPr>
        <w:t>a</w:t>
      </w:r>
      <w:r w:rsidR="00A02029" w:rsidRPr="00491517">
        <w:rPr>
          <w:rFonts w:ascii="Cambria" w:hAnsi="Cambria" w:cs="Calibri Light"/>
          <w:color w:val="000000" w:themeColor="text1"/>
          <w:sz w:val="20"/>
          <w:szCs w:val="20"/>
          <w:lang w:val="es-CO"/>
        </w:rPr>
        <w:t xml:space="preserve"> la fecha no se había emitido auto de enjuiciamiento ni se había programado </w:t>
      </w:r>
      <w:r w:rsidR="0072754E" w:rsidRPr="00491517">
        <w:rPr>
          <w:rFonts w:ascii="Cambria" w:hAnsi="Cambria" w:cs="Calibri Light"/>
          <w:color w:val="000000" w:themeColor="text1"/>
          <w:sz w:val="20"/>
          <w:szCs w:val="20"/>
          <w:lang w:val="es-CO"/>
        </w:rPr>
        <w:t>su</w:t>
      </w:r>
      <w:r w:rsidR="00A02029" w:rsidRPr="00491517">
        <w:rPr>
          <w:rFonts w:ascii="Cambria" w:hAnsi="Cambria" w:cs="Calibri Light"/>
          <w:color w:val="000000" w:themeColor="text1"/>
          <w:sz w:val="20"/>
          <w:szCs w:val="20"/>
          <w:lang w:val="es-CO"/>
        </w:rPr>
        <w:t xml:space="preserve"> juicio oral.</w:t>
      </w:r>
      <w:r w:rsidR="00715D47" w:rsidRPr="00491517">
        <w:rPr>
          <w:rFonts w:ascii="Cambria" w:hAnsi="Cambria" w:cs="Calibri Light"/>
          <w:color w:val="000000" w:themeColor="text1"/>
          <w:sz w:val="20"/>
          <w:szCs w:val="20"/>
          <w:lang w:val="es-CO"/>
        </w:rPr>
        <w:t xml:space="preserve"> Asimismo, se refirió a la demora de casos en etapa inicial </w:t>
      </w:r>
      <w:r w:rsidR="00715D47" w:rsidRPr="00491517">
        <w:rPr>
          <w:rFonts w:ascii="Cambria" w:hAnsi="Cambria"/>
          <w:color w:val="000000" w:themeColor="text1"/>
          <w:sz w:val="20"/>
          <w:szCs w:val="20"/>
          <w:lang w:val="es-CO"/>
        </w:rPr>
        <w:t>por la existencia de un solo juzgado</w:t>
      </w:r>
      <w:r w:rsidR="00CA571A" w:rsidRPr="00491517">
        <w:rPr>
          <w:rFonts w:ascii="Cambria" w:hAnsi="Cambria"/>
          <w:color w:val="000000" w:themeColor="text1"/>
          <w:sz w:val="20"/>
          <w:szCs w:val="20"/>
          <w:lang w:val="es-CO"/>
        </w:rPr>
        <w:t xml:space="preserve"> nacional</w:t>
      </w:r>
      <w:r w:rsidR="00715D47" w:rsidRPr="00491517">
        <w:rPr>
          <w:rFonts w:ascii="Cambria" w:hAnsi="Cambria"/>
          <w:color w:val="000000" w:themeColor="text1"/>
          <w:sz w:val="20"/>
          <w:szCs w:val="20"/>
          <w:lang w:val="es-CO"/>
        </w:rPr>
        <w:t xml:space="preserve"> encargado, </w:t>
      </w:r>
      <w:r w:rsidR="0072754E" w:rsidRPr="00491517">
        <w:rPr>
          <w:rFonts w:ascii="Cambria" w:hAnsi="Cambria"/>
          <w:color w:val="000000" w:themeColor="text1"/>
          <w:sz w:val="20"/>
          <w:szCs w:val="20"/>
          <w:lang w:val="es-CO"/>
        </w:rPr>
        <w:t>para lo cual se refirió a</w:t>
      </w:r>
      <w:r w:rsidR="00715D47" w:rsidRPr="00491517">
        <w:rPr>
          <w:rFonts w:ascii="Cambria" w:hAnsi="Cambria"/>
          <w:color w:val="000000" w:themeColor="text1"/>
          <w:sz w:val="20"/>
          <w:szCs w:val="20"/>
          <w:lang w:val="es-CO"/>
        </w:rPr>
        <w:t xml:space="preserve"> los casos Cabitos 1983 – II, Cabitos 1984, y Cabitos 1985, pendiente</w:t>
      </w:r>
      <w:r w:rsidR="0072754E" w:rsidRPr="00491517">
        <w:rPr>
          <w:rFonts w:ascii="Cambria" w:hAnsi="Cambria"/>
          <w:color w:val="000000" w:themeColor="text1"/>
          <w:sz w:val="20"/>
          <w:szCs w:val="20"/>
          <w:lang w:val="es-CO"/>
        </w:rPr>
        <w:t>s</w:t>
      </w:r>
      <w:r w:rsidR="00715D47" w:rsidRPr="00491517">
        <w:rPr>
          <w:rFonts w:ascii="Cambria" w:hAnsi="Cambria"/>
          <w:color w:val="000000" w:themeColor="text1"/>
          <w:sz w:val="20"/>
          <w:szCs w:val="20"/>
          <w:lang w:val="es-CO"/>
        </w:rPr>
        <w:t xml:space="preserve"> de fecha de audiencia de presentación de cargos desde el 2020.</w:t>
      </w:r>
    </w:p>
    <w:p w14:paraId="27092CA6" w14:textId="77777777" w:rsidR="00466B60" w:rsidRPr="00491517" w:rsidRDefault="00466B60" w:rsidP="00A36C6E">
      <w:pPr>
        <w:pStyle w:val="ListParagraph"/>
        <w:spacing w:after="0" w:line="240" w:lineRule="auto"/>
        <w:ind w:left="0" w:firstLine="720"/>
        <w:jc w:val="both"/>
        <w:rPr>
          <w:rFonts w:ascii="Cambria" w:hAnsi="Cambria" w:cs="Calibri Light"/>
          <w:color w:val="000000" w:themeColor="text1"/>
          <w:sz w:val="20"/>
          <w:szCs w:val="20"/>
          <w:lang w:val="es-CO"/>
        </w:rPr>
      </w:pPr>
    </w:p>
    <w:p w14:paraId="2BCF7252" w14:textId="2AF5135C" w:rsidR="00E70975" w:rsidRPr="00491517" w:rsidRDefault="008126E7" w:rsidP="00A36C6E">
      <w:pPr>
        <w:pStyle w:val="ListParagraph"/>
        <w:numPr>
          <w:ilvl w:val="0"/>
          <w:numId w:val="16"/>
        </w:numPr>
        <w:spacing w:after="0" w:line="240" w:lineRule="auto"/>
        <w:ind w:left="0" w:firstLine="720"/>
        <w:jc w:val="both"/>
        <w:rPr>
          <w:rFonts w:ascii="Cambria" w:hAnsi="Cambria" w:cs="Arial"/>
          <w:color w:val="000000" w:themeColor="text1"/>
          <w:sz w:val="20"/>
          <w:szCs w:val="20"/>
          <w:lang w:val="es-CO"/>
        </w:rPr>
      </w:pPr>
      <w:r w:rsidRPr="00491517">
        <w:rPr>
          <w:rFonts w:ascii="Cambria" w:hAnsi="Cambria" w:cs="Calibri Light"/>
          <w:color w:val="000000" w:themeColor="text1"/>
          <w:sz w:val="20"/>
          <w:szCs w:val="20"/>
          <w:lang w:val="es-CO"/>
        </w:rPr>
        <w:t>Por su parte, e</w:t>
      </w:r>
      <w:r w:rsidR="006D5140" w:rsidRPr="00491517">
        <w:rPr>
          <w:rFonts w:ascii="Cambria" w:hAnsi="Cambria" w:cs="Calibri Light"/>
          <w:color w:val="000000" w:themeColor="text1"/>
          <w:sz w:val="20"/>
          <w:szCs w:val="20"/>
          <w:lang w:val="es-CO"/>
        </w:rPr>
        <w:t xml:space="preserve">l Estado </w:t>
      </w:r>
      <w:r w:rsidR="00542926" w:rsidRPr="00491517">
        <w:rPr>
          <w:rFonts w:ascii="Cambria" w:hAnsi="Cambria" w:cs="Calibri Light"/>
          <w:color w:val="000000" w:themeColor="text1"/>
          <w:sz w:val="20"/>
          <w:szCs w:val="20"/>
          <w:lang w:val="es-CO"/>
        </w:rPr>
        <w:t>señaló que</w:t>
      </w:r>
      <w:r w:rsidR="006D5140" w:rsidRPr="00491517">
        <w:rPr>
          <w:rFonts w:ascii="Cambria" w:hAnsi="Cambria" w:cs="Calibri Light"/>
          <w:color w:val="000000" w:themeColor="text1"/>
          <w:sz w:val="20"/>
          <w:szCs w:val="20"/>
          <w:lang w:val="es-CO"/>
        </w:rPr>
        <w:t xml:space="preserve"> el </w:t>
      </w:r>
      <w:r w:rsidR="008A3ADB" w:rsidRPr="00491517">
        <w:rPr>
          <w:rFonts w:ascii="Cambria" w:hAnsi="Cambria" w:cs="Calibri Light"/>
          <w:color w:val="000000" w:themeColor="text1"/>
          <w:sz w:val="20"/>
          <w:szCs w:val="20"/>
          <w:lang w:val="es-CO"/>
        </w:rPr>
        <w:t>PJ</w:t>
      </w:r>
      <w:r w:rsidR="006567D0" w:rsidRPr="00491517">
        <w:rPr>
          <w:rFonts w:ascii="Cambria" w:hAnsi="Cambria" w:cs="Calibri Light"/>
          <w:color w:val="000000" w:themeColor="text1"/>
          <w:sz w:val="20"/>
          <w:szCs w:val="20"/>
          <w:lang w:val="es-CO"/>
        </w:rPr>
        <w:t xml:space="preserve"> </w:t>
      </w:r>
      <w:r w:rsidR="00542926" w:rsidRPr="00491517">
        <w:rPr>
          <w:rFonts w:ascii="Cambria" w:hAnsi="Cambria" w:cs="Calibri Light"/>
          <w:color w:val="000000" w:themeColor="text1"/>
          <w:sz w:val="20"/>
          <w:szCs w:val="20"/>
          <w:lang w:val="es-CO"/>
        </w:rPr>
        <w:t xml:space="preserve">ha hecho un esfuerzo para sistematizar </w:t>
      </w:r>
      <w:r w:rsidR="006D5140" w:rsidRPr="00491517">
        <w:rPr>
          <w:rFonts w:ascii="Cambria" w:hAnsi="Cambria" w:cs="Calibri Light"/>
          <w:color w:val="000000" w:themeColor="text1"/>
          <w:sz w:val="20"/>
          <w:szCs w:val="20"/>
          <w:lang w:val="es-CO"/>
        </w:rPr>
        <w:t>el estado de los procesos judiciales de los casos del Comunicado de Prensa</w:t>
      </w:r>
      <w:r w:rsidR="006567D0" w:rsidRPr="00491517">
        <w:rPr>
          <w:rFonts w:ascii="Cambria" w:hAnsi="Cambria" w:cs="Calibri Light"/>
          <w:color w:val="000000" w:themeColor="text1"/>
          <w:sz w:val="20"/>
          <w:szCs w:val="20"/>
          <w:lang w:val="es-CO"/>
        </w:rPr>
        <w:t>. I</w:t>
      </w:r>
      <w:r w:rsidR="006D5140" w:rsidRPr="00491517">
        <w:rPr>
          <w:rFonts w:ascii="Cambria" w:hAnsi="Cambria" w:cs="Calibri Light"/>
          <w:color w:val="000000" w:themeColor="text1"/>
          <w:sz w:val="20"/>
          <w:szCs w:val="20"/>
          <w:lang w:val="es-CO"/>
        </w:rPr>
        <w:t xml:space="preserve">ndicó que </w:t>
      </w:r>
      <w:r w:rsidR="00A80879" w:rsidRPr="00491517">
        <w:rPr>
          <w:rFonts w:ascii="Cambria" w:hAnsi="Cambria" w:cs="Calibri Light"/>
          <w:color w:val="000000" w:themeColor="text1"/>
          <w:sz w:val="20"/>
          <w:szCs w:val="20"/>
          <w:lang w:val="es-CO"/>
        </w:rPr>
        <w:t>9</w:t>
      </w:r>
      <w:r w:rsidR="006D5140" w:rsidRPr="00491517">
        <w:rPr>
          <w:rFonts w:ascii="Cambria" w:hAnsi="Cambria" w:cs="Calibri Light"/>
          <w:color w:val="000000" w:themeColor="text1"/>
          <w:sz w:val="20"/>
          <w:szCs w:val="20"/>
          <w:lang w:val="es-CO"/>
        </w:rPr>
        <w:t xml:space="preserve"> casos e</w:t>
      </w:r>
      <w:r w:rsidR="00825D4A" w:rsidRPr="00491517">
        <w:rPr>
          <w:rFonts w:ascii="Cambria" w:hAnsi="Cambria" w:cs="Calibri Light"/>
          <w:color w:val="000000" w:themeColor="text1"/>
          <w:sz w:val="20"/>
          <w:szCs w:val="20"/>
          <w:lang w:val="es-CO"/>
        </w:rPr>
        <w:t>stán en</w:t>
      </w:r>
      <w:r w:rsidR="006D5140" w:rsidRPr="00491517">
        <w:rPr>
          <w:rFonts w:ascii="Cambria" w:hAnsi="Cambria" w:cs="Calibri Light"/>
          <w:color w:val="000000" w:themeColor="text1"/>
          <w:sz w:val="20"/>
          <w:szCs w:val="20"/>
          <w:lang w:val="es-CO"/>
        </w:rPr>
        <w:t xml:space="preserve"> etapa de juicio ora</w:t>
      </w:r>
      <w:r w:rsidR="00825D4A" w:rsidRPr="00491517">
        <w:rPr>
          <w:rFonts w:ascii="Cambria" w:hAnsi="Cambria" w:cs="Calibri Light"/>
          <w:color w:val="000000" w:themeColor="text1"/>
          <w:sz w:val="20"/>
          <w:szCs w:val="20"/>
          <w:lang w:val="es-CO"/>
        </w:rPr>
        <w:t>l</w:t>
      </w:r>
      <w:r w:rsidR="00392F25" w:rsidRPr="00491517">
        <w:rPr>
          <w:rFonts w:ascii="Cambria" w:hAnsi="Cambria" w:cs="Calibri Light"/>
          <w:color w:val="000000" w:themeColor="text1"/>
          <w:sz w:val="20"/>
          <w:szCs w:val="20"/>
          <w:lang w:val="es-CO"/>
        </w:rPr>
        <w:t xml:space="preserve">; </w:t>
      </w:r>
      <w:r w:rsidR="00392F25" w:rsidRPr="00491517">
        <w:rPr>
          <w:rFonts w:ascii="Cambria" w:hAnsi="Cambria" w:cs="Arial"/>
          <w:color w:val="000000" w:themeColor="text1"/>
          <w:sz w:val="20"/>
          <w:szCs w:val="20"/>
          <w:lang w:val="es-CO"/>
        </w:rPr>
        <w:t xml:space="preserve">que </w:t>
      </w:r>
      <w:r w:rsidR="00A80879" w:rsidRPr="00491517">
        <w:rPr>
          <w:rFonts w:ascii="Cambria" w:hAnsi="Cambria" w:cs="Arial"/>
          <w:color w:val="000000" w:themeColor="text1"/>
          <w:sz w:val="20"/>
          <w:szCs w:val="20"/>
          <w:lang w:val="es-CO"/>
        </w:rPr>
        <w:t>6</w:t>
      </w:r>
      <w:r w:rsidR="00825D4A" w:rsidRPr="00491517">
        <w:rPr>
          <w:rFonts w:ascii="Cambria" w:hAnsi="Cambria" w:cs="Arial"/>
          <w:color w:val="000000" w:themeColor="text1"/>
          <w:sz w:val="20"/>
          <w:szCs w:val="20"/>
          <w:lang w:val="es-CO"/>
        </w:rPr>
        <w:t xml:space="preserve"> han sido archivados definitivamente</w:t>
      </w:r>
      <w:r w:rsidR="00392F25" w:rsidRPr="00491517">
        <w:rPr>
          <w:rFonts w:ascii="Cambria" w:hAnsi="Cambria" w:cs="Arial"/>
          <w:color w:val="000000" w:themeColor="text1"/>
          <w:sz w:val="20"/>
          <w:szCs w:val="20"/>
          <w:lang w:val="es-CO"/>
        </w:rPr>
        <w:t xml:space="preserve">; que </w:t>
      </w:r>
      <w:r w:rsidR="00A80879" w:rsidRPr="00491517">
        <w:rPr>
          <w:rFonts w:ascii="Cambria" w:hAnsi="Cambria" w:cs="Arial"/>
          <w:color w:val="000000" w:themeColor="text1"/>
          <w:sz w:val="20"/>
          <w:szCs w:val="20"/>
          <w:lang w:val="es-CO"/>
        </w:rPr>
        <w:t>3</w:t>
      </w:r>
      <w:r w:rsidR="00392F25" w:rsidRPr="00491517">
        <w:rPr>
          <w:rFonts w:ascii="Cambria" w:hAnsi="Cambria" w:cs="Arial"/>
          <w:color w:val="000000" w:themeColor="text1"/>
          <w:sz w:val="20"/>
          <w:szCs w:val="20"/>
          <w:lang w:val="es-CO"/>
        </w:rPr>
        <w:t xml:space="preserve"> están para inicio de juicio oral; 3 están en trámite; 4 tienen sentencia;</w:t>
      </w:r>
      <w:r w:rsidR="002E34FF" w:rsidRPr="00491517">
        <w:rPr>
          <w:rFonts w:ascii="Cambria" w:hAnsi="Cambria" w:cs="Arial"/>
          <w:color w:val="000000" w:themeColor="text1"/>
          <w:sz w:val="20"/>
          <w:szCs w:val="20"/>
          <w:lang w:val="es-CO"/>
        </w:rPr>
        <w:t xml:space="preserve"> 4 están en apelación; 2 están en ejecución; 1 está en etapa de calificación; 1 </w:t>
      </w:r>
      <w:r w:rsidR="003B6256" w:rsidRPr="00491517">
        <w:rPr>
          <w:rFonts w:ascii="Cambria" w:hAnsi="Cambria" w:cs="Arial"/>
          <w:color w:val="000000" w:themeColor="text1"/>
          <w:sz w:val="20"/>
          <w:szCs w:val="20"/>
          <w:lang w:val="es-CO"/>
        </w:rPr>
        <w:t xml:space="preserve">está </w:t>
      </w:r>
      <w:r w:rsidR="002E34FF" w:rsidRPr="00491517">
        <w:rPr>
          <w:rFonts w:ascii="Cambria" w:hAnsi="Cambria" w:cs="Arial"/>
          <w:color w:val="000000" w:themeColor="text1"/>
          <w:sz w:val="20"/>
          <w:szCs w:val="20"/>
          <w:lang w:val="es-CO"/>
        </w:rPr>
        <w:t xml:space="preserve">en etapa de acusación; 1 </w:t>
      </w:r>
      <w:r w:rsidR="003B6256" w:rsidRPr="00491517">
        <w:rPr>
          <w:rFonts w:ascii="Cambria" w:hAnsi="Cambria" w:cs="Arial"/>
          <w:color w:val="000000" w:themeColor="text1"/>
          <w:sz w:val="20"/>
          <w:szCs w:val="20"/>
          <w:lang w:val="es-CO"/>
        </w:rPr>
        <w:t>tiene</w:t>
      </w:r>
      <w:r w:rsidR="002E34FF" w:rsidRPr="00491517">
        <w:rPr>
          <w:rFonts w:ascii="Cambria" w:hAnsi="Cambria" w:cs="Arial"/>
          <w:color w:val="000000" w:themeColor="text1"/>
          <w:sz w:val="20"/>
          <w:szCs w:val="20"/>
          <w:lang w:val="es-CO"/>
        </w:rPr>
        <w:t xml:space="preserve"> archivo provisional, y 1 se encuentra reservado</w:t>
      </w:r>
      <w:r w:rsidR="00331125" w:rsidRPr="00491517">
        <w:rPr>
          <w:rStyle w:val="FootnoteReference"/>
          <w:rFonts w:ascii="Cambria" w:hAnsi="Cambria" w:cs="Calibri Light"/>
          <w:color w:val="000000" w:themeColor="text1"/>
          <w:sz w:val="20"/>
          <w:szCs w:val="20"/>
          <w:lang w:val="es-CO"/>
        </w:rPr>
        <w:footnoteReference w:id="5"/>
      </w:r>
      <w:r w:rsidR="002E34FF" w:rsidRPr="00491517">
        <w:rPr>
          <w:rFonts w:ascii="Cambria" w:hAnsi="Cambria" w:cs="Arial"/>
          <w:color w:val="000000" w:themeColor="text1"/>
          <w:sz w:val="20"/>
          <w:szCs w:val="20"/>
          <w:lang w:val="es-CO"/>
        </w:rPr>
        <w:t>.</w:t>
      </w:r>
    </w:p>
    <w:p w14:paraId="6D28CE95" w14:textId="297B333D" w:rsidR="00876FFF" w:rsidRPr="00491517" w:rsidRDefault="00876FFF"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s="Arial"/>
          <w:color w:val="000000" w:themeColor="text1"/>
          <w:sz w:val="20"/>
          <w:szCs w:val="20"/>
          <w:lang w:val="es-CO"/>
        </w:rPr>
        <w:lastRenderedPageBreak/>
        <w:t>Igualmente</w:t>
      </w:r>
      <w:r w:rsidR="00542926" w:rsidRPr="00491517">
        <w:rPr>
          <w:rFonts w:ascii="Cambria" w:hAnsi="Cambria" w:cs="Arial"/>
          <w:color w:val="000000" w:themeColor="text1"/>
          <w:sz w:val="20"/>
          <w:szCs w:val="20"/>
          <w:lang w:val="es-CO"/>
        </w:rPr>
        <w:t xml:space="preserve">, el Estado se refirió al cronograma de actividades del </w:t>
      </w:r>
      <w:r w:rsidR="008A3ADB" w:rsidRPr="00491517">
        <w:rPr>
          <w:rFonts w:ascii="Cambria" w:hAnsi="Cambria" w:cs="Calibri Light"/>
          <w:color w:val="000000" w:themeColor="text1"/>
          <w:sz w:val="20"/>
          <w:szCs w:val="20"/>
          <w:lang w:val="es-CO"/>
        </w:rPr>
        <w:t>PJ</w:t>
      </w:r>
      <w:r w:rsidR="008A3ADB" w:rsidRPr="00491517">
        <w:rPr>
          <w:rFonts w:ascii="Cambria" w:hAnsi="Cambria" w:cs="Arial"/>
          <w:color w:val="000000" w:themeColor="text1"/>
          <w:sz w:val="20"/>
          <w:szCs w:val="20"/>
          <w:lang w:val="es-CO"/>
        </w:rPr>
        <w:t xml:space="preserve"> </w:t>
      </w:r>
      <w:r w:rsidR="00542926" w:rsidRPr="00491517">
        <w:rPr>
          <w:rFonts w:ascii="Cambria" w:hAnsi="Cambria" w:cs="Arial"/>
          <w:color w:val="000000" w:themeColor="text1"/>
          <w:sz w:val="20"/>
          <w:szCs w:val="20"/>
          <w:lang w:val="es-CO"/>
        </w:rPr>
        <w:t>y a algunas de las actividades ejecutad</w:t>
      </w:r>
      <w:r w:rsidR="00FD4DC5" w:rsidRPr="00491517">
        <w:rPr>
          <w:rFonts w:ascii="Cambria" w:hAnsi="Cambria" w:cs="Arial"/>
          <w:color w:val="000000" w:themeColor="text1"/>
          <w:sz w:val="20"/>
          <w:szCs w:val="20"/>
          <w:lang w:val="es-CO"/>
        </w:rPr>
        <w:t>a</w:t>
      </w:r>
      <w:r w:rsidR="00542926" w:rsidRPr="00491517">
        <w:rPr>
          <w:rFonts w:ascii="Cambria" w:hAnsi="Cambria" w:cs="Arial"/>
          <w:color w:val="000000" w:themeColor="text1"/>
          <w:sz w:val="20"/>
          <w:szCs w:val="20"/>
          <w:lang w:val="es-CO"/>
        </w:rPr>
        <w:t>s</w:t>
      </w:r>
      <w:r w:rsidR="00A93225" w:rsidRPr="00491517">
        <w:rPr>
          <w:rFonts w:ascii="Cambria" w:hAnsi="Cambria" w:cs="Arial"/>
          <w:color w:val="000000" w:themeColor="text1"/>
          <w:sz w:val="20"/>
          <w:szCs w:val="20"/>
          <w:lang w:val="es-CO"/>
        </w:rPr>
        <w:t xml:space="preserve"> en 2021</w:t>
      </w:r>
      <w:r w:rsidR="00542926" w:rsidRPr="00491517">
        <w:rPr>
          <w:rFonts w:ascii="Cambria" w:hAnsi="Cambria" w:cs="Arial"/>
          <w:color w:val="000000" w:themeColor="text1"/>
          <w:sz w:val="20"/>
          <w:szCs w:val="20"/>
          <w:lang w:val="es-CO"/>
        </w:rPr>
        <w:t xml:space="preserve">, tales como </w:t>
      </w:r>
      <w:r w:rsidR="00FD4DC5" w:rsidRPr="00491517">
        <w:rPr>
          <w:rFonts w:ascii="Cambria" w:hAnsi="Cambria" w:cs="Arial"/>
          <w:color w:val="000000" w:themeColor="text1"/>
          <w:sz w:val="20"/>
          <w:szCs w:val="20"/>
          <w:lang w:val="es-CO"/>
        </w:rPr>
        <w:t xml:space="preserve">una </w:t>
      </w:r>
      <w:r w:rsidR="00542926" w:rsidRPr="00491517">
        <w:rPr>
          <w:rFonts w:ascii="Cambria" w:hAnsi="Cambria" w:cs="Arial"/>
          <w:color w:val="000000" w:themeColor="text1"/>
          <w:sz w:val="20"/>
          <w:szCs w:val="20"/>
          <w:lang w:val="es-CO"/>
        </w:rPr>
        <w:t xml:space="preserve">reunión entre la Coordinación </w:t>
      </w:r>
      <w:r w:rsidR="00542926" w:rsidRPr="00491517">
        <w:rPr>
          <w:rFonts w:ascii="Cambria" w:hAnsi="Cambria"/>
          <w:color w:val="000000" w:themeColor="text1"/>
          <w:sz w:val="20"/>
          <w:szCs w:val="20"/>
          <w:lang w:val="es-CO"/>
        </w:rPr>
        <w:t>del Sistema Especializado en Delitos de Crimen Organizado con la Coordinación de la Fiscalía Superior Penal Nacional y Fiscalías Penales Supraprovinciales, y con la Dirección General de Búsqueda de Personas Desaparecidas del Ministerio de Justicia y Derechos Humanos</w:t>
      </w:r>
      <w:r w:rsidR="000B5584" w:rsidRPr="00491517">
        <w:rPr>
          <w:rFonts w:ascii="Cambria" w:hAnsi="Cambria"/>
          <w:color w:val="000000" w:themeColor="text1"/>
          <w:sz w:val="20"/>
          <w:szCs w:val="20"/>
          <w:lang w:val="es-CO"/>
        </w:rPr>
        <w:t xml:space="preserve"> (MINJUSDH)</w:t>
      </w:r>
      <w:r w:rsidR="00542926" w:rsidRPr="00491517">
        <w:rPr>
          <w:rFonts w:ascii="Cambria" w:hAnsi="Cambria"/>
          <w:color w:val="000000" w:themeColor="text1"/>
          <w:sz w:val="20"/>
          <w:szCs w:val="20"/>
          <w:lang w:val="es-CO"/>
        </w:rPr>
        <w:t>.</w:t>
      </w:r>
      <w:r w:rsidR="002A3962" w:rsidRPr="00491517">
        <w:rPr>
          <w:rFonts w:ascii="Cambria" w:hAnsi="Cambria"/>
          <w:color w:val="000000" w:themeColor="text1"/>
          <w:sz w:val="20"/>
          <w:szCs w:val="20"/>
          <w:lang w:val="es-CO"/>
        </w:rPr>
        <w:t xml:space="preserve"> </w:t>
      </w:r>
      <w:r w:rsidRPr="00491517">
        <w:rPr>
          <w:rFonts w:ascii="Cambria" w:hAnsi="Cambria"/>
          <w:color w:val="000000" w:themeColor="text1"/>
          <w:sz w:val="20"/>
          <w:szCs w:val="20"/>
          <w:lang w:val="es-ES"/>
        </w:rPr>
        <w:t>Finalmente, el Estado c</w:t>
      </w:r>
      <w:r w:rsidR="00407C78" w:rsidRPr="00491517">
        <w:rPr>
          <w:rFonts w:ascii="Cambria" w:hAnsi="Cambria"/>
          <w:color w:val="000000" w:themeColor="text1"/>
          <w:sz w:val="20"/>
          <w:szCs w:val="20"/>
          <w:lang w:val="es-ES"/>
        </w:rPr>
        <w:t xml:space="preserve">onsideró que no </w:t>
      </w:r>
      <w:r w:rsidRPr="00491517">
        <w:rPr>
          <w:rFonts w:ascii="Cambria" w:hAnsi="Cambria"/>
          <w:color w:val="000000" w:themeColor="text1"/>
          <w:sz w:val="20"/>
          <w:szCs w:val="20"/>
          <w:lang w:val="es-ES"/>
        </w:rPr>
        <w:t>es</w:t>
      </w:r>
      <w:r w:rsidR="00407C78" w:rsidRPr="00491517">
        <w:rPr>
          <w:rFonts w:ascii="Cambria" w:hAnsi="Cambria"/>
          <w:color w:val="000000" w:themeColor="text1"/>
          <w:sz w:val="20"/>
          <w:szCs w:val="20"/>
          <w:lang w:val="es-ES"/>
        </w:rPr>
        <w:t xml:space="preserve"> necesari</w:t>
      </w:r>
      <w:r w:rsidRPr="00491517">
        <w:rPr>
          <w:rFonts w:ascii="Cambria" w:hAnsi="Cambria"/>
          <w:color w:val="000000" w:themeColor="text1"/>
          <w:sz w:val="20"/>
          <w:szCs w:val="20"/>
          <w:lang w:val="es-ES"/>
        </w:rPr>
        <w:t>o implementar</w:t>
      </w:r>
      <w:r w:rsidR="00407C78" w:rsidRPr="00491517">
        <w:rPr>
          <w:rFonts w:ascii="Cambria" w:hAnsi="Cambria"/>
          <w:color w:val="000000" w:themeColor="text1"/>
          <w:sz w:val="20"/>
          <w:szCs w:val="20"/>
          <w:lang w:val="es-ES"/>
        </w:rPr>
        <w:t xml:space="preserve"> una Mesa de Trabajo para abordar </w:t>
      </w:r>
      <w:r w:rsidRPr="00491517">
        <w:rPr>
          <w:rFonts w:ascii="Cambria" w:hAnsi="Cambria"/>
          <w:color w:val="000000" w:themeColor="text1"/>
          <w:sz w:val="20"/>
          <w:szCs w:val="20"/>
          <w:lang w:val="es-ES"/>
        </w:rPr>
        <w:t>el eje temático de</w:t>
      </w:r>
      <w:r w:rsidR="00407C78" w:rsidRPr="00491517">
        <w:rPr>
          <w:rFonts w:ascii="Cambria" w:hAnsi="Cambria"/>
          <w:color w:val="000000" w:themeColor="text1"/>
          <w:sz w:val="20"/>
          <w:szCs w:val="20"/>
          <w:lang w:val="es-ES"/>
        </w:rPr>
        <w:t xml:space="preserve"> justicia</w:t>
      </w:r>
      <w:r w:rsidRPr="00491517">
        <w:rPr>
          <w:rFonts w:ascii="Cambria" w:hAnsi="Cambria"/>
          <w:color w:val="000000" w:themeColor="text1"/>
          <w:sz w:val="20"/>
          <w:szCs w:val="20"/>
          <w:lang w:val="es-ES"/>
        </w:rPr>
        <w:t xml:space="preserve"> considerando la realización de reuniones de trabajo </w:t>
      </w:r>
      <w:r w:rsidR="004E7F4A" w:rsidRPr="00491517">
        <w:rPr>
          <w:rFonts w:ascii="Cambria" w:hAnsi="Cambria"/>
          <w:color w:val="000000" w:themeColor="text1"/>
          <w:sz w:val="20"/>
          <w:szCs w:val="20"/>
          <w:lang w:val="es-ES"/>
        </w:rPr>
        <w:t xml:space="preserve">cada 2 meses </w:t>
      </w:r>
      <w:r w:rsidRPr="00491517">
        <w:rPr>
          <w:rFonts w:ascii="Cambria" w:hAnsi="Cambria"/>
          <w:color w:val="000000" w:themeColor="text1"/>
          <w:sz w:val="20"/>
          <w:szCs w:val="20"/>
          <w:lang w:val="es-ES"/>
        </w:rPr>
        <w:t>ante la CIDH</w:t>
      </w:r>
      <w:r w:rsidRPr="00491517">
        <w:rPr>
          <w:rFonts w:ascii="Cambria" w:hAnsi="Cambria"/>
          <w:color w:val="000000" w:themeColor="text1"/>
          <w:sz w:val="20"/>
          <w:szCs w:val="20"/>
          <w:lang w:val="es-CO"/>
        </w:rPr>
        <w:t xml:space="preserve">. </w:t>
      </w:r>
    </w:p>
    <w:p w14:paraId="01C7D897" w14:textId="77777777" w:rsidR="00876FFF" w:rsidRPr="00491517" w:rsidRDefault="00876FFF" w:rsidP="00A36C6E">
      <w:pPr>
        <w:spacing w:after="0" w:line="240" w:lineRule="auto"/>
        <w:ind w:firstLine="720"/>
        <w:jc w:val="both"/>
        <w:rPr>
          <w:rFonts w:ascii="Cambria" w:hAnsi="Cambria" w:cs="Calibri Light"/>
          <w:b/>
          <w:bCs/>
          <w:color w:val="000000" w:themeColor="text1"/>
          <w:sz w:val="20"/>
          <w:szCs w:val="20"/>
          <w:lang w:val="es-CO"/>
        </w:rPr>
      </w:pPr>
    </w:p>
    <w:p w14:paraId="159A7355" w14:textId="39DFAD27" w:rsidR="000E6732" w:rsidRPr="00491517" w:rsidRDefault="00823AB3"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b/>
          <w:bCs/>
          <w:color w:val="000000" w:themeColor="text1"/>
          <w:sz w:val="20"/>
          <w:szCs w:val="20"/>
          <w:lang w:val="es-CO"/>
        </w:rPr>
        <w:t>Información remitida por la parte peticionaria</w:t>
      </w:r>
      <w:r w:rsidR="00B1106F" w:rsidRPr="00491517">
        <w:rPr>
          <w:rFonts w:ascii="Cambria" w:hAnsi="Cambria"/>
          <w:b/>
          <w:bCs/>
          <w:color w:val="000000" w:themeColor="text1"/>
          <w:sz w:val="20"/>
          <w:szCs w:val="20"/>
          <w:lang w:val="es-CO"/>
        </w:rPr>
        <w:t xml:space="preserve"> en 2021</w:t>
      </w:r>
      <w:r w:rsidRPr="00491517">
        <w:rPr>
          <w:rFonts w:ascii="Cambria" w:hAnsi="Cambria"/>
          <w:b/>
          <w:bCs/>
          <w:color w:val="000000" w:themeColor="text1"/>
          <w:sz w:val="20"/>
          <w:szCs w:val="20"/>
          <w:lang w:val="es-CO"/>
        </w:rPr>
        <w:t xml:space="preserve">. </w:t>
      </w:r>
      <w:r w:rsidR="00B1106F" w:rsidRPr="00491517">
        <w:rPr>
          <w:rFonts w:ascii="Cambria" w:hAnsi="Cambria"/>
          <w:color w:val="000000" w:themeColor="text1"/>
          <w:sz w:val="20"/>
          <w:szCs w:val="20"/>
          <w:lang w:val="es-CO"/>
        </w:rPr>
        <w:t>L</w:t>
      </w:r>
      <w:r w:rsidR="00DC150F" w:rsidRPr="00491517">
        <w:rPr>
          <w:rFonts w:ascii="Cambria" w:hAnsi="Cambria"/>
          <w:color w:val="000000" w:themeColor="text1"/>
          <w:sz w:val="20"/>
          <w:szCs w:val="20"/>
          <w:lang w:val="es-CO"/>
        </w:rPr>
        <w:t>a parte peticionaria</w:t>
      </w:r>
      <w:r w:rsidR="00407C78" w:rsidRPr="00491517">
        <w:rPr>
          <w:rFonts w:ascii="Cambria" w:hAnsi="Cambria"/>
          <w:color w:val="000000" w:themeColor="text1"/>
          <w:sz w:val="20"/>
          <w:szCs w:val="20"/>
          <w:lang w:val="es-CO"/>
        </w:rPr>
        <w:t xml:space="preserve"> </w:t>
      </w:r>
      <w:r w:rsidR="00DC150F" w:rsidRPr="00491517">
        <w:rPr>
          <w:rFonts w:ascii="Cambria" w:hAnsi="Cambria"/>
          <w:color w:val="000000" w:themeColor="text1"/>
          <w:sz w:val="20"/>
          <w:szCs w:val="20"/>
          <w:lang w:val="es-CO"/>
        </w:rPr>
        <w:t xml:space="preserve">solicitó al Estado un informe que responda a las cinco observaciones hechas en la reunión de trabajo del 26 de julio de 2021 </w:t>
      </w:r>
      <w:r w:rsidR="000E6732" w:rsidRPr="00491517">
        <w:rPr>
          <w:rFonts w:ascii="Cambria" w:hAnsi="Cambria"/>
          <w:color w:val="000000" w:themeColor="text1"/>
          <w:sz w:val="20"/>
          <w:szCs w:val="20"/>
          <w:lang w:val="es-CO"/>
        </w:rPr>
        <w:t>que, en su criterio, atañen al conjunto de los casos en seguimiento</w:t>
      </w:r>
      <w:r w:rsidR="00481FF3" w:rsidRPr="00491517">
        <w:rPr>
          <w:rFonts w:ascii="Cambria" w:hAnsi="Cambria"/>
          <w:color w:val="000000" w:themeColor="text1"/>
          <w:sz w:val="20"/>
          <w:szCs w:val="20"/>
          <w:lang w:val="es-CO"/>
        </w:rPr>
        <w:t>. Estas observaciones fueron agrupadas de la siguiente manera</w:t>
      </w:r>
      <w:r w:rsidR="000E6732" w:rsidRPr="00491517">
        <w:rPr>
          <w:rFonts w:ascii="Cambria" w:hAnsi="Cambria"/>
          <w:color w:val="000000" w:themeColor="text1"/>
          <w:sz w:val="20"/>
          <w:szCs w:val="20"/>
          <w:lang w:val="es-CO"/>
        </w:rPr>
        <w:t>: (i) falta de individualización de los responsables de los hechos y archivo de las investigaciones; (</w:t>
      </w:r>
      <w:proofErr w:type="spellStart"/>
      <w:r w:rsidR="000E6732" w:rsidRPr="00491517">
        <w:rPr>
          <w:rFonts w:ascii="Cambria" w:hAnsi="Cambria"/>
          <w:color w:val="000000" w:themeColor="text1"/>
          <w:sz w:val="20"/>
          <w:szCs w:val="20"/>
          <w:lang w:val="es-CO"/>
        </w:rPr>
        <w:t>ii</w:t>
      </w:r>
      <w:proofErr w:type="spellEnd"/>
      <w:r w:rsidR="000E6732" w:rsidRPr="00491517">
        <w:rPr>
          <w:rFonts w:ascii="Cambria" w:hAnsi="Cambria"/>
          <w:color w:val="000000" w:themeColor="text1"/>
          <w:sz w:val="20"/>
          <w:szCs w:val="20"/>
          <w:lang w:val="es-CO"/>
        </w:rPr>
        <w:t>) incumplimiento de mandatos judiciales que disponen la ubicación y captura de procesados y condenados</w:t>
      </w:r>
      <w:r w:rsidR="00844F69" w:rsidRPr="00491517">
        <w:rPr>
          <w:rFonts w:ascii="Cambria" w:hAnsi="Cambria"/>
          <w:color w:val="000000" w:themeColor="text1"/>
          <w:sz w:val="20"/>
          <w:szCs w:val="20"/>
          <w:lang w:val="es-CO"/>
        </w:rPr>
        <w:t xml:space="preserve">, para lo cual </w:t>
      </w:r>
      <w:r w:rsidR="00670C4D" w:rsidRPr="00491517">
        <w:rPr>
          <w:rFonts w:ascii="Cambria" w:hAnsi="Cambria"/>
          <w:color w:val="000000" w:themeColor="text1"/>
          <w:sz w:val="20"/>
          <w:szCs w:val="20"/>
          <w:lang w:val="es-CO"/>
        </w:rPr>
        <w:t>se refirieron a la situación de</w:t>
      </w:r>
      <w:r w:rsidR="00844F69" w:rsidRPr="00491517">
        <w:rPr>
          <w:rFonts w:ascii="Cambria" w:hAnsi="Cambria"/>
          <w:color w:val="000000" w:themeColor="text1"/>
          <w:sz w:val="20"/>
          <w:szCs w:val="20"/>
          <w:lang w:val="es-CO"/>
        </w:rPr>
        <w:t xml:space="preserve"> personas prófugas respecto del caso Chuschi, </w:t>
      </w:r>
      <w:r w:rsidR="009C1BFE" w:rsidRPr="00491517">
        <w:rPr>
          <w:rFonts w:ascii="Cambria" w:hAnsi="Cambria"/>
          <w:color w:val="000000" w:themeColor="text1"/>
          <w:sz w:val="20"/>
          <w:szCs w:val="20"/>
          <w:lang w:val="es-CO"/>
        </w:rPr>
        <w:t>Sótanos del SIE y Chumbivilcas</w:t>
      </w:r>
      <w:r w:rsidR="00E62E01" w:rsidRPr="00491517">
        <w:rPr>
          <w:rFonts w:ascii="Cambria" w:hAnsi="Cambria"/>
          <w:color w:val="000000" w:themeColor="text1"/>
          <w:sz w:val="20"/>
          <w:szCs w:val="20"/>
          <w:lang w:val="es-CO"/>
        </w:rPr>
        <w:t xml:space="preserve">, y </w:t>
      </w:r>
      <w:r w:rsidR="00670C4D" w:rsidRPr="00491517">
        <w:rPr>
          <w:rFonts w:ascii="Cambria" w:hAnsi="Cambria"/>
          <w:color w:val="000000" w:themeColor="text1"/>
          <w:sz w:val="20"/>
          <w:szCs w:val="20"/>
          <w:lang w:val="es-CO"/>
        </w:rPr>
        <w:t>para lo cual solicitaron mayor diligencia estatal en la ejecución de sus condenas</w:t>
      </w:r>
      <w:r w:rsidR="000E6732" w:rsidRPr="00491517">
        <w:rPr>
          <w:rFonts w:ascii="Cambria" w:hAnsi="Cambria"/>
          <w:color w:val="000000" w:themeColor="text1"/>
          <w:sz w:val="20"/>
          <w:szCs w:val="20"/>
          <w:lang w:val="es-CO"/>
        </w:rPr>
        <w:t>; (</w:t>
      </w:r>
      <w:proofErr w:type="spellStart"/>
      <w:r w:rsidR="000E6732" w:rsidRPr="00491517">
        <w:rPr>
          <w:rFonts w:ascii="Cambria" w:hAnsi="Cambria"/>
          <w:color w:val="000000" w:themeColor="text1"/>
          <w:sz w:val="20"/>
          <w:szCs w:val="20"/>
          <w:lang w:val="es-CO"/>
        </w:rPr>
        <w:t>iii</w:t>
      </w:r>
      <w:proofErr w:type="spellEnd"/>
      <w:r w:rsidR="000E6732" w:rsidRPr="00491517">
        <w:rPr>
          <w:rFonts w:ascii="Cambria" w:hAnsi="Cambria"/>
          <w:color w:val="000000" w:themeColor="text1"/>
          <w:sz w:val="20"/>
          <w:szCs w:val="20"/>
          <w:lang w:val="es-CO"/>
        </w:rPr>
        <w:t>) obstáculos en las investigaciones de desaparición forzada y falta de una búsqueda seria, diligente y eficaz de los cuerpos de los desaparecidos y de su restitución; (</w:t>
      </w:r>
      <w:proofErr w:type="spellStart"/>
      <w:r w:rsidR="000E6732" w:rsidRPr="00491517">
        <w:rPr>
          <w:rFonts w:ascii="Cambria" w:hAnsi="Cambria"/>
          <w:color w:val="000000" w:themeColor="text1"/>
          <w:sz w:val="20"/>
          <w:szCs w:val="20"/>
          <w:lang w:val="es-CO"/>
        </w:rPr>
        <w:t>iv</w:t>
      </w:r>
      <w:proofErr w:type="spellEnd"/>
      <w:r w:rsidR="000E6732" w:rsidRPr="00491517">
        <w:rPr>
          <w:rFonts w:ascii="Cambria" w:hAnsi="Cambria"/>
          <w:color w:val="000000" w:themeColor="text1"/>
          <w:sz w:val="20"/>
          <w:szCs w:val="20"/>
          <w:lang w:val="es-CO"/>
        </w:rPr>
        <w:t xml:space="preserve">) demora en </w:t>
      </w:r>
      <w:r w:rsidR="00A93225" w:rsidRPr="00491517">
        <w:rPr>
          <w:rFonts w:ascii="Cambria" w:hAnsi="Cambria"/>
          <w:color w:val="000000" w:themeColor="text1"/>
          <w:sz w:val="20"/>
          <w:szCs w:val="20"/>
          <w:lang w:val="es-CO"/>
        </w:rPr>
        <w:t xml:space="preserve">el </w:t>
      </w:r>
      <w:r w:rsidR="000E6732" w:rsidRPr="00491517">
        <w:rPr>
          <w:rFonts w:ascii="Cambria" w:hAnsi="Cambria"/>
          <w:color w:val="000000" w:themeColor="text1"/>
          <w:sz w:val="20"/>
          <w:szCs w:val="20"/>
          <w:lang w:val="es-CO"/>
        </w:rPr>
        <w:t xml:space="preserve">cumplimiento de sentencias condenatorias, y (v) demoras procesales, archivamientos arbitrarios y sin motivación, y otorgamiento indebido de beneficios penitenciarios a condenados. </w:t>
      </w:r>
    </w:p>
    <w:p w14:paraId="61473EB2" w14:textId="77777777" w:rsidR="000E6732" w:rsidRPr="00491517" w:rsidRDefault="000E6732" w:rsidP="00A36C6E">
      <w:pPr>
        <w:pStyle w:val="ListParagraph"/>
        <w:ind w:left="0" w:firstLine="720"/>
        <w:rPr>
          <w:rFonts w:ascii="Cambria" w:hAnsi="Cambria"/>
          <w:color w:val="000000" w:themeColor="text1"/>
          <w:sz w:val="20"/>
          <w:szCs w:val="20"/>
          <w:lang w:val="es-CO"/>
        </w:rPr>
      </w:pPr>
    </w:p>
    <w:p w14:paraId="0F36FC0C" w14:textId="5E1457F7" w:rsidR="00E62E01" w:rsidRPr="00491517" w:rsidRDefault="00B1106F"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Asimismo</w:t>
      </w:r>
      <w:r w:rsidR="000E6732" w:rsidRPr="00491517">
        <w:rPr>
          <w:rFonts w:ascii="Cambria" w:hAnsi="Cambria"/>
          <w:color w:val="000000" w:themeColor="text1"/>
          <w:sz w:val="20"/>
          <w:szCs w:val="20"/>
          <w:lang w:val="es-CO"/>
        </w:rPr>
        <w:t>, la parte peticionaria</w:t>
      </w:r>
      <w:r w:rsidR="00DC150F" w:rsidRPr="00491517">
        <w:rPr>
          <w:rFonts w:ascii="Cambria" w:hAnsi="Cambria"/>
          <w:color w:val="000000" w:themeColor="text1"/>
          <w:sz w:val="20"/>
          <w:szCs w:val="20"/>
          <w:lang w:val="es-CO"/>
        </w:rPr>
        <w:t xml:space="preserve"> reiteró </w:t>
      </w:r>
      <w:r w:rsidR="000E6732" w:rsidRPr="00491517">
        <w:rPr>
          <w:rFonts w:ascii="Cambria" w:hAnsi="Cambria"/>
          <w:color w:val="000000" w:themeColor="text1"/>
          <w:sz w:val="20"/>
          <w:szCs w:val="20"/>
          <w:lang w:val="es-CO"/>
        </w:rPr>
        <w:t>su</w:t>
      </w:r>
      <w:r w:rsidR="00093CC2" w:rsidRPr="00491517">
        <w:rPr>
          <w:rFonts w:ascii="Cambria" w:hAnsi="Cambria"/>
          <w:color w:val="000000" w:themeColor="text1"/>
          <w:sz w:val="20"/>
          <w:szCs w:val="20"/>
          <w:lang w:val="es-CO"/>
        </w:rPr>
        <w:t xml:space="preserve"> </w:t>
      </w:r>
      <w:r w:rsidR="000E6732" w:rsidRPr="00491517">
        <w:rPr>
          <w:rFonts w:ascii="Cambria" w:hAnsi="Cambria"/>
          <w:color w:val="000000" w:themeColor="text1"/>
          <w:sz w:val="20"/>
          <w:szCs w:val="20"/>
          <w:lang w:val="es-CO"/>
        </w:rPr>
        <w:t>solicitud al Estado</w:t>
      </w:r>
      <w:r w:rsidR="00093CC2" w:rsidRPr="00491517">
        <w:rPr>
          <w:rFonts w:ascii="Cambria" w:hAnsi="Cambria"/>
          <w:color w:val="000000" w:themeColor="text1"/>
          <w:sz w:val="20"/>
          <w:szCs w:val="20"/>
          <w:lang w:val="es-CO"/>
        </w:rPr>
        <w:t xml:space="preserve"> de constituir una Mesa de Trabajo en torno a este </w:t>
      </w:r>
      <w:r w:rsidR="000E6732" w:rsidRPr="00491517">
        <w:rPr>
          <w:rFonts w:ascii="Cambria" w:hAnsi="Cambria"/>
          <w:color w:val="000000" w:themeColor="text1"/>
          <w:sz w:val="20"/>
          <w:szCs w:val="20"/>
          <w:lang w:val="es-CO"/>
        </w:rPr>
        <w:t xml:space="preserve">eje </w:t>
      </w:r>
      <w:r w:rsidR="00093CC2" w:rsidRPr="00491517">
        <w:rPr>
          <w:rFonts w:ascii="Cambria" w:hAnsi="Cambria"/>
          <w:color w:val="000000" w:themeColor="text1"/>
          <w:sz w:val="20"/>
          <w:szCs w:val="20"/>
          <w:lang w:val="es-CO"/>
        </w:rPr>
        <w:t xml:space="preserve">temático que cuente con el apoyo de la CIDH en calidad de observadora, considerando el número amplio de los casos y su complejidad. </w:t>
      </w:r>
      <w:r w:rsidR="007C0552" w:rsidRPr="00491517">
        <w:rPr>
          <w:rFonts w:ascii="Cambria" w:hAnsi="Cambria"/>
          <w:color w:val="000000" w:themeColor="text1"/>
          <w:sz w:val="20"/>
          <w:szCs w:val="20"/>
          <w:lang w:val="es-CO"/>
        </w:rPr>
        <w:t>Indicó, por ejemplo, que esta Mesa de Trabajo facilitar</w:t>
      </w:r>
      <w:r w:rsidR="00A93225" w:rsidRPr="00491517">
        <w:rPr>
          <w:rFonts w:ascii="Cambria" w:hAnsi="Cambria"/>
          <w:color w:val="000000" w:themeColor="text1"/>
          <w:sz w:val="20"/>
          <w:szCs w:val="20"/>
          <w:lang w:val="es-CO"/>
        </w:rPr>
        <w:t>á</w:t>
      </w:r>
      <w:r w:rsidR="007C0552" w:rsidRPr="00491517">
        <w:rPr>
          <w:rFonts w:ascii="Cambria" w:hAnsi="Cambria"/>
          <w:color w:val="000000" w:themeColor="text1"/>
          <w:sz w:val="20"/>
          <w:szCs w:val="20"/>
          <w:lang w:val="es-CO"/>
        </w:rPr>
        <w:t xml:space="preserve"> la identificación de información sobre las </w:t>
      </w:r>
      <w:r w:rsidR="00823AB3" w:rsidRPr="00491517">
        <w:rPr>
          <w:rFonts w:ascii="Cambria" w:hAnsi="Cambria"/>
          <w:color w:val="000000" w:themeColor="text1"/>
          <w:sz w:val="20"/>
          <w:szCs w:val="20"/>
          <w:lang w:val="es-CO"/>
        </w:rPr>
        <w:t>23</w:t>
      </w:r>
      <w:r w:rsidR="007C0552" w:rsidRPr="00491517">
        <w:rPr>
          <w:rFonts w:ascii="Cambria" w:hAnsi="Cambria"/>
          <w:color w:val="000000" w:themeColor="text1"/>
          <w:sz w:val="20"/>
          <w:szCs w:val="20"/>
          <w:lang w:val="es-CO"/>
        </w:rPr>
        <w:t xml:space="preserve"> víctimas que no han sido ubicadas en la indagación realizada por el sistema de casos nacional y sobre los </w:t>
      </w:r>
      <w:r w:rsidR="00823AB3" w:rsidRPr="00491517">
        <w:rPr>
          <w:rFonts w:ascii="Cambria" w:hAnsi="Cambria"/>
          <w:color w:val="000000" w:themeColor="text1"/>
          <w:sz w:val="20"/>
          <w:szCs w:val="20"/>
          <w:lang w:val="es-CO"/>
        </w:rPr>
        <w:t>12</w:t>
      </w:r>
      <w:r w:rsidR="007C0552" w:rsidRPr="00491517">
        <w:rPr>
          <w:rFonts w:ascii="Cambria" w:hAnsi="Cambria"/>
          <w:color w:val="000000" w:themeColor="text1"/>
          <w:sz w:val="20"/>
          <w:szCs w:val="20"/>
          <w:lang w:val="es-CO"/>
        </w:rPr>
        <w:t xml:space="preserve"> casos que, conforme a informe del Estado, están pendientes de precisar. </w:t>
      </w:r>
      <w:r w:rsidR="00737251" w:rsidRPr="00491517">
        <w:rPr>
          <w:rFonts w:ascii="Cambria" w:hAnsi="Cambria"/>
          <w:color w:val="000000" w:themeColor="text1"/>
          <w:sz w:val="20"/>
          <w:szCs w:val="20"/>
          <w:lang w:val="es-CO"/>
        </w:rPr>
        <w:t xml:space="preserve">Además, </w:t>
      </w:r>
      <w:r w:rsidR="00E62E01" w:rsidRPr="00491517">
        <w:rPr>
          <w:rFonts w:ascii="Cambria" w:hAnsi="Cambria"/>
          <w:color w:val="000000" w:themeColor="text1"/>
          <w:sz w:val="20"/>
          <w:szCs w:val="20"/>
          <w:lang w:val="es-CO"/>
        </w:rPr>
        <w:t>señaló que la Mesa de Trabajo permitirá dar seguimiento a los desafíos</w:t>
      </w:r>
      <w:r w:rsidR="009B2B04" w:rsidRPr="00491517">
        <w:rPr>
          <w:rFonts w:ascii="Cambria" w:hAnsi="Cambria"/>
          <w:color w:val="000000" w:themeColor="text1"/>
          <w:sz w:val="20"/>
          <w:szCs w:val="20"/>
          <w:lang w:val="es-CO"/>
        </w:rPr>
        <w:t xml:space="preserve"> particulares</w:t>
      </w:r>
      <w:r w:rsidR="00E62E01" w:rsidRPr="00491517">
        <w:rPr>
          <w:rFonts w:ascii="Cambria" w:hAnsi="Cambria"/>
          <w:color w:val="000000" w:themeColor="text1"/>
          <w:sz w:val="20"/>
          <w:szCs w:val="20"/>
          <w:lang w:val="es-CO"/>
        </w:rPr>
        <w:t xml:space="preserve"> de cada caso. </w:t>
      </w:r>
    </w:p>
    <w:p w14:paraId="121C8A78" w14:textId="77777777" w:rsidR="00B1106F" w:rsidRPr="00491517" w:rsidRDefault="00B1106F" w:rsidP="00A36C6E">
      <w:pPr>
        <w:spacing w:after="0" w:line="240" w:lineRule="auto"/>
        <w:ind w:firstLine="720"/>
        <w:jc w:val="both"/>
        <w:rPr>
          <w:rFonts w:ascii="Cambria" w:hAnsi="Cambria"/>
          <w:color w:val="000000" w:themeColor="text1"/>
          <w:sz w:val="20"/>
          <w:szCs w:val="20"/>
          <w:lang w:val="es-CO"/>
        </w:rPr>
      </w:pPr>
    </w:p>
    <w:p w14:paraId="12E563C7" w14:textId="080AD8EA" w:rsidR="007C0552" w:rsidRPr="00491517" w:rsidRDefault="00E62E01"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 xml:space="preserve">Igualmente, la parte peticionaria </w:t>
      </w:r>
      <w:r w:rsidR="00737251" w:rsidRPr="00491517">
        <w:rPr>
          <w:rFonts w:ascii="Cambria" w:hAnsi="Cambria"/>
          <w:color w:val="000000" w:themeColor="text1"/>
          <w:sz w:val="20"/>
          <w:szCs w:val="20"/>
          <w:lang w:val="es-CO"/>
        </w:rPr>
        <w:t xml:space="preserve">lamentó que </w:t>
      </w:r>
      <w:r w:rsidR="000E6732" w:rsidRPr="00491517">
        <w:rPr>
          <w:rFonts w:ascii="Cambria" w:hAnsi="Cambria"/>
          <w:color w:val="000000" w:themeColor="text1"/>
          <w:sz w:val="20"/>
          <w:szCs w:val="20"/>
          <w:lang w:val="es-CO"/>
        </w:rPr>
        <w:t>sean</w:t>
      </w:r>
      <w:r w:rsidR="00737251" w:rsidRPr="00491517">
        <w:rPr>
          <w:rFonts w:ascii="Cambria" w:hAnsi="Cambria"/>
          <w:color w:val="000000" w:themeColor="text1"/>
          <w:sz w:val="20"/>
          <w:szCs w:val="20"/>
          <w:lang w:val="es-CO"/>
        </w:rPr>
        <w:t xml:space="preserve"> </w:t>
      </w:r>
      <w:r w:rsidR="009B2B04" w:rsidRPr="00491517">
        <w:rPr>
          <w:rFonts w:ascii="Cambria" w:hAnsi="Cambria"/>
          <w:color w:val="000000" w:themeColor="text1"/>
          <w:sz w:val="20"/>
          <w:szCs w:val="20"/>
          <w:lang w:val="es-CO"/>
        </w:rPr>
        <w:t xml:space="preserve">muy </w:t>
      </w:r>
      <w:r w:rsidR="00407C78" w:rsidRPr="00491517">
        <w:rPr>
          <w:rFonts w:ascii="Cambria" w:hAnsi="Cambria"/>
          <w:color w:val="000000" w:themeColor="text1"/>
          <w:sz w:val="20"/>
          <w:szCs w:val="20"/>
          <w:lang w:val="es-CO"/>
        </w:rPr>
        <w:t>pocos los casos</w:t>
      </w:r>
      <w:r w:rsidR="009B2B04" w:rsidRPr="00491517">
        <w:rPr>
          <w:rFonts w:ascii="Cambria" w:hAnsi="Cambria"/>
          <w:color w:val="000000" w:themeColor="text1"/>
          <w:sz w:val="20"/>
          <w:szCs w:val="20"/>
          <w:lang w:val="es-CO"/>
        </w:rPr>
        <w:t xml:space="preserve"> en etapa de juicio oral o</w:t>
      </w:r>
      <w:r w:rsidR="00407C78" w:rsidRPr="00491517">
        <w:rPr>
          <w:rFonts w:ascii="Cambria" w:hAnsi="Cambria"/>
          <w:color w:val="000000" w:themeColor="text1"/>
          <w:sz w:val="20"/>
          <w:szCs w:val="20"/>
          <w:lang w:val="es-CO"/>
        </w:rPr>
        <w:t xml:space="preserve"> </w:t>
      </w:r>
      <w:r w:rsidR="00737251" w:rsidRPr="00491517">
        <w:rPr>
          <w:rFonts w:ascii="Cambria" w:hAnsi="Cambria"/>
          <w:color w:val="000000" w:themeColor="text1"/>
          <w:sz w:val="20"/>
          <w:szCs w:val="20"/>
          <w:lang w:val="es-CO"/>
        </w:rPr>
        <w:t>con</w:t>
      </w:r>
      <w:r w:rsidR="00407C78" w:rsidRPr="00491517">
        <w:rPr>
          <w:rFonts w:ascii="Cambria" w:hAnsi="Cambria"/>
          <w:color w:val="000000" w:themeColor="text1"/>
          <w:sz w:val="20"/>
          <w:szCs w:val="20"/>
          <w:lang w:val="es-CO"/>
        </w:rPr>
        <w:t xml:space="preserve"> sentencia </w:t>
      </w:r>
      <w:r w:rsidR="00F16431" w:rsidRPr="00491517">
        <w:rPr>
          <w:rFonts w:ascii="Cambria" w:hAnsi="Cambria"/>
          <w:color w:val="000000" w:themeColor="text1"/>
          <w:sz w:val="20"/>
          <w:szCs w:val="20"/>
          <w:lang w:val="es-CO"/>
        </w:rPr>
        <w:t xml:space="preserve">en </w:t>
      </w:r>
      <w:r w:rsidR="00407C78" w:rsidRPr="00491517">
        <w:rPr>
          <w:rFonts w:ascii="Cambria" w:hAnsi="Cambria"/>
          <w:color w:val="000000" w:themeColor="text1"/>
          <w:sz w:val="20"/>
          <w:szCs w:val="20"/>
          <w:lang w:val="es-CO"/>
        </w:rPr>
        <w:t xml:space="preserve">firme y </w:t>
      </w:r>
      <w:r w:rsidR="009B2B04" w:rsidRPr="00491517">
        <w:rPr>
          <w:rFonts w:ascii="Cambria" w:hAnsi="Cambria"/>
          <w:color w:val="000000" w:themeColor="text1"/>
          <w:sz w:val="20"/>
          <w:szCs w:val="20"/>
          <w:lang w:val="es-CO"/>
        </w:rPr>
        <w:t xml:space="preserve">resaltó </w:t>
      </w:r>
      <w:r w:rsidR="00794318" w:rsidRPr="00491517">
        <w:rPr>
          <w:rFonts w:ascii="Cambria" w:hAnsi="Cambria"/>
          <w:color w:val="000000" w:themeColor="text1"/>
          <w:sz w:val="20"/>
          <w:szCs w:val="20"/>
          <w:lang w:val="es-CO"/>
        </w:rPr>
        <w:t>que</w:t>
      </w:r>
      <w:r w:rsidR="00737251" w:rsidRPr="00491517">
        <w:rPr>
          <w:rFonts w:ascii="Cambria" w:hAnsi="Cambria"/>
          <w:color w:val="000000" w:themeColor="text1"/>
          <w:sz w:val="20"/>
          <w:szCs w:val="20"/>
          <w:lang w:val="es-CO"/>
        </w:rPr>
        <w:t xml:space="preserve"> las sentencias existentes no </w:t>
      </w:r>
      <w:r w:rsidR="000E6732" w:rsidRPr="00491517">
        <w:rPr>
          <w:rFonts w:ascii="Cambria" w:hAnsi="Cambria"/>
          <w:color w:val="000000" w:themeColor="text1"/>
          <w:sz w:val="20"/>
          <w:szCs w:val="20"/>
          <w:lang w:val="es-CO"/>
        </w:rPr>
        <w:t>han</w:t>
      </w:r>
      <w:r w:rsidR="00737251" w:rsidRPr="00491517">
        <w:rPr>
          <w:rFonts w:ascii="Cambria" w:hAnsi="Cambria"/>
          <w:color w:val="000000" w:themeColor="text1"/>
          <w:sz w:val="20"/>
          <w:szCs w:val="20"/>
          <w:lang w:val="es-CO"/>
        </w:rPr>
        <w:t xml:space="preserve"> sido plenamente ejecutadas. </w:t>
      </w:r>
      <w:r w:rsidR="009B2B04" w:rsidRPr="00491517">
        <w:rPr>
          <w:rFonts w:ascii="Cambria" w:hAnsi="Cambria"/>
          <w:color w:val="000000" w:themeColor="text1"/>
          <w:sz w:val="20"/>
          <w:szCs w:val="20"/>
          <w:lang w:val="es-CO"/>
        </w:rPr>
        <w:t xml:space="preserve">Además, </w:t>
      </w:r>
      <w:r w:rsidR="00737251" w:rsidRPr="00491517">
        <w:rPr>
          <w:rFonts w:ascii="Cambria" w:hAnsi="Cambria"/>
          <w:color w:val="000000" w:themeColor="text1"/>
          <w:sz w:val="20"/>
          <w:szCs w:val="20"/>
          <w:lang w:val="es-CO"/>
        </w:rPr>
        <w:t xml:space="preserve">lamentó el archivo de casos y la demora de las investigaciones y recordó </w:t>
      </w:r>
      <w:r w:rsidR="00794318" w:rsidRPr="00491517">
        <w:rPr>
          <w:rFonts w:ascii="Cambria" w:hAnsi="Cambria"/>
          <w:color w:val="000000" w:themeColor="text1"/>
          <w:sz w:val="20"/>
          <w:szCs w:val="20"/>
          <w:lang w:val="es-CO"/>
        </w:rPr>
        <w:t xml:space="preserve">que, en octubre de 2019, la Fiscalía de la Nación </w:t>
      </w:r>
      <w:r w:rsidR="00737251" w:rsidRPr="00491517">
        <w:rPr>
          <w:rFonts w:ascii="Cambria" w:hAnsi="Cambria"/>
          <w:color w:val="000000" w:themeColor="text1"/>
          <w:sz w:val="20"/>
          <w:szCs w:val="20"/>
          <w:lang w:val="es-CO"/>
        </w:rPr>
        <w:t>desactivó</w:t>
      </w:r>
      <w:r w:rsidR="00794318" w:rsidRPr="00491517">
        <w:rPr>
          <w:rFonts w:ascii="Cambria" w:hAnsi="Cambria"/>
          <w:color w:val="000000" w:themeColor="text1"/>
          <w:sz w:val="20"/>
          <w:szCs w:val="20"/>
          <w:lang w:val="es-CO"/>
        </w:rPr>
        <w:t xml:space="preserve"> la Primera Fiscalía Superior Penal Nacional y la Segunda </w:t>
      </w:r>
      <w:proofErr w:type="gramStart"/>
      <w:r w:rsidR="00794318" w:rsidRPr="00491517">
        <w:rPr>
          <w:rFonts w:ascii="Cambria" w:hAnsi="Cambria"/>
          <w:color w:val="000000" w:themeColor="text1"/>
          <w:sz w:val="20"/>
          <w:szCs w:val="20"/>
          <w:lang w:val="es-CO"/>
        </w:rPr>
        <w:t>Fiscalía</w:t>
      </w:r>
      <w:r w:rsidR="007721F2" w:rsidRPr="00491517">
        <w:rPr>
          <w:rFonts w:ascii="Cambria" w:hAnsi="Cambria"/>
          <w:color w:val="000000" w:themeColor="text1"/>
          <w:sz w:val="20"/>
          <w:szCs w:val="20"/>
          <w:lang w:val="es-CO"/>
        </w:rPr>
        <w:t xml:space="preserve"> </w:t>
      </w:r>
      <w:r w:rsidR="00794318" w:rsidRPr="00491517">
        <w:rPr>
          <w:rFonts w:ascii="Cambria" w:hAnsi="Cambria"/>
          <w:color w:val="000000" w:themeColor="text1"/>
          <w:sz w:val="20"/>
          <w:szCs w:val="20"/>
          <w:lang w:val="es-CO"/>
        </w:rPr>
        <w:t>Provincial</w:t>
      </w:r>
      <w:proofErr w:type="gramEnd"/>
      <w:r w:rsidR="00794318" w:rsidRPr="00491517">
        <w:rPr>
          <w:rFonts w:ascii="Cambria" w:hAnsi="Cambria"/>
          <w:color w:val="000000" w:themeColor="text1"/>
          <w:sz w:val="20"/>
          <w:szCs w:val="20"/>
          <w:lang w:val="es-CO"/>
        </w:rPr>
        <w:t xml:space="preserve"> Penal Supraprovincial, </w:t>
      </w:r>
      <w:r w:rsidR="000E6732" w:rsidRPr="00491517">
        <w:rPr>
          <w:rFonts w:ascii="Cambria" w:hAnsi="Cambria"/>
          <w:color w:val="000000" w:themeColor="text1"/>
          <w:sz w:val="20"/>
          <w:szCs w:val="20"/>
          <w:lang w:val="es-CO"/>
        </w:rPr>
        <w:t>lo cual redujo</w:t>
      </w:r>
      <w:r w:rsidR="00794318" w:rsidRPr="00491517">
        <w:rPr>
          <w:rFonts w:ascii="Cambria" w:hAnsi="Cambria"/>
          <w:color w:val="000000" w:themeColor="text1"/>
          <w:sz w:val="20"/>
          <w:szCs w:val="20"/>
          <w:lang w:val="es-CO"/>
        </w:rPr>
        <w:t xml:space="preserve"> las </w:t>
      </w:r>
      <w:r w:rsidR="00737251" w:rsidRPr="00491517">
        <w:rPr>
          <w:rFonts w:ascii="Cambria" w:hAnsi="Cambria"/>
          <w:color w:val="000000" w:themeColor="text1"/>
          <w:sz w:val="20"/>
          <w:szCs w:val="20"/>
          <w:lang w:val="es-CO"/>
        </w:rPr>
        <w:t>f</w:t>
      </w:r>
      <w:r w:rsidR="00794318" w:rsidRPr="00491517">
        <w:rPr>
          <w:rFonts w:ascii="Cambria" w:hAnsi="Cambria"/>
          <w:color w:val="000000" w:themeColor="text1"/>
          <w:sz w:val="20"/>
          <w:szCs w:val="20"/>
          <w:lang w:val="es-CO"/>
        </w:rPr>
        <w:t xml:space="preserve">iscalías </w:t>
      </w:r>
      <w:r w:rsidR="000E6732" w:rsidRPr="00491517">
        <w:rPr>
          <w:rFonts w:ascii="Cambria" w:hAnsi="Cambria"/>
          <w:color w:val="000000" w:themeColor="text1"/>
          <w:sz w:val="20"/>
          <w:szCs w:val="20"/>
          <w:lang w:val="es-CO"/>
        </w:rPr>
        <w:t>de</w:t>
      </w:r>
      <w:r w:rsidR="00794318" w:rsidRPr="00491517">
        <w:rPr>
          <w:rFonts w:ascii="Cambria" w:hAnsi="Cambria"/>
          <w:color w:val="000000" w:themeColor="text1"/>
          <w:sz w:val="20"/>
          <w:szCs w:val="20"/>
          <w:lang w:val="es-CO"/>
        </w:rPr>
        <w:t xml:space="preserve"> derechos humanos,</w:t>
      </w:r>
      <w:r w:rsidR="002E7383" w:rsidRPr="00491517">
        <w:rPr>
          <w:rFonts w:ascii="Cambria" w:hAnsi="Cambria"/>
          <w:color w:val="000000" w:themeColor="text1"/>
          <w:sz w:val="20"/>
          <w:szCs w:val="20"/>
          <w:lang w:val="es-CO"/>
        </w:rPr>
        <w:t xml:space="preserve"> a pesar de que </w:t>
      </w:r>
      <w:r w:rsidR="00794318" w:rsidRPr="00491517">
        <w:rPr>
          <w:rFonts w:ascii="Cambria" w:hAnsi="Cambria"/>
          <w:color w:val="000000" w:themeColor="text1"/>
          <w:sz w:val="20"/>
          <w:szCs w:val="20"/>
          <w:lang w:val="es-CO"/>
        </w:rPr>
        <w:t>el Estado</w:t>
      </w:r>
      <w:r w:rsidR="002E7383" w:rsidRPr="00491517">
        <w:rPr>
          <w:rFonts w:ascii="Cambria" w:hAnsi="Cambria"/>
          <w:color w:val="000000" w:themeColor="text1"/>
          <w:sz w:val="20"/>
          <w:szCs w:val="20"/>
          <w:lang w:val="es-CO"/>
        </w:rPr>
        <w:t xml:space="preserve"> ha expresado que </w:t>
      </w:r>
      <w:r w:rsidR="00794318" w:rsidRPr="00491517">
        <w:rPr>
          <w:rFonts w:ascii="Cambria" w:hAnsi="Cambria"/>
          <w:color w:val="000000" w:themeColor="text1"/>
          <w:sz w:val="20"/>
          <w:szCs w:val="20"/>
          <w:lang w:val="es-CO"/>
        </w:rPr>
        <w:t xml:space="preserve">el </w:t>
      </w:r>
      <w:r w:rsidR="00D80A03" w:rsidRPr="00491517">
        <w:rPr>
          <w:rFonts w:ascii="Cambria" w:hAnsi="Cambria"/>
          <w:color w:val="000000" w:themeColor="text1"/>
          <w:sz w:val="20"/>
          <w:szCs w:val="20"/>
          <w:lang w:val="es-ES"/>
        </w:rPr>
        <w:t>MP</w:t>
      </w:r>
      <w:r w:rsidR="00D80A03" w:rsidRPr="00491517">
        <w:rPr>
          <w:rFonts w:ascii="Cambria" w:hAnsi="Cambria"/>
          <w:color w:val="000000" w:themeColor="text1"/>
          <w:sz w:val="20"/>
          <w:szCs w:val="20"/>
          <w:lang w:val="es-CO"/>
        </w:rPr>
        <w:t xml:space="preserve"> </w:t>
      </w:r>
      <w:r w:rsidR="002E7383" w:rsidRPr="00491517">
        <w:rPr>
          <w:rFonts w:ascii="Cambria" w:hAnsi="Cambria"/>
          <w:color w:val="000000" w:themeColor="text1"/>
          <w:sz w:val="20"/>
          <w:szCs w:val="20"/>
          <w:lang w:val="es-CO"/>
        </w:rPr>
        <w:t>y</w:t>
      </w:r>
      <w:r w:rsidR="00794318" w:rsidRPr="00491517">
        <w:rPr>
          <w:rFonts w:ascii="Cambria" w:hAnsi="Cambria"/>
          <w:color w:val="000000" w:themeColor="text1"/>
          <w:sz w:val="20"/>
          <w:szCs w:val="20"/>
          <w:lang w:val="es-CO"/>
        </w:rPr>
        <w:t xml:space="preserve"> el </w:t>
      </w:r>
      <w:r w:rsidR="008A3ADB" w:rsidRPr="00491517">
        <w:rPr>
          <w:rFonts w:ascii="Cambria" w:hAnsi="Cambria" w:cs="Calibri Light"/>
          <w:color w:val="000000" w:themeColor="text1"/>
          <w:sz w:val="20"/>
          <w:szCs w:val="20"/>
          <w:lang w:val="es-CO"/>
        </w:rPr>
        <w:t>PJ</w:t>
      </w:r>
      <w:r w:rsidR="008A3ADB" w:rsidRPr="00491517">
        <w:rPr>
          <w:rFonts w:ascii="Cambria" w:hAnsi="Cambria"/>
          <w:color w:val="000000" w:themeColor="text1"/>
          <w:sz w:val="20"/>
          <w:szCs w:val="20"/>
          <w:lang w:val="es-CO"/>
        </w:rPr>
        <w:t xml:space="preserve"> </w:t>
      </w:r>
      <w:r w:rsidR="002E7383" w:rsidRPr="00491517">
        <w:rPr>
          <w:rFonts w:ascii="Cambria" w:hAnsi="Cambria"/>
          <w:color w:val="000000" w:themeColor="text1"/>
          <w:sz w:val="20"/>
          <w:szCs w:val="20"/>
          <w:lang w:val="es-CO"/>
        </w:rPr>
        <w:t>tienen una carga procesal elevada</w:t>
      </w:r>
      <w:r w:rsidR="0024172C" w:rsidRPr="00491517">
        <w:rPr>
          <w:rFonts w:ascii="Cambria" w:hAnsi="Cambria"/>
          <w:color w:val="000000" w:themeColor="text1"/>
          <w:sz w:val="20"/>
          <w:szCs w:val="20"/>
          <w:lang w:val="es-CO"/>
        </w:rPr>
        <w:t>.</w:t>
      </w:r>
    </w:p>
    <w:p w14:paraId="55F9C9D5" w14:textId="77777777" w:rsidR="007C0552" w:rsidRPr="00491517" w:rsidRDefault="007C0552" w:rsidP="00A36C6E">
      <w:pPr>
        <w:spacing w:after="0" w:line="240" w:lineRule="auto"/>
        <w:ind w:firstLine="720"/>
        <w:jc w:val="both"/>
        <w:rPr>
          <w:rFonts w:ascii="Cambria" w:hAnsi="Cambria"/>
          <w:color w:val="000000" w:themeColor="text1"/>
          <w:sz w:val="20"/>
          <w:szCs w:val="20"/>
          <w:lang w:val="es-CO"/>
        </w:rPr>
      </w:pPr>
    </w:p>
    <w:p w14:paraId="4B78D0F6" w14:textId="573717A9" w:rsidR="00B1106F" w:rsidRPr="00491517" w:rsidRDefault="00B1106F"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Además</w:t>
      </w:r>
      <w:r w:rsidR="00E62E01" w:rsidRPr="00491517">
        <w:rPr>
          <w:rFonts w:ascii="Cambria" w:hAnsi="Cambria"/>
          <w:color w:val="000000" w:themeColor="text1"/>
          <w:sz w:val="20"/>
          <w:szCs w:val="20"/>
          <w:lang w:val="es-CO"/>
        </w:rPr>
        <w:t xml:space="preserve">, </w:t>
      </w:r>
      <w:r w:rsidR="00221EE0" w:rsidRPr="00491517">
        <w:rPr>
          <w:rFonts w:ascii="Cambria" w:hAnsi="Cambria"/>
          <w:color w:val="000000" w:themeColor="text1"/>
          <w:sz w:val="20"/>
          <w:szCs w:val="20"/>
          <w:lang w:val="es-CO"/>
        </w:rPr>
        <w:t xml:space="preserve">la parte peticionaria </w:t>
      </w:r>
      <w:r w:rsidR="00844F69" w:rsidRPr="00491517">
        <w:rPr>
          <w:rFonts w:ascii="Cambria" w:hAnsi="Cambria"/>
          <w:color w:val="000000" w:themeColor="text1"/>
          <w:sz w:val="20"/>
          <w:szCs w:val="20"/>
          <w:lang w:val="es-CO"/>
        </w:rPr>
        <w:t>valoró los esfuerzos para realizar una base preliminar de los casos. Sin embargo, observó</w:t>
      </w:r>
      <w:r w:rsidR="00E07F34" w:rsidRPr="00491517">
        <w:rPr>
          <w:rFonts w:ascii="Cambria" w:hAnsi="Cambria"/>
          <w:color w:val="000000" w:themeColor="text1"/>
          <w:sz w:val="20"/>
          <w:szCs w:val="20"/>
          <w:lang w:val="es-CO"/>
        </w:rPr>
        <w:t xml:space="preserve"> que, </w:t>
      </w:r>
      <w:r w:rsidR="00844F69" w:rsidRPr="00491517">
        <w:rPr>
          <w:rFonts w:ascii="Cambria" w:hAnsi="Cambria"/>
          <w:color w:val="000000" w:themeColor="text1"/>
          <w:sz w:val="20"/>
          <w:szCs w:val="20"/>
          <w:lang w:val="es-CO"/>
        </w:rPr>
        <w:t>según</w:t>
      </w:r>
      <w:r w:rsidR="00E07F34" w:rsidRPr="00491517">
        <w:rPr>
          <w:rFonts w:ascii="Cambria" w:hAnsi="Cambria"/>
          <w:color w:val="000000" w:themeColor="text1"/>
          <w:sz w:val="20"/>
          <w:szCs w:val="20"/>
          <w:lang w:val="es-CO"/>
        </w:rPr>
        <w:t xml:space="preserve"> lo reportado por el Estado, hay información inconsistente </w:t>
      </w:r>
      <w:r w:rsidR="00844F69" w:rsidRPr="00491517">
        <w:rPr>
          <w:rFonts w:ascii="Cambria" w:hAnsi="Cambria"/>
          <w:color w:val="000000" w:themeColor="text1"/>
          <w:sz w:val="20"/>
          <w:szCs w:val="20"/>
          <w:lang w:val="es-CO"/>
        </w:rPr>
        <w:t>sobre</w:t>
      </w:r>
      <w:r w:rsidR="00481FF3" w:rsidRPr="00491517">
        <w:rPr>
          <w:rFonts w:ascii="Cambria" w:hAnsi="Cambria"/>
          <w:color w:val="000000" w:themeColor="text1"/>
          <w:sz w:val="20"/>
          <w:szCs w:val="20"/>
          <w:lang w:val="es-CO"/>
        </w:rPr>
        <w:t xml:space="preserve"> el número de</w:t>
      </w:r>
      <w:r w:rsidR="00E07F34" w:rsidRPr="00491517">
        <w:rPr>
          <w:rFonts w:ascii="Cambria" w:hAnsi="Cambria"/>
          <w:color w:val="000000" w:themeColor="text1"/>
          <w:sz w:val="20"/>
          <w:szCs w:val="20"/>
          <w:lang w:val="es-CO"/>
        </w:rPr>
        <w:t xml:space="preserve"> </w:t>
      </w:r>
      <w:r w:rsidR="00844F69" w:rsidRPr="00491517">
        <w:rPr>
          <w:rFonts w:ascii="Cambria" w:hAnsi="Cambria"/>
          <w:color w:val="000000" w:themeColor="text1"/>
          <w:sz w:val="20"/>
          <w:szCs w:val="20"/>
          <w:lang w:val="es-CO"/>
        </w:rPr>
        <w:t>las investigaciones y procesos</w:t>
      </w:r>
      <w:r w:rsidR="00E07F34" w:rsidRPr="00491517">
        <w:rPr>
          <w:rFonts w:ascii="Cambria" w:hAnsi="Cambria"/>
          <w:color w:val="000000" w:themeColor="text1"/>
          <w:sz w:val="20"/>
          <w:szCs w:val="20"/>
          <w:lang w:val="es-CO"/>
        </w:rPr>
        <w:t xml:space="preserve"> por lo que considera esencial unifi</w:t>
      </w:r>
      <w:r w:rsidR="00844F69" w:rsidRPr="00491517">
        <w:rPr>
          <w:rFonts w:ascii="Cambria" w:hAnsi="Cambria"/>
          <w:color w:val="000000" w:themeColor="text1"/>
          <w:sz w:val="20"/>
          <w:szCs w:val="20"/>
          <w:lang w:val="es-CO"/>
        </w:rPr>
        <w:t>car</w:t>
      </w:r>
      <w:r w:rsidR="00E07F34" w:rsidRPr="00491517">
        <w:rPr>
          <w:rFonts w:ascii="Cambria" w:hAnsi="Cambria"/>
          <w:color w:val="000000" w:themeColor="text1"/>
          <w:sz w:val="20"/>
          <w:szCs w:val="20"/>
          <w:lang w:val="es-CO"/>
        </w:rPr>
        <w:t xml:space="preserve"> los</w:t>
      </w:r>
      <w:r w:rsidR="00844F69" w:rsidRPr="00491517">
        <w:rPr>
          <w:rFonts w:ascii="Cambria" w:hAnsi="Cambria"/>
          <w:color w:val="000000" w:themeColor="text1"/>
          <w:sz w:val="20"/>
          <w:szCs w:val="20"/>
          <w:lang w:val="es-CO"/>
        </w:rPr>
        <w:t xml:space="preserve"> datos de los</w:t>
      </w:r>
      <w:r w:rsidR="00E07F34" w:rsidRPr="00491517">
        <w:rPr>
          <w:rFonts w:ascii="Cambria" w:hAnsi="Cambria"/>
          <w:color w:val="000000" w:themeColor="text1"/>
          <w:sz w:val="20"/>
          <w:szCs w:val="20"/>
          <w:lang w:val="es-CO"/>
        </w:rPr>
        <w:t xml:space="preserve"> casos y disgreg</w:t>
      </w:r>
      <w:r w:rsidR="00844F69" w:rsidRPr="00491517">
        <w:rPr>
          <w:rFonts w:ascii="Cambria" w:hAnsi="Cambria"/>
          <w:color w:val="000000" w:themeColor="text1"/>
          <w:sz w:val="20"/>
          <w:szCs w:val="20"/>
          <w:lang w:val="es-CO"/>
        </w:rPr>
        <w:t>ar</w:t>
      </w:r>
      <w:r w:rsidR="00E07F34" w:rsidRPr="00491517">
        <w:rPr>
          <w:rFonts w:ascii="Cambria" w:hAnsi="Cambria"/>
          <w:color w:val="000000" w:themeColor="text1"/>
          <w:sz w:val="20"/>
          <w:szCs w:val="20"/>
          <w:lang w:val="es-CO"/>
        </w:rPr>
        <w:t xml:space="preserve"> las víctimas respecto de cada uno </w:t>
      </w:r>
      <w:r w:rsidR="00844F69" w:rsidRPr="00491517">
        <w:rPr>
          <w:rFonts w:ascii="Cambria" w:hAnsi="Cambria"/>
          <w:color w:val="000000" w:themeColor="text1"/>
          <w:sz w:val="20"/>
          <w:szCs w:val="20"/>
          <w:lang w:val="es-CO"/>
        </w:rPr>
        <w:t>y</w:t>
      </w:r>
      <w:r w:rsidR="00E07F34" w:rsidRPr="00491517">
        <w:rPr>
          <w:rFonts w:ascii="Cambria" w:hAnsi="Cambria"/>
          <w:color w:val="000000" w:themeColor="text1"/>
          <w:sz w:val="20"/>
          <w:szCs w:val="20"/>
          <w:lang w:val="es-CO"/>
        </w:rPr>
        <w:t xml:space="preserve"> las respectivas etapas procesales. </w:t>
      </w:r>
      <w:r w:rsidR="009B2B04" w:rsidRPr="00491517">
        <w:rPr>
          <w:rFonts w:ascii="Cambria" w:hAnsi="Cambria"/>
          <w:color w:val="000000" w:themeColor="text1"/>
          <w:sz w:val="20"/>
          <w:szCs w:val="20"/>
          <w:lang w:val="es-CO"/>
        </w:rPr>
        <w:t xml:space="preserve">Por ejemplo, notó que, aunque el informe del Estado señala que 52 casos tienen archivo definitivo, al revisar el estado de este número, realmente 27 registran archivo definitivo; 2, archivo consentido, y 8 </w:t>
      </w:r>
      <w:proofErr w:type="gramStart"/>
      <w:r w:rsidR="009B2B04" w:rsidRPr="00491517">
        <w:rPr>
          <w:rFonts w:ascii="Cambria" w:hAnsi="Cambria"/>
          <w:color w:val="000000" w:themeColor="text1"/>
          <w:sz w:val="20"/>
          <w:szCs w:val="20"/>
          <w:lang w:val="es-CO"/>
        </w:rPr>
        <w:t>tiene</w:t>
      </w:r>
      <w:r w:rsidR="00A113F8" w:rsidRPr="00491517">
        <w:rPr>
          <w:rFonts w:ascii="Cambria" w:hAnsi="Cambria"/>
          <w:color w:val="000000" w:themeColor="text1"/>
          <w:sz w:val="20"/>
          <w:szCs w:val="20"/>
          <w:lang w:val="es-CO"/>
        </w:rPr>
        <w:t xml:space="preserve">n </w:t>
      </w:r>
      <w:r w:rsidR="009B2B04" w:rsidRPr="00491517">
        <w:rPr>
          <w:rFonts w:ascii="Cambria" w:hAnsi="Cambria"/>
          <w:color w:val="000000" w:themeColor="text1"/>
          <w:sz w:val="20"/>
          <w:szCs w:val="20"/>
          <w:lang w:val="es-CO"/>
        </w:rPr>
        <w:t xml:space="preserve"> archivo</w:t>
      </w:r>
      <w:proofErr w:type="gramEnd"/>
      <w:r w:rsidR="009B2B04" w:rsidRPr="00491517">
        <w:rPr>
          <w:rFonts w:ascii="Cambria" w:hAnsi="Cambria"/>
          <w:color w:val="000000" w:themeColor="text1"/>
          <w:sz w:val="20"/>
          <w:szCs w:val="20"/>
          <w:lang w:val="es-CO"/>
        </w:rPr>
        <w:t xml:space="preserve"> provisional. </w:t>
      </w:r>
      <w:r w:rsidR="00481FF3" w:rsidRPr="00491517">
        <w:rPr>
          <w:rFonts w:ascii="Cambria" w:hAnsi="Cambria"/>
          <w:color w:val="000000" w:themeColor="text1"/>
          <w:sz w:val="20"/>
          <w:szCs w:val="20"/>
          <w:lang w:val="es-CO"/>
        </w:rPr>
        <w:t>Además, de manera puntual</w:t>
      </w:r>
      <w:r w:rsidR="009B2B04" w:rsidRPr="00491517">
        <w:rPr>
          <w:rFonts w:ascii="Cambria" w:hAnsi="Cambria"/>
          <w:color w:val="000000" w:themeColor="text1"/>
          <w:sz w:val="20"/>
          <w:szCs w:val="20"/>
          <w:lang w:val="es-CO"/>
        </w:rPr>
        <w:t>, la parte peticionaria solicitó</w:t>
      </w:r>
      <w:r w:rsidR="00221EE0" w:rsidRPr="00491517">
        <w:rPr>
          <w:rFonts w:ascii="Cambria" w:hAnsi="Cambria"/>
          <w:color w:val="000000" w:themeColor="text1"/>
          <w:sz w:val="20"/>
          <w:szCs w:val="20"/>
          <w:lang w:val="es-CO"/>
        </w:rPr>
        <w:t xml:space="preserve"> aclarar el estado del caso de Edith </w:t>
      </w:r>
      <w:r w:rsidR="00221EE0" w:rsidRPr="00491517">
        <w:rPr>
          <w:rFonts w:ascii="Cambria" w:hAnsi="Cambria"/>
          <w:color w:val="000000" w:themeColor="text1"/>
          <w:sz w:val="20"/>
          <w:szCs w:val="20"/>
          <w:lang w:val="es-CO"/>
        </w:rPr>
        <w:lastRenderedPageBreak/>
        <w:t xml:space="preserve">Galván Montero considerando que, aunque observan que el Estado indicó que está en etapa de ejecución, tenían conocimiento de que había sido archivado en investigación preliminar sin que hubiese sido conocido por el </w:t>
      </w:r>
      <w:r w:rsidR="008A3ADB" w:rsidRPr="00491517">
        <w:rPr>
          <w:rFonts w:ascii="Cambria" w:hAnsi="Cambria" w:cs="Calibri Light"/>
          <w:color w:val="000000" w:themeColor="text1"/>
          <w:sz w:val="20"/>
          <w:szCs w:val="20"/>
          <w:lang w:val="es-CO"/>
        </w:rPr>
        <w:t>PJ</w:t>
      </w:r>
      <w:r w:rsidR="00E07F34" w:rsidRPr="00491517">
        <w:rPr>
          <w:rFonts w:ascii="Cambria" w:hAnsi="Cambria"/>
          <w:color w:val="000000" w:themeColor="text1"/>
          <w:sz w:val="20"/>
          <w:szCs w:val="20"/>
          <w:lang w:val="es-CO"/>
        </w:rPr>
        <w:t xml:space="preserve">. </w:t>
      </w:r>
    </w:p>
    <w:p w14:paraId="01D06163" w14:textId="77777777" w:rsidR="00B1106F" w:rsidRPr="00491517" w:rsidRDefault="00B1106F" w:rsidP="00B1106F">
      <w:pPr>
        <w:pStyle w:val="ListParagraph"/>
        <w:spacing w:after="0" w:line="240" w:lineRule="auto"/>
        <w:ind w:left="357"/>
        <w:jc w:val="both"/>
        <w:rPr>
          <w:rFonts w:ascii="Cambria" w:hAnsi="Cambria" w:cs="Calibri Light"/>
          <w:color w:val="000000" w:themeColor="text1"/>
          <w:sz w:val="20"/>
          <w:szCs w:val="20"/>
          <w:lang w:val="es-CO"/>
        </w:rPr>
      </w:pPr>
    </w:p>
    <w:p w14:paraId="1FCB3CFA" w14:textId="53CB3C9B" w:rsidR="00823AB3" w:rsidRPr="00491517" w:rsidRDefault="00B1106F"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olor w:val="000000" w:themeColor="text1"/>
          <w:sz w:val="20"/>
          <w:szCs w:val="20"/>
          <w:lang w:val="es-CO"/>
        </w:rPr>
        <w:t>Finalmente, la parte peticionaria resaltó</w:t>
      </w:r>
      <w:r w:rsidR="00E07F34" w:rsidRPr="00491517">
        <w:rPr>
          <w:rFonts w:ascii="Cambria" w:hAnsi="Cambria"/>
          <w:color w:val="000000" w:themeColor="text1"/>
          <w:sz w:val="20"/>
          <w:szCs w:val="20"/>
          <w:lang w:val="es-CO"/>
        </w:rPr>
        <w:t xml:space="preserve"> la importancia de que las investigaciones consideren el contexto y los patrones de ocurrencia de los hechos</w:t>
      </w:r>
      <w:r w:rsidR="002F77FB" w:rsidRPr="00491517">
        <w:rPr>
          <w:rFonts w:ascii="Cambria" w:hAnsi="Cambria"/>
          <w:color w:val="000000" w:themeColor="text1"/>
          <w:sz w:val="20"/>
          <w:szCs w:val="20"/>
          <w:lang w:val="es-CO"/>
        </w:rPr>
        <w:t xml:space="preserve"> </w:t>
      </w:r>
      <w:r w:rsidR="00844F69" w:rsidRPr="00491517">
        <w:rPr>
          <w:rFonts w:ascii="Cambria" w:hAnsi="Cambria"/>
          <w:color w:val="000000" w:themeColor="text1"/>
          <w:sz w:val="20"/>
          <w:szCs w:val="20"/>
          <w:lang w:val="es-CO"/>
        </w:rPr>
        <w:t>para</w:t>
      </w:r>
      <w:r w:rsidR="002F77FB" w:rsidRPr="00491517">
        <w:rPr>
          <w:rFonts w:ascii="Cambria" w:hAnsi="Cambria"/>
          <w:color w:val="000000" w:themeColor="text1"/>
          <w:sz w:val="20"/>
          <w:szCs w:val="20"/>
          <w:lang w:val="es-CO"/>
        </w:rPr>
        <w:t xml:space="preserve"> que su desarrollo sea consistente con el universo de casos. E</w:t>
      </w:r>
      <w:r w:rsidR="00844F69" w:rsidRPr="00491517">
        <w:rPr>
          <w:rFonts w:ascii="Cambria" w:hAnsi="Cambria"/>
          <w:color w:val="000000" w:themeColor="text1"/>
          <w:sz w:val="20"/>
          <w:szCs w:val="20"/>
          <w:lang w:val="es-CO"/>
        </w:rPr>
        <w:t>n su criterio, e</w:t>
      </w:r>
      <w:r w:rsidR="002F77FB" w:rsidRPr="00491517">
        <w:rPr>
          <w:rFonts w:ascii="Cambria" w:hAnsi="Cambria"/>
          <w:color w:val="000000" w:themeColor="text1"/>
          <w:sz w:val="20"/>
          <w:szCs w:val="20"/>
          <w:lang w:val="es-CO"/>
        </w:rPr>
        <w:t xml:space="preserve">ste abordaje permitirá adoptar investigaciones que consideren que la mayoría de los hechos investigados corresponden a desapariciones forzadas por </w:t>
      </w:r>
      <w:r w:rsidR="00844F69" w:rsidRPr="00491517">
        <w:rPr>
          <w:rFonts w:ascii="Cambria" w:hAnsi="Cambria"/>
          <w:color w:val="000000" w:themeColor="text1"/>
          <w:sz w:val="20"/>
          <w:szCs w:val="20"/>
          <w:lang w:val="es-CO"/>
        </w:rPr>
        <w:t>parte d</w:t>
      </w:r>
      <w:r w:rsidR="002F77FB" w:rsidRPr="00491517">
        <w:rPr>
          <w:rFonts w:ascii="Cambria" w:hAnsi="Cambria"/>
          <w:color w:val="000000" w:themeColor="text1"/>
          <w:sz w:val="20"/>
          <w:szCs w:val="20"/>
          <w:lang w:val="es-CO"/>
        </w:rPr>
        <w:t>el Ejército Peruano.</w:t>
      </w:r>
      <w:r w:rsidR="00823AB3" w:rsidRPr="00491517">
        <w:rPr>
          <w:rFonts w:ascii="Cambria" w:hAnsi="Cambria"/>
          <w:color w:val="000000" w:themeColor="text1"/>
          <w:sz w:val="20"/>
          <w:szCs w:val="20"/>
          <w:lang w:val="es-CO"/>
        </w:rPr>
        <w:t xml:space="preserve"> Asimismo, sugirieron </w:t>
      </w:r>
      <w:r w:rsidR="007D0FAB" w:rsidRPr="00491517">
        <w:rPr>
          <w:rFonts w:ascii="Cambria" w:hAnsi="Cambria"/>
          <w:color w:val="000000" w:themeColor="text1"/>
          <w:sz w:val="20"/>
          <w:szCs w:val="20"/>
          <w:lang w:val="es-CO"/>
        </w:rPr>
        <w:t>determinar</w:t>
      </w:r>
      <w:r w:rsidR="00823AB3" w:rsidRPr="00491517">
        <w:rPr>
          <w:rFonts w:ascii="Cambria" w:hAnsi="Cambria"/>
          <w:color w:val="000000" w:themeColor="text1"/>
          <w:sz w:val="20"/>
          <w:szCs w:val="20"/>
          <w:lang w:val="es-CO"/>
        </w:rPr>
        <w:t xml:space="preserve"> casos patrones que permitan una adecuada y eficiente investigación con el fin de implementar una estrategia práctica que permita reducir </w:t>
      </w:r>
      <w:r w:rsidR="007D0FAB" w:rsidRPr="00491517">
        <w:rPr>
          <w:rFonts w:ascii="Cambria" w:hAnsi="Cambria"/>
          <w:color w:val="000000" w:themeColor="text1"/>
          <w:sz w:val="20"/>
          <w:szCs w:val="20"/>
          <w:lang w:val="es-CO"/>
        </w:rPr>
        <w:t xml:space="preserve">las </w:t>
      </w:r>
      <w:r w:rsidR="00E157CB" w:rsidRPr="00491517">
        <w:rPr>
          <w:rFonts w:ascii="Cambria" w:hAnsi="Cambria"/>
          <w:color w:val="000000" w:themeColor="text1"/>
          <w:sz w:val="20"/>
          <w:szCs w:val="20"/>
          <w:lang w:val="es-CO"/>
        </w:rPr>
        <w:t>innumerables investigaciones individuales.</w:t>
      </w:r>
    </w:p>
    <w:p w14:paraId="7F3BE1E2" w14:textId="77777777" w:rsidR="00B1106F" w:rsidRPr="00491517" w:rsidRDefault="00B1106F" w:rsidP="00660515">
      <w:pPr>
        <w:spacing w:after="0" w:line="240" w:lineRule="auto"/>
        <w:jc w:val="both"/>
        <w:rPr>
          <w:rFonts w:ascii="Cambria" w:hAnsi="Cambria"/>
          <w:b/>
          <w:bCs/>
          <w:color w:val="000000" w:themeColor="text1"/>
          <w:sz w:val="20"/>
          <w:szCs w:val="20"/>
          <w:lang w:val="es-CO"/>
        </w:rPr>
      </w:pPr>
    </w:p>
    <w:p w14:paraId="3731A417" w14:textId="32A279D7" w:rsidR="009C1BFE" w:rsidRPr="00491517" w:rsidRDefault="00823AB3"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b/>
          <w:bCs/>
          <w:color w:val="000000" w:themeColor="text1"/>
          <w:sz w:val="20"/>
          <w:szCs w:val="20"/>
          <w:lang w:val="es-CO"/>
        </w:rPr>
        <w:t xml:space="preserve">Consideraciones de la CIDH. </w:t>
      </w:r>
      <w:r w:rsidR="00833F46" w:rsidRPr="00491517">
        <w:rPr>
          <w:rFonts w:ascii="Cambria" w:hAnsi="Cambria"/>
          <w:color w:val="000000" w:themeColor="text1"/>
          <w:sz w:val="20"/>
          <w:szCs w:val="20"/>
          <w:lang w:val="es-CO"/>
        </w:rPr>
        <w:t>L</w:t>
      </w:r>
      <w:r w:rsidR="002F77FB" w:rsidRPr="00491517">
        <w:rPr>
          <w:rFonts w:ascii="Cambria" w:hAnsi="Cambria"/>
          <w:color w:val="000000" w:themeColor="text1"/>
          <w:sz w:val="20"/>
          <w:szCs w:val="20"/>
          <w:lang w:val="es-CO"/>
        </w:rPr>
        <w:t>a Comisión observa que</w:t>
      </w:r>
      <w:r w:rsidR="00696B0B" w:rsidRPr="00491517">
        <w:rPr>
          <w:rFonts w:ascii="Cambria" w:hAnsi="Cambria"/>
          <w:color w:val="000000" w:themeColor="text1"/>
          <w:sz w:val="20"/>
          <w:szCs w:val="20"/>
          <w:lang w:val="es-CO"/>
        </w:rPr>
        <w:t>, como medida de cumplimiento de este eje temático,</w:t>
      </w:r>
      <w:r w:rsidR="002F77FB" w:rsidRPr="00491517">
        <w:rPr>
          <w:rFonts w:ascii="Cambria" w:hAnsi="Cambria"/>
          <w:color w:val="000000" w:themeColor="text1"/>
          <w:sz w:val="20"/>
          <w:szCs w:val="20"/>
          <w:lang w:val="es-CO"/>
        </w:rPr>
        <w:t xml:space="preserve"> el Estado ha </w:t>
      </w:r>
      <w:r w:rsidR="00F9648A" w:rsidRPr="00491517">
        <w:rPr>
          <w:rFonts w:ascii="Cambria" w:hAnsi="Cambria"/>
          <w:color w:val="000000" w:themeColor="text1"/>
          <w:sz w:val="20"/>
          <w:szCs w:val="20"/>
          <w:lang w:val="es-CO"/>
        </w:rPr>
        <w:t>desarrollado</w:t>
      </w:r>
      <w:r w:rsidR="00696B0B" w:rsidRPr="00491517">
        <w:rPr>
          <w:rFonts w:ascii="Cambria" w:hAnsi="Cambria"/>
          <w:color w:val="000000" w:themeColor="text1"/>
          <w:sz w:val="20"/>
          <w:szCs w:val="20"/>
          <w:lang w:val="es-CO"/>
        </w:rPr>
        <w:t xml:space="preserve"> </w:t>
      </w:r>
      <w:r w:rsidR="00696B0B" w:rsidRPr="00491517">
        <w:rPr>
          <w:rFonts w:ascii="Cambria" w:hAnsi="Cambria"/>
          <w:b/>
          <w:bCs/>
          <w:color w:val="000000" w:themeColor="text1"/>
          <w:sz w:val="20"/>
          <w:szCs w:val="20"/>
          <w:lang w:val="es-CO"/>
        </w:rPr>
        <w:t xml:space="preserve">investigaciones a cargo del Ministerio Público y procesos </w:t>
      </w:r>
      <w:r w:rsidR="00F9648A" w:rsidRPr="00491517">
        <w:rPr>
          <w:rFonts w:ascii="Cambria" w:hAnsi="Cambria"/>
          <w:b/>
          <w:bCs/>
          <w:color w:val="000000" w:themeColor="text1"/>
          <w:sz w:val="20"/>
          <w:szCs w:val="20"/>
          <w:lang w:val="es-CO"/>
        </w:rPr>
        <w:t xml:space="preserve">a </w:t>
      </w:r>
      <w:proofErr w:type="gramStart"/>
      <w:r w:rsidR="00F9648A" w:rsidRPr="00491517">
        <w:rPr>
          <w:rFonts w:ascii="Cambria" w:hAnsi="Cambria"/>
          <w:b/>
          <w:bCs/>
          <w:color w:val="000000" w:themeColor="text1"/>
          <w:sz w:val="20"/>
          <w:szCs w:val="20"/>
          <w:lang w:val="es-CO"/>
        </w:rPr>
        <w:t xml:space="preserve">cargo </w:t>
      </w:r>
      <w:r w:rsidR="00696B0B" w:rsidRPr="00491517">
        <w:rPr>
          <w:rFonts w:ascii="Cambria" w:hAnsi="Cambria"/>
          <w:b/>
          <w:bCs/>
          <w:color w:val="000000" w:themeColor="text1"/>
          <w:sz w:val="20"/>
          <w:szCs w:val="20"/>
          <w:lang w:val="es-CO"/>
        </w:rPr>
        <w:t xml:space="preserve"> </w:t>
      </w:r>
      <w:r w:rsidR="00F9648A" w:rsidRPr="00491517">
        <w:rPr>
          <w:rFonts w:ascii="Cambria" w:hAnsi="Cambria"/>
          <w:b/>
          <w:bCs/>
          <w:color w:val="000000" w:themeColor="text1"/>
          <w:sz w:val="20"/>
          <w:szCs w:val="20"/>
          <w:lang w:val="es-CO"/>
        </w:rPr>
        <w:t>d</w:t>
      </w:r>
      <w:r w:rsidR="00696B0B" w:rsidRPr="00491517">
        <w:rPr>
          <w:rFonts w:ascii="Cambria" w:hAnsi="Cambria"/>
          <w:b/>
          <w:bCs/>
          <w:color w:val="000000" w:themeColor="text1"/>
          <w:sz w:val="20"/>
          <w:szCs w:val="20"/>
          <w:lang w:val="es-CO"/>
        </w:rPr>
        <w:t>el</w:t>
      </w:r>
      <w:proofErr w:type="gramEnd"/>
      <w:r w:rsidR="00696B0B" w:rsidRPr="00491517">
        <w:rPr>
          <w:rFonts w:ascii="Cambria" w:hAnsi="Cambria"/>
          <w:b/>
          <w:bCs/>
          <w:color w:val="000000" w:themeColor="text1"/>
          <w:sz w:val="20"/>
          <w:szCs w:val="20"/>
          <w:lang w:val="es-CO"/>
        </w:rPr>
        <w:t xml:space="preserve"> Poder Judicial</w:t>
      </w:r>
      <w:r w:rsidR="009E29CC" w:rsidRPr="00491517">
        <w:rPr>
          <w:rFonts w:ascii="Cambria" w:hAnsi="Cambria"/>
          <w:b/>
          <w:bCs/>
          <w:color w:val="000000" w:themeColor="text1"/>
          <w:sz w:val="20"/>
          <w:szCs w:val="20"/>
          <w:lang w:val="es-CO"/>
        </w:rPr>
        <w:t xml:space="preserve"> con el fin de esclarecer los hechos y sancionar a las personas responsables</w:t>
      </w:r>
      <w:r w:rsidR="009C1BFE" w:rsidRPr="00491517">
        <w:rPr>
          <w:rFonts w:ascii="Cambria" w:hAnsi="Cambria"/>
          <w:color w:val="000000" w:themeColor="text1"/>
          <w:sz w:val="20"/>
          <w:szCs w:val="20"/>
          <w:lang w:val="es-ES"/>
        </w:rPr>
        <w:t xml:space="preserve">. </w:t>
      </w:r>
      <w:r w:rsidR="00696B0B" w:rsidRPr="00491517">
        <w:rPr>
          <w:rFonts w:ascii="Cambria" w:hAnsi="Cambria"/>
          <w:color w:val="000000" w:themeColor="text1"/>
          <w:sz w:val="20"/>
          <w:szCs w:val="20"/>
          <w:lang w:val="es-ES"/>
        </w:rPr>
        <w:t xml:space="preserve">La CIDH identifica que esta medida de cumplimiento continúa en curso y, considerando el número de casos y el contexto de la perpetración de los hechos investigación, </w:t>
      </w:r>
      <w:r w:rsidR="00F9648A" w:rsidRPr="00491517">
        <w:rPr>
          <w:rFonts w:ascii="Cambria" w:hAnsi="Cambria"/>
          <w:color w:val="000000" w:themeColor="text1"/>
          <w:sz w:val="20"/>
          <w:szCs w:val="20"/>
          <w:lang w:val="es-ES"/>
        </w:rPr>
        <w:t xml:space="preserve">considera que la concreción de esta medida </w:t>
      </w:r>
      <w:r w:rsidR="00696B0B" w:rsidRPr="00A36C6E">
        <w:rPr>
          <w:rFonts w:ascii="Cambria" w:hAnsi="Cambria"/>
          <w:color w:val="000000" w:themeColor="text1"/>
          <w:sz w:val="20"/>
          <w:szCs w:val="20"/>
          <w:lang w:val="es-CO"/>
        </w:rPr>
        <w:t>requiere</w:t>
      </w:r>
      <w:r w:rsidR="00696B0B" w:rsidRPr="00491517">
        <w:rPr>
          <w:rFonts w:ascii="Cambria" w:hAnsi="Cambria"/>
          <w:color w:val="000000" w:themeColor="text1"/>
          <w:sz w:val="20"/>
          <w:szCs w:val="20"/>
          <w:lang w:val="es-ES"/>
        </w:rPr>
        <w:t xml:space="preserve"> acciones articuladas, continuas y programáticas que </w:t>
      </w:r>
      <w:r w:rsidR="00F9648A" w:rsidRPr="00491517">
        <w:rPr>
          <w:rFonts w:ascii="Cambria" w:hAnsi="Cambria"/>
          <w:color w:val="000000" w:themeColor="text1"/>
          <w:sz w:val="20"/>
          <w:szCs w:val="20"/>
          <w:lang w:val="es-ES"/>
        </w:rPr>
        <w:t>logren</w:t>
      </w:r>
      <w:r w:rsidR="00696B0B" w:rsidRPr="00491517">
        <w:rPr>
          <w:rFonts w:ascii="Cambria" w:hAnsi="Cambria"/>
          <w:color w:val="000000" w:themeColor="text1"/>
          <w:sz w:val="20"/>
          <w:szCs w:val="20"/>
          <w:lang w:val="es-ES"/>
        </w:rPr>
        <w:t xml:space="preserve"> resultados progresivos en las investigaciones</w:t>
      </w:r>
      <w:r w:rsidR="00F9648A" w:rsidRPr="00491517">
        <w:rPr>
          <w:rFonts w:ascii="Cambria" w:hAnsi="Cambria"/>
          <w:color w:val="000000" w:themeColor="text1"/>
          <w:sz w:val="20"/>
          <w:szCs w:val="20"/>
          <w:lang w:val="es-ES"/>
        </w:rPr>
        <w:t xml:space="preserve">, </w:t>
      </w:r>
      <w:r w:rsidR="00696B0B" w:rsidRPr="00491517">
        <w:rPr>
          <w:rFonts w:ascii="Cambria" w:hAnsi="Cambria"/>
          <w:color w:val="000000" w:themeColor="text1"/>
          <w:sz w:val="20"/>
          <w:szCs w:val="20"/>
          <w:lang w:val="es-ES"/>
        </w:rPr>
        <w:t>en los procesos penales y en la ejecución de las decisiones judiciales.</w:t>
      </w:r>
    </w:p>
    <w:p w14:paraId="7BB25ED6" w14:textId="77777777" w:rsidR="00660515" w:rsidRPr="00491517" w:rsidRDefault="00660515" w:rsidP="00660515">
      <w:pPr>
        <w:pStyle w:val="ListParagraph"/>
        <w:spacing w:after="0" w:line="240" w:lineRule="auto"/>
        <w:ind w:left="357"/>
        <w:jc w:val="both"/>
        <w:rPr>
          <w:rFonts w:ascii="Cambria" w:hAnsi="Cambria"/>
          <w:color w:val="000000" w:themeColor="text1"/>
          <w:sz w:val="20"/>
          <w:szCs w:val="20"/>
          <w:lang w:val="es-CO"/>
        </w:rPr>
      </w:pPr>
    </w:p>
    <w:p w14:paraId="6F3311EA" w14:textId="4F129386" w:rsidR="00A163C2" w:rsidRPr="00491517" w:rsidRDefault="003F1DA7"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El primer avance que la CIDH identifica</w:t>
      </w:r>
      <w:r w:rsidR="00EF08B2" w:rsidRPr="00491517">
        <w:rPr>
          <w:rFonts w:ascii="Cambria" w:hAnsi="Cambria"/>
          <w:color w:val="000000" w:themeColor="text1"/>
          <w:sz w:val="20"/>
          <w:szCs w:val="20"/>
          <w:lang w:val="es-CO"/>
        </w:rPr>
        <w:t xml:space="preserve"> respecto a</w:t>
      </w:r>
      <w:r w:rsidR="00315437" w:rsidRPr="00491517">
        <w:rPr>
          <w:rFonts w:ascii="Cambria" w:hAnsi="Cambria"/>
          <w:color w:val="000000" w:themeColor="text1"/>
          <w:sz w:val="20"/>
          <w:szCs w:val="20"/>
          <w:lang w:val="es-CO"/>
        </w:rPr>
        <w:t xml:space="preserve"> </w:t>
      </w:r>
      <w:r w:rsidR="00F9648A" w:rsidRPr="00491517">
        <w:rPr>
          <w:rFonts w:ascii="Cambria" w:hAnsi="Cambria"/>
          <w:color w:val="000000" w:themeColor="text1"/>
          <w:sz w:val="20"/>
          <w:szCs w:val="20"/>
          <w:lang w:val="es-CO"/>
        </w:rPr>
        <w:t>esta medida de cumplimiento</w:t>
      </w:r>
      <w:r w:rsidR="009C1BFE" w:rsidRPr="00491517">
        <w:rPr>
          <w:rFonts w:ascii="Cambria" w:hAnsi="Cambria"/>
          <w:color w:val="000000" w:themeColor="text1"/>
          <w:sz w:val="20"/>
          <w:szCs w:val="20"/>
          <w:lang w:val="es-CO"/>
        </w:rPr>
        <w:t xml:space="preserve"> ha consistido en un esfuerzo de </w:t>
      </w:r>
      <w:r w:rsidR="00EF08B2" w:rsidRPr="00491517">
        <w:rPr>
          <w:rFonts w:ascii="Cambria" w:hAnsi="Cambria"/>
          <w:color w:val="000000" w:themeColor="text1"/>
          <w:sz w:val="20"/>
          <w:szCs w:val="20"/>
          <w:lang w:val="es-CO"/>
        </w:rPr>
        <w:t>sistematizar</w:t>
      </w:r>
      <w:r w:rsidR="009C1BFE" w:rsidRPr="00491517">
        <w:rPr>
          <w:rFonts w:ascii="Cambria" w:hAnsi="Cambria"/>
          <w:color w:val="000000" w:themeColor="text1"/>
          <w:sz w:val="20"/>
          <w:szCs w:val="20"/>
          <w:lang w:val="es-CO"/>
        </w:rPr>
        <w:t xml:space="preserve"> las investigaciones y procesos </w:t>
      </w:r>
      <w:r w:rsidR="00F9648A" w:rsidRPr="00491517">
        <w:rPr>
          <w:rFonts w:ascii="Cambria" w:hAnsi="Cambria"/>
          <w:color w:val="000000" w:themeColor="text1"/>
          <w:sz w:val="20"/>
          <w:szCs w:val="20"/>
          <w:lang w:val="es-CO"/>
        </w:rPr>
        <w:t>por parte</w:t>
      </w:r>
      <w:r w:rsidR="009C1BFE" w:rsidRPr="00491517">
        <w:rPr>
          <w:rFonts w:ascii="Cambria" w:hAnsi="Cambria"/>
          <w:color w:val="000000" w:themeColor="text1"/>
          <w:sz w:val="20"/>
          <w:szCs w:val="20"/>
          <w:lang w:val="es-CO"/>
        </w:rPr>
        <w:t xml:space="preserve"> </w:t>
      </w:r>
      <w:r w:rsidR="00F9648A" w:rsidRPr="00491517">
        <w:rPr>
          <w:rFonts w:ascii="Cambria" w:hAnsi="Cambria"/>
          <w:color w:val="000000" w:themeColor="text1"/>
          <w:sz w:val="20"/>
          <w:szCs w:val="20"/>
          <w:lang w:val="es-CO"/>
        </w:rPr>
        <w:t>d</w:t>
      </w:r>
      <w:r w:rsidR="009C1BFE" w:rsidRPr="00491517">
        <w:rPr>
          <w:rFonts w:ascii="Cambria" w:hAnsi="Cambria"/>
          <w:color w:val="000000" w:themeColor="text1"/>
          <w:sz w:val="20"/>
          <w:szCs w:val="20"/>
          <w:lang w:val="es-CO"/>
        </w:rPr>
        <w:t xml:space="preserve">el </w:t>
      </w:r>
      <w:r w:rsidR="00F9648A" w:rsidRPr="00491517">
        <w:rPr>
          <w:rFonts w:ascii="Cambria" w:hAnsi="Cambria"/>
          <w:color w:val="000000" w:themeColor="text1"/>
          <w:sz w:val="20"/>
          <w:szCs w:val="20"/>
          <w:lang w:val="es-CO"/>
        </w:rPr>
        <w:t>Ministerio Público</w:t>
      </w:r>
      <w:r w:rsidR="009C1BFE" w:rsidRPr="00491517">
        <w:rPr>
          <w:rFonts w:ascii="Cambria" w:hAnsi="Cambria"/>
          <w:color w:val="000000" w:themeColor="text1"/>
          <w:sz w:val="20"/>
          <w:szCs w:val="20"/>
          <w:lang w:val="es-CO"/>
        </w:rPr>
        <w:t xml:space="preserve"> y </w:t>
      </w:r>
      <w:r w:rsidR="008A3ADB" w:rsidRPr="00491517">
        <w:rPr>
          <w:rFonts w:ascii="Cambria" w:hAnsi="Cambria" w:cs="Calibri Light"/>
          <w:color w:val="000000" w:themeColor="text1"/>
          <w:sz w:val="20"/>
          <w:szCs w:val="20"/>
          <w:lang w:val="es-CO"/>
        </w:rPr>
        <w:t>P</w:t>
      </w:r>
      <w:r w:rsidR="00F9648A" w:rsidRPr="00491517">
        <w:rPr>
          <w:rFonts w:ascii="Cambria" w:hAnsi="Cambria" w:cs="Calibri Light"/>
          <w:color w:val="000000" w:themeColor="text1"/>
          <w:sz w:val="20"/>
          <w:szCs w:val="20"/>
          <w:lang w:val="es-CO"/>
        </w:rPr>
        <w:t xml:space="preserve">oder </w:t>
      </w:r>
      <w:r w:rsidR="008A3ADB" w:rsidRPr="00491517">
        <w:rPr>
          <w:rFonts w:ascii="Cambria" w:hAnsi="Cambria" w:cs="Calibri Light"/>
          <w:color w:val="000000" w:themeColor="text1"/>
          <w:sz w:val="20"/>
          <w:szCs w:val="20"/>
          <w:lang w:val="es-CO"/>
        </w:rPr>
        <w:t>J</w:t>
      </w:r>
      <w:r w:rsidR="00F9648A" w:rsidRPr="00491517">
        <w:rPr>
          <w:rFonts w:ascii="Cambria" w:hAnsi="Cambria" w:cs="Calibri Light"/>
          <w:color w:val="000000" w:themeColor="text1"/>
          <w:sz w:val="20"/>
          <w:szCs w:val="20"/>
          <w:lang w:val="es-CO"/>
        </w:rPr>
        <w:t>udicial</w:t>
      </w:r>
      <w:r w:rsidR="009C1BFE" w:rsidRPr="00491517">
        <w:rPr>
          <w:rFonts w:ascii="Cambria" w:hAnsi="Cambria"/>
          <w:color w:val="000000" w:themeColor="text1"/>
          <w:sz w:val="20"/>
          <w:szCs w:val="20"/>
          <w:lang w:val="es-CO"/>
        </w:rPr>
        <w:t xml:space="preserve">, respectivamente. Al respecto, la Comisión </w:t>
      </w:r>
      <w:r w:rsidR="00A729CB" w:rsidRPr="00491517">
        <w:rPr>
          <w:rFonts w:ascii="Cambria" w:hAnsi="Cambria"/>
          <w:color w:val="000000" w:themeColor="text1"/>
          <w:sz w:val="20"/>
          <w:szCs w:val="20"/>
          <w:lang w:val="es-CO"/>
        </w:rPr>
        <w:t>valora</w:t>
      </w:r>
      <w:r w:rsidR="009C1BFE" w:rsidRPr="00491517">
        <w:rPr>
          <w:rFonts w:ascii="Cambria" w:hAnsi="Cambria"/>
          <w:color w:val="000000" w:themeColor="text1"/>
          <w:sz w:val="20"/>
          <w:szCs w:val="20"/>
          <w:lang w:val="es-CO"/>
        </w:rPr>
        <w:t xml:space="preserve"> que </w:t>
      </w:r>
      <w:r w:rsidR="00315437" w:rsidRPr="00491517">
        <w:rPr>
          <w:rFonts w:ascii="Cambria" w:hAnsi="Cambria"/>
          <w:color w:val="000000" w:themeColor="text1"/>
          <w:sz w:val="20"/>
          <w:szCs w:val="20"/>
          <w:lang w:val="es-CO"/>
        </w:rPr>
        <w:t>una</w:t>
      </w:r>
      <w:r w:rsidR="009C1BFE" w:rsidRPr="00491517">
        <w:rPr>
          <w:rFonts w:ascii="Cambria" w:hAnsi="Cambria"/>
          <w:color w:val="000000" w:themeColor="text1"/>
          <w:sz w:val="20"/>
          <w:szCs w:val="20"/>
          <w:lang w:val="es-CO"/>
        </w:rPr>
        <w:t xml:space="preserve"> </w:t>
      </w:r>
      <w:r w:rsidR="00315437" w:rsidRPr="00491517">
        <w:rPr>
          <w:rFonts w:ascii="Cambria" w:hAnsi="Cambria"/>
          <w:color w:val="000000" w:themeColor="text1"/>
          <w:sz w:val="20"/>
          <w:szCs w:val="20"/>
          <w:lang w:val="es-CO"/>
        </w:rPr>
        <w:t>acción</w:t>
      </w:r>
      <w:r w:rsidR="009C1BFE" w:rsidRPr="00491517">
        <w:rPr>
          <w:rFonts w:ascii="Cambria" w:hAnsi="Cambria"/>
          <w:color w:val="000000" w:themeColor="text1"/>
          <w:sz w:val="20"/>
          <w:szCs w:val="20"/>
          <w:lang w:val="es-CO"/>
        </w:rPr>
        <w:t xml:space="preserve"> reportada por el Estado para avanzar en </w:t>
      </w:r>
      <w:r w:rsidR="00A729CB" w:rsidRPr="00491517">
        <w:rPr>
          <w:rFonts w:ascii="Cambria" w:hAnsi="Cambria"/>
          <w:color w:val="000000" w:themeColor="text1"/>
          <w:sz w:val="20"/>
          <w:szCs w:val="20"/>
          <w:lang w:val="es-CO"/>
        </w:rPr>
        <w:t>esta sistematización</w:t>
      </w:r>
      <w:r w:rsidR="009C1BFE" w:rsidRPr="00491517">
        <w:rPr>
          <w:rFonts w:ascii="Cambria" w:hAnsi="Cambria"/>
          <w:color w:val="000000" w:themeColor="text1"/>
          <w:sz w:val="20"/>
          <w:szCs w:val="20"/>
          <w:lang w:val="es-CO"/>
        </w:rPr>
        <w:t xml:space="preserve"> ha</w:t>
      </w:r>
      <w:r w:rsidR="00A729CB" w:rsidRPr="00491517">
        <w:rPr>
          <w:rFonts w:ascii="Cambria" w:hAnsi="Cambria"/>
          <w:color w:val="000000" w:themeColor="text1"/>
          <w:sz w:val="20"/>
          <w:szCs w:val="20"/>
          <w:lang w:val="es-CO"/>
        </w:rPr>
        <w:t>ya</w:t>
      </w:r>
      <w:r w:rsidR="009C1BFE" w:rsidRPr="00491517">
        <w:rPr>
          <w:rFonts w:ascii="Cambria" w:hAnsi="Cambria"/>
          <w:color w:val="000000" w:themeColor="text1"/>
          <w:sz w:val="20"/>
          <w:szCs w:val="20"/>
          <w:lang w:val="es-CO"/>
        </w:rPr>
        <w:t xml:space="preserve"> </w:t>
      </w:r>
      <w:r w:rsidR="00315437" w:rsidRPr="00491517">
        <w:rPr>
          <w:rFonts w:ascii="Cambria" w:hAnsi="Cambria"/>
          <w:color w:val="000000" w:themeColor="text1"/>
          <w:sz w:val="20"/>
          <w:szCs w:val="20"/>
          <w:lang w:val="es-CO"/>
        </w:rPr>
        <w:t>consistido en</w:t>
      </w:r>
      <w:r w:rsidR="009C1BFE" w:rsidRPr="00491517">
        <w:rPr>
          <w:rFonts w:ascii="Cambria" w:hAnsi="Cambria"/>
          <w:color w:val="000000" w:themeColor="text1"/>
          <w:sz w:val="20"/>
          <w:szCs w:val="20"/>
          <w:lang w:val="es-CO"/>
        </w:rPr>
        <w:t xml:space="preserve"> la elaboración de</w:t>
      </w:r>
      <w:r w:rsidR="00315437" w:rsidRPr="00491517">
        <w:rPr>
          <w:rFonts w:ascii="Cambria" w:hAnsi="Cambria"/>
          <w:color w:val="000000" w:themeColor="text1"/>
          <w:sz w:val="20"/>
          <w:szCs w:val="20"/>
          <w:lang w:val="es-CO"/>
        </w:rPr>
        <w:t>l</w:t>
      </w:r>
      <w:r w:rsidR="009C1BFE" w:rsidRPr="00491517">
        <w:rPr>
          <w:rFonts w:ascii="Cambria" w:hAnsi="Cambria"/>
          <w:color w:val="000000" w:themeColor="text1"/>
          <w:sz w:val="20"/>
          <w:szCs w:val="20"/>
          <w:lang w:val="es-CO"/>
        </w:rPr>
        <w:t xml:space="preserve"> listado de </w:t>
      </w:r>
      <w:r w:rsidR="00315437" w:rsidRPr="00491517">
        <w:rPr>
          <w:rFonts w:ascii="Cambria" w:hAnsi="Cambria"/>
          <w:color w:val="000000" w:themeColor="text1"/>
          <w:sz w:val="20"/>
          <w:szCs w:val="20"/>
          <w:lang w:val="es-CO"/>
        </w:rPr>
        <w:t>investigaciones y procesos</w:t>
      </w:r>
      <w:r w:rsidR="00EF08B2" w:rsidRPr="00491517">
        <w:rPr>
          <w:rFonts w:ascii="Cambria" w:hAnsi="Cambria"/>
          <w:color w:val="000000" w:themeColor="text1"/>
          <w:sz w:val="20"/>
          <w:szCs w:val="20"/>
          <w:lang w:val="es-CO"/>
        </w:rPr>
        <w:t xml:space="preserve"> a partir de</w:t>
      </w:r>
      <w:r w:rsidR="00A163C2" w:rsidRPr="00491517">
        <w:rPr>
          <w:rFonts w:ascii="Cambria" w:hAnsi="Cambria"/>
          <w:color w:val="000000" w:themeColor="text1"/>
          <w:sz w:val="20"/>
          <w:szCs w:val="20"/>
          <w:lang w:val="es-CO"/>
        </w:rPr>
        <w:t xml:space="preserve"> actividades tales como</w:t>
      </w:r>
      <w:r w:rsidR="00EF08B2" w:rsidRPr="00491517">
        <w:rPr>
          <w:rFonts w:ascii="Cambria" w:hAnsi="Cambria"/>
          <w:color w:val="000000" w:themeColor="text1"/>
          <w:sz w:val="20"/>
          <w:szCs w:val="20"/>
          <w:lang w:val="es-CO"/>
        </w:rPr>
        <w:t xml:space="preserve"> </w:t>
      </w:r>
      <w:r w:rsidR="00A163C2" w:rsidRPr="00491517">
        <w:rPr>
          <w:rFonts w:ascii="Cambria" w:hAnsi="Cambria"/>
          <w:color w:val="000000" w:themeColor="text1"/>
          <w:sz w:val="20"/>
          <w:szCs w:val="20"/>
          <w:lang w:val="es-CO"/>
        </w:rPr>
        <w:t xml:space="preserve">realización de </w:t>
      </w:r>
      <w:r w:rsidR="00EF08B2" w:rsidRPr="00491517">
        <w:rPr>
          <w:rFonts w:ascii="Cambria" w:hAnsi="Cambria"/>
          <w:color w:val="000000" w:themeColor="text1"/>
          <w:sz w:val="20"/>
          <w:szCs w:val="20"/>
          <w:lang w:val="es-CO"/>
        </w:rPr>
        <w:t xml:space="preserve">visitas, reuniones </w:t>
      </w:r>
      <w:r w:rsidR="00A163C2" w:rsidRPr="00491517">
        <w:rPr>
          <w:rFonts w:ascii="Cambria" w:hAnsi="Cambria"/>
          <w:color w:val="000000" w:themeColor="text1"/>
          <w:sz w:val="20"/>
          <w:szCs w:val="20"/>
          <w:lang w:val="es-CO"/>
        </w:rPr>
        <w:t xml:space="preserve">interinstitucionales </w:t>
      </w:r>
      <w:r w:rsidR="00EF08B2" w:rsidRPr="00491517">
        <w:rPr>
          <w:rFonts w:ascii="Cambria" w:hAnsi="Cambria"/>
          <w:color w:val="000000" w:themeColor="text1"/>
          <w:sz w:val="20"/>
          <w:szCs w:val="20"/>
          <w:lang w:val="es-CO"/>
        </w:rPr>
        <w:t>y revisión de expedientes</w:t>
      </w:r>
      <w:r w:rsidR="0091034C" w:rsidRPr="00491517">
        <w:rPr>
          <w:rFonts w:ascii="Cambria" w:hAnsi="Cambria"/>
          <w:color w:val="000000" w:themeColor="text1"/>
          <w:sz w:val="20"/>
          <w:szCs w:val="20"/>
          <w:lang w:val="es-CO"/>
        </w:rPr>
        <w:t>.</w:t>
      </w:r>
      <w:r w:rsidR="00915153" w:rsidRPr="00491517">
        <w:rPr>
          <w:rFonts w:ascii="Cambria" w:hAnsi="Cambria"/>
          <w:color w:val="000000" w:themeColor="text1"/>
          <w:sz w:val="20"/>
          <w:szCs w:val="20"/>
          <w:lang w:val="es-CO"/>
        </w:rPr>
        <w:t xml:space="preserve"> </w:t>
      </w:r>
    </w:p>
    <w:p w14:paraId="154340E9" w14:textId="77777777" w:rsidR="00A163C2" w:rsidRPr="00491517" w:rsidRDefault="00A163C2" w:rsidP="00A163C2">
      <w:pPr>
        <w:pStyle w:val="ListParagraph"/>
        <w:rPr>
          <w:rFonts w:ascii="Cambria" w:hAnsi="Cambria"/>
          <w:color w:val="000000" w:themeColor="text1"/>
          <w:sz w:val="20"/>
          <w:szCs w:val="20"/>
          <w:lang w:val="es-CO"/>
        </w:rPr>
      </w:pPr>
    </w:p>
    <w:p w14:paraId="0C787354" w14:textId="521B6B0D" w:rsidR="00087A3B" w:rsidRPr="00491517" w:rsidRDefault="00915153"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Respecto a los desafíos</w:t>
      </w:r>
      <w:r w:rsidR="00A729CB" w:rsidRPr="00491517">
        <w:rPr>
          <w:rFonts w:ascii="Cambria" w:hAnsi="Cambria"/>
          <w:color w:val="000000" w:themeColor="text1"/>
          <w:sz w:val="20"/>
          <w:szCs w:val="20"/>
          <w:lang w:val="es-CO"/>
        </w:rPr>
        <w:t xml:space="preserve"> en el desarrollo de </w:t>
      </w:r>
      <w:r w:rsidR="00A163C2" w:rsidRPr="00491517">
        <w:rPr>
          <w:rFonts w:ascii="Cambria" w:hAnsi="Cambria"/>
          <w:color w:val="000000" w:themeColor="text1"/>
          <w:sz w:val="20"/>
          <w:szCs w:val="20"/>
          <w:lang w:val="es-CO"/>
        </w:rPr>
        <w:t>este primer avance</w:t>
      </w:r>
      <w:r w:rsidR="00315437" w:rsidRPr="00491517">
        <w:rPr>
          <w:rFonts w:ascii="Cambria" w:hAnsi="Cambria"/>
          <w:color w:val="000000" w:themeColor="text1"/>
          <w:sz w:val="20"/>
          <w:szCs w:val="20"/>
          <w:lang w:val="es-CO"/>
        </w:rPr>
        <w:t xml:space="preserve">, </w:t>
      </w:r>
      <w:r w:rsidR="00EF08B2" w:rsidRPr="00491517">
        <w:rPr>
          <w:rFonts w:ascii="Cambria" w:hAnsi="Cambria"/>
          <w:color w:val="000000" w:themeColor="text1"/>
          <w:sz w:val="20"/>
          <w:szCs w:val="20"/>
          <w:lang w:val="es-CO"/>
        </w:rPr>
        <w:t xml:space="preserve">la CIDH observa que, a partir de la posición de la parte peticionaria, </w:t>
      </w:r>
      <w:r w:rsidR="00A163C2" w:rsidRPr="00491517">
        <w:rPr>
          <w:rFonts w:ascii="Cambria" w:hAnsi="Cambria"/>
          <w:color w:val="000000" w:themeColor="text1"/>
          <w:sz w:val="20"/>
          <w:szCs w:val="20"/>
          <w:lang w:val="es-CO"/>
        </w:rPr>
        <w:t xml:space="preserve">es importante que el Estado verifique si existen </w:t>
      </w:r>
      <w:r w:rsidR="00EF08B2" w:rsidRPr="00491517">
        <w:rPr>
          <w:rFonts w:ascii="Cambria" w:hAnsi="Cambria"/>
          <w:color w:val="000000" w:themeColor="text1"/>
          <w:sz w:val="20"/>
          <w:szCs w:val="20"/>
          <w:lang w:val="es-CO"/>
        </w:rPr>
        <w:t xml:space="preserve">vacíos de información sobre algunos casos </w:t>
      </w:r>
      <w:r w:rsidR="00A163C2" w:rsidRPr="00491517">
        <w:rPr>
          <w:rFonts w:ascii="Cambria" w:hAnsi="Cambria"/>
          <w:color w:val="000000" w:themeColor="text1"/>
          <w:sz w:val="20"/>
          <w:szCs w:val="20"/>
          <w:lang w:val="es-CO"/>
        </w:rPr>
        <w:t>o</w:t>
      </w:r>
      <w:r w:rsidR="00EF08B2" w:rsidRPr="00491517">
        <w:rPr>
          <w:rFonts w:ascii="Cambria" w:hAnsi="Cambria"/>
          <w:color w:val="000000" w:themeColor="text1"/>
          <w:sz w:val="20"/>
          <w:szCs w:val="20"/>
          <w:lang w:val="es-CO"/>
        </w:rPr>
        <w:t>, eventualmente, información</w:t>
      </w:r>
      <w:r w:rsidR="005C72BD" w:rsidRPr="00491517">
        <w:rPr>
          <w:rFonts w:ascii="Cambria" w:hAnsi="Cambria"/>
          <w:color w:val="000000" w:themeColor="text1"/>
          <w:sz w:val="20"/>
          <w:szCs w:val="20"/>
          <w:lang w:val="es-CO"/>
        </w:rPr>
        <w:t xml:space="preserve"> discordante sobre los estados </w:t>
      </w:r>
      <w:r w:rsidR="00A729CB" w:rsidRPr="00491517">
        <w:rPr>
          <w:rFonts w:ascii="Cambria" w:hAnsi="Cambria"/>
          <w:color w:val="000000" w:themeColor="text1"/>
          <w:sz w:val="20"/>
          <w:szCs w:val="20"/>
          <w:lang w:val="es-CO"/>
        </w:rPr>
        <w:t xml:space="preserve">y las víctimas </w:t>
      </w:r>
      <w:r w:rsidR="005C72BD" w:rsidRPr="00491517">
        <w:rPr>
          <w:rFonts w:ascii="Cambria" w:hAnsi="Cambria"/>
          <w:color w:val="000000" w:themeColor="text1"/>
          <w:sz w:val="20"/>
          <w:szCs w:val="20"/>
          <w:lang w:val="es-CO"/>
        </w:rPr>
        <w:t>de las investigaciones</w:t>
      </w:r>
      <w:r w:rsidR="00A729CB" w:rsidRPr="00491517">
        <w:rPr>
          <w:rFonts w:ascii="Cambria" w:hAnsi="Cambria"/>
          <w:color w:val="000000" w:themeColor="text1"/>
          <w:sz w:val="20"/>
          <w:szCs w:val="20"/>
          <w:lang w:val="es-CO"/>
        </w:rPr>
        <w:t xml:space="preserve"> y</w:t>
      </w:r>
      <w:r w:rsidR="005C72BD" w:rsidRPr="00491517">
        <w:rPr>
          <w:rFonts w:ascii="Cambria" w:hAnsi="Cambria"/>
          <w:color w:val="000000" w:themeColor="text1"/>
          <w:sz w:val="20"/>
          <w:szCs w:val="20"/>
          <w:lang w:val="es-CO"/>
        </w:rPr>
        <w:t xml:space="preserve"> de los procesos.</w:t>
      </w:r>
      <w:r w:rsidR="00A163C2" w:rsidRPr="00491517">
        <w:rPr>
          <w:rFonts w:ascii="Cambria" w:hAnsi="Cambria"/>
          <w:color w:val="000000" w:themeColor="text1"/>
          <w:sz w:val="20"/>
          <w:szCs w:val="20"/>
          <w:lang w:val="es-CO"/>
        </w:rPr>
        <w:t xml:space="preserve"> </w:t>
      </w:r>
      <w:r w:rsidR="001D512D" w:rsidRPr="00491517">
        <w:rPr>
          <w:rFonts w:ascii="Cambria" w:hAnsi="Cambria"/>
          <w:color w:val="000000" w:themeColor="text1"/>
          <w:sz w:val="20"/>
          <w:szCs w:val="20"/>
          <w:lang w:val="es-CO"/>
        </w:rPr>
        <w:t>La Comisión señala que u</w:t>
      </w:r>
      <w:r w:rsidR="00A163C2" w:rsidRPr="00491517">
        <w:rPr>
          <w:rFonts w:ascii="Cambria" w:hAnsi="Cambria"/>
          <w:color w:val="000000" w:themeColor="text1"/>
          <w:sz w:val="20"/>
          <w:szCs w:val="20"/>
          <w:lang w:val="es-CO"/>
        </w:rPr>
        <w:t xml:space="preserve">n registro revisado y unificado permitirá realizar un seguimiento programático </w:t>
      </w:r>
      <w:r w:rsidR="001D512D" w:rsidRPr="00491517">
        <w:rPr>
          <w:rFonts w:ascii="Cambria" w:hAnsi="Cambria"/>
          <w:color w:val="000000" w:themeColor="text1"/>
          <w:sz w:val="20"/>
          <w:szCs w:val="20"/>
          <w:lang w:val="es-CO"/>
        </w:rPr>
        <w:t>e</w:t>
      </w:r>
      <w:r w:rsidR="00A163C2" w:rsidRPr="00491517">
        <w:rPr>
          <w:rFonts w:ascii="Cambria" w:hAnsi="Cambria"/>
          <w:color w:val="000000" w:themeColor="text1"/>
          <w:sz w:val="20"/>
          <w:szCs w:val="20"/>
          <w:lang w:val="es-CO"/>
        </w:rPr>
        <w:t xml:space="preserve"> identificar eventuales </w:t>
      </w:r>
      <w:r w:rsidR="001D512D" w:rsidRPr="00491517">
        <w:rPr>
          <w:rFonts w:ascii="Cambria" w:hAnsi="Cambria"/>
          <w:color w:val="000000" w:themeColor="text1"/>
          <w:sz w:val="20"/>
          <w:szCs w:val="20"/>
          <w:lang w:val="es-CO"/>
        </w:rPr>
        <w:t>desafíos</w:t>
      </w:r>
      <w:r w:rsidR="00A163C2" w:rsidRPr="00491517">
        <w:rPr>
          <w:rFonts w:ascii="Cambria" w:hAnsi="Cambria"/>
          <w:color w:val="000000" w:themeColor="text1"/>
          <w:sz w:val="20"/>
          <w:szCs w:val="20"/>
          <w:lang w:val="es-CO"/>
        </w:rPr>
        <w:t xml:space="preserve"> que, de solucionarse, concretar</w:t>
      </w:r>
      <w:r w:rsidR="001D512D" w:rsidRPr="00491517">
        <w:rPr>
          <w:rFonts w:ascii="Cambria" w:hAnsi="Cambria"/>
          <w:color w:val="000000" w:themeColor="text1"/>
          <w:sz w:val="20"/>
          <w:szCs w:val="20"/>
          <w:lang w:val="es-CO"/>
        </w:rPr>
        <w:t>án</w:t>
      </w:r>
      <w:r w:rsidR="00A163C2" w:rsidRPr="00491517">
        <w:rPr>
          <w:rFonts w:ascii="Cambria" w:hAnsi="Cambria"/>
          <w:color w:val="000000" w:themeColor="text1"/>
          <w:sz w:val="20"/>
          <w:szCs w:val="20"/>
          <w:lang w:val="es-CO"/>
        </w:rPr>
        <w:t xml:space="preserve"> avances en bloque.</w:t>
      </w:r>
      <w:r w:rsidR="005C72BD" w:rsidRPr="00491517">
        <w:rPr>
          <w:rFonts w:ascii="Cambria" w:hAnsi="Cambria"/>
          <w:color w:val="000000" w:themeColor="text1"/>
          <w:sz w:val="20"/>
          <w:szCs w:val="20"/>
          <w:lang w:val="es-CO"/>
        </w:rPr>
        <w:t xml:space="preserve"> </w:t>
      </w:r>
      <w:r w:rsidR="005615AE" w:rsidRPr="00491517">
        <w:rPr>
          <w:rFonts w:ascii="Cambria" w:hAnsi="Cambria"/>
          <w:color w:val="000000" w:themeColor="text1"/>
          <w:sz w:val="20"/>
          <w:szCs w:val="20"/>
          <w:lang w:val="es-CO"/>
        </w:rPr>
        <w:t>De esta forma, la Comisión invita al Estado a</w:t>
      </w:r>
      <w:r w:rsidRPr="00491517">
        <w:rPr>
          <w:rFonts w:ascii="Cambria" w:hAnsi="Cambria"/>
          <w:color w:val="000000" w:themeColor="text1"/>
          <w:sz w:val="20"/>
          <w:szCs w:val="20"/>
          <w:lang w:val="es-CO"/>
        </w:rPr>
        <w:t xml:space="preserve"> </w:t>
      </w:r>
      <w:r w:rsidR="005C72BD" w:rsidRPr="00491517">
        <w:rPr>
          <w:rFonts w:ascii="Cambria" w:hAnsi="Cambria"/>
          <w:color w:val="000000" w:themeColor="text1"/>
          <w:sz w:val="20"/>
          <w:szCs w:val="20"/>
          <w:lang w:val="es-CO"/>
        </w:rPr>
        <w:t xml:space="preserve">concluir un registro que sistematice de manera global </w:t>
      </w:r>
      <w:r w:rsidRPr="00491517">
        <w:rPr>
          <w:rFonts w:ascii="Cambria" w:hAnsi="Cambria"/>
          <w:color w:val="000000" w:themeColor="text1"/>
          <w:sz w:val="20"/>
          <w:szCs w:val="20"/>
          <w:lang w:val="es-CO"/>
        </w:rPr>
        <w:t xml:space="preserve">las investigaciones y procesos </w:t>
      </w:r>
      <w:r w:rsidR="005C72BD" w:rsidRPr="00491517">
        <w:rPr>
          <w:rFonts w:ascii="Cambria" w:hAnsi="Cambria"/>
          <w:color w:val="000000" w:themeColor="text1"/>
          <w:sz w:val="20"/>
          <w:szCs w:val="20"/>
          <w:lang w:val="es-CO"/>
        </w:rPr>
        <w:t>(en curso y culminados)</w:t>
      </w:r>
      <w:r w:rsidR="005615AE" w:rsidRPr="00491517">
        <w:rPr>
          <w:rFonts w:ascii="Cambria" w:hAnsi="Cambria"/>
          <w:color w:val="000000" w:themeColor="text1"/>
          <w:sz w:val="20"/>
          <w:szCs w:val="20"/>
          <w:lang w:val="es-CO"/>
        </w:rPr>
        <w:t xml:space="preserve"> respecto </w:t>
      </w:r>
      <w:r w:rsidR="005C72BD" w:rsidRPr="00491517">
        <w:rPr>
          <w:rFonts w:ascii="Cambria" w:hAnsi="Cambria"/>
          <w:color w:val="000000" w:themeColor="text1"/>
          <w:sz w:val="20"/>
          <w:szCs w:val="20"/>
          <w:lang w:val="es-CO"/>
        </w:rPr>
        <w:t>de</w:t>
      </w:r>
      <w:r w:rsidR="005615AE" w:rsidRPr="00491517">
        <w:rPr>
          <w:rFonts w:ascii="Cambria" w:hAnsi="Cambria"/>
          <w:color w:val="000000" w:themeColor="text1"/>
          <w:sz w:val="20"/>
          <w:szCs w:val="20"/>
          <w:lang w:val="es-CO"/>
        </w:rPr>
        <w:t xml:space="preserve"> los casos </w:t>
      </w:r>
      <w:r w:rsidR="005C72BD" w:rsidRPr="00491517">
        <w:rPr>
          <w:rFonts w:ascii="Cambria" w:hAnsi="Cambria"/>
          <w:color w:val="000000" w:themeColor="text1"/>
          <w:sz w:val="20"/>
          <w:szCs w:val="20"/>
          <w:lang w:val="es-CO"/>
        </w:rPr>
        <w:t>d</w:t>
      </w:r>
      <w:r w:rsidR="005615AE" w:rsidRPr="00491517">
        <w:rPr>
          <w:rFonts w:ascii="Cambria" w:hAnsi="Cambria"/>
          <w:color w:val="000000" w:themeColor="text1"/>
          <w:sz w:val="20"/>
          <w:szCs w:val="20"/>
          <w:lang w:val="es-CO"/>
        </w:rPr>
        <w:t>el Comunicado de Prensa Conjunto</w:t>
      </w:r>
      <w:r w:rsidR="005C72BD" w:rsidRPr="00491517">
        <w:rPr>
          <w:rFonts w:ascii="Cambria" w:hAnsi="Cambria"/>
          <w:color w:val="000000" w:themeColor="text1"/>
          <w:sz w:val="20"/>
          <w:szCs w:val="20"/>
          <w:lang w:val="es-CO"/>
        </w:rPr>
        <w:t xml:space="preserve">, que sea unificado para todas las entidades estatales y que esté </w:t>
      </w:r>
      <w:r w:rsidR="0091034C" w:rsidRPr="00491517">
        <w:rPr>
          <w:rFonts w:ascii="Cambria" w:hAnsi="Cambria"/>
          <w:color w:val="000000" w:themeColor="text1"/>
          <w:sz w:val="20"/>
          <w:szCs w:val="20"/>
          <w:lang w:val="es-CO"/>
        </w:rPr>
        <w:t>desagreg</w:t>
      </w:r>
      <w:r w:rsidR="005615AE" w:rsidRPr="00491517">
        <w:rPr>
          <w:rFonts w:ascii="Cambria" w:hAnsi="Cambria"/>
          <w:color w:val="000000" w:themeColor="text1"/>
          <w:sz w:val="20"/>
          <w:szCs w:val="20"/>
          <w:lang w:val="es-CO"/>
        </w:rPr>
        <w:t>ado en cuanto a las víctimas y etapas de cada caso</w:t>
      </w:r>
      <w:r w:rsidR="0091034C" w:rsidRPr="00491517">
        <w:rPr>
          <w:rFonts w:ascii="Cambria" w:hAnsi="Cambria"/>
          <w:color w:val="000000" w:themeColor="text1"/>
          <w:sz w:val="20"/>
          <w:szCs w:val="20"/>
          <w:lang w:val="es-CO"/>
        </w:rPr>
        <w:t>.</w:t>
      </w:r>
      <w:r w:rsidR="005C72BD" w:rsidRPr="00491517">
        <w:rPr>
          <w:rFonts w:ascii="Cambria" w:hAnsi="Cambria"/>
          <w:color w:val="000000" w:themeColor="text1"/>
          <w:sz w:val="20"/>
          <w:szCs w:val="20"/>
          <w:lang w:val="es-CO"/>
        </w:rPr>
        <w:t xml:space="preserve"> Asimismo, la Comisión invita a que, en el marco del proceso de seguimiento, la culminación de este registro unificado tengo en cuenta los casos particulares que han sido observados por la parte peticionaria, con miras a que se aclare los estados procesales, víctimas y posibles datos duplicados</w:t>
      </w:r>
      <w:r w:rsidR="008A4B19" w:rsidRPr="00491517">
        <w:rPr>
          <w:rFonts w:ascii="Cambria" w:hAnsi="Cambria"/>
          <w:color w:val="000000" w:themeColor="text1"/>
          <w:sz w:val="20"/>
          <w:szCs w:val="20"/>
          <w:lang w:val="es-CO"/>
        </w:rPr>
        <w:t xml:space="preserve"> o discordantes</w:t>
      </w:r>
      <w:r w:rsidR="005C72BD" w:rsidRPr="00491517">
        <w:rPr>
          <w:rFonts w:ascii="Cambria" w:hAnsi="Cambria"/>
          <w:color w:val="000000" w:themeColor="text1"/>
          <w:sz w:val="20"/>
          <w:szCs w:val="20"/>
          <w:lang w:val="es-CO"/>
        </w:rPr>
        <w:t>.</w:t>
      </w:r>
      <w:r w:rsidR="0091034C" w:rsidRPr="00491517">
        <w:rPr>
          <w:rFonts w:ascii="Cambria" w:hAnsi="Cambria"/>
          <w:color w:val="000000" w:themeColor="text1"/>
          <w:sz w:val="20"/>
          <w:szCs w:val="20"/>
          <w:lang w:val="es-CO"/>
        </w:rPr>
        <w:t xml:space="preserve"> </w:t>
      </w:r>
    </w:p>
    <w:p w14:paraId="55853D01" w14:textId="77777777" w:rsidR="00A163C2" w:rsidRPr="00491517" w:rsidRDefault="00A163C2" w:rsidP="00A163C2">
      <w:pPr>
        <w:pStyle w:val="ListParagraph"/>
        <w:spacing w:after="0" w:line="240" w:lineRule="auto"/>
        <w:ind w:left="357"/>
        <w:jc w:val="both"/>
        <w:rPr>
          <w:rFonts w:ascii="Cambria" w:hAnsi="Cambria"/>
          <w:color w:val="000000" w:themeColor="text1"/>
          <w:sz w:val="20"/>
          <w:szCs w:val="20"/>
          <w:lang w:val="es-CO"/>
        </w:rPr>
      </w:pPr>
    </w:p>
    <w:p w14:paraId="388FA635" w14:textId="3FDB6D81" w:rsidR="00A163C2" w:rsidRPr="00491517" w:rsidRDefault="00A163C2"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El segundo avance que la CIDH identifica respecto a este eje temático consiste en la estrategia de revisión de expedientes con miras a adoptar eventuales decisiones que permitan conocer y reabrir investigaciones que hayan sido archivadas. De esta manera, la Comisión ha identificado que las visitas de control y las revisiones realizadas por el Ministerio Público a algunas fiscalías ha</w:t>
      </w:r>
      <w:r w:rsidR="000028DE" w:rsidRPr="00491517">
        <w:rPr>
          <w:rFonts w:ascii="Cambria" w:hAnsi="Cambria"/>
          <w:color w:val="000000" w:themeColor="text1"/>
          <w:sz w:val="20"/>
          <w:szCs w:val="20"/>
          <w:lang w:val="es-CO"/>
        </w:rPr>
        <w:t>n</w:t>
      </w:r>
      <w:r w:rsidRPr="00491517">
        <w:rPr>
          <w:rFonts w:ascii="Cambria" w:hAnsi="Cambria"/>
          <w:color w:val="000000" w:themeColor="text1"/>
          <w:sz w:val="20"/>
          <w:szCs w:val="20"/>
          <w:lang w:val="es-CO"/>
        </w:rPr>
        <w:t xml:space="preserve"> permitido avanzar en el estudio de este tipo de casos. Al respecto, la CIDH invita al Estado a identificar los casos archivados con la finalidad que, respecto de cada uno, se estudie la </w:t>
      </w:r>
      <w:r w:rsidR="000028DE" w:rsidRPr="00491517">
        <w:rPr>
          <w:rFonts w:ascii="Cambria" w:hAnsi="Cambria"/>
          <w:color w:val="000000" w:themeColor="text1"/>
          <w:sz w:val="20"/>
          <w:szCs w:val="20"/>
          <w:lang w:val="es-CO"/>
        </w:rPr>
        <w:t>viabilidad</w:t>
      </w:r>
      <w:r w:rsidRPr="00491517">
        <w:rPr>
          <w:rFonts w:ascii="Cambria" w:hAnsi="Cambria"/>
          <w:color w:val="000000" w:themeColor="text1"/>
          <w:sz w:val="20"/>
          <w:szCs w:val="20"/>
          <w:lang w:val="es-CO"/>
        </w:rPr>
        <w:t xml:space="preserve"> de su reapertura con miras a cumplir cabalmente con la obligación internacional de investigación. Asimismo, la Comisión agradecerá la remisión de información sobre avances </w:t>
      </w:r>
      <w:r w:rsidR="000028DE" w:rsidRPr="00491517">
        <w:rPr>
          <w:rFonts w:ascii="Cambria" w:hAnsi="Cambria"/>
          <w:color w:val="000000" w:themeColor="text1"/>
          <w:sz w:val="20"/>
          <w:szCs w:val="20"/>
          <w:lang w:val="es-CO"/>
        </w:rPr>
        <w:t>de</w:t>
      </w:r>
      <w:r w:rsidRPr="00491517">
        <w:rPr>
          <w:rFonts w:ascii="Cambria" w:hAnsi="Cambria"/>
          <w:color w:val="000000" w:themeColor="text1"/>
          <w:sz w:val="20"/>
          <w:szCs w:val="20"/>
          <w:lang w:val="es-CO"/>
        </w:rPr>
        <w:t xml:space="preserve"> est</w:t>
      </w:r>
      <w:r w:rsidR="000028DE" w:rsidRPr="00491517">
        <w:rPr>
          <w:rFonts w:ascii="Cambria" w:hAnsi="Cambria"/>
          <w:color w:val="000000" w:themeColor="text1"/>
          <w:sz w:val="20"/>
          <w:szCs w:val="20"/>
          <w:lang w:val="es-CO"/>
        </w:rPr>
        <w:t>a revisión</w:t>
      </w:r>
      <w:r w:rsidRPr="00491517">
        <w:rPr>
          <w:rFonts w:ascii="Cambria" w:hAnsi="Cambria"/>
          <w:color w:val="000000" w:themeColor="text1"/>
          <w:sz w:val="20"/>
          <w:szCs w:val="20"/>
          <w:lang w:val="es-CO"/>
        </w:rPr>
        <w:t xml:space="preserve">. </w:t>
      </w:r>
    </w:p>
    <w:p w14:paraId="688F91FD" w14:textId="77777777" w:rsidR="00A163C2" w:rsidRPr="00491517" w:rsidRDefault="00A163C2" w:rsidP="00A163C2">
      <w:pPr>
        <w:pStyle w:val="ListParagraph"/>
        <w:rPr>
          <w:rFonts w:ascii="Cambria" w:hAnsi="Cambria"/>
          <w:color w:val="000000" w:themeColor="text1"/>
          <w:sz w:val="20"/>
          <w:szCs w:val="20"/>
          <w:lang w:val="es-CO"/>
        </w:rPr>
      </w:pPr>
    </w:p>
    <w:p w14:paraId="2F1F8DCC" w14:textId="5E8D703F" w:rsidR="00A163C2" w:rsidRPr="00491517" w:rsidRDefault="00B77BD5"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 xml:space="preserve">Finalmente, la CIDH toma nota de la observación presentada por la parte peticionaria en cuanto a su solicitud de que el Estado active una Mesa de Trabajo que coordine las actividades para avanzar en el cumplimiento de este eje temático. Al respecto, la Comisión considera que un espacio de </w:t>
      </w:r>
      <w:r w:rsidRPr="00491517">
        <w:rPr>
          <w:rFonts w:ascii="Cambria" w:hAnsi="Cambria"/>
          <w:color w:val="000000" w:themeColor="text1"/>
          <w:sz w:val="20"/>
          <w:szCs w:val="20"/>
          <w:lang w:val="es-CO"/>
        </w:rPr>
        <w:lastRenderedPageBreak/>
        <w:t>trabajo conjunto entre el Estado y la parte peticionaria facilitar</w:t>
      </w:r>
      <w:r w:rsidR="005B7080" w:rsidRPr="00491517">
        <w:rPr>
          <w:rFonts w:ascii="Cambria" w:hAnsi="Cambria"/>
          <w:color w:val="000000" w:themeColor="text1"/>
          <w:sz w:val="20"/>
          <w:szCs w:val="20"/>
          <w:lang w:val="es-CO"/>
        </w:rPr>
        <w:t>á</w:t>
      </w:r>
      <w:r w:rsidRPr="00491517">
        <w:rPr>
          <w:rFonts w:ascii="Cambria" w:hAnsi="Cambria"/>
          <w:color w:val="000000" w:themeColor="text1"/>
          <w:sz w:val="20"/>
          <w:szCs w:val="20"/>
          <w:lang w:val="es-CO"/>
        </w:rPr>
        <w:t xml:space="preserve"> la organización de la información </w:t>
      </w:r>
      <w:r w:rsidR="005B7080" w:rsidRPr="00491517">
        <w:rPr>
          <w:rFonts w:ascii="Cambria" w:hAnsi="Cambria"/>
          <w:color w:val="000000" w:themeColor="text1"/>
          <w:sz w:val="20"/>
          <w:szCs w:val="20"/>
          <w:lang w:val="es-CO"/>
        </w:rPr>
        <w:t>sobre el</w:t>
      </w:r>
      <w:r w:rsidRPr="00491517">
        <w:rPr>
          <w:rFonts w:ascii="Cambria" w:hAnsi="Cambria"/>
          <w:color w:val="000000" w:themeColor="text1"/>
          <w:sz w:val="20"/>
          <w:szCs w:val="20"/>
          <w:lang w:val="es-CO"/>
        </w:rPr>
        <w:t xml:space="preserve"> número global de casos en investigación o en procesamiento. </w:t>
      </w:r>
      <w:r w:rsidR="00E27EE1" w:rsidRPr="00491517">
        <w:rPr>
          <w:rFonts w:ascii="Cambria" w:hAnsi="Cambria"/>
          <w:color w:val="000000" w:themeColor="text1"/>
          <w:sz w:val="20"/>
          <w:szCs w:val="20"/>
          <w:lang w:val="es-CO"/>
        </w:rPr>
        <w:t xml:space="preserve">Asimismo, considerando que la parte peticionaria ha expuesto cinco observaciones concretas que atañen al desarrollo de este eje temático, la Comisión considera que este espacio de trabajo podrá ser útil para </w:t>
      </w:r>
      <w:r w:rsidR="005B7080" w:rsidRPr="00491517">
        <w:rPr>
          <w:rFonts w:ascii="Cambria" w:hAnsi="Cambria"/>
          <w:color w:val="000000" w:themeColor="text1"/>
          <w:sz w:val="20"/>
          <w:szCs w:val="20"/>
          <w:lang w:val="es-CO"/>
        </w:rPr>
        <w:t>abordar progresivamente</w:t>
      </w:r>
      <w:r w:rsidR="00E27EE1" w:rsidRPr="00491517">
        <w:rPr>
          <w:rFonts w:ascii="Cambria" w:hAnsi="Cambria"/>
          <w:color w:val="000000" w:themeColor="text1"/>
          <w:sz w:val="20"/>
          <w:szCs w:val="20"/>
          <w:lang w:val="es-CO"/>
        </w:rPr>
        <w:t xml:space="preserve"> cada observación a partir de una visión que garantice la participación de las víctimas y de su representación. </w:t>
      </w:r>
      <w:r w:rsidRPr="00491517">
        <w:rPr>
          <w:rFonts w:ascii="Cambria" w:hAnsi="Cambria"/>
          <w:color w:val="000000" w:themeColor="text1"/>
          <w:sz w:val="20"/>
          <w:szCs w:val="20"/>
          <w:lang w:val="es-CO"/>
        </w:rPr>
        <w:t>En este sentido, la CIDH invita al Estado a considerar la solicitud de la constitución de este espacio de diálogo</w:t>
      </w:r>
      <w:r w:rsidR="005B7080" w:rsidRPr="00491517">
        <w:rPr>
          <w:rFonts w:ascii="Cambria" w:hAnsi="Cambria"/>
          <w:color w:val="000000" w:themeColor="text1"/>
          <w:sz w:val="20"/>
          <w:szCs w:val="20"/>
          <w:lang w:val="es-CO"/>
        </w:rPr>
        <w:t>, respecto del</w:t>
      </w:r>
      <w:r w:rsidRPr="00491517">
        <w:rPr>
          <w:rFonts w:ascii="Cambria" w:hAnsi="Cambria"/>
          <w:color w:val="000000" w:themeColor="text1"/>
          <w:sz w:val="20"/>
          <w:szCs w:val="20"/>
          <w:lang w:val="es-CO"/>
        </w:rPr>
        <w:t xml:space="preserve"> cual la Comisión queda </w:t>
      </w:r>
      <w:r w:rsidR="005B7080" w:rsidRPr="00491517">
        <w:rPr>
          <w:rFonts w:ascii="Cambria" w:hAnsi="Cambria"/>
          <w:color w:val="000000" w:themeColor="text1"/>
          <w:sz w:val="20"/>
          <w:szCs w:val="20"/>
          <w:lang w:val="es-CO"/>
        </w:rPr>
        <w:t>a disposición</w:t>
      </w:r>
      <w:r w:rsidRPr="00491517">
        <w:rPr>
          <w:rFonts w:ascii="Cambria" w:hAnsi="Cambria"/>
          <w:color w:val="000000" w:themeColor="text1"/>
          <w:sz w:val="20"/>
          <w:szCs w:val="20"/>
          <w:lang w:val="es-CO"/>
        </w:rPr>
        <w:t xml:space="preserve"> de participar en calidad de observadora</w:t>
      </w:r>
      <w:r w:rsidR="00E27EE1" w:rsidRPr="00491517">
        <w:rPr>
          <w:rFonts w:ascii="Cambria" w:hAnsi="Cambria"/>
          <w:color w:val="000000" w:themeColor="text1"/>
          <w:sz w:val="20"/>
          <w:szCs w:val="20"/>
          <w:lang w:val="es-CO"/>
        </w:rPr>
        <w:t xml:space="preserve"> y</w:t>
      </w:r>
      <w:r w:rsidR="005B7080" w:rsidRPr="00491517">
        <w:rPr>
          <w:rFonts w:ascii="Cambria" w:hAnsi="Cambria"/>
          <w:color w:val="000000" w:themeColor="text1"/>
          <w:sz w:val="20"/>
          <w:szCs w:val="20"/>
          <w:lang w:val="es-CO"/>
        </w:rPr>
        <w:t xml:space="preserve"> </w:t>
      </w:r>
      <w:r w:rsidR="00E27EE1" w:rsidRPr="00491517">
        <w:rPr>
          <w:rFonts w:ascii="Cambria" w:hAnsi="Cambria"/>
          <w:color w:val="000000" w:themeColor="text1"/>
          <w:sz w:val="20"/>
          <w:szCs w:val="20"/>
          <w:lang w:val="es-CO"/>
        </w:rPr>
        <w:t xml:space="preserve">para proveer el apoyo técnico que sea </w:t>
      </w:r>
      <w:r w:rsidR="005B7080" w:rsidRPr="00491517">
        <w:rPr>
          <w:rFonts w:ascii="Cambria" w:hAnsi="Cambria"/>
          <w:color w:val="000000" w:themeColor="text1"/>
          <w:sz w:val="20"/>
          <w:szCs w:val="20"/>
          <w:lang w:val="es-CO"/>
        </w:rPr>
        <w:t>solicitado en el marco del seguimiento de estos casos</w:t>
      </w:r>
      <w:r w:rsidRPr="00491517">
        <w:rPr>
          <w:rFonts w:ascii="Cambria" w:hAnsi="Cambria"/>
          <w:color w:val="000000" w:themeColor="text1"/>
          <w:sz w:val="20"/>
          <w:szCs w:val="20"/>
          <w:lang w:val="es-CO"/>
        </w:rPr>
        <w:t>.</w:t>
      </w:r>
    </w:p>
    <w:p w14:paraId="1BC3FA35" w14:textId="77777777" w:rsidR="00B1106F" w:rsidRPr="00491517" w:rsidRDefault="00B1106F" w:rsidP="00B1106F">
      <w:pPr>
        <w:pStyle w:val="ListParagraph"/>
        <w:spacing w:after="0" w:line="240" w:lineRule="auto"/>
        <w:ind w:left="357"/>
        <w:jc w:val="both"/>
        <w:rPr>
          <w:rFonts w:ascii="Cambria" w:hAnsi="Cambria"/>
          <w:color w:val="000000" w:themeColor="text1"/>
          <w:sz w:val="20"/>
          <w:szCs w:val="20"/>
          <w:lang w:val="es-CO"/>
        </w:rPr>
      </w:pPr>
    </w:p>
    <w:p w14:paraId="62A815E2" w14:textId="156D6A88" w:rsidR="00614DE7" w:rsidRPr="00491517" w:rsidRDefault="00F4461C" w:rsidP="008C04BF">
      <w:pPr>
        <w:pStyle w:val="ListParagraph"/>
        <w:numPr>
          <w:ilvl w:val="0"/>
          <w:numId w:val="2"/>
        </w:numPr>
        <w:spacing w:after="0" w:line="240" w:lineRule="auto"/>
        <w:jc w:val="both"/>
        <w:rPr>
          <w:rFonts w:ascii="Cambria" w:eastAsia="Calibri" w:hAnsi="Cambria" w:cs="Times New Roman"/>
          <w:b/>
          <w:bCs/>
          <w:color w:val="000000" w:themeColor="text1"/>
          <w:sz w:val="20"/>
          <w:szCs w:val="20"/>
          <w:lang w:val="es-EC"/>
        </w:rPr>
      </w:pPr>
      <w:r w:rsidRPr="00491517">
        <w:rPr>
          <w:rFonts w:ascii="Cambria" w:eastAsia="Calibri" w:hAnsi="Cambria" w:cs="Times New Roman"/>
          <w:b/>
          <w:bCs/>
          <w:color w:val="000000" w:themeColor="text1"/>
          <w:sz w:val="20"/>
          <w:szCs w:val="20"/>
          <w:lang w:val="es-ES"/>
        </w:rPr>
        <w:t>Segundo eje temático. B</w:t>
      </w:r>
      <w:r w:rsidR="00087A3B" w:rsidRPr="00491517">
        <w:rPr>
          <w:rFonts w:ascii="Cambria" w:hAnsi="Cambria"/>
          <w:b/>
          <w:bCs/>
          <w:color w:val="000000" w:themeColor="text1"/>
          <w:sz w:val="20"/>
          <w:szCs w:val="20"/>
          <w:lang w:val="es-ES"/>
        </w:rPr>
        <w:t>úsqueda e identificación de personas desaparecidas y entrega de restos.</w:t>
      </w:r>
    </w:p>
    <w:p w14:paraId="10B67415" w14:textId="77777777" w:rsidR="008C04BF" w:rsidRPr="00491517" w:rsidRDefault="008C04BF" w:rsidP="008C04BF">
      <w:pPr>
        <w:pStyle w:val="ListParagraph"/>
        <w:spacing w:after="0" w:line="240" w:lineRule="auto"/>
        <w:ind w:left="1080"/>
        <w:jc w:val="both"/>
        <w:rPr>
          <w:rFonts w:ascii="Cambria" w:eastAsia="Calibri" w:hAnsi="Cambria" w:cs="Times New Roman"/>
          <w:b/>
          <w:bCs/>
          <w:color w:val="000000" w:themeColor="text1"/>
          <w:sz w:val="20"/>
          <w:szCs w:val="20"/>
          <w:lang w:val="es-EC"/>
        </w:rPr>
      </w:pPr>
    </w:p>
    <w:p w14:paraId="15B7B99E" w14:textId="73F7F06E" w:rsidR="007E6763" w:rsidRPr="00491517" w:rsidRDefault="00087A3B"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b/>
          <w:bCs/>
          <w:color w:val="000000" w:themeColor="text1"/>
          <w:sz w:val="20"/>
          <w:szCs w:val="20"/>
          <w:lang w:val="es-EC"/>
        </w:rPr>
        <w:t xml:space="preserve"> </w:t>
      </w:r>
      <w:r w:rsidR="00A042A4" w:rsidRPr="00491517">
        <w:rPr>
          <w:rFonts w:ascii="Cambria" w:hAnsi="Cambria"/>
          <w:b/>
          <w:bCs/>
          <w:color w:val="000000" w:themeColor="text1"/>
          <w:sz w:val="20"/>
          <w:szCs w:val="20"/>
          <w:lang w:val="es-EC"/>
        </w:rPr>
        <w:t>Información remitida por el Estado</w:t>
      </w:r>
      <w:r w:rsidR="00614DE7" w:rsidRPr="00491517">
        <w:rPr>
          <w:rFonts w:ascii="Cambria" w:hAnsi="Cambria"/>
          <w:b/>
          <w:bCs/>
          <w:color w:val="000000" w:themeColor="text1"/>
          <w:sz w:val="20"/>
          <w:szCs w:val="20"/>
          <w:lang w:val="es-EC"/>
        </w:rPr>
        <w:t xml:space="preserve"> en 2021</w:t>
      </w:r>
      <w:r w:rsidR="00A042A4" w:rsidRPr="00491517">
        <w:rPr>
          <w:rFonts w:ascii="Cambria" w:hAnsi="Cambria"/>
          <w:b/>
          <w:bCs/>
          <w:color w:val="000000" w:themeColor="text1"/>
          <w:sz w:val="20"/>
          <w:szCs w:val="20"/>
          <w:lang w:val="es-EC"/>
        </w:rPr>
        <w:t xml:space="preserve">. </w:t>
      </w:r>
      <w:r w:rsidR="00614DE7" w:rsidRPr="00491517">
        <w:rPr>
          <w:rFonts w:ascii="Cambria" w:hAnsi="Cambria"/>
          <w:color w:val="000000" w:themeColor="text1"/>
          <w:sz w:val="20"/>
          <w:szCs w:val="20"/>
          <w:lang w:val="es-EC"/>
        </w:rPr>
        <w:t>El Estado</w:t>
      </w:r>
      <w:r w:rsidR="003212C8" w:rsidRPr="00491517">
        <w:rPr>
          <w:rFonts w:ascii="Cambria" w:hAnsi="Cambria"/>
          <w:color w:val="000000" w:themeColor="text1"/>
          <w:sz w:val="20"/>
          <w:szCs w:val="20"/>
          <w:lang w:val="es-EC"/>
        </w:rPr>
        <w:t xml:space="preserve"> </w:t>
      </w:r>
      <w:r w:rsidR="007721F2" w:rsidRPr="00491517">
        <w:rPr>
          <w:rFonts w:ascii="Cambria" w:hAnsi="Cambria"/>
          <w:color w:val="000000" w:themeColor="text1"/>
          <w:sz w:val="20"/>
          <w:szCs w:val="20"/>
          <w:lang w:val="es-EC"/>
        </w:rPr>
        <w:t xml:space="preserve">se refirió a la existencia de la Ley </w:t>
      </w:r>
      <w:r w:rsidR="007721F2" w:rsidRPr="00491517">
        <w:rPr>
          <w:rFonts w:ascii="Cambria" w:hAnsi="Cambria"/>
          <w:color w:val="000000" w:themeColor="text1"/>
          <w:sz w:val="20"/>
          <w:szCs w:val="20"/>
          <w:lang w:val="es-CO"/>
        </w:rPr>
        <w:t xml:space="preserve">No. 30470, </w:t>
      </w:r>
      <w:r w:rsidR="00CC1301" w:rsidRPr="00491517">
        <w:rPr>
          <w:rFonts w:ascii="Cambria" w:hAnsi="Cambria"/>
          <w:color w:val="000000" w:themeColor="text1"/>
          <w:sz w:val="20"/>
          <w:szCs w:val="20"/>
          <w:lang w:val="es-CO"/>
        </w:rPr>
        <w:t xml:space="preserve">también denominada </w:t>
      </w:r>
      <w:r w:rsidR="007721F2" w:rsidRPr="00491517">
        <w:rPr>
          <w:rFonts w:ascii="Cambria" w:hAnsi="Cambria"/>
          <w:color w:val="000000" w:themeColor="text1"/>
          <w:sz w:val="20"/>
          <w:szCs w:val="20"/>
          <w:lang w:val="es-CO"/>
        </w:rPr>
        <w:t>Ley de Búsqueda de Personas Desaparecidas durante el periodo de violencia 1980 – 2000</w:t>
      </w:r>
      <w:r w:rsidR="00890F4D" w:rsidRPr="00491517">
        <w:rPr>
          <w:rFonts w:ascii="Cambria" w:hAnsi="Cambria"/>
          <w:color w:val="000000" w:themeColor="text1"/>
          <w:sz w:val="20"/>
          <w:szCs w:val="20"/>
          <w:lang w:val="es-CO"/>
        </w:rPr>
        <w:t>.</w:t>
      </w:r>
      <w:r w:rsidR="007721F2" w:rsidRPr="00491517">
        <w:rPr>
          <w:rFonts w:ascii="Cambria" w:hAnsi="Cambria"/>
          <w:color w:val="000000" w:themeColor="text1"/>
          <w:sz w:val="20"/>
          <w:szCs w:val="20"/>
          <w:lang w:val="es-CO"/>
        </w:rPr>
        <w:t xml:space="preserve"> </w:t>
      </w:r>
      <w:r w:rsidR="00890F4D" w:rsidRPr="00491517">
        <w:rPr>
          <w:rFonts w:ascii="Cambria" w:hAnsi="Cambria"/>
          <w:color w:val="000000" w:themeColor="text1"/>
          <w:sz w:val="20"/>
          <w:szCs w:val="20"/>
          <w:lang w:val="es-CO"/>
        </w:rPr>
        <w:t>Además, señaló</w:t>
      </w:r>
      <w:r w:rsidR="0056434A" w:rsidRPr="00491517">
        <w:rPr>
          <w:rFonts w:ascii="Cambria" w:hAnsi="Cambria"/>
          <w:color w:val="000000" w:themeColor="text1"/>
          <w:sz w:val="20"/>
          <w:szCs w:val="20"/>
          <w:lang w:val="es-EC"/>
        </w:rPr>
        <w:t xml:space="preserve"> que </w:t>
      </w:r>
      <w:r w:rsidR="00890F4D" w:rsidRPr="00491517">
        <w:rPr>
          <w:rFonts w:ascii="Cambria" w:hAnsi="Cambria"/>
          <w:color w:val="000000" w:themeColor="text1"/>
          <w:sz w:val="20"/>
          <w:szCs w:val="20"/>
          <w:lang w:val="es-EC"/>
        </w:rPr>
        <w:t>los procesos de</w:t>
      </w:r>
      <w:r w:rsidR="00651B83" w:rsidRPr="00491517">
        <w:rPr>
          <w:rFonts w:ascii="Cambria" w:hAnsi="Cambria"/>
          <w:color w:val="000000" w:themeColor="text1"/>
          <w:sz w:val="20"/>
          <w:szCs w:val="20"/>
          <w:lang w:val="es-EC"/>
        </w:rPr>
        <w:t xml:space="preserve"> búsqueda </w:t>
      </w:r>
      <w:r w:rsidR="0056434A" w:rsidRPr="00491517">
        <w:rPr>
          <w:rFonts w:ascii="Cambria" w:hAnsi="Cambria"/>
          <w:color w:val="000000" w:themeColor="text1"/>
          <w:sz w:val="20"/>
          <w:szCs w:val="20"/>
          <w:lang w:val="es-EC"/>
        </w:rPr>
        <w:t>está</w:t>
      </w:r>
      <w:r w:rsidR="00890F4D" w:rsidRPr="00491517">
        <w:rPr>
          <w:rFonts w:ascii="Cambria" w:hAnsi="Cambria"/>
          <w:color w:val="000000" w:themeColor="text1"/>
          <w:sz w:val="20"/>
          <w:szCs w:val="20"/>
          <w:lang w:val="es-EC"/>
        </w:rPr>
        <w:t>n</w:t>
      </w:r>
      <w:r w:rsidR="0056434A" w:rsidRPr="00491517">
        <w:rPr>
          <w:rFonts w:ascii="Cambria" w:hAnsi="Cambria"/>
          <w:color w:val="000000" w:themeColor="text1"/>
          <w:sz w:val="20"/>
          <w:szCs w:val="20"/>
          <w:lang w:val="es-EC"/>
        </w:rPr>
        <w:t xml:space="preserve"> regulad</w:t>
      </w:r>
      <w:r w:rsidR="00890F4D" w:rsidRPr="00491517">
        <w:rPr>
          <w:rFonts w:ascii="Cambria" w:hAnsi="Cambria"/>
          <w:color w:val="000000" w:themeColor="text1"/>
          <w:sz w:val="20"/>
          <w:szCs w:val="20"/>
          <w:lang w:val="es-EC"/>
        </w:rPr>
        <w:t>os</w:t>
      </w:r>
      <w:r w:rsidR="00651B83" w:rsidRPr="00491517">
        <w:rPr>
          <w:rFonts w:ascii="Cambria" w:hAnsi="Cambria"/>
          <w:color w:val="000000" w:themeColor="text1"/>
          <w:sz w:val="20"/>
          <w:szCs w:val="20"/>
          <w:lang w:val="es-EC"/>
        </w:rPr>
        <w:t xml:space="preserve"> </w:t>
      </w:r>
      <w:r w:rsidR="0056434A" w:rsidRPr="00491517">
        <w:rPr>
          <w:rFonts w:ascii="Cambria" w:hAnsi="Cambria"/>
          <w:color w:val="000000" w:themeColor="text1"/>
          <w:sz w:val="20"/>
          <w:szCs w:val="20"/>
          <w:lang w:val="es-EC"/>
        </w:rPr>
        <w:t xml:space="preserve">por la </w:t>
      </w:r>
      <w:r w:rsidR="0056434A" w:rsidRPr="00491517">
        <w:rPr>
          <w:rFonts w:ascii="Cambria" w:hAnsi="Cambria"/>
          <w:color w:val="000000" w:themeColor="text1"/>
          <w:sz w:val="20"/>
          <w:szCs w:val="20"/>
          <w:lang w:val="es-CO"/>
        </w:rPr>
        <w:t>“Directiva para Normar el Proceso de Búsqueda de las Personas Desaparecidas con Enfoque Humanitario”</w:t>
      </w:r>
      <w:r w:rsidR="0056434A" w:rsidRPr="00491517">
        <w:rPr>
          <w:rStyle w:val="FootnoteReference"/>
          <w:rFonts w:ascii="Cambria" w:hAnsi="Cambria"/>
          <w:color w:val="000000" w:themeColor="text1"/>
          <w:sz w:val="20"/>
          <w:szCs w:val="20"/>
          <w:lang w:val="es-CO"/>
        </w:rPr>
        <w:footnoteReference w:id="6"/>
      </w:r>
      <w:r w:rsidR="00726E18" w:rsidRPr="00491517">
        <w:rPr>
          <w:rFonts w:ascii="Cambria" w:hAnsi="Cambria"/>
          <w:color w:val="000000" w:themeColor="text1"/>
          <w:sz w:val="20"/>
          <w:szCs w:val="20"/>
          <w:lang w:val="es-CO"/>
        </w:rPr>
        <w:t xml:space="preserve"> que </w:t>
      </w:r>
      <w:r w:rsidR="0056434A" w:rsidRPr="00491517">
        <w:rPr>
          <w:rFonts w:ascii="Cambria" w:hAnsi="Cambria"/>
          <w:color w:val="000000" w:themeColor="text1"/>
          <w:sz w:val="20"/>
          <w:szCs w:val="20"/>
          <w:lang w:val="es-CO"/>
        </w:rPr>
        <w:t>explica las competencias</w:t>
      </w:r>
      <w:r w:rsidR="00890F4D" w:rsidRPr="00491517">
        <w:rPr>
          <w:rFonts w:ascii="Cambria" w:hAnsi="Cambria"/>
          <w:color w:val="000000" w:themeColor="text1"/>
          <w:sz w:val="20"/>
          <w:szCs w:val="20"/>
          <w:lang w:val="es-CO"/>
        </w:rPr>
        <w:t xml:space="preserve"> de las entidades involucradas, es decir </w:t>
      </w:r>
      <w:r w:rsidR="007E6763" w:rsidRPr="00491517">
        <w:rPr>
          <w:rFonts w:ascii="Cambria" w:hAnsi="Cambria"/>
          <w:color w:val="000000" w:themeColor="text1"/>
          <w:sz w:val="20"/>
          <w:szCs w:val="20"/>
          <w:lang w:val="es-CO"/>
        </w:rPr>
        <w:t xml:space="preserve">de </w:t>
      </w:r>
      <w:r w:rsidR="00890F4D" w:rsidRPr="00491517">
        <w:rPr>
          <w:rFonts w:ascii="Cambria" w:hAnsi="Cambria"/>
          <w:color w:val="000000" w:themeColor="text1"/>
          <w:sz w:val="20"/>
          <w:szCs w:val="20"/>
          <w:lang w:val="es-CO"/>
        </w:rPr>
        <w:t>la</w:t>
      </w:r>
      <w:r w:rsidR="0056434A" w:rsidRPr="00491517">
        <w:rPr>
          <w:rFonts w:ascii="Cambria" w:hAnsi="Cambria"/>
          <w:color w:val="000000" w:themeColor="text1"/>
          <w:sz w:val="20"/>
          <w:szCs w:val="20"/>
          <w:lang w:val="es-CO"/>
        </w:rPr>
        <w:t xml:space="preserve"> Dirección General de Búsqueda de Personas Desaparecidas</w:t>
      </w:r>
      <w:r w:rsidR="00651B83" w:rsidRPr="00491517">
        <w:rPr>
          <w:rFonts w:ascii="Cambria" w:hAnsi="Cambria"/>
          <w:color w:val="000000" w:themeColor="text1"/>
          <w:sz w:val="20"/>
          <w:szCs w:val="20"/>
          <w:lang w:val="es-CO"/>
        </w:rPr>
        <w:t xml:space="preserve"> (DGBPD)</w:t>
      </w:r>
      <w:r w:rsidR="008C4634" w:rsidRPr="00491517">
        <w:rPr>
          <w:rFonts w:ascii="Cambria" w:hAnsi="Cambria"/>
          <w:color w:val="000000" w:themeColor="text1"/>
          <w:sz w:val="20"/>
          <w:szCs w:val="20"/>
          <w:lang w:val="es-CO"/>
        </w:rPr>
        <w:t xml:space="preserve">, </w:t>
      </w:r>
      <w:r w:rsidR="00890F4D" w:rsidRPr="00491517">
        <w:rPr>
          <w:rFonts w:ascii="Cambria" w:hAnsi="Cambria"/>
          <w:color w:val="000000" w:themeColor="text1"/>
          <w:sz w:val="20"/>
          <w:szCs w:val="20"/>
          <w:lang w:val="es-CO"/>
        </w:rPr>
        <w:t xml:space="preserve">como </w:t>
      </w:r>
      <w:r w:rsidR="008C4634" w:rsidRPr="00491517">
        <w:rPr>
          <w:rFonts w:ascii="Cambria" w:hAnsi="Cambria"/>
          <w:color w:val="000000" w:themeColor="text1"/>
          <w:sz w:val="20"/>
          <w:szCs w:val="20"/>
          <w:lang w:val="es-CO"/>
        </w:rPr>
        <w:t>órgano de línea de</w:t>
      </w:r>
      <w:r w:rsidR="00890F4D" w:rsidRPr="00491517">
        <w:rPr>
          <w:rFonts w:ascii="Cambria" w:hAnsi="Cambria"/>
          <w:color w:val="000000" w:themeColor="text1"/>
          <w:sz w:val="20"/>
          <w:szCs w:val="20"/>
          <w:lang w:val="es-CO"/>
        </w:rPr>
        <w:t>l MINJUSDH</w:t>
      </w:r>
      <w:r w:rsidR="007E6763" w:rsidRPr="00491517">
        <w:rPr>
          <w:rFonts w:ascii="Cambria" w:hAnsi="Cambria"/>
          <w:color w:val="000000" w:themeColor="text1"/>
          <w:sz w:val="20"/>
          <w:szCs w:val="20"/>
          <w:lang w:val="es-CO"/>
        </w:rPr>
        <w:t>,</w:t>
      </w:r>
      <w:r w:rsidR="00890F4D" w:rsidRPr="00491517">
        <w:rPr>
          <w:rFonts w:ascii="Cambria" w:hAnsi="Cambria"/>
          <w:color w:val="000000" w:themeColor="text1"/>
          <w:sz w:val="20"/>
          <w:szCs w:val="20"/>
          <w:lang w:val="es-CO"/>
        </w:rPr>
        <w:t xml:space="preserve"> y </w:t>
      </w:r>
      <w:r w:rsidR="007E6763" w:rsidRPr="00491517">
        <w:rPr>
          <w:rFonts w:ascii="Cambria" w:hAnsi="Cambria"/>
          <w:color w:val="000000" w:themeColor="text1"/>
          <w:sz w:val="20"/>
          <w:szCs w:val="20"/>
          <w:lang w:val="es-CO"/>
        </w:rPr>
        <w:t>d</w:t>
      </w:r>
      <w:r w:rsidR="0056434A" w:rsidRPr="00491517">
        <w:rPr>
          <w:rFonts w:ascii="Cambria" w:hAnsi="Cambria"/>
          <w:color w:val="000000" w:themeColor="text1"/>
          <w:sz w:val="20"/>
          <w:szCs w:val="20"/>
          <w:lang w:val="es-CO"/>
        </w:rPr>
        <w:t xml:space="preserve">el </w:t>
      </w:r>
      <w:r w:rsidR="00D80A03" w:rsidRPr="00491517">
        <w:rPr>
          <w:rFonts w:ascii="Cambria" w:hAnsi="Cambria"/>
          <w:color w:val="000000" w:themeColor="text1"/>
          <w:sz w:val="20"/>
          <w:szCs w:val="20"/>
          <w:lang w:val="es-ES"/>
        </w:rPr>
        <w:t>MP</w:t>
      </w:r>
      <w:r w:rsidR="0056434A" w:rsidRPr="00491517">
        <w:rPr>
          <w:rFonts w:ascii="Cambria" w:hAnsi="Cambria"/>
          <w:color w:val="000000" w:themeColor="text1"/>
          <w:sz w:val="20"/>
          <w:szCs w:val="20"/>
          <w:lang w:val="es-CO"/>
        </w:rPr>
        <w:t>.</w:t>
      </w:r>
      <w:r w:rsidR="00890F4D" w:rsidRPr="00491517">
        <w:rPr>
          <w:rFonts w:ascii="Cambria" w:hAnsi="Cambria"/>
          <w:color w:val="000000" w:themeColor="text1"/>
          <w:sz w:val="20"/>
          <w:szCs w:val="20"/>
          <w:lang w:val="es-CO"/>
        </w:rPr>
        <w:t xml:space="preserve"> En criterio del Estado, esta delegación de competencias evita la duplicidad de funciones entre ambas entidades.</w:t>
      </w:r>
      <w:r w:rsidR="00FC069E" w:rsidRPr="00491517">
        <w:rPr>
          <w:rFonts w:ascii="Cambria" w:hAnsi="Cambria"/>
          <w:color w:val="000000" w:themeColor="text1"/>
          <w:sz w:val="20"/>
          <w:szCs w:val="20"/>
          <w:lang w:val="es-CO"/>
        </w:rPr>
        <w:t xml:space="preserve"> </w:t>
      </w:r>
    </w:p>
    <w:p w14:paraId="18CA7DE6" w14:textId="77777777" w:rsidR="007E6763" w:rsidRPr="00491517" w:rsidRDefault="007E6763" w:rsidP="007E6763">
      <w:pPr>
        <w:pStyle w:val="ListParagraph"/>
        <w:spacing w:after="0" w:line="240" w:lineRule="auto"/>
        <w:ind w:left="714"/>
        <w:jc w:val="both"/>
        <w:rPr>
          <w:color w:val="000000" w:themeColor="text1"/>
          <w:lang w:val="es-CO"/>
        </w:rPr>
      </w:pPr>
    </w:p>
    <w:p w14:paraId="7231BD6B" w14:textId="3E34B84F" w:rsidR="00A90FD3" w:rsidRPr="00491517" w:rsidRDefault="00FC069E"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color w:val="000000" w:themeColor="text1"/>
          <w:sz w:val="20"/>
          <w:szCs w:val="20"/>
          <w:lang w:val="es-CO"/>
        </w:rPr>
        <w:t xml:space="preserve">Además, </w:t>
      </w:r>
      <w:r w:rsidR="00890F4D" w:rsidRPr="00491517">
        <w:rPr>
          <w:rFonts w:ascii="Cambria" w:hAnsi="Cambria"/>
          <w:color w:val="000000" w:themeColor="text1"/>
          <w:sz w:val="20"/>
          <w:szCs w:val="20"/>
          <w:lang w:val="es-CO"/>
        </w:rPr>
        <w:t xml:space="preserve">el Estado </w:t>
      </w:r>
      <w:r w:rsidRPr="00491517">
        <w:rPr>
          <w:rFonts w:ascii="Cambria" w:hAnsi="Cambria"/>
          <w:color w:val="000000" w:themeColor="text1"/>
          <w:sz w:val="20"/>
          <w:szCs w:val="20"/>
          <w:lang w:val="es-CO"/>
        </w:rPr>
        <w:t>señaló que la Directiva “Lineamientos para el ejercicio de la función fiscal en la búsqueda de personas desaparecidas”</w:t>
      </w:r>
      <w:r w:rsidRPr="00491517">
        <w:rPr>
          <w:rStyle w:val="FootnoteReference"/>
          <w:rFonts w:ascii="Cambria" w:hAnsi="Cambria"/>
          <w:color w:val="000000" w:themeColor="text1"/>
          <w:sz w:val="20"/>
          <w:szCs w:val="20"/>
        </w:rPr>
        <w:footnoteReference w:id="7"/>
      </w:r>
      <w:r w:rsidRPr="00491517">
        <w:rPr>
          <w:rFonts w:ascii="Cambria" w:hAnsi="Cambria"/>
          <w:color w:val="000000" w:themeColor="text1"/>
          <w:sz w:val="20"/>
          <w:szCs w:val="20"/>
          <w:lang w:val="es-CO"/>
        </w:rPr>
        <w:t xml:space="preserve"> de la Fiscalía de la Nación describe </w:t>
      </w:r>
      <w:r w:rsidR="00651B83" w:rsidRPr="00491517">
        <w:rPr>
          <w:rFonts w:ascii="Cambria" w:hAnsi="Cambria"/>
          <w:color w:val="000000" w:themeColor="text1"/>
          <w:sz w:val="20"/>
          <w:szCs w:val="20"/>
          <w:lang w:val="es-CO"/>
        </w:rPr>
        <w:t>cómo</w:t>
      </w:r>
      <w:r w:rsidRPr="00491517">
        <w:rPr>
          <w:rFonts w:ascii="Cambria" w:hAnsi="Cambria"/>
          <w:color w:val="000000" w:themeColor="text1"/>
          <w:sz w:val="20"/>
          <w:szCs w:val="20"/>
          <w:lang w:val="es-CO"/>
        </w:rPr>
        <w:t xml:space="preserve"> el MP coordina con la DGBPD </w:t>
      </w:r>
      <w:r w:rsidR="00C47C6D" w:rsidRPr="00491517">
        <w:rPr>
          <w:rFonts w:ascii="Cambria" w:hAnsi="Cambria"/>
          <w:color w:val="000000" w:themeColor="text1"/>
          <w:sz w:val="20"/>
          <w:szCs w:val="20"/>
          <w:lang w:val="es-CO"/>
        </w:rPr>
        <w:t>su</w:t>
      </w:r>
      <w:r w:rsidRPr="00491517">
        <w:rPr>
          <w:rFonts w:ascii="Cambria" w:hAnsi="Cambria"/>
          <w:color w:val="000000" w:themeColor="text1"/>
          <w:sz w:val="20"/>
          <w:szCs w:val="20"/>
          <w:lang w:val="es-CO"/>
        </w:rPr>
        <w:t xml:space="preserve"> intervención conjunta</w:t>
      </w:r>
      <w:r w:rsidR="00651B83" w:rsidRPr="00491517">
        <w:rPr>
          <w:rFonts w:ascii="Cambria" w:hAnsi="Cambria"/>
          <w:color w:val="000000" w:themeColor="text1"/>
          <w:sz w:val="20"/>
          <w:szCs w:val="20"/>
          <w:lang w:val="es-CO"/>
        </w:rPr>
        <w:t xml:space="preserve"> en la búsqueda</w:t>
      </w:r>
      <w:r w:rsidRPr="00491517">
        <w:rPr>
          <w:rFonts w:ascii="Cambria" w:hAnsi="Cambria"/>
          <w:color w:val="000000" w:themeColor="text1"/>
          <w:sz w:val="20"/>
          <w:szCs w:val="20"/>
          <w:lang w:val="es-CO"/>
        </w:rPr>
        <w:t xml:space="preserve">. </w:t>
      </w:r>
      <w:r w:rsidR="00D80A03" w:rsidRPr="00491517">
        <w:rPr>
          <w:rFonts w:ascii="Cambria" w:hAnsi="Cambria"/>
          <w:color w:val="000000" w:themeColor="text1"/>
          <w:sz w:val="20"/>
          <w:szCs w:val="20"/>
          <w:lang w:val="es-CO"/>
        </w:rPr>
        <w:t xml:space="preserve">En este sentido, el Estado informó que, el 4 de febrero de 2020, el MP y el </w:t>
      </w:r>
      <w:r w:rsidR="007721F2" w:rsidRPr="00491517">
        <w:rPr>
          <w:rFonts w:ascii="Cambria" w:hAnsi="Cambria"/>
          <w:color w:val="000000" w:themeColor="text1"/>
          <w:sz w:val="20"/>
          <w:szCs w:val="20"/>
          <w:lang w:val="es-CO"/>
        </w:rPr>
        <w:t>MINJUDH</w:t>
      </w:r>
      <w:r w:rsidR="00D80A03" w:rsidRPr="00491517">
        <w:rPr>
          <w:rFonts w:ascii="Cambria" w:hAnsi="Cambria"/>
          <w:color w:val="000000" w:themeColor="text1"/>
          <w:sz w:val="20"/>
          <w:szCs w:val="20"/>
          <w:lang w:val="es-CO"/>
        </w:rPr>
        <w:t xml:space="preserve"> suscribieron un convenio de cooperación interinstitucional </w:t>
      </w:r>
      <w:r w:rsidR="007721F2" w:rsidRPr="00491517">
        <w:rPr>
          <w:rFonts w:ascii="Cambria" w:hAnsi="Cambria"/>
          <w:color w:val="000000" w:themeColor="text1"/>
          <w:sz w:val="20"/>
          <w:szCs w:val="20"/>
          <w:lang w:val="es-CO"/>
        </w:rPr>
        <w:t>para</w:t>
      </w:r>
      <w:r w:rsidR="00D80A03" w:rsidRPr="00491517">
        <w:rPr>
          <w:rFonts w:ascii="Cambria" w:hAnsi="Cambria"/>
          <w:color w:val="000000" w:themeColor="text1"/>
          <w:sz w:val="20"/>
          <w:szCs w:val="20"/>
          <w:lang w:val="es-CO"/>
        </w:rPr>
        <w:t xml:space="preserve"> coordinar el intercambio de información</w:t>
      </w:r>
      <w:r w:rsidR="00651B83" w:rsidRPr="00491517">
        <w:rPr>
          <w:rFonts w:ascii="Cambria" w:hAnsi="Cambria"/>
          <w:color w:val="000000" w:themeColor="text1"/>
          <w:sz w:val="20"/>
          <w:szCs w:val="20"/>
          <w:lang w:val="es-CO"/>
        </w:rPr>
        <w:t xml:space="preserve"> (</w:t>
      </w:r>
      <w:r w:rsidR="007721F2" w:rsidRPr="00491517">
        <w:rPr>
          <w:rFonts w:ascii="Cambria" w:hAnsi="Cambria"/>
          <w:color w:val="000000" w:themeColor="text1"/>
          <w:sz w:val="20"/>
          <w:szCs w:val="20"/>
          <w:lang w:val="es-CO"/>
        </w:rPr>
        <w:t>considerando</w:t>
      </w:r>
      <w:r w:rsidR="00D80A03" w:rsidRPr="00491517">
        <w:rPr>
          <w:rFonts w:ascii="Cambria" w:hAnsi="Cambria"/>
          <w:color w:val="000000" w:themeColor="text1"/>
          <w:sz w:val="20"/>
          <w:szCs w:val="20"/>
          <w:lang w:val="es-CO"/>
        </w:rPr>
        <w:t xml:space="preserve"> los límites de la reserva de la investigación fisca</w:t>
      </w:r>
      <w:r w:rsidR="00651B83" w:rsidRPr="00491517">
        <w:rPr>
          <w:rFonts w:ascii="Cambria" w:hAnsi="Cambria"/>
          <w:color w:val="000000" w:themeColor="text1"/>
          <w:sz w:val="20"/>
          <w:szCs w:val="20"/>
          <w:lang w:val="es-CO"/>
        </w:rPr>
        <w:t>l);</w:t>
      </w:r>
      <w:r w:rsidR="00D80A03" w:rsidRPr="00491517">
        <w:rPr>
          <w:rFonts w:ascii="Cambria" w:hAnsi="Cambria"/>
          <w:color w:val="000000" w:themeColor="text1"/>
          <w:sz w:val="20"/>
          <w:szCs w:val="20"/>
          <w:lang w:val="es-CO"/>
        </w:rPr>
        <w:t xml:space="preserve"> la participación en las etapas del proceso de búsqueda</w:t>
      </w:r>
      <w:r w:rsidR="00651B83" w:rsidRPr="00491517">
        <w:rPr>
          <w:rFonts w:ascii="Cambria" w:hAnsi="Cambria"/>
          <w:color w:val="000000" w:themeColor="text1"/>
          <w:sz w:val="20"/>
          <w:szCs w:val="20"/>
          <w:lang w:val="es-CO"/>
        </w:rPr>
        <w:t>;</w:t>
      </w:r>
      <w:r w:rsidR="00D80A03" w:rsidRPr="00491517">
        <w:rPr>
          <w:rFonts w:ascii="Cambria" w:hAnsi="Cambria"/>
          <w:color w:val="000000" w:themeColor="text1"/>
          <w:sz w:val="20"/>
          <w:szCs w:val="20"/>
          <w:lang w:val="es-CO"/>
        </w:rPr>
        <w:t xml:space="preserve"> la recuperación, análisis e identificación de restos</w:t>
      </w:r>
      <w:r w:rsidR="00651B83" w:rsidRPr="00491517">
        <w:rPr>
          <w:rFonts w:ascii="Cambria" w:hAnsi="Cambria"/>
          <w:color w:val="000000" w:themeColor="text1"/>
          <w:sz w:val="20"/>
          <w:szCs w:val="20"/>
          <w:lang w:val="es-CO"/>
        </w:rPr>
        <w:t>;</w:t>
      </w:r>
      <w:r w:rsidR="00D80A03" w:rsidRPr="00491517">
        <w:rPr>
          <w:rFonts w:ascii="Cambria" w:hAnsi="Cambria"/>
          <w:color w:val="000000" w:themeColor="text1"/>
          <w:sz w:val="20"/>
          <w:szCs w:val="20"/>
          <w:lang w:val="es-CO"/>
        </w:rPr>
        <w:t xml:space="preserve"> la verificación de sitios de entierro</w:t>
      </w:r>
      <w:r w:rsidR="00651B83" w:rsidRPr="00491517">
        <w:rPr>
          <w:rFonts w:ascii="Cambria" w:hAnsi="Cambria"/>
          <w:color w:val="000000" w:themeColor="text1"/>
          <w:sz w:val="20"/>
          <w:szCs w:val="20"/>
          <w:lang w:val="es-CO"/>
        </w:rPr>
        <w:t>,</w:t>
      </w:r>
      <w:r w:rsidR="00D80A03" w:rsidRPr="00491517">
        <w:rPr>
          <w:rFonts w:ascii="Cambria" w:hAnsi="Cambria"/>
          <w:color w:val="000000" w:themeColor="text1"/>
          <w:sz w:val="20"/>
          <w:szCs w:val="20"/>
          <w:lang w:val="es-CO"/>
        </w:rPr>
        <w:t xml:space="preserve"> y la toma de muestras biológicas de los desaparecidos y de sus familiares </w:t>
      </w:r>
      <w:r w:rsidR="009C4BB8" w:rsidRPr="00491517">
        <w:rPr>
          <w:rFonts w:ascii="Cambria" w:hAnsi="Cambria"/>
          <w:color w:val="000000" w:themeColor="text1"/>
          <w:sz w:val="20"/>
          <w:szCs w:val="20"/>
          <w:lang w:val="es-CO"/>
        </w:rPr>
        <w:t>para</w:t>
      </w:r>
      <w:r w:rsidR="00D80A03" w:rsidRPr="00491517">
        <w:rPr>
          <w:rFonts w:ascii="Cambria" w:hAnsi="Cambria"/>
          <w:color w:val="000000" w:themeColor="text1"/>
          <w:sz w:val="20"/>
          <w:szCs w:val="20"/>
          <w:lang w:val="es-CO"/>
        </w:rPr>
        <w:t xml:space="preserve"> identificarlos y restituirlos. </w:t>
      </w:r>
    </w:p>
    <w:p w14:paraId="793CA51C" w14:textId="77777777" w:rsidR="00A90FD3" w:rsidRPr="00491517" w:rsidRDefault="00A90FD3" w:rsidP="00A90FD3">
      <w:pPr>
        <w:pStyle w:val="ListParagraph"/>
        <w:rPr>
          <w:rFonts w:ascii="Cambria" w:hAnsi="Cambria"/>
          <w:color w:val="000000" w:themeColor="text1"/>
          <w:sz w:val="20"/>
          <w:szCs w:val="20"/>
          <w:lang w:val="es-CO"/>
        </w:rPr>
      </w:pPr>
    </w:p>
    <w:p w14:paraId="39649804" w14:textId="37A93A63" w:rsidR="00024511" w:rsidRPr="00491517" w:rsidRDefault="00AE7DC8"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color w:val="000000" w:themeColor="text1"/>
          <w:sz w:val="20"/>
          <w:szCs w:val="20"/>
          <w:lang w:val="es-CO"/>
        </w:rPr>
        <w:t>Además</w:t>
      </w:r>
      <w:r w:rsidR="000037DB" w:rsidRPr="00491517">
        <w:rPr>
          <w:rFonts w:ascii="Cambria" w:hAnsi="Cambria" w:cs="Calibri Light"/>
          <w:color w:val="000000" w:themeColor="text1"/>
          <w:sz w:val="20"/>
          <w:szCs w:val="20"/>
          <w:lang w:val="es-CO"/>
        </w:rPr>
        <w:t xml:space="preserve">, el Estado indicó que el </w:t>
      </w:r>
      <w:r w:rsidR="000037DB" w:rsidRPr="00491517">
        <w:rPr>
          <w:rFonts w:ascii="Cambria" w:hAnsi="Cambria"/>
          <w:color w:val="000000" w:themeColor="text1"/>
          <w:sz w:val="20"/>
          <w:szCs w:val="20"/>
          <w:lang w:val="es-ES"/>
        </w:rPr>
        <w:t>MP</w:t>
      </w:r>
      <w:r w:rsidR="000037DB" w:rsidRPr="00491517">
        <w:rPr>
          <w:rFonts w:ascii="Cambria" w:hAnsi="Cambria" w:cs="Calibri Light"/>
          <w:color w:val="000000" w:themeColor="text1"/>
          <w:sz w:val="20"/>
          <w:szCs w:val="20"/>
          <w:lang w:val="es-CO"/>
        </w:rPr>
        <w:t xml:space="preserve"> (</w:t>
      </w:r>
      <w:r w:rsidRPr="00491517">
        <w:rPr>
          <w:rFonts w:ascii="Cambria" w:hAnsi="Cambria" w:cs="Calibri Light"/>
          <w:color w:val="000000" w:themeColor="text1"/>
          <w:sz w:val="20"/>
          <w:szCs w:val="20"/>
          <w:lang w:val="es-CO"/>
        </w:rPr>
        <w:t xml:space="preserve">a través de </w:t>
      </w:r>
      <w:r w:rsidR="000037DB" w:rsidRPr="00491517">
        <w:rPr>
          <w:rFonts w:ascii="Cambria" w:hAnsi="Cambria" w:cs="Calibri Light"/>
          <w:color w:val="000000" w:themeColor="text1"/>
          <w:sz w:val="20"/>
          <w:szCs w:val="20"/>
          <w:lang w:val="es-CO"/>
        </w:rPr>
        <w:t>la Fiscalía Coordinadora de las Fiscalías Supraprovinciales de Derechos Humanos y el Instituto de Medicina Legal o IML), el MINJUSDH (</w:t>
      </w:r>
      <w:r w:rsidRPr="00491517">
        <w:rPr>
          <w:rFonts w:ascii="Cambria" w:hAnsi="Cambria" w:cs="Calibri Light"/>
          <w:color w:val="000000" w:themeColor="text1"/>
          <w:sz w:val="20"/>
          <w:szCs w:val="20"/>
          <w:lang w:val="es-CO"/>
        </w:rPr>
        <w:t xml:space="preserve">a través de </w:t>
      </w:r>
      <w:r w:rsidR="000037DB" w:rsidRPr="00491517">
        <w:rPr>
          <w:rFonts w:ascii="Cambria" w:hAnsi="Cambria" w:cs="Calibri Light"/>
          <w:color w:val="000000" w:themeColor="text1"/>
          <w:sz w:val="20"/>
          <w:szCs w:val="20"/>
          <w:lang w:val="es-CO"/>
        </w:rPr>
        <w:t xml:space="preserve">la DGBPD y la Dirección de Registro e Investigación Forense) y el Comité Internacional de la Cruz Roja (CICR) conformaron una comisión para elaborar una estrategia </w:t>
      </w:r>
      <w:r w:rsidR="00D62D5B" w:rsidRPr="00491517">
        <w:rPr>
          <w:rFonts w:ascii="Cambria" w:hAnsi="Cambria" w:cs="Calibri Light"/>
          <w:color w:val="000000" w:themeColor="text1"/>
          <w:sz w:val="20"/>
          <w:szCs w:val="20"/>
          <w:lang w:val="es-CO"/>
        </w:rPr>
        <w:t>sobre identificación de</w:t>
      </w:r>
      <w:r w:rsidR="000037DB" w:rsidRPr="00491517">
        <w:rPr>
          <w:rFonts w:ascii="Cambria" w:hAnsi="Cambria" w:cs="Calibri Light"/>
          <w:color w:val="000000" w:themeColor="text1"/>
          <w:sz w:val="20"/>
          <w:szCs w:val="20"/>
          <w:lang w:val="es-CO"/>
        </w:rPr>
        <w:t xml:space="preserve"> los restos humanos recuperados por el </w:t>
      </w:r>
      <w:r w:rsidR="000037DB" w:rsidRPr="00491517">
        <w:rPr>
          <w:rFonts w:ascii="Cambria" w:hAnsi="Cambria"/>
          <w:color w:val="000000" w:themeColor="text1"/>
          <w:sz w:val="20"/>
          <w:szCs w:val="20"/>
          <w:lang w:val="es-ES"/>
        </w:rPr>
        <w:t>MP</w:t>
      </w:r>
      <w:r w:rsidR="000037DB" w:rsidRPr="00491517">
        <w:rPr>
          <w:rFonts w:ascii="Cambria" w:hAnsi="Cambria" w:cs="Calibri Light"/>
          <w:color w:val="000000" w:themeColor="text1"/>
          <w:sz w:val="20"/>
          <w:szCs w:val="20"/>
          <w:lang w:val="es-CO"/>
        </w:rPr>
        <w:t xml:space="preserve"> y almacenados en el IML.</w:t>
      </w:r>
      <w:r w:rsidR="00D227D0" w:rsidRPr="00491517">
        <w:rPr>
          <w:rFonts w:ascii="Cambria" w:hAnsi="Cambria" w:cs="Calibri Light"/>
          <w:color w:val="000000" w:themeColor="text1"/>
          <w:sz w:val="20"/>
          <w:szCs w:val="20"/>
          <w:lang w:val="es-CO"/>
        </w:rPr>
        <w:t xml:space="preserve"> </w:t>
      </w:r>
      <w:r w:rsidR="00614DE7" w:rsidRPr="00491517">
        <w:rPr>
          <w:rFonts w:ascii="Cambria" w:hAnsi="Cambria"/>
          <w:color w:val="000000" w:themeColor="text1"/>
          <w:sz w:val="20"/>
          <w:szCs w:val="20"/>
          <w:lang w:val="es-EC"/>
        </w:rPr>
        <w:t xml:space="preserve">Asimismo, </w:t>
      </w:r>
      <w:r w:rsidR="00D227D0" w:rsidRPr="00491517">
        <w:rPr>
          <w:rFonts w:ascii="Cambria" w:hAnsi="Cambria"/>
          <w:color w:val="000000" w:themeColor="text1"/>
          <w:sz w:val="20"/>
          <w:szCs w:val="20"/>
          <w:lang w:val="es-EC"/>
        </w:rPr>
        <w:t xml:space="preserve">el Estado </w:t>
      </w:r>
      <w:r w:rsidR="00FB12E3" w:rsidRPr="00491517">
        <w:rPr>
          <w:rFonts w:ascii="Cambria" w:hAnsi="Cambria"/>
          <w:color w:val="000000" w:themeColor="text1"/>
          <w:sz w:val="20"/>
          <w:szCs w:val="20"/>
          <w:lang w:val="es-EC"/>
        </w:rPr>
        <w:t>indicó que</w:t>
      </w:r>
      <w:r w:rsidR="003B6E55" w:rsidRPr="00491517">
        <w:rPr>
          <w:rFonts w:ascii="Cambria" w:hAnsi="Cambria"/>
          <w:color w:val="000000" w:themeColor="text1"/>
          <w:sz w:val="20"/>
          <w:szCs w:val="20"/>
          <w:lang w:val="es-EC"/>
        </w:rPr>
        <w:t xml:space="preserve"> los casos del Comunicado de Prensa se </w:t>
      </w:r>
      <w:r w:rsidR="003B6E55" w:rsidRPr="00A36C6E">
        <w:rPr>
          <w:rFonts w:ascii="Cambria" w:hAnsi="Cambria"/>
          <w:color w:val="000000" w:themeColor="text1"/>
          <w:sz w:val="20"/>
          <w:szCs w:val="20"/>
          <w:lang w:val="es-CO"/>
        </w:rPr>
        <w:t>atienden</w:t>
      </w:r>
      <w:r w:rsidR="003B6E55" w:rsidRPr="00491517">
        <w:rPr>
          <w:rFonts w:ascii="Cambria" w:hAnsi="Cambria"/>
          <w:color w:val="000000" w:themeColor="text1"/>
          <w:sz w:val="20"/>
          <w:szCs w:val="20"/>
          <w:lang w:val="es-EC"/>
        </w:rPr>
        <w:t xml:space="preserve"> </w:t>
      </w:r>
      <w:r w:rsidR="00892602" w:rsidRPr="00491517">
        <w:rPr>
          <w:rFonts w:ascii="Cambria" w:hAnsi="Cambria"/>
          <w:color w:val="000000" w:themeColor="text1"/>
          <w:sz w:val="20"/>
          <w:szCs w:val="20"/>
          <w:lang w:val="es-EC"/>
        </w:rPr>
        <w:t xml:space="preserve">generalmente </w:t>
      </w:r>
      <w:r w:rsidR="003B6E55" w:rsidRPr="00491517">
        <w:rPr>
          <w:rFonts w:ascii="Cambria" w:hAnsi="Cambria"/>
          <w:color w:val="000000" w:themeColor="text1"/>
          <w:sz w:val="20"/>
          <w:szCs w:val="20"/>
          <w:lang w:val="es-EC"/>
        </w:rPr>
        <w:t xml:space="preserve">en investigaciones que incluyen a </w:t>
      </w:r>
      <w:r w:rsidR="00B10565" w:rsidRPr="00491517">
        <w:rPr>
          <w:rFonts w:ascii="Cambria" w:hAnsi="Cambria"/>
          <w:color w:val="000000" w:themeColor="text1"/>
          <w:sz w:val="20"/>
          <w:szCs w:val="20"/>
          <w:lang w:val="es-EC"/>
        </w:rPr>
        <w:t xml:space="preserve">varias </w:t>
      </w:r>
      <w:r w:rsidR="003B6E55" w:rsidRPr="00491517">
        <w:rPr>
          <w:rFonts w:ascii="Cambria" w:hAnsi="Cambria"/>
          <w:color w:val="000000" w:themeColor="text1"/>
          <w:sz w:val="20"/>
          <w:szCs w:val="20"/>
          <w:lang w:val="es-EC"/>
        </w:rPr>
        <w:t xml:space="preserve">personas desaparecidas en condiciones similares, </w:t>
      </w:r>
      <w:r w:rsidR="00997590" w:rsidRPr="00491517">
        <w:rPr>
          <w:rFonts w:ascii="Cambria" w:hAnsi="Cambria"/>
          <w:color w:val="000000" w:themeColor="text1"/>
          <w:sz w:val="20"/>
          <w:szCs w:val="20"/>
          <w:lang w:val="es-EC"/>
        </w:rPr>
        <w:t>con el fin de</w:t>
      </w:r>
      <w:r w:rsidR="003B6E55" w:rsidRPr="00491517">
        <w:rPr>
          <w:rFonts w:ascii="Cambria" w:hAnsi="Cambria"/>
          <w:color w:val="000000" w:themeColor="text1"/>
          <w:sz w:val="20"/>
          <w:szCs w:val="20"/>
          <w:lang w:val="es-EC"/>
        </w:rPr>
        <w:t xml:space="preserve"> emplear</w:t>
      </w:r>
      <w:r w:rsidR="00D227D0" w:rsidRPr="00491517">
        <w:rPr>
          <w:rFonts w:ascii="Cambria" w:hAnsi="Cambria"/>
          <w:color w:val="000000" w:themeColor="text1"/>
          <w:sz w:val="20"/>
          <w:szCs w:val="20"/>
          <w:lang w:val="es-EC"/>
        </w:rPr>
        <w:t xml:space="preserve"> recursos</w:t>
      </w:r>
      <w:r w:rsidR="003B6E55" w:rsidRPr="00491517">
        <w:rPr>
          <w:rFonts w:ascii="Cambria" w:hAnsi="Cambria"/>
          <w:color w:val="000000" w:themeColor="text1"/>
          <w:sz w:val="20"/>
          <w:szCs w:val="20"/>
          <w:lang w:val="es-EC"/>
        </w:rPr>
        <w:t xml:space="preserve"> eficientemente.</w:t>
      </w:r>
    </w:p>
    <w:p w14:paraId="63289496" w14:textId="77777777" w:rsidR="00024511" w:rsidRPr="00491517" w:rsidRDefault="00024511" w:rsidP="00024511">
      <w:pPr>
        <w:pStyle w:val="ListParagraph"/>
        <w:rPr>
          <w:rFonts w:ascii="Cambria" w:hAnsi="Cambria"/>
          <w:color w:val="000000" w:themeColor="text1"/>
          <w:sz w:val="20"/>
          <w:szCs w:val="20"/>
          <w:lang w:val="es-EC"/>
        </w:rPr>
      </w:pPr>
    </w:p>
    <w:p w14:paraId="63F47445" w14:textId="65B4F7AB" w:rsidR="00147E45" w:rsidRPr="00491517" w:rsidRDefault="00997590"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color w:val="000000" w:themeColor="text1"/>
          <w:sz w:val="20"/>
          <w:szCs w:val="20"/>
          <w:lang w:val="es-EC"/>
        </w:rPr>
        <w:t>Igualmente, e</w:t>
      </w:r>
      <w:r w:rsidR="00024511" w:rsidRPr="00491517">
        <w:rPr>
          <w:rFonts w:ascii="Cambria" w:hAnsi="Cambria"/>
          <w:color w:val="000000" w:themeColor="text1"/>
          <w:sz w:val="20"/>
          <w:szCs w:val="20"/>
          <w:lang w:val="es-EC"/>
        </w:rPr>
        <w:t>l Estado i</w:t>
      </w:r>
      <w:r w:rsidR="00AB6665" w:rsidRPr="00491517">
        <w:rPr>
          <w:rFonts w:ascii="Cambria" w:hAnsi="Cambria"/>
          <w:color w:val="000000" w:themeColor="text1"/>
          <w:sz w:val="20"/>
          <w:szCs w:val="20"/>
          <w:lang w:val="es-EC"/>
        </w:rPr>
        <w:t xml:space="preserve">ndicó que, </w:t>
      </w:r>
      <w:r w:rsidR="00024511" w:rsidRPr="00491517">
        <w:rPr>
          <w:rFonts w:ascii="Cambria" w:hAnsi="Cambria"/>
          <w:color w:val="000000" w:themeColor="text1"/>
          <w:sz w:val="20"/>
          <w:szCs w:val="20"/>
          <w:lang w:val="es-EC"/>
        </w:rPr>
        <w:t>en</w:t>
      </w:r>
      <w:r w:rsidR="00AB6665" w:rsidRPr="00491517">
        <w:rPr>
          <w:rFonts w:ascii="Cambria" w:hAnsi="Cambria"/>
          <w:color w:val="000000" w:themeColor="text1"/>
          <w:sz w:val="20"/>
          <w:szCs w:val="20"/>
          <w:lang w:val="es-EC"/>
        </w:rPr>
        <w:t xml:space="preserve"> abril de 2021, se estaba elaborando una estrategia para atender</w:t>
      </w:r>
      <w:r w:rsidR="00147E45" w:rsidRPr="00491517">
        <w:rPr>
          <w:rFonts w:ascii="Cambria" w:hAnsi="Cambria"/>
          <w:color w:val="000000" w:themeColor="text1"/>
          <w:sz w:val="20"/>
          <w:szCs w:val="20"/>
          <w:lang w:val="es-EC"/>
        </w:rPr>
        <w:t xml:space="preserve"> de manera progresiva y por etapas</w:t>
      </w:r>
      <w:r w:rsidR="00AB6665" w:rsidRPr="00491517">
        <w:rPr>
          <w:rFonts w:ascii="Cambria" w:hAnsi="Cambria"/>
          <w:color w:val="000000" w:themeColor="text1"/>
          <w:sz w:val="20"/>
          <w:szCs w:val="20"/>
          <w:lang w:val="es-EC"/>
        </w:rPr>
        <w:t xml:space="preserve"> los casos de 431 personas desaparecidas, de las cuales la desaparición de 79 es seguida </w:t>
      </w:r>
      <w:r w:rsidR="008E77A9" w:rsidRPr="00491517">
        <w:rPr>
          <w:rFonts w:ascii="Cambria" w:hAnsi="Cambria"/>
          <w:color w:val="000000" w:themeColor="text1"/>
          <w:sz w:val="20"/>
          <w:szCs w:val="20"/>
          <w:lang w:val="es-EC"/>
        </w:rPr>
        <w:t>ante</w:t>
      </w:r>
      <w:r w:rsidR="00AB6665" w:rsidRPr="00491517">
        <w:rPr>
          <w:rFonts w:ascii="Cambria" w:hAnsi="Cambria"/>
          <w:color w:val="000000" w:themeColor="text1"/>
          <w:sz w:val="20"/>
          <w:szCs w:val="20"/>
          <w:lang w:val="es-EC"/>
        </w:rPr>
        <w:t xml:space="preserve"> la Corte Interamericana de Derechos Humanos </w:t>
      </w:r>
      <w:r w:rsidR="00D97DB2" w:rsidRPr="00491517">
        <w:rPr>
          <w:rFonts w:ascii="Cambria" w:hAnsi="Cambria"/>
          <w:color w:val="000000" w:themeColor="text1"/>
          <w:sz w:val="20"/>
          <w:szCs w:val="20"/>
          <w:lang w:val="es-EC"/>
        </w:rPr>
        <w:t>y</w:t>
      </w:r>
      <w:r w:rsidR="00B10565" w:rsidRPr="00491517">
        <w:rPr>
          <w:rFonts w:ascii="Cambria" w:hAnsi="Cambria"/>
          <w:color w:val="000000" w:themeColor="text1"/>
          <w:sz w:val="20"/>
          <w:szCs w:val="20"/>
          <w:lang w:val="es-EC"/>
        </w:rPr>
        <w:t xml:space="preserve"> la desaparición</w:t>
      </w:r>
      <w:r w:rsidR="00D97DB2" w:rsidRPr="00491517">
        <w:rPr>
          <w:rFonts w:ascii="Cambria" w:hAnsi="Cambria"/>
          <w:color w:val="000000" w:themeColor="text1"/>
          <w:sz w:val="20"/>
          <w:szCs w:val="20"/>
          <w:lang w:val="es-EC"/>
        </w:rPr>
        <w:t xml:space="preserve"> de </w:t>
      </w:r>
      <w:r w:rsidR="00AB6665" w:rsidRPr="00491517">
        <w:rPr>
          <w:rFonts w:ascii="Cambria" w:hAnsi="Cambria"/>
          <w:color w:val="000000" w:themeColor="text1"/>
          <w:sz w:val="20"/>
          <w:szCs w:val="20"/>
          <w:lang w:val="es-EC"/>
        </w:rPr>
        <w:t>352</w:t>
      </w:r>
      <w:r w:rsidR="008E77A9" w:rsidRPr="00491517">
        <w:rPr>
          <w:rFonts w:ascii="Cambria" w:hAnsi="Cambria"/>
          <w:color w:val="000000" w:themeColor="text1"/>
          <w:sz w:val="20"/>
          <w:szCs w:val="20"/>
          <w:lang w:val="es-EC"/>
        </w:rPr>
        <w:t xml:space="preserve"> ante</w:t>
      </w:r>
      <w:r w:rsidR="00AB6665" w:rsidRPr="00491517">
        <w:rPr>
          <w:rFonts w:ascii="Cambria" w:hAnsi="Cambria"/>
          <w:color w:val="000000" w:themeColor="text1"/>
          <w:sz w:val="20"/>
          <w:szCs w:val="20"/>
          <w:lang w:val="es-EC"/>
        </w:rPr>
        <w:t xml:space="preserve"> la CIDH.</w:t>
      </w:r>
      <w:r w:rsidR="00D97DB2" w:rsidRPr="00491517">
        <w:rPr>
          <w:rFonts w:ascii="Cambria" w:hAnsi="Cambria"/>
          <w:color w:val="000000" w:themeColor="text1"/>
          <w:sz w:val="20"/>
          <w:szCs w:val="20"/>
          <w:lang w:val="es-EC"/>
        </w:rPr>
        <w:t xml:space="preserve"> </w:t>
      </w:r>
      <w:r w:rsidR="00147E45" w:rsidRPr="00491517">
        <w:rPr>
          <w:rFonts w:ascii="Cambria" w:hAnsi="Cambria"/>
          <w:color w:val="000000" w:themeColor="text1"/>
          <w:sz w:val="20"/>
          <w:szCs w:val="20"/>
          <w:lang w:val="es-EC"/>
        </w:rPr>
        <w:t>El Estado explicó que la primera etapa de la estrategia</w:t>
      </w:r>
      <w:r w:rsidR="00D16219" w:rsidRPr="00491517">
        <w:rPr>
          <w:rFonts w:ascii="Cambria" w:hAnsi="Cambria"/>
          <w:color w:val="000000" w:themeColor="text1"/>
          <w:sz w:val="20"/>
          <w:szCs w:val="20"/>
          <w:lang w:val="es-EC"/>
        </w:rPr>
        <w:t xml:space="preserve"> abordó casos que </w:t>
      </w:r>
      <w:r w:rsidR="00147E45" w:rsidRPr="00491517">
        <w:rPr>
          <w:rFonts w:ascii="Cambria" w:hAnsi="Cambria"/>
          <w:color w:val="000000" w:themeColor="text1"/>
          <w:sz w:val="20"/>
          <w:szCs w:val="20"/>
          <w:lang w:val="es-EC"/>
        </w:rPr>
        <w:t xml:space="preserve">fueron incluidos en la Planificación </w:t>
      </w:r>
      <w:r w:rsidR="00147E45" w:rsidRPr="00A36C6E">
        <w:rPr>
          <w:rFonts w:ascii="Cambria" w:hAnsi="Cambria"/>
          <w:color w:val="000000" w:themeColor="text1"/>
          <w:sz w:val="20"/>
          <w:szCs w:val="20"/>
          <w:lang w:val="es-CO"/>
        </w:rPr>
        <w:t>Operativa</w:t>
      </w:r>
      <w:r w:rsidR="00147E45" w:rsidRPr="00491517">
        <w:rPr>
          <w:rFonts w:ascii="Cambria" w:hAnsi="Cambria"/>
          <w:color w:val="000000" w:themeColor="text1"/>
          <w:sz w:val="20"/>
          <w:szCs w:val="20"/>
          <w:lang w:val="es-EC"/>
        </w:rPr>
        <w:t xml:space="preserve"> 2021 de la DGBPD y que los demás casos serán incluidos progresivamente en las siguientes etapas. </w:t>
      </w:r>
      <w:r w:rsidR="00CA51FA" w:rsidRPr="00491517">
        <w:rPr>
          <w:rFonts w:ascii="Cambria" w:hAnsi="Cambria"/>
          <w:color w:val="000000" w:themeColor="text1"/>
          <w:sz w:val="20"/>
          <w:szCs w:val="20"/>
          <w:lang w:val="es-EC"/>
        </w:rPr>
        <w:t xml:space="preserve">Además, precisó que </w:t>
      </w:r>
      <w:r w:rsidR="00D16219" w:rsidRPr="00491517">
        <w:rPr>
          <w:rFonts w:ascii="Cambria" w:hAnsi="Cambria"/>
          <w:color w:val="000000" w:themeColor="text1"/>
          <w:sz w:val="20"/>
          <w:szCs w:val="20"/>
          <w:lang w:val="es-EC"/>
        </w:rPr>
        <w:t xml:space="preserve">la definición de </w:t>
      </w:r>
      <w:r w:rsidR="00C47C6D" w:rsidRPr="00491517">
        <w:rPr>
          <w:rFonts w:ascii="Cambria" w:hAnsi="Cambria"/>
          <w:color w:val="000000" w:themeColor="text1"/>
          <w:sz w:val="20"/>
          <w:szCs w:val="20"/>
          <w:lang w:val="es-EC"/>
        </w:rPr>
        <w:t>estas</w:t>
      </w:r>
      <w:r w:rsidR="00CA51FA" w:rsidRPr="00491517">
        <w:rPr>
          <w:rFonts w:ascii="Cambria" w:hAnsi="Cambria"/>
          <w:color w:val="000000" w:themeColor="text1"/>
          <w:sz w:val="20"/>
          <w:szCs w:val="20"/>
          <w:lang w:val="es-EC"/>
        </w:rPr>
        <w:t xml:space="preserve"> etapas depende de la </w:t>
      </w:r>
      <w:r w:rsidR="00D16219" w:rsidRPr="00491517">
        <w:rPr>
          <w:rFonts w:ascii="Cambria" w:hAnsi="Cambria"/>
          <w:color w:val="000000" w:themeColor="text1"/>
          <w:sz w:val="20"/>
          <w:szCs w:val="20"/>
          <w:lang w:val="es-EC"/>
        </w:rPr>
        <w:t>priorización</w:t>
      </w:r>
      <w:r w:rsidR="00CA51FA" w:rsidRPr="00491517">
        <w:rPr>
          <w:rFonts w:ascii="Cambria" w:hAnsi="Cambria"/>
          <w:color w:val="000000" w:themeColor="text1"/>
          <w:sz w:val="20"/>
          <w:szCs w:val="20"/>
          <w:lang w:val="es-EC"/>
        </w:rPr>
        <w:t xml:space="preserve"> de criterios territoriales y temátic</w:t>
      </w:r>
      <w:r w:rsidR="00D16219" w:rsidRPr="00491517">
        <w:rPr>
          <w:rFonts w:ascii="Cambria" w:hAnsi="Cambria"/>
          <w:color w:val="000000" w:themeColor="text1"/>
          <w:sz w:val="20"/>
          <w:szCs w:val="20"/>
          <w:lang w:val="es-EC"/>
        </w:rPr>
        <w:t>o</w:t>
      </w:r>
      <w:r w:rsidR="00CA51FA" w:rsidRPr="00491517">
        <w:rPr>
          <w:rFonts w:ascii="Cambria" w:hAnsi="Cambria"/>
          <w:color w:val="000000" w:themeColor="text1"/>
          <w:sz w:val="20"/>
          <w:szCs w:val="20"/>
          <w:lang w:val="es-EC"/>
        </w:rPr>
        <w:t xml:space="preserve">s </w:t>
      </w:r>
      <w:r w:rsidR="00D16219" w:rsidRPr="00491517">
        <w:rPr>
          <w:rFonts w:ascii="Cambria" w:hAnsi="Cambria"/>
          <w:color w:val="000000" w:themeColor="text1"/>
          <w:sz w:val="20"/>
          <w:szCs w:val="20"/>
          <w:lang w:val="es-EC"/>
        </w:rPr>
        <w:t>de</w:t>
      </w:r>
      <w:r w:rsidR="00CA51FA" w:rsidRPr="00491517">
        <w:rPr>
          <w:rFonts w:ascii="Cambria" w:hAnsi="Cambria"/>
          <w:color w:val="000000" w:themeColor="text1"/>
          <w:sz w:val="20"/>
          <w:szCs w:val="20"/>
          <w:lang w:val="es-EC"/>
        </w:rPr>
        <w:t xml:space="preserve"> cada planificación operativa.</w:t>
      </w:r>
    </w:p>
    <w:p w14:paraId="341D5AFA" w14:textId="77777777" w:rsidR="00147E45" w:rsidRPr="00491517" w:rsidRDefault="00147E45" w:rsidP="00147E45">
      <w:pPr>
        <w:pStyle w:val="ListParagraph"/>
        <w:rPr>
          <w:rFonts w:ascii="Cambria" w:hAnsi="Cambria"/>
          <w:color w:val="000000" w:themeColor="text1"/>
          <w:sz w:val="20"/>
          <w:szCs w:val="20"/>
          <w:lang w:val="es-EC"/>
        </w:rPr>
      </w:pPr>
    </w:p>
    <w:p w14:paraId="7D35ADF3" w14:textId="2B889258" w:rsidR="005A55D9" w:rsidRPr="00491517" w:rsidRDefault="00147E45"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color w:val="000000" w:themeColor="text1"/>
          <w:sz w:val="20"/>
          <w:szCs w:val="20"/>
          <w:lang w:val="es-EC"/>
        </w:rPr>
        <w:t>Asimismo, el Estado explicó que, del total de 352 personas relativas a casos ante la CIDH, 248 están en investigación fiscal (70%); 78 en proceso judicial (22%); 2 están en ambas instancias (1%) y no se tiene información sobre 24 casos (7%). Por su parte, d</w:t>
      </w:r>
      <w:r w:rsidR="00D97DB2" w:rsidRPr="00491517">
        <w:rPr>
          <w:rFonts w:ascii="Cambria" w:hAnsi="Cambria"/>
          <w:color w:val="000000" w:themeColor="text1"/>
          <w:sz w:val="20"/>
          <w:szCs w:val="20"/>
          <w:lang w:val="es-EC"/>
        </w:rPr>
        <w:t xml:space="preserve">e </w:t>
      </w:r>
      <w:r w:rsidRPr="00491517">
        <w:rPr>
          <w:rFonts w:ascii="Cambria" w:hAnsi="Cambria"/>
          <w:color w:val="000000" w:themeColor="text1"/>
          <w:sz w:val="20"/>
          <w:szCs w:val="20"/>
          <w:lang w:val="es-EC"/>
        </w:rPr>
        <w:t>la desaparición de</w:t>
      </w:r>
      <w:r w:rsidR="00D97DB2" w:rsidRPr="00491517">
        <w:rPr>
          <w:rFonts w:ascii="Cambria" w:hAnsi="Cambria"/>
          <w:color w:val="000000" w:themeColor="text1"/>
          <w:sz w:val="20"/>
          <w:szCs w:val="20"/>
          <w:lang w:val="es-EC"/>
        </w:rPr>
        <w:t xml:space="preserve"> </w:t>
      </w:r>
      <w:r w:rsidR="006070FB" w:rsidRPr="00491517">
        <w:rPr>
          <w:rFonts w:ascii="Cambria" w:hAnsi="Cambria"/>
          <w:color w:val="000000" w:themeColor="text1"/>
          <w:sz w:val="20"/>
          <w:szCs w:val="20"/>
          <w:lang w:val="es-EC"/>
        </w:rPr>
        <w:t xml:space="preserve">esas </w:t>
      </w:r>
      <w:r w:rsidRPr="00491517">
        <w:rPr>
          <w:rFonts w:ascii="Cambria" w:hAnsi="Cambria"/>
          <w:color w:val="000000" w:themeColor="text1"/>
          <w:sz w:val="20"/>
          <w:szCs w:val="20"/>
          <w:lang w:val="es-EC"/>
        </w:rPr>
        <w:t>352 personas</w:t>
      </w:r>
      <w:r w:rsidR="00D97DB2" w:rsidRPr="00491517">
        <w:rPr>
          <w:rFonts w:ascii="Cambria" w:hAnsi="Cambria"/>
          <w:color w:val="000000" w:themeColor="text1"/>
          <w:sz w:val="20"/>
          <w:szCs w:val="20"/>
          <w:lang w:val="es-EC"/>
        </w:rPr>
        <w:t xml:space="preserve">, </w:t>
      </w:r>
      <w:r w:rsidR="00D97DB2" w:rsidRPr="00491517">
        <w:rPr>
          <w:rFonts w:ascii="Cambria" w:hAnsi="Cambria"/>
          <w:color w:val="000000" w:themeColor="text1"/>
          <w:sz w:val="20"/>
          <w:szCs w:val="20"/>
          <w:lang w:val="es-EC"/>
        </w:rPr>
        <w:lastRenderedPageBreak/>
        <w:t xml:space="preserve">indicó que </w:t>
      </w:r>
      <w:r w:rsidR="006070FB" w:rsidRPr="00491517">
        <w:rPr>
          <w:rFonts w:ascii="Cambria" w:hAnsi="Cambria"/>
          <w:color w:val="000000" w:themeColor="text1"/>
          <w:sz w:val="20"/>
          <w:szCs w:val="20"/>
          <w:lang w:val="es-EC"/>
        </w:rPr>
        <w:t>la referida</w:t>
      </w:r>
      <w:r w:rsidR="00D97DB2" w:rsidRPr="00491517">
        <w:rPr>
          <w:rFonts w:ascii="Cambria" w:hAnsi="Cambria"/>
          <w:color w:val="000000" w:themeColor="text1"/>
          <w:sz w:val="20"/>
          <w:szCs w:val="20"/>
          <w:lang w:val="es-EC"/>
        </w:rPr>
        <w:t xml:space="preserve"> estrategia incluye a 240 personas </w:t>
      </w:r>
      <w:r w:rsidR="00B10565" w:rsidRPr="00491517">
        <w:rPr>
          <w:rFonts w:ascii="Cambria" w:hAnsi="Cambria"/>
          <w:color w:val="000000" w:themeColor="text1"/>
          <w:sz w:val="20"/>
          <w:szCs w:val="20"/>
          <w:lang w:val="es-EC"/>
        </w:rPr>
        <w:t>que corresponden</w:t>
      </w:r>
      <w:r w:rsidR="00D97DB2" w:rsidRPr="00491517">
        <w:rPr>
          <w:rFonts w:ascii="Cambria" w:hAnsi="Cambria"/>
          <w:color w:val="000000" w:themeColor="text1"/>
          <w:sz w:val="20"/>
          <w:szCs w:val="20"/>
          <w:lang w:val="es-EC"/>
        </w:rPr>
        <w:t xml:space="preserve"> al Comunicado de Prensa</w:t>
      </w:r>
      <w:r w:rsidR="001F6BAB" w:rsidRPr="00491517">
        <w:rPr>
          <w:rStyle w:val="FootnoteReference"/>
          <w:rFonts w:ascii="Cambria" w:hAnsi="Cambria"/>
          <w:color w:val="000000" w:themeColor="text1"/>
          <w:sz w:val="20"/>
          <w:szCs w:val="20"/>
          <w:lang w:val="es-EC"/>
        </w:rPr>
        <w:footnoteReference w:id="8"/>
      </w:r>
      <w:r w:rsidR="00D97DB2" w:rsidRPr="00491517">
        <w:rPr>
          <w:rFonts w:ascii="Cambria" w:hAnsi="Cambria"/>
          <w:color w:val="000000" w:themeColor="text1"/>
          <w:sz w:val="20"/>
          <w:szCs w:val="20"/>
          <w:lang w:val="es-EC"/>
        </w:rPr>
        <w:t xml:space="preserve">, de los cuales 201 registran como desaparecidos y 39 como fallecidos sin certeza legal. </w:t>
      </w:r>
      <w:r w:rsidR="003E5F6D" w:rsidRPr="00491517">
        <w:rPr>
          <w:rFonts w:ascii="Cambria" w:hAnsi="Cambria"/>
          <w:color w:val="000000" w:themeColor="text1"/>
          <w:sz w:val="20"/>
          <w:szCs w:val="20"/>
          <w:lang w:val="es-EC"/>
        </w:rPr>
        <w:t>Además, señaló que, del total de 240 personas</w:t>
      </w:r>
      <w:r w:rsidR="00024511" w:rsidRPr="00491517">
        <w:rPr>
          <w:rFonts w:ascii="Cambria" w:hAnsi="Cambria"/>
          <w:color w:val="000000" w:themeColor="text1"/>
          <w:sz w:val="20"/>
          <w:szCs w:val="20"/>
          <w:lang w:val="es-EC"/>
        </w:rPr>
        <w:t xml:space="preserve"> </w:t>
      </w:r>
      <w:r w:rsidR="006070FB" w:rsidRPr="00491517">
        <w:rPr>
          <w:rFonts w:ascii="Cambria" w:hAnsi="Cambria"/>
          <w:color w:val="000000" w:themeColor="text1"/>
          <w:sz w:val="20"/>
          <w:szCs w:val="20"/>
          <w:lang w:val="es-EC"/>
        </w:rPr>
        <w:t>de</w:t>
      </w:r>
      <w:r w:rsidR="00024511" w:rsidRPr="00491517">
        <w:rPr>
          <w:rFonts w:ascii="Cambria" w:hAnsi="Cambria"/>
          <w:color w:val="000000" w:themeColor="text1"/>
          <w:sz w:val="20"/>
          <w:szCs w:val="20"/>
          <w:lang w:val="es-EC"/>
        </w:rPr>
        <w:t>l Comunicado de Prensa</w:t>
      </w:r>
      <w:r w:rsidR="003E5F6D" w:rsidRPr="00491517">
        <w:rPr>
          <w:rFonts w:ascii="Cambria" w:hAnsi="Cambria"/>
          <w:color w:val="000000" w:themeColor="text1"/>
          <w:sz w:val="20"/>
          <w:szCs w:val="20"/>
          <w:lang w:val="es-EC"/>
        </w:rPr>
        <w:t xml:space="preserve">, </w:t>
      </w:r>
      <w:r w:rsidR="003E5F6D" w:rsidRPr="00491517">
        <w:rPr>
          <w:rFonts w:ascii="Cambria" w:hAnsi="Cambria"/>
          <w:color w:val="000000" w:themeColor="text1"/>
          <w:sz w:val="20"/>
          <w:szCs w:val="20"/>
          <w:lang w:val="es-CO"/>
        </w:rPr>
        <w:t xml:space="preserve">han </w:t>
      </w:r>
      <w:r w:rsidR="00024511" w:rsidRPr="00491517">
        <w:rPr>
          <w:rFonts w:ascii="Cambria" w:hAnsi="Cambria"/>
          <w:color w:val="000000" w:themeColor="text1"/>
          <w:sz w:val="20"/>
          <w:szCs w:val="20"/>
          <w:lang w:val="es-CO"/>
        </w:rPr>
        <w:t xml:space="preserve">sido </w:t>
      </w:r>
      <w:r w:rsidR="003E5F6D" w:rsidRPr="00491517">
        <w:rPr>
          <w:rFonts w:ascii="Cambria" w:hAnsi="Cambria"/>
          <w:color w:val="000000" w:themeColor="text1"/>
          <w:sz w:val="20"/>
          <w:szCs w:val="20"/>
          <w:lang w:val="es-CO"/>
        </w:rPr>
        <w:t>restituido</w:t>
      </w:r>
      <w:r w:rsidRPr="00491517">
        <w:rPr>
          <w:rFonts w:ascii="Cambria" w:hAnsi="Cambria"/>
          <w:color w:val="000000" w:themeColor="text1"/>
          <w:sz w:val="20"/>
          <w:szCs w:val="20"/>
          <w:lang w:val="es-CO"/>
        </w:rPr>
        <w:t>s</w:t>
      </w:r>
      <w:r w:rsidR="003E5F6D" w:rsidRPr="00491517">
        <w:rPr>
          <w:rFonts w:ascii="Cambria" w:hAnsi="Cambria"/>
          <w:color w:val="000000" w:themeColor="text1"/>
          <w:sz w:val="20"/>
          <w:szCs w:val="20"/>
          <w:lang w:val="es-CO"/>
        </w:rPr>
        <w:t xml:space="preserve"> los restos de 17</w:t>
      </w:r>
      <w:r w:rsidR="00024511" w:rsidRPr="00491517">
        <w:rPr>
          <w:rFonts w:ascii="Cambria" w:hAnsi="Cambria"/>
          <w:color w:val="000000" w:themeColor="text1"/>
          <w:sz w:val="20"/>
          <w:szCs w:val="20"/>
          <w:lang w:val="es-CO"/>
        </w:rPr>
        <w:t xml:space="preserve"> personas</w:t>
      </w:r>
      <w:r w:rsidR="003E5F6D" w:rsidRPr="00491517">
        <w:rPr>
          <w:rFonts w:ascii="Cambria" w:hAnsi="Cambria"/>
          <w:color w:val="000000" w:themeColor="text1"/>
          <w:sz w:val="20"/>
          <w:szCs w:val="20"/>
          <w:lang w:val="es-CO"/>
        </w:rPr>
        <w:t xml:space="preserve">. </w:t>
      </w:r>
      <w:r w:rsidR="006070FB" w:rsidRPr="00491517">
        <w:rPr>
          <w:rFonts w:ascii="Cambria" w:hAnsi="Cambria"/>
          <w:color w:val="000000" w:themeColor="text1"/>
          <w:sz w:val="20"/>
          <w:szCs w:val="20"/>
          <w:lang w:val="es-CO"/>
        </w:rPr>
        <w:t>Por su parte, e</w:t>
      </w:r>
      <w:r w:rsidR="00762A1B" w:rsidRPr="00491517">
        <w:rPr>
          <w:rFonts w:ascii="Cambria" w:hAnsi="Cambria"/>
          <w:color w:val="000000" w:themeColor="text1"/>
          <w:sz w:val="20"/>
          <w:szCs w:val="20"/>
          <w:lang w:val="es-CO"/>
        </w:rPr>
        <w:t xml:space="preserve">n cuanto al plazo </w:t>
      </w:r>
      <w:r w:rsidR="006070FB" w:rsidRPr="00491517">
        <w:rPr>
          <w:rFonts w:ascii="Cambria" w:hAnsi="Cambria"/>
          <w:color w:val="000000" w:themeColor="text1"/>
          <w:sz w:val="20"/>
          <w:szCs w:val="20"/>
          <w:lang w:val="es-CO"/>
        </w:rPr>
        <w:t xml:space="preserve">para desarrollar </w:t>
      </w:r>
      <w:r w:rsidR="00762A1B" w:rsidRPr="00491517">
        <w:rPr>
          <w:rFonts w:ascii="Cambria" w:hAnsi="Cambria"/>
          <w:color w:val="000000" w:themeColor="text1"/>
          <w:sz w:val="20"/>
          <w:szCs w:val="20"/>
          <w:lang w:val="es-CO"/>
        </w:rPr>
        <w:t xml:space="preserve">las búsquedas, la DGBPD señaló que </w:t>
      </w:r>
      <w:r w:rsidR="00C47C6D" w:rsidRPr="00491517">
        <w:rPr>
          <w:rFonts w:ascii="Cambria" w:hAnsi="Cambria"/>
          <w:color w:val="000000" w:themeColor="text1"/>
          <w:sz w:val="20"/>
          <w:szCs w:val="20"/>
          <w:lang w:val="es-CO"/>
        </w:rPr>
        <w:t>las acciones a</w:t>
      </w:r>
      <w:r w:rsidR="00762A1B" w:rsidRPr="00491517">
        <w:rPr>
          <w:rFonts w:ascii="Cambria" w:hAnsi="Cambria"/>
          <w:color w:val="000000" w:themeColor="text1"/>
          <w:sz w:val="20"/>
          <w:szCs w:val="20"/>
          <w:lang w:val="es-CO"/>
        </w:rPr>
        <w:t xml:space="preserve"> corto plazo transcurriría</w:t>
      </w:r>
      <w:r w:rsidR="00C47C6D" w:rsidRPr="00491517">
        <w:rPr>
          <w:rFonts w:ascii="Cambria" w:hAnsi="Cambria"/>
          <w:color w:val="000000" w:themeColor="text1"/>
          <w:sz w:val="20"/>
          <w:szCs w:val="20"/>
          <w:lang w:val="es-CO"/>
        </w:rPr>
        <w:t>n</w:t>
      </w:r>
      <w:r w:rsidR="00762A1B" w:rsidRPr="00491517">
        <w:rPr>
          <w:rFonts w:ascii="Cambria" w:hAnsi="Cambria"/>
          <w:color w:val="000000" w:themeColor="text1"/>
          <w:sz w:val="20"/>
          <w:szCs w:val="20"/>
          <w:lang w:val="es-CO"/>
        </w:rPr>
        <w:t xml:space="preserve"> entre 1 y 2 años</w:t>
      </w:r>
      <w:r w:rsidR="006070FB" w:rsidRPr="00491517">
        <w:rPr>
          <w:rFonts w:ascii="Cambria" w:hAnsi="Cambria"/>
          <w:color w:val="000000" w:themeColor="text1"/>
          <w:sz w:val="20"/>
          <w:szCs w:val="20"/>
          <w:lang w:val="es-CO"/>
        </w:rPr>
        <w:t>;</w:t>
      </w:r>
      <w:r w:rsidR="00762A1B" w:rsidRPr="00491517">
        <w:rPr>
          <w:rFonts w:ascii="Cambria" w:hAnsi="Cambria"/>
          <w:color w:val="000000" w:themeColor="text1"/>
          <w:sz w:val="20"/>
          <w:szCs w:val="20"/>
          <w:lang w:val="es-CO"/>
        </w:rPr>
        <w:t xml:space="preserve"> </w:t>
      </w:r>
      <w:r w:rsidR="00C47C6D" w:rsidRPr="00491517">
        <w:rPr>
          <w:rFonts w:ascii="Cambria" w:hAnsi="Cambria"/>
          <w:color w:val="000000" w:themeColor="text1"/>
          <w:sz w:val="20"/>
          <w:szCs w:val="20"/>
          <w:lang w:val="es-CO"/>
        </w:rPr>
        <w:t>d</w:t>
      </w:r>
      <w:r w:rsidR="00762A1B" w:rsidRPr="00491517">
        <w:rPr>
          <w:rFonts w:ascii="Cambria" w:hAnsi="Cambria"/>
          <w:color w:val="000000" w:themeColor="text1"/>
          <w:sz w:val="20"/>
          <w:szCs w:val="20"/>
          <w:lang w:val="es-CO"/>
        </w:rPr>
        <w:t>el mediano</w:t>
      </w:r>
      <w:r w:rsidR="006070FB" w:rsidRPr="00491517">
        <w:rPr>
          <w:rFonts w:ascii="Cambria" w:hAnsi="Cambria"/>
          <w:color w:val="000000" w:themeColor="text1"/>
          <w:sz w:val="20"/>
          <w:szCs w:val="20"/>
          <w:lang w:val="es-CO"/>
        </w:rPr>
        <w:t>,</w:t>
      </w:r>
      <w:r w:rsidR="00762A1B" w:rsidRPr="00491517">
        <w:rPr>
          <w:rFonts w:ascii="Cambria" w:hAnsi="Cambria"/>
          <w:color w:val="000000" w:themeColor="text1"/>
          <w:sz w:val="20"/>
          <w:szCs w:val="20"/>
          <w:lang w:val="es-CO"/>
        </w:rPr>
        <w:t xml:space="preserve"> entre 2 y 5 años, y </w:t>
      </w:r>
      <w:r w:rsidR="00C47C6D" w:rsidRPr="00491517">
        <w:rPr>
          <w:rFonts w:ascii="Cambria" w:hAnsi="Cambria"/>
          <w:color w:val="000000" w:themeColor="text1"/>
          <w:sz w:val="20"/>
          <w:szCs w:val="20"/>
          <w:lang w:val="es-CO"/>
        </w:rPr>
        <w:t>d</w:t>
      </w:r>
      <w:r w:rsidR="00762A1B" w:rsidRPr="00491517">
        <w:rPr>
          <w:rFonts w:ascii="Cambria" w:hAnsi="Cambria"/>
          <w:color w:val="000000" w:themeColor="text1"/>
          <w:sz w:val="20"/>
          <w:szCs w:val="20"/>
          <w:lang w:val="es-CO"/>
        </w:rPr>
        <w:t>el largo</w:t>
      </w:r>
      <w:r w:rsidR="006070FB" w:rsidRPr="00491517">
        <w:rPr>
          <w:rFonts w:ascii="Cambria" w:hAnsi="Cambria"/>
          <w:color w:val="000000" w:themeColor="text1"/>
          <w:sz w:val="20"/>
          <w:szCs w:val="20"/>
          <w:lang w:val="es-CO"/>
        </w:rPr>
        <w:t xml:space="preserve">, </w:t>
      </w:r>
      <w:r w:rsidR="00762A1B" w:rsidRPr="00491517">
        <w:rPr>
          <w:rFonts w:ascii="Cambria" w:hAnsi="Cambria"/>
          <w:color w:val="000000" w:themeColor="text1"/>
          <w:sz w:val="20"/>
          <w:szCs w:val="20"/>
          <w:lang w:val="es-CO"/>
        </w:rPr>
        <w:t xml:space="preserve">en </w:t>
      </w:r>
      <w:r w:rsidR="00892602" w:rsidRPr="00491517">
        <w:rPr>
          <w:rFonts w:ascii="Cambria" w:hAnsi="Cambria"/>
          <w:color w:val="000000" w:themeColor="text1"/>
          <w:sz w:val="20"/>
          <w:szCs w:val="20"/>
          <w:lang w:val="es-CO"/>
        </w:rPr>
        <w:t>más</w:t>
      </w:r>
      <w:r w:rsidR="00762A1B" w:rsidRPr="00491517">
        <w:rPr>
          <w:rFonts w:ascii="Cambria" w:hAnsi="Cambria"/>
          <w:color w:val="000000" w:themeColor="text1"/>
          <w:sz w:val="20"/>
          <w:szCs w:val="20"/>
          <w:lang w:val="es-CO"/>
        </w:rPr>
        <w:t xml:space="preserve"> </w:t>
      </w:r>
      <w:r w:rsidR="00892602" w:rsidRPr="00491517">
        <w:rPr>
          <w:rFonts w:ascii="Cambria" w:hAnsi="Cambria"/>
          <w:color w:val="000000" w:themeColor="text1"/>
          <w:sz w:val="20"/>
          <w:szCs w:val="20"/>
          <w:lang w:val="es-CO"/>
        </w:rPr>
        <w:t>de</w:t>
      </w:r>
      <w:r w:rsidR="00762A1B" w:rsidRPr="00491517">
        <w:rPr>
          <w:rFonts w:ascii="Cambria" w:hAnsi="Cambria"/>
          <w:color w:val="000000" w:themeColor="text1"/>
          <w:sz w:val="20"/>
          <w:szCs w:val="20"/>
          <w:lang w:val="es-CO"/>
        </w:rPr>
        <w:t xml:space="preserve"> 5 años. </w:t>
      </w:r>
    </w:p>
    <w:p w14:paraId="381C5F5F" w14:textId="77777777" w:rsidR="00AE7DC8" w:rsidRPr="00491517" w:rsidRDefault="00AE7DC8" w:rsidP="00AE7DC8">
      <w:pPr>
        <w:pStyle w:val="ListParagraph"/>
        <w:spacing w:after="0" w:line="240" w:lineRule="auto"/>
        <w:ind w:left="714"/>
        <w:jc w:val="both"/>
        <w:rPr>
          <w:color w:val="000000" w:themeColor="text1"/>
          <w:lang w:val="es-CO"/>
        </w:rPr>
      </w:pPr>
    </w:p>
    <w:p w14:paraId="4CBF6987" w14:textId="094B0748" w:rsidR="00A90FD3" w:rsidRPr="00491517" w:rsidRDefault="005A55D9"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color w:val="000000" w:themeColor="text1"/>
          <w:sz w:val="20"/>
          <w:szCs w:val="20"/>
          <w:lang w:val="es-CO"/>
        </w:rPr>
        <w:t xml:space="preserve">Igualmente, el Estado indicó que </w:t>
      </w:r>
      <w:r w:rsidR="005F41D2" w:rsidRPr="00491517">
        <w:rPr>
          <w:rFonts w:ascii="Cambria" w:hAnsi="Cambria" w:cs="Calibri Light"/>
          <w:color w:val="000000" w:themeColor="text1"/>
          <w:sz w:val="20"/>
          <w:szCs w:val="20"/>
          <w:lang w:val="es-CO"/>
        </w:rPr>
        <w:t>para todo el año</w:t>
      </w:r>
      <w:r w:rsidR="00024511" w:rsidRPr="00491517">
        <w:rPr>
          <w:rFonts w:ascii="Cambria" w:hAnsi="Cambria" w:cs="Calibri Light"/>
          <w:color w:val="000000" w:themeColor="text1"/>
          <w:sz w:val="20"/>
          <w:szCs w:val="20"/>
          <w:lang w:val="es-CO"/>
        </w:rPr>
        <w:t xml:space="preserve"> se diseñó</w:t>
      </w:r>
      <w:r w:rsidRPr="00491517">
        <w:rPr>
          <w:rFonts w:ascii="Cambria" w:hAnsi="Cambria" w:cs="Calibri Light"/>
          <w:color w:val="000000" w:themeColor="text1"/>
          <w:sz w:val="20"/>
          <w:szCs w:val="20"/>
          <w:lang w:val="es-CO"/>
        </w:rPr>
        <w:t xml:space="preserve"> una programación operativa </w:t>
      </w:r>
      <w:r w:rsidR="00024511" w:rsidRPr="00491517">
        <w:rPr>
          <w:rFonts w:ascii="Cambria" w:hAnsi="Cambria" w:cs="Calibri Light"/>
          <w:color w:val="000000" w:themeColor="text1"/>
          <w:sz w:val="20"/>
          <w:szCs w:val="20"/>
          <w:lang w:val="es-CO"/>
        </w:rPr>
        <w:t>de un total de</w:t>
      </w:r>
      <w:r w:rsidRPr="00491517">
        <w:rPr>
          <w:rFonts w:ascii="Cambria" w:hAnsi="Cambria" w:cs="Calibri Light"/>
          <w:color w:val="000000" w:themeColor="text1"/>
          <w:sz w:val="20"/>
          <w:szCs w:val="20"/>
          <w:lang w:val="es-CO"/>
        </w:rPr>
        <w:t xml:space="preserve"> 14 </w:t>
      </w:r>
      <w:r w:rsidR="006B71B3" w:rsidRPr="00491517">
        <w:rPr>
          <w:rFonts w:ascii="Cambria" w:hAnsi="Cambria" w:cs="Calibri Light"/>
          <w:color w:val="000000" w:themeColor="text1"/>
          <w:sz w:val="20"/>
          <w:szCs w:val="20"/>
          <w:lang w:val="es-CO"/>
        </w:rPr>
        <w:t>investigaciones humanitarias</w:t>
      </w:r>
      <w:r w:rsidR="00D67925" w:rsidRPr="00491517">
        <w:rPr>
          <w:rStyle w:val="FootnoteReference"/>
          <w:rFonts w:ascii="Cambria" w:hAnsi="Cambria" w:cs="Calibri Light"/>
          <w:color w:val="000000" w:themeColor="text1"/>
          <w:sz w:val="20"/>
          <w:szCs w:val="20"/>
          <w:lang w:val="es-CO"/>
        </w:rPr>
        <w:footnoteReference w:id="9"/>
      </w:r>
      <w:r w:rsidR="005F41D2" w:rsidRPr="00491517">
        <w:rPr>
          <w:rFonts w:ascii="Cambria" w:hAnsi="Cambria" w:cs="Calibri Light"/>
          <w:color w:val="000000" w:themeColor="text1"/>
          <w:sz w:val="20"/>
          <w:szCs w:val="20"/>
          <w:lang w:val="es-CO"/>
        </w:rPr>
        <w:t xml:space="preserve"> que comprenden 68 personas desaparecidas de</w:t>
      </w:r>
      <w:r w:rsidR="00D67925" w:rsidRPr="00491517">
        <w:rPr>
          <w:rFonts w:ascii="Cambria" w:hAnsi="Cambria" w:cs="Calibri Light"/>
          <w:color w:val="000000" w:themeColor="text1"/>
          <w:sz w:val="20"/>
          <w:szCs w:val="20"/>
          <w:lang w:val="es-CO"/>
        </w:rPr>
        <w:t xml:space="preserve"> 36 casos con informes de fondo incluidos en el</w:t>
      </w:r>
      <w:r w:rsidR="005F41D2" w:rsidRPr="00491517">
        <w:rPr>
          <w:rFonts w:ascii="Cambria" w:hAnsi="Cambria" w:cs="Calibri Light"/>
          <w:color w:val="000000" w:themeColor="text1"/>
          <w:sz w:val="20"/>
          <w:szCs w:val="20"/>
          <w:lang w:val="es-CO"/>
        </w:rPr>
        <w:t xml:space="preserve"> Comunicado de </w:t>
      </w:r>
      <w:r w:rsidR="005F41D2" w:rsidRPr="00A36C6E">
        <w:rPr>
          <w:rFonts w:ascii="Cambria" w:hAnsi="Cambria"/>
          <w:color w:val="000000" w:themeColor="text1"/>
          <w:sz w:val="20"/>
          <w:szCs w:val="20"/>
          <w:lang w:val="es-CO"/>
        </w:rPr>
        <w:t>Prensa</w:t>
      </w:r>
      <w:r w:rsidR="00D67925" w:rsidRPr="00491517">
        <w:rPr>
          <w:rStyle w:val="FootnoteReference"/>
          <w:rFonts w:ascii="Cambria" w:hAnsi="Cambria" w:cs="Calibri Light"/>
          <w:color w:val="000000" w:themeColor="text1"/>
          <w:sz w:val="20"/>
          <w:szCs w:val="20"/>
          <w:lang w:val="es-CO"/>
        </w:rPr>
        <w:footnoteReference w:id="10"/>
      </w:r>
      <w:r w:rsidR="005F41D2" w:rsidRPr="00491517">
        <w:rPr>
          <w:rFonts w:ascii="Cambria" w:hAnsi="Cambria" w:cs="Calibri Light"/>
          <w:color w:val="000000" w:themeColor="text1"/>
          <w:sz w:val="20"/>
          <w:szCs w:val="20"/>
          <w:lang w:val="es-CO"/>
        </w:rPr>
        <w:t>.</w:t>
      </w:r>
      <w:r w:rsidRPr="00491517">
        <w:rPr>
          <w:rFonts w:ascii="Cambria" w:hAnsi="Cambria" w:cs="Calibri Light"/>
          <w:color w:val="000000" w:themeColor="text1"/>
          <w:sz w:val="20"/>
          <w:szCs w:val="20"/>
          <w:lang w:val="es-CO"/>
        </w:rPr>
        <w:t xml:space="preserve"> </w:t>
      </w:r>
      <w:r w:rsidR="00A90FD3" w:rsidRPr="00491517">
        <w:rPr>
          <w:rFonts w:ascii="Cambria" w:hAnsi="Cambria"/>
          <w:color w:val="000000" w:themeColor="text1"/>
          <w:sz w:val="20"/>
          <w:szCs w:val="20"/>
          <w:lang w:val="es-EC"/>
        </w:rPr>
        <w:t>De esta manera, informó que la DGBPD, en calidad de entidad encargada de</w:t>
      </w:r>
      <w:r w:rsidR="007509BE" w:rsidRPr="00491517">
        <w:rPr>
          <w:rFonts w:ascii="Cambria" w:hAnsi="Cambria"/>
          <w:color w:val="000000" w:themeColor="text1"/>
          <w:sz w:val="20"/>
          <w:szCs w:val="20"/>
          <w:lang w:val="es-EC"/>
        </w:rPr>
        <w:t xml:space="preserve"> la </w:t>
      </w:r>
      <w:r w:rsidR="00A90FD3" w:rsidRPr="00491517">
        <w:rPr>
          <w:rFonts w:ascii="Cambria" w:hAnsi="Cambria"/>
          <w:color w:val="000000" w:themeColor="text1"/>
          <w:sz w:val="20"/>
          <w:szCs w:val="20"/>
          <w:lang w:val="es-EC"/>
        </w:rPr>
        <w:t>ejecución del Plan Nacional de Búsqueda de Personas Desaparecidas, presentó un cronograma de actividades</w:t>
      </w:r>
      <w:r w:rsidR="007509BE" w:rsidRPr="00491517">
        <w:rPr>
          <w:rFonts w:ascii="Cambria" w:hAnsi="Cambria"/>
          <w:color w:val="000000" w:themeColor="text1"/>
          <w:sz w:val="20"/>
          <w:szCs w:val="20"/>
          <w:lang w:val="es-EC"/>
        </w:rPr>
        <w:t xml:space="preserve"> y se</w:t>
      </w:r>
      <w:r w:rsidR="00A90FD3" w:rsidRPr="00491517">
        <w:rPr>
          <w:rFonts w:ascii="Cambria" w:hAnsi="Cambria"/>
          <w:color w:val="000000" w:themeColor="text1"/>
          <w:sz w:val="20"/>
          <w:szCs w:val="20"/>
          <w:lang w:val="es-EC"/>
        </w:rPr>
        <w:t xml:space="preserve"> refirió a algunas actividades ejecutadas o pendientes en el año 2021. </w:t>
      </w:r>
    </w:p>
    <w:p w14:paraId="66403AA1" w14:textId="77777777" w:rsidR="00A90FD3" w:rsidRPr="00491517" w:rsidRDefault="00A90FD3" w:rsidP="00A90FD3">
      <w:pPr>
        <w:pStyle w:val="ListParagraph"/>
        <w:rPr>
          <w:rFonts w:ascii="Cambria" w:hAnsi="Cambria" w:cs="Calibri Light"/>
          <w:color w:val="000000" w:themeColor="text1"/>
          <w:sz w:val="20"/>
          <w:szCs w:val="20"/>
          <w:lang w:val="es-CO"/>
        </w:rPr>
      </w:pPr>
    </w:p>
    <w:p w14:paraId="4A1537F2" w14:textId="693AF98E" w:rsidR="005D7255" w:rsidRPr="00491517" w:rsidRDefault="001C7EA7"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color w:val="000000" w:themeColor="text1"/>
          <w:sz w:val="20"/>
          <w:szCs w:val="20"/>
          <w:lang w:val="es-CO"/>
        </w:rPr>
        <w:t xml:space="preserve">Respecto de </w:t>
      </w:r>
      <w:r w:rsidR="007509BE" w:rsidRPr="00491517">
        <w:rPr>
          <w:rFonts w:ascii="Cambria" w:hAnsi="Cambria" w:cs="Calibri Light"/>
          <w:color w:val="000000" w:themeColor="text1"/>
          <w:sz w:val="20"/>
          <w:szCs w:val="20"/>
          <w:lang w:val="es-CO"/>
        </w:rPr>
        <w:t>las 14 investigaciones humanitarias programas para el 2021</w:t>
      </w:r>
      <w:r w:rsidR="00A0334D" w:rsidRPr="00491517">
        <w:rPr>
          <w:rFonts w:ascii="Cambria" w:hAnsi="Cambria" w:cs="Calibri Light"/>
          <w:color w:val="000000" w:themeColor="text1"/>
          <w:sz w:val="20"/>
          <w:szCs w:val="20"/>
          <w:lang w:val="es-CO"/>
        </w:rPr>
        <w:t>, la DBGPD señaló que</w:t>
      </w:r>
      <w:r w:rsidRPr="00491517">
        <w:rPr>
          <w:rFonts w:ascii="Cambria" w:hAnsi="Cambria" w:cs="Calibri Light"/>
          <w:color w:val="000000" w:themeColor="text1"/>
          <w:sz w:val="20"/>
          <w:szCs w:val="20"/>
          <w:lang w:val="es-CO"/>
        </w:rPr>
        <w:t xml:space="preserve"> </w:t>
      </w:r>
      <w:r w:rsidR="00A0334D" w:rsidRPr="00491517">
        <w:rPr>
          <w:rFonts w:ascii="Cambria" w:hAnsi="Cambria" w:cs="Calibri Light"/>
          <w:color w:val="000000" w:themeColor="text1"/>
          <w:sz w:val="20"/>
          <w:szCs w:val="20"/>
          <w:lang w:val="es-CO"/>
        </w:rPr>
        <w:t>concluyó la búsqueda de 3</w:t>
      </w:r>
      <w:r w:rsidR="006E7E89" w:rsidRPr="00491517">
        <w:rPr>
          <w:rFonts w:ascii="Cambria" w:hAnsi="Cambria" w:cs="Calibri Light"/>
          <w:color w:val="000000" w:themeColor="text1"/>
          <w:sz w:val="20"/>
          <w:szCs w:val="20"/>
          <w:lang w:val="es-CO"/>
        </w:rPr>
        <w:t xml:space="preserve"> así:</w:t>
      </w:r>
      <w:r w:rsidR="00A0334D" w:rsidRPr="00491517">
        <w:rPr>
          <w:rFonts w:ascii="Cambria" w:hAnsi="Cambria" w:cs="Calibri Light"/>
          <w:color w:val="000000" w:themeColor="text1"/>
          <w:sz w:val="20"/>
          <w:szCs w:val="20"/>
          <w:lang w:val="es-CO"/>
        </w:rPr>
        <w:t xml:space="preserve"> </w:t>
      </w:r>
      <w:r w:rsidR="005567A4" w:rsidRPr="00491517">
        <w:rPr>
          <w:rFonts w:ascii="Cambria" w:hAnsi="Cambria" w:cs="Calibri Light"/>
          <w:color w:val="000000" w:themeColor="text1"/>
          <w:sz w:val="20"/>
          <w:szCs w:val="20"/>
          <w:lang w:val="es-CO"/>
        </w:rPr>
        <w:t>2</w:t>
      </w:r>
      <w:r w:rsidR="006E7E89" w:rsidRPr="00491517">
        <w:rPr>
          <w:rFonts w:ascii="Cambria" w:hAnsi="Cambria" w:cs="Calibri Light"/>
          <w:color w:val="000000" w:themeColor="text1"/>
          <w:sz w:val="20"/>
          <w:szCs w:val="20"/>
          <w:lang w:val="es-CO"/>
        </w:rPr>
        <w:t xml:space="preserve"> personas</w:t>
      </w:r>
      <w:r w:rsidR="00A0334D" w:rsidRPr="00491517">
        <w:rPr>
          <w:rFonts w:ascii="Cambria" w:hAnsi="Cambria" w:cs="Calibri Light"/>
          <w:color w:val="000000" w:themeColor="text1"/>
          <w:sz w:val="20"/>
          <w:szCs w:val="20"/>
          <w:lang w:val="es-CO"/>
        </w:rPr>
        <w:t xml:space="preserve"> fueron encontradas con vida</w:t>
      </w:r>
      <w:r w:rsidR="008C04BF" w:rsidRPr="00491517">
        <w:rPr>
          <w:rFonts w:ascii="Cambria" w:hAnsi="Cambria" w:cs="Calibri Light"/>
          <w:color w:val="000000" w:themeColor="text1"/>
          <w:sz w:val="20"/>
          <w:szCs w:val="20"/>
          <w:lang w:val="es-CO"/>
        </w:rPr>
        <w:t xml:space="preserve"> (casos 9.814 y 10.263)</w:t>
      </w:r>
      <w:r w:rsidR="00A0334D" w:rsidRPr="00491517">
        <w:rPr>
          <w:rFonts w:ascii="Cambria" w:hAnsi="Cambria" w:cs="Calibri Light"/>
          <w:color w:val="000000" w:themeColor="text1"/>
          <w:sz w:val="20"/>
          <w:szCs w:val="20"/>
          <w:lang w:val="es-CO"/>
        </w:rPr>
        <w:t xml:space="preserve"> y</w:t>
      </w:r>
      <w:r w:rsidR="005567A4" w:rsidRPr="00491517">
        <w:rPr>
          <w:rFonts w:ascii="Cambria" w:hAnsi="Cambria" w:cs="Calibri Light"/>
          <w:color w:val="000000" w:themeColor="text1"/>
          <w:sz w:val="20"/>
          <w:szCs w:val="20"/>
          <w:lang w:val="es-CO"/>
        </w:rPr>
        <w:t xml:space="preserve"> 1 sin vida</w:t>
      </w:r>
      <w:r w:rsidR="008C04BF" w:rsidRPr="00491517">
        <w:rPr>
          <w:rFonts w:ascii="Cambria" w:hAnsi="Cambria" w:cs="Calibri Light"/>
          <w:color w:val="000000" w:themeColor="text1"/>
          <w:sz w:val="20"/>
          <w:szCs w:val="20"/>
          <w:lang w:val="es-CO"/>
        </w:rPr>
        <w:t xml:space="preserve"> (caso 10.528)</w:t>
      </w:r>
      <w:r w:rsidR="00A0334D" w:rsidRPr="00491517">
        <w:rPr>
          <w:rFonts w:ascii="Cambria" w:hAnsi="Cambria" w:cs="Calibri Light"/>
          <w:color w:val="000000" w:themeColor="text1"/>
          <w:sz w:val="20"/>
          <w:szCs w:val="20"/>
          <w:lang w:val="es-CO"/>
        </w:rPr>
        <w:t>.</w:t>
      </w:r>
      <w:r w:rsidR="00BB6B38" w:rsidRPr="00491517">
        <w:rPr>
          <w:rFonts w:ascii="Cambria" w:hAnsi="Cambria" w:cs="Calibri Light"/>
          <w:color w:val="000000" w:themeColor="text1"/>
          <w:sz w:val="20"/>
          <w:szCs w:val="20"/>
          <w:lang w:val="es-CO"/>
        </w:rPr>
        <w:t xml:space="preserve"> </w:t>
      </w:r>
      <w:r w:rsidR="00F70BE3" w:rsidRPr="00491517">
        <w:rPr>
          <w:rFonts w:ascii="Cambria" w:hAnsi="Cambria"/>
          <w:color w:val="000000" w:themeColor="text1"/>
          <w:sz w:val="20"/>
          <w:szCs w:val="20"/>
          <w:lang w:val="es-CO"/>
        </w:rPr>
        <w:t>Asimismo,</w:t>
      </w:r>
      <w:r w:rsidR="00FE4513" w:rsidRPr="00491517">
        <w:rPr>
          <w:rFonts w:ascii="Cambria" w:hAnsi="Cambria"/>
          <w:color w:val="000000" w:themeColor="text1"/>
          <w:sz w:val="20"/>
          <w:szCs w:val="20"/>
          <w:lang w:val="es-CO"/>
        </w:rPr>
        <w:t xml:space="preserve"> explicó que</w:t>
      </w:r>
      <w:r w:rsidR="00C11336" w:rsidRPr="00491517">
        <w:rPr>
          <w:rFonts w:ascii="Cambria" w:hAnsi="Cambria"/>
          <w:color w:val="000000" w:themeColor="text1"/>
          <w:sz w:val="20"/>
          <w:szCs w:val="20"/>
          <w:lang w:val="es-CO"/>
        </w:rPr>
        <w:t>,</w:t>
      </w:r>
      <w:r w:rsidR="00FE4513" w:rsidRPr="00491517">
        <w:rPr>
          <w:rFonts w:ascii="Cambria" w:hAnsi="Cambria"/>
          <w:color w:val="000000" w:themeColor="text1"/>
          <w:sz w:val="20"/>
          <w:szCs w:val="20"/>
          <w:lang w:val="es-CO"/>
        </w:rPr>
        <w:t xml:space="preserve"> </w:t>
      </w:r>
      <w:r w:rsidR="00F70BE3" w:rsidRPr="00491517">
        <w:rPr>
          <w:rFonts w:ascii="Cambria" w:hAnsi="Cambria"/>
          <w:color w:val="000000" w:themeColor="text1"/>
          <w:sz w:val="20"/>
          <w:szCs w:val="20"/>
          <w:lang w:val="es-CO"/>
        </w:rPr>
        <w:t>en los casos de identificación de</w:t>
      </w:r>
      <w:r w:rsidR="00BB6B38" w:rsidRPr="00491517">
        <w:rPr>
          <w:rFonts w:ascii="Cambria" w:hAnsi="Cambria"/>
          <w:color w:val="000000" w:themeColor="text1"/>
          <w:sz w:val="20"/>
          <w:szCs w:val="20"/>
          <w:lang w:val="es-CO"/>
        </w:rPr>
        <w:t xml:space="preserve"> restos, ha </w:t>
      </w:r>
      <w:r w:rsidR="00FE4513" w:rsidRPr="00491517">
        <w:rPr>
          <w:rFonts w:ascii="Cambria" w:hAnsi="Cambria"/>
          <w:color w:val="000000" w:themeColor="text1"/>
          <w:sz w:val="20"/>
          <w:szCs w:val="20"/>
          <w:lang w:val="es-CO"/>
        </w:rPr>
        <w:t>realizado ceremonias de entregas dignas, con participación de l</w:t>
      </w:r>
      <w:r w:rsidR="00BB6B38" w:rsidRPr="00491517">
        <w:rPr>
          <w:rFonts w:ascii="Cambria" w:hAnsi="Cambria"/>
          <w:color w:val="000000" w:themeColor="text1"/>
          <w:sz w:val="20"/>
          <w:szCs w:val="20"/>
          <w:lang w:val="es-CO"/>
        </w:rPr>
        <w:t xml:space="preserve">as familias y con acompañamiento </w:t>
      </w:r>
      <w:r w:rsidR="00FE4513" w:rsidRPr="00491517">
        <w:rPr>
          <w:rFonts w:ascii="Cambria" w:hAnsi="Cambria"/>
          <w:color w:val="000000" w:themeColor="text1"/>
          <w:sz w:val="20"/>
          <w:szCs w:val="20"/>
          <w:lang w:val="es-CO"/>
        </w:rPr>
        <w:t>psicológico.</w:t>
      </w:r>
    </w:p>
    <w:p w14:paraId="5BA6670E" w14:textId="77777777" w:rsidR="002A30CF" w:rsidRPr="00491517" w:rsidRDefault="002A30CF" w:rsidP="00B647E9">
      <w:pPr>
        <w:spacing w:after="0" w:line="240" w:lineRule="auto"/>
        <w:jc w:val="both"/>
        <w:rPr>
          <w:rFonts w:ascii="Cambria" w:hAnsi="Cambria" w:cs="Calibri Light"/>
          <w:b/>
          <w:bCs/>
          <w:color w:val="000000" w:themeColor="text1"/>
          <w:sz w:val="20"/>
          <w:szCs w:val="20"/>
          <w:lang w:val="es-CO"/>
        </w:rPr>
      </w:pPr>
    </w:p>
    <w:p w14:paraId="3B664807" w14:textId="2519292E" w:rsidR="00315437" w:rsidRPr="00491517" w:rsidRDefault="002906EA"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b/>
          <w:bCs/>
          <w:color w:val="000000" w:themeColor="text1"/>
          <w:sz w:val="20"/>
          <w:szCs w:val="20"/>
          <w:lang w:val="es-CO"/>
        </w:rPr>
        <w:t xml:space="preserve"> </w:t>
      </w:r>
      <w:r w:rsidR="00F20180" w:rsidRPr="00491517">
        <w:rPr>
          <w:rFonts w:ascii="Cambria" w:hAnsi="Cambria" w:cs="Calibri Light"/>
          <w:b/>
          <w:bCs/>
          <w:color w:val="000000" w:themeColor="text1"/>
          <w:sz w:val="20"/>
          <w:szCs w:val="20"/>
          <w:lang w:val="es-CO"/>
        </w:rPr>
        <w:t>Información remitida por la parte peticionaria</w:t>
      </w:r>
      <w:r w:rsidR="00AC763F" w:rsidRPr="00491517">
        <w:rPr>
          <w:rFonts w:ascii="Cambria" w:hAnsi="Cambria" w:cs="Calibri Light"/>
          <w:b/>
          <w:bCs/>
          <w:color w:val="000000" w:themeColor="text1"/>
          <w:sz w:val="20"/>
          <w:szCs w:val="20"/>
          <w:lang w:val="es-CO"/>
        </w:rPr>
        <w:t xml:space="preserve"> en 2021</w:t>
      </w:r>
      <w:r w:rsidR="00F20180" w:rsidRPr="00491517">
        <w:rPr>
          <w:rFonts w:ascii="Cambria" w:hAnsi="Cambria" w:cs="Calibri Light"/>
          <w:b/>
          <w:bCs/>
          <w:color w:val="000000" w:themeColor="text1"/>
          <w:sz w:val="20"/>
          <w:szCs w:val="20"/>
          <w:lang w:val="es-CO"/>
        </w:rPr>
        <w:t xml:space="preserve">. </w:t>
      </w:r>
      <w:r w:rsidR="00AC763F" w:rsidRPr="00491517">
        <w:rPr>
          <w:rFonts w:ascii="Cambria" w:hAnsi="Cambria" w:cs="Calibri Light"/>
          <w:color w:val="000000" w:themeColor="text1"/>
          <w:sz w:val="20"/>
          <w:szCs w:val="20"/>
          <w:lang w:val="es-CO"/>
        </w:rPr>
        <w:t>L</w:t>
      </w:r>
      <w:r w:rsidR="005535E1" w:rsidRPr="00491517">
        <w:rPr>
          <w:rFonts w:ascii="Cambria" w:hAnsi="Cambria" w:cs="Calibri Light"/>
          <w:color w:val="000000" w:themeColor="text1"/>
          <w:sz w:val="20"/>
          <w:szCs w:val="20"/>
          <w:lang w:val="es-CO"/>
        </w:rPr>
        <w:t>a parte peticionaria observ</w:t>
      </w:r>
      <w:r w:rsidR="00AC763F" w:rsidRPr="00491517">
        <w:rPr>
          <w:rFonts w:ascii="Cambria" w:hAnsi="Cambria" w:cs="Calibri Light"/>
          <w:color w:val="000000" w:themeColor="text1"/>
          <w:sz w:val="20"/>
          <w:szCs w:val="20"/>
          <w:lang w:val="es-CO"/>
        </w:rPr>
        <w:t>ó</w:t>
      </w:r>
      <w:r w:rsidR="005535E1" w:rsidRPr="00491517">
        <w:rPr>
          <w:rFonts w:ascii="Cambria" w:hAnsi="Cambria" w:cs="Calibri Light"/>
          <w:color w:val="000000" w:themeColor="text1"/>
          <w:sz w:val="20"/>
          <w:szCs w:val="20"/>
          <w:lang w:val="es-CO"/>
        </w:rPr>
        <w:t xml:space="preserve"> que la información </w:t>
      </w:r>
      <w:r w:rsidR="00162278" w:rsidRPr="00491517">
        <w:rPr>
          <w:rFonts w:ascii="Cambria" w:hAnsi="Cambria" w:cs="Calibri Light"/>
          <w:color w:val="000000" w:themeColor="text1"/>
          <w:sz w:val="20"/>
          <w:szCs w:val="20"/>
          <w:lang w:val="es-CO"/>
        </w:rPr>
        <w:t>d</w:t>
      </w:r>
      <w:r w:rsidR="005535E1" w:rsidRPr="00491517">
        <w:rPr>
          <w:rFonts w:ascii="Cambria" w:hAnsi="Cambria" w:cs="Calibri Light"/>
          <w:color w:val="000000" w:themeColor="text1"/>
          <w:sz w:val="20"/>
          <w:szCs w:val="20"/>
          <w:lang w:val="es-CO"/>
        </w:rPr>
        <w:t xml:space="preserve">el Estado permite identificar un número discordante de víctimas </w:t>
      </w:r>
      <w:r w:rsidR="00315437" w:rsidRPr="00491517">
        <w:rPr>
          <w:rFonts w:ascii="Cambria" w:hAnsi="Cambria" w:cs="Calibri Light"/>
          <w:color w:val="000000" w:themeColor="text1"/>
          <w:sz w:val="20"/>
          <w:szCs w:val="20"/>
          <w:lang w:val="es-CO"/>
        </w:rPr>
        <w:t xml:space="preserve">en las desapariciones conocidas por el </w:t>
      </w:r>
      <w:r w:rsidR="00D80A03" w:rsidRPr="00491517">
        <w:rPr>
          <w:rFonts w:ascii="Cambria" w:hAnsi="Cambria"/>
          <w:color w:val="000000" w:themeColor="text1"/>
          <w:sz w:val="20"/>
          <w:szCs w:val="20"/>
          <w:lang w:val="es-ES"/>
        </w:rPr>
        <w:t>MP</w:t>
      </w:r>
      <w:r w:rsidR="00D80A03" w:rsidRPr="00491517">
        <w:rPr>
          <w:rFonts w:ascii="Cambria" w:hAnsi="Cambria" w:cs="Calibri Light"/>
          <w:color w:val="000000" w:themeColor="text1"/>
          <w:sz w:val="20"/>
          <w:szCs w:val="20"/>
          <w:lang w:val="es-CO"/>
        </w:rPr>
        <w:t xml:space="preserve"> </w:t>
      </w:r>
      <w:r w:rsidR="00315437" w:rsidRPr="00491517">
        <w:rPr>
          <w:rFonts w:ascii="Cambria" w:hAnsi="Cambria" w:cs="Calibri Light"/>
          <w:color w:val="000000" w:themeColor="text1"/>
          <w:sz w:val="20"/>
          <w:szCs w:val="20"/>
          <w:lang w:val="es-CO"/>
        </w:rPr>
        <w:t>y</w:t>
      </w:r>
      <w:r w:rsidR="00F97848" w:rsidRPr="00491517">
        <w:rPr>
          <w:rFonts w:ascii="Cambria" w:hAnsi="Cambria" w:cs="Calibri Light"/>
          <w:color w:val="000000" w:themeColor="text1"/>
          <w:sz w:val="20"/>
          <w:szCs w:val="20"/>
          <w:lang w:val="es-CO"/>
        </w:rPr>
        <w:t xml:space="preserve"> </w:t>
      </w:r>
      <w:r w:rsidR="00315437" w:rsidRPr="00491517">
        <w:rPr>
          <w:rFonts w:ascii="Cambria" w:hAnsi="Cambria" w:cs="Calibri Light"/>
          <w:color w:val="000000" w:themeColor="text1"/>
          <w:sz w:val="20"/>
          <w:szCs w:val="20"/>
          <w:lang w:val="es-CO"/>
        </w:rPr>
        <w:t xml:space="preserve">por la DGBPD. </w:t>
      </w:r>
      <w:r w:rsidR="00F97848" w:rsidRPr="00491517">
        <w:rPr>
          <w:rFonts w:ascii="Cambria" w:hAnsi="Cambria"/>
          <w:color w:val="000000" w:themeColor="text1"/>
          <w:sz w:val="20"/>
          <w:szCs w:val="20"/>
          <w:lang w:val="es-CO"/>
        </w:rPr>
        <w:t xml:space="preserve">Al respecto, observó que, según el registro suministrado por el </w:t>
      </w:r>
      <w:r w:rsidR="00D80A03" w:rsidRPr="00491517">
        <w:rPr>
          <w:rFonts w:ascii="Cambria" w:hAnsi="Cambria"/>
          <w:color w:val="000000" w:themeColor="text1"/>
          <w:sz w:val="20"/>
          <w:szCs w:val="20"/>
          <w:lang w:val="es-ES"/>
        </w:rPr>
        <w:t>MP</w:t>
      </w:r>
      <w:r w:rsidR="00F97848" w:rsidRPr="00491517">
        <w:rPr>
          <w:rFonts w:ascii="Cambria" w:hAnsi="Cambria"/>
          <w:color w:val="000000" w:themeColor="text1"/>
          <w:sz w:val="20"/>
          <w:szCs w:val="20"/>
          <w:lang w:val="es-CO"/>
        </w:rPr>
        <w:t>, hay al menos 352 víctimas de desaparición forzada, cifra que no concuerda con lo señalado por la DGBPD</w:t>
      </w:r>
      <w:r w:rsidR="00454CA5" w:rsidRPr="00491517">
        <w:rPr>
          <w:rFonts w:ascii="Cambria" w:hAnsi="Cambria"/>
          <w:color w:val="000000" w:themeColor="text1"/>
          <w:sz w:val="20"/>
          <w:szCs w:val="20"/>
          <w:lang w:val="es-CO"/>
        </w:rPr>
        <w:t>,</w:t>
      </w:r>
      <w:r w:rsidR="00F97848" w:rsidRPr="00491517">
        <w:rPr>
          <w:rFonts w:ascii="Cambria" w:hAnsi="Cambria"/>
          <w:color w:val="000000" w:themeColor="text1"/>
          <w:sz w:val="20"/>
          <w:szCs w:val="20"/>
          <w:lang w:val="es-CO"/>
        </w:rPr>
        <w:t xml:space="preserve"> que identificó 240 víctimas parte del Comunicado de Prensa. </w:t>
      </w:r>
      <w:r w:rsidR="00F97848" w:rsidRPr="00491517">
        <w:rPr>
          <w:rFonts w:ascii="Cambria" w:hAnsi="Cambria" w:cs="Calibri Light"/>
          <w:color w:val="000000" w:themeColor="text1"/>
          <w:sz w:val="20"/>
          <w:szCs w:val="20"/>
          <w:lang w:val="es-CO"/>
        </w:rPr>
        <w:t>De esta manera</w:t>
      </w:r>
      <w:r w:rsidR="00E62E01" w:rsidRPr="00491517">
        <w:rPr>
          <w:rFonts w:ascii="Cambria" w:hAnsi="Cambria" w:cs="Calibri Light"/>
          <w:color w:val="000000" w:themeColor="text1"/>
          <w:sz w:val="20"/>
          <w:szCs w:val="20"/>
          <w:lang w:val="es-CO"/>
        </w:rPr>
        <w:t xml:space="preserve">, </w:t>
      </w:r>
      <w:r w:rsidR="009E3F5A" w:rsidRPr="00491517">
        <w:rPr>
          <w:rFonts w:ascii="Cambria" w:hAnsi="Cambria" w:cs="Calibri Light"/>
          <w:color w:val="000000" w:themeColor="text1"/>
          <w:sz w:val="20"/>
          <w:szCs w:val="20"/>
          <w:lang w:val="es-CO"/>
        </w:rPr>
        <w:t xml:space="preserve">indicó </w:t>
      </w:r>
      <w:r w:rsidR="00E62E01" w:rsidRPr="00491517">
        <w:rPr>
          <w:rFonts w:ascii="Cambria" w:hAnsi="Cambria" w:cs="Calibri Light"/>
          <w:color w:val="000000" w:themeColor="text1"/>
          <w:sz w:val="20"/>
          <w:szCs w:val="20"/>
          <w:lang w:val="es-CO"/>
        </w:rPr>
        <w:t xml:space="preserve">que es esencial que la DGBPD </w:t>
      </w:r>
      <w:r w:rsidR="00E62E01" w:rsidRPr="00491517">
        <w:rPr>
          <w:rFonts w:ascii="Cambria" w:hAnsi="Cambria"/>
          <w:color w:val="000000" w:themeColor="text1"/>
          <w:sz w:val="20"/>
          <w:szCs w:val="20"/>
          <w:lang w:val="es-CO"/>
        </w:rPr>
        <w:t xml:space="preserve">desarrolle una estrategia de investigación y búsqueda dirigida a los desaparecidos de los </w:t>
      </w:r>
      <w:r w:rsidR="00454CA5" w:rsidRPr="00491517">
        <w:rPr>
          <w:rFonts w:ascii="Cambria" w:hAnsi="Cambria"/>
          <w:color w:val="000000" w:themeColor="text1"/>
          <w:sz w:val="20"/>
          <w:szCs w:val="20"/>
          <w:lang w:val="es-CO"/>
        </w:rPr>
        <w:t>c</w:t>
      </w:r>
      <w:r w:rsidR="00E62E01" w:rsidRPr="00491517">
        <w:rPr>
          <w:rFonts w:ascii="Cambria" w:hAnsi="Cambria"/>
          <w:color w:val="000000" w:themeColor="text1"/>
          <w:sz w:val="20"/>
          <w:szCs w:val="20"/>
          <w:lang w:val="es-CO"/>
        </w:rPr>
        <w:t xml:space="preserve">asos del Comunicado Conjunto de Prensa, en un trabajo articulado </w:t>
      </w:r>
      <w:r w:rsidR="00454CA5" w:rsidRPr="00491517">
        <w:rPr>
          <w:rFonts w:ascii="Cambria" w:hAnsi="Cambria"/>
          <w:color w:val="000000" w:themeColor="text1"/>
          <w:sz w:val="20"/>
          <w:szCs w:val="20"/>
          <w:lang w:val="es-CO"/>
        </w:rPr>
        <w:t>entre la DGBPD y</w:t>
      </w:r>
      <w:r w:rsidR="00E62E01" w:rsidRPr="00491517">
        <w:rPr>
          <w:rFonts w:ascii="Cambria" w:hAnsi="Cambria"/>
          <w:color w:val="000000" w:themeColor="text1"/>
          <w:sz w:val="20"/>
          <w:szCs w:val="20"/>
          <w:lang w:val="es-CO"/>
        </w:rPr>
        <w:t xml:space="preserve"> el </w:t>
      </w:r>
      <w:r w:rsidR="00D80A03" w:rsidRPr="00491517">
        <w:rPr>
          <w:rFonts w:ascii="Cambria" w:hAnsi="Cambria"/>
          <w:color w:val="000000" w:themeColor="text1"/>
          <w:sz w:val="20"/>
          <w:szCs w:val="20"/>
          <w:lang w:val="es-ES"/>
        </w:rPr>
        <w:t>MP</w:t>
      </w:r>
      <w:r w:rsidR="00454CA5" w:rsidRPr="00491517">
        <w:rPr>
          <w:rFonts w:ascii="Cambria" w:hAnsi="Cambria"/>
          <w:color w:val="000000" w:themeColor="text1"/>
          <w:sz w:val="20"/>
          <w:szCs w:val="20"/>
          <w:lang w:val="es-ES"/>
        </w:rPr>
        <w:t>,</w:t>
      </w:r>
      <w:r w:rsidR="00D80A03" w:rsidRPr="00491517">
        <w:rPr>
          <w:rFonts w:ascii="Cambria" w:hAnsi="Cambria"/>
          <w:color w:val="000000" w:themeColor="text1"/>
          <w:sz w:val="20"/>
          <w:szCs w:val="20"/>
          <w:lang w:val="es-CO"/>
        </w:rPr>
        <w:t xml:space="preserve"> </w:t>
      </w:r>
      <w:r w:rsidR="00F97848" w:rsidRPr="00491517">
        <w:rPr>
          <w:rFonts w:ascii="Cambria" w:hAnsi="Cambria"/>
          <w:color w:val="000000" w:themeColor="text1"/>
          <w:sz w:val="20"/>
          <w:szCs w:val="20"/>
          <w:lang w:val="es-CO"/>
        </w:rPr>
        <w:t>y a partir de información cruzada y uniforme</w:t>
      </w:r>
      <w:r w:rsidR="00E62E01" w:rsidRPr="00491517">
        <w:rPr>
          <w:rFonts w:ascii="Cambria" w:hAnsi="Cambria"/>
          <w:color w:val="000000" w:themeColor="text1"/>
          <w:sz w:val="20"/>
          <w:szCs w:val="20"/>
          <w:lang w:val="es-CO"/>
        </w:rPr>
        <w:t xml:space="preserve">. </w:t>
      </w:r>
      <w:r w:rsidR="00E62E01" w:rsidRPr="00491517">
        <w:rPr>
          <w:rFonts w:ascii="Cambria" w:hAnsi="Cambria" w:cs="Calibri Light"/>
          <w:color w:val="000000" w:themeColor="text1"/>
          <w:sz w:val="20"/>
          <w:szCs w:val="20"/>
          <w:lang w:val="es-CO"/>
        </w:rPr>
        <w:t xml:space="preserve"> </w:t>
      </w:r>
    </w:p>
    <w:p w14:paraId="759B6CA2" w14:textId="77777777" w:rsidR="00AC763F" w:rsidRPr="00491517" w:rsidRDefault="00AC763F" w:rsidP="00AC763F">
      <w:pPr>
        <w:pStyle w:val="ListParagraph"/>
        <w:rPr>
          <w:rFonts w:ascii="Cambria" w:hAnsi="Cambria" w:cs="Calibri Light"/>
          <w:color w:val="000000" w:themeColor="text1"/>
          <w:sz w:val="20"/>
          <w:szCs w:val="20"/>
          <w:lang w:val="es-CO"/>
        </w:rPr>
      </w:pPr>
    </w:p>
    <w:p w14:paraId="09E747BE" w14:textId="3451934A" w:rsidR="00F97848" w:rsidRPr="00491517" w:rsidRDefault="00F97848"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s="Calibri Light"/>
          <w:color w:val="000000" w:themeColor="text1"/>
          <w:sz w:val="20"/>
          <w:szCs w:val="20"/>
          <w:lang w:val="es-CO"/>
        </w:rPr>
        <w:t>Igualmente, l</w:t>
      </w:r>
      <w:r w:rsidR="00AC763F" w:rsidRPr="00491517">
        <w:rPr>
          <w:rFonts w:ascii="Cambria" w:hAnsi="Cambria" w:cs="Calibri Light"/>
          <w:color w:val="000000" w:themeColor="text1"/>
          <w:sz w:val="20"/>
          <w:szCs w:val="20"/>
          <w:lang w:val="es-CO"/>
        </w:rPr>
        <w:t>a parte peticionaria señaló que</w:t>
      </w:r>
      <w:r w:rsidR="009E3F5A" w:rsidRPr="00491517">
        <w:rPr>
          <w:rFonts w:ascii="Cambria" w:hAnsi="Cambria" w:cs="Calibri Light"/>
          <w:color w:val="000000" w:themeColor="text1"/>
          <w:sz w:val="20"/>
          <w:szCs w:val="20"/>
          <w:lang w:val="es-CO"/>
        </w:rPr>
        <w:t xml:space="preserve"> </w:t>
      </w:r>
      <w:r w:rsidRPr="00491517">
        <w:rPr>
          <w:rFonts w:ascii="Cambria" w:hAnsi="Cambria" w:cs="Calibri Light"/>
          <w:color w:val="000000" w:themeColor="text1"/>
          <w:sz w:val="20"/>
          <w:szCs w:val="20"/>
          <w:lang w:val="es-CO"/>
        </w:rPr>
        <w:t>recibió</w:t>
      </w:r>
      <w:r w:rsidR="009E3F5A" w:rsidRPr="00491517">
        <w:rPr>
          <w:rFonts w:ascii="Cambria" w:hAnsi="Cambria" w:cs="Calibri Light"/>
          <w:color w:val="000000" w:themeColor="text1"/>
          <w:sz w:val="20"/>
          <w:szCs w:val="20"/>
          <w:lang w:val="es-CO"/>
        </w:rPr>
        <w:t xml:space="preserve"> la información del Estado en donde se precisa que, </w:t>
      </w:r>
      <w:r w:rsidR="009E3F5A" w:rsidRPr="00491517">
        <w:rPr>
          <w:rFonts w:ascii="Cambria" w:hAnsi="Cambria"/>
          <w:color w:val="000000" w:themeColor="text1"/>
          <w:sz w:val="20"/>
          <w:szCs w:val="20"/>
          <w:lang w:val="es-CO"/>
        </w:rPr>
        <w:t>en las 14 investigaciones de la DGBPD, están comprendidas 68 personas del Comunicado de Prensa, así como de 3 casos en donde se concluyó la búsqueda (Caso No. 9814; 10.263 y 10.528).</w:t>
      </w:r>
      <w:r w:rsidRPr="00491517">
        <w:rPr>
          <w:rFonts w:ascii="Cambria" w:hAnsi="Cambria"/>
          <w:color w:val="000000" w:themeColor="text1"/>
          <w:sz w:val="20"/>
          <w:szCs w:val="20"/>
          <w:lang w:val="es-CO"/>
        </w:rPr>
        <w:t xml:space="preserve"> </w:t>
      </w:r>
      <w:r w:rsidR="005F6705" w:rsidRPr="00491517">
        <w:rPr>
          <w:rFonts w:ascii="Cambria" w:hAnsi="Cambria"/>
          <w:color w:val="000000" w:themeColor="text1"/>
          <w:sz w:val="20"/>
          <w:szCs w:val="20"/>
          <w:lang w:val="es-CO"/>
        </w:rPr>
        <w:t>Finalmente, para la parte peticionaria, el Estado todavía no ha resuelto la solicitud sobre l</w:t>
      </w:r>
      <w:r w:rsidR="00162278" w:rsidRPr="00491517">
        <w:rPr>
          <w:rFonts w:ascii="Cambria" w:hAnsi="Cambria"/>
          <w:color w:val="000000" w:themeColor="text1"/>
          <w:sz w:val="20"/>
          <w:szCs w:val="20"/>
          <w:lang w:val="es-CO"/>
        </w:rPr>
        <w:t xml:space="preserve">a fijación de plazos y </w:t>
      </w:r>
      <w:r w:rsidR="005F6705" w:rsidRPr="00491517">
        <w:rPr>
          <w:rFonts w:ascii="Cambria" w:hAnsi="Cambria"/>
          <w:color w:val="000000" w:themeColor="text1"/>
          <w:sz w:val="20"/>
          <w:szCs w:val="20"/>
          <w:lang w:val="es-CO"/>
        </w:rPr>
        <w:t xml:space="preserve">márgenes de corto, mediano y largo plazo para que la DGBPD </w:t>
      </w:r>
      <w:r w:rsidR="00162278" w:rsidRPr="00491517">
        <w:rPr>
          <w:rFonts w:ascii="Cambria" w:hAnsi="Cambria"/>
          <w:color w:val="000000" w:themeColor="text1"/>
          <w:sz w:val="20"/>
          <w:szCs w:val="20"/>
          <w:lang w:val="es-CO"/>
        </w:rPr>
        <w:t>desarrolle</w:t>
      </w:r>
      <w:r w:rsidR="005F6705" w:rsidRPr="00491517">
        <w:rPr>
          <w:rFonts w:ascii="Cambria" w:hAnsi="Cambria"/>
          <w:color w:val="000000" w:themeColor="text1"/>
          <w:sz w:val="20"/>
          <w:szCs w:val="20"/>
          <w:lang w:val="es-CO"/>
        </w:rPr>
        <w:t xml:space="preserve"> las investigaciones.</w:t>
      </w:r>
    </w:p>
    <w:p w14:paraId="5DE6175F" w14:textId="77777777" w:rsidR="00315437" w:rsidRPr="00491517" w:rsidRDefault="00315437" w:rsidP="00315437">
      <w:pPr>
        <w:pStyle w:val="ListParagraph"/>
        <w:rPr>
          <w:rFonts w:ascii="Cambria" w:hAnsi="Cambria"/>
          <w:color w:val="000000" w:themeColor="text1"/>
          <w:sz w:val="20"/>
          <w:szCs w:val="20"/>
          <w:lang w:val="es-CO"/>
        </w:rPr>
      </w:pPr>
    </w:p>
    <w:p w14:paraId="5A698BBE" w14:textId="0D390B4E" w:rsidR="006B245B" w:rsidRPr="00491517" w:rsidRDefault="00881826"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b/>
          <w:bCs/>
          <w:color w:val="000000" w:themeColor="text1"/>
          <w:sz w:val="20"/>
          <w:szCs w:val="20"/>
          <w:lang w:val="es-CO"/>
        </w:rPr>
        <w:t>Consideraciones de la CIDH</w:t>
      </w:r>
      <w:r w:rsidRPr="00491517">
        <w:rPr>
          <w:rFonts w:ascii="Cambria" w:hAnsi="Cambria"/>
          <w:color w:val="000000" w:themeColor="text1"/>
          <w:sz w:val="20"/>
          <w:szCs w:val="20"/>
          <w:lang w:val="es-CO"/>
        </w:rPr>
        <w:t xml:space="preserve">. </w:t>
      </w:r>
      <w:r w:rsidR="00315437" w:rsidRPr="00491517">
        <w:rPr>
          <w:rFonts w:ascii="Cambria" w:hAnsi="Cambria"/>
          <w:color w:val="000000" w:themeColor="text1"/>
          <w:sz w:val="20"/>
          <w:szCs w:val="20"/>
          <w:lang w:val="es-CO"/>
        </w:rPr>
        <w:t xml:space="preserve">La </w:t>
      </w:r>
      <w:r w:rsidR="00454CA5" w:rsidRPr="00491517">
        <w:rPr>
          <w:rFonts w:ascii="Cambria" w:hAnsi="Cambria"/>
          <w:color w:val="000000" w:themeColor="text1"/>
          <w:sz w:val="20"/>
          <w:szCs w:val="20"/>
          <w:lang w:val="es-CO"/>
        </w:rPr>
        <w:t>principal</w:t>
      </w:r>
      <w:r w:rsidR="00315437" w:rsidRPr="00491517">
        <w:rPr>
          <w:rFonts w:ascii="Cambria" w:hAnsi="Cambria"/>
          <w:color w:val="000000" w:themeColor="text1"/>
          <w:sz w:val="20"/>
          <w:szCs w:val="20"/>
          <w:lang w:val="es-CO"/>
        </w:rPr>
        <w:t xml:space="preserve"> medida de cumplimiento identificada</w:t>
      </w:r>
      <w:r w:rsidR="002A08F5" w:rsidRPr="00491517">
        <w:rPr>
          <w:rFonts w:ascii="Cambria" w:hAnsi="Cambria"/>
          <w:color w:val="000000" w:themeColor="text1"/>
          <w:sz w:val="20"/>
          <w:szCs w:val="20"/>
          <w:lang w:val="es-CO"/>
        </w:rPr>
        <w:t xml:space="preserve"> por la Comisión</w:t>
      </w:r>
      <w:r w:rsidR="00315437" w:rsidRPr="00491517">
        <w:rPr>
          <w:rFonts w:ascii="Cambria" w:hAnsi="Cambria"/>
          <w:color w:val="000000" w:themeColor="text1"/>
          <w:sz w:val="20"/>
          <w:szCs w:val="20"/>
          <w:lang w:val="es-CO"/>
        </w:rPr>
        <w:t xml:space="preserve"> </w:t>
      </w:r>
      <w:r w:rsidR="007665B9" w:rsidRPr="00491517">
        <w:rPr>
          <w:rFonts w:ascii="Cambria" w:hAnsi="Cambria"/>
          <w:color w:val="000000" w:themeColor="text1"/>
          <w:sz w:val="20"/>
          <w:szCs w:val="20"/>
          <w:lang w:val="es-CO"/>
        </w:rPr>
        <w:t xml:space="preserve">respecto de este eje temático </w:t>
      </w:r>
      <w:r w:rsidR="00315437" w:rsidRPr="00491517">
        <w:rPr>
          <w:rFonts w:ascii="Cambria" w:hAnsi="Cambria"/>
          <w:color w:val="000000" w:themeColor="text1"/>
          <w:sz w:val="20"/>
          <w:szCs w:val="20"/>
          <w:lang w:val="es-CO"/>
        </w:rPr>
        <w:t xml:space="preserve">ha consistido en </w:t>
      </w:r>
      <w:r w:rsidR="002A08F5" w:rsidRPr="00491517">
        <w:rPr>
          <w:rFonts w:ascii="Cambria" w:hAnsi="Cambria"/>
          <w:color w:val="000000" w:themeColor="text1"/>
          <w:sz w:val="20"/>
          <w:szCs w:val="20"/>
          <w:lang w:val="es-CO"/>
        </w:rPr>
        <w:t>el desarrollo de</w:t>
      </w:r>
      <w:r w:rsidR="00760724" w:rsidRPr="00491517">
        <w:rPr>
          <w:rFonts w:ascii="Cambria" w:hAnsi="Cambria"/>
          <w:color w:val="000000" w:themeColor="text1"/>
          <w:sz w:val="20"/>
          <w:szCs w:val="20"/>
          <w:lang w:val="es-CO"/>
        </w:rPr>
        <w:t xml:space="preserve"> </w:t>
      </w:r>
      <w:r w:rsidR="00760724" w:rsidRPr="00491517">
        <w:rPr>
          <w:rFonts w:ascii="Cambria" w:hAnsi="Cambria"/>
          <w:b/>
          <w:bCs/>
          <w:color w:val="000000" w:themeColor="text1"/>
          <w:sz w:val="20"/>
          <w:szCs w:val="20"/>
          <w:lang w:val="es-CO"/>
        </w:rPr>
        <w:t xml:space="preserve">investigaciones </w:t>
      </w:r>
      <w:r w:rsidR="007C114C" w:rsidRPr="00491517">
        <w:rPr>
          <w:rFonts w:ascii="Cambria" w:hAnsi="Cambria"/>
          <w:b/>
          <w:bCs/>
          <w:color w:val="000000" w:themeColor="text1"/>
          <w:sz w:val="20"/>
          <w:szCs w:val="20"/>
          <w:lang w:val="es-CO"/>
        </w:rPr>
        <w:t xml:space="preserve">humanitarias </w:t>
      </w:r>
      <w:r w:rsidR="00760724" w:rsidRPr="00491517">
        <w:rPr>
          <w:rFonts w:ascii="Cambria" w:hAnsi="Cambria"/>
          <w:b/>
          <w:bCs/>
          <w:color w:val="000000" w:themeColor="text1"/>
          <w:sz w:val="20"/>
          <w:szCs w:val="20"/>
          <w:lang w:val="es-CO"/>
        </w:rPr>
        <w:t>por</w:t>
      </w:r>
      <w:r w:rsidR="002A08F5" w:rsidRPr="00491517">
        <w:rPr>
          <w:rFonts w:ascii="Cambria" w:hAnsi="Cambria"/>
          <w:b/>
          <w:bCs/>
          <w:color w:val="000000" w:themeColor="text1"/>
          <w:sz w:val="20"/>
          <w:szCs w:val="20"/>
          <w:lang w:val="es-CO"/>
        </w:rPr>
        <w:t xml:space="preserve"> parte</w:t>
      </w:r>
      <w:r w:rsidR="00E265DA" w:rsidRPr="00491517">
        <w:rPr>
          <w:rFonts w:ascii="Cambria" w:hAnsi="Cambria"/>
          <w:b/>
          <w:bCs/>
          <w:color w:val="000000" w:themeColor="text1"/>
          <w:sz w:val="20"/>
          <w:szCs w:val="20"/>
          <w:lang w:val="es-CO"/>
        </w:rPr>
        <w:t xml:space="preserve"> </w:t>
      </w:r>
      <w:r w:rsidR="002A08F5" w:rsidRPr="00491517">
        <w:rPr>
          <w:rFonts w:ascii="Cambria" w:hAnsi="Cambria"/>
          <w:b/>
          <w:bCs/>
          <w:color w:val="000000" w:themeColor="text1"/>
          <w:sz w:val="20"/>
          <w:szCs w:val="20"/>
          <w:lang w:val="es-CO"/>
        </w:rPr>
        <w:t>d</w:t>
      </w:r>
      <w:r w:rsidR="00E265DA" w:rsidRPr="00491517">
        <w:rPr>
          <w:rFonts w:ascii="Cambria" w:hAnsi="Cambria"/>
          <w:b/>
          <w:bCs/>
          <w:color w:val="000000" w:themeColor="text1"/>
          <w:sz w:val="20"/>
          <w:szCs w:val="20"/>
          <w:lang w:val="es-CO"/>
        </w:rPr>
        <w:t xml:space="preserve">el </w:t>
      </w:r>
      <w:r w:rsidR="002A08F5" w:rsidRPr="00491517">
        <w:rPr>
          <w:rFonts w:ascii="Cambria" w:hAnsi="Cambria"/>
          <w:b/>
          <w:bCs/>
          <w:color w:val="000000" w:themeColor="text1"/>
          <w:sz w:val="20"/>
          <w:szCs w:val="20"/>
          <w:lang w:val="es-CO"/>
        </w:rPr>
        <w:t>MP</w:t>
      </w:r>
      <w:r w:rsidR="00E265DA" w:rsidRPr="00491517">
        <w:rPr>
          <w:rFonts w:ascii="Cambria" w:hAnsi="Cambria"/>
          <w:b/>
          <w:bCs/>
          <w:color w:val="000000" w:themeColor="text1"/>
          <w:sz w:val="20"/>
          <w:szCs w:val="20"/>
          <w:lang w:val="es-CO"/>
        </w:rPr>
        <w:t xml:space="preserve"> y </w:t>
      </w:r>
      <w:r w:rsidR="002A08F5" w:rsidRPr="00491517">
        <w:rPr>
          <w:rFonts w:ascii="Cambria" w:hAnsi="Cambria"/>
          <w:b/>
          <w:bCs/>
          <w:color w:val="000000" w:themeColor="text1"/>
          <w:sz w:val="20"/>
          <w:szCs w:val="20"/>
          <w:lang w:val="es-CO"/>
        </w:rPr>
        <w:t>de</w:t>
      </w:r>
      <w:r w:rsidR="00760724" w:rsidRPr="00491517">
        <w:rPr>
          <w:rFonts w:ascii="Cambria" w:hAnsi="Cambria"/>
          <w:b/>
          <w:bCs/>
          <w:color w:val="000000" w:themeColor="text1"/>
          <w:sz w:val="20"/>
          <w:szCs w:val="20"/>
          <w:lang w:val="es-CO"/>
        </w:rPr>
        <w:t xml:space="preserve"> la DNBP</w:t>
      </w:r>
      <w:r w:rsidR="006B245B" w:rsidRPr="00491517">
        <w:rPr>
          <w:rFonts w:ascii="Cambria" w:hAnsi="Cambria"/>
          <w:b/>
          <w:bCs/>
          <w:color w:val="000000" w:themeColor="text1"/>
          <w:sz w:val="20"/>
          <w:szCs w:val="20"/>
          <w:lang w:val="es-CO"/>
        </w:rPr>
        <w:t>D</w:t>
      </w:r>
      <w:r w:rsidR="006B245B" w:rsidRPr="00491517">
        <w:rPr>
          <w:rFonts w:ascii="Cambria" w:hAnsi="Cambria"/>
          <w:color w:val="000000" w:themeColor="text1"/>
          <w:sz w:val="20"/>
          <w:szCs w:val="20"/>
          <w:lang w:val="es-CO"/>
        </w:rPr>
        <w:t>, con base en el Plan Nacional de Búsqueda de Personas Desaparecidas</w:t>
      </w:r>
      <w:r w:rsidR="00760724" w:rsidRPr="00491517">
        <w:rPr>
          <w:rFonts w:ascii="Cambria" w:hAnsi="Cambria"/>
          <w:color w:val="000000" w:themeColor="text1"/>
          <w:sz w:val="20"/>
          <w:szCs w:val="20"/>
          <w:lang w:val="es-CO"/>
        </w:rPr>
        <w:t xml:space="preserve">. </w:t>
      </w:r>
    </w:p>
    <w:p w14:paraId="1E22DFF4" w14:textId="77777777" w:rsidR="006B245B" w:rsidRPr="00491517" w:rsidRDefault="006B245B" w:rsidP="006B245B">
      <w:pPr>
        <w:pStyle w:val="ListParagraph"/>
        <w:rPr>
          <w:rFonts w:ascii="Cambria" w:hAnsi="Cambria"/>
          <w:color w:val="000000" w:themeColor="text1"/>
          <w:sz w:val="20"/>
          <w:szCs w:val="20"/>
          <w:lang w:val="es-CO"/>
        </w:rPr>
      </w:pPr>
    </w:p>
    <w:p w14:paraId="283C38AE" w14:textId="300A9AF0" w:rsidR="00722DF6" w:rsidRPr="00491517" w:rsidRDefault="006B245B"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lastRenderedPageBreak/>
        <w:t xml:space="preserve">En cuanto a los avances </w:t>
      </w:r>
      <w:r w:rsidR="008140D1" w:rsidRPr="00491517">
        <w:rPr>
          <w:rFonts w:ascii="Cambria" w:hAnsi="Cambria"/>
          <w:color w:val="000000" w:themeColor="text1"/>
          <w:sz w:val="20"/>
          <w:szCs w:val="20"/>
          <w:lang w:val="es-CO"/>
        </w:rPr>
        <w:t xml:space="preserve">alcanzados </w:t>
      </w:r>
      <w:r w:rsidRPr="00491517">
        <w:rPr>
          <w:rFonts w:ascii="Cambria" w:hAnsi="Cambria"/>
          <w:color w:val="000000" w:themeColor="text1"/>
          <w:sz w:val="20"/>
          <w:szCs w:val="20"/>
          <w:lang w:val="es-CO"/>
        </w:rPr>
        <w:t>en torno a esta medida de cumplimiento</w:t>
      </w:r>
      <w:r w:rsidR="007665B9" w:rsidRPr="00491517">
        <w:rPr>
          <w:rFonts w:ascii="Cambria" w:hAnsi="Cambria"/>
          <w:color w:val="000000" w:themeColor="text1"/>
          <w:sz w:val="20"/>
          <w:szCs w:val="20"/>
          <w:lang w:val="es-CO"/>
        </w:rPr>
        <w:t xml:space="preserve">, la Comisión identifica </w:t>
      </w:r>
      <w:r w:rsidR="008140D1" w:rsidRPr="00491517">
        <w:rPr>
          <w:rFonts w:ascii="Cambria" w:hAnsi="Cambria"/>
          <w:color w:val="000000" w:themeColor="text1"/>
          <w:sz w:val="20"/>
          <w:szCs w:val="20"/>
          <w:lang w:val="es-CO"/>
        </w:rPr>
        <w:t xml:space="preserve">que se ha desplegado un esfuerzo importante por sistematizar la información de </w:t>
      </w:r>
      <w:r w:rsidR="00294410" w:rsidRPr="00491517">
        <w:rPr>
          <w:rFonts w:ascii="Cambria" w:hAnsi="Cambria"/>
          <w:color w:val="000000" w:themeColor="text1"/>
          <w:sz w:val="20"/>
          <w:szCs w:val="20"/>
          <w:lang w:val="es-CO"/>
        </w:rPr>
        <w:t>las personas desaparecidas y de las investigaciones humanitarias</w:t>
      </w:r>
      <w:r w:rsidR="007665B9" w:rsidRPr="00491517">
        <w:rPr>
          <w:rFonts w:ascii="Cambria" w:hAnsi="Cambria"/>
          <w:color w:val="000000" w:themeColor="text1"/>
          <w:sz w:val="20"/>
          <w:szCs w:val="20"/>
          <w:lang w:val="es-CO"/>
        </w:rPr>
        <w:t xml:space="preserve">. </w:t>
      </w:r>
      <w:r w:rsidRPr="00491517">
        <w:rPr>
          <w:rFonts w:ascii="Cambria" w:hAnsi="Cambria"/>
          <w:color w:val="000000" w:themeColor="text1"/>
          <w:sz w:val="20"/>
          <w:szCs w:val="20"/>
          <w:lang w:val="es-CO"/>
        </w:rPr>
        <w:t xml:space="preserve">De acuerdo con la </w:t>
      </w:r>
      <w:r w:rsidR="008140D1" w:rsidRPr="00491517">
        <w:rPr>
          <w:rFonts w:ascii="Cambria" w:hAnsi="Cambria"/>
          <w:color w:val="000000" w:themeColor="text1"/>
          <w:sz w:val="20"/>
          <w:szCs w:val="20"/>
          <w:lang w:val="es-CO"/>
        </w:rPr>
        <w:t>información</w:t>
      </w:r>
      <w:r w:rsidRPr="00491517">
        <w:rPr>
          <w:rFonts w:ascii="Cambria" w:hAnsi="Cambria"/>
          <w:color w:val="000000" w:themeColor="text1"/>
          <w:sz w:val="20"/>
          <w:szCs w:val="20"/>
          <w:lang w:val="es-CO"/>
        </w:rPr>
        <w:t xml:space="preserve"> recibida, </w:t>
      </w:r>
      <w:r w:rsidR="009469FB" w:rsidRPr="00491517">
        <w:rPr>
          <w:rFonts w:ascii="Cambria" w:hAnsi="Cambria"/>
          <w:color w:val="000000" w:themeColor="text1"/>
          <w:sz w:val="20"/>
          <w:szCs w:val="20"/>
          <w:lang w:val="es-CO"/>
        </w:rPr>
        <w:t xml:space="preserve">la CIDH identifica que </w:t>
      </w:r>
      <w:r w:rsidR="008140D1" w:rsidRPr="00491517">
        <w:rPr>
          <w:rFonts w:ascii="Cambria" w:hAnsi="Cambria"/>
          <w:color w:val="000000" w:themeColor="text1"/>
          <w:sz w:val="20"/>
          <w:szCs w:val="20"/>
          <w:lang w:val="es-CO"/>
        </w:rPr>
        <w:t xml:space="preserve">el Estado </w:t>
      </w:r>
      <w:r w:rsidR="009469FB" w:rsidRPr="00491517">
        <w:rPr>
          <w:rFonts w:ascii="Cambria" w:hAnsi="Cambria"/>
          <w:color w:val="000000" w:themeColor="text1"/>
          <w:sz w:val="20"/>
          <w:szCs w:val="20"/>
          <w:lang w:val="es-CO"/>
        </w:rPr>
        <w:t xml:space="preserve">ha previsto la búsqueda de 240 personas </w:t>
      </w:r>
      <w:r w:rsidR="00294410" w:rsidRPr="00491517">
        <w:rPr>
          <w:rFonts w:ascii="Cambria" w:hAnsi="Cambria"/>
          <w:color w:val="000000" w:themeColor="text1"/>
          <w:sz w:val="20"/>
          <w:szCs w:val="20"/>
          <w:lang w:val="es-CO"/>
        </w:rPr>
        <w:t>respecto de</w:t>
      </w:r>
      <w:r w:rsidR="009469FB" w:rsidRPr="00491517">
        <w:rPr>
          <w:rFonts w:ascii="Cambria" w:hAnsi="Cambria"/>
          <w:color w:val="000000" w:themeColor="text1"/>
          <w:sz w:val="20"/>
          <w:szCs w:val="20"/>
          <w:lang w:val="es-CO"/>
        </w:rPr>
        <w:t xml:space="preserve"> casos del Comunicado de Prensa y que, de este número, se </w:t>
      </w:r>
      <w:r w:rsidR="00162278" w:rsidRPr="00491517">
        <w:rPr>
          <w:rFonts w:ascii="Cambria" w:hAnsi="Cambria"/>
          <w:color w:val="000000" w:themeColor="text1"/>
          <w:sz w:val="20"/>
          <w:szCs w:val="20"/>
          <w:lang w:val="es-CO"/>
        </w:rPr>
        <w:t xml:space="preserve">han </w:t>
      </w:r>
      <w:r w:rsidR="008140D1" w:rsidRPr="00491517">
        <w:rPr>
          <w:rFonts w:ascii="Cambria" w:hAnsi="Cambria"/>
          <w:color w:val="000000" w:themeColor="text1"/>
          <w:sz w:val="20"/>
          <w:szCs w:val="20"/>
          <w:lang w:val="es-CO"/>
        </w:rPr>
        <w:t>restitu</w:t>
      </w:r>
      <w:r w:rsidR="00162278" w:rsidRPr="00491517">
        <w:rPr>
          <w:rFonts w:ascii="Cambria" w:hAnsi="Cambria"/>
          <w:color w:val="000000" w:themeColor="text1"/>
          <w:sz w:val="20"/>
          <w:szCs w:val="20"/>
          <w:lang w:val="es-CO"/>
        </w:rPr>
        <w:t>ido</w:t>
      </w:r>
      <w:r w:rsidR="009469FB" w:rsidRPr="00491517">
        <w:rPr>
          <w:rFonts w:ascii="Cambria" w:hAnsi="Cambria"/>
          <w:color w:val="000000" w:themeColor="text1"/>
          <w:sz w:val="20"/>
          <w:szCs w:val="20"/>
          <w:lang w:val="es-CO"/>
        </w:rPr>
        <w:t xml:space="preserve"> los restos de 17 personas. En cuanto a la ejecución de la</w:t>
      </w:r>
      <w:r w:rsidR="008140D1" w:rsidRPr="00491517">
        <w:rPr>
          <w:rFonts w:ascii="Cambria" w:hAnsi="Cambria"/>
          <w:color w:val="000000" w:themeColor="text1"/>
          <w:sz w:val="20"/>
          <w:szCs w:val="20"/>
          <w:lang w:val="es-CO"/>
        </w:rPr>
        <w:t xml:space="preserve"> estrategia de</w:t>
      </w:r>
      <w:r w:rsidR="009469FB" w:rsidRPr="00491517">
        <w:rPr>
          <w:rFonts w:ascii="Cambria" w:hAnsi="Cambria"/>
          <w:color w:val="000000" w:themeColor="text1"/>
          <w:sz w:val="20"/>
          <w:szCs w:val="20"/>
          <w:lang w:val="es-CO"/>
        </w:rPr>
        <w:t xml:space="preserve"> búsqueda,</w:t>
      </w:r>
      <w:r w:rsidR="00294410" w:rsidRPr="00491517">
        <w:rPr>
          <w:rFonts w:ascii="Cambria" w:hAnsi="Cambria"/>
          <w:color w:val="000000" w:themeColor="text1"/>
          <w:sz w:val="20"/>
          <w:szCs w:val="20"/>
          <w:lang w:val="es-CO"/>
        </w:rPr>
        <w:t xml:space="preserve"> </w:t>
      </w:r>
      <w:r w:rsidR="009469FB" w:rsidRPr="00491517">
        <w:rPr>
          <w:rFonts w:ascii="Cambria" w:hAnsi="Cambria"/>
          <w:color w:val="000000" w:themeColor="text1"/>
          <w:sz w:val="20"/>
          <w:szCs w:val="20"/>
          <w:lang w:val="es-CO"/>
        </w:rPr>
        <w:t>la Comisión identifica que</w:t>
      </w:r>
      <w:r w:rsidR="008140D1" w:rsidRPr="00491517">
        <w:rPr>
          <w:rFonts w:ascii="Cambria" w:hAnsi="Cambria"/>
          <w:color w:val="000000" w:themeColor="text1"/>
          <w:sz w:val="20"/>
          <w:szCs w:val="20"/>
          <w:lang w:val="es-CO"/>
        </w:rPr>
        <w:t xml:space="preserve">, </w:t>
      </w:r>
      <w:r w:rsidR="009469FB" w:rsidRPr="00491517">
        <w:rPr>
          <w:rFonts w:ascii="Cambria" w:hAnsi="Cambria"/>
          <w:color w:val="000000" w:themeColor="text1"/>
          <w:sz w:val="20"/>
          <w:szCs w:val="20"/>
          <w:lang w:val="es-CO"/>
        </w:rPr>
        <w:t>para el año 2021</w:t>
      </w:r>
      <w:r w:rsidR="008140D1" w:rsidRPr="00491517">
        <w:rPr>
          <w:rFonts w:ascii="Cambria" w:hAnsi="Cambria"/>
          <w:color w:val="000000" w:themeColor="text1"/>
          <w:sz w:val="20"/>
          <w:szCs w:val="20"/>
          <w:lang w:val="es-CO"/>
        </w:rPr>
        <w:t>,</w:t>
      </w:r>
      <w:r w:rsidR="009469FB" w:rsidRPr="00491517">
        <w:rPr>
          <w:rFonts w:ascii="Cambria" w:hAnsi="Cambria"/>
          <w:color w:val="000000" w:themeColor="text1"/>
          <w:sz w:val="20"/>
          <w:szCs w:val="20"/>
          <w:lang w:val="es-CO"/>
        </w:rPr>
        <w:t xml:space="preserve"> </w:t>
      </w:r>
      <w:r w:rsidR="008140D1" w:rsidRPr="00491517">
        <w:rPr>
          <w:rFonts w:ascii="Cambria" w:hAnsi="Cambria"/>
          <w:color w:val="000000" w:themeColor="text1"/>
          <w:sz w:val="20"/>
          <w:szCs w:val="20"/>
          <w:lang w:val="es-CO"/>
        </w:rPr>
        <w:t xml:space="preserve">el Estado </w:t>
      </w:r>
      <w:r w:rsidR="009469FB" w:rsidRPr="00491517">
        <w:rPr>
          <w:rFonts w:ascii="Cambria" w:hAnsi="Cambria"/>
          <w:color w:val="000000" w:themeColor="text1"/>
          <w:sz w:val="20"/>
          <w:szCs w:val="20"/>
          <w:lang w:val="es-CO"/>
        </w:rPr>
        <w:t xml:space="preserve">incluyó </w:t>
      </w:r>
      <w:r w:rsidR="008140D1" w:rsidRPr="00491517">
        <w:rPr>
          <w:rFonts w:ascii="Cambria" w:hAnsi="Cambria"/>
          <w:color w:val="000000" w:themeColor="text1"/>
          <w:sz w:val="20"/>
          <w:szCs w:val="20"/>
          <w:lang w:val="es-CO"/>
        </w:rPr>
        <w:t xml:space="preserve">en 14 investigaciones humanitarias </w:t>
      </w:r>
      <w:r w:rsidR="009469FB" w:rsidRPr="00491517">
        <w:rPr>
          <w:rFonts w:ascii="Cambria" w:hAnsi="Cambria"/>
          <w:color w:val="000000" w:themeColor="text1"/>
          <w:sz w:val="20"/>
          <w:szCs w:val="20"/>
          <w:lang w:val="es-CO"/>
        </w:rPr>
        <w:t xml:space="preserve">a </w:t>
      </w:r>
      <w:r w:rsidR="002A08F5" w:rsidRPr="00491517">
        <w:rPr>
          <w:rFonts w:ascii="Cambria" w:hAnsi="Cambria"/>
          <w:color w:val="000000" w:themeColor="text1"/>
          <w:sz w:val="20"/>
          <w:szCs w:val="20"/>
          <w:lang w:val="es-CO"/>
        </w:rPr>
        <w:t>68 personas de los casos del Comunicado de Prensa (</w:t>
      </w:r>
      <w:r w:rsidR="00294410" w:rsidRPr="00491517">
        <w:rPr>
          <w:rFonts w:ascii="Cambria" w:hAnsi="Cambria"/>
          <w:color w:val="000000" w:themeColor="text1"/>
          <w:sz w:val="20"/>
          <w:szCs w:val="20"/>
          <w:lang w:val="es-CO"/>
        </w:rPr>
        <w:t xml:space="preserve">correspondientes a </w:t>
      </w:r>
      <w:r w:rsidR="002A08F5" w:rsidRPr="00491517">
        <w:rPr>
          <w:rFonts w:ascii="Cambria" w:hAnsi="Cambria"/>
          <w:color w:val="000000" w:themeColor="text1"/>
          <w:sz w:val="20"/>
          <w:szCs w:val="20"/>
          <w:lang w:val="es-CO"/>
        </w:rPr>
        <w:t>36 informes de fondo)</w:t>
      </w:r>
      <w:r w:rsidR="00294410" w:rsidRPr="00491517">
        <w:rPr>
          <w:rFonts w:ascii="Cambria" w:hAnsi="Cambria"/>
          <w:color w:val="000000" w:themeColor="text1"/>
          <w:sz w:val="20"/>
          <w:szCs w:val="20"/>
          <w:lang w:val="es-CO"/>
        </w:rPr>
        <w:t>, a partir de las que se concluyó la búsqueda de 3 personas</w:t>
      </w:r>
      <w:r w:rsidR="002A08F5" w:rsidRPr="00491517">
        <w:rPr>
          <w:rFonts w:ascii="Cambria" w:hAnsi="Cambria"/>
          <w:color w:val="000000" w:themeColor="text1"/>
          <w:sz w:val="20"/>
          <w:szCs w:val="20"/>
          <w:lang w:val="es-CO"/>
        </w:rPr>
        <w:t xml:space="preserve">. </w:t>
      </w:r>
    </w:p>
    <w:p w14:paraId="613D60C0" w14:textId="77777777" w:rsidR="008140D1" w:rsidRPr="00491517" w:rsidRDefault="008140D1" w:rsidP="008140D1">
      <w:pPr>
        <w:pStyle w:val="ListParagraph"/>
        <w:rPr>
          <w:rFonts w:ascii="Cambria" w:hAnsi="Cambria"/>
          <w:color w:val="000000" w:themeColor="text1"/>
          <w:sz w:val="20"/>
          <w:szCs w:val="20"/>
          <w:lang w:val="es-CO"/>
        </w:rPr>
      </w:pPr>
    </w:p>
    <w:p w14:paraId="05AB25BD" w14:textId="70967E82" w:rsidR="003623A8" w:rsidRPr="00491517" w:rsidRDefault="008140D1"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 xml:space="preserve">Otro de los avances identificados en torno a esta medida de cumplimiento consiste en la definición de una estrategia </w:t>
      </w:r>
      <w:r w:rsidR="00162278" w:rsidRPr="00491517">
        <w:rPr>
          <w:rFonts w:ascii="Cambria" w:hAnsi="Cambria"/>
          <w:color w:val="000000" w:themeColor="text1"/>
          <w:sz w:val="20"/>
          <w:szCs w:val="20"/>
          <w:lang w:val="es-CO"/>
        </w:rPr>
        <w:t xml:space="preserve">progresiva </w:t>
      </w:r>
      <w:r w:rsidRPr="00491517">
        <w:rPr>
          <w:rFonts w:ascii="Cambria" w:hAnsi="Cambria"/>
          <w:color w:val="000000" w:themeColor="text1"/>
          <w:sz w:val="20"/>
          <w:szCs w:val="20"/>
          <w:lang w:val="es-CO"/>
        </w:rPr>
        <w:t xml:space="preserve">de búsqueda. Conforme a la información recibida, la CIDH identifica que el Estado ha decidido priorizar la búsqueda de las personas a partir de etapas y en aplicación de criterios de carácter territorial y temático. </w:t>
      </w:r>
      <w:r w:rsidR="00162278" w:rsidRPr="00491517">
        <w:rPr>
          <w:rFonts w:ascii="Cambria" w:hAnsi="Cambria"/>
          <w:color w:val="000000" w:themeColor="text1"/>
          <w:sz w:val="20"/>
          <w:szCs w:val="20"/>
          <w:lang w:val="es-CO"/>
        </w:rPr>
        <w:t>L</w:t>
      </w:r>
      <w:r w:rsidRPr="00491517">
        <w:rPr>
          <w:rFonts w:ascii="Cambria" w:hAnsi="Cambria"/>
          <w:color w:val="000000" w:themeColor="text1"/>
          <w:sz w:val="20"/>
          <w:szCs w:val="20"/>
          <w:lang w:val="es-CO"/>
        </w:rPr>
        <w:t xml:space="preserve">a CIDH </w:t>
      </w:r>
      <w:r w:rsidR="00EE113E" w:rsidRPr="00491517">
        <w:rPr>
          <w:rFonts w:ascii="Cambria" w:hAnsi="Cambria"/>
          <w:color w:val="000000" w:themeColor="text1"/>
          <w:sz w:val="20"/>
          <w:szCs w:val="20"/>
          <w:lang w:val="es-CO"/>
        </w:rPr>
        <w:t xml:space="preserve">considera que </w:t>
      </w:r>
      <w:r w:rsidRPr="00491517">
        <w:rPr>
          <w:rFonts w:ascii="Cambria" w:hAnsi="Cambria"/>
          <w:color w:val="000000" w:themeColor="text1"/>
          <w:sz w:val="20"/>
          <w:szCs w:val="20"/>
          <w:lang w:val="es-CO"/>
        </w:rPr>
        <w:t>esta definición permitirá impulsar progresivamente las labores de búsqueda a partir de la Planificación Operativa</w:t>
      </w:r>
      <w:r w:rsidR="003623A8" w:rsidRPr="00491517">
        <w:rPr>
          <w:rFonts w:ascii="Cambria" w:hAnsi="Cambria"/>
          <w:color w:val="000000" w:themeColor="text1"/>
          <w:sz w:val="20"/>
          <w:szCs w:val="20"/>
          <w:lang w:val="es-CO"/>
        </w:rPr>
        <w:t xml:space="preserve"> </w:t>
      </w:r>
      <w:r w:rsidRPr="00491517">
        <w:rPr>
          <w:rFonts w:ascii="Cambria" w:hAnsi="Cambria"/>
          <w:color w:val="000000" w:themeColor="text1"/>
          <w:sz w:val="20"/>
          <w:szCs w:val="20"/>
          <w:lang w:val="es-CO"/>
        </w:rPr>
        <w:t>de la DGBPD.</w:t>
      </w:r>
      <w:r w:rsidR="003623A8" w:rsidRPr="00491517">
        <w:rPr>
          <w:rFonts w:ascii="Cambria" w:hAnsi="Cambria"/>
          <w:color w:val="000000" w:themeColor="text1"/>
          <w:sz w:val="20"/>
          <w:szCs w:val="20"/>
          <w:lang w:val="es-CO"/>
        </w:rPr>
        <w:t xml:space="preserve"> Con la finalidad de que esta </w:t>
      </w:r>
      <w:r w:rsidR="00EE113E" w:rsidRPr="00491517">
        <w:rPr>
          <w:rFonts w:ascii="Cambria" w:hAnsi="Cambria"/>
          <w:color w:val="000000" w:themeColor="text1"/>
          <w:sz w:val="20"/>
          <w:szCs w:val="20"/>
          <w:lang w:val="es-CO"/>
        </w:rPr>
        <w:t>estrategia</w:t>
      </w:r>
      <w:r w:rsidR="003623A8" w:rsidRPr="00491517">
        <w:rPr>
          <w:rFonts w:ascii="Cambria" w:hAnsi="Cambria"/>
          <w:color w:val="000000" w:themeColor="text1"/>
          <w:sz w:val="20"/>
          <w:szCs w:val="20"/>
          <w:lang w:val="es-CO"/>
        </w:rPr>
        <w:t xml:space="preserve"> </w:t>
      </w:r>
      <w:r w:rsidR="00EE113E" w:rsidRPr="00491517">
        <w:rPr>
          <w:rFonts w:ascii="Cambria" w:hAnsi="Cambria"/>
          <w:color w:val="000000" w:themeColor="text1"/>
          <w:sz w:val="20"/>
          <w:szCs w:val="20"/>
          <w:lang w:val="es-CO"/>
        </w:rPr>
        <w:t>concrete</w:t>
      </w:r>
      <w:r w:rsidR="003623A8" w:rsidRPr="00491517">
        <w:rPr>
          <w:rFonts w:ascii="Cambria" w:hAnsi="Cambria"/>
          <w:color w:val="000000" w:themeColor="text1"/>
          <w:sz w:val="20"/>
          <w:szCs w:val="20"/>
          <w:lang w:val="es-CO"/>
        </w:rPr>
        <w:t xml:space="preserve"> avance</w:t>
      </w:r>
      <w:r w:rsidR="00DF680F" w:rsidRPr="00491517">
        <w:rPr>
          <w:rFonts w:ascii="Cambria" w:hAnsi="Cambria"/>
          <w:color w:val="000000" w:themeColor="text1"/>
          <w:sz w:val="20"/>
          <w:szCs w:val="20"/>
          <w:lang w:val="es-CO"/>
        </w:rPr>
        <w:t>s</w:t>
      </w:r>
      <w:r w:rsidR="003623A8" w:rsidRPr="00491517">
        <w:rPr>
          <w:rFonts w:ascii="Cambria" w:hAnsi="Cambria"/>
          <w:color w:val="000000" w:themeColor="text1"/>
          <w:sz w:val="20"/>
          <w:szCs w:val="20"/>
          <w:lang w:val="es-CO"/>
        </w:rPr>
        <w:t xml:space="preserve"> en el cumplimiento de </w:t>
      </w:r>
      <w:r w:rsidR="00EE113E" w:rsidRPr="00491517">
        <w:rPr>
          <w:rFonts w:ascii="Cambria" w:hAnsi="Cambria"/>
          <w:color w:val="000000" w:themeColor="text1"/>
          <w:sz w:val="20"/>
          <w:szCs w:val="20"/>
          <w:lang w:val="es-CO"/>
        </w:rPr>
        <w:t>este eje temático</w:t>
      </w:r>
      <w:r w:rsidR="003623A8" w:rsidRPr="00491517">
        <w:rPr>
          <w:rFonts w:ascii="Cambria" w:hAnsi="Cambria"/>
          <w:color w:val="000000" w:themeColor="text1"/>
          <w:sz w:val="20"/>
          <w:szCs w:val="20"/>
          <w:lang w:val="es-CO"/>
        </w:rPr>
        <w:t xml:space="preserve">, la Comisión invita al Estado a compartir la información pertinente sobre la manera en que se </w:t>
      </w:r>
      <w:r w:rsidR="00DF680F" w:rsidRPr="00491517">
        <w:rPr>
          <w:rFonts w:ascii="Cambria" w:hAnsi="Cambria"/>
          <w:color w:val="000000" w:themeColor="text1"/>
          <w:sz w:val="20"/>
          <w:szCs w:val="20"/>
          <w:lang w:val="es-CO"/>
        </w:rPr>
        <w:t>han</w:t>
      </w:r>
      <w:r w:rsidR="003623A8" w:rsidRPr="00491517">
        <w:rPr>
          <w:rFonts w:ascii="Cambria" w:hAnsi="Cambria"/>
          <w:color w:val="000000" w:themeColor="text1"/>
          <w:sz w:val="20"/>
          <w:szCs w:val="20"/>
          <w:lang w:val="es-CO"/>
        </w:rPr>
        <w:t xml:space="preserve"> </w:t>
      </w:r>
      <w:r w:rsidR="00DF680F" w:rsidRPr="00491517">
        <w:rPr>
          <w:rFonts w:ascii="Cambria" w:hAnsi="Cambria"/>
          <w:color w:val="000000" w:themeColor="text1"/>
          <w:sz w:val="20"/>
          <w:szCs w:val="20"/>
          <w:lang w:val="es-CO"/>
        </w:rPr>
        <w:t xml:space="preserve">definido o se continuarán </w:t>
      </w:r>
      <w:r w:rsidR="003623A8" w:rsidRPr="00491517">
        <w:rPr>
          <w:rFonts w:ascii="Cambria" w:hAnsi="Cambria"/>
          <w:color w:val="000000" w:themeColor="text1"/>
          <w:sz w:val="20"/>
          <w:szCs w:val="20"/>
          <w:lang w:val="es-CO"/>
        </w:rPr>
        <w:t xml:space="preserve">definiendo los criterios de priorización </w:t>
      </w:r>
      <w:r w:rsidR="00EE113E" w:rsidRPr="00491517">
        <w:rPr>
          <w:rFonts w:ascii="Cambria" w:hAnsi="Cambria"/>
          <w:color w:val="000000" w:themeColor="text1"/>
          <w:sz w:val="20"/>
          <w:szCs w:val="20"/>
          <w:lang w:val="es-CO"/>
        </w:rPr>
        <w:t xml:space="preserve">de búsquedas </w:t>
      </w:r>
      <w:r w:rsidR="003623A8" w:rsidRPr="00491517">
        <w:rPr>
          <w:rFonts w:ascii="Cambria" w:hAnsi="Cambria"/>
          <w:color w:val="000000" w:themeColor="text1"/>
          <w:sz w:val="20"/>
          <w:szCs w:val="20"/>
          <w:lang w:val="es-CO"/>
        </w:rPr>
        <w:t>y sobre la forma en que se garantizará la continuidad y celeridad de la estrategia</w:t>
      </w:r>
      <w:r w:rsidR="00DF680F" w:rsidRPr="00491517">
        <w:rPr>
          <w:rFonts w:ascii="Cambria" w:hAnsi="Cambria"/>
          <w:color w:val="000000" w:themeColor="text1"/>
          <w:sz w:val="20"/>
          <w:szCs w:val="20"/>
          <w:lang w:val="es-CO"/>
        </w:rPr>
        <w:t xml:space="preserve"> hacia el futuro</w:t>
      </w:r>
      <w:r w:rsidR="003623A8" w:rsidRPr="00491517">
        <w:rPr>
          <w:rFonts w:ascii="Cambria" w:hAnsi="Cambria"/>
          <w:color w:val="000000" w:themeColor="text1"/>
          <w:sz w:val="20"/>
          <w:szCs w:val="20"/>
          <w:lang w:val="es-CO"/>
        </w:rPr>
        <w:t xml:space="preserve">. Asimismo, será importante conocer información </w:t>
      </w:r>
      <w:r w:rsidR="00EE113E" w:rsidRPr="00491517">
        <w:rPr>
          <w:rFonts w:ascii="Cambria" w:hAnsi="Cambria"/>
          <w:color w:val="000000" w:themeColor="text1"/>
          <w:sz w:val="20"/>
          <w:szCs w:val="20"/>
          <w:lang w:val="es-CO"/>
        </w:rPr>
        <w:t xml:space="preserve">sobre cómo </w:t>
      </w:r>
      <w:r w:rsidR="003623A8" w:rsidRPr="00491517">
        <w:rPr>
          <w:rFonts w:ascii="Cambria" w:hAnsi="Cambria"/>
          <w:color w:val="000000" w:themeColor="text1"/>
          <w:sz w:val="20"/>
          <w:szCs w:val="20"/>
          <w:lang w:val="es-CO"/>
        </w:rPr>
        <w:t xml:space="preserve">se está </w:t>
      </w:r>
      <w:r w:rsidR="00EE113E" w:rsidRPr="00491517">
        <w:rPr>
          <w:rFonts w:ascii="Cambria" w:hAnsi="Cambria"/>
          <w:color w:val="000000" w:themeColor="text1"/>
          <w:sz w:val="20"/>
          <w:szCs w:val="20"/>
          <w:lang w:val="es-CO"/>
        </w:rPr>
        <w:t>garantizando la participación de</w:t>
      </w:r>
      <w:r w:rsidR="003623A8" w:rsidRPr="00491517">
        <w:rPr>
          <w:rFonts w:ascii="Cambria" w:hAnsi="Cambria"/>
          <w:color w:val="000000" w:themeColor="text1"/>
          <w:sz w:val="20"/>
          <w:szCs w:val="20"/>
          <w:lang w:val="es-CO"/>
        </w:rPr>
        <w:t xml:space="preserve"> los familiares de las personas desaparecidas y </w:t>
      </w:r>
      <w:r w:rsidR="00EE113E" w:rsidRPr="00491517">
        <w:rPr>
          <w:rFonts w:ascii="Cambria" w:hAnsi="Cambria"/>
          <w:color w:val="000000" w:themeColor="text1"/>
          <w:sz w:val="20"/>
          <w:szCs w:val="20"/>
          <w:lang w:val="es-CO"/>
        </w:rPr>
        <w:t>de</w:t>
      </w:r>
      <w:r w:rsidR="003623A8" w:rsidRPr="00491517">
        <w:rPr>
          <w:rFonts w:ascii="Cambria" w:hAnsi="Cambria"/>
          <w:color w:val="000000" w:themeColor="text1"/>
          <w:sz w:val="20"/>
          <w:szCs w:val="20"/>
          <w:lang w:val="es-CO"/>
        </w:rPr>
        <w:t xml:space="preserve"> su representación </w:t>
      </w:r>
      <w:r w:rsidR="00EE113E" w:rsidRPr="00491517">
        <w:rPr>
          <w:rFonts w:ascii="Cambria" w:hAnsi="Cambria"/>
          <w:color w:val="000000" w:themeColor="text1"/>
          <w:sz w:val="20"/>
          <w:szCs w:val="20"/>
          <w:lang w:val="es-CO"/>
        </w:rPr>
        <w:t>en</w:t>
      </w:r>
      <w:r w:rsidR="003623A8" w:rsidRPr="00491517">
        <w:rPr>
          <w:rFonts w:ascii="Cambria" w:hAnsi="Cambria"/>
          <w:color w:val="000000" w:themeColor="text1"/>
          <w:sz w:val="20"/>
          <w:szCs w:val="20"/>
          <w:lang w:val="es-CO"/>
        </w:rPr>
        <w:t xml:space="preserve"> la definición de esta estrategia. </w:t>
      </w:r>
      <w:r w:rsidR="00DF680F" w:rsidRPr="00491517">
        <w:rPr>
          <w:rFonts w:ascii="Cambria" w:hAnsi="Cambria"/>
          <w:color w:val="000000" w:themeColor="text1"/>
          <w:sz w:val="20"/>
          <w:szCs w:val="20"/>
          <w:lang w:val="es-CO"/>
        </w:rPr>
        <w:t xml:space="preserve">Asimismo, para la CIDH es esencial que, atendiendo a las solicitudes de la parte peticionaria, exista una delimitación clara de la ejecución de estas búsquedas, especificando qué diligencias </w:t>
      </w:r>
      <w:r w:rsidR="00EE113E" w:rsidRPr="00491517">
        <w:rPr>
          <w:rFonts w:ascii="Cambria" w:hAnsi="Cambria"/>
          <w:color w:val="000000" w:themeColor="text1"/>
          <w:sz w:val="20"/>
          <w:szCs w:val="20"/>
          <w:lang w:val="es-CO"/>
        </w:rPr>
        <w:t>están</w:t>
      </w:r>
      <w:r w:rsidR="00DF680F" w:rsidRPr="00491517">
        <w:rPr>
          <w:rFonts w:ascii="Cambria" w:hAnsi="Cambria"/>
          <w:color w:val="000000" w:themeColor="text1"/>
          <w:sz w:val="20"/>
          <w:szCs w:val="20"/>
          <w:lang w:val="es-CO"/>
        </w:rPr>
        <w:t xml:space="preserve"> programadas a corto, mediano y largo plazo</w:t>
      </w:r>
      <w:r w:rsidR="00EE113E" w:rsidRPr="00491517">
        <w:rPr>
          <w:rFonts w:ascii="Cambria" w:hAnsi="Cambria"/>
          <w:color w:val="000000" w:themeColor="text1"/>
          <w:sz w:val="20"/>
          <w:szCs w:val="20"/>
          <w:lang w:val="es-CO"/>
        </w:rPr>
        <w:t xml:space="preserve"> y qué criterios definen estos plazos</w:t>
      </w:r>
      <w:r w:rsidR="00DF680F" w:rsidRPr="00491517">
        <w:rPr>
          <w:rFonts w:ascii="Cambria" w:hAnsi="Cambria"/>
          <w:color w:val="000000" w:themeColor="text1"/>
          <w:sz w:val="20"/>
          <w:szCs w:val="20"/>
          <w:lang w:val="es-CO"/>
        </w:rPr>
        <w:t>.</w:t>
      </w:r>
    </w:p>
    <w:p w14:paraId="3000CCB7" w14:textId="77777777" w:rsidR="003623A8" w:rsidRPr="00491517" w:rsidRDefault="003623A8" w:rsidP="003623A8">
      <w:pPr>
        <w:pStyle w:val="ListParagraph"/>
        <w:rPr>
          <w:rFonts w:ascii="Cambria" w:hAnsi="Cambria"/>
          <w:color w:val="000000" w:themeColor="text1"/>
          <w:sz w:val="20"/>
          <w:szCs w:val="20"/>
          <w:lang w:val="es-CO"/>
        </w:rPr>
      </w:pPr>
    </w:p>
    <w:p w14:paraId="1311E166" w14:textId="42FB9AE6" w:rsidR="003623A8" w:rsidRPr="00491517" w:rsidRDefault="003623A8"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 xml:space="preserve">Igualmente, la CIDH identifica como un avance del desarrollo de esta medida de cumplimiento la </w:t>
      </w:r>
      <w:r w:rsidR="00D667ED" w:rsidRPr="00491517">
        <w:rPr>
          <w:rFonts w:ascii="Cambria" w:hAnsi="Cambria"/>
          <w:color w:val="000000" w:themeColor="text1"/>
          <w:sz w:val="20"/>
          <w:szCs w:val="20"/>
          <w:lang w:val="es-CO"/>
        </w:rPr>
        <w:t>elaboración de un cronograma</w:t>
      </w:r>
      <w:r w:rsidR="00B34FCD" w:rsidRPr="00491517">
        <w:rPr>
          <w:rFonts w:ascii="Cambria" w:hAnsi="Cambria"/>
          <w:color w:val="000000" w:themeColor="text1"/>
          <w:sz w:val="20"/>
          <w:szCs w:val="20"/>
          <w:lang w:val="es-CO"/>
        </w:rPr>
        <w:t xml:space="preserve"> para el año 2021 </w:t>
      </w:r>
      <w:r w:rsidR="00D667ED" w:rsidRPr="00491517">
        <w:rPr>
          <w:rFonts w:ascii="Cambria" w:hAnsi="Cambria"/>
          <w:color w:val="000000" w:themeColor="text1"/>
          <w:sz w:val="20"/>
          <w:szCs w:val="20"/>
          <w:lang w:val="es-CO"/>
        </w:rPr>
        <w:t>y el reporte sobre</w:t>
      </w:r>
      <w:r w:rsidR="00D667ED" w:rsidRPr="00491517">
        <w:rPr>
          <w:rFonts w:ascii="Cambria" w:hAnsi="Cambria"/>
          <w:color w:val="000000" w:themeColor="text1"/>
          <w:sz w:val="20"/>
          <w:szCs w:val="20"/>
          <w:lang w:val="es-EC"/>
        </w:rPr>
        <w:t xml:space="preserve"> actividades ejecutadas en las 14 investigaciones humanitarias que planearon ser desarrolladas </w:t>
      </w:r>
      <w:r w:rsidR="00B34FCD" w:rsidRPr="00491517">
        <w:rPr>
          <w:rFonts w:ascii="Cambria" w:hAnsi="Cambria"/>
          <w:color w:val="000000" w:themeColor="text1"/>
          <w:sz w:val="20"/>
          <w:szCs w:val="20"/>
          <w:lang w:val="es-EC"/>
        </w:rPr>
        <w:t>en este año</w:t>
      </w:r>
      <w:r w:rsidR="00D667ED" w:rsidRPr="00491517">
        <w:rPr>
          <w:rFonts w:ascii="Cambria" w:hAnsi="Cambria"/>
          <w:color w:val="000000" w:themeColor="text1"/>
          <w:sz w:val="20"/>
          <w:szCs w:val="20"/>
          <w:lang w:val="es-EC"/>
        </w:rPr>
        <w:t xml:space="preserve">. </w:t>
      </w:r>
      <w:r w:rsidR="00B34FCD" w:rsidRPr="00491517">
        <w:rPr>
          <w:rFonts w:ascii="Cambria" w:hAnsi="Cambria"/>
          <w:color w:val="000000" w:themeColor="text1"/>
          <w:sz w:val="20"/>
          <w:szCs w:val="20"/>
          <w:lang w:val="es-EC"/>
        </w:rPr>
        <w:t>La Comisión observa que</w:t>
      </w:r>
      <w:r w:rsidR="00D667ED" w:rsidRPr="00491517">
        <w:rPr>
          <w:rFonts w:ascii="Cambria" w:hAnsi="Cambria"/>
          <w:color w:val="000000" w:themeColor="text1"/>
          <w:sz w:val="20"/>
          <w:szCs w:val="20"/>
          <w:lang w:val="es-EC"/>
        </w:rPr>
        <w:t xml:space="preserve"> estas </w:t>
      </w:r>
      <w:r w:rsidR="000C0A23" w:rsidRPr="00491517">
        <w:rPr>
          <w:rFonts w:ascii="Cambria" w:hAnsi="Cambria"/>
          <w:color w:val="000000" w:themeColor="text1"/>
          <w:sz w:val="20"/>
          <w:szCs w:val="20"/>
          <w:lang w:val="es-EC"/>
        </w:rPr>
        <w:t>actividades han consistido</w:t>
      </w:r>
      <w:r w:rsidR="00D667ED" w:rsidRPr="00491517">
        <w:rPr>
          <w:rFonts w:ascii="Cambria" w:hAnsi="Cambria"/>
          <w:color w:val="000000" w:themeColor="text1"/>
          <w:sz w:val="20"/>
          <w:szCs w:val="20"/>
          <w:lang w:val="es-EC"/>
        </w:rPr>
        <w:t>, por ejemplo, en la elaboración de informes de investigación y</w:t>
      </w:r>
      <w:r w:rsidR="00D667ED" w:rsidRPr="00491517">
        <w:rPr>
          <w:rFonts w:ascii="Cambria" w:hAnsi="Cambria" w:cs="Calibri Light"/>
          <w:color w:val="000000" w:themeColor="text1"/>
          <w:sz w:val="20"/>
          <w:szCs w:val="20"/>
          <w:lang w:val="es-EC"/>
        </w:rPr>
        <w:t xml:space="preserve"> de listas de desaparecidos en eventos </w:t>
      </w:r>
      <w:r w:rsidR="00D667ED" w:rsidRPr="00A36C6E">
        <w:rPr>
          <w:rFonts w:ascii="Cambria" w:hAnsi="Cambria"/>
          <w:color w:val="000000" w:themeColor="text1"/>
          <w:sz w:val="20"/>
          <w:szCs w:val="20"/>
          <w:lang w:val="es-CO"/>
        </w:rPr>
        <w:t>concretos</w:t>
      </w:r>
      <w:r w:rsidR="00D667ED" w:rsidRPr="00491517">
        <w:rPr>
          <w:rFonts w:ascii="Cambria" w:hAnsi="Cambria" w:cs="Calibri Light"/>
          <w:color w:val="000000" w:themeColor="text1"/>
          <w:sz w:val="20"/>
          <w:szCs w:val="20"/>
          <w:lang w:val="es-EC"/>
        </w:rPr>
        <w:t>; revisión de información documental</w:t>
      </w:r>
      <w:r w:rsidR="000C0A23" w:rsidRPr="00491517">
        <w:rPr>
          <w:rFonts w:ascii="Cambria" w:hAnsi="Cambria" w:cs="Calibri Light"/>
          <w:color w:val="000000" w:themeColor="text1"/>
          <w:sz w:val="20"/>
          <w:szCs w:val="20"/>
          <w:lang w:val="es-EC"/>
        </w:rPr>
        <w:t xml:space="preserve"> y registro de fichas </w:t>
      </w:r>
      <w:proofErr w:type="spellStart"/>
      <w:r w:rsidR="000C0A23" w:rsidRPr="00491517">
        <w:rPr>
          <w:rFonts w:ascii="Cambria" w:hAnsi="Cambria" w:cs="Calibri Light"/>
          <w:color w:val="000000" w:themeColor="text1"/>
          <w:sz w:val="20"/>
          <w:szCs w:val="20"/>
          <w:lang w:val="es-EC"/>
        </w:rPr>
        <w:t>antemortem</w:t>
      </w:r>
      <w:proofErr w:type="spellEnd"/>
      <w:r w:rsidR="00D667ED" w:rsidRPr="00491517">
        <w:rPr>
          <w:rFonts w:ascii="Cambria" w:hAnsi="Cambria" w:cs="Calibri Light"/>
          <w:color w:val="000000" w:themeColor="text1"/>
          <w:sz w:val="20"/>
          <w:szCs w:val="20"/>
          <w:lang w:val="es-EC"/>
        </w:rPr>
        <w:t xml:space="preserve">; tomas de muestras y gestiones para obtención de perfiles genéticos; acompañamiento psicosocial a familiares de las víctimas; búsqueda de información en cementerios; cotejos de información, y revisión de expedientes </w:t>
      </w:r>
      <w:r w:rsidR="000C0A23" w:rsidRPr="00491517">
        <w:rPr>
          <w:rFonts w:ascii="Cambria" w:hAnsi="Cambria" w:cs="Calibri Light"/>
          <w:color w:val="000000" w:themeColor="text1"/>
          <w:sz w:val="20"/>
          <w:szCs w:val="20"/>
          <w:lang w:val="es-EC"/>
        </w:rPr>
        <w:t xml:space="preserve">fiscales y </w:t>
      </w:r>
      <w:r w:rsidR="00D667ED" w:rsidRPr="00491517">
        <w:rPr>
          <w:rFonts w:ascii="Cambria" w:hAnsi="Cambria" w:cs="Calibri Light"/>
          <w:color w:val="000000" w:themeColor="text1"/>
          <w:sz w:val="20"/>
          <w:szCs w:val="20"/>
          <w:lang w:val="es-EC"/>
        </w:rPr>
        <w:t xml:space="preserve">judiciales. Asimismo, la CIDH identifica como un avance importante la </w:t>
      </w:r>
      <w:r w:rsidRPr="00491517">
        <w:rPr>
          <w:rFonts w:ascii="Cambria" w:hAnsi="Cambria"/>
          <w:color w:val="000000" w:themeColor="text1"/>
          <w:sz w:val="20"/>
          <w:szCs w:val="20"/>
          <w:lang w:val="es-CO"/>
        </w:rPr>
        <w:t xml:space="preserve">conclusión de la búsqueda de 3 personas que fueron priorizadas en la estrategia aplicada en el año 2021. </w:t>
      </w:r>
      <w:r w:rsidR="00670391" w:rsidRPr="00491517">
        <w:rPr>
          <w:rFonts w:ascii="Cambria" w:hAnsi="Cambria"/>
          <w:color w:val="000000" w:themeColor="text1"/>
          <w:sz w:val="20"/>
          <w:szCs w:val="20"/>
          <w:lang w:val="es-CO"/>
        </w:rPr>
        <w:t xml:space="preserve">Respecto a la evolución de estas 14 investigaciones humanitarias, la Comisión invita al Estado a remitir información que describa los resultados alcanzados durante el año frente a cada una y las actividades pendientes de realización. </w:t>
      </w:r>
    </w:p>
    <w:p w14:paraId="29572BBA" w14:textId="77777777" w:rsidR="00722DF6" w:rsidRPr="00491517" w:rsidRDefault="00722DF6" w:rsidP="00722DF6">
      <w:pPr>
        <w:pStyle w:val="ListParagraph"/>
        <w:rPr>
          <w:rFonts w:ascii="Cambria" w:hAnsi="Cambria"/>
          <w:color w:val="000000" w:themeColor="text1"/>
          <w:sz w:val="20"/>
          <w:szCs w:val="20"/>
          <w:lang w:val="es-CO"/>
        </w:rPr>
      </w:pPr>
    </w:p>
    <w:p w14:paraId="189014E8" w14:textId="07B45A1D" w:rsidR="00247DA7" w:rsidRPr="00491517" w:rsidRDefault="007665B9"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 xml:space="preserve">Respecto a los desafíos observados </w:t>
      </w:r>
      <w:r w:rsidR="003623A8" w:rsidRPr="00491517">
        <w:rPr>
          <w:rFonts w:ascii="Cambria" w:hAnsi="Cambria"/>
          <w:color w:val="000000" w:themeColor="text1"/>
          <w:sz w:val="20"/>
          <w:szCs w:val="20"/>
          <w:lang w:val="es-CO"/>
        </w:rPr>
        <w:t xml:space="preserve">en cuanto a esta medida de cumplimiento, la CIDH identifica que la parte peticionaria ha </w:t>
      </w:r>
      <w:r w:rsidR="00D667ED" w:rsidRPr="00491517">
        <w:rPr>
          <w:rFonts w:ascii="Cambria" w:hAnsi="Cambria"/>
          <w:color w:val="000000" w:themeColor="text1"/>
          <w:sz w:val="20"/>
          <w:szCs w:val="20"/>
          <w:lang w:val="es-CO"/>
        </w:rPr>
        <w:t>solicitado la aclaración respecto a la</w:t>
      </w:r>
      <w:r w:rsidR="003623A8" w:rsidRPr="00491517">
        <w:rPr>
          <w:rFonts w:ascii="Cambria" w:hAnsi="Cambria"/>
          <w:color w:val="000000" w:themeColor="text1"/>
          <w:sz w:val="20"/>
          <w:szCs w:val="20"/>
          <w:lang w:val="es-CO"/>
        </w:rPr>
        <w:t xml:space="preserve"> información relativa al</w:t>
      </w:r>
      <w:r w:rsidR="00683344" w:rsidRPr="00491517">
        <w:rPr>
          <w:rFonts w:ascii="Cambria" w:hAnsi="Cambria"/>
          <w:color w:val="000000" w:themeColor="text1"/>
          <w:sz w:val="20"/>
          <w:szCs w:val="20"/>
          <w:lang w:val="es-CO"/>
        </w:rPr>
        <w:t xml:space="preserve"> listado de </w:t>
      </w:r>
      <w:r w:rsidR="003623A8" w:rsidRPr="00491517">
        <w:rPr>
          <w:rFonts w:ascii="Cambria" w:hAnsi="Cambria"/>
          <w:color w:val="000000" w:themeColor="text1"/>
          <w:sz w:val="20"/>
          <w:szCs w:val="20"/>
          <w:lang w:val="es-CO"/>
        </w:rPr>
        <w:t xml:space="preserve">personas desaparecidas </w:t>
      </w:r>
      <w:r w:rsidR="00D667ED" w:rsidRPr="00491517">
        <w:rPr>
          <w:rFonts w:ascii="Cambria" w:hAnsi="Cambria"/>
          <w:color w:val="000000" w:themeColor="text1"/>
          <w:sz w:val="20"/>
          <w:szCs w:val="20"/>
          <w:lang w:val="es-CO"/>
        </w:rPr>
        <w:t>y de las</w:t>
      </w:r>
      <w:r w:rsidR="003623A8" w:rsidRPr="00491517">
        <w:rPr>
          <w:rFonts w:ascii="Cambria" w:hAnsi="Cambria"/>
          <w:color w:val="000000" w:themeColor="text1"/>
          <w:sz w:val="20"/>
          <w:szCs w:val="20"/>
          <w:lang w:val="es-CO"/>
        </w:rPr>
        <w:t xml:space="preserve"> </w:t>
      </w:r>
      <w:r w:rsidR="00683344" w:rsidRPr="00491517">
        <w:rPr>
          <w:rFonts w:ascii="Cambria" w:hAnsi="Cambria"/>
          <w:color w:val="000000" w:themeColor="text1"/>
          <w:sz w:val="20"/>
          <w:szCs w:val="20"/>
          <w:lang w:val="es-CO"/>
        </w:rPr>
        <w:t>investigaciones iniciadas</w:t>
      </w:r>
      <w:r w:rsidR="003623A8" w:rsidRPr="00491517">
        <w:rPr>
          <w:rFonts w:ascii="Cambria" w:hAnsi="Cambria"/>
          <w:color w:val="000000" w:themeColor="text1"/>
          <w:sz w:val="20"/>
          <w:szCs w:val="20"/>
          <w:lang w:val="es-CO"/>
        </w:rPr>
        <w:t xml:space="preserve"> en el marco de los casos del Comunicado de Prensa, con miras a que este listado sea concordante </w:t>
      </w:r>
      <w:r w:rsidR="00D667ED" w:rsidRPr="00491517">
        <w:rPr>
          <w:rFonts w:ascii="Cambria" w:hAnsi="Cambria"/>
          <w:color w:val="000000" w:themeColor="text1"/>
          <w:sz w:val="20"/>
          <w:szCs w:val="20"/>
          <w:lang w:val="es-CO"/>
        </w:rPr>
        <w:t xml:space="preserve">con lo </w:t>
      </w:r>
      <w:r w:rsidR="003623A8" w:rsidRPr="00491517">
        <w:rPr>
          <w:rFonts w:ascii="Cambria" w:hAnsi="Cambria"/>
          <w:color w:val="000000" w:themeColor="text1"/>
          <w:sz w:val="20"/>
          <w:szCs w:val="20"/>
          <w:lang w:val="es-CO"/>
        </w:rPr>
        <w:t>reportad</w:t>
      </w:r>
      <w:r w:rsidR="00D667ED" w:rsidRPr="00491517">
        <w:rPr>
          <w:rFonts w:ascii="Cambria" w:hAnsi="Cambria"/>
          <w:color w:val="000000" w:themeColor="text1"/>
          <w:sz w:val="20"/>
          <w:szCs w:val="20"/>
          <w:lang w:val="es-CO"/>
        </w:rPr>
        <w:t>o</w:t>
      </w:r>
      <w:r w:rsidR="003623A8" w:rsidRPr="00491517">
        <w:rPr>
          <w:rFonts w:ascii="Cambria" w:hAnsi="Cambria"/>
          <w:color w:val="000000" w:themeColor="text1"/>
          <w:sz w:val="20"/>
          <w:szCs w:val="20"/>
          <w:lang w:val="es-CO"/>
        </w:rPr>
        <w:t xml:space="preserve"> por la DGNBPD </w:t>
      </w:r>
      <w:r w:rsidR="00D667ED" w:rsidRPr="00491517">
        <w:rPr>
          <w:rFonts w:ascii="Cambria" w:hAnsi="Cambria"/>
          <w:color w:val="000000" w:themeColor="text1"/>
          <w:sz w:val="20"/>
          <w:szCs w:val="20"/>
          <w:lang w:val="es-CO"/>
        </w:rPr>
        <w:t>y</w:t>
      </w:r>
      <w:r w:rsidR="003623A8" w:rsidRPr="00491517">
        <w:rPr>
          <w:rFonts w:ascii="Cambria" w:hAnsi="Cambria"/>
          <w:color w:val="000000" w:themeColor="text1"/>
          <w:sz w:val="20"/>
          <w:szCs w:val="20"/>
          <w:lang w:val="es-CO"/>
        </w:rPr>
        <w:t xml:space="preserve"> por el MP. </w:t>
      </w:r>
      <w:r w:rsidRPr="00491517">
        <w:rPr>
          <w:rFonts w:ascii="Cambria" w:hAnsi="Cambria"/>
          <w:color w:val="000000" w:themeColor="text1"/>
          <w:sz w:val="20"/>
          <w:szCs w:val="20"/>
          <w:lang w:val="es-CO"/>
        </w:rPr>
        <w:t xml:space="preserve">De esta forma, la Comisión invita al Estado a </w:t>
      </w:r>
      <w:r w:rsidR="00683344" w:rsidRPr="00491517">
        <w:rPr>
          <w:rFonts w:ascii="Cambria" w:hAnsi="Cambria"/>
          <w:color w:val="000000" w:themeColor="text1"/>
          <w:sz w:val="20"/>
          <w:szCs w:val="20"/>
          <w:lang w:val="es-CO"/>
        </w:rPr>
        <w:t xml:space="preserve">que se </w:t>
      </w:r>
      <w:r w:rsidR="003C1C1E" w:rsidRPr="00491517">
        <w:rPr>
          <w:rFonts w:ascii="Cambria" w:hAnsi="Cambria"/>
          <w:color w:val="000000" w:themeColor="text1"/>
          <w:sz w:val="20"/>
          <w:szCs w:val="20"/>
          <w:lang w:val="es-CO"/>
        </w:rPr>
        <w:t>concrete</w:t>
      </w:r>
      <w:r w:rsidR="00683344" w:rsidRPr="00491517">
        <w:rPr>
          <w:rFonts w:ascii="Cambria" w:hAnsi="Cambria"/>
          <w:color w:val="000000" w:themeColor="text1"/>
          <w:sz w:val="20"/>
          <w:szCs w:val="20"/>
          <w:lang w:val="es-CO"/>
        </w:rPr>
        <w:t xml:space="preserve"> </w:t>
      </w:r>
      <w:r w:rsidR="003C1C1E" w:rsidRPr="00491517">
        <w:rPr>
          <w:rFonts w:ascii="Cambria" w:hAnsi="Cambria"/>
          <w:color w:val="000000" w:themeColor="text1"/>
          <w:sz w:val="20"/>
          <w:szCs w:val="20"/>
          <w:lang w:val="es-CO"/>
        </w:rPr>
        <w:t>el</w:t>
      </w:r>
      <w:r w:rsidR="00683344" w:rsidRPr="00491517">
        <w:rPr>
          <w:rFonts w:ascii="Cambria" w:hAnsi="Cambria"/>
          <w:color w:val="000000" w:themeColor="text1"/>
          <w:sz w:val="20"/>
          <w:szCs w:val="20"/>
          <w:lang w:val="es-CO"/>
        </w:rPr>
        <w:t xml:space="preserve"> registro de las investigaciones sobre la búsqueda de personas desaparecidas</w:t>
      </w:r>
      <w:r w:rsidR="00D667ED" w:rsidRPr="00491517">
        <w:rPr>
          <w:rFonts w:ascii="Cambria" w:hAnsi="Cambria"/>
          <w:color w:val="000000" w:themeColor="text1"/>
          <w:sz w:val="20"/>
          <w:szCs w:val="20"/>
          <w:lang w:val="es-CO"/>
        </w:rPr>
        <w:t xml:space="preserve"> de manera</w:t>
      </w:r>
      <w:r w:rsidR="00683344" w:rsidRPr="00491517">
        <w:rPr>
          <w:rFonts w:ascii="Cambria" w:hAnsi="Cambria"/>
          <w:color w:val="000000" w:themeColor="text1"/>
          <w:sz w:val="20"/>
          <w:szCs w:val="20"/>
          <w:lang w:val="es-CO"/>
        </w:rPr>
        <w:t xml:space="preserve"> global</w:t>
      </w:r>
      <w:r w:rsidR="00D667ED" w:rsidRPr="00491517">
        <w:rPr>
          <w:rFonts w:ascii="Cambria" w:hAnsi="Cambria"/>
          <w:color w:val="000000" w:themeColor="text1"/>
          <w:sz w:val="20"/>
          <w:szCs w:val="20"/>
          <w:lang w:val="es-CO"/>
        </w:rPr>
        <w:t>,</w:t>
      </w:r>
      <w:r w:rsidR="00683344" w:rsidRPr="00491517">
        <w:rPr>
          <w:rFonts w:ascii="Cambria" w:hAnsi="Cambria"/>
          <w:color w:val="000000" w:themeColor="text1"/>
          <w:sz w:val="20"/>
          <w:szCs w:val="20"/>
          <w:lang w:val="es-CO"/>
        </w:rPr>
        <w:t xml:space="preserve"> para todas las entidades estatales</w:t>
      </w:r>
      <w:r w:rsidR="003623A8" w:rsidRPr="00491517">
        <w:rPr>
          <w:rFonts w:ascii="Cambria" w:hAnsi="Cambria"/>
          <w:color w:val="000000" w:themeColor="text1"/>
          <w:sz w:val="20"/>
          <w:szCs w:val="20"/>
          <w:lang w:val="es-CO"/>
        </w:rPr>
        <w:t>,</w:t>
      </w:r>
      <w:r w:rsidR="00D667ED" w:rsidRPr="00491517">
        <w:rPr>
          <w:rFonts w:ascii="Cambria" w:hAnsi="Cambria"/>
          <w:color w:val="000000" w:themeColor="text1"/>
          <w:sz w:val="20"/>
          <w:szCs w:val="20"/>
          <w:lang w:val="es-CO"/>
        </w:rPr>
        <w:t xml:space="preserve"> y considerando</w:t>
      </w:r>
      <w:r w:rsidR="003623A8" w:rsidRPr="00491517">
        <w:rPr>
          <w:rFonts w:ascii="Cambria" w:hAnsi="Cambria"/>
          <w:color w:val="000000" w:themeColor="text1"/>
          <w:sz w:val="20"/>
          <w:szCs w:val="20"/>
          <w:lang w:val="es-CO"/>
        </w:rPr>
        <w:t xml:space="preserve"> las observaciones expresadas</w:t>
      </w:r>
      <w:r w:rsidR="00DF680F" w:rsidRPr="00491517">
        <w:rPr>
          <w:rFonts w:ascii="Cambria" w:hAnsi="Cambria"/>
          <w:color w:val="000000" w:themeColor="text1"/>
          <w:sz w:val="20"/>
          <w:szCs w:val="20"/>
          <w:lang w:val="es-CO"/>
        </w:rPr>
        <w:t xml:space="preserve"> por la parte peticionaria. Asimismo, invita al Estado a que este registro </w:t>
      </w:r>
      <w:r w:rsidRPr="00491517">
        <w:rPr>
          <w:rFonts w:ascii="Cambria" w:hAnsi="Cambria"/>
          <w:color w:val="000000" w:themeColor="text1"/>
          <w:sz w:val="20"/>
          <w:szCs w:val="20"/>
          <w:lang w:val="es-CO"/>
        </w:rPr>
        <w:t>incluya todas las investigaciones</w:t>
      </w:r>
      <w:r w:rsidR="00B34FCD" w:rsidRPr="00491517">
        <w:rPr>
          <w:rFonts w:ascii="Cambria" w:hAnsi="Cambria"/>
          <w:color w:val="000000" w:themeColor="text1"/>
          <w:sz w:val="20"/>
          <w:szCs w:val="20"/>
          <w:lang w:val="es-CO"/>
        </w:rPr>
        <w:t xml:space="preserve"> y casos</w:t>
      </w:r>
      <w:r w:rsidRPr="00491517">
        <w:rPr>
          <w:rFonts w:ascii="Cambria" w:hAnsi="Cambria"/>
          <w:color w:val="000000" w:themeColor="text1"/>
          <w:sz w:val="20"/>
          <w:szCs w:val="20"/>
          <w:lang w:val="es-CO"/>
        </w:rPr>
        <w:t xml:space="preserve"> </w:t>
      </w:r>
      <w:r w:rsidR="00683344" w:rsidRPr="00491517">
        <w:rPr>
          <w:rFonts w:ascii="Cambria" w:hAnsi="Cambria"/>
          <w:color w:val="000000" w:themeColor="text1"/>
          <w:sz w:val="20"/>
          <w:szCs w:val="20"/>
          <w:lang w:val="es-CO"/>
        </w:rPr>
        <w:t>con información</w:t>
      </w:r>
      <w:r w:rsidRPr="00491517">
        <w:rPr>
          <w:rFonts w:ascii="Cambria" w:hAnsi="Cambria"/>
          <w:color w:val="000000" w:themeColor="text1"/>
          <w:sz w:val="20"/>
          <w:szCs w:val="20"/>
          <w:lang w:val="es-CO"/>
        </w:rPr>
        <w:t xml:space="preserve"> desagrega</w:t>
      </w:r>
      <w:r w:rsidR="00683344" w:rsidRPr="00491517">
        <w:rPr>
          <w:rFonts w:ascii="Cambria" w:hAnsi="Cambria"/>
          <w:color w:val="000000" w:themeColor="text1"/>
          <w:sz w:val="20"/>
          <w:szCs w:val="20"/>
          <w:lang w:val="es-CO"/>
        </w:rPr>
        <w:t>da</w:t>
      </w:r>
      <w:r w:rsidRPr="00491517">
        <w:rPr>
          <w:rFonts w:ascii="Cambria" w:hAnsi="Cambria"/>
          <w:color w:val="000000" w:themeColor="text1"/>
          <w:sz w:val="20"/>
          <w:szCs w:val="20"/>
          <w:lang w:val="es-CO"/>
        </w:rPr>
        <w:t xml:space="preserve"> en cuanto a las víctimas</w:t>
      </w:r>
      <w:r w:rsidR="00683344" w:rsidRPr="00491517">
        <w:rPr>
          <w:rFonts w:ascii="Cambria" w:hAnsi="Cambria"/>
          <w:color w:val="000000" w:themeColor="text1"/>
          <w:sz w:val="20"/>
          <w:szCs w:val="20"/>
          <w:lang w:val="es-CO"/>
        </w:rPr>
        <w:t>,</w:t>
      </w:r>
      <w:r w:rsidRPr="00491517">
        <w:rPr>
          <w:rFonts w:ascii="Cambria" w:hAnsi="Cambria"/>
          <w:color w:val="000000" w:themeColor="text1"/>
          <w:sz w:val="20"/>
          <w:szCs w:val="20"/>
          <w:lang w:val="es-CO"/>
        </w:rPr>
        <w:t xml:space="preserve"> etapas</w:t>
      </w:r>
      <w:r w:rsidR="00DF680F" w:rsidRPr="00491517">
        <w:rPr>
          <w:rFonts w:ascii="Cambria" w:hAnsi="Cambria"/>
          <w:color w:val="000000" w:themeColor="text1"/>
          <w:sz w:val="20"/>
          <w:szCs w:val="20"/>
          <w:lang w:val="es-CO"/>
        </w:rPr>
        <w:t>, identificación de informes de fondo ante la CIDH,</w:t>
      </w:r>
      <w:r w:rsidR="00683344" w:rsidRPr="00491517">
        <w:rPr>
          <w:rFonts w:ascii="Cambria" w:hAnsi="Cambria"/>
          <w:color w:val="000000" w:themeColor="text1"/>
          <w:sz w:val="20"/>
          <w:szCs w:val="20"/>
          <w:lang w:val="es-CO"/>
        </w:rPr>
        <w:t xml:space="preserve"> y resultados alcanzados</w:t>
      </w:r>
      <w:r w:rsidR="00D667ED" w:rsidRPr="00491517">
        <w:rPr>
          <w:rFonts w:ascii="Cambria" w:hAnsi="Cambria"/>
          <w:color w:val="000000" w:themeColor="text1"/>
          <w:sz w:val="20"/>
          <w:szCs w:val="20"/>
          <w:lang w:val="es-CO"/>
        </w:rPr>
        <w:t xml:space="preserve"> y planeados</w:t>
      </w:r>
      <w:r w:rsidR="00683344" w:rsidRPr="00491517">
        <w:rPr>
          <w:rFonts w:ascii="Cambria" w:hAnsi="Cambria"/>
          <w:color w:val="000000" w:themeColor="text1"/>
          <w:sz w:val="20"/>
          <w:szCs w:val="20"/>
          <w:lang w:val="es-CO"/>
        </w:rPr>
        <w:t>,</w:t>
      </w:r>
      <w:r w:rsidR="00D667ED" w:rsidRPr="00491517">
        <w:rPr>
          <w:rFonts w:ascii="Cambria" w:hAnsi="Cambria"/>
          <w:color w:val="000000" w:themeColor="text1"/>
          <w:sz w:val="20"/>
          <w:szCs w:val="20"/>
          <w:lang w:val="es-CO"/>
        </w:rPr>
        <w:t xml:space="preserve"> junto con plazos de desarrollo previstos</w:t>
      </w:r>
      <w:r w:rsidR="00DF680F" w:rsidRPr="00491517">
        <w:rPr>
          <w:rFonts w:ascii="Cambria" w:hAnsi="Cambria"/>
          <w:color w:val="000000" w:themeColor="text1"/>
          <w:sz w:val="20"/>
          <w:szCs w:val="20"/>
          <w:lang w:val="es-CO"/>
        </w:rPr>
        <w:t xml:space="preserve">. </w:t>
      </w:r>
    </w:p>
    <w:p w14:paraId="043A11EA" w14:textId="77777777" w:rsidR="005D7255" w:rsidRPr="00491517" w:rsidRDefault="005D7255" w:rsidP="00B537A7">
      <w:pPr>
        <w:spacing w:after="0" w:line="240" w:lineRule="auto"/>
        <w:jc w:val="both"/>
        <w:rPr>
          <w:rFonts w:ascii="Cambria" w:hAnsi="Cambria" w:cs="Calibri Light"/>
          <w:color w:val="000000" w:themeColor="text1"/>
          <w:sz w:val="20"/>
          <w:szCs w:val="20"/>
          <w:lang w:val="es-CO"/>
        </w:rPr>
      </w:pPr>
    </w:p>
    <w:p w14:paraId="744C3033" w14:textId="2750021A" w:rsidR="005D7255" w:rsidRPr="00491517" w:rsidRDefault="00F4461C" w:rsidP="005F4183">
      <w:pPr>
        <w:pStyle w:val="ListParagraph"/>
        <w:numPr>
          <w:ilvl w:val="0"/>
          <w:numId w:val="25"/>
        </w:numPr>
        <w:spacing w:after="0" w:line="240" w:lineRule="auto"/>
        <w:jc w:val="both"/>
        <w:rPr>
          <w:rFonts w:ascii="Cambria" w:hAnsi="Cambria"/>
          <w:b/>
          <w:bCs/>
          <w:color w:val="000000" w:themeColor="text1"/>
          <w:sz w:val="20"/>
          <w:szCs w:val="20"/>
          <w:lang w:val="es-EC"/>
        </w:rPr>
      </w:pPr>
      <w:r w:rsidRPr="00491517">
        <w:rPr>
          <w:rFonts w:ascii="Cambria" w:eastAsia="Calibri" w:hAnsi="Cambria" w:cs="Times New Roman"/>
          <w:b/>
          <w:bCs/>
          <w:color w:val="000000" w:themeColor="text1"/>
          <w:sz w:val="20"/>
          <w:szCs w:val="20"/>
          <w:lang w:val="es-ES"/>
        </w:rPr>
        <w:t xml:space="preserve">Tercer eje temático. </w:t>
      </w:r>
      <w:r w:rsidR="005D7255" w:rsidRPr="00491517">
        <w:rPr>
          <w:rFonts w:ascii="Cambria" w:hAnsi="Cambria"/>
          <w:b/>
          <w:bCs/>
          <w:color w:val="000000" w:themeColor="text1"/>
          <w:sz w:val="20"/>
          <w:szCs w:val="20"/>
          <w:lang w:val="es-ES"/>
        </w:rPr>
        <w:t>Compensación</w:t>
      </w:r>
      <w:r w:rsidRPr="00491517">
        <w:rPr>
          <w:rFonts w:ascii="Cambria" w:hAnsi="Cambria"/>
          <w:b/>
          <w:bCs/>
          <w:color w:val="000000" w:themeColor="text1"/>
          <w:sz w:val="20"/>
          <w:szCs w:val="20"/>
          <w:lang w:val="es-ES"/>
        </w:rPr>
        <w:t xml:space="preserve"> a las víctimas</w:t>
      </w:r>
      <w:r w:rsidR="00BF2EAE" w:rsidRPr="00491517">
        <w:rPr>
          <w:rFonts w:ascii="Cambria" w:hAnsi="Cambria"/>
          <w:b/>
          <w:bCs/>
          <w:color w:val="000000" w:themeColor="text1"/>
          <w:sz w:val="20"/>
          <w:szCs w:val="20"/>
          <w:lang w:val="es-ES"/>
        </w:rPr>
        <w:t xml:space="preserve"> a</w:t>
      </w:r>
      <w:r w:rsidRPr="00491517">
        <w:rPr>
          <w:rFonts w:ascii="Cambria" w:hAnsi="Cambria"/>
          <w:b/>
          <w:bCs/>
          <w:color w:val="000000" w:themeColor="text1"/>
          <w:sz w:val="20"/>
          <w:szCs w:val="20"/>
          <w:lang w:val="es-ES"/>
        </w:rPr>
        <w:t xml:space="preserve"> partir de la entrega</w:t>
      </w:r>
      <w:r w:rsidR="005D7255" w:rsidRPr="00491517">
        <w:rPr>
          <w:rFonts w:ascii="Cambria" w:hAnsi="Cambria"/>
          <w:b/>
          <w:bCs/>
          <w:color w:val="000000" w:themeColor="text1"/>
          <w:sz w:val="20"/>
          <w:szCs w:val="20"/>
          <w:lang w:val="es-ES"/>
        </w:rPr>
        <w:t xml:space="preserve"> de terrenos para la construcción de viviendas</w:t>
      </w:r>
      <w:r w:rsidRPr="00491517">
        <w:rPr>
          <w:rFonts w:ascii="Cambria" w:hAnsi="Cambria"/>
          <w:b/>
          <w:bCs/>
          <w:color w:val="000000" w:themeColor="text1"/>
          <w:sz w:val="20"/>
          <w:szCs w:val="20"/>
          <w:lang w:val="es-ES"/>
        </w:rPr>
        <w:t>.</w:t>
      </w:r>
    </w:p>
    <w:p w14:paraId="436D655B" w14:textId="77777777" w:rsidR="00BB6A69" w:rsidRPr="00491517" w:rsidRDefault="00BB6A69" w:rsidP="00BB6A69">
      <w:pPr>
        <w:pStyle w:val="ListParagraph"/>
        <w:spacing w:after="0" w:line="240" w:lineRule="auto"/>
        <w:ind w:left="1080"/>
        <w:jc w:val="both"/>
        <w:rPr>
          <w:rFonts w:ascii="Cambria" w:hAnsi="Cambria"/>
          <w:b/>
          <w:bCs/>
          <w:color w:val="000000" w:themeColor="text1"/>
          <w:sz w:val="20"/>
          <w:szCs w:val="20"/>
          <w:lang w:val="es-EC"/>
        </w:rPr>
      </w:pPr>
    </w:p>
    <w:p w14:paraId="4179ED85" w14:textId="1105DBD9" w:rsidR="00BD202F" w:rsidRPr="00491517" w:rsidRDefault="00597BFD"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b/>
          <w:bCs/>
          <w:color w:val="000000" w:themeColor="text1"/>
          <w:sz w:val="20"/>
          <w:szCs w:val="20"/>
          <w:lang w:val="es-CO"/>
        </w:rPr>
        <w:t>Información remitida por el Estado</w:t>
      </w:r>
      <w:r w:rsidR="006328D8" w:rsidRPr="00491517">
        <w:rPr>
          <w:rFonts w:ascii="Cambria" w:hAnsi="Cambria"/>
          <w:b/>
          <w:bCs/>
          <w:color w:val="000000" w:themeColor="text1"/>
          <w:sz w:val="20"/>
          <w:szCs w:val="20"/>
          <w:lang w:val="es-CO"/>
        </w:rPr>
        <w:t xml:space="preserve"> durante el 2021</w:t>
      </w:r>
      <w:r w:rsidRPr="00491517">
        <w:rPr>
          <w:rFonts w:ascii="Cambria" w:hAnsi="Cambria"/>
          <w:b/>
          <w:bCs/>
          <w:color w:val="000000" w:themeColor="text1"/>
          <w:sz w:val="20"/>
          <w:szCs w:val="20"/>
          <w:lang w:val="es-CO"/>
        </w:rPr>
        <w:t xml:space="preserve">. </w:t>
      </w:r>
      <w:r w:rsidR="00DF680F" w:rsidRPr="00491517">
        <w:rPr>
          <w:rFonts w:ascii="Cambria" w:hAnsi="Cambria"/>
          <w:color w:val="000000" w:themeColor="text1"/>
          <w:sz w:val="20"/>
          <w:szCs w:val="20"/>
          <w:lang w:val="es-CO"/>
        </w:rPr>
        <w:t>E</w:t>
      </w:r>
      <w:r w:rsidR="00BD202F" w:rsidRPr="00491517">
        <w:rPr>
          <w:rFonts w:ascii="Cambria" w:hAnsi="Cambria"/>
          <w:color w:val="000000" w:themeColor="text1"/>
          <w:sz w:val="20"/>
          <w:szCs w:val="20"/>
          <w:lang w:val="es-CO"/>
        </w:rPr>
        <w:t xml:space="preserve">l Estado informó que la Junta de Decanos de los Colegios de Notarios de Perú y el MINJUSDH suscribieron un convenio de cooperación </w:t>
      </w:r>
      <w:r w:rsidR="00BD202F" w:rsidRPr="00491517">
        <w:rPr>
          <w:rFonts w:ascii="Cambria" w:hAnsi="Cambria"/>
          <w:color w:val="000000" w:themeColor="text1"/>
          <w:sz w:val="20"/>
          <w:szCs w:val="20"/>
          <w:lang w:val="es-CO"/>
        </w:rPr>
        <w:lastRenderedPageBreak/>
        <w:t xml:space="preserve">interinstitucional </w:t>
      </w:r>
      <w:r w:rsidR="00F65D9F" w:rsidRPr="00491517">
        <w:rPr>
          <w:rFonts w:ascii="Cambria" w:hAnsi="Cambria"/>
          <w:color w:val="000000" w:themeColor="text1"/>
          <w:sz w:val="20"/>
          <w:szCs w:val="20"/>
          <w:lang w:val="es-CO"/>
        </w:rPr>
        <w:t>el 20 de noviembre de 2018 para establecer la gratuidad de los servicios notariales respecto de trámites de reparación para las víctimas del periodo de violencia transcurrido desde 1980 al 2000. En 2021, el Estado informó que el 19 de noviembre de 2020</w:t>
      </w:r>
      <w:r w:rsidR="00BD202F" w:rsidRPr="00491517">
        <w:rPr>
          <w:rFonts w:ascii="Cambria" w:hAnsi="Cambria"/>
          <w:color w:val="000000" w:themeColor="text1"/>
          <w:sz w:val="20"/>
          <w:szCs w:val="20"/>
          <w:lang w:val="es-CO"/>
        </w:rPr>
        <w:t xml:space="preserve"> </w:t>
      </w:r>
      <w:r w:rsidR="00F65D9F" w:rsidRPr="00491517">
        <w:rPr>
          <w:rFonts w:ascii="Cambria" w:hAnsi="Cambria"/>
          <w:color w:val="000000" w:themeColor="text1"/>
          <w:sz w:val="20"/>
          <w:szCs w:val="20"/>
          <w:lang w:val="es-CO"/>
        </w:rPr>
        <w:t xml:space="preserve">fue suscrita una adenda al convenio. </w:t>
      </w:r>
    </w:p>
    <w:p w14:paraId="0F60AD1D" w14:textId="77777777" w:rsidR="00F65D9F" w:rsidRPr="00491517" w:rsidRDefault="00F65D9F" w:rsidP="00F65D9F">
      <w:pPr>
        <w:pStyle w:val="ListParagraph"/>
        <w:spacing w:after="0" w:line="240" w:lineRule="auto"/>
        <w:ind w:left="360"/>
        <w:jc w:val="both"/>
        <w:rPr>
          <w:rFonts w:ascii="Cambria" w:hAnsi="Cambria" w:cs="Calibri Light"/>
          <w:color w:val="000000" w:themeColor="text1"/>
          <w:sz w:val="20"/>
          <w:szCs w:val="20"/>
          <w:lang w:val="es-CO"/>
        </w:rPr>
      </w:pPr>
    </w:p>
    <w:p w14:paraId="63A8B563" w14:textId="02A6DB8A" w:rsidR="00FA32AE" w:rsidRPr="00491517" w:rsidRDefault="00FA32AE"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cs="Calibri Light"/>
          <w:color w:val="000000" w:themeColor="text1"/>
          <w:sz w:val="20"/>
          <w:szCs w:val="20"/>
          <w:lang w:val="es-CO"/>
        </w:rPr>
        <w:t>E</w:t>
      </w:r>
      <w:r w:rsidR="00F65D9F" w:rsidRPr="00491517">
        <w:rPr>
          <w:rFonts w:ascii="Cambria" w:hAnsi="Cambria" w:cs="Calibri Light"/>
          <w:color w:val="000000" w:themeColor="text1"/>
          <w:sz w:val="20"/>
          <w:szCs w:val="20"/>
          <w:lang w:val="es-CO"/>
        </w:rPr>
        <w:t xml:space="preserve">l Estado </w:t>
      </w:r>
      <w:r w:rsidR="00871732" w:rsidRPr="00491517">
        <w:rPr>
          <w:rFonts w:ascii="Cambria" w:hAnsi="Cambria" w:cs="Calibri Light"/>
          <w:color w:val="000000" w:themeColor="text1"/>
          <w:sz w:val="20"/>
          <w:szCs w:val="20"/>
          <w:lang w:val="es-CO"/>
        </w:rPr>
        <w:t xml:space="preserve">informó sobre </w:t>
      </w:r>
      <w:r w:rsidR="002B00C1" w:rsidRPr="00491517">
        <w:rPr>
          <w:rFonts w:ascii="Cambria" w:hAnsi="Cambria" w:cs="Calibri Light"/>
          <w:color w:val="000000" w:themeColor="text1"/>
          <w:sz w:val="20"/>
          <w:szCs w:val="20"/>
          <w:lang w:val="es-CO"/>
        </w:rPr>
        <w:t xml:space="preserve">tres </w:t>
      </w:r>
      <w:r w:rsidR="00871732" w:rsidRPr="00491517">
        <w:rPr>
          <w:rFonts w:ascii="Cambria" w:hAnsi="Cambria" w:cs="Calibri Light"/>
          <w:color w:val="000000" w:themeColor="text1"/>
          <w:sz w:val="20"/>
          <w:szCs w:val="20"/>
          <w:lang w:val="es-CO"/>
        </w:rPr>
        <w:t>procesos de transferencia de terrenos a favor de las víctimas del caso</w:t>
      </w:r>
      <w:r w:rsidR="002B00C1" w:rsidRPr="00491517">
        <w:rPr>
          <w:rFonts w:ascii="Cambria" w:hAnsi="Cambria" w:cs="Calibri Light"/>
          <w:color w:val="000000" w:themeColor="text1"/>
          <w:sz w:val="20"/>
          <w:szCs w:val="20"/>
          <w:lang w:val="es-CO"/>
        </w:rPr>
        <w:t xml:space="preserve">: lotes de terreno de Huachipa, </w:t>
      </w:r>
      <w:r w:rsidR="00DB1D4B" w:rsidRPr="00491517">
        <w:rPr>
          <w:rFonts w:ascii="Cambria" w:hAnsi="Cambria" w:cs="Calibri Light"/>
          <w:color w:val="000000" w:themeColor="text1"/>
          <w:sz w:val="20"/>
          <w:szCs w:val="20"/>
          <w:lang w:val="es-CO"/>
        </w:rPr>
        <w:t>terreno de Santa Rosa, y terreno de Santa María del Mar</w:t>
      </w:r>
      <w:r w:rsidR="00871732" w:rsidRPr="00491517">
        <w:rPr>
          <w:rFonts w:ascii="Cambria" w:hAnsi="Cambria" w:cs="Calibri Light"/>
          <w:color w:val="000000" w:themeColor="text1"/>
          <w:sz w:val="20"/>
          <w:szCs w:val="20"/>
          <w:lang w:val="es-CO"/>
        </w:rPr>
        <w:t xml:space="preserve">. En cuanto a los lotes de terrenos en la localidad de Huachipa, indicó </w:t>
      </w:r>
      <w:r w:rsidR="002B00C1" w:rsidRPr="00491517">
        <w:rPr>
          <w:rFonts w:ascii="Cambria" w:hAnsi="Cambria" w:cs="Calibri Light"/>
          <w:color w:val="000000" w:themeColor="text1"/>
          <w:sz w:val="20"/>
          <w:szCs w:val="20"/>
          <w:lang w:val="es-CO"/>
        </w:rPr>
        <w:t>que</w:t>
      </w:r>
      <w:r w:rsidR="00224109" w:rsidRPr="00491517">
        <w:rPr>
          <w:rFonts w:ascii="Cambria" w:hAnsi="Cambria" w:cs="Calibri Light"/>
          <w:color w:val="000000" w:themeColor="text1"/>
          <w:sz w:val="20"/>
          <w:szCs w:val="20"/>
          <w:lang w:val="es-CO"/>
        </w:rPr>
        <w:t xml:space="preserve"> se continúa el seguimiento a las notarías para proseguir con la inscripción en Registros públicos de los títulos referidos a las transferencias y que,</w:t>
      </w:r>
      <w:r w:rsidR="00871732" w:rsidRPr="00491517">
        <w:rPr>
          <w:rFonts w:ascii="Cambria" w:hAnsi="Cambria" w:cs="Calibri Light"/>
          <w:color w:val="000000" w:themeColor="text1"/>
          <w:sz w:val="20"/>
          <w:szCs w:val="20"/>
          <w:lang w:val="es-CO"/>
        </w:rPr>
        <w:t xml:space="preserve"> </w:t>
      </w:r>
      <w:r w:rsidR="002B00C1" w:rsidRPr="00491517">
        <w:rPr>
          <w:rFonts w:ascii="Cambria" w:hAnsi="Cambria" w:cs="Calibri Light"/>
          <w:color w:val="000000" w:themeColor="text1"/>
          <w:sz w:val="20"/>
          <w:szCs w:val="20"/>
          <w:lang w:val="es-CO"/>
        </w:rPr>
        <w:t>de los 67 expedientes de esta transferencia, no se han elevado 5 a la Superintendencia Nacional de Registros Públicos (SUNARP)</w:t>
      </w:r>
      <w:r w:rsidR="002B00C1" w:rsidRPr="00491517">
        <w:rPr>
          <w:rStyle w:val="FootnoteReference"/>
          <w:rFonts w:ascii="Cambria" w:hAnsi="Cambria" w:cs="Calibri Light"/>
          <w:color w:val="000000" w:themeColor="text1"/>
          <w:sz w:val="20"/>
          <w:szCs w:val="20"/>
          <w:lang w:val="es-CO"/>
        </w:rPr>
        <w:footnoteReference w:id="11"/>
      </w:r>
      <w:r w:rsidR="002B00C1" w:rsidRPr="00491517">
        <w:rPr>
          <w:rFonts w:ascii="Cambria" w:hAnsi="Cambria" w:cs="Calibri Light"/>
          <w:color w:val="000000" w:themeColor="text1"/>
          <w:sz w:val="20"/>
          <w:szCs w:val="20"/>
          <w:lang w:val="es-CO"/>
        </w:rPr>
        <w:t xml:space="preserve">, 56 cuentan con </w:t>
      </w:r>
      <w:r w:rsidR="002B00C1" w:rsidRPr="00A36C6E">
        <w:rPr>
          <w:rFonts w:ascii="Cambria" w:hAnsi="Cambria"/>
          <w:color w:val="000000" w:themeColor="text1"/>
          <w:sz w:val="20"/>
          <w:szCs w:val="20"/>
          <w:lang w:val="es-CO"/>
        </w:rPr>
        <w:t>inscripción</w:t>
      </w:r>
      <w:r w:rsidR="002B00C1" w:rsidRPr="00491517">
        <w:rPr>
          <w:rFonts w:ascii="Cambria" w:hAnsi="Cambria" w:cs="Calibri Light"/>
          <w:color w:val="000000" w:themeColor="text1"/>
          <w:sz w:val="20"/>
          <w:szCs w:val="20"/>
          <w:lang w:val="es-CO"/>
        </w:rPr>
        <w:t xml:space="preserve">, 2 tienen estado de observados y 4 de tachados. </w:t>
      </w:r>
      <w:r w:rsidR="00170838" w:rsidRPr="00491517">
        <w:rPr>
          <w:rFonts w:ascii="Cambria" w:hAnsi="Cambria"/>
          <w:color w:val="000000" w:themeColor="text1"/>
          <w:sz w:val="20"/>
          <w:szCs w:val="20"/>
          <w:lang w:val="es-CO"/>
        </w:rPr>
        <w:t xml:space="preserve">Respecto a los títulos observados y tachados, el Estado informó que la </w:t>
      </w:r>
      <w:r w:rsidR="006A4362" w:rsidRPr="00491517">
        <w:rPr>
          <w:rFonts w:ascii="Cambria" w:hAnsi="Cambria" w:cs="Calibri Light"/>
          <w:color w:val="000000" w:themeColor="text1"/>
          <w:sz w:val="20"/>
          <w:szCs w:val="20"/>
          <w:lang w:val="es-CO"/>
        </w:rPr>
        <w:t xml:space="preserve">Comisión Multisectorial de Alto Nivel Encargada de las Acciones y Políticas del Estado en los Ámbitos de la Paz, la Reparación Colectiva y Reconciliación Nacional (CMAN) </w:t>
      </w:r>
      <w:r w:rsidR="00170838" w:rsidRPr="00491517">
        <w:rPr>
          <w:rFonts w:ascii="Cambria" w:hAnsi="Cambria"/>
          <w:color w:val="000000" w:themeColor="text1"/>
          <w:sz w:val="20"/>
          <w:szCs w:val="20"/>
          <w:lang w:val="es-CO"/>
        </w:rPr>
        <w:t>ha hecho seguimiento con la Notaría Roque Díaz sobre la documentación que permita levantar las observaciones o el nuevo ingreso a la SUNARP</w:t>
      </w:r>
      <w:r w:rsidR="001B604C" w:rsidRPr="00491517">
        <w:rPr>
          <w:rFonts w:ascii="Cambria" w:hAnsi="Cambria"/>
          <w:color w:val="000000" w:themeColor="text1"/>
          <w:sz w:val="20"/>
          <w:szCs w:val="20"/>
          <w:lang w:val="es-CO"/>
        </w:rPr>
        <w:t xml:space="preserve"> de algunos expedientes</w:t>
      </w:r>
      <w:r w:rsidR="00170838" w:rsidRPr="00491517">
        <w:rPr>
          <w:rFonts w:ascii="Cambria" w:hAnsi="Cambria"/>
          <w:color w:val="000000" w:themeColor="text1"/>
          <w:sz w:val="20"/>
          <w:szCs w:val="20"/>
          <w:lang w:val="es-CO"/>
        </w:rPr>
        <w:t>.</w:t>
      </w:r>
      <w:r w:rsidRPr="00491517">
        <w:rPr>
          <w:rFonts w:ascii="Cambria" w:hAnsi="Cambria"/>
          <w:color w:val="000000" w:themeColor="text1"/>
          <w:sz w:val="20"/>
          <w:szCs w:val="20"/>
          <w:lang w:val="es-CO"/>
        </w:rPr>
        <w:t xml:space="preserve"> Asimismo, e</w:t>
      </w:r>
      <w:r w:rsidR="00170838" w:rsidRPr="00491517">
        <w:rPr>
          <w:rFonts w:ascii="Cambria" w:hAnsi="Cambria"/>
          <w:color w:val="000000" w:themeColor="text1"/>
          <w:sz w:val="20"/>
          <w:szCs w:val="20"/>
          <w:lang w:val="es-CO"/>
        </w:rPr>
        <w:t xml:space="preserve">l Estado </w:t>
      </w:r>
      <w:r w:rsidRPr="00491517">
        <w:rPr>
          <w:rFonts w:ascii="Cambria" w:hAnsi="Cambria"/>
          <w:color w:val="000000" w:themeColor="text1"/>
          <w:sz w:val="20"/>
          <w:szCs w:val="20"/>
          <w:lang w:val="es-CO"/>
        </w:rPr>
        <w:t xml:space="preserve">señaló que se </w:t>
      </w:r>
      <w:r w:rsidR="001B604C" w:rsidRPr="00491517">
        <w:rPr>
          <w:rFonts w:ascii="Cambria" w:hAnsi="Cambria"/>
          <w:color w:val="000000" w:themeColor="text1"/>
          <w:sz w:val="20"/>
          <w:szCs w:val="20"/>
          <w:lang w:val="es-CO"/>
        </w:rPr>
        <w:t xml:space="preserve">programaron </w:t>
      </w:r>
      <w:r w:rsidRPr="00491517">
        <w:rPr>
          <w:rFonts w:ascii="Cambria" w:hAnsi="Cambria"/>
          <w:color w:val="000000" w:themeColor="text1"/>
          <w:sz w:val="20"/>
          <w:szCs w:val="20"/>
          <w:lang w:val="es-CO"/>
        </w:rPr>
        <w:t>reuniones con</w:t>
      </w:r>
      <w:r w:rsidR="00170838" w:rsidRPr="00491517">
        <w:rPr>
          <w:rFonts w:ascii="Cambria" w:hAnsi="Cambria"/>
          <w:color w:val="000000" w:themeColor="text1"/>
          <w:sz w:val="20"/>
          <w:szCs w:val="20"/>
          <w:lang w:val="es-CO"/>
        </w:rPr>
        <w:t xml:space="preserve"> la Asociación de Vivienda Nuevo Amanecer y APRODEH</w:t>
      </w:r>
      <w:r w:rsidRPr="00491517">
        <w:rPr>
          <w:rFonts w:ascii="Cambria" w:hAnsi="Cambria"/>
          <w:color w:val="000000" w:themeColor="text1"/>
          <w:sz w:val="20"/>
          <w:szCs w:val="20"/>
          <w:lang w:val="es-CO"/>
        </w:rPr>
        <w:t xml:space="preserve"> y</w:t>
      </w:r>
      <w:r w:rsidR="001B604C" w:rsidRPr="00491517">
        <w:rPr>
          <w:rFonts w:ascii="Cambria" w:hAnsi="Cambria"/>
          <w:color w:val="000000" w:themeColor="text1"/>
          <w:sz w:val="20"/>
          <w:szCs w:val="20"/>
          <w:lang w:val="es-CO"/>
        </w:rPr>
        <w:t>,</w:t>
      </w:r>
      <w:r w:rsidRPr="00491517">
        <w:rPr>
          <w:rFonts w:ascii="Cambria" w:hAnsi="Cambria"/>
          <w:color w:val="000000" w:themeColor="text1"/>
          <w:sz w:val="20"/>
          <w:szCs w:val="20"/>
          <w:lang w:val="es-CO"/>
        </w:rPr>
        <w:t xml:space="preserve"> además, expresó su disposición para </w:t>
      </w:r>
      <w:r w:rsidR="001B604C" w:rsidRPr="00491517">
        <w:rPr>
          <w:rFonts w:ascii="Cambria" w:hAnsi="Cambria"/>
          <w:color w:val="000000" w:themeColor="text1"/>
          <w:sz w:val="20"/>
          <w:szCs w:val="20"/>
          <w:lang w:val="es-CO"/>
        </w:rPr>
        <w:t>reunirse</w:t>
      </w:r>
      <w:r w:rsidRPr="00491517">
        <w:rPr>
          <w:rFonts w:ascii="Cambria" w:hAnsi="Cambria"/>
          <w:color w:val="000000" w:themeColor="text1"/>
          <w:sz w:val="20"/>
          <w:szCs w:val="20"/>
          <w:lang w:val="es-CO"/>
        </w:rPr>
        <w:t xml:space="preserve"> con la representación de las personas beneficiarias.</w:t>
      </w:r>
    </w:p>
    <w:p w14:paraId="651A1FF4" w14:textId="77777777" w:rsidR="00170838" w:rsidRPr="00491517" w:rsidRDefault="00170838" w:rsidP="00170838">
      <w:pPr>
        <w:pStyle w:val="ListParagraph"/>
        <w:rPr>
          <w:rFonts w:ascii="Cambria" w:hAnsi="Cambria" w:cs="Calibri Light"/>
          <w:color w:val="000000" w:themeColor="text1"/>
          <w:sz w:val="20"/>
          <w:szCs w:val="20"/>
          <w:lang w:val="es-CO"/>
        </w:rPr>
      </w:pPr>
    </w:p>
    <w:p w14:paraId="04A00891" w14:textId="74E3D2AF" w:rsidR="00FA32AE" w:rsidRPr="00491517" w:rsidRDefault="00595AD4"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color w:val="000000" w:themeColor="text1"/>
          <w:sz w:val="20"/>
          <w:szCs w:val="20"/>
          <w:lang w:val="es-CO"/>
        </w:rPr>
        <w:t>R</w:t>
      </w:r>
      <w:r w:rsidR="002B00C1" w:rsidRPr="00491517">
        <w:rPr>
          <w:rFonts w:ascii="Cambria" w:hAnsi="Cambria" w:cs="Calibri Light"/>
          <w:color w:val="000000" w:themeColor="text1"/>
          <w:sz w:val="20"/>
          <w:szCs w:val="20"/>
          <w:lang w:val="es-CO"/>
        </w:rPr>
        <w:t>especto al terreno de Santa Rosa, el Estado señaló que, el 21 de septiembre de 2021, la Superintendencia Nacional de Bienes Estatales (SBN) cedió 2 predios al MINJUSDH</w:t>
      </w:r>
      <w:r w:rsidR="001B604C" w:rsidRPr="00491517">
        <w:rPr>
          <w:rFonts w:ascii="Cambria" w:hAnsi="Cambria" w:cs="Calibri Light"/>
          <w:color w:val="000000" w:themeColor="text1"/>
          <w:sz w:val="20"/>
          <w:szCs w:val="20"/>
          <w:lang w:val="es-CO"/>
        </w:rPr>
        <w:t xml:space="preserve"> con fines de reparación de los casos del Comunicado de Prensa</w:t>
      </w:r>
      <w:r w:rsidR="002B00C1" w:rsidRPr="00491517">
        <w:rPr>
          <w:rFonts w:ascii="Cambria" w:hAnsi="Cambria" w:cs="Calibri Light"/>
          <w:color w:val="000000" w:themeColor="text1"/>
          <w:sz w:val="20"/>
          <w:szCs w:val="20"/>
          <w:lang w:val="es-CO"/>
        </w:rPr>
        <w:t xml:space="preserve">. </w:t>
      </w:r>
      <w:r w:rsidRPr="00491517">
        <w:rPr>
          <w:rFonts w:ascii="Cambria" w:hAnsi="Cambria" w:cs="Calibri Light"/>
          <w:color w:val="000000" w:themeColor="text1"/>
          <w:sz w:val="20"/>
          <w:szCs w:val="20"/>
          <w:lang w:val="es-CO"/>
        </w:rPr>
        <w:t>Finalmente, respecto al terreno de Santa María del Mar, indicó que la SBN</w:t>
      </w:r>
      <w:r w:rsidR="00713826" w:rsidRPr="00491517">
        <w:rPr>
          <w:rFonts w:ascii="Cambria" w:hAnsi="Cambria" w:cs="Calibri Light"/>
          <w:color w:val="000000" w:themeColor="text1"/>
          <w:sz w:val="20"/>
          <w:szCs w:val="20"/>
          <w:lang w:val="es-CO"/>
        </w:rPr>
        <w:t xml:space="preserve"> emitió una resolución el 18 de junio de 2021</w:t>
      </w:r>
      <w:r w:rsidR="000610DC" w:rsidRPr="00491517">
        <w:rPr>
          <w:rStyle w:val="FootnoteReference"/>
          <w:rFonts w:ascii="Cambria" w:hAnsi="Cambria" w:cs="Calibri Light"/>
          <w:color w:val="000000" w:themeColor="text1"/>
          <w:sz w:val="20"/>
          <w:szCs w:val="20"/>
          <w:lang w:val="es-CO"/>
        </w:rPr>
        <w:footnoteReference w:id="12"/>
      </w:r>
      <w:r w:rsidR="008F4337" w:rsidRPr="00491517">
        <w:rPr>
          <w:rFonts w:ascii="Cambria" w:hAnsi="Cambria" w:cs="Calibri Light"/>
          <w:color w:val="000000" w:themeColor="text1"/>
          <w:sz w:val="20"/>
          <w:szCs w:val="20"/>
          <w:lang w:val="es-CO"/>
        </w:rPr>
        <w:t xml:space="preserve"> que aprobó la transferencia de un predio al MINDJUSDH con fines de reparación y que actualmente </w:t>
      </w:r>
      <w:r w:rsidRPr="00491517">
        <w:rPr>
          <w:rFonts w:ascii="Cambria" w:hAnsi="Cambria" w:cs="Calibri Light"/>
          <w:color w:val="000000" w:themeColor="text1"/>
          <w:sz w:val="20"/>
          <w:szCs w:val="20"/>
          <w:lang w:val="es-CO"/>
        </w:rPr>
        <w:t xml:space="preserve">la CMAN </w:t>
      </w:r>
      <w:r w:rsidR="008F4337" w:rsidRPr="00491517">
        <w:rPr>
          <w:rFonts w:ascii="Cambria" w:hAnsi="Cambria" w:cs="Calibri Light"/>
          <w:color w:val="000000" w:themeColor="text1"/>
          <w:sz w:val="20"/>
          <w:szCs w:val="20"/>
          <w:lang w:val="es-CO"/>
        </w:rPr>
        <w:t xml:space="preserve">estaba a la espera de las gestiones para finalizar </w:t>
      </w:r>
      <w:r w:rsidR="00F32718" w:rsidRPr="00491517">
        <w:rPr>
          <w:rFonts w:ascii="Cambria" w:hAnsi="Cambria" w:cs="Calibri Light"/>
          <w:color w:val="000000" w:themeColor="text1"/>
          <w:sz w:val="20"/>
          <w:szCs w:val="20"/>
          <w:lang w:val="es-CO"/>
        </w:rPr>
        <w:t>esta</w:t>
      </w:r>
      <w:r w:rsidR="008F4337" w:rsidRPr="00491517">
        <w:rPr>
          <w:rFonts w:ascii="Cambria" w:hAnsi="Cambria" w:cs="Calibri Light"/>
          <w:color w:val="000000" w:themeColor="text1"/>
          <w:sz w:val="20"/>
          <w:szCs w:val="20"/>
          <w:lang w:val="es-CO"/>
        </w:rPr>
        <w:t xml:space="preserve"> transferencia.</w:t>
      </w:r>
    </w:p>
    <w:p w14:paraId="070A6B9A" w14:textId="77777777" w:rsidR="00904459" w:rsidRPr="00491517" w:rsidRDefault="00904459" w:rsidP="00904459">
      <w:pPr>
        <w:pStyle w:val="ListParagraph"/>
        <w:rPr>
          <w:rFonts w:ascii="Cambria" w:hAnsi="Cambria" w:cs="Calibri Light"/>
          <w:b/>
          <w:bCs/>
          <w:color w:val="000000" w:themeColor="text1"/>
          <w:sz w:val="20"/>
          <w:szCs w:val="20"/>
          <w:lang w:val="es-CO"/>
        </w:rPr>
      </w:pPr>
    </w:p>
    <w:p w14:paraId="573235A0" w14:textId="2CD825B4" w:rsidR="00247DA7" w:rsidRPr="00491517" w:rsidRDefault="004D0425"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s="Calibri Light"/>
          <w:b/>
          <w:bCs/>
          <w:color w:val="000000" w:themeColor="text1"/>
          <w:sz w:val="20"/>
          <w:szCs w:val="20"/>
          <w:lang w:val="es-CO"/>
        </w:rPr>
        <w:t>Información remitida por la parte peticionaria en 2021.</w:t>
      </w:r>
      <w:r w:rsidRPr="00491517">
        <w:rPr>
          <w:rFonts w:ascii="Cambria" w:hAnsi="Cambria" w:cs="Calibri Light"/>
          <w:color w:val="000000" w:themeColor="text1"/>
          <w:sz w:val="20"/>
          <w:szCs w:val="20"/>
          <w:lang w:val="es-CO"/>
        </w:rPr>
        <w:t xml:space="preserve"> L</w:t>
      </w:r>
      <w:r w:rsidR="00904459" w:rsidRPr="00491517">
        <w:rPr>
          <w:rFonts w:ascii="Cambria" w:hAnsi="Cambria" w:cs="Calibri Light"/>
          <w:color w:val="000000" w:themeColor="text1"/>
          <w:sz w:val="20"/>
          <w:szCs w:val="20"/>
          <w:lang w:val="es-CO"/>
        </w:rPr>
        <w:t xml:space="preserve">a parte peticionaria </w:t>
      </w:r>
      <w:r w:rsidR="00E32312" w:rsidRPr="00491517">
        <w:rPr>
          <w:rFonts w:ascii="Cambria" w:hAnsi="Cambria" w:cs="Calibri Light"/>
          <w:color w:val="000000" w:themeColor="text1"/>
          <w:sz w:val="20"/>
          <w:szCs w:val="20"/>
          <w:lang w:val="es-CO"/>
        </w:rPr>
        <w:t xml:space="preserve">saludó los avances de la inscripción de transferencia de terrenos en Huachipa. Sin embargo, </w:t>
      </w:r>
      <w:r w:rsidR="00BB51B7" w:rsidRPr="00491517">
        <w:rPr>
          <w:rFonts w:ascii="Cambria" w:hAnsi="Cambria" w:cs="Calibri Light"/>
          <w:color w:val="000000" w:themeColor="text1"/>
          <w:sz w:val="20"/>
          <w:szCs w:val="20"/>
          <w:lang w:val="es-CO"/>
        </w:rPr>
        <w:t>hizo</w:t>
      </w:r>
      <w:r w:rsidR="00E32312" w:rsidRPr="00491517">
        <w:rPr>
          <w:rFonts w:ascii="Cambria" w:hAnsi="Cambria" w:cs="Calibri Light"/>
          <w:color w:val="000000" w:themeColor="text1"/>
          <w:sz w:val="20"/>
          <w:szCs w:val="20"/>
          <w:lang w:val="es-CO"/>
        </w:rPr>
        <w:t xml:space="preserve"> notar que dos víctimas (</w:t>
      </w:r>
      <w:r w:rsidR="00BF2EAE" w:rsidRPr="00491517">
        <w:rPr>
          <w:rFonts w:ascii="Cambria" w:hAnsi="Cambria" w:cs="Calibri Light"/>
          <w:color w:val="000000" w:themeColor="text1"/>
          <w:sz w:val="20"/>
          <w:szCs w:val="20"/>
          <w:lang w:val="es-CO"/>
        </w:rPr>
        <w:t>C</w:t>
      </w:r>
      <w:r w:rsidR="00E32312" w:rsidRPr="00491517">
        <w:rPr>
          <w:rFonts w:ascii="Cambria" w:hAnsi="Cambria" w:cs="Calibri Light"/>
          <w:color w:val="000000" w:themeColor="text1"/>
          <w:sz w:val="20"/>
          <w:szCs w:val="20"/>
          <w:lang w:val="es-CO"/>
        </w:rPr>
        <w:t>asos</w:t>
      </w:r>
      <w:r w:rsidR="00BF2EAE" w:rsidRPr="00491517">
        <w:rPr>
          <w:rFonts w:ascii="Cambria" w:hAnsi="Cambria" w:cs="Calibri Light"/>
          <w:color w:val="000000" w:themeColor="text1"/>
          <w:sz w:val="20"/>
          <w:szCs w:val="20"/>
          <w:lang w:val="es-CO"/>
        </w:rPr>
        <w:t xml:space="preserve"> No.</w:t>
      </w:r>
      <w:r w:rsidR="00E32312" w:rsidRPr="00491517">
        <w:rPr>
          <w:rFonts w:ascii="Cambria" w:hAnsi="Cambria" w:cs="Calibri Light"/>
          <w:color w:val="000000" w:themeColor="text1"/>
          <w:sz w:val="20"/>
          <w:szCs w:val="20"/>
          <w:lang w:val="es-CO"/>
        </w:rPr>
        <w:t xml:space="preserve"> 10.247 y 10.905) </w:t>
      </w:r>
      <w:r w:rsidR="006D5856" w:rsidRPr="00491517">
        <w:rPr>
          <w:rFonts w:ascii="Cambria" w:hAnsi="Cambria" w:cs="Calibri Light"/>
          <w:color w:val="000000" w:themeColor="text1"/>
          <w:sz w:val="20"/>
          <w:szCs w:val="20"/>
          <w:lang w:val="es-CO"/>
        </w:rPr>
        <w:t xml:space="preserve">no fueron incluidas en la </w:t>
      </w:r>
      <w:bookmarkStart w:id="1" w:name="_Hlk90660151"/>
      <w:r w:rsidR="006D5856" w:rsidRPr="00491517">
        <w:rPr>
          <w:rFonts w:ascii="Cambria" w:hAnsi="Cambria" w:cs="Calibri Light"/>
          <w:color w:val="000000" w:themeColor="text1"/>
          <w:sz w:val="20"/>
          <w:szCs w:val="20"/>
          <w:lang w:val="es-CO"/>
        </w:rPr>
        <w:t>Resolución Ministeri</w:t>
      </w:r>
      <w:r w:rsidR="00660515" w:rsidRPr="00491517">
        <w:rPr>
          <w:rFonts w:ascii="Cambria" w:hAnsi="Cambria" w:cs="Calibri Light"/>
          <w:color w:val="000000" w:themeColor="text1"/>
          <w:sz w:val="20"/>
          <w:szCs w:val="20"/>
          <w:lang w:val="es-CO"/>
        </w:rPr>
        <w:t>al</w:t>
      </w:r>
      <w:r w:rsidR="006D5856" w:rsidRPr="00491517">
        <w:rPr>
          <w:rFonts w:ascii="Cambria" w:hAnsi="Cambria" w:cs="Calibri Light"/>
          <w:color w:val="000000" w:themeColor="text1"/>
          <w:sz w:val="20"/>
          <w:szCs w:val="20"/>
          <w:lang w:val="es-CO"/>
        </w:rPr>
        <w:t xml:space="preserve"> No. 0012-2015-JUS </w:t>
      </w:r>
      <w:bookmarkEnd w:id="1"/>
      <w:r w:rsidR="006D5856" w:rsidRPr="00491517">
        <w:rPr>
          <w:rFonts w:ascii="Cambria" w:hAnsi="Cambria" w:cs="Calibri Light"/>
          <w:color w:val="000000" w:themeColor="text1"/>
          <w:sz w:val="20"/>
          <w:szCs w:val="20"/>
          <w:lang w:val="es-CO"/>
        </w:rPr>
        <w:t xml:space="preserve">porque los lotes que les corresponden están reservados por el </w:t>
      </w:r>
      <w:r w:rsidR="00FF1854" w:rsidRPr="00491517">
        <w:rPr>
          <w:rFonts w:ascii="Cambria" w:hAnsi="Cambria" w:cs="Calibri Light"/>
          <w:color w:val="000000" w:themeColor="text1"/>
          <w:sz w:val="20"/>
          <w:szCs w:val="20"/>
          <w:lang w:val="es-CO"/>
        </w:rPr>
        <w:t>MINJUSDH</w:t>
      </w:r>
      <w:r w:rsidR="006D5856" w:rsidRPr="00491517">
        <w:rPr>
          <w:rFonts w:ascii="Cambria" w:hAnsi="Cambria" w:cs="Calibri Light"/>
          <w:color w:val="000000" w:themeColor="text1"/>
          <w:sz w:val="20"/>
          <w:szCs w:val="20"/>
          <w:lang w:val="es-CO"/>
        </w:rPr>
        <w:t>, por lo que solicitaron solucionar esta exclusión</w:t>
      </w:r>
      <w:r w:rsidR="00170838" w:rsidRPr="00491517">
        <w:rPr>
          <w:rFonts w:ascii="Cambria" w:hAnsi="Cambria" w:cs="Calibri Light"/>
          <w:color w:val="000000" w:themeColor="text1"/>
          <w:sz w:val="20"/>
          <w:szCs w:val="20"/>
          <w:lang w:val="es-CO"/>
        </w:rPr>
        <w:t xml:space="preserve"> con urgencia</w:t>
      </w:r>
      <w:r w:rsidR="006D5856" w:rsidRPr="00491517">
        <w:rPr>
          <w:rFonts w:ascii="Cambria" w:hAnsi="Cambria" w:cs="Calibri Light"/>
          <w:color w:val="000000" w:themeColor="text1"/>
          <w:sz w:val="20"/>
          <w:szCs w:val="20"/>
          <w:lang w:val="es-CO"/>
        </w:rPr>
        <w:t>.</w:t>
      </w:r>
      <w:r w:rsidR="00660515" w:rsidRPr="00491517">
        <w:rPr>
          <w:rFonts w:ascii="Cambria" w:hAnsi="Cambria" w:cs="Calibri Light"/>
          <w:color w:val="000000" w:themeColor="text1"/>
          <w:sz w:val="20"/>
          <w:szCs w:val="20"/>
          <w:lang w:val="es-CO"/>
        </w:rPr>
        <w:t xml:space="preserve"> Por otra parte, la parte peticionaria indicó que</w:t>
      </w:r>
      <w:r w:rsidR="002A30CF" w:rsidRPr="00491517">
        <w:rPr>
          <w:rFonts w:ascii="Cambria" w:hAnsi="Cambria" w:cs="Calibri Light"/>
          <w:color w:val="000000" w:themeColor="text1"/>
          <w:sz w:val="20"/>
          <w:szCs w:val="20"/>
          <w:lang w:val="es-CO"/>
        </w:rPr>
        <w:t xml:space="preserve"> fue emitida el Acta de Acuerdo para la transferencia del lote de terreno en el distrito de Santa María del Mar, provincia y departamento de Lima y que la </w:t>
      </w:r>
      <w:r w:rsidR="002A30CF" w:rsidRPr="00491517">
        <w:rPr>
          <w:rFonts w:ascii="Cambria" w:hAnsi="Cambria"/>
          <w:color w:val="000000" w:themeColor="text1"/>
          <w:sz w:val="20"/>
          <w:szCs w:val="20"/>
          <w:lang w:val="es-CO"/>
        </w:rPr>
        <w:t>CMAN</w:t>
      </w:r>
      <w:r w:rsidR="00F468DA" w:rsidRPr="00491517">
        <w:rPr>
          <w:rFonts w:ascii="Cambria" w:hAnsi="Cambria"/>
          <w:color w:val="000000" w:themeColor="text1"/>
          <w:sz w:val="20"/>
          <w:szCs w:val="20"/>
          <w:lang w:val="es-CO"/>
        </w:rPr>
        <w:t xml:space="preserve"> les remitió los oficios para tramitar la transferencia ante la Superintendencia Nacional de Bienes Estatales (SBN)</w:t>
      </w:r>
      <w:r w:rsidR="002A30CF" w:rsidRPr="00491517">
        <w:rPr>
          <w:rFonts w:ascii="Cambria" w:hAnsi="Cambria" w:cs="Calibri Light"/>
          <w:color w:val="000000" w:themeColor="text1"/>
          <w:sz w:val="20"/>
          <w:szCs w:val="20"/>
          <w:lang w:val="es-CO"/>
        </w:rPr>
        <w:t>.</w:t>
      </w:r>
      <w:r w:rsidR="00F468DA" w:rsidRPr="00491517">
        <w:rPr>
          <w:rFonts w:ascii="Cambria" w:hAnsi="Cambria" w:cs="Calibri Light"/>
          <w:color w:val="000000" w:themeColor="text1"/>
          <w:sz w:val="20"/>
          <w:szCs w:val="20"/>
          <w:lang w:val="es-CO"/>
        </w:rPr>
        <w:t xml:space="preserve"> Además, la parte peticionaria señaló que, según información allegada por el Estado, </w:t>
      </w:r>
      <w:r w:rsidR="00BB51B7" w:rsidRPr="00491517">
        <w:rPr>
          <w:rFonts w:ascii="Cambria" w:hAnsi="Cambria" w:cs="Calibri Light"/>
          <w:color w:val="000000" w:themeColor="text1"/>
          <w:sz w:val="20"/>
          <w:szCs w:val="20"/>
          <w:lang w:val="es-CO"/>
        </w:rPr>
        <w:t>el</w:t>
      </w:r>
      <w:r w:rsidR="00F468DA" w:rsidRPr="00491517">
        <w:rPr>
          <w:rFonts w:ascii="Cambria" w:hAnsi="Cambria"/>
          <w:color w:val="000000" w:themeColor="text1"/>
          <w:sz w:val="20"/>
          <w:szCs w:val="20"/>
          <w:lang w:val="es-CO"/>
        </w:rPr>
        <w:t xml:space="preserve"> 18 de junio de 2021</w:t>
      </w:r>
      <w:r w:rsidR="00BB51B7" w:rsidRPr="00491517">
        <w:rPr>
          <w:rFonts w:ascii="Cambria" w:hAnsi="Cambria"/>
          <w:color w:val="000000" w:themeColor="text1"/>
          <w:sz w:val="20"/>
          <w:szCs w:val="20"/>
          <w:lang w:val="es-CO"/>
        </w:rPr>
        <w:t xml:space="preserve">, </w:t>
      </w:r>
      <w:r w:rsidR="00F468DA" w:rsidRPr="00491517">
        <w:rPr>
          <w:rFonts w:ascii="Cambria" w:hAnsi="Cambria"/>
          <w:color w:val="000000" w:themeColor="text1"/>
          <w:sz w:val="20"/>
          <w:szCs w:val="20"/>
          <w:lang w:val="es-CO"/>
        </w:rPr>
        <w:t>la</w:t>
      </w:r>
      <w:r w:rsidR="00F468DA" w:rsidRPr="00491517">
        <w:rPr>
          <w:rFonts w:ascii="Cambria" w:hAnsi="Cambria" w:cs="Calibri Light"/>
          <w:color w:val="000000" w:themeColor="text1"/>
          <w:sz w:val="20"/>
          <w:szCs w:val="20"/>
          <w:lang w:val="es-CO"/>
        </w:rPr>
        <w:t xml:space="preserve"> SBN aprobó </w:t>
      </w:r>
      <w:r w:rsidR="00F468DA" w:rsidRPr="00491517">
        <w:rPr>
          <w:rFonts w:ascii="Cambria" w:hAnsi="Cambria"/>
          <w:color w:val="000000" w:themeColor="text1"/>
          <w:sz w:val="20"/>
          <w:szCs w:val="20"/>
          <w:lang w:val="es-CO"/>
        </w:rPr>
        <w:t>la transferencia de</w:t>
      </w:r>
      <w:r w:rsidR="00BB51B7" w:rsidRPr="00491517">
        <w:rPr>
          <w:rFonts w:ascii="Cambria" w:hAnsi="Cambria"/>
          <w:color w:val="000000" w:themeColor="text1"/>
          <w:sz w:val="20"/>
          <w:szCs w:val="20"/>
          <w:lang w:val="es-CO"/>
        </w:rPr>
        <w:t>l</w:t>
      </w:r>
      <w:r w:rsidR="00F468DA" w:rsidRPr="00491517">
        <w:rPr>
          <w:rFonts w:ascii="Cambria" w:hAnsi="Cambria"/>
          <w:color w:val="000000" w:themeColor="text1"/>
          <w:sz w:val="20"/>
          <w:szCs w:val="20"/>
          <w:lang w:val="es-CO"/>
        </w:rPr>
        <w:t xml:space="preserve"> predio al MINJUSDH.</w:t>
      </w:r>
    </w:p>
    <w:p w14:paraId="5EC73456" w14:textId="77777777" w:rsidR="00170838" w:rsidRPr="00491517" w:rsidRDefault="00170838" w:rsidP="00170838">
      <w:pPr>
        <w:spacing w:after="0" w:line="240" w:lineRule="auto"/>
        <w:jc w:val="both"/>
        <w:rPr>
          <w:rFonts w:ascii="Cambria" w:hAnsi="Cambria"/>
          <w:color w:val="000000" w:themeColor="text1"/>
          <w:sz w:val="20"/>
          <w:szCs w:val="20"/>
          <w:lang w:val="es-CO"/>
        </w:rPr>
      </w:pPr>
    </w:p>
    <w:p w14:paraId="21C36DFE" w14:textId="2E2CEE37" w:rsidR="00BB51B7" w:rsidRPr="00491517" w:rsidRDefault="00170838"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b/>
          <w:bCs/>
          <w:color w:val="000000" w:themeColor="text1"/>
          <w:sz w:val="20"/>
          <w:szCs w:val="20"/>
          <w:lang w:val="es-CO"/>
        </w:rPr>
        <w:t xml:space="preserve">Consideraciones de la CIDH. </w:t>
      </w:r>
      <w:r w:rsidR="006D5856" w:rsidRPr="00491517">
        <w:rPr>
          <w:rFonts w:ascii="Cambria" w:hAnsi="Cambria"/>
          <w:color w:val="000000" w:themeColor="text1"/>
          <w:sz w:val="20"/>
          <w:szCs w:val="20"/>
          <w:lang w:val="es-CO"/>
        </w:rPr>
        <w:t xml:space="preserve">La primera medida de cumplimiento identificada </w:t>
      </w:r>
      <w:r w:rsidR="00660515" w:rsidRPr="00491517">
        <w:rPr>
          <w:rFonts w:ascii="Cambria" w:hAnsi="Cambria"/>
          <w:color w:val="000000" w:themeColor="text1"/>
          <w:sz w:val="20"/>
          <w:szCs w:val="20"/>
          <w:lang w:val="es-CO"/>
        </w:rPr>
        <w:t xml:space="preserve">por la CIDH </w:t>
      </w:r>
      <w:r w:rsidR="00F468DA" w:rsidRPr="00491517">
        <w:rPr>
          <w:rFonts w:ascii="Cambria" w:hAnsi="Cambria"/>
          <w:color w:val="000000" w:themeColor="text1"/>
          <w:sz w:val="20"/>
          <w:szCs w:val="20"/>
          <w:lang w:val="es-CO"/>
        </w:rPr>
        <w:t>con relación a</w:t>
      </w:r>
      <w:r w:rsidR="006D5856" w:rsidRPr="00491517">
        <w:rPr>
          <w:rFonts w:ascii="Cambria" w:hAnsi="Cambria"/>
          <w:color w:val="000000" w:themeColor="text1"/>
          <w:sz w:val="20"/>
          <w:szCs w:val="20"/>
          <w:lang w:val="es-CO"/>
        </w:rPr>
        <w:t xml:space="preserve"> este segundo eje temático </w:t>
      </w:r>
      <w:r w:rsidR="00BB51B7" w:rsidRPr="00491517">
        <w:rPr>
          <w:rFonts w:ascii="Cambria" w:hAnsi="Cambria"/>
          <w:color w:val="000000" w:themeColor="text1"/>
          <w:sz w:val="20"/>
          <w:szCs w:val="20"/>
          <w:lang w:val="es-CO"/>
        </w:rPr>
        <w:t>es</w:t>
      </w:r>
      <w:r w:rsidR="00F468DA" w:rsidRPr="00491517">
        <w:rPr>
          <w:rFonts w:ascii="Cambria" w:hAnsi="Cambria"/>
          <w:color w:val="000000" w:themeColor="text1"/>
          <w:sz w:val="20"/>
          <w:szCs w:val="20"/>
          <w:lang w:val="es-CO"/>
        </w:rPr>
        <w:t xml:space="preserve"> la destinación de</w:t>
      </w:r>
      <w:r w:rsidR="00AC3225" w:rsidRPr="00491517">
        <w:rPr>
          <w:rFonts w:ascii="Cambria" w:hAnsi="Cambria"/>
          <w:color w:val="000000" w:themeColor="text1"/>
          <w:sz w:val="20"/>
          <w:szCs w:val="20"/>
          <w:lang w:val="es-CO"/>
        </w:rPr>
        <w:t xml:space="preserve"> </w:t>
      </w:r>
      <w:r w:rsidR="00F468DA" w:rsidRPr="00491517">
        <w:rPr>
          <w:rFonts w:ascii="Cambria" w:hAnsi="Cambria"/>
          <w:color w:val="000000" w:themeColor="text1"/>
          <w:sz w:val="20"/>
          <w:szCs w:val="20"/>
          <w:lang w:val="es-CO"/>
        </w:rPr>
        <w:t xml:space="preserve">terrenos en Huachipa </w:t>
      </w:r>
      <w:r w:rsidR="00BB51B7" w:rsidRPr="00491517">
        <w:rPr>
          <w:rFonts w:ascii="Cambria" w:hAnsi="Cambria"/>
          <w:color w:val="000000" w:themeColor="text1"/>
          <w:sz w:val="20"/>
          <w:szCs w:val="20"/>
          <w:lang w:val="es-CO"/>
        </w:rPr>
        <w:t xml:space="preserve">con fines de reparación para </w:t>
      </w:r>
      <w:r w:rsidR="00F468DA" w:rsidRPr="00491517">
        <w:rPr>
          <w:rFonts w:ascii="Cambria" w:hAnsi="Cambria"/>
          <w:color w:val="000000" w:themeColor="text1"/>
          <w:sz w:val="20"/>
          <w:szCs w:val="20"/>
          <w:lang w:val="es-CO"/>
        </w:rPr>
        <w:t>las víctimas. Al respecto, la Comisión observa que las acciones adoptadas han consistido en</w:t>
      </w:r>
      <w:r w:rsidR="006D5856" w:rsidRPr="00491517">
        <w:rPr>
          <w:rFonts w:ascii="Cambria" w:hAnsi="Cambria"/>
          <w:color w:val="000000" w:themeColor="text1"/>
          <w:sz w:val="20"/>
          <w:szCs w:val="20"/>
          <w:lang w:val="es-CO"/>
        </w:rPr>
        <w:t xml:space="preserve"> </w:t>
      </w:r>
      <w:proofErr w:type="spellStart"/>
      <w:r w:rsidR="006D5856" w:rsidRPr="00491517">
        <w:rPr>
          <w:rFonts w:ascii="Cambria" w:hAnsi="Cambria"/>
          <w:color w:val="000000" w:themeColor="text1"/>
          <w:sz w:val="20"/>
          <w:szCs w:val="20"/>
          <w:lang w:val="es-CO"/>
        </w:rPr>
        <w:t>en</w:t>
      </w:r>
      <w:proofErr w:type="spellEnd"/>
      <w:r w:rsidR="006D5856" w:rsidRPr="00491517">
        <w:rPr>
          <w:rFonts w:ascii="Cambria" w:hAnsi="Cambria"/>
          <w:color w:val="000000" w:themeColor="text1"/>
          <w:sz w:val="20"/>
          <w:szCs w:val="20"/>
          <w:lang w:val="es-CO"/>
        </w:rPr>
        <w:t xml:space="preserve"> la inscripción de la transferencia de </w:t>
      </w:r>
      <w:r w:rsidR="00F468DA" w:rsidRPr="00491517">
        <w:rPr>
          <w:rFonts w:ascii="Cambria" w:hAnsi="Cambria"/>
          <w:color w:val="000000" w:themeColor="text1"/>
          <w:sz w:val="20"/>
          <w:szCs w:val="20"/>
          <w:lang w:val="es-CO"/>
        </w:rPr>
        <w:t xml:space="preserve">estos </w:t>
      </w:r>
      <w:r w:rsidR="006D5856" w:rsidRPr="00491517">
        <w:rPr>
          <w:rFonts w:ascii="Cambria" w:hAnsi="Cambria"/>
          <w:color w:val="000000" w:themeColor="text1"/>
          <w:sz w:val="20"/>
          <w:szCs w:val="20"/>
          <w:lang w:val="es-CO"/>
        </w:rPr>
        <w:t xml:space="preserve">terrenos </w:t>
      </w:r>
      <w:r w:rsidR="00BF2EAE" w:rsidRPr="00491517">
        <w:rPr>
          <w:rFonts w:ascii="Cambria" w:hAnsi="Cambria"/>
          <w:color w:val="000000" w:themeColor="text1"/>
          <w:sz w:val="20"/>
          <w:szCs w:val="20"/>
          <w:lang w:val="es-CO"/>
        </w:rPr>
        <w:t>a favor de algunas víctimas</w:t>
      </w:r>
      <w:r w:rsidR="006D5856" w:rsidRPr="00491517">
        <w:rPr>
          <w:rFonts w:ascii="Cambria" w:hAnsi="Cambria"/>
          <w:color w:val="000000" w:themeColor="text1"/>
          <w:sz w:val="20"/>
          <w:szCs w:val="20"/>
          <w:lang w:val="es-CO"/>
        </w:rPr>
        <w:t>.</w:t>
      </w:r>
      <w:r w:rsidR="00BF2EAE" w:rsidRPr="00491517">
        <w:rPr>
          <w:rFonts w:ascii="Cambria" w:hAnsi="Cambria"/>
          <w:color w:val="000000" w:themeColor="text1"/>
          <w:sz w:val="20"/>
          <w:szCs w:val="20"/>
          <w:lang w:val="es-CO"/>
        </w:rPr>
        <w:t xml:space="preserve"> </w:t>
      </w:r>
      <w:r w:rsidR="00BB51B7" w:rsidRPr="00491517">
        <w:rPr>
          <w:rFonts w:ascii="Cambria" w:hAnsi="Cambria"/>
          <w:color w:val="000000" w:themeColor="text1"/>
          <w:sz w:val="20"/>
          <w:szCs w:val="20"/>
          <w:lang w:val="es-CO"/>
        </w:rPr>
        <w:t>Sin embargo</w:t>
      </w:r>
      <w:r w:rsidR="00BF2EAE" w:rsidRPr="00491517">
        <w:rPr>
          <w:rFonts w:ascii="Cambria" w:hAnsi="Cambria"/>
          <w:color w:val="000000" w:themeColor="text1"/>
          <w:sz w:val="20"/>
          <w:szCs w:val="20"/>
          <w:lang w:val="es-CO"/>
        </w:rPr>
        <w:t xml:space="preserve">, la CIDH nota que un desafío observado por la parte peticionaria </w:t>
      </w:r>
      <w:r w:rsidR="00421BA7" w:rsidRPr="00491517">
        <w:rPr>
          <w:rFonts w:ascii="Cambria" w:hAnsi="Cambria"/>
          <w:color w:val="000000" w:themeColor="text1"/>
          <w:sz w:val="20"/>
          <w:szCs w:val="20"/>
          <w:lang w:val="es-CO"/>
        </w:rPr>
        <w:t xml:space="preserve">frente a esta primera de cumplimiento ha sido </w:t>
      </w:r>
      <w:r w:rsidR="00BF2EAE" w:rsidRPr="00491517">
        <w:rPr>
          <w:rFonts w:ascii="Cambria" w:hAnsi="Cambria"/>
          <w:color w:val="000000" w:themeColor="text1"/>
          <w:sz w:val="20"/>
          <w:szCs w:val="20"/>
          <w:lang w:val="es-CO"/>
        </w:rPr>
        <w:t>la exclusión de dos víctimas de los Casos No. 10.</w:t>
      </w:r>
      <w:r w:rsidR="006D5856" w:rsidRPr="00491517">
        <w:rPr>
          <w:rFonts w:ascii="Cambria" w:hAnsi="Cambria"/>
          <w:color w:val="000000" w:themeColor="text1"/>
          <w:sz w:val="20"/>
          <w:szCs w:val="20"/>
          <w:lang w:val="es-CO"/>
        </w:rPr>
        <w:t xml:space="preserve"> </w:t>
      </w:r>
      <w:r w:rsidR="00BF2EAE" w:rsidRPr="00491517">
        <w:rPr>
          <w:rFonts w:ascii="Cambria" w:hAnsi="Cambria"/>
          <w:color w:val="000000" w:themeColor="text1"/>
          <w:sz w:val="20"/>
          <w:szCs w:val="20"/>
          <w:lang w:val="es-CO"/>
        </w:rPr>
        <w:t>10.247 y 10.905</w:t>
      </w:r>
      <w:r w:rsidR="00660515" w:rsidRPr="00491517">
        <w:rPr>
          <w:rFonts w:ascii="Cambria" w:hAnsi="Cambria"/>
          <w:color w:val="000000" w:themeColor="text1"/>
          <w:sz w:val="20"/>
          <w:szCs w:val="20"/>
          <w:lang w:val="es-CO"/>
        </w:rPr>
        <w:t xml:space="preserve"> de la </w:t>
      </w:r>
      <w:r w:rsidR="00660515" w:rsidRPr="00491517">
        <w:rPr>
          <w:rFonts w:ascii="Cambria" w:hAnsi="Cambria" w:cs="Calibri Light"/>
          <w:color w:val="000000" w:themeColor="text1"/>
          <w:sz w:val="20"/>
          <w:szCs w:val="20"/>
          <w:lang w:val="es-CO"/>
        </w:rPr>
        <w:t>Resolución Ministerial No. 0012-2015-JUS, lo que les ha impedido ser beneficiarias de este tipo de compensación.</w:t>
      </w:r>
      <w:r w:rsidR="00F468DA" w:rsidRPr="00491517">
        <w:rPr>
          <w:rFonts w:ascii="Cambria" w:hAnsi="Cambria" w:cs="Calibri Light"/>
          <w:color w:val="000000" w:themeColor="text1"/>
          <w:sz w:val="20"/>
          <w:szCs w:val="20"/>
          <w:lang w:val="es-CO"/>
        </w:rPr>
        <w:t xml:space="preserve"> Al respecto, la Comisión invita al Estado a </w:t>
      </w:r>
      <w:r w:rsidR="00AC3225" w:rsidRPr="00491517">
        <w:rPr>
          <w:rFonts w:ascii="Cambria" w:hAnsi="Cambria" w:cs="Calibri Light"/>
          <w:color w:val="000000" w:themeColor="text1"/>
          <w:sz w:val="20"/>
          <w:szCs w:val="20"/>
          <w:lang w:val="es-CO"/>
        </w:rPr>
        <w:t>adoptar las medidas adoptadas para aclarar la inclusión de las víctimas referidas por la parte peticionaria en la lista de beneficiarios de estos terrenos, de ser procedente, y a informar de los avances alcanzados en este sentido.</w:t>
      </w:r>
      <w:r w:rsidR="006D1BAB" w:rsidRPr="00491517">
        <w:rPr>
          <w:rFonts w:ascii="Cambria" w:hAnsi="Cambria" w:cs="Calibri Light"/>
          <w:color w:val="000000" w:themeColor="text1"/>
          <w:sz w:val="20"/>
          <w:szCs w:val="20"/>
          <w:lang w:val="es-CO"/>
        </w:rPr>
        <w:t xml:space="preserve"> </w:t>
      </w:r>
    </w:p>
    <w:p w14:paraId="51FDEAD4" w14:textId="07CDC1B5" w:rsidR="006D5856" w:rsidRPr="00491517" w:rsidRDefault="006D1BAB"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s="Calibri Light"/>
          <w:color w:val="000000" w:themeColor="text1"/>
          <w:sz w:val="20"/>
          <w:szCs w:val="20"/>
          <w:lang w:val="es-CO"/>
        </w:rPr>
        <w:lastRenderedPageBreak/>
        <w:t xml:space="preserve">Asimismo, la CIDH </w:t>
      </w:r>
      <w:r w:rsidR="00BB51B7" w:rsidRPr="00491517">
        <w:rPr>
          <w:rFonts w:ascii="Cambria" w:hAnsi="Cambria" w:cs="Calibri Light"/>
          <w:color w:val="000000" w:themeColor="text1"/>
          <w:sz w:val="20"/>
          <w:szCs w:val="20"/>
          <w:lang w:val="es-CO"/>
        </w:rPr>
        <w:t>invita al Estado</w:t>
      </w:r>
      <w:r w:rsidRPr="00491517">
        <w:rPr>
          <w:rFonts w:ascii="Cambria" w:hAnsi="Cambria" w:cs="Calibri Light"/>
          <w:color w:val="000000" w:themeColor="text1"/>
          <w:sz w:val="20"/>
          <w:szCs w:val="20"/>
          <w:lang w:val="es-CO"/>
        </w:rPr>
        <w:t xml:space="preserve"> remitir información que sistematice con claridad cuáles personas son beneficiarias </w:t>
      </w:r>
      <w:r w:rsidR="00436450" w:rsidRPr="00491517">
        <w:rPr>
          <w:rFonts w:ascii="Cambria" w:hAnsi="Cambria" w:cs="Calibri Light"/>
          <w:color w:val="000000" w:themeColor="text1"/>
          <w:sz w:val="20"/>
          <w:szCs w:val="20"/>
          <w:lang w:val="es-CO"/>
        </w:rPr>
        <w:t>de la compensación de los terrenos en Huachipa, especificando a cuáles casos de los del Comunicado de Prensa corresponde cada una.</w:t>
      </w:r>
      <w:r w:rsidR="00421BA7" w:rsidRPr="00491517">
        <w:rPr>
          <w:rFonts w:ascii="Cambria" w:hAnsi="Cambria" w:cs="Calibri Light"/>
          <w:color w:val="000000" w:themeColor="text1"/>
          <w:sz w:val="20"/>
          <w:szCs w:val="20"/>
          <w:lang w:val="es-CO"/>
        </w:rPr>
        <w:t xml:space="preserve"> Igualmente, la Comisión observa que el Estado manifestó haber gestionado con las </w:t>
      </w:r>
      <w:r w:rsidR="00421BA7" w:rsidRPr="00A36C6E">
        <w:rPr>
          <w:rFonts w:ascii="Cambria" w:hAnsi="Cambria"/>
          <w:color w:val="000000" w:themeColor="text1"/>
          <w:sz w:val="20"/>
          <w:szCs w:val="20"/>
          <w:lang w:val="es-CO"/>
        </w:rPr>
        <w:t>notarías</w:t>
      </w:r>
      <w:r w:rsidR="00421BA7" w:rsidRPr="00491517">
        <w:rPr>
          <w:rFonts w:ascii="Cambria" w:hAnsi="Cambria" w:cs="Calibri Light"/>
          <w:color w:val="000000" w:themeColor="text1"/>
          <w:sz w:val="20"/>
          <w:szCs w:val="20"/>
          <w:lang w:val="es-CO"/>
        </w:rPr>
        <w:t xml:space="preserve"> respectivas el levantamiento de observaciones o el reingreso de expedientes a la SUNARP. Al respecto, la CIDH llama al Estado a realizar las acciones que permitan concretar la transferencia de estos terrenos con miras a garantizar esta medida de reparación a las víctimas correspondientes.</w:t>
      </w:r>
    </w:p>
    <w:p w14:paraId="680589D5" w14:textId="77777777" w:rsidR="003000A2" w:rsidRPr="00491517" w:rsidRDefault="003000A2" w:rsidP="003000A2">
      <w:pPr>
        <w:pStyle w:val="ListParagraph"/>
        <w:rPr>
          <w:rFonts w:ascii="Cambria" w:hAnsi="Cambria"/>
          <w:color w:val="000000" w:themeColor="text1"/>
          <w:sz w:val="20"/>
          <w:szCs w:val="20"/>
          <w:lang w:val="es-CO"/>
        </w:rPr>
      </w:pPr>
    </w:p>
    <w:p w14:paraId="2191D3DD" w14:textId="73107173" w:rsidR="003000A2" w:rsidRPr="00491517" w:rsidRDefault="003000A2"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 xml:space="preserve">Asimismo, la Comisión toma nota de </w:t>
      </w:r>
      <w:r w:rsidR="00DD1729" w:rsidRPr="00491517">
        <w:rPr>
          <w:rFonts w:ascii="Cambria" w:hAnsi="Cambria"/>
          <w:color w:val="000000" w:themeColor="text1"/>
          <w:sz w:val="20"/>
          <w:szCs w:val="20"/>
          <w:lang w:val="es-CO"/>
        </w:rPr>
        <w:t xml:space="preserve">la segunda medida de cumplimiento consistentes en </w:t>
      </w:r>
      <w:r w:rsidRPr="00491517">
        <w:rPr>
          <w:rFonts w:ascii="Cambria" w:hAnsi="Cambria"/>
          <w:color w:val="000000" w:themeColor="text1"/>
          <w:sz w:val="20"/>
          <w:szCs w:val="20"/>
          <w:lang w:val="es-CO"/>
        </w:rPr>
        <w:t xml:space="preserve">los avances en la transferencia de dos terrenos de Santa Rosa. Al respecto, la CIDH invita al Estado a adoptar las medidas necesarias para avanzar con la concreción de medidas que permitan garantizar la reparación a las víctimas. Asimismo, queda atenta a la remisión de información sobre los avances alcanzados en este proceso de acceso a vivienda. </w:t>
      </w:r>
    </w:p>
    <w:p w14:paraId="106BB3AA" w14:textId="77777777" w:rsidR="003000A2" w:rsidRPr="00491517" w:rsidRDefault="003000A2" w:rsidP="003000A2">
      <w:pPr>
        <w:spacing w:after="0" w:line="240" w:lineRule="auto"/>
        <w:jc w:val="both"/>
        <w:rPr>
          <w:rFonts w:ascii="Cambria" w:hAnsi="Cambria"/>
          <w:color w:val="000000" w:themeColor="text1"/>
          <w:sz w:val="20"/>
          <w:szCs w:val="20"/>
          <w:lang w:val="es-CO"/>
        </w:rPr>
      </w:pPr>
    </w:p>
    <w:p w14:paraId="1782BEC7" w14:textId="0EFFF7AD" w:rsidR="00BB51B7" w:rsidRPr="00491517" w:rsidRDefault="00BB51B7"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Finalmente, l</w:t>
      </w:r>
      <w:r w:rsidR="00660515" w:rsidRPr="00491517">
        <w:rPr>
          <w:rFonts w:ascii="Cambria" w:hAnsi="Cambria"/>
          <w:color w:val="000000" w:themeColor="text1"/>
          <w:sz w:val="20"/>
          <w:szCs w:val="20"/>
          <w:lang w:val="es-CO"/>
        </w:rPr>
        <w:t xml:space="preserve">a </w:t>
      </w:r>
      <w:r w:rsidRPr="00491517">
        <w:rPr>
          <w:rFonts w:ascii="Cambria" w:hAnsi="Cambria"/>
          <w:color w:val="000000" w:themeColor="text1"/>
          <w:sz w:val="20"/>
          <w:szCs w:val="20"/>
          <w:lang w:val="es-CO"/>
        </w:rPr>
        <w:t>tercera</w:t>
      </w:r>
      <w:r w:rsidR="00660515" w:rsidRPr="00491517">
        <w:rPr>
          <w:rFonts w:ascii="Cambria" w:hAnsi="Cambria"/>
          <w:color w:val="000000" w:themeColor="text1"/>
          <w:sz w:val="20"/>
          <w:szCs w:val="20"/>
          <w:lang w:val="es-CO"/>
        </w:rPr>
        <w:t xml:space="preserve"> medida de cumplimiento identificada por la CIDH respecto de est</w:t>
      </w:r>
      <w:r w:rsidR="00AC3225" w:rsidRPr="00491517">
        <w:rPr>
          <w:rFonts w:ascii="Cambria" w:hAnsi="Cambria"/>
          <w:color w:val="000000" w:themeColor="text1"/>
          <w:sz w:val="20"/>
          <w:szCs w:val="20"/>
          <w:lang w:val="es-CO"/>
        </w:rPr>
        <w:t>e</w:t>
      </w:r>
      <w:r w:rsidR="00660515" w:rsidRPr="00491517">
        <w:rPr>
          <w:rFonts w:ascii="Cambria" w:hAnsi="Cambria"/>
          <w:color w:val="000000" w:themeColor="text1"/>
          <w:sz w:val="20"/>
          <w:szCs w:val="20"/>
          <w:lang w:val="es-CO"/>
        </w:rPr>
        <w:t xml:space="preserve"> segund</w:t>
      </w:r>
      <w:r w:rsidR="00AC3225" w:rsidRPr="00491517">
        <w:rPr>
          <w:rFonts w:ascii="Cambria" w:hAnsi="Cambria"/>
          <w:color w:val="000000" w:themeColor="text1"/>
          <w:sz w:val="20"/>
          <w:szCs w:val="20"/>
          <w:lang w:val="es-CO"/>
        </w:rPr>
        <w:t xml:space="preserve">o </w:t>
      </w:r>
      <w:r w:rsidR="00660515" w:rsidRPr="00491517">
        <w:rPr>
          <w:rFonts w:ascii="Cambria" w:hAnsi="Cambria"/>
          <w:color w:val="000000" w:themeColor="text1"/>
          <w:sz w:val="20"/>
          <w:szCs w:val="20"/>
          <w:lang w:val="es-CO"/>
        </w:rPr>
        <w:t>eje temático</w:t>
      </w:r>
      <w:r w:rsidR="00AC3225" w:rsidRPr="00491517">
        <w:rPr>
          <w:rFonts w:ascii="Cambria" w:hAnsi="Cambria"/>
          <w:color w:val="000000" w:themeColor="text1"/>
          <w:sz w:val="20"/>
          <w:szCs w:val="20"/>
          <w:lang w:val="es-CO"/>
        </w:rPr>
        <w:t xml:space="preserve"> </w:t>
      </w:r>
      <w:r w:rsidR="00660515" w:rsidRPr="00491517">
        <w:rPr>
          <w:rFonts w:ascii="Cambria" w:hAnsi="Cambria"/>
          <w:color w:val="000000" w:themeColor="text1"/>
          <w:sz w:val="20"/>
          <w:szCs w:val="20"/>
          <w:lang w:val="es-CO"/>
        </w:rPr>
        <w:t xml:space="preserve">ha consistido en </w:t>
      </w:r>
      <w:r w:rsidR="00AC3225" w:rsidRPr="00491517">
        <w:rPr>
          <w:rFonts w:ascii="Cambria" w:hAnsi="Cambria"/>
          <w:color w:val="000000" w:themeColor="text1"/>
          <w:sz w:val="20"/>
          <w:szCs w:val="20"/>
          <w:lang w:val="es-CO"/>
        </w:rPr>
        <w:t>la destinación de un lote</w:t>
      </w:r>
      <w:r w:rsidR="00AC3225" w:rsidRPr="00491517">
        <w:rPr>
          <w:rFonts w:ascii="Cambria" w:hAnsi="Cambria" w:cs="Calibri Light"/>
          <w:color w:val="000000" w:themeColor="text1"/>
          <w:sz w:val="20"/>
          <w:szCs w:val="20"/>
          <w:lang w:val="es-CO"/>
        </w:rPr>
        <w:t xml:space="preserve"> de terreno en el distrito de Santa María del Mar, provincia y departamento de Lima para las víctimas. Frente a esta medida, la Comisión observa que la última acción informada </w:t>
      </w:r>
      <w:r w:rsidR="00AC3225" w:rsidRPr="00A36C6E">
        <w:rPr>
          <w:rFonts w:ascii="Cambria" w:hAnsi="Cambria"/>
          <w:color w:val="000000" w:themeColor="text1"/>
          <w:sz w:val="20"/>
          <w:szCs w:val="20"/>
          <w:lang w:val="es-CO"/>
        </w:rPr>
        <w:t>sobre</w:t>
      </w:r>
      <w:r w:rsidR="00AC3225" w:rsidRPr="00491517">
        <w:rPr>
          <w:rFonts w:ascii="Cambria" w:hAnsi="Cambria" w:cs="Calibri Light"/>
          <w:color w:val="000000" w:themeColor="text1"/>
          <w:sz w:val="20"/>
          <w:szCs w:val="20"/>
          <w:lang w:val="es-CO"/>
        </w:rPr>
        <w:t xml:space="preserve"> su concreción fue la emisión de la resolución que aprobó la transferencia del terreno por parte de la SBN al MINJUSDH. Al respecto, la Comisión valora la emisión de esta resolución e invita al Estado a adoptar las medidas</w:t>
      </w:r>
      <w:r w:rsidR="001A171B" w:rsidRPr="00491517">
        <w:rPr>
          <w:rFonts w:ascii="Cambria" w:hAnsi="Cambria" w:cs="Calibri Light"/>
          <w:color w:val="000000" w:themeColor="text1"/>
          <w:sz w:val="20"/>
          <w:szCs w:val="20"/>
          <w:lang w:val="es-CO"/>
        </w:rPr>
        <w:t xml:space="preserve"> para implementar la decisión y continuar las labores que permitan el cumplimiento de esta medida.</w:t>
      </w:r>
      <w:r w:rsidR="005B79E9" w:rsidRPr="00491517">
        <w:rPr>
          <w:rFonts w:ascii="Cambria" w:hAnsi="Cambria" w:cs="Calibri Light"/>
          <w:color w:val="000000" w:themeColor="text1"/>
          <w:sz w:val="20"/>
          <w:szCs w:val="20"/>
          <w:lang w:val="es-CO"/>
        </w:rPr>
        <w:t xml:space="preserve"> Asimismo, la CIDH solicita remitir información que sistematice con claridad cuáles personas serán las beneficiarias de la </w:t>
      </w:r>
      <w:r w:rsidR="00762176" w:rsidRPr="00491517">
        <w:rPr>
          <w:rFonts w:ascii="Cambria" w:hAnsi="Cambria" w:cs="Calibri Light"/>
          <w:color w:val="000000" w:themeColor="text1"/>
          <w:sz w:val="20"/>
          <w:szCs w:val="20"/>
          <w:lang w:val="es-CO"/>
        </w:rPr>
        <w:t>transferencia</w:t>
      </w:r>
      <w:r w:rsidR="005B79E9" w:rsidRPr="00491517">
        <w:rPr>
          <w:rFonts w:ascii="Cambria" w:hAnsi="Cambria" w:cs="Calibri Light"/>
          <w:color w:val="000000" w:themeColor="text1"/>
          <w:sz w:val="20"/>
          <w:szCs w:val="20"/>
          <w:lang w:val="es-CO"/>
        </w:rPr>
        <w:t xml:space="preserve"> del</w:t>
      </w:r>
      <w:r w:rsidR="00762176" w:rsidRPr="00491517">
        <w:rPr>
          <w:rFonts w:ascii="Cambria" w:hAnsi="Cambria" w:cs="Calibri Light"/>
          <w:color w:val="000000" w:themeColor="text1"/>
          <w:sz w:val="20"/>
          <w:szCs w:val="20"/>
          <w:lang w:val="es-CO"/>
        </w:rPr>
        <w:t xml:space="preserve"> </w:t>
      </w:r>
      <w:r w:rsidR="005B79E9" w:rsidRPr="00491517">
        <w:rPr>
          <w:rFonts w:ascii="Cambria" w:hAnsi="Cambria" w:cs="Calibri Light"/>
          <w:color w:val="000000" w:themeColor="text1"/>
          <w:sz w:val="20"/>
          <w:szCs w:val="20"/>
          <w:lang w:val="es-CO"/>
        </w:rPr>
        <w:t>terreno en el distrito de Santa María del Mar, especificando a cuáles casos de los del Comunicado de Prensa corresponde cada una.</w:t>
      </w:r>
    </w:p>
    <w:p w14:paraId="6AE354DE" w14:textId="77777777" w:rsidR="005D7255" w:rsidRPr="00491517" w:rsidRDefault="005D7255" w:rsidP="00B537A7">
      <w:pPr>
        <w:spacing w:after="0" w:line="240" w:lineRule="auto"/>
        <w:jc w:val="both"/>
        <w:rPr>
          <w:rFonts w:ascii="Cambria" w:hAnsi="Cambria" w:cs="Calibri Light"/>
          <w:color w:val="000000" w:themeColor="text1"/>
          <w:sz w:val="20"/>
          <w:szCs w:val="20"/>
          <w:lang w:val="es-CO"/>
        </w:rPr>
      </w:pPr>
    </w:p>
    <w:p w14:paraId="7E76933B" w14:textId="5DC6FACF" w:rsidR="00F4461C" w:rsidRPr="00491517" w:rsidRDefault="00F4461C" w:rsidP="00F4461C">
      <w:pPr>
        <w:pStyle w:val="ListParagraph"/>
        <w:numPr>
          <w:ilvl w:val="0"/>
          <w:numId w:val="25"/>
        </w:numPr>
        <w:spacing w:after="0" w:line="240" w:lineRule="auto"/>
        <w:jc w:val="both"/>
        <w:rPr>
          <w:rFonts w:ascii="Cambria" w:hAnsi="Cambria"/>
          <w:b/>
          <w:bCs/>
          <w:color w:val="000000" w:themeColor="text1"/>
          <w:sz w:val="20"/>
          <w:szCs w:val="20"/>
          <w:lang w:val="es-EC"/>
        </w:rPr>
      </w:pPr>
      <w:r w:rsidRPr="00491517">
        <w:rPr>
          <w:rFonts w:ascii="Cambria" w:eastAsia="Calibri" w:hAnsi="Cambria" w:cs="Times New Roman"/>
          <w:b/>
          <w:bCs/>
          <w:color w:val="000000" w:themeColor="text1"/>
          <w:sz w:val="20"/>
          <w:szCs w:val="20"/>
          <w:lang w:val="es-ES"/>
        </w:rPr>
        <w:t xml:space="preserve">Cuarto eje temático. </w:t>
      </w:r>
      <w:r w:rsidRPr="00491517">
        <w:rPr>
          <w:rFonts w:ascii="Cambria" w:hAnsi="Cambria"/>
          <w:b/>
          <w:bCs/>
          <w:color w:val="000000" w:themeColor="text1"/>
          <w:sz w:val="20"/>
          <w:szCs w:val="20"/>
          <w:lang w:val="es-ES"/>
        </w:rPr>
        <w:t>Compensación monetaria para las víctimas.</w:t>
      </w:r>
    </w:p>
    <w:p w14:paraId="56C6616A" w14:textId="77777777" w:rsidR="005D7255" w:rsidRPr="00491517" w:rsidRDefault="005D7255" w:rsidP="00B537A7">
      <w:pPr>
        <w:pStyle w:val="ListParagraph"/>
        <w:jc w:val="both"/>
        <w:rPr>
          <w:rFonts w:ascii="Cambria" w:hAnsi="Cambria"/>
          <w:b/>
          <w:bCs/>
          <w:color w:val="000000" w:themeColor="text1"/>
          <w:sz w:val="20"/>
          <w:szCs w:val="20"/>
          <w:lang w:val="es-CO"/>
        </w:rPr>
      </w:pPr>
    </w:p>
    <w:p w14:paraId="53630934" w14:textId="1964F905" w:rsidR="00473E13" w:rsidRPr="00491517" w:rsidRDefault="00B102BD"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b/>
          <w:bCs/>
          <w:color w:val="000000" w:themeColor="text1"/>
          <w:sz w:val="20"/>
          <w:szCs w:val="20"/>
          <w:lang w:val="es-CO"/>
        </w:rPr>
        <w:t>Información remitida por el Estado</w:t>
      </w:r>
      <w:r w:rsidR="009D1E6B" w:rsidRPr="00491517">
        <w:rPr>
          <w:rFonts w:ascii="Cambria" w:hAnsi="Cambria"/>
          <w:b/>
          <w:bCs/>
          <w:color w:val="000000" w:themeColor="text1"/>
          <w:sz w:val="20"/>
          <w:szCs w:val="20"/>
          <w:lang w:val="es-CO"/>
        </w:rPr>
        <w:t xml:space="preserve"> en 2021</w:t>
      </w:r>
      <w:r w:rsidRPr="00491517">
        <w:rPr>
          <w:rFonts w:ascii="Cambria" w:hAnsi="Cambria"/>
          <w:b/>
          <w:bCs/>
          <w:color w:val="000000" w:themeColor="text1"/>
          <w:sz w:val="20"/>
          <w:szCs w:val="20"/>
          <w:lang w:val="es-CO"/>
        </w:rPr>
        <w:t>.</w:t>
      </w:r>
      <w:r w:rsidR="000D15B3" w:rsidRPr="00491517">
        <w:rPr>
          <w:rFonts w:ascii="Cambria" w:hAnsi="Cambria"/>
          <w:b/>
          <w:bCs/>
          <w:color w:val="000000" w:themeColor="text1"/>
          <w:sz w:val="20"/>
          <w:szCs w:val="20"/>
          <w:lang w:val="es-CO"/>
        </w:rPr>
        <w:t xml:space="preserve"> </w:t>
      </w:r>
      <w:r w:rsidR="009D1E6B" w:rsidRPr="00491517">
        <w:rPr>
          <w:rFonts w:ascii="Cambria" w:hAnsi="Cambria"/>
          <w:color w:val="000000" w:themeColor="text1"/>
          <w:sz w:val="20"/>
          <w:szCs w:val="20"/>
          <w:lang w:val="es-CO"/>
        </w:rPr>
        <w:t>E</w:t>
      </w:r>
      <w:r w:rsidR="00762176" w:rsidRPr="00491517">
        <w:rPr>
          <w:rFonts w:ascii="Cambria" w:hAnsi="Cambria"/>
          <w:color w:val="000000" w:themeColor="text1"/>
          <w:sz w:val="20"/>
          <w:szCs w:val="20"/>
          <w:lang w:val="es-CO"/>
        </w:rPr>
        <w:t>l Estado precisó</w:t>
      </w:r>
      <w:r w:rsidR="00473E13" w:rsidRPr="00491517">
        <w:rPr>
          <w:rFonts w:ascii="Cambria" w:hAnsi="Cambria"/>
          <w:color w:val="000000" w:themeColor="text1"/>
          <w:sz w:val="20"/>
          <w:szCs w:val="20"/>
          <w:lang w:val="es-CO"/>
        </w:rPr>
        <w:t xml:space="preserve"> que</w:t>
      </w:r>
      <w:r w:rsidR="00B26D2B" w:rsidRPr="00491517">
        <w:rPr>
          <w:rFonts w:ascii="Cambria" w:hAnsi="Cambria"/>
          <w:color w:val="000000" w:themeColor="text1"/>
          <w:sz w:val="20"/>
          <w:szCs w:val="20"/>
          <w:lang w:val="es-CO"/>
        </w:rPr>
        <w:t xml:space="preserve"> los casos de los literales </w:t>
      </w:r>
      <w:r w:rsidR="00B26D2B" w:rsidRPr="00491517">
        <w:rPr>
          <w:rFonts w:ascii="Cambria" w:hAnsi="Cambria"/>
          <w:i/>
          <w:iCs/>
          <w:color w:val="000000" w:themeColor="text1"/>
          <w:sz w:val="20"/>
          <w:szCs w:val="20"/>
          <w:lang w:val="es-CO"/>
        </w:rPr>
        <w:t>c</w:t>
      </w:r>
      <w:r w:rsidR="00B26D2B" w:rsidRPr="00491517">
        <w:rPr>
          <w:rFonts w:ascii="Cambria" w:hAnsi="Cambria"/>
          <w:color w:val="000000" w:themeColor="text1"/>
          <w:sz w:val="20"/>
          <w:szCs w:val="20"/>
          <w:lang w:val="es-CO"/>
        </w:rPr>
        <w:t xml:space="preserve"> y </w:t>
      </w:r>
      <w:r w:rsidR="00B26D2B" w:rsidRPr="00491517">
        <w:rPr>
          <w:rFonts w:ascii="Cambria" w:hAnsi="Cambria"/>
          <w:i/>
          <w:iCs/>
          <w:color w:val="000000" w:themeColor="text1"/>
          <w:sz w:val="20"/>
          <w:szCs w:val="20"/>
          <w:lang w:val="es-CO"/>
        </w:rPr>
        <w:t>d</w:t>
      </w:r>
      <w:r w:rsidR="00B26D2B" w:rsidRPr="00491517">
        <w:rPr>
          <w:rFonts w:ascii="Cambria" w:hAnsi="Cambria"/>
          <w:color w:val="000000" w:themeColor="text1"/>
          <w:sz w:val="20"/>
          <w:szCs w:val="20"/>
          <w:lang w:val="es-CO"/>
        </w:rPr>
        <w:t xml:space="preserve"> del Comunicado de Prensa </w:t>
      </w:r>
      <w:r w:rsidR="00473E13" w:rsidRPr="00491517">
        <w:rPr>
          <w:rFonts w:ascii="Cambria" w:hAnsi="Cambria"/>
          <w:color w:val="000000" w:themeColor="text1"/>
          <w:sz w:val="20"/>
          <w:szCs w:val="20"/>
          <w:lang w:val="es-CO"/>
        </w:rPr>
        <w:t>fueron</w:t>
      </w:r>
      <w:r w:rsidR="00B26D2B" w:rsidRPr="00491517">
        <w:rPr>
          <w:rFonts w:ascii="Cambria" w:hAnsi="Cambria"/>
          <w:color w:val="000000" w:themeColor="text1"/>
          <w:sz w:val="20"/>
          <w:szCs w:val="20"/>
          <w:lang w:val="es-CO"/>
        </w:rPr>
        <w:t xml:space="preserve"> considerados para la determinación e identificación de los beneficiarios del Programa de Reparaciones Económicas (PRE)</w:t>
      </w:r>
      <w:r w:rsidR="0081744E" w:rsidRPr="00491517">
        <w:rPr>
          <w:rFonts w:ascii="Cambria" w:hAnsi="Cambria"/>
          <w:color w:val="000000" w:themeColor="text1"/>
          <w:sz w:val="20"/>
          <w:szCs w:val="20"/>
          <w:lang w:val="es-CO"/>
        </w:rPr>
        <w:t xml:space="preserve"> a cargo de la CMAN</w:t>
      </w:r>
      <w:r w:rsidR="00914DDC" w:rsidRPr="00491517">
        <w:rPr>
          <w:rFonts w:ascii="Cambria" w:hAnsi="Cambria"/>
          <w:color w:val="000000" w:themeColor="text1"/>
          <w:sz w:val="20"/>
          <w:szCs w:val="20"/>
          <w:lang w:val="es-CO"/>
        </w:rPr>
        <w:t>, de acuerdo con el Reglamento de la Ley No. 28592</w:t>
      </w:r>
      <w:r w:rsidR="00B26D2B" w:rsidRPr="00491517">
        <w:rPr>
          <w:rFonts w:ascii="Cambria" w:hAnsi="Cambria"/>
          <w:color w:val="000000" w:themeColor="text1"/>
          <w:sz w:val="20"/>
          <w:szCs w:val="20"/>
          <w:lang w:val="es-CO"/>
        </w:rPr>
        <w:t xml:space="preserve">. </w:t>
      </w:r>
      <w:r w:rsidR="00473E13" w:rsidRPr="00491517">
        <w:rPr>
          <w:rFonts w:ascii="Cambria" w:hAnsi="Cambria"/>
          <w:color w:val="000000" w:themeColor="text1"/>
          <w:sz w:val="20"/>
          <w:szCs w:val="20"/>
          <w:lang w:val="es-CO"/>
        </w:rPr>
        <w:t>Al respecto, e</w:t>
      </w:r>
      <w:r w:rsidR="00B26D2B" w:rsidRPr="00491517">
        <w:rPr>
          <w:rFonts w:ascii="Cambria" w:hAnsi="Cambria"/>
          <w:color w:val="000000" w:themeColor="text1"/>
          <w:sz w:val="20"/>
          <w:szCs w:val="20"/>
          <w:lang w:val="es-CO"/>
        </w:rPr>
        <w:t>l Estado señaló que este programa otorg</w:t>
      </w:r>
      <w:r w:rsidR="00473E13" w:rsidRPr="00491517">
        <w:rPr>
          <w:rFonts w:ascii="Cambria" w:hAnsi="Cambria"/>
          <w:color w:val="000000" w:themeColor="text1"/>
          <w:sz w:val="20"/>
          <w:szCs w:val="20"/>
          <w:lang w:val="es-CO"/>
        </w:rPr>
        <w:t>ó</w:t>
      </w:r>
      <w:r w:rsidR="00B26D2B" w:rsidRPr="00491517">
        <w:rPr>
          <w:rFonts w:ascii="Cambria" w:hAnsi="Cambria"/>
          <w:color w:val="000000" w:themeColor="text1"/>
          <w:sz w:val="20"/>
          <w:szCs w:val="20"/>
          <w:lang w:val="es-CO"/>
        </w:rPr>
        <w:t xml:space="preserve"> un monto de S/ 10,000.00 (Diez Mil 00/100 Soles) por víctima de fallecimiento, desaparición forzada, violación sexual o discapacidad permanente. En ese sentido, </w:t>
      </w:r>
      <w:r w:rsidR="00BA50FD" w:rsidRPr="00491517">
        <w:rPr>
          <w:rFonts w:ascii="Cambria" w:hAnsi="Cambria"/>
          <w:color w:val="000000" w:themeColor="text1"/>
          <w:sz w:val="20"/>
          <w:szCs w:val="20"/>
          <w:lang w:val="es-CO"/>
        </w:rPr>
        <w:t xml:space="preserve">informó que </w:t>
      </w:r>
      <w:r w:rsidR="00B26D2B" w:rsidRPr="00491517">
        <w:rPr>
          <w:rFonts w:ascii="Cambria" w:hAnsi="Cambria"/>
          <w:color w:val="000000" w:themeColor="text1"/>
          <w:sz w:val="20"/>
          <w:szCs w:val="20"/>
          <w:lang w:val="es-CO"/>
        </w:rPr>
        <w:t>960 personas del Comunicado de Prensa Conjunto fueron incluidas en los 30 listados de reparaciones económicas</w:t>
      </w:r>
      <w:r w:rsidR="00473E13" w:rsidRPr="00491517">
        <w:rPr>
          <w:rFonts w:ascii="Cambria" w:hAnsi="Cambria"/>
          <w:color w:val="000000" w:themeColor="text1"/>
          <w:sz w:val="20"/>
          <w:szCs w:val="20"/>
          <w:lang w:val="es-CO"/>
        </w:rPr>
        <w:t xml:space="preserve"> del PRE</w:t>
      </w:r>
      <w:r w:rsidR="00B26D2B" w:rsidRPr="00491517">
        <w:rPr>
          <w:rFonts w:ascii="Cambria" w:hAnsi="Cambria"/>
          <w:color w:val="000000" w:themeColor="text1"/>
          <w:sz w:val="20"/>
          <w:szCs w:val="20"/>
          <w:lang w:val="es-CO"/>
        </w:rPr>
        <w:t>, de las cuales novecientas 900 hicieron efectivo el cobro.</w:t>
      </w:r>
      <w:r w:rsidR="00914DDC" w:rsidRPr="00491517">
        <w:rPr>
          <w:rFonts w:ascii="Cambria" w:hAnsi="Cambria"/>
          <w:color w:val="000000" w:themeColor="text1"/>
          <w:sz w:val="20"/>
          <w:szCs w:val="20"/>
          <w:lang w:val="es-CO"/>
        </w:rPr>
        <w:t xml:space="preserve"> Asimismo, </w:t>
      </w:r>
      <w:r w:rsidR="00473E13" w:rsidRPr="00491517">
        <w:rPr>
          <w:rFonts w:ascii="Cambria" w:hAnsi="Cambria"/>
          <w:color w:val="000000" w:themeColor="text1"/>
          <w:sz w:val="20"/>
          <w:szCs w:val="20"/>
          <w:lang w:val="es-CO"/>
        </w:rPr>
        <w:t>afirmó</w:t>
      </w:r>
      <w:r w:rsidR="00762176" w:rsidRPr="00491517">
        <w:rPr>
          <w:rFonts w:ascii="Cambria" w:hAnsi="Cambria"/>
          <w:color w:val="000000" w:themeColor="text1"/>
          <w:sz w:val="20"/>
          <w:szCs w:val="20"/>
          <w:lang w:val="es-CO"/>
        </w:rPr>
        <w:t xml:space="preserve"> que</w:t>
      </w:r>
      <w:r w:rsidR="00473E13" w:rsidRPr="00491517">
        <w:rPr>
          <w:rFonts w:ascii="Cambria" w:hAnsi="Cambria"/>
          <w:color w:val="000000" w:themeColor="text1"/>
          <w:sz w:val="20"/>
          <w:szCs w:val="20"/>
          <w:lang w:val="es-CO"/>
        </w:rPr>
        <w:t>, en su criterio,</w:t>
      </w:r>
      <w:r w:rsidR="00762176" w:rsidRPr="00491517">
        <w:rPr>
          <w:rFonts w:ascii="Cambria" w:hAnsi="Cambria"/>
          <w:color w:val="000000" w:themeColor="text1"/>
          <w:sz w:val="20"/>
          <w:szCs w:val="20"/>
          <w:lang w:val="es-CO"/>
        </w:rPr>
        <w:t xml:space="preserve"> la</w:t>
      </w:r>
      <w:r w:rsidR="00473E13" w:rsidRPr="00491517">
        <w:rPr>
          <w:rFonts w:ascii="Cambria" w:hAnsi="Cambria"/>
          <w:color w:val="000000" w:themeColor="text1"/>
          <w:sz w:val="20"/>
          <w:szCs w:val="20"/>
          <w:lang w:val="es-CO"/>
        </w:rPr>
        <w:t xml:space="preserve"> parte peticionaria</w:t>
      </w:r>
      <w:r w:rsidR="00762176" w:rsidRPr="00491517">
        <w:rPr>
          <w:rFonts w:ascii="Cambria" w:hAnsi="Cambria"/>
          <w:color w:val="000000" w:themeColor="text1"/>
          <w:sz w:val="20"/>
          <w:szCs w:val="20"/>
          <w:lang w:val="es-CO"/>
        </w:rPr>
        <w:t xml:space="preserve"> persigue un ajuste económico a los montos</w:t>
      </w:r>
      <w:r w:rsidR="0081744E" w:rsidRPr="00491517">
        <w:rPr>
          <w:rFonts w:ascii="Cambria" w:hAnsi="Cambria"/>
          <w:color w:val="000000" w:themeColor="text1"/>
          <w:sz w:val="20"/>
          <w:szCs w:val="20"/>
          <w:lang w:val="es-CO"/>
        </w:rPr>
        <w:t xml:space="preserve"> que fueron</w:t>
      </w:r>
      <w:r w:rsidR="00762176" w:rsidRPr="00491517">
        <w:rPr>
          <w:rFonts w:ascii="Cambria" w:hAnsi="Cambria"/>
          <w:color w:val="000000" w:themeColor="text1"/>
          <w:sz w:val="20"/>
          <w:szCs w:val="20"/>
          <w:lang w:val="es-CO"/>
        </w:rPr>
        <w:t xml:space="preserve"> otorgados dentro del </w:t>
      </w:r>
      <w:r w:rsidR="0081744E" w:rsidRPr="00491517">
        <w:rPr>
          <w:rFonts w:ascii="Cambria" w:hAnsi="Cambria"/>
          <w:color w:val="000000" w:themeColor="text1"/>
          <w:sz w:val="20"/>
          <w:szCs w:val="20"/>
          <w:lang w:val="es-CO"/>
        </w:rPr>
        <w:t xml:space="preserve">PRE por lo que solicitó a </w:t>
      </w:r>
      <w:r w:rsidR="00762176" w:rsidRPr="00491517">
        <w:rPr>
          <w:rFonts w:ascii="Cambria" w:hAnsi="Cambria"/>
          <w:color w:val="000000" w:themeColor="text1"/>
          <w:sz w:val="20"/>
          <w:szCs w:val="20"/>
          <w:lang w:val="es-CO"/>
        </w:rPr>
        <w:t>la CIDH valorar que, en su oportunidad, se reparó económicamente a los familiares de las víctimas.</w:t>
      </w:r>
    </w:p>
    <w:p w14:paraId="51B1E239" w14:textId="77777777" w:rsidR="00473E13" w:rsidRPr="00491517" w:rsidRDefault="00473E13" w:rsidP="00473E13">
      <w:pPr>
        <w:pStyle w:val="ListParagraph"/>
        <w:spacing w:after="0" w:line="240" w:lineRule="auto"/>
        <w:ind w:left="360"/>
        <w:jc w:val="both"/>
        <w:rPr>
          <w:rFonts w:ascii="Cambria" w:hAnsi="Cambria"/>
          <w:color w:val="000000" w:themeColor="text1"/>
          <w:sz w:val="20"/>
          <w:szCs w:val="20"/>
          <w:lang w:val="es-CO"/>
        </w:rPr>
      </w:pPr>
    </w:p>
    <w:p w14:paraId="4978CBF8" w14:textId="77777777" w:rsidR="00731CC2" w:rsidRPr="00491517" w:rsidRDefault="00BB6A69"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Finalmente, el Estado manifestó que lo alegado por la parte peticionaria, sobre el grupo de priorización al que pertenecen las víctimas de violaciones de derechos humanos para el pago de reparaciones económicas derivadas de sentencias internas o supranacionales, escapa al ámbito de supervisión de la CIDH.</w:t>
      </w:r>
      <w:r w:rsidR="003E18E7" w:rsidRPr="00491517">
        <w:rPr>
          <w:rFonts w:ascii="Cambria" w:hAnsi="Cambria"/>
          <w:color w:val="000000" w:themeColor="text1"/>
          <w:sz w:val="20"/>
          <w:szCs w:val="20"/>
          <w:lang w:val="es-CO"/>
        </w:rPr>
        <w:t xml:space="preserve"> </w:t>
      </w:r>
      <w:r w:rsidR="001B1468" w:rsidRPr="00491517">
        <w:rPr>
          <w:rFonts w:ascii="Cambria" w:hAnsi="Cambria"/>
          <w:color w:val="000000" w:themeColor="text1"/>
          <w:sz w:val="20"/>
          <w:szCs w:val="20"/>
          <w:lang w:val="es-CO"/>
        </w:rPr>
        <w:t>De igual manera, el Estado mantuvo su posición de que la solicitud de reactivar la Mesa de Trabajo referida a las reparaciones económicas no es parte de las obligaciones del Estado peruano referidas al Comunicado de Prensa Conjunto.</w:t>
      </w:r>
    </w:p>
    <w:p w14:paraId="3A35D0DF" w14:textId="77777777" w:rsidR="00731CC2" w:rsidRPr="00491517" w:rsidRDefault="00731CC2" w:rsidP="00731CC2">
      <w:pPr>
        <w:pStyle w:val="ListParagraph"/>
        <w:rPr>
          <w:rFonts w:ascii="Cambria" w:hAnsi="Cambria" w:cs="Calibri Light"/>
          <w:b/>
          <w:bCs/>
          <w:color w:val="000000" w:themeColor="text1"/>
          <w:sz w:val="20"/>
          <w:szCs w:val="20"/>
          <w:lang w:val="es-CO"/>
        </w:rPr>
      </w:pPr>
    </w:p>
    <w:p w14:paraId="14B260B7" w14:textId="7A97A0CC" w:rsidR="00731CC2" w:rsidRPr="00491517" w:rsidRDefault="009D1E6B"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s="Calibri Light"/>
          <w:b/>
          <w:bCs/>
          <w:color w:val="000000" w:themeColor="text1"/>
          <w:sz w:val="20"/>
          <w:szCs w:val="20"/>
          <w:lang w:val="es-CO"/>
        </w:rPr>
        <w:t xml:space="preserve">Información remitida por la parte peticionaria en 2021. </w:t>
      </w:r>
      <w:r w:rsidRPr="00491517">
        <w:rPr>
          <w:rFonts w:ascii="Cambria" w:hAnsi="Cambria" w:cs="Calibri Light"/>
          <w:color w:val="000000" w:themeColor="text1"/>
          <w:sz w:val="20"/>
          <w:szCs w:val="20"/>
          <w:lang w:val="es-CO"/>
        </w:rPr>
        <w:t>L</w:t>
      </w:r>
      <w:r w:rsidR="00E716CE" w:rsidRPr="00491517">
        <w:rPr>
          <w:rFonts w:ascii="Cambria" w:hAnsi="Cambria" w:cs="Calibri Light"/>
          <w:color w:val="000000" w:themeColor="text1"/>
          <w:sz w:val="20"/>
          <w:szCs w:val="20"/>
          <w:lang w:val="es-CO"/>
        </w:rPr>
        <w:t>a parte peticionaria indicó que, a pesar de que han sido emitidas algunas sentencias condenatorias</w:t>
      </w:r>
      <w:r w:rsidR="00DF4426" w:rsidRPr="00491517">
        <w:rPr>
          <w:rFonts w:ascii="Cambria" w:hAnsi="Cambria" w:cs="Calibri Light"/>
          <w:color w:val="000000" w:themeColor="text1"/>
          <w:sz w:val="20"/>
          <w:szCs w:val="20"/>
          <w:lang w:val="es-CO"/>
        </w:rPr>
        <w:t xml:space="preserve"> en los casos del Comunicado de Prensa</w:t>
      </w:r>
      <w:r w:rsidR="00E716CE" w:rsidRPr="00491517">
        <w:rPr>
          <w:rFonts w:ascii="Cambria" w:hAnsi="Cambria" w:cs="Calibri Light"/>
          <w:color w:val="000000" w:themeColor="text1"/>
          <w:sz w:val="20"/>
          <w:szCs w:val="20"/>
          <w:lang w:val="es-CO"/>
        </w:rPr>
        <w:t>,</w:t>
      </w:r>
      <w:r w:rsidR="00DF4426" w:rsidRPr="00491517">
        <w:rPr>
          <w:rFonts w:ascii="Cambria" w:hAnsi="Cambria" w:cs="Calibri Light"/>
          <w:color w:val="000000" w:themeColor="text1"/>
          <w:sz w:val="20"/>
          <w:szCs w:val="20"/>
          <w:lang w:val="es-CO"/>
        </w:rPr>
        <w:t xml:space="preserve"> no se han efectuado las reparaciones de carácter civil </w:t>
      </w:r>
      <w:r w:rsidR="00F90A68" w:rsidRPr="00491517">
        <w:rPr>
          <w:rFonts w:ascii="Cambria" w:hAnsi="Cambria" w:cs="Calibri Light"/>
          <w:color w:val="000000" w:themeColor="text1"/>
          <w:sz w:val="20"/>
          <w:szCs w:val="20"/>
          <w:lang w:val="es-CO"/>
        </w:rPr>
        <w:t>ordenadas por estas</w:t>
      </w:r>
      <w:r w:rsidR="00DF4426" w:rsidRPr="00491517">
        <w:rPr>
          <w:rFonts w:ascii="Cambria" w:hAnsi="Cambria" w:cs="Calibri Light"/>
          <w:color w:val="000000" w:themeColor="text1"/>
          <w:sz w:val="20"/>
          <w:szCs w:val="20"/>
          <w:lang w:val="es-CO"/>
        </w:rPr>
        <w:t xml:space="preserve"> decisiones</w:t>
      </w:r>
      <w:r w:rsidR="00F90A68" w:rsidRPr="00491517">
        <w:rPr>
          <w:rFonts w:ascii="Cambria" w:hAnsi="Cambria" w:cs="Calibri Light"/>
          <w:color w:val="000000" w:themeColor="text1"/>
          <w:sz w:val="20"/>
          <w:szCs w:val="20"/>
          <w:lang w:val="es-CO"/>
        </w:rPr>
        <w:t xml:space="preserve"> a pesar de que e</w:t>
      </w:r>
      <w:r w:rsidR="009E7DA9" w:rsidRPr="00491517">
        <w:rPr>
          <w:rFonts w:ascii="Cambria" w:hAnsi="Cambria" w:cs="Calibri Light"/>
          <w:color w:val="000000" w:themeColor="text1"/>
          <w:sz w:val="20"/>
          <w:szCs w:val="20"/>
          <w:lang w:val="es-CO"/>
        </w:rPr>
        <w:t xml:space="preserve">l Estado </w:t>
      </w:r>
      <w:r w:rsidR="00F90A68" w:rsidRPr="00491517">
        <w:rPr>
          <w:rFonts w:ascii="Cambria" w:hAnsi="Cambria" w:cs="Calibri Light"/>
          <w:color w:val="000000" w:themeColor="text1"/>
          <w:sz w:val="20"/>
          <w:szCs w:val="20"/>
          <w:lang w:val="es-CO"/>
        </w:rPr>
        <w:t xml:space="preserve">figura </w:t>
      </w:r>
      <w:r w:rsidR="009E7DA9" w:rsidRPr="00491517">
        <w:rPr>
          <w:rFonts w:ascii="Cambria" w:hAnsi="Cambria" w:cs="Calibri Light"/>
          <w:color w:val="000000" w:themeColor="text1"/>
          <w:sz w:val="20"/>
          <w:szCs w:val="20"/>
          <w:lang w:val="es-CO"/>
        </w:rPr>
        <w:t>como tercero responsable solidario</w:t>
      </w:r>
      <w:r w:rsidR="00E716CE" w:rsidRPr="00491517">
        <w:rPr>
          <w:rFonts w:ascii="Cambria" w:hAnsi="Cambria" w:cs="Calibri Light"/>
          <w:color w:val="000000" w:themeColor="text1"/>
          <w:sz w:val="20"/>
          <w:szCs w:val="20"/>
          <w:lang w:val="es-CO"/>
        </w:rPr>
        <w:t xml:space="preserve">. </w:t>
      </w:r>
      <w:r w:rsidR="00731CC2" w:rsidRPr="00491517">
        <w:rPr>
          <w:rFonts w:ascii="Cambria" w:hAnsi="Cambria" w:cs="Calibri Light"/>
          <w:color w:val="000000" w:themeColor="text1"/>
          <w:sz w:val="20"/>
          <w:szCs w:val="20"/>
          <w:lang w:val="es-CO"/>
        </w:rPr>
        <w:t>Por otra parte</w:t>
      </w:r>
      <w:r w:rsidR="00DE3873" w:rsidRPr="00491517">
        <w:rPr>
          <w:rFonts w:ascii="Cambria" w:hAnsi="Cambria" w:cs="Calibri Light"/>
          <w:color w:val="000000" w:themeColor="text1"/>
          <w:sz w:val="20"/>
          <w:szCs w:val="20"/>
          <w:lang w:val="es-CO"/>
        </w:rPr>
        <w:t xml:space="preserve">, señaló que la Ley 13.137 del 26 de septiembre de 2013 (modificada por la Ley 13.841 del 19 de agosto de 2018) establece </w:t>
      </w:r>
      <w:r w:rsidR="00731CC2" w:rsidRPr="00491517">
        <w:rPr>
          <w:rFonts w:ascii="Cambria" w:hAnsi="Cambria" w:cs="Calibri Light"/>
          <w:color w:val="000000" w:themeColor="text1"/>
          <w:sz w:val="20"/>
          <w:szCs w:val="20"/>
          <w:lang w:val="es-CO"/>
        </w:rPr>
        <w:t xml:space="preserve">que las </w:t>
      </w:r>
      <w:r w:rsidR="00DE3873" w:rsidRPr="00491517">
        <w:rPr>
          <w:rFonts w:ascii="Cambria" w:hAnsi="Cambria" w:cs="Calibri Light"/>
          <w:color w:val="000000" w:themeColor="text1"/>
          <w:sz w:val="20"/>
          <w:szCs w:val="20"/>
          <w:lang w:val="es-CO"/>
        </w:rPr>
        <w:t xml:space="preserve">víctimas por violaciones a derechos humanos </w:t>
      </w:r>
      <w:r w:rsidR="00731CC2" w:rsidRPr="00491517">
        <w:rPr>
          <w:rFonts w:ascii="Cambria" w:hAnsi="Cambria" w:cs="Calibri Light"/>
          <w:color w:val="000000" w:themeColor="text1"/>
          <w:sz w:val="20"/>
          <w:szCs w:val="20"/>
          <w:lang w:val="es-CO"/>
        </w:rPr>
        <w:t xml:space="preserve">figuran </w:t>
      </w:r>
      <w:r w:rsidR="00731CC2" w:rsidRPr="00A36C6E">
        <w:rPr>
          <w:rFonts w:ascii="Cambria" w:hAnsi="Cambria"/>
          <w:color w:val="000000" w:themeColor="text1"/>
          <w:sz w:val="20"/>
          <w:szCs w:val="20"/>
          <w:lang w:val="es-CO"/>
        </w:rPr>
        <w:t>como</w:t>
      </w:r>
      <w:r w:rsidR="00731CC2" w:rsidRPr="00491517">
        <w:rPr>
          <w:rFonts w:ascii="Cambria" w:hAnsi="Cambria" w:cs="Calibri Light"/>
          <w:color w:val="000000" w:themeColor="text1"/>
          <w:sz w:val="20"/>
          <w:szCs w:val="20"/>
          <w:lang w:val="es-CO"/>
        </w:rPr>
        <w:t xml:space="preserve"> terceros en el listado de </w:t>
      </w:r>
      <w:r w:rsidR="00DE3873" w:rsidRPr="00491517">
        <w:rPr>
          <w:rFonts w:ascii="Cambria" w:hAnsi="Cambria" w:cs="Calibri Light"/>
          <w:color w:val="000000" w:themeColor="text1"/>
          <w:sz w:val="20"/>
          <w:szCs w:val="20"/>
          <w:lang w:val="es-CO"/>
        </w:rPr>
        <w:t>pago</w:t>
      </w:r>
      <w:r w:rsidR="00731CC2" w:rsidRPr="00491517">
        <w:rPr>
          <w:rFonts w:ascii="Cambria" w:hAnsi="Cambria" w:cs="Calibri Light"/>
          <w:color w:val="000000" w:themeColor="text1"/>
          <w:sz w:val="20"/>
          <w:szCs w:val="20"/>
          <w:lang w:val="es-CO"/>
        </w:rPr>
        <w:t>s</w:t>
      </w:r>
      <w:r w:rsidR="00DE3873" w:rsidRPr="00491517">
        <w:rPr>
          <w:rFonts w:ascii="Cambria" w:hAnsi="Cambria" w:cs="Calibri Light"/>
          <w:color w:val="000000" w:themeColor="text1"/>
          <w:sz w:val="20"/>
          <w:szCs w:val="20"/>
          <w:lang w:val="es-CO"/>
        </w:rPr>
        <w:t xml:space="preserve"> de sentencias judiciales. En criterio de la parte peticionaria, esta norma conduce a la falta de priorización de estas reparaciones</w:t>
      </w:r>
      <w:r w:rsidR="00731CC2" w:rsidRPr="00491517">
        <w:rPr>
          <w:rFonts w:ascii="Cambria" w:hAnsi="Cambria" w:cs="Calibri Light"/>
          <w:color w:val="000000" w:themeColor="text1"/>
          <w:sz w:val="20"/>
          <w:szCs w:val="20"/>
          <w:lang w:val="es-CO"/>
        </w:rPr>
        <w:t xml:space="preserve"> y</w:t>
      </w:r>
      <w:r w:rsidR="00DE3873" w:rsidRPr="00491517">
        <w:rPr>
          <w:rFonts w:ascii="Cambria" w:hAnsi="Cambria" w:cs="Calibri Light"/>
          <w:color w:val="000000" w:themeColor="text1"/>
          <w:sz w:val="20"/>
          <w:szCs w:val="20"/>
          <w:lang w:val="es-CO"/>
        </w:rPr>
        <w:t xml:space="preserve"> solicitó al Estado impulsar reformas que den mayor prioridad a </w:t>
      </w:r>
      <w:r w:rsidR="00731CC2" w:rsidRPr="00491517">
        <w:rPr>
          <w:rFonts w:ascii="Cambria" w:hAnsi="Cambria" w:cs="Calibri Light"/>
          <w:color w:val="000000" w:themeColor="text1"/>
          <w:sz w:val="20"/>
          <w:szCs w:val="20"/>
          <w:lang w:val="es-CO"/>
        </w:rPr>
        <w:t>esta forma de</w:t>
      </w:r>
      <w:r w:rsidR="00DE3873" w:rsidRPr="00491517">
        <w:rPr>
          <w:rFonts w:ascii="Cambria" w:hAnsi="Cambria" w:cs="Calibri Light"/>
          <w:color w:val="000000" w:themeColor="text1"/>
          <w:sz w:val="20"/>
          <w:szCs w:val="20"/>
          <w:lang w:val="es-CO"/>
        </w:rPr>
        <w:t xml:space="preserve"> reparación</w:t>
      </w:r>
      <w:r w:rsidR="009E7DA9" w:rsidRPr="00491517">
        <w:rPr>
          <w:rFonts w:ascii="Cambria" w:hAnsi="Cambria" w:cs="Calibri Light"/>
          <w:color w:val="000000" w:themeColor="text1"/>
          <w:sz w:val="20"/>
          <w:szCs w:val="20"/>
          <w:lang w:val="es-CO"/>
        </w:rPr>
        <w:t>.</w:t>
      </w:r>
    </w:p>
    <w:p w14:paraId="21D53A73" w14:textId="0C30156A" w:rsidR="00731CC2" w:rsidRPr="00491517" w:rsidRDefault="00F90A68"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s="Calibri Light"/>
          <w:color w:val="000000" w:themeColor="text1"/>
          <w:sz w:val="20"/>
          <w:szCs w:val="20"/>
          <w:lang w:val="es-CO"/>
        </w:rPr>
        <w:lastRenderedPageBreak/>
        <w:t xml:space="preserve">Finalmente, la parte peticionaria aclaró que, contrario a lo manifestado por el Estado, no persigue </w:t>
      </w:r>
      <w:r w:rsidR="00420AAE" w:rsidRPr="00491517">
        <w:rPr>
          <w:rFonts w:ascii="Cambria" w:hAnsi="Cambria" w:cs="Calibri Light"/>
          <w:color w:val="000000" w:themeColor="text1"/>
          <w:sz w:val="20"/>
          <w:szCs w:val="20"/>
          <w:lang w:val="es-CO"/>
        </w:rPr>
        <w:t>un ajuste económico a</w:t>
      </w:r>
      <w:r w:rsidR="00731CC2" w:rsidRPr="00491517">
        <w:rPr>
          <w:rFonts w:ascii="Cambria" w:hAnsi="Cambria" w:cs="Calibri Light"/>
          <w:color w:val="000000" w:themeColor="text1"/>
          <w:sz w:val="20"/>
          <w:szCs w:val="20"/>
          <w:lang w:val="es-CO"/>
        </w:rPr>
        <w:t xml:space="preserve"> lo</w:t>
      </w:r>
      <w:r w:rsidR="00420AAE" w:rsidRPr="00491517">
        <w:rPr>
          <w:rFonts w:ascii="Cambria" w:hAnsi="Cambria" w:cs="Calibri Light"/>
          <w:color w:val="000000" w:themeColor="text1"/>
          <w:sz w:val="20"/>
          <w:szCs w:val="20"/>
          <w:lang w:val="es-CO"/>
        </w:rPr>
        <w:t xml:space="preserve"> </w:t>
      </w:r>
      <w:r w:rsidRPr="00491517">
        <w:rPr>
          <w:rFonts w:ascii="Cambria" w:hAnsi="Cambria" w:cs="Calibri Light"/>
          <w:color w:val="000000" w:themeColor="text1"/>
          <w:sz w:val="20"/>
          <w:szCs w:val="20"/>
          <w:lang w:val="es-CO"/>
        </w:rPr>
        <w:t>otorgado conforme a</w:t>
      </w:r>
      <w:r w:rsidR="00420AAE" w:rsidRPr="00491517">
        <w:rPr>
          <w:rFonts w:ascii="Cambria" w:hAnsi="Cambria" w:cs="Calibri Light"/>
          <w:color w:val="000000" w:themeColor="text1"/>
          <w:sz w:val="20"/>
          <w:szCs w:val="20"/>
          <w:lang w:val="es-CO"/>
        </w:rPr>
        <w:t xml:space="preserve">l </w:t>
      </w:r>
      <w:r w:rsidR="00731CC2" w:rsidRPr="00491517">
        <w:rPr>
          <w:rFonts w:ascii="Cambria" w:hAnsi="Cambria" w:cs="Calibri Light"/>
          <w:color w:val="000000" w:themeColor="text1"/>
          <w:sz w:val="20"/>
          <w:szCs w:val="20"/>
          <w:lang w:val="es-CO"/>
        </w:rPr>
        <w:t>PRE</w:t>
      </w:r>
      <w:r w:rsidRPr="00491517">
        <w:rPr>
          <w:rFonts w:ascii="Cambria" w:hAnsi="Cambria" w:cs="Calibri Light"/>
          <w:color w:val="000000" w:themeColor="text1"/>
          <w:sz w:val="20"/>
          <w:szCs w:val="20"/>
          <w:lang w:val="es-CO"/>
        </w:rPr>
        <w:t xml:space="preserve"> y</w:t>
      </w:r>
      <w:r w:rsidR="000211D9" w:rsidRPr="00491517">
        <w:rPr>
          <w:rFonts w:ascii="Cambria" w:hAnsi="Cambria" w:cs="Calibri Light"/>
          <w:color w:val="000000" w:themeColor="text1"/>
          <w:sz w:val="20"/>
          <w:szCs w:val="20"/>
          <w:lang w:val="es-CO"/>
        </w:rPr>
        <w:t xml:space="preserve"> consider</w:t>
      </w:r>
      <w:r w:rsidR="00731CC2" w:rsidRPr="00491517">
        <w:rPr>
          <w:rFonts w:ascii="Cambria" w:hAnsi="Cambria" w:cs="Calibri Light"/>
          <w:color w:val="000000" w:themeColor="text1"/>
          <w:sz w:val="20"/>
          <w:szCs w:val="20"/>
          <w:lang w:val="es-CO"/>
        </w:rPr>
        <w:t>ó</w:t>
      </w:r>
      <w:r w:rsidR="000211D9" w:rsidRPr="00491517">
        <w:rPr>
          <w:rFonts w:ascii="Cambria" w:hAnsi="Cambria" w:cs="Calibri Light"/>
          <w:color w:val="000000" w:themeColor="text1"/>
          <w:sz w:val="20"/>
          <w:szCs w:val="20"/>
          <w:lang w:val="es-CO"/>
        </w:rPr>
        <w:t xml:space="preserve"> que no se puede homologar </w:t>
      </w:r>
      <w:r w:rsidR="00731CC2" w:rsidRPr="00491517">
        <w:rPr>
          <w:rFonts w:ascii="Cambria" w:hAnsi="Cambria" w:cs="Calibri Light"/>
          <w:color w:val="000000" w:themeColor="text1"/>
          <w:sz w:val="20"/>
          <w:szCs w:val="20"/>
          <w:lang w:val="es-CO"/>
        </w:rPr>
        <w:t>la</w:t>
      </w:r>
      <w:r w:rsidR="000211D9" w:rsidRPr="00491517">
        <w:rPr>
          <w:rFonts w:ascii="Cambria" w:hAnsi="Cambria" w:cs="Calibri Light"/>
          <w:color w:val="000000" w:themeColor="text1"/>
          <w:sz w:val="20"/>
          <w:szCs w:val="20"/>
          <w:lang w:val="es-CO"/>
        </w:rPr>
        <w:t xml:space="preserve"> reparación simbólic</w:t>
      </w:r>
      <w:r w:rsidRPr="00491517">
        <w:rPr>
          <w:rFonts w:ascii="Cambria" w:hAnsi="Cambria" w:cs="Calibri Light"/>
          <w:color w:val="000000" w:themeColor="text1"/>
          <w:sz w:val="20"/>
          <w:szCs w:val="20"/>
          <w:lang w:val="es-CO"/>
        </w:rPr>
        <w:t>a que fue garantizada</w:t>
      </w:r>
      <w:r w:rsidR="00731CC2" w:rsidRPr="00491517">
        <w:rPr>
          <w:rFonts w:ascii="Cambria" w:hAnsi="Cambria" w:cs="Calibri Light"/>
          <w:color w:val="000000" w:themeColor="text1"/>
          <w:sz w:val="20"/>
          <w:szCs w:val="20"/>
          <w:lang w:val="es-CO"/>
        </w:rPr>
        <w:t xml:space="preserve"> con ese programa</w:t>
      </w:r>
      <w:r w:rsidRPr="00491517">
        <w:rPr>
          <w:rFonts w:ascii="Cambria" w:hAnsi="Cambria" w:cs="Calibri Light"/>
          <w:color w:val="000000" w:themeColor="text1"/>
          <w:sz w:val="20"/>
          <w:szCs w:val="20"/>
          <w:lang w:val="es-CO"/>
        </w:rPr>
        <w:t xml:space="preserve"> </w:t>
      </w:r>
      <w:r w:rsidR="00731CC2" w:rsidRPr="00491517">
        <w:rPr>
          <w:rFonts w:ascii="Cambria" w:hAnsi="Cambria" w:cs="Calibri Light"/>
          <w:color w:val="000000" w:themeColor="text1"/>
          <w:sz w:val="20"/>
          <w:szCs w:val="20"/>
          <w:lang w:val="es-CO"/>
        </w:rPr>
        <w:t>a</w:t>
      </w:r>
      <w:r w:rsidRPr="00491517">
        <w:rPr>
          <w:rFonts w:ascii="Cambria" w:hAnsi="Cambria" w:cs="Calibri Light"/>
          <w:color w:val="000000" w:themeColor="text1"/>
          <w:sz w:val="20"/>
          <w:szCs w:val="20"/>
          <w:lang w:val="es-CO"/>
        </w:rPr>
        <w:t>l pago</w:t>
      </w:r>
      <w:r w:rsidR="00731CC2" w:rsidRPr="00491517">
        <w:rPr>
          <w:rFonts w:ascii="Cambria" w:hAnsi="Cambria" w:cs="Calibri Light"/>
          <w:color w:val="000000" w:themeColor="text1"/>
          <w:sz w:val="20"/>
          <w:szCs w:val="20"/>
          <w:lang w:val="es-CO"/>
        </w:rPr>
        <w:t xml:space="preserve"> de </w:t>
      </w:r>
      <w:r w:rsidR="000211D9" w:rsidRPr="00491517">
        <w:rPr>
          <w:rFonts w:ascii="Cambria" w:hAnsi="Cambria" w:cs="Calibri Light"/>
          <w:color w:val="000000" w:themeColor="text1"/>
          <w:sz w:val="20"/>
          <w:szCs w:val="20"/>
          <w:lang w:val="es-CO"/>
        </w:rPr>
        <w:t xml:space="preserve">una reparación acorde </w:t>
      </w:r>
      <w:r w:rsidR="00731CC2" w:rsidRPr="00491517">
        <w:rPr>
          <w:rFonts w:ascii="Cambria" w:hAnsi="Cambria" w:cs="Calibri Light"/>
          <w:color w:val="000000" w:themeColor="text1"/>
          <w:sz w:val="20"/>
          <w:szCs w:val="20"/>
          <w:lang w:val="es-CO"/>
        </w:rPr>
        <w:t>con</w:t>
      </w:r>
      <w:r w:rsidR="000211D9" w:rsidRPr="00491517">
        <w:rPr>
          <w:rFonts w:ascii="Cambria" w:hAnsi="Cambria" w:cs="Calibri Light"/>
          <w:color w:val="000000" w:themeColor="text1"/>
          <w:sz w:val="20"/>
          <w:szCs w:val="20"/>
          <w:lang w:val="es-CO"/>
        </w:rPr>
        <w:t xml:space="preserve"> estándares internacionales </w:t>
      </w:r>
      <w:r w:rsidRPr="00491517">
        <w:rPr>
          <w:rFonts w:ascii="Cambria" w:hAnsi="Cambria" w:cs="Calibri Light"/>
          <w:color w:val="000000" w:themeColor="text1"/>
          <w:sz w:val="20"/>
          <w:szCs w:val="20"/>
          <w:lang w:val="es-CO"/>
        </w:rPr>
        <w:t>de</w:t>
      </w:r>
      <w:r w:rsidR="000211D9" w:rsidRPr="00491517">
        <w:rPr>
          <w:rFonts w:ascii="Cambria" w:hAnsi="Cambria" w:cs="Calibri Light"/>
          <w:color w:val="000000" w:themeColor="text1"/>
          <w:sz w:val="20"/>
          <w:szCs w:val="20"/>
          <w:lang w:val="es-CO"/>
        </w:rPr>
        <w:t xml:space="preserve"> derechos </w:t>
      </w:r>
      <w:r w:rsidR="000211D9" w:rsidRPr="00A36C6E">
        <w:rPr>
          <w:rFonts w:ascii="Cambria" w:hAnsi="Cambria"/>
          <w:color w:val="000000" w:themeColor="text1"/>
          <w:sz w:val="20"/>
          <w:szCs w:val="20"/>
          <w:lang w:val="es-CO"/>
        </w:rPr>
        <w:t>humanos</w:t>
      </w:r>
      <w:r w:rsidRPr="00491517">
        <w:rPr>
          <w:rFonts w:ascii="Cambria" w:hAnsi="Cambria" w:cs="Calibri Light"/>
          <w:color w:val="000000" w:themeColor="text1"/>
          <w:sz w:val="20"/>
          <w:szCs w:val="20"/>
          <w:lang w:val="es-CO"/>
        </w:rPr>
        <w:t>. Al respecto, la parte peticionaria indicó que, en su momento, esto fue entendido por el Estado, razón por la cual además se estableció una</w:t>
      </w:r>
      <w:r w:rsidR="000211D9" w:rsidRPr="00491517">
        <w:rPr>
          <w:rFonts w:ascii="Cambria" w:hAnsi="Cambria" w:cs="Calibri Light"/>
          <w:color w:val="000000" w:themeColor="text1"/>
          <w:sz w:val="20"/>
          <w:szCs w:val="20"/>
          <w:lang w:val="es-CO"/>
        </w:rPr>
        <w:t xml:space="preserve"> </w:t>
      </w:r>
      <w:r w:rsidRPr="00491517">
        <w:rPr>
          <w:rFonts w:ascii="Cambria" w:hAnsi="Cambria" w:cs="Calibri Light"/>
          <w:color w:val="000000" w:themeColor="text1"/>
          <w:sz w:val="20"/>
          <w:szCs w:val="20"/>
          <w:lang w:val="es-CO"/>
        </w:rPr>
        <w:t>M</w:t>
      </w:r>
      <w:r w:rsidR="000211D9" w:rsidRPr="00491517">
        <w:rPr>
          <w:rFonts w:ascii="Cambria" w:hAnsi="Cambria" w:cs="Calibri Light"/>
          <w:color w:val="000000" w:themeColor="text1"/>
          <w:sz w:val="20"/>
          <w:szCs w:val="20"/>
          <w:lang w:val="es-CO"/>
        </w:rPr>
        <w:t xml:space="preserve">esa de </w:t>
      </w:r>
      <w:r w:rsidRPr="00491517">
        <w:rPr>
          <w:rFonts w:ascii="Cambria" w:hAnsi="Cambria" w:cs="Calibri Light"/>
          <w:color w:val="000000" w:themeColor="text1"/>
          <w:sz w:val="20"/>
          <w:szCs w:val="20"/>
          <w:lang w:val="es-CO"/>
        </w:rPr>
        <w:t>T</w:t>
      </w:r>
      <w:r w:rsidR="000211D9" w:rsidRPr="00491517">
        <w:rPr>
          <w:rFonts w:ascii="Cambria" w:hAnsi="Cambria" w:cs="Calibri Light"/>
          <w:color w:val="000000" w:themeColor="text1"/>
          <w:sz w:val="20"/>
          <w:szCs w:val="20"/>
          <w:lang w:val="es-CO"/>
        </w:rPr>
        <w:t xml:space="preserve">rabajo sobre reparaciones económicas. </w:t>
      </w:r>
      <w:r w:rsidRPr="00491517">
        <w:rPr>
          <w:rFonts w:ascii="Cambria" w:hAnsi="Cambria" w:cs="Calibri Light"/>
          <w:color w:val="000000" w:themeColor="text1"/>
          <w:sz w:val="20"/>
          <w:szCs w:val="20"/>
          <w:lang w:val="es-CO"/>
        </w:rPr>
        <w:t>De esta manera, la parte peticionaria señaló que, en su criterio, es importante que se reactive la Mesa de Trabajo que en su momento había sido instaurada por el Estado con miras a garantizar las reparaciones de carácter económico.</w:t>
      </w:r>
    </w:p>
    <w:p w14:paraId="2BB2297F" w14:textId="77777777" w:rsidR="00731CC2" w:rsidRPr="00491517" w:rsidRDefault="00731CC2" w:rsidP="00731CC2">
      <w:pPr>
        <w:pStyle w:val="ListParagraph"/>
        <w:spacing w:after="0" w:line="240" w:lineRule="auto"/>
        <w:ind w:left="360"/>
        <w:jc w:val="both"/>
        <w:rPr>
          <w:rFonts w:ascii="Cambria" w:hAnsi="Cambria"/>
          <w:color w:val="000000" w:themeColor="text1"/>
          <w:sz w:val="20"/>
          <w:szCs w:val="20"/>
          <w:lang w:val="es-CO"/>
        </w:rPr>
      </w:pPr>
    </w:p>
    <w:p w14:paraId="270C41AC" w14:textId="77777777" w:rsidR="00FE7E6C" w:rsidRPr="00491517" w:rsidRDefault="00FD5B10"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s="Calibri Light"/>
          <w:b/>
          <w:bCs/>
          <w:color w:val="000000" w:themeColor="text1"/>
          <w:sz w:val="20"/>
          <w:szCs w:val="20"/>
          <w:lang w:val="es-CO"/>
        </w:rPr>
        <w:t>Consideraciones de la CIDH</w:t>
      </w:r>
      <w:r w:rsidR="00247DA7" w:rsidRPr="00491517">
        <w:rPr>
          <w:rFonts w:ascii="Cambria" w:hAnsi="Cambria" w:cs="Calibri Light"/>
          <w:b/>
          <w:bCs/>
          <w:color w:val="000000" w:themeColor="text1"/>
          <w:sz w:val="20"/>
          <w:szCs w:val="20"/>
          <w:lang w:val="es-CO"/>
        </w:rPr>
        <w:t>.</w:t>
      </w:r>
      <w:r w:rsidRPr="00491517">
        <w:rPr>
          <w:rFonts w:ascii="Cambria" w:hAnsi="Cambria" w:cs="Calibri Light"/>
          <w:b/>
          <w:bCs/>
          <w:color w:val="000000" w:themeColor="text1"/>
          <w:sz w:val="20"/>
          <w:szCs w:val="20"/>
          <w:lang w:val="es-CO"/>
        </w:rPr>
        <w:t xml:space="preserve"> </w:t>
      </w:r>
      <w:r w:rsidR="002825A7" w:rsidRPr="00491517">
        <w:rPr>
          <w:rFonts w:ascii="Cambria" w:hAnsi="Cambria" w:cs="Calibri Light"/>
          <w:color w:val="000000" w:themeColor="text1"/>
          <w:sz w:val="20"/>
          <w:szCs w:val="20"/>
          <w:lang w:val="es-CO"/>
        </w:rPr>
        <w:t>A partir de la información proporcionada por ambas partes, la CIDH observa que no existen elementos suficientes para determinar con certeza si fue reconocida alguna medida de cumplimiento relativ</w:t>
      </w:r>
      <w:r w:rsidR="00FE7E6C" w:rsidRPr="00491517">
        <w:rPr>
          <w:rFonts w:ascii="Cambria" w:hAnsi="Cambria" w:cs="Calibri Light"/>
          <w:color w:val="000000" w:themeColor="text1"/>
          <w:sz w:val="20"/>
          <w:szCs w:val="20"/>
          <w:lang w:val="es-CO"/>
        </w:rPr>
        <w:t>a</w:t>
      </w:r>
      <w:r w:rsidR="002825A7" w:rsidRPr="00491517">
        <w:rPr>
          <w:rFonts w:ascii="Cambria" w:hAnsi="Cambria" w:cs="Calibri Light"/>
          <w:color w:val="000000" w:themeColor="text1"/>
          <w:sz w:val="20"/>
          <w:szCs w:val="20"/>
          <w:lang w:val="es-CO"/>
        </w:rPr>
        <w:t xml:space="preserve"> a este eje temático. Sin embargo, l</w:t>
      </w:r>
      <w:r w:rsidR="005E143C" w:rsidRPr="00491517">
        <w:rPr>
          <w:rFonts w:ascii="Cambria" w:hAnsi="Cambria" w:cs="Calibri Light"/>
          <w:color w:val="000000" w:themeColor="text1"/>
          <w:sz w:val="20"/>
          <w:szCs w:val="20"/>
          <w:lang w:val="es-CO"/>
        </w:rPr>
        <w:t xml:space="preserve">a Comisión identifica que el Estado </w:t>
      </w:r>
      <w:r w:rsidR="00FE7E6C" w:rsidRPr="00491517">
        <w:rPr>
          <w:rFonts w:ascii="Cambria" w:hAnsi="Cambria" w:cs="Calibri Light"/>
          <w:color w:val="000000" w:themeColor="text1"/>
          <w:sz w:val="20"/>
          <w:szCs w:val="20"/>
          <w:lang w:val="es-CO"/>
        </w:rPr>
        <w:t>reconoció</w:t>
      </w:r>
      <w:r w:rsidR="005E143C" w:rsidRPr="00491517">
        <w:rPr>
          <w:rFonts w:ascii="Cambria" w:hAnsi="Cambria" w:cs="Calibri Light"/>
          <w:color w:val="000000" w:themeColor="text1"/>
          <w:sz w:val="20"/>
          <w:szCs w:val="20"/>
          <w:lang w:val="es-CO"/>
        </w:rPr>
        <w:t xml:space="preserve"> una reparación con </w:t>
      </w:r>
      <w:r w:rsidR="005E143C" w:rsidRPr="00491517">
        <w:rPr>
          <w:rFonts w:ascii="Cambria" w:hAnsi="Cambria"/>
          <w:color w:val="000000" w:themeColor="text1"/>
          <w:sz w:val="20"/>
          <w:szCs w:val="20"/>
          <w:lang w:val="es-CO"/>
        </w:rPr>
        <w:t>un monto de S/ 10,000.00 (Diez Mil 00/100 Soles) a 960 víctimas en el marco del Comunicado de Prensa Conjunto de las cuales 900 reclamaron el pago.</w:t>
      </w:r>
      <w:r w:rsidR="002825A7" w:rsidRPr="00491517">
        <w:rPr>
          <w:rFonts w:ascii="Cambria" w:hAnsi="Cambria"/>
          <w:color w:val="000000" w:themeColor="text1"/>
          <w:sz w:val="20"/>
          <w:szCs w:val="20"/>
          <w:lang w:val="es-CO"/>
        </w:rPr>
        <w:t xml:space="preserve"> Con miras a valorar el carácter </w:t>
      </w:r>
      <w:r w:rsidR="00C64585" w:rsidRPr="00491517">
        <w:rPr>
          <w:rFonts w:ascii="Cambria" w:hAnsi="Cambria"/>
          <w:color w:val="000000" w:themeColor="text1"/>
          <w:sz w:val="20"/>
          <w:szCs w:val="20"/>
          <w:lang w:val="es-CO"/>
        </w:rPr>
        <w:t xml:space="preserve">reparativo </w:t>
      </w:r>
      <w:r w:rsidR="002825A7" w:rsidRPr="00491517">
        <w:rPr>
          <w:rFonts w:ascii="Cambria" w:hAnsi="Cambria"/>
          <w:color w:val="000000" w:themeColor="text1"/>
          <w:sz w:val="20"/>
          <w:szCs w:val="20"/>
          <w:lang w:val="es-CO"/>
        </w:rPr>
        <w:t>de este pago</w:t>
      </w:r>
      <w:r w:rsidR="00C64585" w:rsidRPr="00491517">
        <w:rPr>
          <w:rFonts w:ascii="Cambria" w:hAnsi="Cambria"/>
          <w:color w:val="000000" w:themeColor="text1"/>
          <w:sz w:val="20"/>
          <w:szCs w:val="20"/>
          <w:lang w:val="es-CO"/>
        </w:rPr>
        <w:t xml:space="preserve"> y e</w:t>
      </w:r>
      <w:r w:rsidR="005E143C" w:rsidRPr="00491517">
        <w:rPr>
          <w:rFonts w:ascii="Cambria" w:hAnsi="Cambria"/>
          <w:color w:val="000000" w:themeColor="text1"/>
          <w:sz w:val="20"/>
          <w:szCs w:val="20"/>
          <w:lang w:val="es-CO"/>
        </w:rPr>
        <w:t xml:space="preserve">n seguimiento </w:t>
      </w:r>
      <w:r w:rsidR="00FE7E6C" w:rsidRPr="00491517">
        <w:rPr>
          <w:rFonts w:ascii="Cambria" w:hAnsi="Cambria"/>
          <w:color w:val="000000" w:themeColor="text1"/>
          <w:sz w:val="20"/>
          <w:szCs w:val="20"/>
          <w:lang w:val="es-CO"/>
        </w:rPr>
        <w:t>a</w:t>
      </w:r>
      <w:r w:rsidR="005E143C" w:rsidRPr="00491517">
        <w:rPr>
          <w:rFonts w:ascii="Cambria" w:hAnsi="Cambria"/>
          <w:color w:val="000000" w:themeColor="text1"/>
          <w:sz w:val="20"/>
          <w:szCs w:val="20"/>
          <w:lang w:val="es-CO"/>
        </w:rPr>
        <w:t xml:space="preserve"> este caso, la CIDH considera indispensable </w:t>
      </w:r>
      <w:r w:rsidR="00C64585" w:rsidRPr="00491517">
        <w:rPr>
          <w:rFonts w:ascii="Cambria" w:hAnsi="Cambria"/>
          <w:color w:val="000000" w:themeColor="text1"/>
          <w:sz w:val="20"/>
          <w:szCs w:val="20"/>
          <w:lang w:val="es-CO"/>
        </w:rPr>
        <w:t>considerar</w:t>
      </w:r>
      <w:r w:rsidR="005E143C" w:rsidRPr="00491517">
        <w:rPr>
          <w:rFonts w:ascii="Cambria" w:hAnsi="Cambria"/>
          <w:color w:val="000000" w:themeColor="text1"/>
          <w:sz w:val="20"/>
          <w:szCs w:val="20"/>
          <w:lang w:val="es-CO"/>
        </w:rPr>
        <w:t xml:space="preserve"> qué personas recibieron esta compensación</w:t>
      </w:r>
      <w:r w:rsidR="00C64585" w:rsidRPr="00491517">
        <w:rPr>
          <w:rFonts w:ascii="Cambria" w:hAnsi="Cambria"/>
          <w:color w:val="000000" w:themeColor="text1"/>
          <w:sz w:val="20"/>
          <w:szCs w:val="20"/>
          <w:lang w:val="es-CO"/>
        </w:rPr>
        <w:t>, respecto de qué casos</w:t>
      </w:r>
      <w:r w:rsidR="005E143C" w:rsidRPr="00491517">
        <w:rPr>
          <w:rFonts w:ascii="Cambria" w:hAnsi="Cambria"/>
          <w:color w:val="000000" w:themeColor="text1"/>
          <w:sz w:val="20"/>
          <w:szCs w:val="20"/>
          <w:lang w:val="es-CO"/>
        </w:rPr>
        <w:t xml:space="preserve"> y</w:t>
      </w:r>
      <w:r w:rsidR="00C64585" w:rsidRPr="00491517">
        <w:rPr>
          <w:rFonts w:ascii="Cambria" w:hAnsi="Cambria"/>
          <w:color w:val="000000" w:themeColor="text1"/>
          <w:sz w:val="20"/>
          <w:szCs w:val="20"/>
          <w:lang w:val="es-CO"/>
        </w:rPr>
        <w:t>, además,</w:t>
      </w:r>
      <w:r w:rsidR="005E143C" w:rsidRPr="00491517">
        <w:rPr>
          <w:rFonts w:ascii="Cambria" w:hAnsi="Cambria"/>
          <w:color w:val="000000" w:themeColor="text1"/>
          <w:sz w:val="20"/>
          <w:szCs w:val="20"/>
          <w:lang w:val="es-CO"/>
        </w:rPr>
        <w:t xml:space="preserve"> conocer </w:t>
      </w:r>
      <w:r w:rsidR="002825A7" w:rsidRPr="00491517">
        <w:rPr>
          <w:rFonts w:ascii="Cambria" w:hAnsi="Cambria"/>
          <w:color w:val="000000" w:themeColor="text1"/>
          <w:sz w:val="20"/>
          <w:szCs w:val="20"/>
          <w:lang w:val="es-CO"/>
        </w:rPr>
        <w:t xml:space="preserve">cuáles fueron los criterios establecidos por el Estado en cuanto a si los montos reconocidos constituyeron compensaciones adecuadas respecto a las violaciones de los casos del Comunicado de Prensa Conjunto, conforme a los estándares internacionales de reparación integral. </w:t>
      </w:r>
      <w:r w:rsidR="00FE7E6C" w:rsidRPr="00491517">
        <w:rPr>
          <w:rFonts w:ascii="Cambria" w:hAnsi="Cambria"/>
          <w:color w:val="000000" w:themeColor="text1"/>
          <w:sz w:val="20"/>
          <w:szCs w:val="20"/>
          <w:lang w:val="es-CO"/>
        </w:rPr>
        <w:t xml:space="preserve">En este sentido, invita al Estado a remitir esta información. </w:t>
      </w:r>
    </w:p>
    <w:p w14:paraId="1C403BC1" w14:textId="77777777" w:rsidR="00FE7E6C" w:rsidRPr="00491517" w:rsidRDefault="00FE7E6C" w:rsidP="00FE7E6C">
      <w:pPr>
        <w:pStyle w:val="ListParagraph"/>
        <w:rPr>
          <w:rFonts w:ascii="Cambria" w:hAnsi="Cambria"/>
          <w:color w:val="000000" w:themeColor="text1"/>
          <w:sz w:val="20"/>
          <w:szCs w:val="20"/>
          <w:lang w:val="es-CO"/>
        </w:rPr>
      </w:pPr>
    </w:p>
    <w:p w14:paraId="76AF7B6F" w14:textId="1873EDF4" w:rsidR="005E143C" w:rsidRPr="00491517" w:rsidRDefault="002825A7"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 xml:space="preserve">Asimismo, la CIDH nota que, según lo afirmado por la parte peticionaria, anteriormente fue constituida una Mesa de Trabajo con el Estado con miras a tratar el reconocimiento de este eje temático. En este sentido, la Comisión invita al Estado </w:t>
      </w:r>
      <w:r w:rsidR="00FE7E6C" w:rsidRPr="00491517">
        <w:rPr>
          <w:rFonts w:ascii="Cambria" w:hAnsi="Cambria"/>
          <w:color w:val="000000" w:themeColor="text1"/>
          <w:sz w:val="20"/>
          <w:szCs w:val="20"/>
          <w:lang w:val="es-CO"/>
        </w:rPr>
        <w:t xml:space="preserve">a remitir </w:t>
      </w:r>
      <w:r w:rsidRPr="00491517">
        <w:rPr>
          <w:rFonts w:ascii="Cambria" w:hAnsi="Cambria"/>
          <w:color w:val="000000" w:themeColor="text1"/>
          <w:sz w:val="20"/>
          <w:szCs w:val="20"/>
          <w:lang w:val="es-CO"/>
        </w:rPr>
        <w:t>las conclusiones del trabajo que realizó esta Mesa, así como otras características que describan cuál fue su funcionamiento y propósito.</w:t>
      </w:r>
    </w:p>
    <w:p w14:paraId="1A94FA7B" w14:textId="77777777" w:rsidR="00365D95" w:rsidRPr="00491517" w:rsidRDefault="00365D95" w:rsidP="6C4C836E">
      <w:pPr>
        <w:spacing w:after="0" w:line="240" w:lineRule="auto"/>
        <w:jc w:val="both"/>
        <w:rPr>
          <w:rFonts w:ascii="Cambria" w:hAnsi="Cambria" w:cs="Calibri Light"/>
          <w:b/>
          <w:bCs/>
          <w:color w:val="000000" w:themeColor="text1"/>
          <w:sz w:val="20"/>
          <w:szCs w:val="20"/>
          <w:lang w:val="es-EC"/>
        </w:rPr>
      </w:pPr>
    </w:p>
    <w:p w14:paraId="373041DF" w14:textId="25A63AE2" w:rsidR="005D7255" w:rsidRPr="00491517" w:rsidRDefault="00365D95" w:rsidP="6C4C836E">
      <w:pPr>
        <w:pStyle w:val="ListParagraph"/>
        <w:numPr>
          <w:ilvl w:val="0"/>
          <w:numId w:val="31"/>
        </w:numPr>
        <w:spacing w:after="0" w:line="240" w:lineRule="auto"/>
        <w:ind w:left="1440"/>
        <w:jc w:val="both"/>
        <w:rPr>
          <w:rFonts w:ascii="Cambria" w:hAnsi="Cambria"/>
          <w:b/>
          <w:bCs/>
          <w:color w:val="000000" w:themeColor="text1"/>
          <w:sz w:val="20"/>
          <w:szCs w:val="20"/>
          <w:lang w:val="es-EC"/>
        </w:rPr>
      </w:pPr>
      <w:r w:rsidRPr="6C4C836E">
        <w:rPr>
          <w:rFonts w:ascii="Cambria" w:eastAsia="Calibri" w:hAnsi="Cambria" w:cs="Times New Roman"/>
          <w:b/>
          <w:bCs/>
          <w:color w:val="000000" w:themeColor="text1"/>
          <w:sz w:val="20"/>
          <w:szCs w:val="20"/>
          <w:lang w:val="es-ES"/>
        </w:rPr>
        <w:t>Sexto</w:t>
      </w:r>
      <w:r w:rsidR="005A08B9" w:rsidRPr="6C4C836E">
        <w:rPr>
          <w:rFonts w:ascii="Cambria" w:eastAsia="Calibri" w:hAnsi="Cambria" w:cs="Times New Roman"/>
          <w:b/>
          <w:bCs/>
          <w:color w:val="000000" w:themeColor="text1"/>
          <w:sz w:val="20"/>
          <w:szCs w:val="20"/>
          <w:lang w:val="es-ES"/>
        </w:rPr>
        <w:t xml:space="preserve"> eje temático. </w:t>
      </w:r>
      <w:r w:rsidR="005D7255" w:rsidRPr="6C4C836E">
        <w:rPr>
          <w:rFonts w:ascii="Cambria" w:hAnsi="Cambria"/>
          <w:b/>
          <w:bCs/>
          <w:color w:val="000000" w:themeColor="text1"/>
          <w:sz w:val="20"/>
          <w:szCs w:val="20"/>
          <w:lang w:val="es-EC"/>
        </w:rPr>
        <w:t>Acceso a educación a favor de las víctimas</w:t>
      </w:r>
      <w:r w:rsidR="005A08B9" w:rsidRPr="6C4C836E">
        <w:rPr>
          <w:rFonts w:ascii="Cambria" w:hAnsi="Cambria"/>
          <w:b/>
          <w:bCs/>
          <w:color w:val="000000" w:themeColor="text1"/>
          <w:sz w:val="20"/>
          <w:szCs w:val="20"/>
          <w:lang w:val="es-EC"/>
        </w:rPr>
        <w:t>.</w:t>
      </w:r>
    </w:p>
    <w:p w14:paraId="46191575" w14:textId="77777777" w:rsidR="005D7255" w:rsidRPr="00491517" w:rsidRDefault="005D7255" w:rsidP="00B537A7">
      <w:pPr>
        <w:pStyle w:val="ListParagraph"/>
        <w:jc w:val="both"/>
        <w:rPr>
          <w:rFonts w:ascii="Cambria" w:hAnsi="Cambria"/>
          <w:b/>
          <w:bCs/>
          <w:color w:val="000000" w:themeColor="text1"/>
          <w:sz w:val="20"/>
          <w:szCs w:val="20"/>
          <w:lang w:val="es-EC"/>
        </w:rPr>
      </w:pPr>
    </w:p>
    <w:p w14:paraId="108BD74C" w14:textId="6E1E6A1B" w:rsidR="002A4EB3" w:rsidRPr="00491517" w:rsidRDefault="005219DD"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b/>
          <w:bCs/>
          <w:color w:val="000000" w:themeColor="text1"/>
          <w:sz w:val="20"/>
          <w:szCs w:val="20"/>
          <w:lang w:val="es-CO"/>
        </w:rPr>
        <w:t>Información remitida por el Estado</w:t>
      </w:r>
      <w:r w:rsidR="00B611DA" w:rsidRPr="00491517">
        <w:rPr>
          <w:rFonts w:ascii="Cambria" w:hAnsi="Cambria"/>
          <w:b/>
          <w:bCs/>
          <w:color w:val="000000" w:themeColor="text1"/>
          <w:sz w:val="20"/>
          <w:szCs w:val="20"/>
          <w:lang w:val="es-CO"/>
        </w:rPr>
        <w:t xml:space="preserve"> en 2021</w:t>
      </w:r>
      <w:r w:rsidRPr="00491517">
        <w:rPr>
          <w:rFonts w:ascii="Cambria" w:hAnsi="Cambria"/>
          <w:b/>
          <w:bCs/>
          <w:color w:val="000000" w:themeColor="text1"/>
          <w:sz w:val="20"/>
          <w:szCs w:val="20"/>
          <w:lang w:val="es-CO"/>
        </w:rPr>
        <w:t xml:space="preserve">. </w:t>
      </w:r>
      <w:r w:rsidR="005C6E69" w:rsidRPr="00491517">
        <w:rPr>
          <w:rFonts w:ascii="Cambria" w:hAnsi="Cambria"/>
          <w:color w:val="000000" w:themeColor="text1"/>
          <w:sz w:val="20"/>
          <w:szCs w:val="20"/>
          <w:lang w:val="es-CO"/>
        </w:rPr>
        <w:t>R</w:t>
      </w:r>
      <w:r w:rsidR="008958EB" w:rsidRPr="00491517">
        <w:rPr>
          <w:rFonts w:ascii="Cambria" w:hAnsi="Cambria"/>
          <w:color w:val="000000" w:themeColor="text1"/>
          <w:sz w:val="20"/>
          <w:szCs w:val="20"/>
          <w:lang w:val="es-CO"/>
        </w:rPr>
        <w:t xml:space="preserve">especto de los beneficiarios del DS 005-2002-JUS, </w:t>
      </w:r>
      <w:r w:rsidR="005C6E69" w:rsidRPr="00491517">
        <w:rPr>
          <w:rFonts w:ascii="Cambria" w:hAnsi="Cambria"/>
          <w:color w:val="000000" w:themeColor="text1"/>
          <w:sz w:val="20"/>
          <w:szCs w:val="20"/>
          <w:lang w:val="es-CO"/>
        </w:rPr>
        <w:t xml:space="preserve">la CMAN informó que </w:t>
      </w:r>
      <w:r w:rsidR="008958EB" w:rsidRPr="00491517">
        <w:rPr>
          <w:rFonts w:ascii="Cambria" w:hAnsi="Cambria"/>
          <w:color w:val="000000" w:themeColor="text1"/>
          <w:sz w:val="20"/>
          <w:szCs w:val="20"/>
          <w:lang w:val="es-CO"/>
        </w:rPr>
        <w:t xml:space="preserve">50 personas han recibido becas especiales </w:t>
      </w:r>
      <w:proofErr w:type="spellStart"/>
      <w:r w:rsidR="008958EB" w:rsidRPr="00491517">
        <w:rPr>
          <w:rFonts w:ascii="Cambria" w:hAnsi="Cambria"/>
          <w:color w:val="000000" w:themeColor="text1"/>
          <w:sz w:val="20"/>
          <w:szCs w:val="20"/>
          <w:lang w:val="es-CO"/>
        </w:rPr>
        <w:t>Repared</w:t>
      </w:r>
      <w:proofErr w:type="spellEnd"/>
      <w:r w:rsidR="008958EB" w:rsidRPr="00491517">
        <w:rPr>
          <w:rFonts w:ascii="Cambria" w:hAnsi="Cambria"/>
          <w:color w:val="000000" w:themeColor="text1"/>
          <w:sz w:val="20"/>
          <w:szCs w:val="20"/>
          <w:lang w:val="es-CO"/>
        </w:rPr>
        <w:t xml:space="preserve"> del Programa Nacional de Becas y Crédito Educativo (PRONABEC) con 20 becas para estudios de pregrado, 15 para estudios técnico-productivos (15) y 15 reservas de vacantes en universidades e institutos públicos. Igualmente, indicó que se realizaron 133 transferencias del derecho a la educación a favor de los hijos/as o nietos/as de las víctimas. </w:t>
      </w:r>
    </w:p>
    <w:p w14:paraId="2C50ECB1" w14:textId="77777777" w:rsidR="002A4EB3" w:rsidRPr="00491517" w:rsidRDefault="002A4EB3" w:rsidP="002A4EB3">
      <w:pPr>
        <w:pStyle w:val="ListParagraph"/>
        <w:spacing w:after="0" w:line="240" w:lineRule="auto"/>
        <w:ind w:left="357"/>
        <w:jc w:val="both"/>
        <w:rPr>
          <w:color w:val="000000" w:themeColor="text1"/>
          <w:lang w:val="es-CO"/>
        </w:rPr>
      </w:pPr>
    </w:p>
    <w:p w14:paraId="46036A0F" w14:textId="0799A8D4" w:rsidR="006B776D" w:rsidRPr="00491517" w:rsidRDefault="002A4EB3"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color w:val="000000" w:themeColor="text1"/>
          <w:sz w:val="20"/>
          <w:szCs w:val="20"/>
          <w:lang w:val="es-CO"/>
        </w:rPr>
        <w:t>Asimismo, e</w:t>
      </w:r>
      <w:r w:rsidR="000E35C1" w:rsidRPr="00491517">
        <w:rPr>
          <w:rFonts w:ascii="Cambria" w:hAnsi="Cambria"/>
          <w:color w:val="000000" w:themeColor="text1"/>
          <w:sz w:val="20"/>
          <w:szCs w:val="20"/>
          <w:lang w:val="es-CO"/>
        </w:rPr>
        <w:t>l Estado informó que la Secretaría de la CMAN elaboró el “Informe sobre avances en la implementación del Programa de Reparaciones en Educación, para la atención oportuna a víctimas individuales y colectivas del periodo de violencia 1980-2000”</w:t>
      </w:r>
      <w:r w:rsidR="00645E03" w:rsidRPr="00491517">
        <w:rPr>
          <w:rStyle w:val="FootnoteReference"/>
          <w:rFonts w:ascii="Cambria" w:hAnsi="Cambria"/>
          <w:color w:val="000000" w:themeColor="text1"/>
          <w:sz w:val="20"/>
          <w:szCs w:val="20"/>
          <w:lang w:val="es-CO"/>
        </w:rPr>
        <w:footnoteReference w:id="13"/>
      </w:r>
      <w:r w:rsidR="00645E03" w:rsidRPr="00491517">
        <w:rPr>
          <w:rFonts w:ascii="Cambria" w:hAnsi="Cambria"/>
          <w:color w:val="000000" w:themeColor="text1"/>
          <w:sz w:val="20"/>
          <w:szCs w:val="20"/>
          <w:lang w:val="es-CO"/>
        </w:rPr>
        <w:t xml:space="preserve">. </w:t>
      </w:r>
      <w:r w:rsidR="00054682" w:rsidRPr="00491517">
        <w:rPr>
          <w:rFonts w:ascii="Cambria" w:hAnsi="Cambria"/>
          <w:color w:val="000000" w:themeColor="text1"/>
          <w:sz w:val="20"/>
          <w:szCs w:val="20"/>
          <w:lang w:val="es-CO"/>
        </w:rPr>
        <w:t>Según el Estado, este</w:t>
      </w:r>
      <w:r w:rsidR="000E35C1" w:rsidRPr="00491517">
        <w:rPr>
          <w:rFonts w:ascii="Cambria" w:hAnsi="Cambria"/>
          <w:color w:val="000000" w:themeColor="text1"/>
          <w:sz w:val="20"/>
          <w:szCs w:val="20"/>
          <w:lang w:val="es-CO"/>
        </w:rPr>
        <w:t xml:space="preserve"> documento establece recomendaciones para mejorar las reparaciones en educación y remarca la necesidad de incrementar las vacantes y mejorar su acceso.</w:t>
      </w:r>
      <w:r w:rsidR="006B776D" w:rsidRPr="00491517">
        <w:rPr>
          <w:rFonts w:ascii="Cambria" w:hAnsi="Cambria"/>
          <w:color w:val="000000" w:themeColor="text1"/>
          <w:sz w:val="20"/>
          <w:szCs w:val="20"/>
          <w:lang w:val="es-CO"/>
        </w:rPr>
        <w:t xml:space="preserve"> </w:t>
      </w:r>
      <w:r w:rsidR="00B622CA" w:rsidRPr="00491517">
        <w:rPr>
          <w:rFonts w:ascii="Cambria" w:hAnsi="Cambria"/>
          <w:color w:val="000000" w:themeColor="text1"/>
          <w:sz w:val="20"/>
          <w:szCs w:val="20"/>
          <w:lang w:val="es-CO"/>
        </w:rPr>
        <w:t xml:space="preserve">El Estado indicó que </w:t>
      </w:r>
      <w:r w:rsidR="006B776D" w:rsidRPr="00491517">
        <w:rPr>
          <w:rFonts w:ascii="Cambria" w:hAnsi="Cambria"/>
          <w:color w:val="000000" w:themeColor="text1"/>
          <w:sz w:val="20"/>
          <w:szCs w:val="20"/>
          <w:lang w:val="es-CO"/>
        </w:rPr>
        <w:t>prevé</w:t>
      </w:r>
      <w:r w:rsidR="00B622CA" w:rsidRPr="00491517">
        <w:rPr>
          <w:rFonts w:ascii="Cambria" w:hAnsi="Cambria"/>
          <w:color w:val="000000" w:themeColor="text1"/>
          <w:sz w:val="20"/>
          <w:szCs w:val="20"/>
          <w:lang w:val="es-CO"/>
        </w:rPr>
        <w:t xml:space="preserve"> establecer un grupo de trabajo </w:t>
      </w:r>
      <w:r w:rsidR="006B776D" w:rsidRPr="00491517">
        <w:rPr>
          <w:rFonts w:ascii="Cambria" w:hAnsi="Cambria"/>
          <w:color w:val="000000" w:themeColor="text1"/>
          <w:sz w:val="20"/>
          <w:szCs w:val="20"/>
          <w:lang w:val="es-CO"/>
        </w:rPr>
        <w:t>para a</w:t>
      </w:r>
      <w:r w:rsidR="00B622CA" w:rsidRPr="00491517">
        <w:rPr>
          <w:rFonts w:ascii="Cambria" w:hAnsi="Cambria"/>
          <w:color w:val="000000" w:themeColor="text1"/>
          <w:sz w:val="20"/>
          <w:szCs w:val="20"/>
          <w:lang w:val="es-CO"/>
        </w:rPr>
        <w:t>mplia</w:t>
      </w:r>
      <w:r w:rsidR="006B776D" w:rsidRPr="00491517">
        <w:rPr>
          <w:rFonts w:ascii="Cambria" w:hAnsi="Cambria"/>
          <w:color w:val="000000" w:themeColor="text1"/>
          <w:sz w:val="20"/>
          <w:szCs w:val="20"/>
          <w:lang w:val="es-CO"/>
        </w:rPr>
        <w:t xml:space="preserve">r </w:t>
      </w:r>
      <w:r w:rsidR="00B622CA" w:rsidRPr="00491517">
        <w:rPr>
          <w:rFonts w:ascii="Cambria" w:hAnsi="Cambria"/>
          <w:color w:val="000000" w:themeColor="text1"/>
          <w:sz w:val="20"/>
          <w:szCs w:val="20"/>
          <w:lang w:val="es-CO"/>
        </w:rPr>
        <w:t>el Plan R</w:t>
      </w:r>
      <w:r w:rsidR="006B776D" w:rsidRPr="00491517">
        <w:rPr>
          <w:rFonts w:ascii="Cambria" w:hAnsi="Cambria"/>
          <w:color w:val="000000" w:themeColor="text1"/>
          <w:sz w:val="20"/>
          <w:szCs w:val="20"/>
          <w:lang w:val="es-CO"/>
        </w:rPr>
        <w:t>EPAEDUCA</w:t>
      </w:r>
      <w:r w:rsidR="00E46667" w:rsidRPr="00491517">
        <w:rPr>
          <w:rFonts w:ascii="Cambria" w:hAnsi="Cambria"/>
          <w:color w:val="000000" w:themeColor="text1"/>
          <w:sz w:val="20"/>
          <w:szCs w:val="20"/>
          <w:lang w:val="es-CO"/>
        </w:rPr>
        <w:t xml:space="preserve"> y que la CMAN se está coordinando con el Ministerio de Educación para mejorar </w:t>
      </w:r>
      <w:r w:rsidR="00054682" w:rsidRPr="00491517">
        <w:rPr>
          <w:rFonts w:ascii="Cambria" w:hAnsi="Cambria"/>
          <w:color w:val="000000" w:themeColor="text1"/>
          <w:sz w:val="20"/>
          <w:szCs w:val="20"/>
          <w:lang w:val="es-CO"/>
        </w:rPr>
        <w:t>la atención</w:t>
      </w:r>
      <w:r w:rsidR="00E46667" w:rsidRPr="00491517">
        <w:rPr>
          <w:rFonts w:ascii="Cambria" w:hAnsi="Cambria"/>
          <w:color w:val="000000" w:themeColor="text1"/>
          <w:sz w:val="20"/>
          <w:szCs w:val="20"/>
          <w:lang w:val="es-CO"/>
        </w:rPr>
        <w:t xml:space="preserve"> en educación a través de</w:t>
      </w:r>
      <w:r w:rsidR="00054682" w:rsidRPr="00491517">
        <w:rPr>
          <w:rFonts w:ascii="Cambria" w:hAnsi="Cambria"/>
          <w:color w:val="000000" w:themeColor="text1"/>
          <w:sz w:val="20"/>
          <w:szCs w:val="20"/>
          <w:lang w:val="es-CO"/>
        </w:rPr>
        <w:t xml:space="preserve"> este plan</w:t>
      </w:r>
      <w:r w:rsidR="00E46667" w:rsidRPr="00491517">
        <w:rPr>
          <w:rFonts w:ascii="Cambria" w:hAnsi="Cambria"/>
          <w:color w:val="000000" w:themeColor="text1"/>
          <w:sz w:val="20"/>
          <w:szCs w:val="20"/>
          <w:lang w:val="es-CO"/>
        </w:rPr>
        <w:t>.</w:t>
      </w:r>
      <w:r w:rsidR="00B611DA" w:rsidRPr="00491517">
        <w:rPr>
          <w:rFonts w:ascii="Cambria" w:hAnsi="Cambria"/>
          <w:color w:val="000000" w:themeColor="text1"/>
          <w:sz w:val="20"/>
          <w:szCs w:val="20"/>
          <w:lang w:val="es-CO"/>
        </w:rPr>
        <w:t xml:space="preserve"> En este sentido, </w:t>
      </w:r>
      <w:r w:rsidR="000B1987" w:rsidRPr="00491517">
        <w:rPr>
          <w:rFonts w:ascii="Cambria" w:hAnsi="Cambria"/>
          <w:color w:val="000000" w:themeColor="text1"/>
          <w:sz w:val="20"/>
          <w:szCs w:val="20"/>
          <w:lang w:val="es-CO"/>
        </w:rPr>
        <w:t>el Estado indicó que el Ministerio de Educación prevé incorporar a su Plan Operativo Institucional 2022-2024</w:t>
      </w:r>
      <w:r w:rsidR="006B776D" w:rsidRPr="00491517">
        <w:rPr>
          <w:rFonts w:ascii="Cambria" w:hAnsi="Cambria"/>
          <w:color w:val="000000" w:themeColor="text1"/>
          <w:sz w:val="20"/>
          <w:szCs w:val="20"/>
          <w:lang w:val="es-CO"/>
        </w:rPr>
        <w:t xml:space="preserve"> </w:t>
      </w:r>
      <w:r w:rsidR="00C3194D" w:rsidRPr="00491517">
        <w:rPr>
          <w:rFonts w:ascii="Cambria" w:hAnsi="Cambria"/>
          <w:color w:val="000000" w:themeColor="text1"/>
          <w:sz w:val="20"/>
          <w:szCs w:val="20"/>
          <w:lang w:val="es-CO"/>
        </w:rPr>
        <w:t xml:space="preserve">la </w:t>
      </w:r>
      <w:r w:rsidR="006B776D" w:rsidRPr="00491517">
        <w:rPr>
          <w:rFonts w:ascii="Cambria" w:hAnsi="Cambria"/>
          <w:color w:val="000000" w:themeColor="text1"/>
          <w:sz w:val="20"/>
          <w:szCs w:val="20"/>
          <w:lang w:val="es-CO"/>
        </w:rPr>
        <w:t xml:space="preserve">reserva de vacantes en universidades e institutos, </w:t>
      </w:r>
      <w:r w:rsidR="00C3194D" w:rsidRPr="00491517">
        <w:rPr>
          <w:rFonts w:ascii="Cambria" w:hAnsi="Cambria"/>
          <w:color w:val="000000" w:themeColor="text1"/>
          <w:sz w:val="20"/>
          <w:szCs w:val="20"/>
          <w:lang w:val="es-CO"/>
        </w:rPr>
        <w:t xml:space="preserve">el </w:t>
      </w:r>
      <w:r w:rsidR="006B776D" w:rsidRPr="00491517">
        <w:rPr>
          <w:rFonts w:ascii="Cambria" w:hAnsi="Cambria"/>
          <w:color w:val="000000" w:themeColor="text1"/>
          <w:sz w:val="20"/>
          <w:szCs w:val="20"/>
          <w:lang w:val="es-CO"/>
        </w:rPr>
        <w:t xml:space="preserve">otorgamiento de becas para educación superior y técnico productivas, </w:t>
      </w:r>
      <w:r w:rsidR="00C3194D" w:rsidRPr="00491517">
        <w:rPr>
          <w:rFonts w:ascii="Cambria" w:hAnsi="Cambria"/>
          <w:color w:val="000000" w:themeColor="text1"/>
          <w:sz w:val="20"/>
          <w:szCs w:val="20"/>
          <w:lang w:val="es-CO"/>
        </w:rPr>
        <w:t xml:space="preserve">el </w:t>
      </w:r>
      <w:r w:rsidR="006B776D" w:rsidRPr="00491517">
        <w:rPr>
          <w:rFonts w:ascii="Cambria" w:hAnsi="Cambria"/>
          <w:color w:val="000000" w:themeColor="text1"/>
          <w:sz w:val="20"/>
          <w:szCs w:val="20"/>
          <w:lang w:val="es-CO"/>
        </w:rPr>
        <w:t xml:space="preserve">ingreso a educación básica regular </w:t>
      </w:r>
      <w:r w:rsidR="000B1987" w:rsidRPr="00491517">
        <w:rPr>
          <w:rFonts w:ascii="Cambria" w:hAnsi="Cambria"/>
          <w:color w:val="000000" w:themeColor="text1"/>
          <w:sz w:val="20"/>
          <w:szCs w:val="20"/>
          <w:lang w:val="es-CO"/>
        </w:rPr>
        <w:t>con</w:t>
      </w:r>
      <w:r w:rsidR="006B776D" w:rsidRPr="00491517">
        <w:rPr>
          <w:rFonts w:ascii="Cambria" w:hAnsi="Cambria"/>
          <w:color w:val="000000" w:themeColor="text1"/>
          <w:sz w:val="20"/>
          <w:szCs w:val="20"/>
          <w:lang w:val="es-CO"/>
        </w:rPr>
        <w:t xml:space="preserve"> becas en los Colegios de Alto Rendimiento (COAR) y </w:t>
      </w:r>
      <w:r w:rsidR="00C3194D" w:rsidRPr="00491517">
        <w:rPr>
          <w:rFonts w:ascii="Cambria" w:hAnsi="Cambria"/>
          <w:color w:val="000000" w:themeColor="text1"/>
          <w:sz w:val="20"/>
          <w:szCs w:val="20"/>
          <w:lang w:val="es-CO"/>
        </w:rPr>
        <w:t xml:space="preserve">la </w:t>
      </w:r>
      <w:r w:rsidR="006B776D" w:rsidRPr="00491517">
        <w:rPr>
          <w:rFonts w:ascii="Cambria" w:hAnsi="Cambria"/>
          <w:color w:val="000000" w:themeColor="text1"/>
          <w:sz w:val="20"/>
          <w:szCs w:val="20"/>
          <w:lang w:val="es-CO"/>
        </w:rPr>
        <w:t>atención en infraestructura educativa en comunidades afectadas.</w:t>
      </w:r>
    </w:p>
    <w:p w14:paraId="555B9A0F" w14:textId="1C901B6B" w:rsidR="00D74AD3" w:rsidRPr="00491517" w:rsidRDefault="00D74AD3" w:rsidP="00FC4E10">
      <w:pPr>
        <w:spacing w:after="0" w:line="240" w:lineRule="auto"/>
        <w:jc w:val="both"/>
        <w:rPr>
          <w:rFonts w:ascii="Cambria" w:hAnsi="Cambria" w:cs="Calibri Light"/>
          <w:color w:val="000000" w:themeColor="text1"/>
          <w:sz w:val="20"/>
          <w:szCs w:val="20"/>
          <w:lang w:val="es-CO"/>
        </w:rPr>
      </w:pPr>
    </w:p>
    <w:p w14:paraId="7729B23C" w14:textId="17376734" w:rsidR="00FC4E10" w:rsidRPr="00491517" w:rsidRDefault="00F85198"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b/>
          <w:bCs/>
          <w:color w:val="000000" w:themeColor="text1"/>
          <w:sz w:val="20"/>
          <w:szCs w:val="20"/>
          <w:lang w:val="es-CO"/>
        </w:rPr>
        <w:t xml:space="preserve">Información remitida por la parte peticionaria en 2021. </w:t>
      </w:r>
      <w:r w:rsidRPr="00491517">
        <w:rPr>
          <w:rFonts w:ascii="Cambria" w:hAnsi="Cambria" w:cs="Calibri Light"/>
          <w:color w:val="000000" w:themeColor="text1"/>
          <w:sz w:val="20"/>
          <w:szCs w:val="20"/>
          <w:lang w:val="es-CO"/>
        </w:rPr>
        <w:t>L</w:t>
      </w:r>
      <w:r w:rsidR="00D74AD3" w:rsidRPr="00491517">
        <w:rPr>
          <w:rFonts w:ascii="Cambria" w:hAnsi="Cambria" w:cs="Calibri Light"/>
          <w:color w:val="000000" w:themeColor="text1"/>
          <w:sz w:val="20"/>
          <w:szCs w:val="20"/>
          <w:lang w:val="es-CO"/>
        </w:rPr>
        <w:t xml:space="preserve">a parte peticionaria </w:t>
      </w:r>
      <w:r w:rsidR="00264CFF" w:rsidRPr="00491517">
        <w:rPr>
          <w:rFonts w:ascii="Cambria" w:hAnsi="Cambria" w:cs="Calibri Light"/>
          <w:color w:val="000000" w:themeColor="text1"/>
          <w:sz w:val="20"/>
          <w:szCs w:val="20"/>
          <w:lang w:val="es-CO"/>
        </w:rPr>
        <w:t xml:space="preserve">manifestó su preocupación </w:t>
      </w:r>
      <w:proofErr w:type="spellStart"/>
      <w:r w:rsidR="00264CFF" w:rsidRPr="00491517">
        <w:rPr>
          <w:rFonts w:ascii="Cambria" w:hAnsi="Cambria" w:cs="Calibri Light"/>
          <w:color w:val="000000" w:themeColor="text1"/>
          <w:sz w:val="20"/>
          <w:szCs w:val="20"/>
          <w:lang w:val="es-CO"/>
        </w:rPr>
        <w:t>porque</w:t>
      </w:r>
      <w:proofErr w:type="spellEnd"/>
      <w:r w:rsidR="00264CFF" w:rsidRPr="00491517">
        <w:rPr>
          <w:rFonts w:ascii="Cambria" w:hAnsi="Cambria" w:cs="Calibri Light"/>
          <w:color w:val="000000" w:themeColor="text1"/>
          <w:sz w:val="20"/>
          <w:szCs w:val="20"/>
          <w:lang w:val="es-CO"/>
        </w:rPr>
        <w:t xml:space="preserve"> el número de becas generales que el Estado otorga mediante el programa PRONABEC hace imposible que las víctimas de los casos del Comunicado de Prensa </w:t>
      </w:r>
      <w:r w:rsidR="00264CFF" w:rsidRPr="00A36C6E">
        <w:rPr>
          <w:rFonts w:ascii="Cambria" w:hAnsi="Cambria"/>
          <w:color w:val="000000" w:themeColor="text1"/>
          <w:sz w:val="20"/>
          <w:szCs w:val="20"/>
          <w:lang w:val="es-CO"/>
        </w:rPr>
        <w:t>sean</w:t>
      </w:r>
      <w:r w:rsidR="00264CFF" w:rsidRPr="00491517">
        <w:rPr>
          <w:rFonts w:ascii="Cambria" w:hAnsi="Cambria" w:cs="Calibri Light"/>
          <w:color w:val="000000" w:themeColor="text1"/>
          <w:sz w:val="20"/>
          <w:szCs w:val="20"/>
          <w:lang w:val="es-CO"/>
        </w:rPr>
        <w:t xml:space="preserve"> </w:t>
      </w:r>
      <w:proofErr w:type="gramStart"/>
      <w:r w:rsidR="00264CFF" w:rsidRPr="00491517">
        <w:rPr>
          <w:rFonts w:ascii="Cambria" w:hAnsi="Cambria" w:cs="Calibri Light"/>
          <w:color w:val="000000" w:themeColor="text1"/>
          <w:sz w:val="20"/>
          <w:szCs w:val="20"/>
          <w:lang w:val="es-CO"/>
        </w:rPr>
        <w:lastRenderedPageBreak/>
        <w:t xml:space="preserve">elegidas </w:t>
      </w:r>
      <w:r w:rsidR="000F0213" w:rsidRPr="00491517">
        <w:rPr>
          <w:rFonts w:ascii="Cambria" w:hAnsi="Cambria" w:cs="Calibri Light"/>
          <w:color w:val="000000" w:themeColor="text1"/>
          <w:sz w:val="20"/>
          <w:szCs w:val="20"/>
          <w:lang w:val="es-CO"/>
        </w:rPr>
        <w:t>como</w:t>
      </w:r>
      <w:proofErr w:type="gramEnd"/>
      <w:r w:rsidR="000F0213" w:rsidRPr="00491517">
        <w:rPr>
          <w:rFonts w:ascii="Cambria" w:hAnsi="Cambria" w:cs="Calibri Light"/>
          <w:color w:val="000000" w:themeColor="text1"/>
          <w:sz w:val="20"/>
          <w:szCs w:val="20"/>
          <w:lang w:val="es-CO"/>
        </w:rPr>
        <w:t xml:space="preserve"> </w:t>
      </w:r>
      <w:r w:rsidR="00264CFF" w:rsidRPr="00491517">
        <w:rPr>
          <w:rFonts w:ascii="Cambria" w:hAnsi="Cambria" w:cs="Calibri Light"/>
          <w:color w:val="000000" w:themeColor="text1"/>
          <w:sz w:val="20"/>
          <w:szCs w:val="20"/>
          <w:lang w:val="es-CO"/>
        </w:rPr>
        <w:t xml:space="preserve">beneficiarias y porque este acceso está supeditado a requisitos </w:t>
      </w:r>
      <w:r w:rsidR="003E0A4D" w:rsidRPr="00491517">
        <w:rPr>
          <w:rFonts w:ascii="Cambria" w:hAnsi="Cambria" w:cs="Calibri Light"/>
          <w:color w:val="000000" w:themeColor="text1"/>
          <w:sz w:val="20"/>
          <w:szCs w:val="20"/>
          <w:lang w:val="es-CO"/>
        </w:rPr>
        <w:t xml:space="preserve">que dificultan este acceso. </w:t>
      </w:r>
      <w:r w:rsidR="00F1745D" w:rsidRPr="00491517">
        <w:rPr>
          <w:rFonts w:ascii="Cambria" w:hAnsi="Cambria" w:cs="Calibri Light"/>
          <w:color w:val="000000" w:themeColor="text1"/>
          <w:sz w:val="20"/>
          <w:szCs w:val="20"/>
          <w:lang w:val="es-CO"/>
        </w:rPr>
        <w:t xml:space="preserve">Por esta razón, solicitó el diseño de becas en educación superior, de posgrado y </w:t>
      </w:r>
      <w:r w:rsidR="000F0213" w:rsidRPr="00491517">
        <w:rPr>
          <w:rFonts w:ascii="Cambria" w:hAnsi="Cambria" w:cs="Calibri Light"/>
          <w:color w:val="000000" w:themeColor="text1"/>
          <w:sz w:val="20"/>
          <w:szCs w:val="20"/>
          <w:lang w:val="es-CO"/>
        </w:rPr>
        <w:t>de</w:t>
      </w:r>
      <w:r w:rsidR="00F1745D" w:rsidRPr="00491517">
        <w:rPr>
          <w:rFonts w:ascii="Cambria" w:hAnsi="Cambria" w:cs="Calibri Light"/>
          <w:color w:val="000000" w:themeColor="text1"/>
          <w:sz w:val="20"/>
          <w:szCs w:val="20"/>
          <w:lang w:val="es-CO"/>
        </w:rPr>
        <w:t xml:space="preserve"> formación técnica especialmente dirigidas a las víctimas de estos casos.</w:t>
      </w:r>
    </w:p>
    <w:p w14:paraId="15A7A4B5" w14:textId="77777777" w:rsidR="00FC4E10" w:rsidRPr="00491517" w:rsidRDefault="00FC4E10" w:rsidP="00FC4E10">
      <w:pPr>
        <w:pStyle w:val="ListParagraph"/>
        <w:rPr>
          <w:rFonts w:ascii="Cambria" w:hAnsi="Cambria" w:cs="Calibri Light"/>
          <w:color w:val="000000" w:themeColor="text1"/>
          <w:sz w:val="20"/>
          <w:szCs w:val="20"/>
          <w:lang w:val="es-CO"/>
        </w:rPr>
      </w:pPr>
    </w:p>
    <w:p w14:paraId="3E305954" w14:textId="77777777" w:rsidR="000F0213" w:rsidRPr="00491517" w:rsidRDefault="00FC4E10"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b/>
          <w:bCs/>
          <w:color w:val="000000" w:themeColor="text1"/>
          <w:sz w:val="20"/>
          <w:szCs w:val="20"/>
          <w:lang w:val="es-CO"/>
        </w:rPr>
        <w:t>Consideraciones de la CIDH.</w:t>
      </w:r>
      <w:r w:rsidRPr="00491517">
        <w:rPr>
          <w:rFonts w:ascii="Cambria" w:hAnsi="Cambria" w:cs="Calibri Light"/>
          <w:color w:val="000000" w:themeColor="text1"/>
          <w:sz w:val="20"/>
          <w:szCs w:val="20"/>
          <w:lang w:val="es-CO"/>
        </w:rPr>
        <w:t xml:space="preserve"> </w:t>
      </w:r>
      <w:r w:rsidR="0098720A" w:rsidRPr="00491517">
        <w:rPr>
          <w:rFonts w:ascii="Cambria" w:hAnsi="Cambria" w:cs="Calibri Light"/>
          <w:color w:val="000000" w:themeColor="text1"/>
          <w:sz w:val="20"/>
          <w:szCs w:val="20"/>
          <w:lang w:val="es-CO"/>
        </w:rPr>
        <w:t>L</w:t>
      </w:r>
      <w:r w:rsidRPr="00491517">
        <w:rPr>
          <w:rFonts w:ascii="Cambria" w:hAnsi="Cambria" w:cs="Calibri Light"/>
          <w:color w:val="000000" w:themeColor="text1"/>
          <w:sz w:val="20"/>
          <w:szCs w:val="20"/>
          <w:lang w:val="es-CO"/>
        </w:rPr>
        <w:t xml:space="preserve">a Comisión identifica que el </w:t>
      </w:r>
      <w:r w:rsidR="000A5924" w:rsidRPr="00491517">
        <w:rPr>
          <w:rFonts w:ascii="Cambria" w:hAnsi="Cambria"/>
          <w:color w:val="000000" w:themeColor="text1"/>
          <w:sz w:val="20"/>
          <w:szCs w:val="20"/>
          <w:lang w:val="es-CO"/>
        </w:rPr>
        <w:t xml:space="preserve">Plan Multianual de Reparaciones en Educación para las Víctimas de la Violencia en el Perú - REPAEDUCA 2016–2021 </w:t>
      </w:r>
      <w:r w:rsidR="005C3EED" w:rsidRPr="00491517">
        <w:rPr>
          <w:rFonts w:ascii="Cambria" w:hAnsi="Cambria" w:cs="Calibri Light"/>
          <w:color w:val="000000" w:themeColor="text1"/>
          <w:sz w:val="20"/>
          <w:szCs w:val="20"/>
          <w:lang w:val="es-CO"/>
        </w:rPr>
        <w:t>constituye</w:t>
      </w:r>
      <w:r w:rsidR="0098720A" w:rsidRPr="00491517">
        <w:rPr>
          <w:rFonts w:ascii="Cambria" w:hAnsi="Cambria" w:cs="Calibri Light"/>
          <w:color w:val="000000" w:themeColor="text1"/>
          <w:sz w:val="20"/>
          <w:szCs w:val="20"/>
          <w:lang w:val="es-CO"/>
        </w:rPr>
        <w:t xml:space="preserve"> una medida de cumplimiento que ha empezado a ser implementada</w:t>
      </w:r>
      <w:r w:rsidRPr="00491517">
        <w:rPr>
          <w:rFonts w:ascii="Cambria" w:hAnsi="Cambria" w:cs="Calibri Light"/>
          <w:color w:val="000000" w:themeColor="text1"/>
          <w:sz w:val="20"/>
          <w:szCs w:val="20"/>
          <w:lang w:val="es-CO"/>
        </w:rPr>
        <w:t>.</w:t>
      </w:r>
      <w:r w:rsidR="000A5924" w:rsidRPr="00491517">
        <w:rPr>
          <w:rFonts w:ascii="Cambria" w:hAnsi="Cambria" w:cs="Calibri Light"/>
          <w:color w:val="000000" w:themeColor="text1"/>
          <w:sz w:val="20"/>
          <w:szCs w:val="20"/>
          <w:lang w:val="es-CO"/>
        </w:rPr>
        <w:t xml:space="preserve"> </w:t>
      </w:r>
      <w:r w:rsidR="0098720A" w:rsidRPr="00491517">
        <w:rPr>
          <w:rFonts w:ascii="Cambria" w:hAnsi="Cambria" w:cs="Calibri Light"/>
          <w:color w:val="000000" w:themeColor="text1"/>
          <w:sz w:val="20"/>
          <w:szCs w:val="20"/>
          <w:lang w:val="es-CO"/>
        </w:rPr>
        <w:t>Sin embargo, p</w:t>
      </w:r>
      <w:r w:rsidR="000A5924" w:rsidRPr="00491517">
        <w:rPr>
          <w:rFonts w:ascii="Cambria" w:hAnsi="Cambria" w:cs="Calibri Light"/>
          <w:color w:val="000000" w:themeColor="text1"/>
          <w:sz w:val="20"/>
          <w:szCs w:val="20"/>
          <w:lang w:val="es-CO"/>
        </w:rPr>
        <w:t xml:space="preserve">ara </w:t>
      </w:r>
      <w:r w:rsidR="001F283C" w:rsidRPr="00491517">
        <w:rPr>
          <w:rFonts w:ascii="Cambria" w:hAnsi="Cambria" w:cs="Calibri Light"/>
          <w:color w:val="000000" w:themeColor="text1"/>
          <w:sz w:val="20"/>
          <w:szCs w:val="20"/>
          <w:lang w:val="es-CO"/>
        </w:rPr>
        <w:t>identificar</w:t>
      </w:r>
      <w:r w:rsidR="000A5924" w:rsidRPr="00491517">
        <w:rPr>
          <w:rFonts w:ascii="Cambria" w:hAnsi="Cambria" w:cs="Calibri Light"/>
          <w:color w:val="000000" w:themeColor="text1"/>
          <w:sz w:val="20"/>
          <w:szCs w:val="20"/>
          <w:lang w:val="es-CO"/>
        </w:rPr>
        <w:t xml:space="preserve"> con precisión los avances y el estado actual de </w:t>
      </w:r>
      <w:r w:rsidR="0098720A" w:rsidRPr="00491517">
        <w:rPr>
          <w:rFonts w:ascii="Cambria" w:hAnsi="Cambria" w:cs="Calibri Light"/>
          <w:color w:val="000000" w:themeColor="text1"/>
          <w:sz w:val="20"/>
          <w:szCs w:val="20"/>
          <w:lang w:val="es-CO"/>
        </w:rPr>
        <w:t>su aplicación</w:t>
      </w:r>
      <w:r w:rsidR="000A5924" w:rsidRPr="00491517">
        <w:rPr>
          <w:rFonts w:ascii="Cambria" w:hAnsi="Cambria" w:cs="Calibri Light"/>
          <w:color w:val="000000" w:themeColor="text1"/>
          <w:sz w:val="20"/>
          <w:szCs w:val="20"/>
          <w:lang w:val="es-CO"/>
        </w:rPr>
        <w:t xml:space="preserve">, la Comisión invita al Estado a proveer información </w:t>
      </w:r>
      <w:r w:rsidR="001F283C" w:rsidRPr="00491517">
        <w:rPr>
          <w:rFonts w:ascii="Cambria" w:hAnsi="Cambria" w:cs="Calibri Light"/>
          <w:color w:val="000000" w:themeColor="text1"/>
          <w:sz w:val="20"/>
          <w:szCs w:val="20"/>
          <w:lang w:val="es-CO"/>
        </w:rPr>
        <w:t>precisa sobre</w:t>
      </w:r>
      <w:r w:rsidR="00975E60" w:rsidRPr="00491517">
        <w:rPr>
          <w:rFonts w:ascii="Cambria" w:hAnsi="Cambria" w:cs="Calibri Light"/>
          <w:color w:val="000000" w:themeColor="text1"/>
          <w:sz w:val="20"/>
          <w:szCs w:val="20"/>
          <w:lang w:val="es-CO"/>
        </w:rPr>
        <w:t xml:space="preserve"> </w:t>
      </w:r>
      <w:r w:rsidR="005C3EED" w:rsidRPr="00491517">
        <w:rPr>
          <w:rFonts w:ascii="Cambria" w:hAnsi="Cambria" w:cs="Calibri Light"/>
          <w:color w:val="000000" w:themeColor="text1"/>
          <w:sz w:val="20"/>
          <w:szCs w:val="20"/>
          <w:lang w:val="es-CO"/>
        </w:rPr>
        <w:t xml:space="preserve">si hay </w:t>
      </w:r>
      <w:r w:rsidR="0098720A" w:rsidRPr="00491517">
        <w:rPr>
          <w:rFonts w:ascii="Cambria" w:hAnsi="Cambria" w:cs="Calibri Light"/>
          <w:color w:val="000000" w:themeColor="text1"/>
          <w:sz w:val="20"/>
          <w:szCs w:val="20"/>
          <w:lang w:val="es-CO"/>
        </w:rPr>
        <w:t xml:space="preserve">víctimas de los </w:t>
      </w:r>
      <w:r w:rsidR="0098720A" w:rsidRPr="00A36C6E">
        <w:rPr>
          <w:rFonts w:ascii="Cambria" w:hAnsi="Cambria"/>
          <w:color w:val="000000" w:themeColor="text1"/>
          <w:sz w:val="20"/>
          <w:szCs w:val="20"/>
          <w:lang w:val="es-CO"/>
        </w:rPr>
        <w:t>casos</w:t>
      </w:r>
      <w:r w:rsidR="0098720A" w:rsidRPr="00491517">
        <w:rPr>
          <w:rFonts w:ascii="Cambria" w:hAnsi="Cambria" w:cs="Calibri Light"/>
          <w:color w:val="000000" w:themeColor="text1"/>
          <w:sz w:val="20"/>
          <w:szCs w:val="20"/>
          <w:lang w:val="es-CO"/>
        </w:rPr>
        <w:t xml:space="preserve"> del Comunicado de Prensa Conjunto </w:t>
      </w:r>
      <w:r w:rsidR="008C31C7" w:rsidRPr="00491517">
        <w:rPr>
          <w:rFonts w:ascii="Cambria" w:hAnsi="Cambria" w:cs="Calibri Light"/>
          <w:color w:val="000000" w:themeColor="text1"/>
          <w:sz w:val="20"/>
          <w:szCs w:val="20"/>
          <w:lang w:val="es-CO"/>
        </w:rPr>
        <w:t>que hayan</w:t>
      </w:r>
      <w:r w:rsidR="0098720A" w:rsidRPr="00491517">
        <w:rPr>
          <w:rFonts w:ascii="Cambria" w:hAnsi="Cambria" w:cs="Calibri Light"/>
          <w:color w:val="000000" w:themeColor="text1"/>
          <w:sz w:val="20"/>
          <w:szCs w:val="20"/>
          <w:lang w:val="es-CO"/>
        </w:rPr>
        <w:t xml:space="preserve"> accedido a los beneficios de este programa</w:t>
      </w:r>
      <w:r w:rsidR="005C3EED" w:rsidRPr="00491517">
        <w:rPr>
          <w:rFonts w:ascii="Cambria" w:hAnsi="Cambria" w:cs="Calibri Light"/>
          <w:color w:val="000000" w:themeColor="text1"/>
          <w:sz w:val="20"/>
          <w:szCs w:val="20"/>
          <w:lang w:val="es-CO"/>
        </w:rPr>
        <w:t xml:space="preserve"> y, de aplicar, respecto de qué casos</w:t>
      </w:r>
      <w:r w:rsidR="0098720A" w:rsidRPr="00491517">
        <w:rPr>
          <w:rFonts w:ascii="Cambria" w:hAnsi="Cambria" w:cs="Calibri Light"/>
          <w:color w:val="000000" w:themeColor="text1"/>
          <w:sz w:val="20"/>
          <w:szCs w:val="20"/>
          <w:lang w:val="es-CO"/>
        </w:rPr>
        <w:t xml:space="preserve">. Asimismo, </w:t>
      </w:r>
      <w:r w:rsidR="005C3EED" w:rsidRPr="00491517">
        <w:rPr>
          <w:rFonts w:ascii="Cambria" w:hAnsi="Cambria" w:cs="Calibri Light"/>
          <w:color w:val="000000" w:themeColor="text1"/>
          <w:sz w:val="20"/>
          <w:szCs w:val="20"/>
          <w:lang w:val="es-CO"/>
        </w:rPr>
        <w:t>la CIDH</w:t>
      </w:r>
      <w:r w:rsidR="008C31C7" w:rsidRPr="00491517">
        <w:rPr>
          <w:rFonts w:ascii="Cambria" w:hAnsi="Cambria" w:cs="Calibri Light"/>
          <w:color w:val="000000" w:themeColor="text1"/>
          <w:sz w:val="20"/>
          <w:szCs w:val="20"/>
          <w:lang w:val="es-CO"/>
        </w:rPr>
        <w:t xml:space="preserve"> solicita información </w:t>
      </w:r>
      <w:r w:rsidR="005C3EED" w:rsidRPr="00491517">
        <w:rPr>
          <w:rFonts w:ascii="Cambria" w:hAnsi="Cambria" w:cs="Calibri Light"/>
          <w:color w:val="000000" w:themeColor="text1"/>
          <w:sz w:val="20"/>
          <w:szCs w:val="20"/>
          <w:lang w:val="es-CO"/>
        </w:rPr>
        <w:t xml:space="preserve">sobre los criterios </w:t>
      </w:r>
      <w:r w:rsidR="008C31C7" w:rsidRPr="00491517">
        <w:rPr>
          <w:rFonts w:ascii="Cambria" w:hAnsi="Cambria" w:cs="Calibri Light"/>
          <w:color w:val="000000" w:themeColor="text1"/>
          <w:sz w:val="20"/>
          <w:szCs w:val="20"/>
          <w:lang w:val="es-CO"/>
        </w:rPr>
        <w:t xml:space="preserve">o requisitos </w:t>
      </w:r>
      <w:r w:rsidR="005C3EED" w:rsidRPr="00491517">
        <w:rPr>
          <w:rFonts w:ascii="Cambria" w:hAnsi="Cambria" w:cs="Calibri Light"/>
          <w:color w:val="000000" w:themeColor="text1"/>
          <w:sz w:val="20"/>
          <w:szCs w:val="20"/>
          <w:lang w:val="es-CO"/>
        </w:rPr>
        <w:t>que</w:t>
      </w:r>
      <w:r w:rsidR="008C31C7" w:rsidRPr="00491517">
        <w:rPr>
          <w:rFonts w:ascii="Cambria" w:hAnsi="Cambria" w:cs="Calibri Light"/>
          <w:color w:val="000000" w:themeColor="text1"/>
          <w:sz w:val="20"/>
          <w:szCs w:val="20"/>
          <w:lang w:val="es-CO"/>
        </w:rPr>
        <w:t xml:space="preserve"> son aplicados </w:t>
      </w:r>
      <w:r w:rsidR="005C3EED" w:rsidRPr="00491517">
        <w:rPr>
          <w:rFonts w:ascii="Cambria" w:hAnsi="Cambria" w:cs="Calibri Light"/>
          <w:color w:val="000000" w:themeColor="text1"/>
          <w:sz w:val="20"/>
          <w:szCs w:val="20"/>
          <w:lang w:val="es-CO"/>
        </w:rPr>
        <w:t xml:space="preserve">para garantizar el acceso de las víctimas a </w:t>
      </w:r>
      <w:r w:rsidR="008C31C7" w:rsidRPr="00491517">
        <w:rPr>
          <w:rFonts w:ascii="Cambria" w:hAnsi="Cambria" w:cs="Calibri Light"/>
          <w:color w:val="000000" w:themeColor="text1"/>
          <w:sz w:val="20"/>
          <w:szCs w:val="20"/>
          <w:lang w:val="es-CO"/>
        </w:rPr>
        <w:t>los</w:t>
      </w:r>
      <w:r w:rsidR="005C3EED" w:rsidRPr="00491517">
        <w:rPr>
          <w:rFonts w:ascii="Cambria" w:hAnsi="Cambria" w:cs="Calibri Light"/>
          <w:color w:val="000000" w:themeColor="text1"/>
          <w:sz w:val="20"/>
          <w:szCs w:val="20"/>
          <w:lang w:val="es-CO"/>
        </w:rPr>
        <w:t xml:space="preserve"> beneficios</w:t>
      </w:r>
      <w:r w:rsidR="008C31C7" w:rsidRPr="00491517">
        <w:rPr>
          <w:rFonts w:ascii="Cambria" w:hAnsi="Cambria" w:cs="Calibri Light"/>
          <w:color w:val="000000" w:themeColor="text1"/>
          <w:sz w:val="20"/>
          <w:szCs w:val="20"/>
          <w:lang w:val="es-CO"/>
        </w:rPr>
        <w:t xml:space="preserve"> de este plan</w:t>
      </w:r>
      <w:r w:rsidR="001F283C" w:rsidRPr="00491517">
        <w:rPr>
          <w:rFonts w:ascii="Cambria" w:hAnsi="Cambria" w:cs="Calibri Light"/>
          <w:color w:val="000000" w:themeColor="text1"/>
          <w:sz w:val="20"/>
          <w:szCs w:val="20"/>
          <w:lang w:val="es-CO"/>
        </w:rPr>
        <w:t>, así como el número de becas que el plan garantiza anualmente</w:t>
      </w:r>
      <w:r w:rsidR="005C3EED" w:rsidRPr="00491517">
        <w:rPr>
          <w:rFonts w:ascii="Cambria" w:hAnsi="Cambria" w:cs="Calibri Light"/>
          <w:color w:val="000000" w:themeColor="text1"/>
          <w:sz w:val="20"/>
          <w:szCs w:val="20"/>
          <w:lang w:val="es-CO"/>
        </w:rPr>
        <w:t xml:space="preserve">. </w:t>
      </w:r>
    </w:p>
    <w:p w14:paraId="5FDFC354" w14:textId="77777777" w:rsidR="000F0213" w:rsidRPr="00491517" w:rsidRDefault="000F0213" w:rsidP="000F0213">
      <w:pPr>
        <w:pStyle w:val="ListParagraph"/>
        <w:rPr>
          <w:rFonts w:ascii="Cambria" w:hAnsi="Cambria" w:cs="Calibri Light"/>
          <w:color w:val="000000" w:themeColor="text1"/>
          <w:sz w:val="20"/>
          <w:szCs w:val="20"/>
          <w:lang w:val="es-CO"/>
        </w:rPr>
      </w:pPr>
    </w:p>
    <w:p w14:paraId="374B995A" w14:textId="74FE547B" w:rsidR="00F1745D" w:rsidRPr="00491517" w:rsidRDefault="000F0213"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color w:val="000000" w:themeColor="text1"/>
          <w:sz w:val="20"/>
          <w:szCs w:val="20"/>
          <w:lang w:val="es-CO"/>
        </w:rPr>
        <w:t>Asimismo</w:t>
      </w:r>
      <w:r w:rsidR="008C31C7" w:rsidRPr="00491517">
        <w:rPr>
          <w:rFonts w:ascii="Cambria" w:hAnsi="Cambria" w:cs="Calibri Light"/>
          <w:color w:val="000000" w:themeColor="text1"/>
          <w:sz w:val="20"/>
          <w:szCs w:val="20"/>
          <w:lang w:val="es-CO"/>
        </w:rPr>
        <w:t>, la</w:t>
      </w:r>
      <w:r w:rsidR="0098720A" w:rsidRPr="00491517">
        <w:rPr>
          <w:rFonts w:ascii="Cambria" w:hAnsi="Cambria" w:cs="Calibri Light"/>
          <w:color w:val="000000" w:themeColor="text1"/>
          <w:sz w:val="20"/>
          <w:szCs w:val="20"/>
          <w:lang w:val="es-CO"/>
        </w:rPr>
        <w:t xml:space="preserve"> Comisión</w:t>
      </w:r>
      <w:r w:rsidR="005C3EED" w:rsidRPr="00491517">
        <w:rPr>
          <w:rFonts w:ascii="Cambria" w:hAnsi="Cambria" w:cs="Calibri Light"/>
          <w:color w:val="000000" w:themeColor="text1"/>
          <w:sz w:val="20"/>
          <w:szCs w:val="20"/>
          <w:lang w:val="es-CO"/>
        </w:rPr>
        <w:t xml:space="preserve"> identifica que </w:t>
      </w:r>
      <w:r w:rsidR="0098720A" w:rsidRPr="00491517">
        <w:rPr>
          <w:rFonts w:ascii="Cambria" w:hAnsi="Cambria" w:cs="Calibri Light"/>
          <w:color w:val="000000" w:themeColor="text1"/>
          <w:sz w:val="20"/>
          <w:szCs w:val="20"/>
          <w:lang w:val="es-CO"/>
        </w:rPr>
        <w:t xml:space="preserve">el establecimiento del grupo de trabajo </w:t>
      </w:r>
      <w:r w:rsidR="008C31C7" w:rsidRPr="00491517">
        <w:rPr>
          <w:rFonts w:ascii="Cambria" w:hAnsi="Cambria" w:cs="Calibri Light"/>
          <w:color w:val="000000" w:themeColor="text1"/>
          <w:sz w:val="20"/>
          <w:szCs w:val="20"/>
          <w:lang w:val="es-CO"/>
        </w:rPr>
        <w:t xml:space="preserve">que está </w:t>
      </w:r>
      <w:r w:rsidR="005C3EED" w:rsidRPr="00491517">
        <w:rPr>
          <w:rFonts w:ascii="Cambria" w:hAnsi="Cambria" w:cs="Calibri Light"/>
          <w:color w:val="000000" w:themeColor="text1"/>
          <w:sz w:val="20"/>
          <w:szCs w:val="20"/>
          <w:lang w:val="es-CO"/>
        </w:rPr>
        <w:t xml:space="preserve">previsto para </w:t>
      </w:r>
      <w:r w:rsidR="0098720A" w:rsidRPr="00491517">
        <w:rPr>
          <w:rFonts w:ascii="Cambria" w:hAnsi="Cambria" w:cs="Calibri Light"/>
          <w:color w:val="000000" w:themeColor="text1"/>
          <w:sz w:val="20"/>
          <w:szCs w:val="20"/>
          <w:lang w:val="es-CO"/>
        </w:rPr>
        <w:t xml:space="preserve">ampliar </w:t>
      </w:r>
      <w:r w:rsidR="008C31C7" w:rsidRPr="00491517">
        <w:rPr>
          <w:rFonts w:ascii="Cambria" w:hAnsi="Cambria" w:cs="Calibri Light"/>
          <w:color w:val="000000" w:themeColor="text1"/>
          <w:sz w:val="20"/>
          <w:szCs w:val="20"/>
          <w:lang w:val="es-CO"/>
        </w:rPr>
        <w:t>la aplicación d</w:t>
      </w:r>
      <w:r w:rsidR="0098720A" w:rsidRPr="00491517">
        <w:rPr>
          <w:rFonts w:ascii="Cambria" w:hAnsi="Cambria" w:cs="Calibri Light"/>
          <w:color w:val="000000" w:themeColor="text1"/>
          <w:sz w:val="20"/>
          <w:szCs w:val="20"/>
          <w:lang w:val="es-CO"/>
        </w:rPr>
        <w:t>e</w:t>
      </w:r>
      <w:r w:rsidR="005C3EED" w:rsidRPr="00491517">
        <w:rPr>
          <w:rFonts w:ascii="Cambria" w:hAnsi="Cambria" w:cs="Calibri Light"/>
          <w:color w:val="000000" w:themeColor="text1"/>
          <w:sz w:val="20"/>
          <w:szCs w:val="20"/>
          <w:lang w:val="es-CO"/>
        </w:rPr>
        <w:t>l</w:t>
      </w:r>
      <w:r w:rsidR="0098720A" w:rsidRPr="00491517">
        <w:rPr>
          <w:rFonts w:ascii="Cambria" w:hAnsi="Cambria" w:cs="Calibri Light"/>
          <w:color w:val="000000" w:themeColor="text1"/>
          <w:sz w:val="20"/>
          <w:szCs w:val="20"/>
          <w:lang w:val="es-CO"/>
        </w:rPr>
        <w:t xml:space="preserve"> plan constitu</w:t>
      </w:r>
      <w:r w:rsidR="008C31C7" w:rsidRPr="00491517">
        <w:rPr>
          <w:rFonts w:ascii="Cambria" w:hAnsi="Cambria" w:cs="Calibri Light"/>
          <w:color w:val="000000" w:themeColor="text1"/>
          <w:sz w:val="20"/>
          <w:szCs w:val="20"/>
          <w:lang w:val="es-CO"/>
        </w:rPr>
        <w:t>ye u</w:t>
      </w:r>
      <w:r w:rsidR="0098720A" w:rsidRPr="00491517">
        <w:rPr>
          <w:rFonts w:ascii="Cambria" w:hAnsi="Cambria" w:cs="Calibri Light"/>
          <w:color w:val="000000" w:themeColor="text1"/>
          <w:sz w:val="20"/>
          <w:szCs w:val="20"/>
          <w:lang w:val="es-CO"/>
        </w:rPr>
        <w:t xml:space="preserve">n avance </w:t>
      </w:r>
      <w:r w:rsidR="005C3EED" w:rsidRPr="00491517">
        <w:rPr>
          <w:rFonts w:ascii="Cambria" w:hAnsi="Cambria" w:cs="Calibri Light"/>
          <w:color w:val="000000" w:themeColor="text1"/>
          <w:sz w:val="20"/>
          <w:szCs w:val="20"/>
          <w:lang w:val="es-CO"/>
        </w:rPr>
        <w:t>que conducirá a</w:t>
      </w:r>
      <w:r w:rsidR="0098720A" w:rsidRPr="00491517">
        <w:rPr>
          <w:rFonts w:ascii="Cambria" w:hAnsi="Cambria" w:cs="Calibri Light"/>
          <w:color w:val="000000" w:themeColor="text1"/>
          <w:sz w:val="20"/>
          <w:szCs w:val="20"/>
          <w:lang w:val="es-CO"/>
        </w:rPr>
        <w:t xml:space="preserve"> acciones concretas para otorgar este tipo de reparaciones, por lo que queda a la espera de cualquier avance en su conformación. </w:t>
      </w:r>
      <w:r w:rsidR="001F283C" w:rsidRPr="00491517">
        <w:rPr>
          <w:rFonts w:ascii="Cambria" w:hAnsi="Cambria" w:cs="Calibri Light"/>
          <w:color w:val="000000" w:themeColor="text1"/>
          <w:sz w:val="20"/>
          <w:szCs w:val="20"/>
          <w:lang w:val="es-CO"/>
        </w:rPr>
        <w:t xml:space="preserve">Al respecto, la CIDH identifica que es esencial que exista una identificación de las víctimas de estos casos que faltan por acceder a servicios de </w:t>
      </w:r>
      <w:r w:rsidR="001F283C" w:rsidRPr="00A36C6E">
        <w:rPr>
          <w:rFonts w:ascii="Cambria" w:hAnsi="Cambria"/>
          <w:color w:val="000000" w:themeColor="text1"/>
          <w:sz w:val="20"/>
          <w:szCs w:val="20"/>
          <w:lang w:val="es-CO"/>
        </w:rPr>
        <w:t>educación</w:t>
      </w:r>
      <w:r w:rsidR="001F283C" w:rsidRPr="00491517">
        <w:rPr>
          <w:rFonts w:ascii="Cambria" w:hAnsi="Cambria" w:cs="Calibri Light"/>
          <w:color w:val="000000" w:themeColor="text1"/>
          <w:sz w:val="20"/>
          <w:szCs w:val="20"/>
          <w:lang w:val="es-CO"/>
        </w:rPr>
        <w:t xml:space="preserve">, así como un plan que señale las condiciones de tiempo, modo y lugar que </w:t>
      </w:r>
      <w:r w:rsidR="00AC5121" w:rsidRPr="00491517">
        <w:rPr>
          <w:rFonts w:ascii="Cambria" w:hAnsi="Cambria" w:cs="Calibri Light"/>
          <w:color w:val="000000" w:themeColor="text1"/>
          <w:sz w:val="20"/>
          <w:szCs w:val="20"/>
          <w:lang w:val="es-CO"/>
        </w:rPr>
        <w:t>les garantizarán</w:t>
      </w:r>
      <w:r w:rsidR="001F283C" w:rsidRPr="00491517">
        <w:rPr>
          <w:rFonts w:ascii="Cambria" w:hAnsi="Cambria" w:cs="Calibri Light"/>
          <w:color w:val="000000" w:themeColor="text1"/>
          <w:sz w:val="20"/>
          <w:szCs w:val="20"/>
          <w:lang w:val="es-CO"/>
        </w:rPr>
        <w:t xml:space="preserve"> esta medida.</w:t>
      </w:r>
    </w:p>
    <w:p w14:paraId="5AB068C2" w14:textId="77777777" w:rsidR="00D03FAF" w:rsidRPr="00491517" w:rsidRDefault="00D03FAF" w:rsidP="00D03FAF">
      <w:pPr>
        <w:pStyle w:val="ListParagraph"/>
        <w:spacing w:after="0" w:line="240" w:lineRule="auto"/>
        <w:ind w:left="357"/>
        <w:jc w:val="both"/>
        <w:rPr>
          <w:rFonts w:ascii="Cambria" w:hAnsi="Cambria" w:cs="Calibri Light"/>
          <w:color w:val="000000" w:themeColor="text1"/>
          <w:sz w:val="20"/>
          <w:szCs w:val="20"/>
          <w:lang w:val="es-CO"/>
        </w:rPr>
      </w:pPr>
    </w:p>
    <w:p w14:paraId="4862F94A" w14:textId="7590275E" w:rsidR="00D03FAF" w:rsidRPr="00491517" w:rsidRDefault="00D03FAF" w:rsidP="00A36C6E">
      <w:pPr>
        <w:pStyle w:val="ListParagraph"/>
        <w:numPr>
          <w:ilvl w:val="0"/>
          <w:numId w:val="16"/>
        </w:numPr>
        <w:spacing w:after="0" w:line="240" w:lineRule="auto"/>
        <w:ind w:left="0" w:firstLine="720"/>
        <w:jc w:val="both"/>
        <w:rPr>
          <w:color w:val="000000" w:themeColor="text1"/>
          <w:lang w:val="es-CO"/>
        </w:rPr>
      </w:pPr>
      <w:r w:rsidRPr="00491517">
        <w:rPr>
          <w:rFonts w:ascii="Cambria" w:hAnsi="Cambria" w:cs="Calibri Light"/>
          <w:color w:val="000000" w:themeColor="text1"/>
          <w:sz w:val="20"/>
          <w:szCs w:val="20"/>
          <w:lang w:val="es-CO"/>
        </w:rPr>
        <w:t xml:space="preserve">Por otra parte, la CIDH toma nota de la </w:t>
      </w:r>
      <w:proofErr w:type="spellStart"/>
      <w:r w:rsidRPr="00491517">
        <w:rPr>
          <w:rFonts w:ascii="Cambria" w:hAnsi="Cambria" w:cs="Calibri Light"/>
          <w:color w:val="000000" w:themeColor="text1"/>
          <w:sz w:val="20"/>
          <w:szCs w:val="20"/>
          <w:lang w:val="es-CO"/>
        </w:rPr>
        <w:t>la</w:t>
      </w:r>
      <w:proofErr w:type="spellEnd"/>
      <w:r w:rsidRPr="00491517">
        <w:rPr>
          <w:rFonts w:ascii="Cambria" w:hAnsi="Cambria" w:cs="Calibri Light"/>
          <w:color w:val="000000" w:themeColor="text1"/>
          <w:sz w:val="20"/>
          <w:szCs w:val="20"/>
          <w:lang w:val="es-CO"/>
        </w:rPr>
        <w:t xml:space="preserve"> información reportada por el Estado en la que reporta que 50 personas reconocidas como beneficiarios</w:t>
      </w:r>
      <w:r w:rsidRPr="00491517">
        <w:rPr>
          <w:rFonts w:ascii="Cambria" w:hAnsi="Cambria"/>
          <w:color w:val="000000" w:themeColor="text1"/>
          <w:sz w:val="20"/>
          <w:szCs w:val="20"/>
          <w:lang w:val="es-CO"/>
        </w:rPr>
        <w:t xml:space="preserve"> del DS 005-2002-JUS recibi</w:t>
      </w:r>
      <w:r w:rsidR="00AC5121" w:rsidRPr="00491517">
        <w:rPr>
          <w:rFonts w:ascii="Cambria" w:hAnsi="Cambria"/>
          <w:color w:val="000000" w:themeColor="text1"/>
          <w:sz w:val="20"/>
          <w:szCs w:val="20"/>
          <w:lang w:val="es-CO"/>
        </w:rPr>
        <w:t>eron</w:t>
      </w:r>
      <w:r w:rsidRPr="00491517">
        <w:rPr>
          <w:rFonts w:ascii="Cambria" w:hAnsi="Cambria"/>
          <w:color w:val="000000" w:themeColor="text1"/>
          <w:sz w:val="20"/>
          <w:szCs w:val="20"/>
          <w:lang w:val="es-CO"/>
        </w:rPr>
        <w:t xml:space="preserve"> reparaciones en educación y que se realiza</w:t>
      </w:r>
      <w:r w:rsidR="00AC5121" w:rsidRPr="00491517">
        <w:rPr>
          <w:rFonts w:ascii="Cambria" w:hAnsi="Cambria"/>
          <w:color w:val="000000" w:themeColor="text1"/>
          <w:sz w:val="20"/>
          <w:szCs w:val="20"/>
          <w:lang w:val="es-CO"/>
        </w:rPr>
        <w:t>ron</w:t>
      </w:r>
      <w:r w:rsidRPr="00491517">
        <w:rPr>
          <w:rFonts w:ascii="Cambria" w:hAnsi="Cambria"/>
          <w:color w:val="000000" w:themeColor="text1"/>
          <w:sz w:val="20"/>
          <w:szCs w:val="20"/>
          <w:lang w:val="es-CO"/>
        </w:rPr>
        <w:t xml:space="preserve"> 133 transferencias del derecho a la educación a favor de los hijos/as o nietos/as de las víctimas. Al respecto, la Comisión invita al Estado a especificar si estas personas son víctimas de los casos del Comunicado de Prensa Conjunto y, de aplicar, </w:t>
      </w:r>
      <w:r w:rsidR="00AC5121" w:rsidRPr="00491517">
        <w:rPr>
          <w:rFonts w:ascii="Cambria" w:hAnsi="Cambria"/>
          <w:color w:val="000000" w:themeColor="text1"/>
          <w:sz w:val="20"/>
          <w:szCs w:val="20"/>
          <w:lang w:val="es-CO"/>
        </w:rPr>
        <w:t xml:space="preserve">de </w:t>
      </w:r>
      <w:r w:rsidRPr="00491517">
        <w:rPr>
          <w:rFonts w:ascii="Cambria" w:hAnsi="Cambria"/>
          <w:color w:val="000000" w:themeColor="text1"/>
          <w:sz w:val="20"/>
          <w:szCs w:val="20"/>
          <w:lang w:val="es-CO"/>
        </w:rPr>
        <w:t xml:space="preserve">cuáles casos. Asimismo, en caso de que se trate de reparaciones para estas víctimas, se invita al Estado a especificar en qué ha consistido la reparación </w:t>
      </w:r>
      <w:r w:rsidR="00AC5121" w:rsidRPr="00491517">
        <w:rPr>
          <w:rFonts w:ascii="Cambria" w:hAnsi="Cambria"/>
          <w:color w:val="000000" w:themeColor="text1"/>
          <w:sz w:val="20"/>
          <w:szCs w:val="20"/>
          <w:lang w:val="es-CO"/>
        </w:rPr>
        <w:t>para</w:t>
      </w:r>
      <w:r w:rsidRPr="00491517">
        <w:rPr>
          <w:rFonts w:ascii="Cambria" w:hAnsi="Cambria"/>
          <w:color w:val="000000" w:themeColor="text1"/>
          <w:sz w:val="20"/>
          <w:szCs w:val="20"/>
          <w:lang w:val="es-CO"/>
        </w:rPr>
        <w:t xml:space="preserve"> cada víctima.  </w:t>
      </w:r>
    </w:p>
    <w:p w14:paraId="17AEB26C" w14:textId="17950D1F" w:rsidR="002B5A44" w:rsidRPr="00491517" w:rsidRDefault="002B5A44" w:rsidP="002B5A44">
      <w:pPr>
        <w:spacing w:after="0" w:line="240" w:lineRule="auto"/>
        <w:jc w:val="both"/>
        <w:rPr>
          <w:rFonts w:ascii="Cambria" w:hAnsi="Cambria"/>
          <w:b/>
          <w:bCs/>
          <w:color w:val="000000" w:themeColor="text1"/>
          <w:sz w:val="20"/>
          <w:szCs w:val="20"/>
          <w:lang w:val="es-EC"/>
        </w:rPr>
      </w:pPr>
    </w:p>
    <w:p w14:paraId="7D865A73" w14:textId="03A286E3" w:rsidR="00420AAE" w:rsidRPr="00491517" w:rsidRDefault="002B5A44" w:rsidP="6C4C836E">
      <w:pPr>
        <w:pStyle w:val="ListParagraph"/>
        <w:numPr>
          <w:ilvl w:val="0"/>
          <w:numId w:val="31"/>
        </w:numPr>
        <w:spacing w:after="0" w:line="240" w:lineRule="auto"/>
        <w:jc w:val="both"/>
        <w:rPr>
          <w:rFonts w:ascii="Cambria" w:hAnsi="Cambria"/>
          <w:b/>
          <w:bCs/>
          <w:color w:val="000000" w:themeColor="text1"/>
          <w:sz w:val="20"/>
          <w:szCs w:val="20"/>
          <w:lang w:val="es-EC"/>
        </w:rPr>
      </w:pPr>
      <w:r w:rsidRPr="6C4C836E">
        <w:rPr>
          <w:rFonts w:ascii="Cambria" w:eastAsia="Calibri" w:hAnsi="Cambria" w:cs="Times New Roman"/>
          <w:b/>
          <w:bCs/>
          <w:color w:val="000000" w:themeColor="text1"/>
          <w:sz w:val="20"/>
          <w:szCs w:val="20"/>
          <w:lang w:val="es-ES"/>
        </w:rPr>
        <w:t xml:space="preserve">Sexto eje temático. </w:t>
      </w:r>
      <w:r w:rsidR="00420AAE" w:rsidRPr="6C4C836E">
        <w:rPr>
          <w:rFonts w:ascii="Cambria" w:hAnsi="Cambria"/>
          <w:b/>
          <w:bCs/>
          <w:color w:val="000000" w:themeColor="text1"/>
          <w:sz w:val="20"/>
          <w:szCs w:val="20"/>
          <w:lang w:val="es-EC"/>
        </w:rPr>
        <w:t>Acceso a servicios de rehabilitación física y/o psicológica</w:t>
      </w:r>
    </w:p>
    <w:p w14:paraId="13E1034D" w14:textId="77777777" w:rsidR="00420AAE" w:rsidRPr="00491517" w:rsidRDefault="00420AAE" w:rsidP="00B537A7">
      <w:pPr>
        <w:pStyle w:val="ListParagraph"/>
        <w:jc w:val="both"/>
        <w:rPr>
          <w:rFonts w:ascii="Cambria" w:hAnsi="Cambria"/>
          <w:b/>
          <w:bCs/>
          <w:color w:val="000000" w:themeColor="text1"/>
          <w:sz w:val="20"/>
          <w:szCs w:val="20"/>
          <w:lang w:val="es-EC"/>
        </w:rPr>
      </w:pPr>
    </w:p>
    <w:p w14:paraId="22758957" w14:textId="793753E7" w:rsidR="00247DA7" w:rsidRPr="00491517" w:rsidRDefault="00420AAE" w:rsidP="00A36C6E">
      <w:pPr>
        <w:pStyle w:val="ListParagraph"/>
        <w:numPr>
          <w:ilvl w:val="0"/>
          <w:numId w:val="16"/>
        </w:numPr>
        <w:spacing w:after="0" w:line="240" w:lineRule="auto"/>
        <w:ind w:left="0" w:firstLine="720"/>
        <w:jc w:val="both"/>
        <w:rPr>
          <w:rFonts w:ascii="Cambria" w:hAnsi="Cambria"/>
          <w:color w:val="000000" w:themeColor="text1"/>
          <w:sz w:val="20"/>
          <w:szCs w:val="20"/>
          <w:lang w:val="es-EC"/>
        </w:rPr>
      </w:pPr>
      <w:r w:rsidRPr="00491517">
        <w:rPr>
          <w:rFonts w:ascii="Cambria" w:hAnsi="Cambria"/>
          <w:b/>
          <w:bCs/>
          <w:color w:val="000000" w:themeColor="text1"/>
          <w:sz w:val="20"/>
          <w:szCs w:val="20"/>
          <w:lang w:val="es-EC"/>
        </w:rPr>
        <w:t xml:space="preserve"> </w:t>
      </w:r>
      <w:r w:rsidR="00F12861" w:rsidRPr="00491517">
        <w:rPr>
          <w:rFonts w:ascii="Cambria" w:hAnsi="Cambria"/>
          <w:b/>
          <w:bCs/>
          <w:color w:val="000000" w:themeColor="text1"/>
          <w:sz w:val="20"/>
          <w:szCs w:val="20"/>
          <w:lang w:val="es-EC"/>
        </w:rPr>
        <w:t>Información reportada por el Estado</w:t>
      </w:r>
      <w:r w:rsidR="00665901" w:rsidRPr="00491517">
        <w:rPr>
          <w:rFonts w:ascii="Cambria" w:hAnsi="Cambria"/>
          <w:b/>
          <w:bCs/>
          <w:color w:val="000000" w:themeColor="text1"/>
          <w:sz w:val="20"/>
          <w:szCs w:val="20"/>
          <w:lang w:val="es-EC"/>
        </w:rPr>
        <w:t xml:space="preserve"> en 2021</w:t>
      </w:r>
      <w:r w:rsidR="00F12861" w:rsidRPr="00491517">
        <w:rPr>
          <w:rFonts w:ascii="Cambria" w:hAnsi="Cambria"/>
          <w:b/>
          <w:bCs/>
          <w:color w:val="000000" w:themeColor="text1"/>
          <w:sz w:val="20"/>
          <w:szCs w:val="20"/>
          <w:lang w:val="es-EC"/>
        </w:rPr>
        <w:t xml:space="preserve">. </w:t>
      </w:r>
      <w:r w:rsidR="00665901" w:rsidRPr="00491517">
        <w:rPr>
          <w:rFonts w:ascii="Cambria" w:hAnsi="Cambria"/>
          <w:color w:val="000000" w:themeColor="text1"/>
          <w:sz w:val="20"/>
          <w:szCs w:val="20"/>
          <w:lang w:val="es-EC"/>
        </w:rPr>
        <w:t xml:space="preserve">El Estado señaló que </w:t>
      </w:r>
      <w:r w:rsidR="00F12861" w:rsidRPr="00491517">
        <w:rPr>
          <w:rFonts w:ascii="Cambria" w:hAnsi="Cambria"/>
          <w:color w:val="000000" w:themeColor="text1"/>
          <w:sz w:val="20"/>
          <w:szCs w:val="20"/>
          <w:lang w:val="es-CO"/>
        </w:rPr>
        <w:t>el Seguro Social de Salud (EsSalud) prevé implementar en el ESSI (Sistema de Información de EsSalud) un “identificador especial” de los DNI de personas que figuran en la base de datos de víctimas del periodo de violencia de 1980-2000, para generar reportes sobre su atención.</w:t>
      </w:r>
      <w:r w:rsidR="002B3394" w:rsidRPr="00491517">
        <w:rPr>
          <w:rFonts w:ascii="Cambria" w:hAnsi="Cambria"/>
          <w:color w:val="000000" w:themeColor="text1"/>
          <w:sz w:val="20"/>
          <w:szCs w:val="20"/>
          <w:lang w:val="es-CO"/>
        </w:rPr>
        <w:t xml:space="preserve"> Además, la CMAN indicó que está a la espera de los informes </w:t>
      </w:r>
      <w:r w:rsidR="002B3394" w:rsidRPr="00491517">
        <w:rPr>
          <w:rFonts w:ascii="Cambria" w:hAnsi="Cambria" w:cs="Arial"/>
          <w:color w:val="000000" w:themeColor="text1"/>
          <w:sz w:val="20"/>
          <w:szCs w:val="20"/>
          <w:lang w:val="es-CO"/>
        </w:rPr>
        <w:t>sobre</w:t>
      </w:r>
      <w:r w:rsidR="002B3394" w:rsidRPr="00491517">
        <w:rPr>
          <w:rFonts w:ascii="Cambria" w:hAnsi="Cambria"/>
          <w:color w:val="000000" w:themeColor="text1"/>
          <w:sz w:val="20"/>
          <w:szCs w:val="20"/>
          <w:lang w:val="es-CO"/>
        </w:rPr>
        <w:t xml:space="preserve"> sobre las atenciones brindadas</w:t>
      </w:r>
      <w:r w:rsidR="005F4DBB" w:rsidRPr="00491517">
        <w:rPr>
          <w:rFonts w:ascii="Cambria" w:hAnsi="Cambria"/>
          <w:color w:val="000000" w:themeColor="text1"/>
          <w:sz w:val="20"/>
          <w:szCs w:val="20"/>
          <w:lang w:val="es-CO"/>
        </w:rPr>
        <w:t xml:space="preserve">; que estaban pendiente algunas acciones de articulación y que habían sido identificadas </w:t>
      </w:r>
      <w:r w:rsidR="002B3394" w:rsidRPr="00491517">
        <w:rPr>
          <w:rFonts w:ascii="Cambria" w:hAnsi="Cambria"/>
          <w:color w:val="000000" w:themeColor="text1"/>
          <w:sz w:val="20"/>
          <w:szCs w:val="20"/>
          <w:lang w:val="es-CO"/>
        </w:rPr>
        <w:t>2</w:t>
      </w:r>
      <w:r w:rsidR="00F27FB9" w:rsidRPr="00491517">
        <w:rPr>
          <w:rFonts w:ascii="Cambria" w:hAnsi="Cambria"/>
          <w:color w:val="000000" w:themeColor="text1"/>
          <w:sz w:val="20"/>
          <w:szCs w:val="20"/>
          <w:lang w:val="es-CO"/>
        </w:rPr>
        <w:t>.</w:t>
      </w:r>
      <w:r w:rsidR="002B3394" w:rsidRPr="00491517">
        <w:rPr>
          <w:rFonts w:ascii="Cambria" w:hAnsi="Cambria"/>
          <w:color w:val="000000" w:themeColor="text1"/>
          <w:sz w:val="20"/>
          <w:szCs w:val="20"/>
          <w:lang w:val="es-CO"/>
        </w:rPr>
        <w:t>359</w:t>
      </w:r>
      <w:r w:rsidR="005F4DBB" w:rsidRPr="00491517">
        <w:rPr>
          <w:rFonts w:ascii="Cambria" w:hAnsi="Cambria"/>
          <w:color w:val="000000" w:themeColor="text1"/>
          <w:sz w:val="20"/>
          <w:szCs w:val="20"/>
          <w:lang w:val="es-CO"/>
        </w:rPr>
        <w:t xml:space="preserve"> personas </w:t>
      </w:r>
      <w:r w:rsidR="002B3394" w:rsidRPr="00491517">
        <w:rPr>
          <w:rFonts w:ascii="Cambria" w:hAnsi="Cambria"/>
          <w:color w:val="000000" w:themeColor="text1"/>
          <w:sz w:val="20"/>
          <w:szCs w:val="20"/>
          <w:lang w:val="es-CO"/>
        </w:rPr>
        <w:t>que requieren atenciones en salud de manera general.</w:t>
      </w:r>
      <w:r w:rsidR="000763F9" w:rsidRPr="00491517">
        <w:rPr>
          <w:rFonts w:ascii="Cambria" w:hAnsi="Cambria"/>
          <w:color w:val="000000" w:themeColor="text1"/>
          <w:sz w:val="20"/>
          <w:szCs w:val="20"/>
          <w:lang w:val="es-CO"/>
        </w:rPr>
        <w:t xml:space="preserve"> Asimismo, la CMAN informó que se reunió </w:t>
      </w:r>
      <w:r w:rsidR="000763F9" w:rsidRPr="00491517">
        <w:rPr>
          <w:rFonts w:ascii="Cambria" w:hAnsi="Cambria" w:cs="Arial"/>
          <w:color w:val="000000" w:themeColor="text1"/>
          <w:sz w:val="20"/>
          <w:szCs w:val="20"/>
          <w:lang w:val="es-CO"/>
        </w:rPr>
        <w:t xml:space="preserve">con </w:t>
      </w:r>
      <w:r w:rsidR="00EB062B" w:rsidRPr="00491517">
        <w:rPr>
          <w:rFonts w:ascii="Cambria" w:hAnsi="Cambria"/>
          <w:color w:val="000000" w:themeColor="text1"/>
          <w:sz w:val="20"/>
          <w:szCs w:val="20"/>
          <w:lang w:val="es-CO"/>
        </w:rPr>
        <w:t xml:space="preserve">el Ministerio de Salud (MINSA) para presentar los resultados del </w:t>
      </w:r>
      <w:proofErr w:type="spellStart"/>
      <w:r w:rsidR="00003E0C" w:rsidRPr="00491517">
        <w:rPr>
          <w:rFonts w:ascii="Cambria" w:hAnsi="Cambria"/>
          <w:color w:val="000000" w:themeColor="text1"/>
          <w:sz w:val="20"/>
          <w:szCs w:val="20"/>
          <w:lang w:val="es-CO"/>
        </w:rPr>
        <w:t>telemonitoreo</w:t>
      </w:r>
      <w:proofErr w:type="spellEnd"/>
      <w:r w:rsidR="00EB062B" w:rsidRPr="00491517">
        <w:rPr>
          <w:rFonts w:ascii="Cambria" w:hAnsi="Cambria"/>
          <w:color w:val="000000" w:themeColor="text1"/>
          <w:sz w:val="20"/>
          <w:szCs w:val="20"/>
          <w:lang w:val="es-CO"/>
        </w:rPr>
        <w:t xml:space="preserve"> a la implementación de</w:t>
      </w:r>
      <w:r w:rsidR="000763F9" w:rsidRPr="00491517">
        <w:rPr>
          <w:rFonts w:ascii="Cambria" w:hAnsi="Cambria"/>
          <w:color w:val="000000" w:themeColor="text1"/>
          <w:sz w:val="20"/>
          <w:szCs w:val="20"/>
          <w:lang w:val="es-CO"/>
        </w:rPr>
        <w:t>l</w:t>
      </w:r>
      <w:r w:rsidR="00EB062B" w:rsidRPr="00491517">
        <w:rPr>
          <w:rFonts w:ascii="Cambria" w:hAnsi="Cambria"/>
          <w:color w:val="000000" w:themeColor="text1"/>
          <w:sz w:val="20"/>
          <w:szCs w:val="20"/>
          <w:lang w:val="es-CO"/>
        </w:rPr>
        <w:t xml:space="preserve"> programa de reparación. </w:t>
      </w:r>
      <w:r w:rsidR="00583A43" w:rsidRPr="00491517">
        <w:rPr>
          <w:rFonts w:ascii="Cambria" w:hAnsi="Cambria"/>
          <w:color w:val="000000" w:themeColor="text1"/>
          <w:sz w:val="20"/>
          <w:szCs w:val="20"/>
          <w:lang w:val="es-CO"/>
        </w:rPr>
        <w:t xml:space="preserve">Finalmente, en cuanto al cronograma de actividades, el Estado señaló que, a la espera de la información referida, </w:t>
      </w:r>
      <w:r w:rsidR="00F27FB9" w:rsidRPr="00491517">
        <w:rPr>
          <w:rFonts w:ascii="Cambria" w:hAnsi="Cambria"/>
          <w:color w:val="000000" w:themeColor="text1"/>
          <w:sz w:val="20"/>
          <w:szCs w:val="20"/>
          <w:lang w:val="es-CO"/>
        </w:rPr>
        <w:t>está</w:t>
      </w:r>
      <w:r w:rsidR="00583A43" w:rsidRPr="00491517">
        <w:rPr>
          <w:rFonts w:ascii="Cambria" w:hAnsi="Cambria"/>
          <w:color w:val="000000" w:themeColor="text1"/>
          <w:sz w:val="20"/>
          <w:szCs w:val="20"/>
          <w:lang w:val="es-CO"/>
        </w:rPr>
        <w:t xml:space="preserve"> pendiente una reunión con EsSalud.</w:t>
      </w:r>
    </w:p>
    <w:p w14:paraId="326519D2" w14:textId="77777777" w:rsidR="005D0395" w:rsidRPr="00491517" w:rsidRDefault="005D0395" w:rsidP="005D0395">
      <w:pPr>
        <w:pStyle w:val="ListParagraph"/>
        <w:rPr>
          <w:rFonts w:ascii="Cambria" w:hAnsi="Cambria" w:cs="Calibri Light"/>
          <w:b/>
          <w:bCs/>
          <w:color w:val="000000" w:themeColor="text1"/>
          <w:sz w:val="20"/>
          <w:szCs w:val="20"/>
          <w:lang w:val="es-CO"/>
        </w:rPr>
      </w:pPr>
    </w:p>
    <w:p w14:paraId="43D736FB" w14:textId="73724BD5" w:rsidR="005D0395" w:rsidRPr="00491517" w:rsidRDefault="00003E0C"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b/>
          <w:bCs/>
          <w:color w:val="000000" w:themeColor="text1"/>
          <w:sz w:val="20"/>
          <w:szCs w:val="20"/>
          <w:lang w:val="es-CO"/>
        </w:rPr>
        <w:t>Información reportada por la parte peticionaria</w:t>
      </w:r>
      <w:r w:rsidR="00665901" w:rsidRPr="00491517">
        <w:rPr>
          <w:rFonts w:ascii="Cambria" w:hAnsi="Cambria" w:cs="Calibri Light"/>
          <w:b/>
          <w:bCs/>
          <w:color w:val="000000" w:themeColor="text1"/>
          <w:sz w:val="20"/>
          <w:szCs w:val="20"/>
          <w:lang w:val="es-CO"/>
        </w:rPr>
        <w:t xml:space="preserve"> en 2021</w:t>
      </w:r>
      <w:r w:rsidRPr="00491517">
        <w:rPr>
          <w:rFonts w:ascii="Cambria" w:hAnsi="Cambria" w:cs="Calibri Light"/>
          <w:b/>
          <w:bCs/>
          <w:color w:val="000000" w:themeColor="text1"/>
          <w:sz w:val="20"/>
          <w:szCs w:val="20"/>
          <w:lang w:val="es-CO"/>
        </w:rPr>
        <w:t xml:space="preserve">. </w:t>
      </w:r>
      <w:r w:rsidR="00665901" w:rsidRPr="00491517">
        <w:rPr>
          <w:rFonts w:ascii="Cambria" w:hAnsi="Cambria" w:cs="Calibri Light"/>
          <w:color w:val="000000" w:themeColor="text1"/>
          <w:sz w:val="20"/>
          <w:szCs w:val="20"/>
          <w:lang w:val="es-CO"/>
        </w:rPr>
        <w:t>L</w:t>
      </w:r>
      <w:r w:rsidR="005D0395" w:rsidRPr="00491517">
        <w:rPr>
          <w:rFonts w:ascii="Cambria" w:hAnsi="Cambria" w:cs="Calibri Light"/>
          <w:color w:val="000000" w:themeColor="text1"/>
          <w:sz w:val="20"/>
          <w:szCs w:val="20"/>
          <w:lang w:val="es-CO"/>
        </w:rPr>
        <w:t>a parte peticionaria indicó que espera obtener más información remitida por el Estado que indique las acciones que han sido implementada</w:t>
      </w:r>
      <w:r w:rsidR="00D74AD3" w:rsidRPr="00491517">
        <w:rPr>
          <w:rFonts w:ascii="Cambria" w:hAnsi="Cambria" w:cs="Calibri Light"/>
          <w:color w:val="000000" w:themeColor="text1"/>
          <w:sz w:val="20"/>
          <w:szCs w:val="20"/>
          <w:lang w:val="es-CO"/>
        </w:rPr>
        <w:t>s</w:t>
      </w:r>
      <w:r w:rsidR="005D0395" w:rsidRPr="00491517">
        <w:rPr>
          <w:rFonts w:ascii="Cambria" w:hAnsi="Cambria" w:cs="Calibri Light"/>
          <w:color w:val="000000" w:themeColor="text1"/>
          <w:sz w:val="20"/>
          <w:szCs w:val="20"/>
          <w:lang w:val="es-CO"/>
        </w:rPr>
        <w:t xml:space="preserve"> y que planean ser implementadas respecto </w:t>
      </w:r>
      <w:r w:rsidR="005D0395" w:rsidRPr="00A36C6E">
        <w:rPr>
          <w:rFonts w:ascii="Cambria" w:hAnsi="Cambria"/>
          <w:color w:val="000000" w:themeColor="text1"/>
          <w:sz w:val="20"/>
          <w:szCs w:val="20"/>
          <w:lang w:val="es-CO"/>
        </w:rPr>
        <w:t>al</w:t>
      </w:r>
      <w:r w:rsidR="005D0395" w:rsidRPr="00491517">
        <w:rPr>
          <w:rFonts w:ascii="Cambria" w:hAnsi="Cambria" w:cs="Calibri Light"/>
          <w:color w:val="000000" w:themeColor="text1"/>
          <w:sz w:val="20"/>
          <w:szCs w:val="20"/>
          <w:lang w:val="es-CO"/>
        </w:rPr>
        <w:t xml:space="preserve"> cumplimiento de l</w:t>
      </w:r>
      <w:r w:rsidR="00D74AD3" w:rsidRPr="00491517">
        <w:rPr>
          <w:rFonts w:ascii="Cambria" w:hAnsi="Cambria" w:cs="Calibri Light"/>
          <w:color w:val="000000" w:themeColor="text1"/>
          <w:sz w:val="20"/>
          <w:szCs w:val="20"/>
          <w:lang w:val="es-CO"/>
        </w:rPr>
        <w:t xml:space="preserve">a obligación internacional de reparar a las víctimas de estos casos, sobre todo en el marco de la pandemia. </w:t>
      </w:r>
      <w:r w:rsidR="005D0395" w:rsidRPr="00491517">
        <w:rPr>
          <w:rFonts w:ascii="Cambria" w:hAnsi="Cambria" w:cs="Calibri Light"/>
          <w:color w:val="000000" w:themeColor="text1"/>
          <w:sz w:val="20"/>
          <w:szCs w:val="20"/>
          <w:lang w:val="es-CO"/>
        </w:rPr>
        <w:t xml:space="preserve"> </w:t>
      </w:r>
    </w:p>
    <w:p w14:paraId="4B5E7C55" w14:textId="77777777" w:rsidR="00247DA7" w:rsidRPr="00491517" w:rsidRDefault="00247DA7" w:rsidP="00247DA7">
      <w:pPr>
        <w:pStyle w:val="ListParagraph"/>
        <w:rPr>
          <w:rFonts w:ascii="Cambria" w:hAnsi="Cambria" w:cs="Calibri Light"/>
          <w:color w:val="000000" w:themeColor="text1"/>
          <w:sz w:val="20"/>
          <w:szCs w:val="20"/>
          <w:lang w:val="es-CO"/>
        </w:rPr>
      </w:pPr>
    </w:p>
    <w:p w14:paraId="00F8298B" w14:textId="29A725A9" w:rsidR="00247DA7" w:rsidRPr="00491517" w:rsidRDefault="00665901" w:rsidP="00A36C6E">
      <w:pPr>
        <w:pStyle w:val="ListParagraph"/>
        <w:numPr>
          <w:ilvl w:val="0"/>
          <w:numId w:val="16"/>
        </w:numPr>
        <w:spacing w:after="0" w:line="240" w:lineRule="auto"/>
        <w:ind w:left="0" w:firstLine="720"/>
        <w:jc w:val="both"/>
        <w:rPr>
          <w:rFonts w:ascii="Cambria" w:hAnsi="Cambria" w:cs="Calibri Light"/>
          <w:b/>
          <w:bCs/>
          <w:color w:val="000000" w:themeColor="text1"/>
          <w:sz w:val="20"/>
          <w:szCs w:val="20"/>
          <w:lang w:val="es-CO"/>
        </w:rPr>
      </w:pPr>
      <w:r w:rsidRPr="00491517">
        <w:rPr>
          <w:rFonts w:ascii="Cambria" w:hAnsi="Cambria" w:cs="Calibri Light"/>
          <w:b/>
          <w:bCs/>
          <w:color w:val="000000" w:themeColor="text1"/>
          <w:sz w:val="20"/>
          <w:szCs w:val="20"/>
          <w:lang w:val="es-CO"/>
        </w:rPr>
        <w:t>Consideraciones de la CIDH.</w:t>
      </w:r>
      <w:r w:rsidR="004960F0" w:rsidRPr="00491517">
        <w:rPr>
          <w:rFonts w:ascii="Cambria" w:hAnsi="Cambria" w:cs="Calibri Light"/>
          <w:b/>
          <w:bCs/>
          <w:color w:val="000000" w:themeColor="text1"/>
          <w:sz w:val="20"/>
          <w:szCs w:val="20"/>
          <w:lang w:val="es-CO"/>
        </w:rPr>
        <w:t xml:space="preserve"> </w:t>
      </w:r>
      <w:r w:rsidR="004960F0" w:rsidRPr="00491517">
        <w:rPr>
          <w:rFonts w:ascii="Cambria" w:hAnsi="Cambria" w:cs="Calibri Light"/>
          <w:color w:val="000000" w:themeColor="text1"/>
          <w:sz w:val="20"/>
          <w:szCs w:val="20"/>
          <w:lang w:val="es-CO"/>
        </w:rPr>
        <w:t xml:space="preserve">La Comisión identifica que actualmente el Estado está realizando actividades para articular la obtención de información sobre la atención que ha sido prestada a las personas que figuran en la base de datos de víctimas del periodo de violencia de 1980-2000. Con miras a que el seguimiento del Comunicado de Prensa Conjunto cuente </w:t>
      </w:r>
      <w:r w:rsidR="004960F0" w:rsidRPr="00A36C6E">
        <w:rPr>
          <w:rFonts w:ascii="Cambria" w:hAnsi="Cambria"/>
          <w:color w:val="000000" w:themeColor="text1"/>
          <w:sz w:val="20"/>
          <w:szCs w:val="20"/>
          <w:lang w:val="es-CO"/>
        </w:rPr>
        <w:t>información</w:t>
      </w:r>
      <w:r w:rsidR="004960F0" w:rsidRPr="00491517">
        <w:rPr>
          <w:rFonts w:ascii="Cambria" w:hAnsi="Cambria" w:cs="Calibri Light"/>
          <w:color w:val="000000" w:themeColor="text1"/>
          <w:sz w:val="20"/>
          <w:szCs w:val="20"/>
          <w:lang w:val="es-CO"/>
        </w:rPr>
        <w:t xml:space="preserve"> que permita identificar las medidas de cumplimiento iniciadas o culminadas</w:t>
      </w:r>
      <w:r w:rsidR="00D93D3F" w:rsidRPr="00491517">
        <w:rPr>
          <w:rFonts w:ascii="Cambria" w:hAnsi="Cambria" w:cs="Calibri Light"/>
          <w:color w:val="000000" w:themeColor="text1"/>
          <w:sz w:val="20"/>
          <w:szCs w:val="20"/>
          <w:lang w:val="es-CO"/>
        </w:rPr>
        <w:t xml:space="preserve"> respecto a este eje temático</w:t>
      </w:r>
      <w:r w:rsidR="004960F0" w:rsidRPr="00491517">
        <w:rPr>
          <w:rFonts w:ascii="Cambria" w:hAnsi="Cambria" w:cs="Calibri Light"/>
          <w:color w:val="000000" w:themeColor="text1"/>
          <w:sz w:val="20"/>
          <w:szCs w:val="20"/>
          <w:lang w:val="es-CO"/>
        </w:rPr>
        <w:t>,</w:t>
      </w:r>
      <w:r w:rsidR="00D93D3F" w:rsidRPr="00491517">
        <w:rPr>
          <w:rFonts w:ascii="Cambria" w:hAnsi="Cambria" w:cs="Calibri Light"/>
          <w:color w:val="000000" w:themeColor="text1"/>
          <w:sz w:val="20"/>
          <w:szCs w:val="20"/>
          <w:lang w:val="es-CO"/>
        </w:rPr>
        <w:t xml:space="preserve"> así como</w:t>
      </w:r>
      <w:r w:rsidR="004960F0" w:rsidRPr="00491517">
        <w:rPr>
          <w:rFonts w:ascii="Cambria" w:hAnsi="Cambria" w:cs="Calibri Light"/>
          <w:color w:val="000000" w:themeColor="text1"/>
          <w:sz w:val="20"/>
          <w:szCs w:val="20"/>
          <w:lang w:val="es-CO"/>
        </w:rPr>
        <w:t xml:space="preserve"> sus avances, acciones y desafíos, la CIDH invita a</w:t>
      </w:r>
      <w:r w:rsidR="00D93D3F" w:rsidRPr="00491517">
        <w:rPr>
          <w:rFonts w:ascii="Cambria" w:hAnsi="Cambria" w:cs="Calibri Light"/>
          <w:color w:val="000000" w:themeColor="text1"/>
          <w:sz w:val="20"/>
          <w:szCs w:val="20"/>
          <w:lang w:val="es-CO"/>
        </w:rPr>
        <w:t xml:space="preserve">l Estado a continuar con la recopilación de los registros </w:t>
      </w:r>
      <w:r w:rsidR="00D93D3F" w:rsidRPr="00491517">
        <w:rPr>
          <w:rFonts w:ascii="Cambria" w:hAnsi="Cambria" w:cs="Calibri Light"/>
          <w:color w:val="000000" w:themeColor="text1"/>
          <w:sz w:val="20"/>
          <w:szCs w:val="20"/>
          <w:lang w:val="es-CO"/>
        </w:rPr>
        <w:lastRenderedPageBreak/>
        <w:t>pertinentes</w:t>
      </w:r>
      <w:r w:rsidR="004960F0" w:rsidRPr="00491517">
        <w:rPr>
          <w:rFonts w:ascii="Cambria" w:hAnsi="Cambria" w:cs="Calibri Light"/>
          <w:color w:val="000000" w:themeColor="text1"/>
          <w:sz w:val="20"/>
          <w:szCs w:val="20"/>
          <w:lang w:val="es-CO"/>
        </w:rPr>
        <w:t xml:space="preserve"> y a entrar en diálogos</w:t>
      </w:r>
      <w:r w:rsidR="00D93D3F" w:rsidRPr="00491517">
        <w:rPr>
          <w:rFonts w:ascii="Cambria" w:hAnsi="Cambria" w:cs="Calibri Light"/>
          <w:color w:val="000000" w:themeColor="text1"/>
          <w:sz w:val="20"/>
          <w:szCs w:val="20"/>
          <w:lang w:val="es-CO"/>
        </w:rPr>
        <w:t xml:space="preserve"> con la parte peticionaria y las víctimas con miras a</w:t>
      </w:r>
      <w:r w:rsidR="004960F0" w:rsidRPr="00491517">
        <w:rPr>
          <w:rFonts w:ascii="Cambria" w:hAnsi="Cambria" w:cs="Calibri Light"/>
          <w:color w:val="000000" w:themeColor="text1"/>
          <w:sz w:val="20"/>
          <w:szCs w:val="20"/>
          <w:lang w:val="es-CO"/>
        </w:rPr>
        <w:t xml:space="preserve"> identificar mecanismos garantes del acceso a la rehabilitación de </w:t>
      </w:r>
      <w:r w:rsidR="00D93D3F" w:rsidRPr="00491517">
        <w:rPr>
          <w:rFonts w:ascii="Cambria" w:hAnsi="Cambria" w:cs="Calibri Light"/>
          <w:color w:val="000000" w:themeColor="text1"/>
          <w:sz w:val="20"/>
          <w:szCs w:val="20"/>
          <w:lang w:val="es-CO"/>
        </w:rPr>
        <w:t>estas últimas</w:t>
      </w:r>
      <w:r w:rsidR="004960F0" w:rsidRPr="00491517">
        <w:rPr>
          <w:rFonts w:ascii="Cambria" w:hAnsi="Cambria" w:cs="Calibri Light"/>
          <w:color w:val="000000" w:themeColor="text1"/>
          <w:sz w:val="20"/>
          <w:szCs w:val="20"/>
          <w:lang w:val="es-CO"/>
        </w:rPr>
        <w:t xml:space="preserve">.   </w:t>
      </w:r>
      <w:r w:rsidRPr="00491517">
        <w:rPr>
          <w:rFonts w:ascii="Cambria" w:hAnsi="Cambria" w:cs="Calibri Light"/>
          <w:b/>
          <w:bCs/>
          <w:color w:val="000000" w:themeColor="text1"/>
          <w:sz w:val="20"/>
          <w:szCs w:val="20"/>
          <w:lang w:val="es-CO"/>
        </w:rPr>
        <w:t xml:space="preserve"> </w:t>
      </w:r>
    </w:p>
    <w:p w14:paraId="6107A0B6" w14:textId="77777777" w:rsidR="009A65B9" w:rsidRPr="00491517" w:rsidRDefault="009A65B9" w:rsidP="009A65B9">
      <w:pPr>
        <w:pStyle w:val="ListParagraph"/>
        <w:rPr>
          <w:rFonts w:ascii="Cambria" w:hAnsi="Cambria" w:cs="Calibri Light"/>
          <w:b/>
          <w:bCs/>
          <w:color w:val="000000" w:themeColor="text1"/>
          <w:sz w:val="20"/>
          <w:szCs w:val="20"/>
          <w:lang w:val="es-CO"/>
        </w:rPr>
      </w:pPr>
    </w:p>
    <w:p w14:paraId="37CD7B80" w14:textId="0CA2FDF9" w:rsidR="009A65B9" w:rsidRPr="00491517" w:rsidRDefault="009A65B9" w:rsidP="005E2239">
      <w:pPr>
        <w:pStyle w:val="ListParagraph"/>
        <w:numPr>
          <w:ilvl w:val="0"/>
          <w:numId w:val="32"/>
        </w:numPr>
        <w:spacing w:after="0" w:line="240" w:lineRule="auto"/>
        <w:jc w:val="both"/>
        <w:rPr>
          <w:rFonts w:ascii="Cambria" w:hAnsi="Cambria" w:cs="Calibri Light"/>
          <w:b/>
          <w:bCs/>
          <w:color w:val="000000" w:themeColor="text1"/>
          <w:sz w:val="20"/>
          <w:szCs w:val="20"/>
          <w:lang w:val="es-CO"/>
        </w:rPr>
      </w:pPr>
      <w:r w:rsidRPr="00491517">
        <w:rPr>
          <w:rFonts w:ascii="Cambria" w:hAnsi="Cambria" w:cs="Calibri Light"/>
          <w:b/>
          <w:bCs/>
          <w:color w:val="000000" w:themeColor="text1"/>
          <w:sz w:val="20"/>
          <w:szCs w:val="20"/>
          <w:lang w:val="es-CO"/>
        </w:rPr>
        <w:t xml:space="preserve">Séptimo eje temático. Acceso a proyectos productivos. </w:t>
      </w:r>
    </w:p>
    <w:p w14:paraId="63F5FD1E" w14:textId="6EFC428F" w:rsidR="005E2239" w:rsidRPr="00491517" w:rsidRDefault="005E2239" w:rsidP="005E2239">
      <w:pPr>
        <w:pStyle w:val="ListParagraph"/>
        <w:spacing w:after="0" w:line="240" w:lineRule="auto"/>
        <w:ind w:left="1080"/>
        <w:jc w:val="both"/>
        <w:rPr>
          <w:rFonts w:ascii="Cambria" w:hAnsi="Cambria" w:cs="Calibri Light"/>
          <w:b/>
          <w:bCs/>
          <w:color w:val="000000" w:themeColor="text1"/>
          <w:sz w:val="20"/>
          <w:szCs w:val="20"/>
          <w:lang w:val="es-CO"/>
        </w:rPr>
      </w:pPr>
    </w:p>
    <w:p w14:paraId="7EB500C4" w14:textId="10506AEF" w:rsidR="000F5A4F" w:rsidRPr="00491517" w:rsidRDefault="005E2239" w:rsidP="00F25965">
      <w:pPr>
        <w:pStyle w:val="ListParagraph"/>
        <w:numPr>
          <w:ilvl w:val="0"/>
          <w:numId w:val="16"/>
        </w:numPr>
        <w:spacing w:after="0" w:line="240" w:lineRule="auto"/>
        <w:ind w:left="0" w:firstLine="720"/>
        <w:jc w:val="both"/>
        <w:rPr>
          <w:rFonts w:ascii="Cambria" w:hAnsi="Cambria" w:cs="Calibri Light"/>
          <w:b/>
          <w:bCs/>
          <w:color w:val="000000" w:themeColor="text1"/>
          <w:sz w:val="20"/>
          <w:szCs w:val="20"/>
          <w:lang w:val="es-CO"/>
        </w:rPr>
      </w:pPr>
      <w:r w:rsidRPr="00491517">
        <w:rPr>
          <w:rFonts w:ascii="Cambria" w:hAnsi="Cambria" w:cs="Calibri Light"/>
          <w:b/>
          <w:bCs/>
          <w:color w:val="000000" w:themeColor="text1"/>
          <w:sz w:val="20"/>
          <w:szCs w:val="20"/>
          <w:lang w:val="es-CO"/>
        </w:rPr>
        <w:t>Información remitida por el Estado</w:t>
      </w:r>
      <w:r w:rsidR="000F5A4F" w:rsidRPr="00491517">
        <w:rPr>
          <w:rFonts w:ascii="Cambria" w:hAnsi="Cambria" w:cs="Calibri Light"/>
          <w:b/>
          <w:bCs/>
          <w:color w:val="000000" w:themeColor="text1"/>
          <w:sz w:val="20"/>
          <w:szCs w:val="20"/>
          <w:lang w:val="es-CO"/>
        </w:rPr>
        <w:t xml:space="preserve"> en 2021</w:t>
      </w:r>
      <w:r w:rsidRPr="00491517">
        <w:rPr>
          <w:rFonts w:ascii="Cambria" w:hAnsi="Cambria" w:cs="Calibri Light"/>
          <w:b/>
          <w:bCs/>
          <w:color w:val="000000" w:themeColor="text1"/>
          <w:sz w:val="20"/>
          <w:szCs w:val="20"/>
          <w:lang w:val="es-CO"/>
        </w:rPr>
        <w:t xml:space="preserve">. </w:t>
      </w:r>
      <w:r w:rsidR="000F5A4F" w:rsidRPr="00491517">
        <w:rPr>
          <w:rFonts w:ascii="Cambria" w:hAnsi="Cambria" w:cs="Calibri Light"/>
          <w:color w:val="000000" w:themeColor="text1"/>
          <w:sz w:val="20"/>
          <w:szCs w:val="20"/>
          <w:lang w:val="es-CO"/>
        </w:rPr>
        <w:t>E</w:t>
      </w:r>
      <w:r w:rsidR="000C2489" w:rsidRPr="00491517">
        <w:rPr>
          <w:rFonts w:ascii="Cambria" w:hAnsi="Cambria" w:cs="Calibri Light"/>
          <w:color w:val="000000" w:themeColor="text1"/>
          <w:sz w:val="20"/>
          <w:szCs w:val="20"/>
          <w:lang w:val="es-CO"/>
        </w:rPr>
        <w:t xml:space="preserve">l Estado informó </w:t>
      </w:r>
      <w:r w:rsidR="006A7837" w:rsidRPr="00491517">
        <w:rPr>
          <w:rFonts w:ascii="Cambria" w:hAnsi="Cambria" w:cs="Calibri Light"/>
          <w:color w:val="000000" w:themeColor="text1"/>
          <w:sz w:val="20"/>
          <w:szCs w:val="20"/>
          <w:lang w:val="es-CO"/>
        </w:rPr>
        <w:t>sobre coordinaciones entre la</w:t>
      </w:r>
      <w:r w:rsidR="000C2489" w:rsidRPr="00491517">
        <w:rPr>
          <w:rFonts w:ascii="Cambria" w:hAnsi="Cambria" w:cs="Calibri Light"/>
          <w:color w:val="000000" w:themeColor="text1"/>
          <w:sz w:val="20"/>
          <w:szCs w:val="20"/>
          <w:lang w:val="es-CO"/>
        </w:rPr>
        <w:t xml:space="preserve"> CMAN </w:t>
      </w:r>
      <w:r w:rsidR="006A7837" w:rsidRPr="00491517">
        <w:rPr>
          <w:rFonts w:ascii="Cambria" w:hAnsi="Cambria" w:cs="Calibri Light"/>
          <w:color w:val="000000" w:themeColor="text1"/>
          <w:sz w:val="20"/>
          <w:szCs w:val="20"/>
          <w:lang w:val="es-CO"/>
        </w:rPr>
        <w:t>y</w:t>
      </w:r>
      <w:r w:rsidR="000C2489" w:rsidRPr="00491517">
        <w:rPr>
          <w:rFonts w:ascii="Cambria" w:hAnsi="Cambria" w:cs="Calibri Light"/>
          <w:color w:val="000000" w:themeColor="text1"/>
          <w:sz w:val="20"/>
          <w:szCs w:val="20"/>
          <w:lang w:val="es-CO"/>
        </w:rPr>
        <w:t xml:space="preserve"> </w:t>
      </w:r>
      <w:r w:rsidR="00304FEE" w:rsidRPr="00491517">
        <w:rPr>
          <w:rFonts w:ascii="Cambria" w:hAnsi="Cambria"/>
          <w:color w:val="000000" w:themeColor="text1"/>
          <w:sz w:val="20"/>
          <w:szCs w:val="20"/>
          <w:lang w:val="es-CO"/>
        </w:rPr>
        <w:t xml:space="preserve">la Comisión Nacional para el Desarrollo y Vida sin Drogas (DEVIDA) </w:t>
      </w:r>
      <w:r w:rsidR="006A7837" w:rsidRPr="00491517">
        <w:rPr>
          <w:rFonts w:ascii="Cambria" w:hAnsi="Cambria"/>
          <w:color w:val="000000" w:themeColor="text1"/>
          <w:sz w:val="20"/>
          <w:szCs w:val="20"/>
          <w:lang w:val="es-CO"/>
        </w:rPr>
        <w:t>para identificar la viabilidad de incluir a los casos</w:t>
      </w:r>
      <w:r w:rsidR="00304FEE" w:rsidRPr="00491517">
        <w:rPr>
          <w:rFonts w:ascii="Cambria" w:hAnsi="Cambria"/>
          <w:color w:val="000000" w:themeColor="text1"/>
          <w:sz w:val="20"/>
          <w:szCs w:val="20"/>
          <w:lang w:val="es-CO"/>
        </w:rPr>
        <w:t xml:space="preserve"> en las intervenciones de ejecución directa para el año 2022. Al respecto, </w:t>
      </w:r>
      <w:r w:rsidR="006A7837" w:rsidRPr="00491517">
        <w:rPr>
          <w:rFonts w:ascii="Cambria" w:hAnsi="Cambria"/>
          <w:color w:val="000000" w:themeColor="text1"/>
          <w:sz w:val="20"/>
          <w:szCs w:val="20"/>
          <w:lang w:val="es-CO"/>
        </w:rPr>
        <w:t>resaltó</w:t>
      </w:r>
      <w:r w:rsidR="00304FEE" w:rsidRPr="00491517">
        <w:rPr>
          <w:rFonts w:ascii="Cambria" w:hAnsi="Cambria"/>
          <w:color w:val="000000" w:themeColor="text1"/>
          <w:sz w:val="20"/>
          <w:szCs w:val="20"/>
          <w:lang w:val="es-CO"/>
        </w:rPr>
        <w:t xml:space="preserve"> que DEVIDA informó que los 2 casos preliminarmente identificados no reúnen las condiciones para ser incluidos en las actividades de esta entidad y que está pendiente información adicional sobre mecanismos de atención para el año 2022.</w:t>
      </w:r>
      <w:r w:rsidR="00304FEE" w:rsidRPr="00491517">
        <w:rPr>
          <w:color w:val="000000" w:themeColor="text1"/>
          <w:lang w:val="es-CO"/>
        </w:rPr>
        <w:t xml:space="preserve"> </w:t>
      </w:r>
    </w:p>
    <w:p w14:paraId="2069613A" w14:textId="77777777" w:rsidR="006A7837" w:rsidRPr="00491517" w:rsidRDefault="006A7837" w:rsidP="006A7837">
      <w:pPr>
        <w:pStyle w:val="ListParagraph"/>
        <w:spacing w:after="0" w:line="240" w:lineRule="auto"/>
        <w:jc w:val="both"/>
        <w:rPr>
          <w:rFonts w:ascii="Cambria" w:hAnsi="Cambria" w:cs="Calibri Light"/>
          <w:b/>
          <w:bCs/>
          <w:color w:val="000000" w:themeColor="text1"/>
          <w:sz w:val="20"/>
          <w:szCs w:val="20"/>
          <w:lang w:val="es-CO"/>
        </w:rPr>
      </w:pPr>
    </w:p>
    <w:p w14:paraId="333D7D77" w14:textId="2ADCF02E" w:rsidR="004B6D02" w:rsidRPr="00491517" w:rsidRDefault="000F5A4F" w:rsidP="00F25965">
      <w:pPr>
        <w:pStyle w:val="ListParagraph"/>
        <w:numPr>
          <w:ilvl w:val="0"/>
          <w:numId w:val="16"/>
        </w:numPr>
        <w:spacing w:after="0" w:line="240" w:lineRule="auto"/>
        <w:ind w:left="0" w:firstLine="720"/>
        <w:jc w:val="both"/>
        <w:rPr>
          <w:color w:val="000000" w:themeColor="text1"/>
          <w:lang w:val="es-CO"/>
        </w:rPr>
      </w:pPr>
      <w:r w:rsidRPr="00491517">
        <w:rPr>
          <w:rFonts w:ascii="Cambria" w:hAnsi="Cambria" w:cs="Calibri Light"/>
          <w:color w:val="000000" w:themeColor="text1"/>
          <w:sz w:val="20"/>
          <w:szCs w:val="20"/>
          <w:lang w:val="es-CO"/>
        </w:rPr>
        <w:t>E</w:t>
      </w:r>
      <w:r w:rsidR="006A7837" w:rsidRPr="00491517">
        <w:rPr>
          <w:rFonts w:ascii="Cambria" w:hAnsi="Cambria" w:cs="Calibri Light"/>
          <w:color w:val="000000" w:themeColor="text1"/>
          <w:sz w:val="20"/>
          <w:szCs w:val="20"/>
          <w:lang w:val="es-CO"/>
        </w:rPr>
        <w:t>l Estado</w:t>
      </w:r>
      <w:r w:rsidRPr="00491517">
        <w:rPr>
          <w:rFonts w:ascii="Cambria" w:hAnsi="Cambria" w:cs="Calibri Light"/>
          <w:color w:val="000000" w:themeColor="text1"/>
          <w:sz w:val="20"/>
          <w:szCs w:val="20"/>
          <w:lang w:val="es-CO"/>
        </w:rPr>
        <w:t xml:space="preserve"> también</w:t>
      </w:r>
      <w:r w:rsidR="006A7837" w:rsidRPr="00491517">
        <w:rPr>
          <w:rFonts w:ascii="Cambria" w:hAnsi="Cambria" w:cs="Calibri Light"/>
          <w:color w:val="000000" w:themeColor="text1"/>
          <w:sz w:val="20"/>
          <w:szCs w:val="20"/>
          <w:lang w:val="es-CO"/>
        </w:rPr>
        <w:t xml:space="preserve"> informó </w:t>
      </w:r>
      <w:r w:rsidR="00CF787F" w:rsidRPr="00491517">
        <w:rPr>
          <w:rFonts w:ascii="Cambria" w:hAnsi="Cambria" w:cs="Calibri Light"/>
          <w:color w:val="000000" w:themeColor="text1"/>
          <w:sz w:val="20"/>
          <w:szCs w:val="20"/>
          <w:lang w:val="es-CO"/>
        </w:rPr>
        <w:t>que</w:t>
      </w:r>
      <w:r w:rsidR="00BE554D" w:rsidRPr="00491517">
        <w:rPr>
          <w:rFonts w:ascii="Cambria" w:hAnsi="Cambria" w:cs="Calibri Light"/>
          <w:color w:val="000000" w:themeColor="text1"/>
          <w:sz w:val="20"/>
          <w:szCs w:val="20"/>
          <w:lang w:val="es-CO"/>
        </w:rPr>
        <w:t>, a partir de una articulación previa, la CMAN envió el 17 de agosto de 2021 a</w:t>
      </w:r>
      <w:r w:rsidR="006A7837" w:rsidRPr="00491517">
        <w:rPr>
          <w:rFonts w:ascii="Cambria" w:hAnsi="Cambria"/>
          <w:color w:val="000000" w:themeColor="text1"/>
          <w:sz w:val="20"/>
          <w:szCs w:val="20"/>
          <w:lang w:val="es-CO"/>
        </w:rPr>
        <w:t>l Programa Nacional Tu Empresa</w:t>
      </w:r>
      <w:r w:rsidR="00CF787F" w:rsidRPr="00491517">
        <w:rPr>
          <w:rFonts w:ascii="Cambria" w:hAnsi="Cambria"/>
          <w:color w:val="000000" w:themeColor="text1"/>
          <w:sz w:val="20"/>
          <w:szCs w:val="20"/>
          <w:lang w:val="es-CO"/>
        </w:rPr>
        <w:t xml:space="preserve"> </w:t>
      </w:r>
      <w:r w:rsidR="00BE554D" w:rsidRPr="00491517">
        <w:rPr>
          <w:rFonts w:ascii="Cambria" w:hAnsi="Cambria"/>
          <w:color w:val="000000" w:themeColor="text1"/>
          <w:sz w:val="20"/>
          <w:szCs w:val="20"/>
          <w:lang w:val="es-CO"/>
        </w:rPr>
        <w:t>la última versión d</w:t>
      </w:r>
      <w:r w:rsidR="006A7837" w:rsidRPr="00491517">
        <w:rPr>
          <w:rFonts w:ascii="Cambria" w:hAnsi="Cambria"/>
          <w:color w:val="000000" w:themeColor="text1"/>
          <w:sz w:val="20"/>
          <w:szCs w:val="20"/>
          <w:lang w:val="es-CO"/>
        </w:rPr>
        <w:t xml:space="preserve">el proyecto de Convenio de Cooperación Interinstitucional </w:t>
      </w:r>
      <w:r w:rsidR="00BE554D" w:rsidRPr="00491517">
        <w:rPr>
          <w:rFonts w:ascii="Cambria" w:hAnsi="Cambria"/>
          <w:color w:val="000000" w:themeColor="text1"/>
          <w:sz w:val="20"/>
          <w:szCs w:val="20"/>
          <w:lang w:val="es-CO"/>
        </w:rPr>
        <w:t xml:space="preserve">que permitirá </w:t>
      </w:r>
      <w:r w:rsidR="006A7837" w:rsidRPr="00491517">
        <w:rPr>
          <w:rFonts w:ascii="Cambria" w:hAnsi="Cambria"/>
          <w:color w:val="000000" w:themeColor="text1"/>
          <w:sz w:val="20"/>
          <w:szCs w:val="20"/>
          <w:lang w:val="es-CO"/>
        </w:rPr>
        <w:t>defini</w:t>
      </w:r>
      <w:r w:rsidR="004B6D02" w:rsidRPr="00491517">
        <w:rPr>
          <w:rFonts w:ascii="Cambria" w:hAnsi="Cambria"/>
          <w:color w:val="000000" w:themeColor="text1"/>
          <w:sz w:val="20"/>
          <w:szCs w:val="20"/>
          <w:lang w:val="es-CO"/>
        </w:rPr>
        <w:t>r</w:t>
      </w:r>
      <w:r w:rsidR="006A7837" w:rsidRPr="00491517">
        <w:rPr>
          <w:rFonts w:ascii="Cambria" w:hAnsi="Cambria"/>
          <w:color w:val="000000" w:themeColor="text1"/>
          <w:sz w:val="20"/>
          <w:szCs w:val="20"/>
          <w:lang w:val="es-CO"/>
        </w:rPr>
        <w:t xml:space="preserve"> acciones para </w:t>
      </w:r>
      <w:r w:rsidR="00CF787F" w:rsidRPr="00491517">
        <w:rPr>
          <w:rFonts w:ascii="Cambria" w:hAnsi="Cambria"/>
          <w:color w:val="000000" w:themeColor="text1"/>
          <w:sz w:val="20"/>
          <w:szCs w:val="20"/>
          <w:lang w:val="es-CO"/>
        </w:rPr>
        <w:t>atender los casos del Comunicado de Prensa</w:t>
      </w:r>
      <w:r w:rsidR="00BE554D" w:rsidRPr="00491517">
        <w:rPr>
          <w:rFonts w:ascii="Cambria" w:hAnsi="Cambria"/>
          <w:color w:val="000000" w:themeColor="text1"/>
          <w:sz w:val="20"/>
          <w:szCs w:val="20"/>
          <w:lang w:val="es-CO"/>
        </w:rPr>
        <w:t xml:space="preserve">. </w:t>
      </w:r>
      <w:r w:rsidR="00F54D41" w:rsidRPr="00491517">
        <w:rPr>
          <w:rFonts w:ascii="Cambria" w:hAnsi="Cambria"/>
          <w:color w:val="000000" w:themeColor="text1"/>
          <w:sz w:val="20"/>
          <w:szCs w:val="20"/>
          <w:lang w:val="es-CO"/>
        </w:rPr>
        <w:t>E</w:t>
      </w:r>
      <w:r w:rsidR="004B6D02" w:rsidRPr="00491517">
        <w:rPr>
          <w:rFonts w:ascii="Cambria" w:hAnsi="Cambria"/>
          <w:color w:val="000000" w:themeColor="text1"/>
          <w:sz w:val="20"/>
          <w:szCs w:val="20"/>
          <w:lang w:val="es-CO"/>
        </w:rPr>
        <w:t xml:space="preserve">n cuanto a coordinaciones con las municipalidades, el Estado informó que se han designado representantes del Municipio Provincial de Satipo y del Municipio Distrital de </w:t>
      </w:r>
      <w:proofErr w:type="spellStart"/>
      <w:r w:rsidR="004B6D02" w:rsidRPr="00491517">
        <w:rPr>
          <w:rFonts w:ascii="Cambria" w:hAnsi="Cambria"/>
          <w:color w:val="000000" w:themeColor="text1"/>
          <w:sz w:val="20"/>
          <w:szCs w:val="20"/>
          <w:lang w:val="es-CO"/>
        </w:rPr>
        <w:t>Manantay</w:t>
      </w:r>
      <w:proofErr w:type="spellEnd"/>
      <w:r w:rsidR="004B6D02" w:rsidRPr="00491517">
        <w:rPr>
          <w:rFonts w:ascii="Cambria" w:hAnsi="Cambria"/>
          <w:color w:val="000000" w:themeColor="text1"/>
          <w:sz w:val="20"/>
          <w:szCs w:val="20"/>
          <w:lang w:val="es-CO"/>
        </w:rPr>
        <w:t xml:space="preserve">, pero que siguen en curso acciones para concretar la articulación </w:t>
      </w:r>
      <w:r w:rsidR="004D54A4" w:rsidRPr="00491517">
        <w:rPr>
          <w:rFonts w:ascii="Cambria" w:hAnsi="Cambria"/>
          <w:color w:val="000000" w:themeColor="text1"/>
          <w:sz w:val="20"/>
          <w:szCs w:val="20"/>
          <w:lang w:val="es-CO"/>
        </w:rPr>
        <w:t>de</w:t>
      </w:r>
      <w:r w:rsidR="004B6D02" w:rsidRPr="00491517">
        <w:rPr>
          <w:rFonts w:ascii="Cambria" w:hAnsi="Cambria"/>
          <w:color w:val="000000" w:themeColor="text1"/>
          <w:sz w:val="20"/>
          <w:szCs w:val="20"/>
          <w:lang w:val="es-CO"/>
        </w:rPr>
        <w:t xml:space="preserve"> este eje temático.</w:t>
      </w:r>
      <w:r w:rsidR="00F54D41" w:rsidRPr="00491517">
        <w:rPr>
          <w:rFonts w:ascii="Cambria" w:hAnsi="Cambria"/>
          <w:color w:val="000000" w:themeColor="text1"/>
          <w:sz w:val="20"/>
          <w:szCs w:val="20"/>
          <w:lang w:val="es-CO"/>
        </w:rPr>
        <w:t xml:space="preserve"> Finalmente, el Estado señaló estar a disposición de reunirse con las víctimas en torno a este eje temático a través del MINJUDH. </w:t>
      </w:r>
      <w:r w:rsidR="004B6D02" w:rsidRPr="00491517">
        <w:rPr>
          <w:color w:val="000000" w:themeColor="text1"/>
          <w:lang w:val="es-CO"/>
        </w:rPr>
        <w:t xml:space="preserve"> </w:t>
      </w:r>
    </w:p>
    <w:p w14:paraId="12AF9F36" w14:textId="77777777" w:rsidR="006E36AF" w:rsidRPr="00491517" w:rsidRDefault="006E36AF" w:rsidP="00304FEE">
      <w:pPr>
        <w:spacing w:after="0" w:line="240" w:lineRule="auto"/>
        <w:jc w:val="both"/>
        <w:rPr>
          <w:rFonts w:ascii="Cambria" w:hAnsi="Cambria" w:cs="Calibri Light"/>
          <w:b/>
          <w:bCs/>
          <w:color w:val="000000" w:themeColor="text1"/>
          <w:sz w:val="20"/>
          <w:szCs w:val="20"/>
          <w:lang w:val="es-CO"/>
        </w:rPr>
      </w:pPr>
    </w:p>
    <w:p w14:paraId="652F8288" w14:textId="69777340" w:rsidR="005E2239" w:rsidRPr="00491517" w:rsidRDefault="005E2239" w:rsidP="00F25965">
      <w:pPr>
        <w:pStyle w:val="ListParagraph"/>
        <w:numPr>
          <w:ilvl w:val="0"/>
          <w:numId w:val="16"/>
        </w:numPr>
        <w:spacing w:after="0" w:line="240" w:lineRule="auto"/>
        <w:ind w:left="0" w:firstLine="720"/>
        <w:jc w:val="both"/>
        <w:rPr>
          <w:rFonts w:ascii="Cambria" w:hAnsi="Cambria" w:cs="Calibri Light"/>
          <w:b/>
          <w:bCs/>
          <w:color w:val="000000" w:themeColor="text1"/>
          <w:sz w:val="20"/>
          <w:szCs w:val="20"/>
          <w:lang w:val="es-CO"/>
        </w:rPr>
      </w:pPr>
      <w:r w:rsidRPr="00491517">
        <w:rPr>
          <w:rFonts w:ascii="Cambria" w:hAnsi="Cambria" w:cs="Calibri Light"/>
          <w:b/>
          <w:bCs/>
          <w:color w:val="000000" w:themeColor="text1"/>
          <w:sz w:val="20"/>
          <w:szCs w:val="20"/>
          <w:lang w:val="es-CO"/>
        </w:rPr>
        <w:t>Información remitida por la parte peticionaria</w:t>
      </w:r>
      <w:r w:rsidR="00F85198" w:rsidRPr="00491517">
        <w:rPr>
          <w:rFonts w:ascii="Cambria" w:hAnsi="Cambria" w:cs="Calibri Light"/>
          <w:b/>
          <w:bCs/>
          <w:color w:val="000000" w:themeColor="text1"/>
          <w:sz w:val="20"/>
          <w:szCs w:val="20"/>
          <w:lang w:val="es-CO"/>
        </w:rPr>
        <w:t xml:space="preserve"> en 2021</w:t>
      </w:r>
      <w:r w:rsidRPr="00491517">
        <w:rPr>
          <w:rFonts w:ascii="Cambria" w:hAnsi="Cambria" w:cs="Calibri Light"/>
          <w:b/>
          <w:bCs/>
          <w:color w:val="000000" w:themeColor="text1"/>
          <w:sz w:val="20"/>
          <w:szCs w:val="20"/>
          <w:lang w:val="es-CO"/>
        </w:rPr>
        <w:t xml:space="preserve">. </w:t>
      </w:r>
      <w:r w:rsidR="00317502" w:rsidRPr="00491517">
        <w:rPr>
          <w:rFonts w:ascii="Cambria" w:hAnsi="Cambria" w:cs="Calibri Light"/>
          <w:color w:val="000000" w:themeColor="text1"/>
          <w:sz w:val="20"/>
          <w:szCs w:val="20"/>
          <w:lang w:val="es-CO"/>
        </w:rPr>
        <w:t>La parte</w:t>
      </w:r>
      <w:r w:rsidRPr="00491517">
        <w:rPr>
          <w:rFonts w:ascii="Cambria" w:hAnsi="Cambria"/>
          <w:color w:val="000000" w:themeColor="text1"/>
          <w:sz w:val="20"/>
          <w:szCs w:val="20"/>
          <w:lang w:val="es-EC"/>
        </w:rPr>
        <w:t xml:space="preserve"> peticionaria señaló la ausencia del reconocimiento de medidas dirigidas a la implementación de proyectos productivos para las víctimas del caso.</w:t>
      </w:r>
    </w:p>
    <w:p w14:paraId="2DE8E152" w14:textId="77777777" w:rsidR="006E36AF" w:rsidRPr="00491517" w:rsidRDefault="006E36AF" w:rsidP="006E36AF">
      <w:pPr>
        <w:pStyle w:val="ListParagraph"/>
        <w:rPr>
          <w:rFonts w:ascii="Cambria" w:hAnsi="Cambria" w:cs="Calibri Light"/>
          <w:b/>
          <w:bCs/>
          <w:color w:val="000000" w:themeColor="text1"/>
          <w:sz w:val="20"/>
          <w:szCs w:val="20"/>
          <w:lang w:val="es-CO"/>
        </w:rPr>
      </w:pPr>
    </w:p>
    <w:p w14:paraId="7EB62CFD" w14:textId="5C3A0E89" w:rsidR="006E36AF" w:rsidRPr="00491517" w:rsidRDefault="006E36AF" w:rsidP="00F25965">
      <w:pPr>
        <w:pStyle w:val="ListParagraph"/>
        <w:numPr>
          <w:ilvl w:val="0"/>
          <w:numId w:val="16"/>
        </w:numPr>
        <w:spacing w:after="0" w:line="240" w:lineRule="auto"/>
        <w:ind w:left="0" w:firstLine="720"/>
        <w:jc w:val="both"/>
        <w:rPr>
          <w:rFonts w:ascii="Cambria" w:hAnsi="Cambria" w:cs="Calibri Light"/>
          <w:b/>
          <w:bCs/>
          <w:color w:val="000000" w:themeColor="text1"/>
          <w:sz w:val="20"/>
          <w:szCs w:val="20"/>
          <w:lang w:val="es-CO"/>
        </w:rPr>
      </w:pPr>
      <w:r w:rsidRPr="00491517">
        <w:rPr>
          <w:rFonts w:ascii="Cambria" w:hAnsi="Cambria" w:cs="Calibri Light"/>
          <w:b/>
          <w:bCs/>
          <w:color w:val="000000" w:themeColor="text1"/>
          <w:sz w:val="20"/>
          <w:szCs w:val="20"/>
          <w:lang w:val="es-CO"/>
        </w:rPr>
        <w:t xml:space="preserve">Consideraciones de la CIDH. </w:t>
      </w:r>
      <w:r w:rsidR="007A6F10" w:rsidRPr="00491517">
        <w:rPr>
          <w:rFonts w:ascii="Cambria" w:hAnsi="Cambria" w:cs="Calibri Light"/>
          <w:color w:val="000000" w:themeColor="text1"/>
          <w:sz w:val="20"/>
          <w:szCs w:val="20"/>
          <w:lang w:val="es-CO"/>
        </w:rPr>
        <w:t>La Comisión identifica que el Convenio de Cooperación Interinstitucional que será firmad</w:t>
      </w:r>
      <w:r w:rsidR="004D54A4" w:rsidRPr="00491517">
        <w:rPr>
          <w:rFonts w:ascii="Cambria" w:hAnsi="Cambria" w:cs="Calibri Light"/>
          <w:color w:val="000000" w:themeColor="text1"/>
          <w:sz w:val="20"/>
          <w:szCs w:val="20"/>
          <w:lang w:val="es-CO"/>
        </w:rPr>
        <w:t>o</w:t>
      </w:r>
      <w:r w:rsidR="007A6F10" w:rsidRPr="00491517">
        <w:rPr>
          <w:rFonts w:ascii="Cambria" w:hAnsi="Cambria" w:cs="Calibri Light"/>
          <w:color w:val="000000" w:themeColor="text1"/>
          <w:sz w:val="20"/>
          <w:szCs w:val="20"/>
          <w:lang w:val="es-CO"/>
        </w:rPr>
        <w:t xml:space="preserve"> entre la CMAN y el Programa Nacional Tu Empresa constituye una medida de cumplimiento de las reparaciones relativas a este eje temático. De esta manera, identifica que un avance ha consistido en el diseño del convenio, el cual está a la espera de aprobación y formalización. De esta manera, la Comisión invita al Estado a impulsar la concreción del convenio, de tal forma que se convierta en una </w:t>
      </w:r>
      <w:r w:rsidR="007A6F10" w:rsidRPr="00A36C6E">
        <w:rPr>
          <w:rFonts w:ascii="Cambria" w:hAnsi="Cambria"/>
          <w:color w:val="000000" w:themeColor="text1"/>
          <w:sz w:val="20"/>
          <w:szCs w:val="20"/>
          <w:lang w:val="es-CO"/>
        </w:rPr>
        <w:t>herramienta</w:t>
      </w:r>
      <w:r w:rsidR="007A6F10" w:rsidRPr="00491517">
        <w:rPr>
          <w:rFonts w:ascii="Cambria" w:hAnsi="Cambria" w:cs="Calibri Light"/>
          <w:color w:val="000000" w:themeColor="text1"/>
          <w:sz w:val="20"/>
          <w:szCs w:val="20"/>
          <w:lang w:val="es-CO"/>
        </w:rPr>
        <w:t xml:space="preserve"> dirigida a facilitar la garantía de este eje de reparación. Asimismo, la CIDH invita al Estado a garantizar la participación de la parte peticionaria y de las víctimas con miras a evaluar, en conjunto, la </w:t>
      </w:r>
      <w:r w:rsidR="004D54A4" w:rsidRPr="00491517">
        <w:rPr>
          <w:rFonts w:ascii="Cambria" w:hAnsi="Cambria" w:cs="Calibri Light"/>
          <w:color w:val="000000" w:themeColor="text1"/>
          <w:sz w:val="20"/>
          <w:szCs w:val="20"/>
          <w:lang w:val="es-CO"/>
        </w:rPr>
        <w:t>pertinencia</w:t>
      </w:r>
      <w:r w:rsidR="007A6F10" w:rsidRPr="00491517">
        <w:rPr>
          <w:rFonts w:ascii="Cambria" w:hAnsi="Cambria" w:cs="Calibri Light"/>
          <w:color w:val="000000" w:themeColor="text1"/>
          <w:sz w:val="20"/>
          <w:szCs w:val="20"/>
          <w:lang w:val="es-CO"/>
        </w:rPr>
        <w:t xml:space="preserve"> y el carácter reparador de las medidas incluidas en este plan. </w:t>
      </w:r>
    </w:p>
    <w:p w14:paraId="1A04883C" w14:textId="2F6DAAF2" w:rsidR="0007493E" w:rsidRPr="00491517" w:rsidRDefault="0007493E" w:rsidP="0007493E">
      <w:pPr>
        <w:spacing w:after="0" w:line="240" w:lineRule="auto"/>
        <w:jc w:val="both"/>
        <w:rPr>
          <w:rFonts w:ascii="Cambria" w:hAnsi="Cambria"/>
          <w:color w:val="000000" w:themeColor="text1"/>
          <w:sz w:val="20"/>
          <w:szCs w:val="20"/>
          <w:lang w:val="es-EC"/>
        </w:rPr>
      </w:pPr>
    </w:p>
    <w:p w14:paraId="33FE4E17" w14:textId="44782547" w:rsidR="000049D8" w:rsidRPr="00491517" w:rsidRDefault="003C350D" w:rsidP="003C350D">
      <w:pPr>
        <w:pStyle w:val="ListParagraph"/>
        <w:numPr>
          <w:ilvl w:val="0"/>
          <w:numId w:val="32"/>
        </w:numPr>
        <w:spacing w:after="0" w:line="240" w:lineRule="auto"/>
        <w:jc w:val="both"/>
        <w:rPr>
          <w:rFonts w:ascii="Cambria" w:hAnsi="Cambria"/>
          <w:b/>
          <w:bCs/>
          <w:color w:val="000000" w:themeColor="text1"/>
          <w:sz w:val="20"/>
          <w:szCs w:val="20"/>
          <w:lang w:val="es-EC"/>
        </w:rPr>
      </w:pPr>
      <w:r w:rsidRPr="00491517">
        <w:rPr>
          <w:rFonts w:ascii="Cambria" w:eastAsia="Calibri" w:hAnsi="Cambria" w:cs="Times New Roman"/>
          <w:b/>
          <w:bCs/>
          <w:color w:val="000000" w:themeColor="text1"/>
          <w:sz w:val="20"/>
          <w:szCs w:val="20"/>
          <w:lang w:val="es-ES"/>
        </w:rPr>
        <w:t>Octavo</w:t>
      </w:r>
      <w:r w:rsidR="00583A50" w:rsidRPr="00491517">
        <w:rPr>
          <w:rFonts w:ascii="Cambria" w:eastAsia="Calibri" w:hAnsi="Cambria" w:cs="Times New Roman"/>
          <w:b/>
          <w:bCs/>
          <w:color w:val="000000" w:themeColor="text1"/>
          <w:sz w:val="20"/>
          <w:szCs w:val="20"/>
          <w:lang w:val="es-ES"/>
        </w:rPr>
        <w:t xml:space="preserve"> eje temático. </w:t>
      </w:r>
      <w:r w:rsidR="00583A50" w:rsidRPr="00491517">
        <w:rPr>
          <w:rFonts w:ascii="Cambria" w:hAnsi="Cambria"/>
          <w:b/>
          <w:bCs/>
          <w:color w:val="000000" w:themeColor="text1"/>
          <w:sz w:val="20"/>
          <w:szCs w:val="20"/>
          <w:lang w:val="es-EC"/>
        </w:rPr>
        <w:t xml:space="preserve">Medidas de </w:t>
      </w:r>
      <w:r w:rsidR="00583A50" w:rsidRPr="00491517">
        <w:rPr>
          <w:rFonts w:ascii="Cambria" w:hAnsi="Cambria"/>
          <w:b/>
          <w:bCs/>
          <w:color w:val="000000" w:themeColor="text1"/>
          <w:sz w:val="20"/>
          <w:szCs w:val="20"/>
          <w:lang w:val="es-ES"/>
        </w:rPr>
        <w:t>s</w:t>
      </w:r>
      <w:r w:rsidR="000049D8" w:rsidRPr="00491517">
        <w:rPr>
          <w:rFonts w:ascii="Cambria" w:hAnsi="Cambria"/>
          <w:b/>
          <w:bCs/>
          <w:color w:val="000000" w:themeColor="text1"/>
          <w:sz w:val="20"/>
          <w:szCs w:val="20"/>
          <w:lang w:val="es-ES"/>
        </w:rPr>
        <w:t>atisfacción, tales como medidas simbólicas, morales o no pecuniarias dirigidas a reparar el daño inmaterial mediante el restablecimiento de la dignidad, la honra y la memoria histórica de las víctimas</w:t>
      </w:r>
      <w:r w:rsidR="005E2239" w:rsidRPr="00491517">
        <w:rPr>
          <w:rFonts w:ascii="Cambria" w:hAnsi="Cambria"/>
          <w:b/>
          <w:bCs/>
          <w:color w:val="000000" w:themeColor="text1"/>
          <w:sz w:val="20"/>
          <w:szCs w:val="20"/>
          <w:lang w:val="es-ES"/>
        </w:rPr>
        <w:t>.</w:t>
      </w:r>
    </w:p>
    <w:p w14:paraId="1B95575C" w14:textId="77777777" w:rsidR="000049D8" w:rsidRPr="00491517" w:rsidRDefault="000049D8" w:rsidP="00B537A7">
      <w:pPr>
        <w:pStyle w:val="ListParagraph"/>
        <w:jc w:val="both"/>
        <w:rPr>
          <w:rFonts w:ascii="Cambria" w:hAnsi="Cambria"/>
          <w:b/>
          <w:bCs/>
          <w:color w:val="000000" w:themeColor="text1"/>
          <w:sz w:val="20"/>
          <w:szCs w:val="20"/>
          <w:lang w:val="es-EC"/>
        </w:rPr>
      </w:pPr>
    </w:p>
    <w:p w14:paraId="21F078ED" w14:textId="6FE04A0F" w:rsidR="008B6C28" w:rsidRPr="00491517" w:rsidRDefault="000049D8"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b/>
          <w:bCs/>
          <w:color w:val="000000" w:themeColor="text1"/>
          <w:sz w:val="20"/>
          <w:szCs w:val="20"/>
          <w:lang w:val="es-CO"/>
        </w:rPr>
        <w:t xml:space="preserve"> </w:t>
      </w:r>
      <w:r w:rsidR="005A673F" w:rsidRPr="00491517">
        <w:rPr>
          <w:rFonts w:ascii="Cambria" w:hAnsi="Cambria"/>
          <w:b/>
          <w:bCs/>
          <w:color w:val="000000" w:themeColor="text1"/>
          <w:sz w:val="20"/>
          <w:szCs w:val="20"/>
          <w:lang w:val="es-CO"/>
        </w:rPr>
        <w:t>Información remitida por el Estado</w:t>
      </w:r>
      <w:r w:rsidR="00EA6553" w:rsidRPr="00491517">
        <w:rPr>
          <w:rFonts w:ascii="Cambria" w:hAnsi="Cambria"/>
          <w:b/>
          <w:bCs/>
          <w:color w:val="000000" w:themeColor="text1"/>
          <w:sz w:val="20"/>
          <w:szCs w:val="20"/>
          <w:lang w:val="es-CO"/>
        </w:rPr>
        <w:t xml:space="preserve"> en 2021</w:t>
      </w:r>
      <w:r w:rsidR="005A673F" w:rsidRPr="00491517">
        <w:rPr>
          <w:rFonts w:ascii="Cambria" w:hAnsi="Cambria"/>
          <w:b/>
          <w:bCs/>
          <w:color w:val="000000" w:themeColor="text1"/>
          <w:sz w:val="20"/>
          <w:szCs w:val="20"/>
          <w:lang w:val="es-CO"/>
        </w:rPr>
        <w:t xml:space="preserve">. </w:t>
      </w:r>
      <w:r w:rsidR="008B6C28" w:rsidRPr="00491517">
        <w:rPr>
          <w:rFonts w:ascii="Cambria" w:hAnsi="Cambria"/>
          <w:color w:val="000000" w:themeColor="text1"/>
          <w:sz w:val="20"/>
          <w:szCs w:val="20"/>
          <w:lang w:val="es-CO"/>
        </w:rPr>
        <w:t xml:space="preserve">El Estado informó que realizó actos públicos de reconocimiento a víctimas y familiares del Comunicado de Prensa los días 25 de febrero de 2015 (víctimas de Paccha, distrito de El Tambo, región Junín); 27 de mayo del 2016 (víctimas del Santa, provincia de Chimbote, región Ancash); 19 de octubre de 2018 (Martín Roca Casas); 13 de diciembre de 2019 (Jaime Ayala Sulca, Hugo </w:t>
      </w:r>
      <w:proofErr w:type="spellStart"/>
      <w:r w:rsidR="008B6C28" w:rsidRPr="00491517">
        <w:rPr>
          <w:rFonts w:ascii="Cambria" w:hAnsi="Cambria"/>
          <w:color w:val="000000" w:themeColor="text1"/>
          <w:sz w:val="20"/>
          <w:szCs w:val="20"/>
          <w:lang w:val="es-CO"/>
        </w:rPr>
        <w:t>Bustíos</w:t>
      </w:r>
      <w:proofErr w:type="spellEnd"/>
      <w:r w:rsidR="008B6C28" w:rsidRPr="00491517">
        <w:rPr>
          <w:rFonts w:ascii="Cambria" w:hAnsi="Cambria"/>
          <w:color w:val="000000" w:themeColor="text1"/>
          <w:sz w:val="20"/>
          <w:szCs w:val="20"/>
          <w:lang w:val="es-CO"/>
        </w:rPr>
        <w:t xml:space="preserve"> y Pedro Yauri Bustamante).</w:t>
      </w:r>
    </w:p>
    <w:p w14:paraId="5DCA35F9" w14:textId="77777777" w:rsidR="008B6C28" w:rsidRPr="00491517" w:rsidRDefault="008B6C28" w:rsidP="008B6C28">
      <w:pPr>
        <w:pStyle w:val="ListParagraph"/>
        <w:spacing w:after="0" w:line="240" w:lineRule="auto"/>
        <w:ind w:left="357"/>
        <w:jc w:val="both"/>
        <w:rPr>
          <w:rFonts w:ascii="Cambria" w:hAnsi="Cambria"/>
          <w:color w:val="000000" w:themeColor="text1"/>
          <w:sz w:val="20"/>
          <w:szCs w:val="20"/>
          <w:lang w:val="es-CO"/>
        </w:rPr>
      </w:pPr>
    </w:p>
    <w:p w14:paraId="4788E1D9" w14:textId="5ADB501B" w:rsidR="00114A3C" w:rsidRPr="00491517" w:rsidRDefault="003A5102"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CO"/>
        </w:rPr>
        <w:t>Además, e</w:t>
      </w:r>
      <w:r w:rsidR="005A673F" w:rsidRPr="00491517">
        <w:rPr>
          <w:rFonts w:ascii="Cambria" w:hAnsi="Cambria"/>
          <w:color w:val="000000" w:themeColor="text1"/>
          <w:sz w:val="20"/>
          <w:szCs w:val="20"/>
          <w:lang w:val="es-CO"/>
        </w:rPr>
        <w:t>l Estado</w:t>
      </w:r>
      <w:r w:rsidRPr="00491517">
        <w:rPr>
          <w:rFonts w:ascii="Cambria" w:hAnsi="Cambria"/>
          <w:color w:val="000000" w:themeColor="text1"/>
          <w:sz w:val="20"/>
          <w:szCs w:val="20"/>
          <w:lang w:val="es-CO"/>
        </w:rPr>
        <w:t xml:space="preserve"> informó</w:t>
      </w:r>
      <w:r w:rsidR="007A5476" w:rsidRPr="00491517">
        <w:rPr>
          <w:rFonts w:ascii="Cambria" w:hAnsi="Cambria"/>
          <w:color w:val="000000" w:themeColor="text1"/>
          <w:sz w:val="20"/>
          <w:szCs w:val="20"/>
          <w:lang w:val="es-CO"/>
        </w:rPr>
        <w:t xml:space="preserve"> que</w:t>
      </w:r>
      <w:r w:rsidR="00583A43" w:rsidRPr="00491517">
        <w:rPr>
          <w:rFonts w:ascii="Cambria" w:hAnsi="Cambria"/>
          <w:color w:val="000000" w:themeColor="text1"/>
          <w:sz w:val="20"/>
          <w:szCs w:val="20"/>
          <w:lang w:val="es-CO"/>
        </w:rPr>
        <w:t>, en el marco de la Ley No. 28592,</w:t>
      </w:r>
      <w:r w:rsidR="007A5476" w:rsidRPr="00491517">
        <w:rPr>
          <w:rFonts w:ascii="Cambria" w:hAnsi="Cambria"/>
          <w:color w:val="000000" w:themeColor="text1"/>
          <w:sz w:val="20"/>
          <w:szCs w:val="20"/>
          <w:lang w:val="es-CO"/>
        </w:rPr>
        <w:t xml:space="preserve"> </w:t>
      </w:r>
      <w:r w:rsidR="005A673F" w:rsidRPr="00491517">
        <w:rPr>
          <w:rFonts w:ascii="Cambria" w:hAnsi="Cambria"/>
          <w:color w:val="000000" w:themeColor="text1"/>
          <w:sz w:val="20"/>
          <w:szCs w:val="20"/>
          <w:lang w:val="es-CO"/>
        </w:rPr>
        <w:t xml:space="preserve">la CMAN </w:t>
      </w:r>
      <w:r w:rsidR="003F60A3" w:rsidRPr="00491517">
        <w:rPr>
          <w:rFonts w:ascii="Cambria" w:hAnsi="Cambria"/>
          <w:color w:val="000000" w:themeColor="text1"/>
          <w:sz w:val="20"/>
          <w:szCs w:val="20"/>
          <w:lang w:val="es-CO"/>
        </w:rPr>
        <w:t xml:space="preserve">acordó con </w:t>
      </w:r>
      <w:r w:rsidR="005A673F" w:rsidRPr="00491517">
        <w:rPr>
          <w:rFonts w:ascii="Cambria" w:hAnsi="Cambria"/>
          <w:color w:val="000000" w:themeColor="text1"/>
          <w:sz w:val="20"/>
          <w:szCs w:val="20"/>
          <w:lang w:val="es-CO"/>
        </w:rPr>
        <w:t>el gobierno local de la provincia de Leoncio Prado</w:t>
      </w:r>
      <w:r w:rsidR="003F60A3" w:rsidRPr="00491517">
        <w:rPr>
          <w:rFonts w:ascii="Cambria" w:hAnsi="Cambria"/>
          <w:color w:val="000000" w:themeColor="text1"/>
          <w:sz w:val="20"/>
          <w:szCs w:val="20"/>
          <w:lang w:val="es-CO"/>
        </w:rPr>
        <w:t xml:space="preserve"> en julio de 2021 que coordinará </w:t>
      </w:r>
      <w:r w:rsidR="005A673F" w:rsidRPr="00491517">
        <w:rPr>
          <w:rFonts w:ascii="Cambria" w:hAnsi="Cambria"/>
          <w:color w:val="000000" w:themeColor="text1"/>
          <w:sz w:val="20"/>
          <w:szCs w:val="20"/>
          <w:lang w:val="es-CO"/>
        </w:rPr>
        <w:t>la emisión de una Ordenanza Municipal de reconocimiento a las víctimas del periodo de violencia de 1980 – 2000</w:t>
      </w:r>
      <w:r w:rsidR="003F60A3" w:rsidRPr="00491517">
        <w:rPr>
          <w:rFonts w:ascii="Cambria" w:hAnsi="Cambria"/>
          <w:color w:val="000000" w:themeColor="text1"/>
          <w:sz w:val="20"/>
          <w:szCs w:val="20"/>
          <w:lang w:val="es-CO"/>
        </w:rPr>
        <w:t xml:space="preserve">; que se atenderán </w:t>
      </w:r>
      <w:r w:rsidR="005A673F" w:rsidRPr="00491517">
        <w:rPr>
          <w:rFonts w:ascii="Cambria" w:hAnsi="Cambria"/>
          <w:color w:val="000000" w:themeColor="text1"/>
          <w:sz w:val="20"/>
          <w:szCs w:val="20"/>
          <w:lang w:val="es-CO"/>
        </w:rPr>
        <w:t>las reparaciones simbólicas a los beneficiarios comprendidos en el Decreto Supremo N</w:t>
      </w:r>
      <w:r w:rsidR="003F60A3" w:rsidRPr="00491517">
        <w:rPr>
          <w:rFonts w:ascii="Cambria" w:hAnsi="Cambria"/>
          <w:color w:val="000000" w:themeColor="text1"/>
          <w:sz w:val="20"/>
          <w:szCs w:val="20"/>
          <w:lang w:val="es-CO"/>
        </w:rPr>
        <w:t>o.</w:t>
      </w:r>
      <w:r w:rsidR="005A673F" w:rsidRPr="00491517">
        <w:rPr>
          <w:rFonts w:ascii="Cambria" w:hAnsi="Cambria"/>
          <w:color w:val="000000" w:themeColor="text1"/>
          <w:sz w:val="20"/>
          <w:szCs w:val="20"/>
          <w:lang w:val="es-CO"/>
        </w:rPr>
        <w:t xml:space="preserve"> 005-2002 -JUS</w:t>
      </w:r>
      <w:r w:rsidR="003F60A3" w:rsidRPr="00491517">
        <w:rPr>
          <w:rFonts w:ascii="Cambria" w:hAnsi="Cambria"/>
          <w:color w:val="000000" w:themeColor="text1"/>
          <w:sz w:val="20"/>
          <w:szCs w:val="20"/>
          <w:lang w:val="es-CO"/>
        </w:rPr>
        <w:t>, y que se gestionará</w:t>
      </w:r>
      <w:r w:rsidR="005A673F" w:rsidRPr="00491517">
        <w:rPr>
          <w:rFonts w:ascii="Cambria" w:hAnsi="Cambria"/>
          <w:color w:val="000000" w:themeColor="text1"/>
          <w:sz w:val="20"/>
          <w:szCs w:val="20"/>
          <w:lang w:val="es-CO"/>
        </w:rPr>
        <w:t xml:space="preserve"> la asignación de presupuesto para </w:t>
      </w:r>
      <w:r w:rsidR="003F60A3" w:rsidRPr="00491517">
        <w:rPr>
          <w:rFonts w:ascii="Cambria" w:hAnsi="Cambria"/>
          <w:color w:val="000000" w:themeColor="text1"/>
          <w:sz w:val="20"/>
          <w:szCs w:val="20"/>
          <w:lang w:val="es-CO"/>
        </w:rPr>
        <w:t>mantener</w:t>
      </w:r>
      <w:r w:rsidR="005A673F" w:rsidRPr="00491517">
        <w:rPr>
          <w:rFonts w:ascii="Cambria" w:hAnsi="Cambria"/>
          <w:color w:val="000000" w:themeColor="text1"/>
          <w:sz w:val="20"/>
          <w:szCs w:val="20"/>
          <w:lang w:val="es-CO"/>
        </w:rPr>
        <w:t xml:space="preserve"> el Parque de la Paz y Reconciliación.</w:t>
      </w:r>
      <w:r w:rsidR="00FE7BDD" w:rsidRPr="00491517">
        <w:rPr>
          <w:rFonts w:ascii="Cambria" w:hAnsi="Cambria"/>
          <w:color w:val="000000" w:themeColor="text1"/>
          <w:sz w:val="20"/>
          <w:szCs w:val="20"/>
          <w:lang w:val="es-CO"/>
        </w:rPr>
        <w:t xml:space="preserve"> Por su parte, el Estado también informó que, en julio de 2021, </w:t>
      </w:r>
      <w:r w:rsidR="00FE7BDD" w:rsidRPr="00491517">
        <w:rPr>
          <w:rFonts w:ascii="Cambria" w:hAnsi="Cambria" w:cs="Arial"/>
          <w:color w:val="000000" w:themeColor="text1"/>
          <w:sz w:val="20"/>
          <w:szCs w:val="20"/>
          <w:lang w:val="es-CO"/>
        </w:rPr>
        <w:t>la Gerencia</w:t>
      </w:r>
      <w:r w:rsidR="00DE3906" w:rsidRPr="00491517">
        <w:rPr>
          <w:rFonts w:ascii="Cambria" w:hAnsi="Cambria"/>
          <w:color w:val="000000" w:themeColor="text1"/>
          <w:sz w:val="20"/>
          <w:szCs w:val="20"/>
          <w:lang w:val="es-CO"/>
        </w:rPr>
        <w:t xml:space="preserve"> de Desarrollo Social de la Municipalidad Distrital de Campoverde, la Junta Directiva de la “Asociación de Víctimas del 9 de </w:t>
      </w:r>
      <w:r w:rsidR="00FE7BDD" w:rsidRPr="00491517">
        <w:rPr>
          <w:rFonts w:ascii="Cambria" w:hAnsi="Cambria"/>
          <w:color w:val="000000" w:themeColor="text1"/>
          <w:sz w:val="20"/>
          <w:szCs w:val="20"/>
          <w:lang w:val="es-CO"/>
        </w:rPr>
        <w:t>f</w:t>
      </w:r>
      <w:r w:rsidR="00DE3906" w:rsidRPr="00491517">
        <w:rPr>
          <w:rFonts w:ascii="Cambria" w:hAnsi="Cambria"/>
          <w:color w:val="000000" w:themeColor="text1"/>
          <w:sz w:val="20"/>
          <w:szCs w:val="20"/>
          <w:lang w:val="es-CO"/>
        </w:rPr>
        <w:t>ebrero de 1989”, la Asociación de Víctimas del distrito de Campoverde y de la región Ucayali, la Oficina Defensorial de Ucayali de la Defensoría del Pueblo y la Oficina de Coordinación Regional Huánuco de la Secretaría Ejecutiva de la CMAN a</w:t>
      </w:r>
      <w:r w:rsidR="00FE7BDD" w:rsidRPr="00491517">
        <w:rPr>
          <w:rFonts w:ascii="Cambria" w:hAnsi="Cambria"/>
          <w:color w:val="000000" w:themeColor="text1"/>
          <w:sz w:val="20"/>
          <w:szCs w:val="20"/>
          <w:lang w:val="es-CO"/>
        </w:rPr>
        <w:t>cordaron</w:t>
      </w:r>
      <w:r w:rsidR="00DE3906" w:rsidRPr="00491517">
        <w:rPr>
          <w:rFonts w:ascii="Cambria" w:hAnsi="Cambria"/>
          <w:color w:val="000000" w:themeColor="text1"/>
          <w:sz w:val="20"/>
          <w:szCs w:val="20"/>
          <w:lang w:val="es-CO"/>
        </w:rPr>
        <w:t xml:space="preserve"> gestionar la atención a las víctimas.</w:t>
      </w:r>
      <w:r w:rsidR="00FE7BDD" w:rsidRPr="00491517">
        <w:rPr>
          <w:rFonts w:ascii="Cambria" w:hAnsi="Cambria"/>
          <w:color w:val="000000" w:themeColor="text1"/>
          <w:sz w:val="20"/>
          <w:szCs w:val="20"/>
          <w:lang w:val="es-CO"/>
        </w:rPr>
        <w:t xml:space="preserve"> Además, informó</w:t>
      </w:r>
      <w:r w:rsidR="00DE3906" w:rsidRPr="00491517">
        <w:rPr>
          <w:rFonts w:ascii="Cambria" w:hAnsi="Cambria"/>
          <w:color w:val="000000" w:themeColor="text1"/>
          <w:sz w:val="20"/>
          <w:szCs w:val="20"/>
          <w:lang w:val="es-CO"/>
        </w:rPr>
        <w:t xml:space="preserve"> </w:t>
      </w:r>
      <w:r w:rsidR="00FE7BDD" w:rsidRPr="00491517">
        <w:rPr>
          <w:rFonts w:ascii="Cambria" w:hAnsi="Cambria"/>
          <w:color w:val="000000" w:themeColor="text1"/>
          <w:sz w:val="20"/>
          <w:szCs w:val="20"/>
          <w:lang w:val="es-CO"/>
        </w:rPr>
        <w:lastRenderedPageBreak/>
        <w:t>que</w:t>
      </w:r>
      <w:r w:rsidR="00583A43" w:rsidRPr="00491517">
        <w:rPr>
          <w:rFonts w:ascii="Cambria" w:hAnsi="Cambria"/>
          <w:color w:val="000000" w:themeColor="text1"/>
          <w:sz w:val="20"/>
          <w:szCs w:val="20"/>
          <w:lang w:val="es-CO"/>
        </w:rPr>
        <w:t>, en julio de 2021,</w:t>
      </w:r>
      <w:r w:rsidR="00FE7BDD" w:rsidRPr="00491517">
        <w:rPr>
          <w:rFonts w:ascii="Cambria" w:hAnsi="Cambria"/>
          <w:color w:val="000000" w:themeColor="text1"/>
          <w:sz w:val="20"/>
          <w:szCs w:val="20"/>
          <w:lang w:val="es-CO"/>
        </w:rPr>
        <w:t xml:space="preserve"> estas organizaciones </w:t>
      </w:r>
      <w:r w:rsidR="00DE3906" w:rsidRPr="00491517">
        <w:rPr>
          <w:rFonts w:ascii="Cambria" w:hAnsi="Cambria"/>
          <w:color w:val="000000" w:themeColor="text1"/>
          <w:sz w:val="20"/>
          <w:szCs w:val="20"/>
          <w:lang w:val="es-CO"/>
        </w:rPr>
        <w:t>acord</w:t>
      </w:r>
      <w:r w:rsidR="00FE7BDD" w:rsidRPr="00491517">
        <w:rPr>
          <w:rFonts w:ascii="Cambria" w:hAnsi="Cambria"/>
          <w:color w:val="000000" w:themeColor="text1"/>
          <w:sz w:val="20"/>
          <w:szCs w:val="20"/>
          <w:lang w:val="es-CO"/>
        </w:rPr>
        <w:t>aron</w:t>
      </w:r>
      <w:r w:rsidR="00DE3906" w:rsidRPr="00491517">
        <w:rPr>
          <w:rFonts w:ascii="Cambria" w:hAnsi="Cambria"/>
          <w:color w:val="000000" w:themeColor="text1"/>
          <w:sz w:val="20"/>
          <w:szCs w:val="20"/>
          <w:lang w:val="es-CO"/>
        </w:rPr>
        <w:t xml:space="preserve"> revalorizar el Monumento </w:t>
      </w:r>
      <w:r w:rsidR="00FE7BDD" w:rsidRPr="00491517">
        <w:rPr>
          <w:rFonts w:ascii="Cambria" w:hAnsi="Cambria"/>
          <w:color w:val="000000" w:themeColor="text1"/>
          <w:sz w:val="20"/>
          <w:szCs w:val="20"/>
          <w:lang w:val="es-CO"/>
        </w:rPr>
        <w:t>de</w:t>
      </w:r>
      <w:r w:rsidR="00DE3906" w:rsidRPr="00491517">
        <w:rPr>
          <w:rFonts w:ascii="Cambria" w:hAnsi="Cambria"/>
          <w:color w:val="000000" w:themeColor="text1"/>
          <w:sz w:val="20"/>
          <w:szCs w:val="20"/>
          <w:lang w:val="es-CO"/>
        </w:rPr>
        <w:t xml:space="preserve"> la Plaza “9 de febrero” </w:t>
      </w:r>
      <w:r w:rsidR="00FE7BDD" w:rsidRPr="00491517">
        <w:rPr>
          <w:rFonts w:ascii="Cambria" w:hAnsi="Cambria"/>
          <w:color w:val="000000" w:themeColor="text1"/>
          <w:sz w:val="20"/>
          <w:szCs w:val="20"/>
          <w:lang w:val="es-CO"/>
        </w:rPr>
        <w:t>con</w:t>
      </w:r>
      <w:r w:rsidR="00DE3906" w:rsidRPr="00491517">
        <w:rPr>
          <w:rFonts w:ascii="Cambria" w:hAnsi="Cambria"/>
          <w:color w:val="000000" w:themeColor="text1"/>
          <w:sz w:val="20"/>
          <w:szCs w:val="20"/>
          <w:lang w:val="es-CO"/>
        </w:rPr>
        <w:t xml:space="preserve"> la emisión de una ordenanza que garantice </w:t>
      </w:r>
      <w:r w:rsidR="00FE7BDD" w:rsidRPr="00491517">
        <w:rPr>
          <w:rFonts w:ascii="Cambria" w:hAnsi="Cambria"/>
          <w:color w:val="000000" w:themeColor="text1"/>
          <w:sz w:val="20"/>
          <w:szCs w:val="20"/>
          <w:lang w:val="es-CO"/>
        </w:rPr>
        <w:t>su</w:t>
      </w:r>
      <w:r w:rsidR="00DE3906" w:rsidRPr="00491517">
        <w:rPr>
          <w:rFonts w:ascii="Cambria" w:hAnsi="Cambria"/>
          <w:color w:val="000000" w:themeColor="text1"/>
          <w:sz w:val="20"/>
          <w:szCs w:val="20"/>
          <w:lang w:val="es-CO"/>
        </w:rPr>
        <w:t xml:space="preserve"> mantenimiento</w:t>
      </w:r>
      <w:r w:rsidR="00FE7BDD" w:rsidRPr="00491517">
        <w:rPr>
          <w:rFonts w:ascii="Cambria" w:hAnsi="Cambria"/>
          <w:color w:val="000000" w:themeColor="text1"/>
          <w:sz w:val="20"/>
          <w:szCs w:val="20"/>
          <w:lang w:val="es-CO"/>
        </w:rPr>
        <w:t xml:space="preserve"> y </w:t>
      </w:r>
      <w:r w:rsidR="00DE3906" w:rsidRPr="00491517">
        <w:rPr>
          <w:rFonts w:ascii="Cambria" w:hAnsi="Cambria"/>
          <w:color w:val="000000" w:themeColor="text1"/>
          <w:sz w:val="20"/>
          <w:szCs w:val="20"/>
          <w:lang w:val="es-CO"/>
        </w:rPr>
        <w:t>cuidado</w:t>
      </w:r>
      <w:r w:rsidR="00FE7BDD" w:rsidRPr="00491517">
        <w:rPr>
          <w:rFonts w:ascii="Cambria" w:hAnsi="Cambria"/>
          <w:color w:val="000000" w:themeColor="text1"/>
          <w:sz w:val="20"/>
          <w:szCs w:val="20"/>
          <w:lang w:val="es-CO"/>
        </w:rPr>
        <w:t>;</w:t>
      </w:r>
      <w:r w:rsidR="00DE3906" w:rsidRPr="00491517">
        <w:rPr>
          <w:rFonts w:ascii="Cambria" w:hAnsi="Cambria"/>
          <w:color w:val="000000" w:themeColor="text1"/>
          <w:sz w:val="20"/>
          <w:szCs w:val="20"/>
          <w:lang w:val="es-CO"/>
        </w:rPr>
        <w:t xml:space="preserve"> la</w:t>
      </w:r>
      <w:r w:rsidR="00FE7BDD" w:rsidRPr="00491517">
        <w:rPr>
          <w:rFonts w:ascii="Cambria" w:hAnsi="Cambria"/>
          <w:color w:val="000000" w:themeColor="text1"/>
          <w:sz w:val="20"/>
          <w:szCs w:val="20"/>
          <w:lang w:val="es-CO"/>
        </w:rPr>
        <w:t xml:space="preserve"> identificación </w:t>
      </w:r>
      <w:r w:rsidR="00DE3906" w:rsidRPr="00491517">
        <w:rPr>
          <w:rFonts w:ascii="Cambria" w:hAnsi="Cambria"/>
          <w:color w:val="000000" w:themeColor="text1"/>
          <w:sz w:val="20"/>
          <w:szCs w:val="20"/>
          <w:lang w:val="es-CO"/>
        </w:rPr>
        <w:t xml:space="preserve">de una fecha emblemática </w:t>
      </w:r>
      <w:r w:rsidR="00FE7BDD" w:rsidRPr="00491517">
        <w:rPr>
          <w:rFonts w:ascii="Cambria" w:hAnsi="Cambria"/>
          <w:color w:val="000000" w:themeColor="text1"/>
          <w:sz w:val="20"/>
          <w:szCs w:val="20"/>
          <w:lang w:val="es-CO"/>
        </w:rPr>
        <w:t>que reconozca</w:t>
      </w:r>
      <w:r w:rsidR="00DE3906" w:rsidRPr="00491517">
        <w:rPr>
          <w:rFonts w:ascii="Cambria" w:hAnsi="Cambria"/>
          <w:color w:val="000000" w:themeColor="text1"/>
          <w:sz w:val="20"/>
          <w:szCs w:val="20"/>
          <w:lang w:val="es-CO"/>
        </w:rPr>
        <w:t xml:space="preserve"> a las víctimas</w:t>
      </w:r>
      <w:r w:rsidR="00FE7BDD" w:rsidRPr="00491517">
        <w:rPr>
          <w:rFonts w:ascii="Cambria" w:hAnsi="Cambria"/>
          <w:color w:val="000000" w:themeColor="text1"/>
          <w:sz w:val="20"/>
          <w:szCs w:val="20"/>
          <w:lang w:val="es-CO"/>
        </w:rPr>
        <w:t>,</w:t>
      </w:r>
      <w:r w:rsidR="00DE3906" w:rsidRPr="00491517">
        <w:rPr>
          <w:rFonts w:ascii="Cambria" w:hAnsi="Cambria"/>
          <w:color w:val="000000" w:themeColor="text1"/>
          <w:sz w:val="20"/>
          <w:szCs w:val="20"/>
          <w:lang w:val="es-CO"/>
        </w:rPr>
        <w:t xml:space="preserve"> </w:t>
      </w:r>
      <w:r w:rsidR="00FE7BDD" w:rsidRPr="00491517">
        <w:rPr>
          <w:rFonts w:ascii="Cambria" w:hAnsi="Cambria"/>
          <w:color w:val="000000" w:themeColor="text1"/>
          <w:sz w:val="20"/>
          <w:szCs w:val="20"/>
          <w:lang w:val="es-CO"/>
        </w:rPr>
        <w:t>y la incorporación de</w:t>
      </w:r>
      <w:r w:rsidR="00DE3906" w:rsidRPr="00491517">
        <w:rPr>
          <w:rFonts w:ascii="Cambria" w:hAnsi="Cambria"/>
          <w:color w:val="000000" w:themeColor="text1"/>
          <w:sz w:val="20"/>
          <w:szCs w:val="20"/>
          <w:lang w:val="es-CO"/>
        </w:rPr>
        <w:t xml:space="preserve"> atención prioritaria co</w:t>
      </w:r>
      <w:r w:rsidR="00FE7BDD" w:rsidRPr="00491517">
        <w:rPr>
          <w:rFonts w:ascii="Cambria" w:hAnsi="Cambria"/>
          <w:color w:val="000000" w:themeColor="text1"/>
          <w:sz w:val="20"/>
          <w:szCs w:val="20"/>
          <w:lang w:val="es-CO"/>
        </w:rPr>
        <w:t>n</w:t>
      </w:r>
      <w:r w:rsidR="00DE3906" w:rsidRPr="00491517">
        <w:rPr>
          <w:rFonts w:ascii="Cambria" w:hAnsi="Cambria"/>
          <w:color w:val="000000" w:themeColor="text1"/>
          <w:sz w:val="20"/>
          <w:szCs w:val="20"/>
          <w:lang w:val="es-CO"/>
        </w:rPr>
        <w:t xml:space="preserve"> exoneración de tasas municipales, licencias de construcción, emisión de partidas de nacimiento y de defunción</w:t>
      </w:r>
      <w:r w:rsidR="00FE7BDD" w:rsidRPr="00491517">
        <w:rPr>
          <w:rFonts w:ascii="Cambria" w:hAnsi="Cambria"/>
          <w:color w:val="000000" w:themeColor="text1"/>
          <w:sz w:val="20"/>
          <w:szCs w:val="20"/>
          <w:lang w:val="es-CO"/>
        </w:rPr>
        <w:t>.</w:t>
      </w:r>
      <w:r w:rsidR="00DE3906" w:rsidRPr="00491517">
        <w:rPr>
          <w:rFonts w:ascii="Cambria" w:hAnsi="Cambria"/>
          <w:color w:val="000000" w:themeColor="text1"/>
          <w:sz w:val="20"/>
          <w:szCs w:val="20"/>
          <w:lang w:val="es-CO"/>
        </w:rPr>
        <w:t xml:space="preserve"> </w:t>
      </w:r>
    </w:p>
    <w:p w14:paraId="2BFA75A8" w14:textId="77777777" w:rsidR="00F85198" w:rsidRPr="00491517" w:rsidRDefault="00F85198" w:rsidP="00F85198">
      <w:pPr>
        <w:pStyle w:val="ListParagraph"/>
        <w:spacing w:after="0" w:line="240" w:lineRule="auto"/>
        <w:ind w:left="357"/>
        <w:jc w:val="both"/>
        <w:rPr>
          <w:rFonts w:ascii="Cambria" w:hAnsi="Cambria"/>
          <w:color w:val="000000" w:themeColor="text1"/>
          <w:sz w:val="20"/>
          <w:szCs w:val="20"/>
          <w:lang w:val="es-CO"/>
        </w:rPr>
      </w:pPr>
    </w:p>
    <w:p w14:paraId="26EBCB2D" w14:textId="3063708F" w:rsidR="00317502" w:rsidRPr="00491517" w:rsidRDefault="00F85198" w:rsidP="00A36C6E">
      <w:pPr>
        <w:pStyle w:val="ListParagraph"/>
        <w:numPr>
          <w:ilvl w:val="0"/>
          <w:numId w:val="16"/>
        </w:numPr>
        <w:spacing w:after="0" w:line="240" w:lineRule="auto"/>
        <w:ind w:left="0" w:firstLine="720"/>
        <w:jc w:val="both"/>
        <w:rPr>
          <w:rFonts w:ascii="Cambria" w:hAnsi="Cambria" w:cs="Calibri Light"/>
          <w:color w:val="000000" w:themeColor="text1"/>
          <w:sz w:val="20"/>
          <w:szCs w:val="20"/>
          <w:lang w:val="es-CO"/>
        </w:rPr>
      </w:pPr>
      <w:r w:rsidRPr="00491517">
        <w:rPr>
          <w:rFonts w:ascii="Cambria" w:hAnsi="Cambria" w:cs="Calibri Light"/>
          <w:b/>
          <w:bCs/>
          <w:color w:val="000000" w:themeColor="text1"/>
          <w:sz w:val="20"/>
          <w:szCs w:val="20"/>
          <w:lang w:val="es-CO"/>
        </w:rPr>
        <w:t>Información remitida por la parte peticionaria en 2021.</w:t>
      </w:r>
      <w:r w:rsidRPr="00491517">
        <w:rPr>
          <w:rFonts w:ascii="Cambria" w:hAnsi="Cambria" w:cs="Calibri Light"/>
          <w:color w:val="000000" w:themeColor="text1"/>
          <w:sz w:val="20"/>
          <w:szCs w:val="20"/>
          <w:lang w:val="es-CO"/>
        </w:rPr>
        <w:t xml:space="preserve"> La parte peticionaria saludó algunos avanzos alcanzados frente a este eje temático. Sin embargo, señaló que está a la espera de que se retome el diálogo con la CMAN en torno a la colocación de una placa conmemorativa en el Lugar de la Memoria (LUM) con el nombre de las víctimas de estos casos y con réplicas en cada región. Asimismo, la parte peticionaria recordó</w:t>
      </w:r>
      <w:r w:rsidR="00BC2D99" w:rsidRPr="00491517">
        <w:rPr>
          <w:rFonts w:ascii="Cambria" w:hAnsi="Cambria" w:cs="Calibri Light"/>
          <w:color w:val="000000" w:themeColor="text1"/>
          <w:sz w:val="20"/>
          <w:szCs w:val="20"/>
          <w:lang w:val="es-CO"/>
        </w:rPr>
        <w:t xml:space="preserve"> que </w:t>
      </w:r>
      <w:r w:rsidR="003A5102" w:rsidRPr="00491517">
        <w:rPr>
          <w:rFonts w:ascii="Cambria" w:hAnsi="Cambria" w:cs="Calibri Light"/>
          <w:color w:val="000000" w:themeColor="text1"/>
          <w:sz w:val="20"/>
          <w:szCs w:val="20"/>
          <w:lang w:val="es-CO"/>
        </w:rPr>
        <w:t>se coordinó con</w:t>
      </w:r>
      <w:r w:rsidR="00BC2D99" w:rsidRPr="00491517">
        <w:rPr>
          <w:rFonts w:ascii="Cambria" w:hAnsi="Cambria" w:cs="Calibri Light"/>
          <w:color w:val="000000" w:themeColor="text1"/>
          <w:sz w:val="20"/>
          <w:szCs w:val="20"/>
          <w:lang w:val="es-CO"/>
        </w:rPr>
        <w:t xml:space="preserve"> la CMAN la colocación de una placa conmemorativa en el Lugar de la Memoria – LUM, </w:t>
      </w:r>
      <w:r w:rsidR="00BC2D99" w:rsidRPr="00A36C6E">
        <w:rPr>
          <w:rFonts w:ascii="Cambria" w:hAnsi="Cambria"/>
          <w:color w:val="000000" w:themeColor="text1"/>
          <w:sz w:val="20"/>
          <w:szCs w:val="20"/>
          <w:lang w:val="es-CO"/>
        </w:rPr>
        <w:t>con</w:t>
      </w:r>
      <w:r w:rsidR="00BC2D99" w:rsidRPr="00491517">
        <w:rPr>
          <w:rFonts w:ascii="Cambria" w:hAnsi="Cambria" w:cs="Calibri Light"/>
          <w:color w:val="000000" w:themeColor="text1"/>
          <w:sz w:val="20"/>
          <w:szCs w:val="20"/>
          <w:lang w:val="es-CO"/>
        </w:rPr>
        <w:t xml:space="preserve"> el nombre de todas las víctimas y su réplica en ca</w:t>
      </w:r>
      <w:r w:rsidR="003A5102" w:rsidRPr="00491517">
        <w:rPr>
          <w:rFonts w:ascii="Cambria" w:hAnsi="Cambria" w:cs="Calibri Light"/>
          <w:color w:val="000000" w:themeColor="text1"/>
          <w:sz w:val="20"/>
          <w:szCs w:val="20"/>
          <w:lang w:val="es-CO"/>
        </w:rPr>
        <w:t>d</w:t>
      </w:r>
      <w:r w:rsidR="00BC2D99" w:rsidRPr="00491517">
        <w:rPr>
          <w:rFonts w:ascii="Cambria" w:hAnsi="Cambria" w:cs="Calibri Light"/>
          <w:color w:val="000000" w:themeColor="text1"/>
          <w:sz w:val="20"/>
          <w:szCs w:val="20"/>
          <w:lang w:val="es-CO"/>
        </w:rPr>
        <w:t xml:space="preserve">a región, </w:t>
      </w:r>
      <w:r w:rsidR="003A5102" w:rsidRPr="00491517">
        <w:rPr>
          <w:rFonts w:ascii="Cambria" w:hAnsi="Cambria" w:cs="Calibri Light"/>
          <w:color w:val="000000" w:themeColor="text1"/>
          <w:sz w:val="20"/>
          <w:szCs w:val="20"/>
          <w:lang w:val="es-CO"/>
        </w:rPr>
        <w:t>estando</w:t>
      </w:r>
      <w:r w:rsidR="00BC2D99" w:rsidRPr="00491517">
        <w:rPr>
          <w:rFonts w:ascii="Cambria" w:hAnsi="Cambria" w:cs="Calibri Light"/>
          <w:color w:val="000000" w:themeColor="text1"/>
          <w:sz w:val="20"/>
          <w:szCs w:val="20"/>
          <w:lang w:val="es-CO"/>
        </w:rPr>
        <w:t xml:space="preserve"> a la espera de que superada la pandemia por COVID-19 se implement</w:t>
      </w:r>
      <w:r w:rsidR="003A5102" w:rsidRPr="00491517">
        <w:rPr>
          <w:rFonts w:ascii="Cambria" w:hAnsi="Cambria" w:cs="Calibri Light"/>
          <w:color w:val="000000" w:themeColor="text1"/>
          <w:sz w:val="20"/>
          <w:szCs w:val="20"/>
          <w:lang w:val="es-CO"/>
        </w:rPr>
        <w:t>e</w:t>
      </w:r>
      <w:r w:rsidR="00BC2D99" w:rsidRPr="00491517">
        <w:rPr>
          <w:rFonts w:ascii="Cambria" w:hAnsi="Cambria" w:cs="Calibri Light"/>
          <w:color w:val="000000" w:themeColor="text1"/>
          <w:sz w:val="20"/>
          <w:szCs w:val="20"/>
          <w:lang w:val="es-CO"/>
        </w:rPr>
        <w:t xml:space="preserve"> </w:t>
      </w:r>
      <w:r w:rsidR="00E11724" w:rsidRPr="00491517">
        <w:rPr>
          <w:rFonts w:ascii="Cambria" w:hAnsi="Cambria" w:cs="Calibri Light"/>
          <w:color w:val="000000" w:themeColor="text1"/>
          <w:sz w:val="20"/>
          <w:szCs w:val="20"/>
          <w:lang w:val="es-CO"/>
        </w:rPr>
        <w:t>este acuerdo, además del compromiso de realizar el mantenimiento y cuidado de las placas que actualmente se encuentran en Perú.</w:t>
      </w:r>
    </w:p>
    <w:p w14:paraId="4A833742" w14:textId="77777777" w:rsidR="00317502" w:rsidRPr="00491517" w:rsidRDefault="00317502" w:rsidP="00317502">
      <w:pPr>
        <w:pStyle w:val="ListParagraph"/>
        <w:spacing w:after="0" w:line="240" w:lineRule="auto"/>
        <w:ind w:left="357"/>
        <w:jc w:val="both"/>
        <w:rPr>
          <w:rFonts w:ascii="Cambria" w:hAnsi="Cambria" w:cs="Calibri Light"/>
          <w:color w:val="000000" w:themeColor="text1"/>
          <w:sz w:val="20"/>
          <w:szCs w:val="20"/>
          <w:lang w:val="es-CO"/>
        </w:rPr>
      </w:pPr>
    </w:p>
    <w:p w14:paraId="555864DC" w14:textId="67F27B2C" w:rsidR="002A7D24" w:rsidRPr="00491517" w:rsidRDefault="00621644" w:rsidP="00A36C6E">
      <w:pPr>
        <w:pStyle w:val="ListParagraph"/>
        <w:numPr>
          <w:ilvl w:val="0"/>
          <w:numId w:val="16"/>
        </w:numPr>
        <w:spacing w:after="0" w:line="240" w:lineRule="auto"/>
        <w:ind w:left="0" w:firstLine="720"/>
        <w:jc w:val="both"/>
        <w:rPr>
          <w:rFonts w:ascii="Cambria" w:hAnsi="Cambria"/>
          <w:b/>
          <w:bCs/>
          <w:color w:val="000000" w:themeColor="text1"/>
          <w:sz w:val="20"/>
          <w:szCs w:val="20"/>
          <w:lang w:val="es-EC"/>
        </w:rPr>
      </w:pPr>
      <w:r w:rsidRPr="00491517">
        <w:rPr>
          <w:rFonts w:ascii="Cambria" w:hAnsi="Cambria" w:cs="Calibri Light"/>
          <w:b/>
          <w:bCs/>
          <w:color w:val="000000" w:themeColor="text1"/>
          <w:sz w:val="20"/>
          <w:szCs w:val="20"/>
          <w:lang w:val="es-CO"/>
        </w:rPr>
        <w:t>Consideraciones de la CIDH.</w:t>
      </w:r>
      <w:r w:rsidR="00F85198" w:rsidRPr="00491517">
        <w:rPr>
          <w:rFonts w:ascii="Cambria" w:hAnsi="Cambria" w:cs="Calibri Light"/>
          <w:b/>
          <w:bCs/>
          <w:color w:val="000000" w:themeColor="text1"/>
          <w:sz w:val="20"/>
          <w:szCs w:val="20"/>
          <w:lang w:val="es-CO"/>
        </w:rPr>
        <w:t xml:space="preserve"> </w:t>
      </w:r>
      <w:r w:rsidR="00B12C51" w:rsidRPr="00491517">
        <w:rPr>
          <w:rFonts w:ascii="Cambria" w:hAnsi="Cambria" w:cs="Calibri Light"/>
          <w:color w:val="000000" w:themeColor="text1"/>
          <w:sz w:val="20"/>
          <w:szCs w:val="20"/>
          <w:lang w:val="es-CO"/>
        </w:rPr>
        <w:t xml:space="preserve">La Comisión identifica que </w:t>
      </w:r>
      <w:r w:rsidR="008B6C28" w:rsidRPr="00491517">
        <w:rPr>
          <w:rFonts w:ascii="Cambria" w:hAnsi="Cambria" w:cs="Calibri Light"/>
          <w:color w:val="000000" w:themeColor="text1"/>
          <w:sz w:val="20"/>
          <w:szCs w:val="20"/>
          <w:lang w:val="es-CO"/>
        </w:rPr>
        <w:t xml:space="preserve">el Estado </w:t>
      </w:r>
      <w:r w:rsidR="002A7D24" w:rsidRPr="00491517">
        <w:rPr>
          <w:rFonts w:ascii="Cambria" w:hAnsi="Cambria" w:cs="Calibri Light"/>
          <w:color w:val="000000" w:themeColor="text1"/>
          <w:sz w:val="20"/>
          <w:szCs w:val="20"/>
          <w:lang w:val="es-CO"/>
        </w:rPr>
        <w:t>implementó cinco</w:t>
      </w:r>
      <w:r w:rsidR="008B6C28" w:rsidRPr="00491517">
        <w:rPr>
          <w:rFonts w:ascii="Cambria" w:hAnsi="Cambria" w:cs="Calibri Light"/>
          <w:color w:val="000000" w:themeColor="text1"/>
          <w:sz w:val="20"/>
          <w:szCs w:val="20"/>
          <w:lang w:val="es-CO"/>
        </w:rPr>
        <w:t xml:space="preserve"> medidas de cumplimiento correspondientes a actos dirigidos a garantizar el derecho a la satisfacción de las víctimas. Al respecto, la CIDH observa que estos actos del 2015 al 2019 y que consistieron en</w:t>
      </w:r>
      <w:r w:rsidR="002A7D24" w:rsidRPr="00491517">
        <w:rPr>
          <w:rFonts w:ascii="Cambria" w:hAnsi="Cambria" w:cs="Calibri Light"/>
          <w:color w:val="000000" w:themeColor="text1"/>
          <w:sz w:val="20"/>
          <w:szCs w:val="20"/>
          <w:lang w:val="es-CO"/>
        </w:rPr>
        <w:t xml:space="preserve"> actos públicos de conmemoración, ofrecimiento de disculpas públicas por autoridades locales y nacionales; develación de placas </w:t>
      </w:r>
      <w:r w:rsidR="002A7D24" w:rsidRPr="00A36C6E">
        <w:rPr>
          <w:rFonts w:ascii="Cambria" w:hAnsi="Cambria"/>
          <w:color w:val="000000" w:themeColor="text1"/>
          <w:sz w:val="20"/>
          <w:szCs w:val="20"/>
          <w:lang w:val="es-CO"/>
        </w:rPr>
        <w:t>conmemorativas</w:t>
      </w:r>
      <w:r w:rsidR="002A7D24" w:rsidRPr="00491517">
        <w:rPr>
          <w:rFonts w:ascii="Cambria" w:hAnsi="Cambria" w:cs="Calibri Light"/>
          <w:color w:val="000000" w:themeColor="text1"/>
          <w:sz w:val="20"/>
          <w:szCs w:val="20"/>
          <w:lang w:val="es-CO"/>
        </w:rPr>
        <w:t>; dignificación de la memoria de las víctimas con participación de familiares, y ceremonias de reconocimiento público. Al respecto, la CIDH invita a la parte peticionaria a remitir sus observaciones sobre la realización de estos actos públicos con miras a identificar el efecto reparado</w:t>
      </w:r>
      <w:r w:rsidR="003A5102" w:rsidRPr="00491517">
        <w:rPr>
          <w:rFonts w:ascii="Cambria" w:hAnsi="Cambria" w:cs="Calibri Light"/>
          <w:color w:val="000000" w:themeColor="text1"/>
          <w:sz w:val="20"/>
          <w:szCs w:val="20"/>
          <w:lang w:val="es-CO"/>
        </w:rPr>
        <w:t>r</w:t>
      </w:r>
      <w:r w:rsidR="002A7D24" w:rsidRPr="00491517">
        <w:rPr>
          <w:rFonts w:ascii="Cambria" w:hAnsi="Cambria" w:cs="Calibri Light"/>
          <w:color w:val="000000" w:themeColor="text1"/>
          <w:sz w:val="20"/>
          <w:szCs w:val="20"/>
          <w:lang w:val="es-CO"/>
        </w:rPr>
        <w:t xml:space="preserve"> que han </w:t>
      </w:r>
      <w:r w:rsidR="003A5102" w:rsidRPr="00491517">
        <w:rPr>
          <w:rFonts w:ascii="Cambria" w:hAnsi="Cambria" w:cs="Calibri Light"/>
          <w:color w:val="000000" w:themeColor="text1"/>
          <w:sz w:val="20"/>
          <w:szCs w:val="20"/>
          <w:lang w:val="es-CO"/>
        </w:rPr>
        <w:t>tenido</w:t>
      </w:r>
      <w:r w:rsidR="002A7D24" w:rsidRPr="00491517">
        <w:rPr>
          <w:rFonts w:ascii="Cambria" w:hAnsi="Cambria" w:cs="Calibri Light"/>
          <w:color w:val="000000" w:themeColor="text1"/>
          <w:sz w:val="20"/>
          <w:szCs w:val="20"/>
          <w:lang w:val="es-CO"/>
        </w:rPr>
        <w:t xml:space="preserve"> para las víctimas. </w:t>
      </w:r>
    </w:p>
    <w:p w14:paraId="75ED92C6" w14:textId="77777777" w:rsidR="002A7D24" w:rsidRPr="00491517" w:rsidRDefault="002A7D24" w:rsidP="002A7D24">
      <w:pPr>
        <w:pStyle w:val="ListParagraph"/>
        <w:rPr>
          <w:rFonts w:ascii="Cambria" w:hAnsi="Cambria"/>
          <w:b/>
          <w:bCs/>
          <w:color w:val="000000" w:themeColor="text1"/>
          <w:sz w:val="20"/>
          <w:szCs w:val="20"/>
          <w:lang w:val="es-EC"/>
        </w:rPr>
      </w:pPr>
    </w:p>
    <w:p w14:paraId="36787EB2" w14:textId="5C6C3F65" w:rsidR="002A7D24" w:rsidRPr="00491517" w:rsidRDefault="002A7D24" w:rsidP="00A36C6E">
      <w:pPr>
        <w:pStyle w:val="ListParagraph"/>
        <w:numPr>
          <w:ilvl w:val="0"/>
          <w:numId w:val="16"/>
        </w:numPr>
        <w:spacing w:after="0" w:line="240" w:lineRule="auto"/>
        <w:ind w:left="0" w:firstLine="720"/>
        <w:jc w:val="both"/>
        <w:rPr>
          <w:rFonts w:ascii="Cambria" w:hAnsi="Cambria"/>
          <w:color w:val="000000" w:themeColor="text1"/>
          <w:sz w:val="20"/>
          <w:szCs w:val="20"/>
          <w:lang w:val="es-CO"/>
        </w:rPr>
      </w:pPr>
      <w:r w:rsidRPr="00491517">
        <w:rPr>
          <w:rFonts w:ascii="Cambria" w:hAnsi="Cambria"/>
          <w:color w:val="000000" w:themeColor="text1"/>
          <w:sz w:val="20"/>
          <w:szCs w:val="20"/>
          <w:lang w:val="es-EC"/>
        </w:rPr>
        <w:t>Por su parte, la Comisión también identificó que hay algunas medidas adicionales de cumplimiento de este eje temático en curso, tales como la coordinación</w:t>
      </w:r>
      <w:r w:rsidRPr="00491517">
        <w:rPr>
          <w:rFonts w:ascii="Cambria" w:hAnsi="Cambria"/>
          <w:color w:val="000000" w:themeColor="text1"/>
          <w:sz w:val="20"/>
          <w:szCs w:val="20"/>
          <w:lang w:val="es-CO"/>
        </w:rPr>
        <w:t xml:space="preserve"> con el gobierno local de la provincia de Leoncio Prado</w:t>
      </w:r>
      <w:r w:rsidRPr="00491517">
        <w:rPr>
          <w:rFonts w:ascii="Cambria" w:hAnsi="Cambria"/>
          <w:color w:val="000000" w:themeColor="text1"/>
          <w:sz w:val="20"/>
          <w:szCs w:val="20"/>
          <w:lang w:val="es-EC"/>
        </w:rPr>
        <w:t xml:space="preserve"> para la emisión de </w:t>
      </w:r>
      <w:r w:rsidRPr="00491517">
        <w:rPr>
          <w:rFonts w:ascii="Cambria" w:hAnsi="Cambria"/>
          <w:color w:val="000000" w:themeColor="text1"/>
          <w:sz w:val="20"/>
          <w:szCs w:val="20"/>
          <w:lang w:val="es-CO"/>
        </w:rPr>
        <w:t>Ordenanza Municipal de reconocimiento a las víctimas del periodo de violencia de 1980 – 2000</w:t>
      </w:r>
      <w:r w:rsidR="003326DA" w:rsidRPr="00491517">
        <w:rPr>
          <w:rFonts w:ascii="Cambria" w:hAnsi="Cambria"/>
          <w:color w:val="000000" w:themeColor="text1"/>
          <w:sz w:val="20"/>
          <w:szCs w:val="20"/>
          <w:lang w:val="es-CO"/>
        </w:rPr>
        <w:t>; la gestión d</w:t>
      </w:r>
      <w:r w:rsidRPr="00491517">
        <w:rPr>
          <w:rFonts w:ascii="Cambria" w:hAnsi="Cambria"/>
          <w:color w:val="000000" w:themeColor="text1"/>
          <w:sz w:val="20"/>
          <w:szCs w:val="20"/>
          <w:lang w:val="es-CO"/>
        </w:rPr>
        <w:t>el mantenimiento del Parque de la Paz y Reconciliación</w:t>
      </w:r>
      <w:r w:rsidR="003326DA" w:rsidRPr="00491517">
        <w:rPr>
          <w:rFonts w:ascii="Cambria" w:hAnsi="Cambria"/>
          <w:color w:val="000000" w:themeColor="text1"/>
          <w:sz w:val="20"/>
          <w:szCs w:val="20"/>
          <w:lang w:val="es-CO"/>
        </w:rPr>
        <w:t>; la revaloración d</w:t>
      </w:r>
      <w:r w:rsidRPr="00491517">
        <w:rPr>
          <w:rFonts w:ascii="Cambria" w:hAnsi="Cambria"/>
          <w:color w:val="000000" w:themeColor="text1"/>
          <w:sz w:val="20"/>
          <w:szCs w:val="20"/>
          <w:lang w:val="es-CO"/>
        </w:rPr>
        <w:t>el Monumento de la Plaza “9 de febrero”</w:t>
      </w:r>
      <w:r w:rsidR="003326DA" w:rsidRPr="00491517">
        <w:rPr>
          <w:rFonts w:ascii="Cambria" w:hAnsi="Cambria"/>
          <w:color w:val="000000" w:themeColor="text1"/>
          <w:sz w:val="20"/>
          <w:szCs w:val="20"/>
          <w:lang w:val="es-CO"/>
        </w:rPr>
        <w:t>;</w:t>
      </w:r>
      <w:r w:rsidRPr="00491517">
        <w:rPr>
          <w:rFonts w:ascii="Cambria" w:hAnsi="Cambria"/>
          <w:color w:val="000000" w:themeColor="text1"/>
          <w:sz w:val="20"/>
          <w:szCs w:val="20"/>
          <w:lang w:val="es-CO"/>
        </w:rPr>
        <w:t xml:space="preserve"> la identificación de una fecha emblemática que reconozca a las víctimas, y la incorporación de atención prioritaria con exoneración de tasas municipales, licencias de construcción, emisión de partidas de nacimiento y de defunción. </w:t>
      </w:r>
      <w:r w:rsidR="003326DA" w:rsidRPr="00491517">
        <w:rPr>
          <w:rFonts w:ascii="Cambria" w:hAnsi="Cambria"/>
          <w:color w:val="000000" w:themeColor="text1"/>
          <w:sz w:val="20"/>
          <w:szCs w:val="20"/>
          <w:lang w:val="es-CO"/>
        </w:rPr>
        <w:t>En vista de que estas acciones están en proceso de desarrollo, la CIDH invita al Estado a remitir la información que dé cuenta de avances obtenidos para su implementación y para que informe de qué manera se está garantizando la participación de las víctimas y de su representación en la determinación de estas medidas.</w:t>
      </w:r>
    </w:p>
    <w:p w14:paraId="47A142FD" w14:textId="77777777" w:rsidR="002A7D24" w:rsidRPr="00491517" w:rsidRDefault="002A7D24" w:rsidP="002A7D24">
      <w:pPr>
        <w:pStyle w:val="ListParagraph"/>
        <w:spacing w:after="0" w:line="240" w:lineRule="auto"/>
        <w:ind w:left="357"/>
        <w:jc w:val="both"/>
        <w:rPr>
          <w:rFonts w:ascii="Cambria" w:hAnsi="Cambria"/>
          <w:color w:val="000000" w:themeColor="text1"/>
          <w:sz w:val="20"/>
          <w:szCs w:val="20"/>
          <w:lang w:val="es-CO"/>
        </w:rPr>
      </w:pPr>
    </w:p>
    <w:p w14:paraId="56A81CDA" w14:textId="082CABB0" w:rsidR="00842B44" w:rsidRPr="00491517" w:rsidRDefault="00583A50" w:rsidP="003C350D">
      <w:pPr>
        <w:pStyle w:val="NoSpacing"/>
        <w:numPr>
          <w:ilvl w:val="0"/>
          <w:numId w:val="32"/>
        </w:numPr>
        <w:jc w:val="both"/>
        <w:rPr>
          <w:rFonts w:ascii="Cambria" w:hAnsi="Cambria"/>
          <w:b/>
          <w:bCs/>
          <w:color w:val="000000" w:themeColor="text1"/>
          <w:sz w:val="20"/>
          <w:szCs w:val="20"/>
          <w:lang w:val="es-EC"/>
        </w:rPr>
      </w:pPr>
      <w:r w:rsidRPr="00491517">
        <w:rPr>
          <w:rFonts w:ascii="Cambria" w:hAnsi="Cambria"/>
          <w:b/>
          <w:bCs/>
          <w:color w:val="000000" w:themeColor="text1"/>
          <w:sz w:val="20"/>
          <w:szCs w:val="20"/>
          <w:lang w:val="es-EC"/>
        </w:rPr>
        <w:t xml:space="preserve">Séptimo eje temático. </w:t>
      </w:r>
      <w:r w:rsidR="00842B44" w:rsidRPr="00491517">
        <w:rPr>
          <w:rFonts w:ascii="Cambria" w:hAnsi="Cambria"/>
          <w:b/>
          <w:bCs/>
          <w:color w:val="000000" w:themeColor="text1"/>
          <w:sz w:val="20"/>
          <w:szCs w:val="20"/>
          <w:lang w:val="es-EC"/>
        </w:rPr>
        <w:t>Garantías de no repetición</w:t>
      </w:r>
      <w:r w:rsidRPr="00491517">
        <w:rPr>
          <w:rFonts w:ascii="Cambria" w:hAnsi="Cambria"/>
          <w:b/>
          <w:bCs/>
          <w:color w:val="000000" w:themeColor="text1"/>
          <w:sz w:val="20"/>
          <w:szCs w:val="20"/>
          <w:lang w:val="es-EC"/>
        </w:rPr>
        <w:t xml:space="preserve">. </w:t>
      </w:r>
    </w:p>
    <w:p w14:paraId="34C33BC8" w14:textId="40D94502" w:rsidR="00247DA7" w:rsidRPr="00491517" w:rsidRDefault="00247DA7" w:rsidP="00247DA7">
      <w:pPr>
        <w:pStyle w:val="NoSpacing"/>
        <w:jc w:val="both"/>
        <w:rPr>
          <w:rFonts w:ascii="Cambria" w:hAnsi="Cambria"/>
          <w:b/>
          <w:bCs/>
          <w:color w:val="000000" w:themeColor="text1"/>
          <w:sz w:val="20"/>
          <w:szCs w:val="20"/>
          <w:lang w:val="es-EC"/>
        </w:rPr>
      </w:pPr>
    </w:p>
    <w:p w14:paraId="2FA9BC29" w14:textId="75A33CD6" w:rsidR="00247DA7" w:rsidRPr="00491517" w:rsidRDefault="00804DF6" w:rsidP="00A36C6E">
      <w:pPr>
        <w:pStyle w:val="ListParagraph"/>
        <w:numPr>
          <w:ilvl w:val="0"/>
          <w:numId w:val="16"/>
        </w:numPr>
        <w:spacing w:after="0" w:line="240" w:lineRule="auto"/>
        <w:ind w:left="0" w:firstLine="720"/>
        <w:jc w:val="both"/>
        <w:rPr>
          <w:rFonts w:ascii="Cambria" w:hAnsi="Cambria"/>
          <w:color w:val="000000" w:themeColor="text1"/>
          <w:sz w:val="20"/>
          <w:szCs w:val="20"/>
          <w:lang w:val="es-EC"/>
        </w:rPr>
      </w:pPr>
      <w:r w:rsidRPr="00491517">
        <w:rPr>
          <w:rFonts w:ascii="Cambria" w:hAnsi="Cambria"/>
          <w:color w:val="000000" w:themeColor="text1"/>
          <w:sz w:val="20"/>
          <w:szCs w:val="20"/>
          <w:lang w:val="es-EC"/>
        </w:rPr>
        <w:t>La identificación de las medidas de cumplimiento de este eje temático tendrá en cuenta la clasificación realizada por las Directrices Generales de Seguimiento de Recomendaciones y Decisiones de la CIDH</w:t>
      </w:r>
      <w:r w:rsidRPr="00491517">
        <w:rPr>
          <w:lang w:val="es-EC"/>
        </w:rPr>
        <w:footnoteReference w:id="14"/>
      </w:r>
      <w:r w:rsidRPr="00491517">
        <w:rPr>
          <w:rFonts w:ascii="Cambria" w:hAnsi="Cambria"/>
          <w:color w:val="000000" w:themeColor="text1"/>
          <w:sz w:val="20"/>
          <w:szCs w:val="20"/>
          <w:lang w:val="es-EC"/>
        </w:rPr>
        <w:t>. En este sentido, la CIDH invita a las partes a proveer información que permita identificar, de ser el caso, la implementación de medidas consistentes en (i) políticas públicas; (</w:t>
      </w:r>
      <w:proofErr w:type="spellStart"/>
      <w:r w:rsidRPr="00491517">
        <w:rPr>
          <w:rFonts w:ascii="Cambria" w:hAnsi="Cambria"/>
          <w:color w:val="000000" w:themeColor="text1"/>
          <w:sz w:val="20"/>
          <w:szCs w:val="20"/>
          <w:lang w:val="es-EC"/>
        </w:rPr>
        <w:t>ii</w:t>
      </w:r>
      <w:proofErr w:type="spellEnd"/>
      <w:r w:rsidRPr="00491517">
        <w:rPr>
          <w:rFonts w:ascii="Cambria" w:hAnsi="Cambria"/>
          <w:color w:val="000000" w:themeColor="text1"/>
          <w:sz w:val="20"/>
          <w:szCs w:val="20"/>
          <w:lang w:val="es-EC"/>
        </w:rPr>
        <w:t>) legislación y normativa, y (</w:t>
      </w:r>
      <w:proofErr w:type="spellStart"/>
      <w:r w:rsidRPr="00491517">
        <w:rPr>
          <w:rFonts w:ascii="Cambria" w:hAnsi="Cambria"/>
          <w:color w:val="000000" w:themeColor="text1"/>
          <w:sz w:val="20"/>
          <w:szCs w:val="20"/>
          <w:lang w:val="es-EC"/>
        </w:rPr>
        <w:t>iii</w:t>
      </w:r>
      <w:proofErr w:type="spellEnd"/>
      <w:r w:rsidRPr="00491517">
        <w:rPr>
          <w:rFonts w:ascii="Cambria" w:hAnsi="Cambria"/>
          <w:color w:val="000000" w:themeColor="text1"/>
          <w:sz w:val="20"/>
          <w:szCs w:val="20"/>
          <w:lang w:val="es-EC"/>
        </w:rPr>
        <w:t xml:space="preserve">) acciones de </w:t>
      </w:r>
      <w:r w:rsidRPr="00A36C6E">
        <w:rPr>
          <w:rFonts w:ascii="Cambria" w:hAnsi="Cambria"/>
          <w:color w:val="000000" w:themeColor="text1"/>
          <w:sz w:val="20"/>
          <w:szCs w:val="20"/>
          <w:lang w:val="es-CO"/>
        </w:rPr>
        <w:t>fortalecimiento</w:t>
      </w:r>
      <w:r w:rsidRPr="00491517">
        <w:rPr>
          <w:rFonts w:ascii="Cambria" w:hAnsi="Cambria"/>
          <w:color w:val="000000" w:themeColor="text1"/>
          <w:sz w:val="20"/>
          <w:szCs w:val="20"/>
          <w:lang w:val="es-EC"/>
        </w:rPr>
        <w:t xml:space="preserve"> institucional dirigidas a garantizar la no repetición de los hechos contenidos en los casos del Comunicado de Prensa Conjunto. </w:t>
      </w:r>
    </w:p>
    <w:p w14:paraId="6A3934C1" w14:textId="77777777" w:rsidR="00247DA7" w:rsidRPr="00491517" w:rsidRDefault="00247DA7" w:rsidP="00247DA7">
      <w:pPr>
        <w:pStyle w:val="NoSpacing"/>
        <w:jc w:val="both"/>
        <w:rPr>
          <w:rFonts w:ascii="Cambria" w:hAnsi="Cambria"/>
          <w:b/>
          <w:bCs/>
          <w:color w:val="000000" w:themeColor="text1"/>
          <w:sz w:val="20"/>
          <w:szCs w:val="20"/>
          <w:lang w:val="es-CO"/>
        </w:rPr>
      </w:pPr>
    </w:p>
    <w:p w14:paraId="62FE9F2C" w14:textId="77777777" w:rsidR="00842B44" w:rsidRPr="00491517" w:rsidRDefault="00842B44" w:rsidP="00DB1C63">
      <w:pPr>
        <w:spacing w:after="0" w:line="240" w:lineRule="auto"/>
        <w:jc w:val="both"/>
        <w:rPr>
          <w:rFonts w:ascii="Cambria" w:hAnsi="Cambria" w:cs="Calibri Light"/>
          <w:color w:val="000000" w:themeColor="text1"/>
          <w:sz w:val="20"/>
          <w:szCs w:val="20"/>
          <w:lang w:val="es-US"/>
        </w:rPr>
      </w:pPr>
    </w:p>
    <w:p w14:paraId="2EB31681" w14:textId="77777777" w:rsidR="009D1967" w:rsidRPr="00D833CE" w:rsidRDefault="009D1967" w:rsidP="009D1967">
      <w:pPr>
        <w:spacing w:after="0" w:line="240" w:lineRule="auto"/>
        <w:ind w:firstLine="720"/>
        <w:jc w:val="both"/>
        <w:rPr>
          <w:rFonts w:ascii="Cambria" w:eastAsia="Times New Roman" w:hAnsi="Cambria" w:cs="Cambria"/>
          <w:b/>
          <w:color w:val="000000" w:themeColor="text1"/>
          <w:sz w:val="20"/>
          <w:szCs w:val="20"/>
          <w:lang w:val="es-CO"/>
        </w:rPr>
      </w:pPr>
    </w:p>
    <w:p w14:paraId="27732536"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07675400"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220E2D23"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7D0ED7DC" w14:textId="77777777" w:rsidR="009D1967" w:rsidRPr="00D833CE" w:rsidRDefault="009D1967" w:rsidP="009D1967">
      <w:pPr>
        <w:pStyle w:val="NoSpacing"/>
        <w:ind w:right="-784"/>
        <w:rPr>
          <w:rFonts w:ascii="Cambria" w:hAnsi="Cambria"/>
          <w:b/>
          <w:color w:val="000000" w:themeColor="text1"/>
          <w:sz w:val="20"/>
          <w:szCs w:val="20"/>
          <w:lang w:val="es-ES"/>
        </w:rPr>
      </w:pPr>
    </w:p>
    <w:p w14:paraId="452397EC" w14:textId="77777777" w:rsidR="009D1967" w:rsidRPr="00D833CE" w:rsidRDefault="009D1967" w:rsidP="009D1967">
      <w:pPr>
        <w:pStyle w:val="NoSpacing"/>
        <w:ind w:right="-72"/>
        <w:rPr>
          <w:rFonts w:ascii="Cambria" w:hAnsi="Cambria"/>
          <w:b/>
          <w:color w:val="000000" w:themeColor="text1"/>
          <w:sz w:val="20"/>
          <w:szCs w:val="20"/>
          <w:lang w:val="es-ES"/>
        </w:rPr>
      </w:pPr>
    </w:p>
    <w:p w14:paraId="01880B89" w14:textId="77777777" w:rsidR="009D1967" w:rsidRPr="00D833CE" w:rsidRDefault="009D1967" w:rsidP="009D1967">
      <w:pPr>
        <w:pStyle w:val="NoSpacing"/>
        <w:ind w:left="-900" w:right="-784"/>
        <w:jc w:val="center"/>
        <w:rPr>
          <w:rFonts w:ascii="Cambria" w:hAnsi="Cambria"/>
          <w:b/>
          <w:color w:val="000000" w:themeColor="text1"/>
          <w:sz w:val="20"/>
          <w:szCs w:val="20"/>
          <w:lang w:val="es-ES"/>
        </w:rPr>
      </w:pPr>
      <w:r w:rsidRPr="00D833CE">
        <w:rPr>
          <w:rFonts w:ascii="Cambria" w:hAnsi="Cambria"/>
          <w:b/>
          <w:color w:val="000000" w:themeColor="text1"/>
          <w:sz w:val="20"/>
          <w:szCs w:val="20"/>
          <w:lang w:val="es-ES"/>
        </w:rPr>
        <w:t>ANEXO</w:t>
      </w:r>
    </w:p>
    <w:p w14:paraId="5B2F2F3B" w14:textId="77777777" w:rsidR="009D1967" w:rsidRPr="00D833CE" w:rsidRDefault="009D1967" w:rsidP="009D1967">
      <w:pPr>
        <w:pStyle w:val="NoSpacing"/>
        <w:ind w:left="-900" w:right="-784"/>
        <w:jc w:val="center"/>
        <w:rPr>
          <w:rFonts w:ascii="Cambria" w:hAnsi="Cambria"/>
          <w:b/>
          <w:color w:val="000000" w:themeColor="text1"/>
          <w:sz w:val="20"/>
          <w:szCs w:val="20"/>
          <w:lang w:val="es-ES"/>
        </w:rPr>
      </w:pPr>
      <w:r w:rsidRPr="00D833CE">
        <w:rPr>
          <w:rFonts w:ascii="Cambria" w:hAnsi="Cambria"/>
          <w:b/>
          <w:color w:val="000000" w:themeColor="text1"/>
          <w:sz w:val="20"/>
          <w:szCs w:val="20"/>
          <w:lang w:val="es-ES"/>
        </w:rPr>
        <w:t>INFORMES DE FONDO PUBLICADOS</w:t>
      </w:r>
    </w:p>
    <w:p w14:paraId="3C33C792" w14:textId="77777777" w:rsidR="009D1967" w:rsidRPr="00D833CE" w:rsidRDefault="009D1967" w:rsidP="009D1967">
      <w:pPr>
        <w:pStyle w:val="NoSpacing"/>
        <w:ind w:left="-900" w:right="-784"/>
        <w:jc w:val="center"/>
        <w:rPr>
          <w:rFonts w:ascii="Cambria" w:hAnsi="Cambria"/>
          <w:b/>
          <w:color w:val="000000" w:themeColor="text1"/>
          <w:sz w:val="20"/>
          <w:szCs w:val="20"/>
          <w:lang w:val="es-ES"/>
        </w:rPr>
      </w:pPr>
      <w:r w:rsidRPr="00D833CE">
        <w:rPr>
          <w:rFonts w:ascii="Cambria" w:hAnsi="Cambria"/>
          <w:b/>
          <w:color w:val="000000" w:themeColor="text1"/>
          <w:sz w:val="20"/>
          <w:szCs w:val="20"/>
          <w:lang w:val="es-ES"/>
        </w:rPr>
        <w:t xml:space="preserve">CASOS CON INFORMES DE FONDO PUBLICADOS </w:t>
      </w:r>
    </w:p>
    <w:p w14:paraId="297C08E0" w14:textId="77777777" w:rsidR="009D1967" w:rsidRPr="00D833CE" w:rsidRDefault="009D1967" w:rsidP="009D1967">
      <w:pPr>
        <w:pStyle w:val="NoSpacing"/>
        <w:ind w:left="-900" w:right="-784"/>
        <w:jc w:val="center"/>
        <w:rPr>
          <w:rFonts w:ascii="Cambria" w:hAnsi="Cambria"/>
          <w:b/>
          <w:color w:val="000000" w:themeColor="text1"/>
          <w:sz w:val="20"/>
          <w:szCs w:val="20"/>
          <w:lang w:val="es-ES"/>
        </w:rPr>
      </w:pPr>
      <w:r w:rsidRPr="00D833CE">
        <w:rPr>
          <w:rFonts w:ascii="Cambria" w:hAnsi="Cambria"/>
          <w:b/>
          <w:color w:val="000000" w:themeColor="text1"/>
          <w:sz w:val="20"/>
          <w:szCs w:val="20"/>
          <w:lang w:val="es-ES"/>
        </w:rPr>
        <w:t xml:space="preserve">LITERALES </w:t>
      </w:r>
      <w:r w:rsidRPr="00D833CE">
        <w:rPr>
          <w:rFonts w:ascii="Cambria" w:hAnsi="Cambria"/>
          <w:b/>
          <w:i/>
          <w:iCs/>
          <w:color w:val="000000" w:themeColor="text1"/>
          <w:sz w:val="20"/>
          <w:szCs w:val="20"/>
          <w:lang w:val="es-ES"/>
        </w:rPr>
        <w:t>C</w:t>
      </w:r>
      <w:r w:rsidRPr="00D833CE">
        <w:rPr>
          <w:rFonts w:ascii="Cambria" w:hAnsi="Cambria"/>
          <w:b/>
          <w:color w:val="000000" w:themeColor="text1"/>
          <w:sz w:val="20"/>
          <w:szCs w:val="20"/>
          <w:lang w:val="es-ES"/>
        </w:rPr>
        <w:t xml:space="preserve"> Y </w:t>
      </w:r>
      <w:r w:rsidRPr="00D833CE">
        <w:rPr>
          <w:rFonts w:ascii="Cambria" w:hAnsi="Cambria"/>
          <w:b/>
          <w:i/>
          <w:iCs/>
          <w:color w:val="000000" w:themeColor="text1"/>
          <w:sz w:val="20"/>
          <w:szCs w:val="20"/>
          <w:lang w:val="es-ES"/>
        </w:rPr>
        <w:t>D</w:t>
      </w:r>
      <w:r w:rsidRPr="00D833CE">
        <w:rPr>
          <w:rFonts w:ascii="Cambria" w:hAnsi="Cambria"/>
          <w:b/>
          <w:color w:val="000000" w:themeColor="text1"/>
          <w:sz w:val="20"/>
          <w:szCs w:val="20"/>
          <w:lang w:val="es-ES"/>
        </w:rPr>
        <w:t xml:space="preserve"> DEL COMUNICADO DE PRENSA CONJUNTO </w:t>
      </w:r>
    </w:p>
    <w:p w14:paraId="166D553D" w14:textId="77777777" w:rsidR="009D1967" w:rsidRPr="00D833CE" w:rsidRDefault="009D1967" w:rsidP="009D1967">
      <w:pPr>
        <w:pStyle w:val="NoSpacing"/>
        <w:ind w:left="-900" w:right="-784"/>
        <w:jc w:val="center"/>
        <w:rPr>
          <w:rFonts w:ascii="Cambria" w:hAnsi="Cambria" w:cs="Calibri"/>
          <w:b/>
          <w:bCs/>
          <w:color w:val="000000" w:themeColor="text1"/>
          <w:sz w:val="20"/>
          <w:szCs w:val="20"/>
          <w:lang w:val="es-ES"/>
        </w:rPr>
      </w:pPr>
      <w:r w:rsidRPr="00D833CE">
        <w:rPr>
          <w:rFonts w:ascii="Cambria" w:hAnsi="Cambria"/>
          <w:b/>
          <w:color w:val="000000" w:themeColor="text1"/>
          <w:sz w:val="20"/>
          <w:szCs w:val="20"/>
          <w:lang w:val="es-ES"/>
        </w:rPr>
        <w:t xml:space="preserve">P-1193-CA </w:t>
      </w:r>
    </w:p>
    <w:p w14:paraId="7B6BD328" w14:textId="77777777" w:rsidR="009D1967" w:rsidRPr="00D833CE" w:rsidRDefault="009D1967" w:rsidP="009D1967">
      <w:pPr>
        <w:pStyle w:val="NoSpacing"/>
        <w:ind w:left="-900" w:right="-784"/>
        <w:jc w:val="center"/>
        <w:rPr>
          <w:rFonts w:ascii="Cambria" w:hAnsi="Cambria"/>
          <w:b/>
          <w:color w:val="000000" w:themeColor="text1"/>
          <w:sz w:val="20"/>
          <w:szCs w:val="20"/>
          <w:lang w:val="es-ES"/>
        </w:rPr>
      </w:pPr>
      <w:r w:rsidRPr="00D833CE">
        <w:rPr>
          <w:rFonts w:ascii="Cambria" w:hAnsi="Cambria"/>
          <w:b/>
          <w:color w:val="000000" w:themeColor="text1"/>
          <w:sz w:val="20"/>
          <w:szCs w:val="20"/>
          <w:lang w:val="es-ES"/>
        </w:rPr>
        <w:t>(Perú)</w:t>
      </w:r>
    </w:p>
    <w:p w14:paraId="7290A91A" w14:textId="77777777" w:rsidR="009D1967" w:rsidRPr="00D833CE" w:rsidRDefault="009D1967" w:rsidP="009D1967">
      <w:pPr>
        <w:pStyle w:val="NoSpacing"/>
        <w:jc w:val="both"/>
        <w:rPr>
          <w:rFonts w:ascii="Cambria" w:hAnsi="Cambria"/>
          <w:bCs/>
          <w:color w:val="000000" w:themeColor="text1"/>
          <w:sz w:val="20"/>
          <w:szCs w:val="20"/>
          <w:lang w:val="es-ES"/>
        </w:rPr>
      </w:pPr>
    </w:p>
    <w:p w14:paraId="32B44926" w14:textId="77777777" w:rsidR="009D1967" w:rsidRPr="00D833CE" w:rsidRDefault="009D1967" w:rsidP="009D1967">
      <w:pPr>
        <w:pStyle w:val="NoSpacing"/>
        <w:jc w:val="both"/>
        <w:rPr>
          <w:rFonts w:ascii="Cambria" w:eastAsia="Times New Roman" w:hAnsi="Cambria" w:cs="Cambria"/>
          <w:bCs/>
          <w:color w:val="000000" w:themeColor="text1"/>
          <w:sz w:val="20"/>
          <w:szCs w:val="20"/>
          <w:lang w:val="es-CO"/>
        </w:rPr>
      </w:pPr>
      <w:r w:rsidRPr="00D833CE">
        <w:rPr>
          <w:rFonts w:ascii="Cambria" w:hAnsi="Cambria"/>
          <w:bCs/>
          <w:color w:val="000000" w:themeColor="text1"/>
          <w:sz w:val="20"/>
          <w:szCs w:val="20"/>
          <w:lang w:val="es-ES"/>
        </w:rPr>
        <w:t xml:space="preserve">Este anexo señala cuáles son los casos incluidos en los literales </w:t>
      </w:r>
      <w:r w:rsidRPr="00D833CE">
        <w:rPr>
          <w:rFonts w:ascii="Cambria" w:hAnsi="Cambria"/>
          <w:bCs/>
          <w:i/>
          <w:iCs/>
          <w:color w:val="000000" w:themeColor="text1"/>
          <w:sz w:val="20"/>
          <w:szCs w:val="20"/>
          <w:lang w:val="es-ES"/>
        </w:rPr>
        <w:t>c</w:t>
      </w:r>
      <w:r w:rsidRPr="00D833CE">
        <w:rPr>
          <w:rFonts w:ascii="Cambria" w:hAnsi="Cambria"/>
          <w:bCs/>
          <w:color w:val="000000" w:themeColor="text1"/>
          <w:sz w:val="20"/>
          <w:szCs w:val="20"/>
          <w:lang w:val="es-ES"/>
        </w:rPr>
        <w:t xml:space="preserve"> y </w:t>
      </w:r>
      <w:r w:rsidRPr="00D833CE">
        <w:rPr>
          <w:rFonts w:ascii="Cambria" w:hAnsi="Cambria"/>
          <w:bCs/>
          <w:i/>
          <w:iCs/>
          <w:color w:val="000000" w:themeColor="text1"/>
          <w:sz w:val="20"/>
          <w:szCs w:val="20"/>
          <w:lang w:val="es-ES"/>
        </w:rPr>
        <w:t>d</w:t>
      </w:r>
      <w:r w:rsidRPr="00D833CE">
        <w:rPr>
          <w:rFonts w:ascii="Cambria" w:hAnsi="Cambria"/>
          <w:bCs/>
          <w:color w:val="000000" w:themeColor="text1"/>
          <w:sz w:val="20"/>
          <w:szCs w:val="20"/>
          <w:lang w:val="es-ES"/>
        </w:rPr>
        <w:t xml:space="preserve"> del Comunicado de Prensa Conjunto P-1193-CA y hace una reseña sucinta de los hechos del caso y de las violaciones a los derechos humanos que fueron declaradas por la Comisión Interamericana de Derechos Humanos (CIDH) en cada uno de los informes de fondo publicados que están en etapa de seguimiento.</w:t>
      </w:r>
    </w:p>
    <w:p w14:paraId="496716A3" w14:textId="77777777" w:rsidR="009D1967" w:rsidRPr="00D833CE" w:rsidRDefault="009D1967" w:rsidP="009D1967">
      <w:pPr>
        <w:spacing w:after="0" w:line="240" w:lineRule="auto"/>
        <w:ind w:firstLine="709"/>
        <w:jc w:val="center"/>
        <w:rPr>
          <w:rFonts w:ascii="Cambria" w:eastAsia="Times New Roman" w:hAnsi="Cambria" w:cs="Cambria"/>
          <w:b/>
          <w:color w:val="000000" w:themeColor="text1"/>
          <w:sz w:val="20"/>
          <w:szCs w:val="20"/>
          <w:lang w:val="es-CO"/>
        </w:rPr>
      </w:pPr>
    </w:p>
    <w:p w14:paraId="12DC5145"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rPr>
        <w:t>Caso 10.908 - Informe Nº 47/00</w:t>
      </w:r>
    </w:p>
    <w:p w14:paraId="292686AE"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4609870B" w14:textId="77777777" w:rsidR="009D1967" w:rsidRPr="00D833CE" w:rsidRDefault="009D1967" w:rsidP="00A36C6E">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peruano, a través de efectivos policiales de la Comisaría policial local que actuaron apoyados por efectivos militares del </w:t>
      </w:r>
      <w:proofErr w:type="gramStart"/>
      <w:r w:rsidRPr="00D833CE">
        <w:rPr>
          <w:rFonts w:ascii="Cambria" w:eastAsia="Times New Roman" w:hAnsi="Cambria" w:cs="Cambria"/>
          <w:color w:val="000000" w:themeColor="text1"/>
          <w:sz w:val="20"/>
          <w:szCs w:val="20"/>
          <w:lang w:val="es-CO"/>
        </w:rPr>
        <w:t>Cuartel Militar</w:t>
      </w:r>
      <w:proofErr w:type="gramEnd"/>
      <w:r w:rsidRPr="00D833CE">
        <w:rPr>
          <w:rFonts w:ascii="Cambria" w:eastAsia="Times New Roman" w:hAnsi="Cambria" w:cs="Cambria"/>
          <w:color w:val="000000" w:themeColor="text1"/>
          <w:sz w:val="20"/>
          <w:szCs w:val="20"/>
          <w:lang w:val="es-CO"/>
        </w:rPr>
        <w:t xml:space="preserve"> de </w:t>
      </w:r>
      <w:proofErr w:type="spellStart"/>
      <w:r w:rsidRPr="00D833CE">
        <w:rPr>
          <w:rFonts w:ascii="Cambria" w:eastAsia="Times New Roman" w:hAnsi="Cambria" w:cs="Cambria"/>
          <w:color w:val="000000" w:themeColor="text1"/>
          <w:sz w:val="20"/>
          <w:szCs w:val="20"/>
          <w:lang w:val="es-CO"/>
        </w:rPr>
        <w:t>Pampacangallo</w:t>
      </w:r>
      <w:proofErr w:type="spellEnd"/>
      <w:r w:rsidRPr="00D833CE">
        <w:rPr>
          <w:rFonts w:ascii="Cambria" w:eastAsia="Times New Roman" w:hAnsi="Cambria" w:cs="Cambria"/>
          <w:color w:val="000000" w:themeColor="text1"/>
          <w:sz w:val="20"/>
          <w:szCs w:val="20"/>
          <w:lang w:val="es-CO"/>
        </w:rPr>
        <w:t xml:space="preserve">, detuvo a los señores Manuel </w:t>
      </w:r>
      <w:proofErr w:type="spellStart"/>
      <w:r w:rsidRPr="00D833CE">
        <w:rPr>
          <w:rFonts w:ascii="Cambria" w:eastAsia="Times New Roman" w:hAnsi="Cambria" w:cs="Cambria"/>
          <w:color w:val="000000" w:themeColor="text1"/>
          <w:sz w:val="20"/>
          <w:szCs w:val="20"/>
          <w:lang w:val="es-CO"/>
        </w:rPr>
        <w:t>Pacotaype</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Chaupín</w:t>
      </w:r>
      <w:proofErr w:type="spellEnd"/>
      <w:r w:rsidRPr="00D833CE">
        <w:rPr>
          <w:rFonts w:ascii="Cambria" w:eastAsia="Times New Roman" w:hAnsi="Cambria" w:cs="Cambria"/>
          <w:color w:val="000000" w:themeColor="text1"/>
          <w:sz w:val="20"/>
          <w:szCs w:val="20"/>
          <w:lang w:val="es-CO"/>
        </w:rPr>
        <w:t xml:space="preserve">, Martín </w:t>
      </w:r>
      <w:proofErr w:type="spellStart"/>
      <w:r w:rsidRPr="00D833CE">
        <w:rPr>
          <w:rFonts w:ascii="Cambria" w:eastAsia="Times New Roman" w:hAnsi="Cambria" w:cs="Cambria"/>
          <w:color w:val="000000" w:themeColor="text1"/>
          <w:sz w:val="20"/>
          <w:szCs w:val="20"/>
          <w:lang w:val="es-CO"/>
        </w:rPr>
        <w:t>Cayllahua</w:t>
      </w:r>
      <w:proofErr w:type="spellEnd"/>
      <w:r w:rsidRPr="00D833CE">
        <w:rPr>
          <w:rFonts w:ascii="Cambria" w:eastAsia="Times New Roman" w:hAnsi="Cambria" w:cs="Cambria"/>
          <w:color w:val="000000" w:themeColor="text1"/>
          <w:sz w:val="20"/>
          <w:szCs w:val="20"/>
          <w:lang w:val="es-CO"/>
        </w:rPr>
        <w:t xml:space="preserve"> Galindo, Marcelo Cabana </w:t>
      </w:r>
      <w:proofErr w:type="spellStart"/>
      <w:r w:rsidRPr="00D833CE">
        <w:rPr>
          <w:rFonts w:ascii="Cambria" w:eastAsia="Times New Roman" w:hAnsi="Cambria" w:cs="Cambria"/>
          <w:color w:val="000000" w:themeColor="text1"/>
          <w:sz w:val="20"/>
          <w:szCs w:val="20"/>
          <w:lang w:val="es-CO"/>
        </w:rPr>
        <w:t>Tucno</w:t>
      </w:r>
      <w:proofErr w:type="spellEnd"/>
      <w:r w:rsidRPr="00D833CE">
        <w:rPr>
          <w:rFonts w:ascii="Cambria" w:eastAsia="Times New Roman" w:hAnsi="Cambria" w:cs="Cambria"/>
          <w:color w:val="000000" w:themeColor="text1"/>
          <w:sz w:val="20"/>
          <w:szCs w:val="20"/>
          <w:lang w:val="es-CO"/>
        </w:rPr>
        <w:t xml:space="preserve"> e Isaías Huamán Vilca el 14 de marzo de 1991 en la localidad de Chuschi del Distrito del mismo nombre, provincia de Cangallo, Departamento de Ayacucho, y posteriormente los desapareció. Por lo anterior, la Comisión concluyó que el Estado peruano es responsable de la violación del derecho a la libertad (artículo 7), del derecho a la integridad personal (artículo 5), del derecho a la vida (artículo 4), del derecho a la personalidad jurídica (artículo 3)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768E95E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71A7246"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10.904 – Informe Nº 46/00</w:t>
      </w:r>
    </w:p>
    <w:p w14:paraId="2C9EC4DE"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61F33F87" w14:textId="77777777" w:rsidR="009D1967" w:rsidRPr="00D833CE" w:rsidRDefault="009D1967" w:rsidP="00A36C6E">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peruano, a través de efectivos de la Policía de Seguridad de la Policía Nacional, del destacamento de </w:t>
      </w:r>
      <w:proofErr w:type="spellStart"/>
      <w:r w:rsidRPr="00D833CE">
        <w:rPr>
          <w:rFonts w:ascii="Cambria" w:eastAsia="Times New Roman" w:hAnsi="Cambria" w:cs="Cambria"/>
          <w:color w:val="000000" w:themeColor="text1"/>
          <w:sz w:val="20"/>
          <w:szCs w:val="20"/>
          <w:lang w:val="es-CO"/>
        </w:rPr>
        <w:t>Millotingo</w:t>
      </w:r>
      <w:proofErr w:type="spellEnd"/>
      <w:r w:rsidRPr="00D833CE">
        <w:rPr>
          <w:rFonts w:ascii="Cambria" w:eastAsia="Times New Roman" w:hAnsi="Cambria" w:cs="Cambria"/>
          <w:color w:val="000000" w:themeColor="text1"/>
          <w:sz w:val="20"/>
          <w:szCs w:val="20"/>
          <w:lang w:val="es-CO"/>
        </w:rPr>
        <w:t xml:space="preserve">, en la ciudad de Huancayo, detuvo a los señores Manuel Meneses </w:t>
      </w:r>
      <w:proofErr w:type="spellStart"/>
      <w:r w:rsidRPr="00D833CE">
        <w:rPr>
          <w:rFonts w:ascii="Cambria" w:eastAsia="Times New Roman" w:hAnsi="Cambria" w:cs="Cambria"/>
          <w:color w:val="000000" w:themeColor="text1"/>
          <w:sz w:val="20"/>
          <w:szCs w:val="20"/>
          <w:lang w:val="es-CO"/>
        </w:rPr>
        <w:t>Sotacuro</w:t>
      </w:r>
      <w:proofErr w:type="spellEnd"/>
      <w:r w:rsidRPr="00D833CE">
        <w:rPr>
          <w:rFonts w:ascii="Cambria" w:eastAsia="Times New Roman" w:hAnsi="Cambria" w:cs="Cambria"/>
          <w:color w:val="000000" w:themeColor="text1"/>
          <w:sz w:val="20"/>
          <w:szCs w:val="20"/>
          <w:lang w:val="es-CO"/>
        </w:rPr>
        <w:t xml:space="preserve"> y Félix Inga Cuya el 20 de mayo de 1991 y posteriormente procedió a desaparecerlos, por lo cual la Comisión concluyó que el Estado peruano es responsable de la violación del derecho a la libertad (artículo 7), del derecho a la integridad personal (artículo 5), del derecho a la vida (artículo 4), del derecho a la personalidad jurídica (artículo 3)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4BD917CD"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6272F3AE"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10.826 – Informe Nº 45/00</w:t>
      </w:r>
    </w:p>
    <w:p w14:paraId="6EFB3CBD"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37561965" w14:textId="77777777" w:rsidR="009D1967" w:rsidRPr="00D833CE" w:rsidRDefault="009D1967" w:rsidP="00A36C6E">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peruano, a través de efectivos del ejército de la Base de Puente Paucartambo, detuvo a los señores Manuel </w:t>
      </w:r>
      <w:proofErr w:type="spellStart"/>
      <w:r w:rsidRPr="00D833CE">
        <w:rPr>
          <w:rFonts w:ascii="Cambria" w:eastAsia="Times New Roman" w:hAnsi="Cambria" w:cs="Cambria"/>
          <w:color w:val="000000" w:themeColor="text1"/>
          <w:sz w:val="20"/>
          <w:szCs w:val="20"/>
          <w:lang w:val="es-CO"/>
        </w:rPr>
        <w:t>Mónago</w:t>
      </w:r>
      <w:proofErr w:type="spellEnd"/>
      <w:r w:rsidRPr="00D833CE">
        <w:rPr>
          <w:rFonts w:ascii="Cambria" w:eastAsia="Times New Roman" w:hAnsi="Cambria" w:cs="Cambria"/>
          <w:color w:val="000000" w:themeColor="text1"/>
          <w:sz w:val="20"/>
          <w:szCs w:val="20"/>
          <w:lang w:val="es-CO"/>
        </w:rPr>
        <w:t xml:space="preserve"> Carhuaricra y Eleazar </w:t>
      </w:r>
      <w:proofErr w:type="spellStart"/>
      <w:r w:rsidRPr="00D833CE">
        <w:rPr>
          <w:rFonts w:ascii="Cambria" w:eastAsia="Times New Roman" w:hAnsi="Cambria" w:cs="Cambria"/>
          <w:color w:val="000000" w:themeColor="text1"/>
          <w:sz w:val="20"/>
          <w:szCs w:val="20"/>
          <w:lang w:val="es-CO"/>
        </w:rPr>
        <w:t>Mónago</w:t>
      </w:r>
      <w:proofErr w:type="spellEnd"/>
      <w:r w:rsidRPr="00D833CE">
        <w:rPr>
          <w:rFonts w:ascii="Cambria" w:eastAsia="Times New Roman" w:hAnsi="Cambria" w:cs="Cambria"/>
          <w:color w:val="000000" w:themeColor="text1"/>
          <w:sz w:val="20"/>
          <w:szCs w:val="20"/>
          <w:lang w:val="es-CO"/>
        </w:rPr>
        <w:t xml:space="preserve"> Laura el 9 de septiembre de 1990, en la localidad de </w:t>
      </w:r>
      <w:proofErr w:type="spellStart"/>
      <w:r w:rsidRPr="00D833CE">
        <w:rPr>
          <w:rFonts w:ascii="Cambria" w:eastAsia="Times New Roman" w:hAnsi="Cambria" w:cs="Cambria"/>
          <w:color w:val="000000" w:themeColor="text1"/>
          <w:sz w:val="20"/>
          <w:szCs w:val="20"/>
          <w:lang w:val="es-CO"/>
        </w:rPr>
        <w:t>Sogormo</w:t>
      </w:r>
      <w:proofErr w:type="spellEnd"/>
      <w:r w:rsidRPr="00D833CE">
        <w:rPr>
          <w:rFonts w:ascii="Cambria" w:eastAsia="Times New Roman" w:hAnsi="Cambria" w:cs="Cambria"/>
          <w:color w:val="000000" w:themeColor="text1"/>
          <w:sz w:val="20"/>
          <w:szCs w:val="20"/>
          <w:lang w:val="es-CO"/>
        </w:rPr>
        <w:t xml:space="preserve"> del Distrito y Provincia Oxapampa, y posteriormente procedió a desaparecerlos, por lo cual la CIDH concluyó que el Estado peruano es responsable de la violación del derecho a la libertad (artículo 7), del derecho a la integridad personal (artículo 5), del derecho a la vida (artículo 4), del derecho a la personalidad jurídica (artículo 3)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7D18FF8B" w14:textId="6AEF5AC9" w:rsidR="009D1967"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7B7AC322" w14:textId="2F9CE1C5" w:rsidR="00A77342" w:rsidRDefault="00A77342" w:rsidP="009D1967">
      <w:pPr>
        <w:spacing w:after="0" w:line="240" w:lineRule="auto"/>
        <w:ind w:firstLine="709"/>
        <w:jc w:val="both"/>
        <w:rPr>
          <w:rFonts w:ascii="Cambria" w:eastAsia="Times New Roman" w:hAnsi="Cambria" w:cs="Cambria"/>
          <w:color w:val="000000" w:themeColor="text1"/>
          <w:sz w:val="20"/>
          <w:szCs w:val="20"/>
          <w:lang w:val="es-CO"/>
        </w:rPr>
      </w:pPr>
    </w:p>
    <w:p w14:paraId="308E0421" w14:textId="53413D5B" w:rsidR="00A77342" w:rsidRDefault="00A77342" w:rsidP="009D1967">
      <w:pPr>
        <w:spacing w:after="0" w:line="240" w:lineRule="auto"/>
        <w:ind w:firstLine="709"/>
        <w:jc w:val="both"/>
        <w:rPr>
          <w:rFonts w:ascii="Cambria" w:eastAsia="Times New Roman" w:hAnsi="Cambria" w:cs="Cambria"/>
          <w:color w:val="000000" w:themeColor="text1"/>
          <w:sz w:val="20"/>
          <w:szCs w:val="20"/>
          <w:lang w:val="es-CO"/>
        </w:rPr>
      </w:pPr>
    </w:p>
    <w:p w14:paraId="08DB9DF5" w14:textId="77777777" w:rsidR="00A77342" w:rsidRPr="00D833CE" w:rsidRDefault="00A77342" w:rsidP="009D1967">
      <w:pPr>
        <w:spacing w:after="0" w:line="240" w:lineRule="auto"/>
        <w:ind w:firstLine="709"/>
        <w:jc w:val="both"/>
        <w:rPr>
          <w:rFonts w:ascii="Cambria" w:eastAsia="Times New Roman" w:hAnsi="Cambria" w:cs="Cambria"/>
          <w:color w:val="000000" w:themeColor="text1"/>
          <w:sz w:val="20"/>
          <w:szCs w:val="20"/>
          <w:lang w:val="es-CO"/>
        </w:rPr>
      </w:pPr>
    </w:p>
    <w:p w14:paraId="6AE9730B"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lastRenderedPageBreak/>
        <w:t>Caso 10.820 – Informe Nº 44/00</w:t>
      </w:r>
    </w:p>
    <w:p w14:paraId="18EF6256"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rPr>
        <w:t> </w:t>
      </w:r>
    </w:p>
    <w:p w14:paraId="329C421A" w14:textId="77777777" w:rsidR="009D1967" w:rsidRPr="00D833CE" w:rsidRDefault="009D1967" w:rsidP="00A36C6E">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peruano, a través de efectivos del ejército de la 31a. División de Infantería, detuvo al señor Américo Zavala Martínez el 31 de marzo de 1990 en la ciudad de Morococha (La Oroya), y posteriormente procedió a desaparecerlo, por lo cual la Comisión concluyó que el Estado peruano es responsable de la violación del derecho a la libertad (artículo 7), del derecho a la integridad personal (artículo 5), del derecho a la vida (artículo 4), del derecho a la personalidad jurídica (artículo 3)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2FA0B683"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43869BFA"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rPr>
        <w:t>Caso 10.670 – Informe Nº 43/00</w:t>
      </w:r>
    </w:p>
    <w:p w14:paraId="1E1A9E3D"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7E354A85" w14:textId="77777777" w:rsidR="009D1967" w:rsidRPr="00D833CE" w:rsidRDefault="009D1967" w:rsidP="00A36C6E">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peruano, a través de efectivos del Ejército, detuvo a los señores Alcides Sandoval Flores, Julio César Sandoval Flores y Abraham Sandoval Flores el 25 de enero de 1990 en la carretera Federico Basadre, Provincia de Coronel Portillo, Departamento de </w:t>
      </w:r>
      <w:proofErr w:type="spellStart"/>
      <w:r w:rsidRPr="00D833CE">
        <w:rPr>
          <w:rFonts w:ascii="Cambria" w:eastAsia="Times New Roman" w:hAnsi="Cambria" w:cs="Cambria"/>
          <w:color w:val="000000" w:themeColor="text1"/>
          <w:sz w:val="20"/>
          <w:szCs w:val="20"/>
          <w:lang w:val="es-CO"/>
        </w:rPr>
        <w:t>Uyacali</w:t>
      </w:r>
      <w:proofErr w:type="spellEnd"/>
      <w:r w:rsidRPr="00D833CE">
        <w:rPr>
          <w:rFonts w:ascii="Cambria" w:eastAsia="Times New Roman" w:hAnsi="Cambria" w:cs="Cambria"/>
          <w:color w:val="000000" w:themeColor="text1"/>
          <w:sz w:val="20"/>
          <w:szCs w:val="20"/>
          <w:lang w:val="es-CO"/>
        </w:rPr>
        <w:t xml:space="preserve">, y posteriormente procedió a desaparecerlos, por lo cual la Comisión concluyó que el Estado peruano es responsable de la violación del derecho a la libertad (artículo 7), del derecho a la integridad personal (artículo 5), del derecho a la vida (artículo 4), del derecho a la personalidad jurídica (artículo 3)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5D78D1A4"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7F0F6E32"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Casos 10.827 y 10.984 – Informe Nº 57/99</w:t>
      </w:r>
    </w:p>
    <w:p w14:paraId="0E036A67" w14:textId="77777777" w:rsidR="009D1967" w:rsidRPr="00D833CE" w:rsidRDefault="009D1967" w:rsidP="009D1967">
      <w:pPr>
        <w:spacing w:after="0" w:line="240" w:lineRule="auto"/>
        <w:jc w:val="both"/>
        <w:rPr>
          <w:rFonts w:ascii="Cambria" w:eastAsia="Times New Roman" w:hAnsi="Cambria" w:cs="Cambria"/>
          <w:b/>
          <w:color w:val="000000" w:themeColor="text1"/>
          <w:sz w:val="20"/>
          <w:szCs w:val="20"/>
        </w:rPr>
      </w:pPr>
    </w:p>
    <w:p w14:paraId="3415BD2C" w14:textId="77777777" w:rsidR="009D1967" w:rsidRPr="00D833CE" w:rsidRDefault="009D1967" w:rsidP="00A36C6E">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Efectivos del Ejército peruano destacados en el Departamento de Ucayali procedieron a detener arbitrariamente y a desaparecer a los señores </w:t>
      </w:r>
      <w:proofErr w:type="spellStart"/>
      <w:r w:rsidRPr="00D833CE">
        <w:rPr>
          <w:rFonts w:ascii="Cambria" w:eastAsia="Times New Roman" w:hAnsi="Cambria" w:cs="Cambria"/>
          <w:color w:val="000000" w:themeColor="text1"/>
          <w:sz w:val="20"/>
          <w:szCs w:val="20"/>
          <w:lang w:val="es-CO"/>
        </w:rPr>
        <w:t>Romer</w:t>
      </w:r>
      <w:proofErr w:type="spellEnd"/>
      <w:r w:rsidRPr="00D833CE">
        <w:rPr>
          <w:rFonts w:ascii="Cambria" w:eastAsia="Times New Roman" w:hAnsi="Cambria" w:cs="Cambria"/>
          <w:color w:val="000000" w:themeColor="text1"/>
          <w:sz w:val="20"/>
          <w:szCs w:val="20"/>
          <w:lang w:val="es-CO"/>
        </w:rPr>
        <w:t xml:space="preserve"> Morales Zegarra, Richard Morales Zegarra, Carmen Teresa Rojas García y Carlos Vela Pizango, por lo cual la Comisión concluyó que el Estado peruano es responsable de la violación del derecho a la personalidad jurídica (artículo 3), del derecho la vida (artículo 4), del derecho a la integridad personal (artículo 5), del derecho a la libertad (artículo 7),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41070CF6"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46891A40"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rPr>
        <w:t>Casos 10.824, 11.044, 11.124, 11.125 y 11.175 –</w:t>
      </w:r>
      <w:r w:rsidRPr="00D833CE">
        <w:rPr>
          <w:rFonts w:ascii="Cambria" w:eastAsia="Times New Roman" w:hAnsi="Cambria" w:cs="Cambria"/>
          <w:color w:val="000000" w:themeColor="text1"/>
          <w:sz w:val="20"/>
          <w:szCs w:val="20"/>
        </w:rPr>
        <w:t xml:space="preserve"> </w:t>
      </w:r>
      <w:r w:rsidRPr="00D833CE">
        <w:rPr>
          <w:rFonts w:ascii="Cambria" w:eastAsia="Times New Roman" w:hAnsi="Cambria" w:cs="Cambria"/>
          <w:b/>
          <w:color w:val="000000" w:themeColor="text1"/>
          <w:sz w:val="20"/>
          <w:szCs w:val="20"/>
        </w:rPr>
        <w:t>Informe Nº 56/99</w:t>
      </w:r>
    </w:p>
    <w:p w14:paraId="14C0DDC6"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4608A436" w14:textId="77777777" w:rsidR="009D1967" w:rsidRPr="00D833CE" w:rsidRDefault="009D1967" w:rsidP="00A36C6E">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Efectivos policiales destacados en el Departamento de Lima procedieron a detener arbitrariamente y a desaparecer a los señores </w:t>
      </w:r>
      <w:proofErr w:type="spellStart"/>
      <w:r w:rsidRPr="00D833CE">
        <w:rPr>
          <w:rFonts w:ascii="Cambria" w:eastAsia="Times New Roman" w:hAnsi="Cambria" w:cs="Cambria"/>
          <w:color w:val="000000" w:themeColor="text1"/>
          <w:sz w:val="20"/>
          <w:szCs w:val="20"/>
          <w:lang w:val="es-CO"/>
        </w:rPr>
        <w:t>Eudalio</w:t>
      </w:r>
      <w:proofErr w:type="spellEnd"/>
      <w:r w:rsidRPr="00D833CE">
        <w:rPr>
          <w:rFonts w:ascii="Cambria" w:eastAsia="Times New Roman" w:hAnsi="Cambria" w:cs="Cambria"/>
          <w:color w:val="000000" w:themeColor="text1"/>
          <w:sz w:val="20"/>
          <w:szCs w:val="20"/>
          <w:lang w:val="es-CO"/>
        </w:rPr>
        <w:t xml:space="preserve"> Lorenzo Manrique, Pedro Herminio Yauri Bustamante, Eulogio Viera Estrada, Héctor Esteban Medina Bonet y Justiniano Najarro </w:t>
      </w:r>
      <w:proofErr w:type="spellStart"/>
      <w:r w:rsidRPr="00D833CE">
        <w:rPr>
          <w:rFonts w:ascii="Cambria" w:eastAsia="Times New Roman" w:hAnsi="Cambria" w:cs="Cambria"/>
          <w:color w:val="000000" w:themeColor="text1"/>
          <w:sz w:val="20"/>
          <w:szCs w:val="20"/>
          <w:lang w:val="es-CO"/>
        </w:rPr>
        <w:t>Rua</w:t>
      </w:r>
      <w:proofErr w:type="spellEnd"/>
      <w:r w:rsidRPr="00D833CE">
        <w:rPr>
          <w:rFonts w:ascii="Cambria" w:eastAsia="Times New Roman" w:hAnsi="Cambria" w:cs="Cambria"/>
          <w:color w:val="000000" w:themeColor="text1"/>
          <w:sz w:val="20"/>
          <w:szCs w:val="20"/>
          <w:lang w:val="es-CO"/>
        </w:rPr>
        <w:t xml:space="preserve">, por lo cual la Comisión concluyó que el Estado peruano es responsable de la violación del derecho a la personalidad jurídica (artículo 3), del derecho la vida (artículo 4), del derecho a la integridad personal (artículo 5), del derecho a la libertad (artículo 7),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549076B2"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452664A7"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rPr>
        <w:t>Casos 10.815, 10.905, 10.981, 10.995, 11.042 y 11.136 – Informe Nº 55/99</w:t>
      </w:r>
    </w:p>
    <w:p w14:paraId="6CF03A46" w14:textId="77777777" w:rsidR="009D1967" w:rsidRPr="00D833CE" w:rsidRDefault="009D1967" w:rsidP="009D1967">
      <w:pPr>
        <w:spacing w:after="0" w:line="240" w:lineRule="auto"/>
        <w:ind w:left="720"/>
        <w:jc w:val="both"/>
        <w:rPr>
          <w:rFonts w:ascii="Cambria" w:eastAsia="Times New Roman" w:hAnsi="Cambria" w:cs="Cambria"/>
          <w:color w:val="000000" w:themeColor="text1"/>
          <w:sz w:val="20"/>
          <w:szCs w:val="20"/>
        </w:rPr>
      </w:pPr>
    </w:p>
    <w:p w14:paraId="56F886F0"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Efectivos del Ejército peruano destacados en el Departamento de Huánuco procedieron a detener arbitrariamente y a desaparecer a los señores Juan de La Cruz Núñez Santana, </w:t>
      </w:r>
      <w:proofErr w:type="spellStart"/>
      <w:r w:rsidRPr="00D833CE">
        <w:rPr>
          <w:rFonts w:ascii="Cambria" w:eastAsia="Times New Roman" w:hAnsi="Cambria" w:cs="Cambria"/>
          <w:color w:val="000000" w:themeColor="text1"/>
          <w:sz w:val="20"/>
          <w:szCs w:val="20"/>
          <w:lang w:val="es-CO"/>
        </w:rPr>
        <w:t>Wilian</w:t>
      </w:r>
      <w:proofErr w:type="spellEnd"/>
      <w:r w:rsidRPr="00D833CE">
        <w:rPr>
          <w:rFonts w:ascii="Cambria" w:eastAsia="Times New Roman" w:hAnsi="Cambria" w:cs="Cambria"/>
          <w:color w:val="000000" w:themeColor="text1"/>
          <w:sz w:val="20"/>
          <w:szCs w:val="20"/>
          <w:lang w:val="es-CO"/>
        </w:rPr>
        <w:t xml:space="preserve"> Guerra González, Raúl </w:t>
      </w:r>
      <w:proofErr w:type="spellStart"/>
      <w:r w:rsidRPr="00D833CE">
        <w:rPr>
          <w:rFonts w:ascii="Cambria" w:eastAsia="Times New Roman" w:hAnsi="Cambria" w:cs="Cambria"/>
          <w:color w:val="000000" w:themeColor="text1"/>
          <w:sz w:val="20"/>
          <w:szCs w:val="20"/>
          <w:lang w:val="es-CO"/>
        </w:rPr>
        <w:t>Naraza</w:t>
      </w:r>
      <w:proofErr w:type="spellEnd"/>
      <w:r w:rsidRPr="00D833CE">
        <w:rPr>
          <w:rFonts w:ascii="Cambria" w:eastAsia="Times New Roman" w:hAnsi="Cambria" w:cs="Cambria"/>
          <w:color w:val="000000" w:themeColor="text1"/>
          <w:sz w:val="20"/>
          <w:szCs w:val="20"/>
          <w:lang w:val="es-CO"/>
        </w:rPr>
        <w:t xml:space="preserve"> Salazar, Rafael Magallanes Huamán, Samuel Ramos Diego y Wilmer Guillermo Jara </w:t>
      </w:r>
      <w:proofErr w:type="spellStart"/>
      <w:r w:rsidRPr="00D833CE">
        <w:rPr>
          <w:rFonts w:ascii="Cambria" w:eastAsia="Times New Roman" w:hAnsi="Cambria" w:cs="Cambria"/>
          <w:color w:val="000000" w:themeColor="text1"/>
          <w:sz w:val="20"/>
          <w:szCs w:val="20"/>
          <w:lang w:val="es-CO"/>
        </w:rPr>
        <w:t>Vigilio</w:t>
      </w:r>
      <w:proofErr w:type="spellEnd"/>
      <w:r w:rsidRPr="00D833CE">
        <w:rPr>
          <w:rFonts w:ascii="Cambria" w:eastAsia="Times New Roman" w:hAnsi="Cambria" w:cs="Cambria"/>
          <w:color w:val="000000" w:themeColor="text1"/>
          <w:sz w:val="20"/>
          <w:szCs w:val="20"/>
          <w:lang w:val="es-CO"/>
        </w:rPr>
        <w:t xml:space="preserve">, por lo cual la Comisión concluyó que el Estado peruano es responsable de la violación del derecho </w:t>
      </w:r>
      <w:r w:rsidRPr="00D833CE">
        <w:rPr>
          <w:rFonts w:ascii="Cambria" w:eastAsia="Times New Roman" w:hAnsi="Cambria" w:cs="Cambria"/>
          <w:color w:val="000000" w:themeColor="text1"/>
          <w:sz w:val="20"/>
          <w:szCs w:val="20"/>
          <w:lang w:val="es-CO"/>
        </w:rPr>
        <w:lastRenderedPageBreak/>
        <w:t xml:space="preserve">a la personalidad jurídica (artículo 3), del derecho la vida (artículo 4), del derecho a la integridad personal (artículo 5), del derecho a la libertad (artículo 7),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175D9A9A"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7D00D19F" w14:textId="77777777" w:rsidR="009D1967" w:rsidRPr="00D833CE" w:rsidRDefault="009D1967" w:rsidP="00055027">
      <w:pPr>
        <w:numPr>
          <w:ilvl w:val="0"/>
          <w:numId w:val="39"/>
        </w:numPr>
        <w:spacing w:after="0" w:line="240" w:lineRule="auto"/>
        <w:ind w:firstLine="0"/>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Casos 10.807, 10.808, 10.809, 10.810, 10.879 y 11.037 – Informe Nº 54/99</w:t>
      </w:r>
    </w:p>
    <w:p w14:paraId="2376AC23"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1AB6796F"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Efectivos del Ejército peruano destacados en el Departamento de Ayacucho procedieron a detener arbitrariamente y a desaparecer a los señores William León Laurente, Alfonso Aguirre Escalante, Eladio Mancilla Calle, Constantino Saavedra Muñoz, Zenón Huamani Chuchón, Julio </w:t>
      </w:r>
      <w:proofErr w:type="spellStart"/>
      <w:r w:rsidRPr="00D833CE">
        <w:rPr>
          <w:rFonts w:ascii="Cambria" w:eastAsia="Times New Roman" w:hAnsi="Cambria" w:cs="Cambria"/>
          <w:color w:val="000000" w:themeColor="text1"/>
          <w:sz w:val="20"/>
          <w:szCs w:val="20"/>
          <w:lang w:val="es-CO"/>
        </w:rPr>
        <w:t>Arotoma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Cacñahuaray</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Honorata</w:t>
      </w:r>
      <w:proofErr w:type="spellEnd"/>
      <w:r w:rsidRPr="00D833CE">
        <w:rPr>
          <w:rFonts w:ascii="Cambria" w:eastAsia="Times New Roman" w:hAnsi="Cambria" w:cs="Cambria"/>
          <w:color w:val="000000" w:themeColor="text1"/>
          <w:sz w:val="20"/>
          <w:szCs w:val="20"/>
          <w:lang w:val="es-CO"/>
        </w:rPr>
        <w:t xml:space="preserve"> Ore De </w:t>
      </w:r>
      <w:proofErr w:type="spellStart"/>
      <w:r w:rsidRPr="00D833CE">
        <w:rPr>
          <w:rFonts w:ascii="Cambria" w:eastAsia="Times New Roman" w:hAnsi="Cambria" w:cs="Cambria"/>
          <w:color w:val="000000" w:themeColor="text1"/>
          <w:sz w:val="20"/>
          <w:szCs w:val="20"/>
          <w:lang w:val="es-CO"/>
        </w:rPr>
        <w:t>Arotoma</w:t>
      </w:r>
      <w:proofErr w:type="spellEnd"/>
      <w:r w:rsidRPr="00D833CE">
        <w:rPr>
          <w:rFonts w:ascii="Cambria" w:eastAsia="Times New Roman" w:hAnsi="Cambria" w:cs="Cambria"/>
          <w:color w:val="000000" w:themeColor="text1"/>
          <w:sz w:val="20"/>
          <w:szCs w:val="20"/>
          <w:lang w:val="es-CO"/>
        </w:rPr>
        <w:t xml:space="preserve">, Eleuterio Fernández Quispe, Napoleón Quispe Ortega, </w:t>
      </w:r>
      <w:proofErr w:type="spellStart"/>
      <w:r w:rsidRPr="00D833CE">
        <w:rPr>
          <w:rFonts w:ascii="Cambria" w:eastAsia="Times New Roman" w:hAnsi="Cambria" w:cs="Cambria"/>
          <w:color w:val="000000" w:themeColor="text1"/>
          <w:sz w:val="20"/>
          <w:szCs w:val="20"/>
          <w:lang w:val="es-CO"/>
        </w:rPr>
        <w:t>Onofredo</w:t>
      </w:r>
      <w:proofErr w:type="spellEnd"/>
      <w:r w:rsidRPr="00D833CE">
        <w:rPr>
          <w:rFonts w:ascii="Cambria" w:eastAsia="Times New Roman" w:hAnsi="Cambria" w:cs="Cambria"/>
          <w:color w:val="000000" w:themeColor="text1"/>
          <w:sz w:val="20"/>
          <w:szCs w:val="20"/>
          <w:lang w:val="es-CO"/>
        </w:rPr>
        <w:t xml:space="preserve"> Huamani Quispe, Luis Amaru Quispe y Honorato Laura Luján, por lo cual el Estado peruano es responsable de la violación del derecho a la personalidad jurídica (artículo 3), del derecho la vida (artículo 4), del derecho a la integridad personal (artículo 5), del derecho a la libertad (artículo 7),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655D4C12"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473C49F2" w14:textId="77777777" w:rsidR="009D1967" w:rsidRPr="00D833CE" w:rsidRDefault="009D1967" w:rsidP="00055027">
      <w:pPr>
        <w:numPr>
          <w:ilvl w:val="0"/>
          <w:numId w:val="39"/>
        </w:numPr>
        <w:spacing w:after="0" w:line="240" w:lineRule="auto"/>
        <w:ind w:firstLine="0"/>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lang w:val="es-CO"/>
        </w:rPr>
        <w:t xml:space="preserve"> </w:t>
      </w:r>
      <w:r w:rsidRPr="00D833CE">
        <w:rPr>
          <w:rFonts w:ascii="Cambria" w:eastAsia="Times New Roman" w:hAnsi="Cambria" w:cs="Cambria"/>
          <w:b/>
          <w:color w:val="000000" w:themeColor="text1"/>
          <w:sz w:val="20"/>
          <w:szCs w:val="20"/>
        </w:rPr>
        <w:t>Casos 10.551, 10.803, 10.821, 10.906, 11.180 y 11.322 - Informe Nº 53/99</w:t>
      </w:r>
    </w:p>
    <w:p w14:paraId="6EEDA8F8"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2E782D0D"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Efectivos del Ejército peruano destacados en el Departamento de Junín procedieron a detener arbitrariamente y a desaparecer al señor David Palomino Morales y otros, por lo cual el Estado peruano es responsable de la violación del derecho a la personalidad jurídica (artículo 3), del derecho la vida (artículo 4), del derecho a la integridad personal (artículo 5), del derecho a la libertad (artículo 7), y del derecho a un recurso judicial efectivo (artículo 25) consagrados en la Convención Americana sobre Derechos Humanos. Igualmente, ha incumplido su obligación general de respetar y garantizar el ejercicio de estos derechos consagrados en la Convención, en los términos del artículo 1(1) de dicha Convención. Igualmente, el Estado incumplió su obligación general de respetar y garantizar el ejercicio de estos derechos consagrados en la Convención, en los términos del artículo 1(1) de dicha Convención. </w:t>
      </w:r>
    </w:p>
    <w:p w14:paraId="53652868"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6ACC1211"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lang w:val="es-CO"/>
        </w:rPr>
        <w:t xml:space="preserve"> </w:t>
      </w:r>
      <w:r w:rsidRPr="00D833CE">
        <w:rPr>
          <w:rFonts w:ascii="Cambria" w:eastAsia="Times New Roman" w:hAnsi="Cambria" w:cs="Cambria"/>
          <w:b/>
          <w:color w:val="000000" w:themeColor="text1"/>
          <w:sz w:val="20"/>
          <w:szCs w:val="20"/>
        </w:rPr>
        <w:t>Casos 10.544, 10.745 y 11.098 - Informe N</w:t>
      </w:r>
      <w:r w:rsidRPr="00D833CE">
        <w:rPr>
          <w:rFonts w:ascii="Cambria" w:eastAsia="Times New Roman" w:hAnsi="Cambria" w:cs="Cambria"/>
          <w:b/>
          <w:color w:val="000000" w:themeColor="text1"/>
          <w:sz w:val="20"/>
          <w:szCs w:val="20"/>
          <w:vertAlign w:val="superscript"/>
        </w:rPr>
        <w:t>o </w:t>
      </w:r>
      <w:r w:rsidRPr="00D833CE">
        <w:rPr>
          <w:rFonts w:ascii="Cambria" w:eastAsia="Times New Roman" w:hAnsi="Cambria" w:cs="Cambria"/>
          <w:b/>
          <w:color w:val="000000" w:themeColor="text1"/>
          <w:sz w:val="20"/>
          <w:szCs w:val="20"/>
        </w:rPr>
        <w:t>52/99</w:t>
      </w:r>
    </w:p>
    <w:p w14:paraId="31DE12C8"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2F835F32"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Efectivos del Ejército peruano destacados en el Departamento de Huancavelica procedieron a detener arbitrariamente y a desaparecer a los señores Raúl Zevallos Loayza, Víctor Padilla Luján, Nazario Taype Huamani, Modesto Huamani </w:t>
      </w:r>
      <w:proofErr w:type="spellStart"/>
      <w:r w:rsidRPr="00D833CE">
        <w:rPr>
          <w:rFonts w:ascii="Cambria" w:eastAsia="Times New Roman" w:hAnsi="Cambria" w:cs="Cambria"/>
          <w:color w:val="000000" w:themeColor="text1"/>
          <w:sz w:val="20"/>
          <w:szCs w:val="20"/>
          <w:lang w:val="es-CO"/>
        </w:rPr>
        <w:t>Cosigna</w:t>
      </w:r>
      <w:proofErr w:type="spellEnd"/>
      <w:r w:rsidRPr="00D833CE">
        <w:rPr>
          <w:rFonts w:ascii="Cambria" w:eastAsia="Times New Roman" w:hAnsi="Cambria" w:cs="Cambria"/>
          <w:color w:val="000000" w:themeColor="text1"/>
          <w:sz w:val="20"/>
          <w:szCs w:val="20"/>
          <w:lang w:val="es-CO"/>
        </w:rPr>
        <w:t xml:space="preserve"> y Rubén Aparicio Villanueva Toro, por lo cual el Estado peruano es responsable de la violación del derecho a la personalidad jurídica (artículo 3), del derecho la vida (artículo 4), del derecho a la integridad personal (artículo 5), del derecho a la libertad (artículo 7),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5DE7C127"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1EE9D3A8"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rPr>
        <w:t>Casos 10.471, 10.955, 11.014, 11.066, 11.067, 11.070 y 11.163 – Informe Nº 51/99</w:t>
      </w:r>
    </w:p>
    <w:p w14:paraId="0B698962"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6AC834AA"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Efectivos del Ejército peruano destacados en el Departamento de San Martín procedieron a detener arbitrariamente y a desaparecer al señor </w:t>
      </w:r>
      <w:proofErr w:type="spellStart"/>
      <w:r w:rsidRPr="00D833CE">
        <w:rPr>
          <w:rFonts w:ascii="Cambria" w:eastAsia="Times New Roman" w:hAnsi="Cambria" w:cs="Cambria"/>
          <w:color w:val="000000" w:themeColor="text1"/>
          <w:sz w:val="20"/>
          <w:szCs w:val="20"/>
          <w:lang w:val="es-CO"/>
        </w:rPr>
        <w:t>Anetro</w:t>
      </w:r>
      <w:proofErr w:type="spellEnd"/>
      <w:r w:rsidRPr="00D833CE">
        <w:rPr>
          <w:rFonts w:ascii="Cambria" w:eastAsia="Times New Roman" w:hAnsi="Cambria" w:cs="Cambria"/>
          <w:color w:val="000000" w:themeColor="text1"/>
          <w:sz w:val="20"/>
          <w:szCs w:val="20"/>
          <w:lang w:val="es-CO"/>
        </w:rPr>
        <w:t xml:space="preserve"> Castillo Pezo y otros, por lo cual el Estado peruano es responsable de la violación del derecho a la personalidad jurídica (artículo 3), del derecho la vida (artículo 4), del derecho a la integridad personal (artículo 5), del derecho a la libertad (artículo 7), y del derecho a un recurso judicial efectivo (artículo 25) consagrados en la Convención Americana sobre Derechos Humanos. Igualmente, el Estado incumplió su obligación general de respetar y garantizar el ejercicio de estos derechos consagrados en la Convención, en los términos del artículo 1(1) de dicha Convención. </w:t>
      </w:r>
    </w:p>
    <w:p w14:paraId="1D994337"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1BB4465C"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lang w:val="es-CO"/>
        </w:rPr>
        <w:t xml:space="preserve"> </w:t>
      </w:r>
      <w:r w:rsidRPr="00D833CE">
        <w:rPr>
          <w:rFonts w:ascii="Cambria" w:eastAsia="Times New Roman" w:hAnsi="Cambria" w:cs="Cambria"/>
          <w:b/>
          <w:color w:val="000000" w:themeColor="text1"/>
          <w:sz w:val="20"/>
          <w:szCs w:val="20"/>
        </w:rPr>
        <w:t>Caso 10.542 – Informe Nº 19/99</w:t>
      </w:r>
    </w:p>
    <w:p w14:paraId="6DFC05CB"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78773CC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Agentes de las fuerzas de seguridad del Estado peruano procedieron a arrestar a Pastor </w:t>
      </w:r>
      <w:proofErr w:type="spellStart"/>
      <w:r w:rsidRPr="00D833CE">
        <w:rPr>
          <w:rFonts w:ascii="Cambria" w:eastAsia="Times New Roman" w:hAnsi="Cambria" w:cs="Cambria"/>
          <w:color w:val="000000" w:themeColor="text1"/>
          <w:sz w:val="20"/>
          <w:szCs w:val="20"/>
          <w:lang w:val="es-CO"/>
        </w:rPr>
        <w:t>Juscamaita</w:t>
      </w:r>
      <w:proofErr w:type="spellEnd"/>
      <w:r w:rsidRPr="00D833CE">
        <w:rPr>
          <w:rFonts w:ascii="Cambria" w:eastAsia="Times New Roman" w:hAnsi="Cambria" w:cs="Cambria"/>
          <w:color w:val="000000" w:themeColor="text1"/>
          <w:sz w:val="20"/>
          <w:szCs w:val="20"/>
          <w:lang w:val="es-CO"/>
        </w:rPr>
        <w:t xml:space="preserve"> Laura y no han podido dar cuenta de su paradero, con lo cual el Estado peruano se hizo responsable de la violación del derecho a la vida (artículo 4) y del derecho a la libertad (artículo 7), así como del incumplimiento de la obligación general de respetar y garantizar el ejercicio de esos derechos, consagrados en el artículo 1(1) de la Convención Americana sobre Derechos Humanos. </w:t>
      </w:r>
    </w:p>
    <w:p w14:paraId="11644849"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4F35DAD5"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lang w:val="es-CO"/>
        </w:rPr>
        <w:t xml:space="preserve"> </w:t>
      </w:r>
      <w:r w:rsidRPr="00D833CE">
        <w:rPr>
          <w:rFonts w:ascii="Cambria" w:eastAsia="Times New Roman" w:hAnsi="Cambria" w:cs="Cambria"/>
          <w:b/>
          <w:color w:val="000000" w:themeColor="text1"/>
          <w:sz w:val="20"/>
          <w:szCs w:val="20"/>
        </w:rPr>
        <w:t>Caso 10.562 – Informe Nº 43/97</w:t>
      </w:r>
      <w:r w:rsidRPr="00D833CE">
        <w:rPr>
          <w:rFonts w:ascii="Cambria" w:eastAsia="Times New Roman" w:hAnsi="Cambria" w:cs="Cambria"/>
          <w:color w:val="000000" w:themeColor="text1"/>
          <w:sz w:val="20"/>
          <w:szCs w:val="20"/>
        </w:rPr>
        <w:t xml:space="preserve"> </w:t>
      </w:r>
    </w:p>
    <w:p w14:paraId="6018EDB3"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br/>
        <w:t xml:space="preserve">Agentes de las fuerzas de seguridad del Estado peruano privaron arbitrariamente de la vida a Héctor Pérez Salazar, en virtud de lo cual el Estado es culpable de haber violado el derecho a la vida (artículo 4) y la obligación general de respetar y garantizar el ejercicio de este derecho consagrada en el artículo 1.1 de la Convención. </w:t>
      </w:r>
    </w:p>
    <w:p w14:paraId="3763E171"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0DCC77BB"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lang w:val="es-CO"/>
        </w:rPr>
        <w:t xml:space="preserve"> </w:t>
      </w:r>
      <w:r w:rsidRPr="00D833CE">
        <w:rPr>
          <w:rFonts w:ascii="Cambria" w:eastAsia="Times New Roman" w:hAnsi="Cambria" w:cs="Cambria"/>
          <w:b/>
          <w:color w:val="000000" w:themeColor="text1"/>
          <w:sz w:val="20"/>
          <w:szCs w:val="20"/>
        </w:rPr>
        <w:t xml:space="preserve">Caso 10.521 - Informe Nº 42/97 </w:t>
      </w:r>
    </w:p>
    <w:p w14:paraId="781A05F1"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1962D38F"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Agentes de las fuerzas de seguridad del Estado peruano procedieron a detener a </w:t>
      </w:r>
      <w:proofErr w:type="spellStart"/>
      <w:r w:rsidRPr="00D833CE">
        <w:rPr>
          <w:rFonts w:ascii="Cambria" w:eastAsia="Times New Roman" w:hAnsi="Cambria" w:cs="Cambria"/>
          <w:color w:val="000000" w:themeColor="text1"/>
          <w:sz w:val="20"/>
          <w:szCs w:val="20"/>
          <w:lang w:val="es-CO"/>
        </w:rPr>
        <w:t>Angel</w:t>
      </w:r>
      <w:proofErr w:type="spellEnd"/>
      <w:r w:rsidRPr="00D833CE">
        <w:rPr>
          <w:rFonts w:ascii="Cambria" w:eastAsia="Times New Roman" w:hAnsi="Cambria" w:cs="Cambria"/>
          <w:color w:val="000000" w:themeColor="text1"/>
          <w:sz w:val="20"/>
          <w:szCs w:val="20"/>
          <w:lang w:val="es-CO"/>
        </w:rPr>
        <w:t xml:space="preserve"> Escobar Jurado y en los años siguientes no pudieron dar cuenta de su paradero, por lo cual el Estado peruano es responsable de la violación del derecho a la vida (artículo 4), y a la libertad (artículo 7), así como de la obligación general de respetar y garantizar el ejercicio de estos derechos, consagrada en el artículo 1.1 de la Convención Americana sobre Derechos Humanos. </w:t>
      </w:r>
    </w:p>
    <w:p w14:paraId="7F5AC2BA"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7ED5919"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 xml:space="preserve">Caso 10.491 – Informe Nº 41/97 </w:t>
      </w:r>
    </w:p>
    <w:p w14:paraId="477FF3EA"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12BD3E10"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Agentes de las fuerzas de seguridad del Estado peruano detuvieron a </w:t>
      </w:r>
      <w:proofErr w:type="gramStart"/>
      <w:r w:rsidRPr="00D833CE">
        <w:rPr>
          <w:rFonts w:ascii="Cambria" w:eastAsia="Times New Roman" w:hAnsi="Cambria" w:cs="Cambria"/>
          <w:color w:val="000000" w:themeColor="text1"/>
          <w:sz w:val="20"/>
          <w:szCs w:val="20"/>
          <w:lang w:val="es-CO"/>
        </w:rPr>
        <w:t>Estiles</w:t>
      </w:r>
      <w:proofErr w:type="gramEnd"/>
      <w:r w:rsidRPr="00D833CE">
        <w:rPr>
          <w:rFonts w:ascii="Cambria" w:eastAsia="Times New Roman" w:hAnsi="Cambria" w:cs="Cambria"/>
          <w:color w:val="000000" w:themeColor="text1"/>
          <w:sz w:val="20"/>
          <w:szCs w:val="20"/>
          <w:lang w:val="es-CO"/>
        </w:rPr>
        <w:t xml:space="preserve"> Ruiz Dávila y, posteriormente, en los años siguientes, no pudieron dar cuenta de su paradero, por lo cual el Estado peruano es responsable de la violación del derecho a la vida (artículo 4), y a la libertad (artículo 7), y de la obligación general de respetar y garantizar el ejercicio de estos derechos, consagrada en el artículo 1.1 de la Convención Americana sobre Derechos Humanos. </w:t>
      </w:r>
    </w:p>
    <w:p w14:paraId="0102AE6E"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EEA516E"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Casos 10.941, 10.942, 10.944 y 10.945 – Informe Nº 40/97</w:t>
      </w:r>
    </w:p>
    <w:p w14:paraId="5E42CDE4" w14:textId="77777777" w:rsidR="009D1967" w:rsidRPr="00D833CE" w:rsidRDefault="009D1967" w:rsidP="009D1967">
      <w:pPr>
        <w:spacing w:after="0" w:line="240" w:lineRule="auto"/>
        <w:ind w:left="720"/>
        <w:jc w:val="both"/>
        <w:rPr>
          <w:rFonts w:ascii="Cambria" w:eastAsia="Times New Roman" w:hAnsi="Cambria" w:cs="Cambria"/>
          <w:b/>
          <w:color w:val="000000" w:themeColor="text1"/>
          <w:sz w:val="20"/>
          <w:szCs w:val="20"/>
        </w:rPr>
      </w:pPr>
    </w:p>
    <w:p w14:paraId="43E17C78"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Soldados del Ejército peruano destacados en la Base Militar del Distrito de Aucayacu procedieron a detener en forma clandestina a los señores Camilo Alarcón Espinoza, Jerónimo Villar Salomé, </w:t>
      </w:r>
      <w:proofErr w:type="spellStart"/>
      <w:r w:rsidRPr="00D833CE">
        <w:rPr>
          <w:rFonts w:ascii="Cambria" w:eastAsia="Times New Roman" w:hAnsi="Cambria" w:cs="Cambria"/>
          <w:color w:val="000000" w:themeColor="text1"/>
          <w:sz w:val="20"/>
          <w:szCs w:val="20"/>
          <w:lang w:val="es-CO"/>
        </w:rPr>
        <w:t>Alvaro</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Hachiguy</w:t>
      </w:r>
      <w:proofErr w:type="spellEnd"/>
      <w:r w:rsidRPr="00D833CE">
        <w:rPr>
          <w:rFonts w:ascii="Cambria" w:eastAsia="Times New Roman" w:hAnsi="Cambria" w:cs="Cambria"/>
          <w:color w:val="000000" w:themeColor="text1"/>
          <w:sz w:val="20"/>
          <w:szCs w:val="20"/>
          <w:lang w:val="es-CO"/>
        </w:rPr>
        <w:t xml:space="preserve"> Izquierdo, Daniel Huamán </w:t>
      </w:r>
      <w:proofErr w:type="spellStart"/>
      <w:r w:rsidRPr="00D833CE">
        <w:rPr>
          <w:rFonts w:ascii="Cambria" w:eastAsia="Times New Roman" w:hAnsi="Cambria" w:cs="Cambria"/>
          <w:color w:val="000000" w:themeColor="text1"/>
          <w:sz w:val="20"/>
          <w:szCs w:val="20"/>
          <w:lang w:val="es-CO"/>
        </w:rPr>
        <w:t>Amacifuen</w:t>
      </w:r>
      <w:proofErr w:type="spellEnd"/>
      <w:r w:rsidRPr="00D833CE">
        <w:rPr>
          <w:rFonts w:ascii="Cambria" w:eastAsia="Times New Roman" w:hAnsi="Cambria" w:cs="Cambria"/>
          <w:color w:val="000000" w:themeColor="text1"/>
          <w:sz w:val="20"/>
          <w:szCs w:val="20"/>
          <w:lang w:val="es-CO"/>
        </w:rPr>
        <w:t xml:space="preserve">  y Sara Luz Mozombite Quiñones, por lo cual la Comisión concluyó que el Estado peruano es responsable de la violación del derecho a la personalidad jurídica (artículo 3), la vida (artículo 4), integridad personal (artículo 5), y libertad (artículo 7) de la Convención Americana sobre Derechos Humanos, así como a la obligación general de respetar y garantizar el ejercicio de estos derechos consagrados en la Convención. Así mismo, el Estado peruano es responsable de la violación del derecho a un recurso judicial efectivo (artículo 25) y ha incumplido la obligación general de respetar y garantizar el ejercicio de estos derechos consagrados en la Convención. </w:t>
      </w:r>
    </w:p>
    <w:p w14:paraId="3C70DCDD"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lang w:val="es-CO"/>
        </w:rPr>
      </w:pPr>
    </w:p>
    <w:p w14:paraId="50D5D8E2"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11.233 - Informe Nº 39/97</w:t>
      </w:r>
    </w:p>
    <w:p w14:paraId="36EE44B2" w14:textId="77777777" w:rsidR="009D1967" w:rsidRPr="00D833CE" w:rsidRDefault="009D1967" w:rsidP="009D1967">
      <w:pPr>
        <w:spacing w:after="0" w:line="240" w:lineRule="auto"/>
        <w:ind w:left="720"/>
        <w:jc w:val="both"/>
        <w:rPr>
          <w:rFonts w:ascii="Cambria" w:eastAsia="Times New Roman" w:hAnsi="Cambria" w:cs="Cambria"/>
          <w:b/>
          <w:color w:val="000000" w:themeColor="text1"/>
          <w:sz w:val="20"/>
          <w:szCs w:val="20"/>
        </w:rPr>
      </w:pPr>
    </w:p>
    <w:p w14:paraId="6DCE3E66"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Oficiales de la Marina de Guerra peruana procedieron a detener en forma clandestina a Martín Javier Roca Casas, de donde, según la Comisión, se desprende que el Estado peruano es responsable de la violación del derecho a la vida (artículo 4), integridad personal (artículo 5), libertad (artículo 7) y del debido proceso y a un recurso judicial efectivo (artículo 25) consagrados en la Convención Americana sobre Derechos Humanos, así como a la obligación general de respetar y garantizar el ejercicio de estos derechos. </w:t>
      </w:r>
    </w:p>
    <w:p w14:paraId="6A5B71C9" w14:textId="77777777" w:rsidR="009B0F63" w:rsidRDefault="009B0F63">
      <w:pPr>
        <w:rPr>
          <w:rFonts w:ascii="Cambria" w:eastAsia="Times New Roman" w:hAnsi="Cambria" w:cs="Cambria"/>
          <w:b/>
          <w:color w:val="000000" w:themeColor="text1"/>
          <w:sz w:val="20"/>
          <w:szCs w:val="20"/>
          <w:lang w:val="es-CO"/>
        </w:rPr>
      </w:pPr>
      <w:r>
        <w:rPr>
          <w:rFonts w:ascii="Cambria" w:eastAsia="Times New Roman" w:hAnsi="Cambria" w:cs="Cambria"/>
          <w:b/>
          <w:color w:val="000000" w:themeColor="text1"/>
          <w:sz w:val="20"/>
          <w:szCs w:val="20"/>
          <w:lang w:val="es-CO"/>
        </w:rPr>
        <w:br w:type="page"/>
      </w:r>
    </w:p>
    <w:p w14:paraId="08C23269" w14:textId="7624519A"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lang w:val="es-CO"/>
        </w:rPr>
        <w:lastRenderedPageBreak/>
        <w:t xml:space="preserve"> </w:t>
      </w:r>
      <w:r w:rsidRPr="00D833CE">
        <w:rPr>
          <w:rFonts w:ascii="Cambria" w:eastAsia="Times New Roman" w:hAnsi="Cambria" w:cs="Cambria"/>
          <w:b/>
          <w:color w:val="000000" w:themeColor="text1"/>
          <w:sz w:val="20"/>
          <w:szCs w:val="20"/>
        </w:rPr>
        <w:t>Caso 10.548 – Informe N° 38/97</w:t>
      </w:r>
    </w:p>
    <w:p w14:paraId="1D148BFC" w14:textId="77777777" w:rsidR="009D1967" w:rsidRPr="00D833CE" w:rsidRDefault="009D1967" w:rsidP="009D1967">
      <w:pPr>
        <w:spacing w:after="0" w:line="240" w:lineRule="auto"/>
        <w:ind w:left="720"/>
        <w:jc w:val="both"/>
        <w:rPr>
          <w:rFonts w:ascii="Cambria" w:eastAsia="Times New Roman" w:hAnsi="Cambria" w:cs="Cambria"/>
          <w:color w:val="000000" w:themeColor="text1"/>
          <w:sz w:val="20"/>
          <w:szCs w:val="20"/>
        </w:rPr>
      </w:pPr>
    </w:p>
    <w:p w14:paraId="384B11F9" w14:textId="77777777" w:rsidR="009D1967" w:rsidRPr="00D833CE" w:rsidRDefault="009D1967" w:rsidP="00055027">
      <w:pPr>
        <w:spacing w:after="0" w:line="240" w:lineRule="auto"/>
        <w:ind w:firstLine="706"/>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La Comisión concluyó que el Estado peruano había violado, en perjuicio de Hugo </w:t>
      </w:r>
      <w:proofErr w:type="spellStart"/>
      <w:r w:rsidRPr="00D833CE">
        <w:rPr>
          <w:rFonts w:ascii="Cambria" w:eastAsia="Times New Roman" w:hAnsi="Cambria" w:cs="Cambria"/>
          <w:color w:val="000000" w:themeColor="text1"/>
          <w:sz w:val="20"/>
          <w:szCs w:val="20"/>
          <w:lang w:val="es-CO"/>
        </w:rPr>
        <w:t>Bustíos</w:t>
      </w:r>
      <w:proofErr w:type="spellEnd"/>
      <w:r w:rsidRPr="00D833CE">
        <w:rPr>
          <w:rFonts w:ascii="Cambria" w:eastAsia="Times New Roman" w:hAnsi="Cambria" w:cs="Cambria"/>
          <w:color w:val="000000" w:themeColor="text1"/>
          <w:sz w:val="20"/>
          <w:szCs w:val="20"/>
          <w:lang w:val="es-CO"/>
        </w:rPr>
        <w:t xml:space="preserve"> Saavedra, los derechos a la vida, libertad de expresión y a la protección judicial.  De igual modo había violado en perjuicio de Eduardo Rojas Arce, los derechos a la integridad personal, libertad de expresión y a la protección judicial, todos ellos reconocidos respectivamente en los artículos 4, 5, 13 y 25 de la Convención Americana sobre Derechos Humanos, en conexión con el artículo 1.1 de la misma.  Con relación al derecho a la vida de Hugo </w:t>
      </w:r>
      <w:proofErr w:type="spellStart"/>
      <w:r w:rsidRPr="00D833CE">
        <w:rPr>
          <w:rFonts w:ascii="Cambria" w:eastAsia="Times New Roman" w:hAnsi="Cambria" w:cs="Cambria"/>
          <w:color w:val="000000" w:themeColor="text1"/>
          <w:sz w:val="20"/>
          <w:szCs w:val="20"/>
          <w:lang w:val="es-CO"/>
        </w:rPr>
        <w:t>Bustíos</w:t>
      </w:r>
      <w:proofErr w:type="spellEnd"/>
      <w:r w:rsidRPr="00D833CE">
        <w:rPr>
          <w:rFonts w:ascii="Cambria" w:eastAsia="Times New Roman" w:hAnsi="Cambria" w:cs="Cambria"/>
          <w:color w:val="000000" w:themeColor="text1"/>
          <w:sz w:val="20"/>
          <w:szCs w:val="20"/>
          <w:lang w:val="es-CO"/>
        </w:rPr>
        <w:t xml:space="preserve"> Saavedra y a la integridad personal de Eduardo Rojas Arce, el Estado peruano violó asimismo el artículo 3 común de los Convenios de Ginebra de 1949. </w:t>
      </w:r>
    </w:p>
    <w:p w14:paraId="32FD459D" w14:textId="77777777" w:rsidR="009D1967" w:rsidRPr="00D833CE" w:rsidRDefault="009D1967" w:rsidP="009D1967">
      <w:pPr>
        <w:spacing w:after="0" w:line="240" w:lineRule="auto"/>
        <w:ind w:left="720"/>
        <w:jc w:val="both"/>
        <w:rPr>
          <w:rFonts w:ascii="Cambria" w:eastAsia="Times New Roman" w:hAnsi="Cambria" w:cs="Cambria"/>
          <w:color w:val="000000" w:themeColor="text1"/>
          <w:sz w:val="20"/>
          <w:szCs w:val="20"/>
          <w:lang w:val="es-CO"/>
        </w:rPr>
      </w:pPr>
    </w:p>
    <w:p w14:paraId="39646ECE"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bCs/>
          <w:color w:val="000000" w:themeColor="text1"/>
          <w:sz w:val="20"/>
          <w:szCs w:val="20"/>
          <w:lang w:val="es-CO"/>
        </w:rPr>
      </w:pPr>
      <w:r w:rsidRPr="00D833CE">
        <w:rPr>
          <w:rFonts w:ascii="Cambria" w:eastAsia="Times New Roman" w:hAnsi="Cambria" w:cs="Cambria"/>
          <w:b/>
          <w:bCs/>
          <w:color w:val="000000" w:themeColor="text1"/>
          <w:sz w:val="20"/>
          <w:szCs w:val="20"/>
          <w:lang w:val="es-CO"/>
        </w:rPr>
        <w:t xml:space="preserve"> Caso 10.970 – Informe </w:t>
      </w:r>
      <w:proofErr w:type="spellStart"/>
      <w:r w:rsidRPr="00D833CE">
        <w:rPr>
          <w:rFonts w:ascii="Cambria" w:eastAsia="Times New Roman" w:hAnsi="Cambria" w:cs="Cambria"/>
          <w:b/>
          <w:bCs/>
          <w:color w:val="000000" w:themeColor="text1"/>
          <w:sz w:val="20"/>
          <w:szCs w:val="20"/>
          <w:lang w:val="es-CO"/>
        </w:rPr>
        <w:t>Nº</w:t>
      </w:r>
      <w:proofErr w:type="spellEnd"/>
      <w:r w:rsidRPr="00D833CE">
        <w:rPr>
          <w:rFonts w:ascii="Cambria" w:eastAsia="Times New Roman" w:hAnsi="Cambria" w:cs="Cambria"/>
          <w:b/>
          <w:bCs/>
          <w:color w:val="000000" w:themeColor="text1"/>
          <w:sz w:val="20"/>
          <w:szCs w:val="20"/>
          <w:lang w:val="es-CO"/>
        </w:rPr>
        <w:t xml:space="preserve"> 5/96</w:t>
      </w:r>
    </w:p>
    <w:p w14:paraId="5CFB9559" w14:textId="77777777" w:rsidR="009D1967" w:rsidRPr="00D833CE" w:rsidRDefault="009D1967" w:rsidP="009D1967">
      <w:pPr>
        <w:spacing w:after="0" w:line="240" w:lineRule="auto"/>
        <w:ind w:left="720"/>
        <w:jc w:val="both"/>
        <w:rPr>
          <w:rFonts w:ascii="Cambria" w:eastAsia="Times New Roman" w:hAnsi="Cambria" w:cs="Cambria"/>
          <w:color w:val="000000" w:themeColor="text1"/>
          <w:sz w:val="20"/>
          <w:szCs w:val="20"/>
          <w:lang w:val="es-CO"/>
        </w:rPr>
      </w:pPr>
    </w:p>
    <w:p w14:paraId="0163E873" w14:textId="4CD40610" w:rsidR="009D1967" w:rsidRDefault="009D1967" w:rsidP="00055027">
      <w:pPr>
        <w:spacing w:after="0" w:line="240" w:lineRule="auto"/>
        <w:jc w:val="both"/>
        <w:rPr>
          <w:rFonts w:ascii="Cambria"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El Estado peruano es responsable de la violación del derecho a la integridad personal, del derecho a la protección de la honra y la dignidad, del derecho a un recurso efectivo y al debido proceso legal que garantizan, respectivamente, los artículos 5, 11, 25 y 8 de la Convención Americana, así como de la obligación general de respetar y garantizar el ejercicio de esos derechos de acuerdo con el artículo 1.1 de la misma Convención como consecuencia de la violación sexual</w:t>
      </w:r>
      <w:r w:rsidRPr="00D833CE">
        <w:rPr>
          <w:rFonts w:ascii="Cambria" w:hAnsi="Cambria" w:cs="Cambria"/>
          <w:color w:val="000000" w:themeColor="text1"/>
          <w:sz w:val="20"/>
          <w:szCs w:val="20"/>
          <w:lang w:val="es-CO"/>
        </w:rPr>
        <w:t xml:space="preserve"> de Raquel Mejía,</w:t>
      </w:r>
      <w:r w:rsidRPr="00D833CE">
        <w:rPr>
          <w:rFonts w:ascii="Cambria" w:eastAsia="Times New Roman" w:hAnsi="Cambria" w:cs="Cambria"/>
          <w:color w:val="000000" w:themeColor="text1"/>
          <w:sz w:val="20"/>
          <w:szCs w:val="20"/>
          <w:lang w:val="es-CO"/>
        </w:rPr>
        <w:t xml:space="preserve"> la desaparición de </w:t>
      </w:r>
      <w:r w:rsidRPr="00D833CE">
        <w:rPr>
          <w:rFonts w:ascii="Cambria" w:hAnsi="Cambria" w:cs="Cambria"/>
          <w:color w:val="000000" w:themeColor="text1"/>
          <w:sz w:val="20"/>
          <w:szCs w:val="20"/>
          <w:lang w:val="es-CO"/>
        </w:rPr>
        <w:t xml:space="preserve">Fernando Mejía Egocheaga, cometida por las Fuerzas Armadas, esto en el marco de un operativo de contrainsurgencia, luego de que en junio de 1989, varios soldados fueron asesinados por Sendero Luminoso en </w:t>
      </w:r>
      <w:proofErr w:type="spellStart"/>
      <w:r w:rsidRPr="00D833CE">
        <w:rPr>
          <w:rFonts w:ascii="Cambria" w:hAnsi="Cambria" w:cs="Cambria"/>
          <w:color w:val="000000" w:themeColor="text1"/>
          <w:sz w:val="20"/>
          <w:szCs w:val="20"/>
          <w:lang w:val="es-CO"/>
        </w:rPr>
        <w:t>Posuzo</w:t>
      </w:r>
      <w:proofErr w:type="spellEnd"/>
      <w:r w:rsidRPr="00D833CE">
        <w:rPr>
          <w:rFonts w:ascii="Cambria" w:hAnsi="Cambria" w:cs="Cambria"/>
          <w:color w:val="000000" w:themeColor="text1"/>
          <w:sz w:val="20"/>
          <w:szCs w:val="20"/>
          <w:lang w:val="es-CO"/>
        </w:rPr>
        <w:t xml:space="preserve">, un pueblo cercano a Oxapampa. </w:t>
      </w:r>
    </w:p>
    <w:p w14:paraId="7CF9760A" w14:textId="77777777" w:rsidR="00055027" w:rsidRPr="009D1967" w:rsidRDefault="00055027" w:rsidP="00055027">
      <w:pPr>
        <w:spacing w:after="0" w:line="240" w:lineRule="auto"/>
        <w:jc w:val="both"/>
        <w:rPr>
          <w:rFonts w:ascii="Cambria" w:hAnsi="Cambria" w:cs="Cambria"/>
          <w:color w:val="000000" w:themeColor="text1"/>
          <w:sz w:val="20"/>
          <w:szCs w:val="20"/>
          <w:lang w:val="es-CO"/>
        </w:rPr>
      </w:pPr>
    </w:p>
    <w:p w14:paraId="70D92A37"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10.559 - Informe Nº 1/96</w:t>
      </w:r>
    </w:p>
    <w:p w14:paraId="563560CA" w14:textId="77777777" w:rsidR="009D1967" w:rsidRPr="00D833CE" w:rsidRDefault="009D1967" w:rsidP="009D1967">
      <w:pPr>
        <w:spacing w:after="0" w:line="240" w:lineRule="auto"/>
        <w:ind w:left="720"/>
        <w:jc w:val="both"/>
        <w:rPr>
          <w:rFonts w:ascii="Cambria" w:eastAsia="Times New Roman" w:hAnsi="Cambria" w:cs="Cambria"/>
          <w:b/>
          <w:color w:val="000000" w:themeColor="text1"/>
          <w:sz w:val="20"/>
          <w:szCs w:val="20"/>
        </w:rPr>
      </w:pPr>
    </w:p>
    <w:p w14:paraId="58CEFE79"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peruano es responsable de la violación de los derechos contenidos en la Convención Americana sobre Derechos Humanos relativos al derecho a la vida (artículo 4), y a la integridad personal (artículo 5.1), respectivamente, como consecuencia de la ejecución sumaria del ciudadano Julio </w:t>
      </w:r>
      <w:proofErr w:type="spellStart"/>
      <w:r w:rsidRPr="00D833CE">
        <w:rPr>
          <w:rFonts w:ascii="Cambria" w:eastAsia="Times New Roman" w:hAnsi="Cambria" w:cs="Cambria"/>
          <w:color w:val="000000" w:themeColor="text1"/>
          <w:sz w:val="20"/>
          <w:szCs w:val="20"/>
          <w:lang w:val="es-CO"/>
        </w:rPr>
        <w:t>Apfata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Tañire</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Otabire</w:t>
      </w:r>
      <w:proofErr w:type="spellEnd"/>
      <w:r w:rsidRPr="00D833CE">
        <w:rPr>
          <w:rFonts w:ascii="Cambria" w:eastAsia="Times New Roman" w:hAnsi="Cambria" w:cs="Cambria"/>
          <w:color w:val="000000" w:themeColor="text1"/>
          <w:sz w:val="20"/>
          <w:szCs w:val="20"/>
          <w:lang w:val="es-CO"/>
        </w:rPr>
        <w:t xml:space="preserve">, y otros, ejecuciones éstas que se consumaron el 26 de abril de 1990 en la provincia de Chumbivilcas, Departamento de Cuzco. Por su parte, el Estado peruano es responsable de la violación del derecho a la libertad personal, a la vida, a la integridad personal y a las garantías del debido proceso que reconocen los artículos 7, 4, 5 y 8 de la CADH, respectivamente, como consecuencia de la privación ilegítima de la libertad, seguida de desaparición forzada del ciudadano Quintín Alférez </w:t>
      </w:r>
      <w:proofErr w:type="spellStart"/>
      <w:r w:rsidRPr="00D833CE">
        <w:rPr>
          <w:rFonts w:ascii="Cambria" w:eastAsia="Times New Roman" w:hAnsi="Cambria" w:cs="Cambria"/>
          <w:color w:val="000000" w:themeColor="text1"/>
          <w:sz w:val="20"/>
          <w:szCs w:val="20"/>
          <w:lang w:val="es-CO"/>
        </w:rPr>
        <w:t>Ojuro</w:t>
      </w:r>
      <w:proofErr w:type="spellEnd"/>
      <w:r w:rsidRPr="00D833CE">
        <w:rPr>
          <w:rFonts w:ascii="Cambria" w:eastAsia="Times New Roman" w:hAnsi="Cambria" w:cs="Cambria"/>
          <w:color w:val="000000" w:themeColor="text1"/>
          <w:sz w:val="20"/>
          <w:szCs w:val="20"/>
          <w:lang w:val="es-CO"/>
        </w:rPr>
        <w:t xml:space="preserve"> y otros, en el distrito de Chumbivilcas, provincia de </w:t>
      </w:r>
      <w:proofErr w:type="spellStart"/>
      <w:r w:rsidRPr="00D833CE">
        <w:rPr>
          <w:rFonts w:ascii="Cambria" w:eastAsia="Times New Roman" w:hAnsi="Cambria" w:cs="Cambria"/>
          <w:color w:val="000000" w:themeColor="text1"/>
          <w:sz w:val="20"/>
          <w:szCs w:val="20"/>
          <w:lang w:val="es-CO"/>
        </w:rPr>
        <w:t>Sucuani</w:t>
      </w:r>
      <w:proofErr w:type="spellEnd"/>
      <w:r w:rsidRPr="00D833CE">
        <w:rPr>
          <w:rFonts w:ascii="Cambria" w:eastAsia="Times New Roman" w:hAnsi="Cambria" w:cs="Cambria"/>
          <w:color w:val="000000" w:themeColor="text1"/>
          <w:sz w:val="20"/>
          <w:szCs w:val="20"/>
          <w:lang w:val="es-CO"/>
        </w:rPr>
        <w:t xml:space="preserve">, Departamento de Cuzco, entre el 20 y el 30 de abril de 1990. Además, la Comisión declaró que el Estado peruano no había dado respuesta al Informe 26/95 aprobado de conformidad con el artículo 50 de la Convención Americana, y que tampoco había cumplido con la obligación de respetar los derechos y garantías que establece el artículo 1.1 de la Convención Americana, así como el derecho a la protección judicial previsto en el artículo 25 de esta misma. </w:t>
      </w:r>
    </w:p>
    <w:p w14:paraId="180540AD"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1C8EE2B9"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10.563 – Informe Nº 37/93</w:t>
      </w:r>
    </w:p>
    <w:p w14:paraId="309C9DB0" w14:textId="77777777" w:rsidR="009D1967" w:rsidRPr="00D833CE" w:rsidRDefault="009D1967" w:rsidP="009D1967">
      <w:pPr>
        <w:spacing w:after="0" w:line="240" w:lineRule="auto"/>
        <w:ind w:left="720"/>
        <w:jc w:val="both"/>
        <w:rPr>
          <w:rFonts w:ascii="Cambria" w:eastAsia="Times New Roman" w:hAnsi="Cambria" w:cs="Cambria"/>
          <w:b/>
          <w:color w:val="000000" w:themeColor="text1"/>
          <w:sz w:val="20"/>
          <w:szCs w:val="20"/>
        </w:rPr>
      </w:pPr>
    </w:p>
    <w:p w14:paraId="035A318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del Perú es responsable de la violación del derecho a la libertad personal, a la vida, a la integridad personal y a las garantías judiciales que reconocen los artículos 7, 4, 5 y 25 de la Convención Americana sobre Derechos Humanos, respectivamente, como consecuencia de la privación ilegítima de la libertad a la señora Guadalupe </w:t>
      </w:r>
      <w:proofErr w:type="spellStart"/>
      <w:r w:rsidRPr="00D833CE">
        <w:rPr>
          <w:rFonts w:ascii="Cambria" w:eastAsia="Times New Roman" w:hAnsi="Cambria" w:cs="Cambria"/>
          <w:color w:val="000000" w:themeColor="text1"/>
          <w:sz w:val="20"/>
          <w:szCs w:val="20"/>
          <w:lang w:val="es-CO"/>
        </w:rPr>
        <w:t>Ccalloccunto</w:t>
      </w:r>
      <w:proofErr w:type="spellEnd"/>
      <w:r w:rsidRPr="00D833CE">
        <w:rPr>
          <w:rFonts w:ascii="Cambria" w:eastAsia="Times New Roman" w:hAnsi="Cambria" w:cs="Cambria"/>
          <w:color w:val="000000" w:themeColor="text1"/>
          <w:sz w:val="20"/>
          <w:szCs w:val="20"/>
          <w:lang w:val="es-CO"/>
        </w:rPr>
        <w:t xml:space="preserve">, en la ciudad de Ayacucho, el día 10 de junio de 1990, que produjo la desaparición de la víctima. </w:t>
      </w:r>
    </w:p>
    <w:p w14:paraId="362B7BB6"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3D35C345"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10.531 – Informe Nº 12/93</w:t>
      </w:r>
    </w:p>
    <w:p w14:paraId="5290F2DA" w14:textId="77777777" w:rsidR="009D1967" w:rsidRPr="00D833CE" w:rsidRDefault="009D1967" w:rsidP="009D1967">
      <w:pPr>
        <w:spacing w:after="0" w:line="240" w:lineRule="auto"/>
        <w:ind w:left="720"/>
        <w:jc w:val="both"/>
        <w:rPr>
          <w:rFonts w:ascii="Cambria" w:eastAsia="Times New Roman" w:hAnsi="Cambria" w:cs="Cambria"/>
          <w:b/>
          <w:color w:val="000000" w:themeColor="text1"/>
          <w:sz w:val="20"/>
          <w:szCs w:val="20"/>
        </w:rPr>
      </w:pPr>
    </w:p>
    <w:p w14:paraId="1DC1654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La Comisión tuvo por ciertos los hechos contenidos en la denuncia relacionados con la detención ilegal y posterior desaparición de </w:t>
      </w:r>
      <w:proofErr w:type="spellStart"/>
      <w:r w:rsidRPr="00D833CE">
        <w:rPr>
          <w:rFonts w:ascii="Cambria" w:eastAsia="Times New Roman" w:hAnsi="Cambria" w:cs="Cambria"/>
          <w:color w:val="000000" w:themeColor="text1"/>
          <w:sz w:val="20"/>
          <w:szCs w:val="20"/>
          <w:lang w:val="es-CO"/>
        </w:rPr>
        <w:t>Simmerman</w:t>
      </w:r>
      <w:proofErr w:type="spellEnd"/>
      <w:r w:rsidRPr="00D833CE">
        <w:rPr>
          <w:rFonts w:ascii="Cambria" w:eastAsia="Times New Roman" w:hAnsi="Cambria" w:cs="Cambria"/>
          <w:color w:val="000000" w:themeColor="text1"/>
          <w:sz w:val="20"/>
          <w:szCs w:val="20"/>
          <w:lang w:val="es-CO"/>
        </w:rPr>
        <w:t xml:space="preserve"> Rafael Antonio Navarro, por efectivos del Ejército peruano, en la Provincia de Huancayo, Departamento de Junín, el 7 de marzo de 1990, y concluyó que el Estado del Perú no ha cumplido con las obligaciones de respeto de los derechos humanos y garantías impuestas por el artículo 1 de la Convención Americana sobre Derechos Humanos, de la cual el Perú es Estado parte, de manera que es responsable de la violación del derecho a la vida, integridad personal, </w:t>
      </w:r>
      <w:r w:rsidRPr="00D833CE">
        <w:rPr>
          <w:rFonts w:ascii="Cambria" w:eastAsia="Times New Roman" w:hAnsi="Cambria" w:cs="Cambria"/>
          <w:color w:val="000000" w:themeColor="text1"/>
          <w:sz w:val="20"/>
          <w:szCs w:val="20"/>
          <w:lang w:val="es-CO"/>
        </w:rPr>
        <w:lastRenderedPageBreak/>
        <w:t xml:space="preserve">libertad personal y protección judicial que se encuentran reconocidos en los artículos 4, 5, 7, y 25, respectivamente, de la CADH. </w:t>
      </w:r>
    </w:p>
    <w:p w14:paraId="06A39A28"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lang w:val="es-CO"/>
        </w:rPr>
      </w:pPr>
    </w:p>
    <w:p w14:paraId="4D5DB46A"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10.528 - Informe Nº 11/93</w:t>
      </w:r>
    </w:p>
    <w:p w14:paraId="1EDF3614" w14:textId="77777777" w:rsidR="009D1967" w:rsidRPr="00D833CE" w:rsidRDefault="009D1967" w:rsidP="009D1967">
      <w:pPr>
        <w:spacing w:after="0" w:line="240" w:lineRule="auto"/>
        <w:ind w:left="720"/>
        <w:jc w:val="both"/>
        <w:rPr>
          <w:rFonts w:ascii="Cambria" w:eastAsia="Times New Roman" w:hAnsi="Cambria" w:cs="Cambria"/>
          <w:b/>
          <w:color w:val="000000" w:themeColor="text1"/>
          <w:sz w:val="20"/>
          <w:szCs w:val="20"/>
        </w:rPr>
      </w:pPr>
    </w:p>
    <w:p w14:paraId="742A627F"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La Comisión declaró que el Estado del Perú es responsable de la violación del derecho a la vida, a la integridad personal, a la libertad personal y a la protección judicial, reconocidos por los artículos 4, 5, 7, y 25 de la Convención Americana sobre Derechos Humanos como consecuencia de los actos de los agentes del Estado peruano que llevaron a la detención ilegal, tortura y posterior ejecución extrajudicial de </w:t>
      </w:r>
      <w:proofErr w:type="spellStart"/>
      <w:r w:rsidRPr="00D833CE">
        <w:rPr>
          <w:rFonts w:ascii="Cambria" w:eastAsia="Times New Roman" w:hAnsi="Cambria" w:cs="Cambria"/>
          <w:color w:val="000000" w:themeColor="text1"/>
          <w:sz w:val="20"/>
          <w:szCs w:val="20"/>
          <w:lang w:val="es-CO"/>
        </w:rPr>
        <w:t>Falconieri</w:t>
      </w:r>
      <w:proofErr w:type="spellEnd"/>
      <w:r w:rsidRPr="00D833CE">
        <w:rPr>
          <w:rFonts w:ascii="Cambria" w:eastAsia="Times New Roman" w:hAnsi="Cambria" w:cs="Cambria"/>
          <w:color w:val="000000" w:themeColor="text1"/>
          <w:sz w:val="20"/>
          <w:szCs w:val="20"/>
          <w:lang w:val="es-CO"/>
        </w:rPr>
        <w:t xml:space="preserve"> Saravia Castillo, en el Departamento de Huancavelica, el 22 de marzo de 1990. Además, que el Estado del Perú no ha cumplido con las obligaciones de respeto de los derechos humanos y garantías impuestas por el artículo 1 de la Convención Americana sobre Derechos Humanos, de la cual el Perú es Estado parte.</w:t>
      </w:r>
    </w:p>
    <w:p w14:paraId="19119C0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39C4037"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10.443 – Informe Nº 10/93</w:t>
      </w:r>
    </w:p>
    <w:p w14:paraId="2C585F3D" w14:textId="77777777" w:rsidR="009D1967" w:rsidRPr="00D833CE" w:rsidRDefault="009D1967" w:rsidP="00055027">
      <w:pPr>
        <w:spacing w:after="0" w:line="240" w:lineRule="auto"/>
        <w:ind w:left="360"/>
        <w:jc w:val="both"/>
        <w:rPr>
          <w:rFonts w:ascii="Cambria" w:eastAsia="Times New Roman" w:hAnsi="Cambria" w:cs="Cambria"/>
          <w:color w:val="000000" w:themeColor="text1"/>
          <w:sz w:val="20"/>
          <w:szCs w:val="20"/>
        </w:rPr>
      </w:pPr>
    </w:p>
    <w:p w14:paraId="554A7828"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La Comisión declaró que el Estado del Perú es responsable de la violación del derecho a la vida, integridad personal, libertad personal y protección judicial, reconocidos por los artículos 4, 5, 7, y 25 de la Convención Americana sobre Derechos Humanos, respectivamente, como consecuencia de los actos de los agentes del Estado peruano que privaron ilegítimamente de su libertad a Teófilo Rímac </w:t>
      </w:r>
      <w:proofErr w:type="spellStart"/>
      <w:r w:rsidRPr="00D833CE">
        <w:rPr>
          <w:rFonts w:ascii="Cambria" w:eastAsia="Times New Roman" w:hAnsi="Cambria" w:cs="Cambria"/>
          <w:color w:val="000000" w:themeColor="text1"/>
          <w:sz w:val="20"/>
          <w:szCs w:val="20"/>
          <w:lang w:val="es-CO"/>
        </w:rPr>
        <w:t>Capcha</w:t>
      </w:r>
      <w:proofErr w:type="spellEnd"/>
      <w:r w:rsidRPr="00D833CE">
        <w:rPr>
          <w:rFonts w:ascii="Cambria" w:eastAsia="Times New Roman" w:hAnsi="Cambria" w:cs="Cambria"/>
          <w:color w:val="000000" w:themeColor="text1"/>
          <w:sz w:val="20"/>
          <w:szCs w:val="20"/>
          <w:lang w:val="es-CO"/>
        </w:rPr>
        <w:t xml:space="preserve">, hecho ocurrido en la ciudad de Cerro de Pasco, Departamento de Pasco el 23 de junio de 1986, lo sometieron a torturas hasta provocar su muerte y desaparecieron su cadáver. Además, que el Estado del Perú no ha cumplido con las obligaciones de respeto de los derechos humanos y garantías impuestas por el artículo 1 de la Convención Americana sobre Derechos Humanos, de la cual el Perú es Estado parte. </w:t>
      </w:r>
    </w:p>
    <w:p w14:paraId="24F07DEF" w14:textId="77777777" w:rsidR="009D1967" w:rsidRPr="00D833CE" w:rsidRDefault="009D1967" w:rsidP="009D1967">
      <w:pPr>
        <w:spacing w:after="0" w:line="240" w:lineRule="auto"/>
        <w:ind w:left="360"/>
        <w:jc w:val="both"/>
        <w:rPr>
          <w:rFonts w:ascii="Cambria" w:eastAsia="Times New Roman" w:hAnsi="Cambria" w:cs="Cambria"/>
          <w:color w:val="000000" w:themeColor="text1"/>
          <w:sz w:val="20"/>
          <w:szCs w:val="20"/>
          <w:lang w:val="es-CO"/>
        </w:rPr>
      </w:pPr>
    </w:p>
    <w:p w14:paraId="391C06C7"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10.433 - Informe Nº 9/93</w:t>
      </w:r>
    </w:p>
    <w:p w14:paraId="033CC8AE" w14:textId="77777777" w:rsidR="009D1967" w:rsidRPr="00D833CE" w:rsidRDefault="009D1967" w:rsidP="009D1967">
      <w:pPr>
        <w:spacing w:after="0" w:line="240" w:lineRule="auto"/>
        <w:ind w:left="360"/>
        <w:jc w:val="both"/>
        <w:rPr>
          <w:rFonts w:ascii="Cambria" w:eastAsia="Times New Roman" w:hAnsi="Cambria" w:cs="Cambria"/>
          <w:color w:val="000000" w:themeColor="text1"/>
          <w:sz w:val="20"/>
          <w:szCs w:val="20"/>
        </w:rPr>
      </w:pPr>
    </w:p>
    <w:p w14:paraId="4DEB5A28"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La Comisión declaró que el Estado del Perú es responsable de la violación al derecho a la libertad personal, a la vida y a las garantías judiciales, reconocidos por los artículos 7, 4 y 25 de la Convención Americana sobre Derechos Humanos, como consecuencia de los actos de los agentes del Estado peruano cuando procedieron a la detención ilegal y posterior desaparición de Raúl A. Salas Chocas, Wilson E. Salas Huánuco, Nicolás Chocas Cavero, Freddy F. Flores Salas, Teódulo F. Simeón </w:t>
      </w:r>
      <w:proofErr w:type="spellStart"/>
      <w:r w:rsidRPr="00D833CE">
        <w:rPr>
          <w:rFonts w:ascii="Cambria" w:eastAsia="Times New Roman" w:hAnsi="Cambria" w:cs="Cambria"/>
          <w:color w:val="000000" w:themeColor="text1"/>
          <w:sz w:val="20"/>
          <w:szCs w:val="20"/>
          <w:lang w:val="es-CO"/>
        </w:rPr>
        <w:t>Yaringaña</w:t>
      </w:r>
      <w:proofErr w:type="spellEnd"/>
      <w:r w:rsidRPr="00D833CE">
        <w:rPr>
          <w:rFonts w:ascii="Cambria" w:eastAsia="Times New Roman" w:hAnsi="Cambria" w:cs="Cambria"/>
          <w:color w:val="000000" w:themeColor="text1"/>
          <w:sz w:val="20"/>
          <w:szCs w:val="20"/>
          <w:lang w:val="es-CO"/>
        </w:rPr>
        <w:t xml:space="preserve">, Jaime Jesús Montalvo, y José Camarena Peña por efectivos del Ejército Peruano, hechos ocurridos en la Provincia de Jauja, Departamento de Junín, el 28 de abril de 1989. Además, que el Estado del Perú no ha cumplido con las obligaciones de respeto de los derechos humanos y garantías impuestas por el artículo 1 de la Convención Americana sobre Derechos Humanos, de la cual el Perú es Estado parte. </w:t>
      </w:r>
    </w:p>
    <w:p w14:paraId="58EE8B0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2592606"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lang w:val="es-CO"/>
        </w:rPr>
        <w:t xml:space="preserve"> </w:t>
      </w:r>
      <w:r w:rsidRPr="00D833CE">
        <w:rPr>
          <w:rFonts w:ascii="Cambria" w:eastAsia="Times New Roman" w:hAnsi="Cambria" w:cs="Cambria"/>
          <w:b/>
          <w:color w:val="000000" w:themeColor="text1"/>
          <w:sz w:val="20"/>
          <w:szCs w:val="20"/>
        </w:rPr>
        <w:t>Caso 11.099 – Informe Nº 112/00</w:t>
      </w:r>
    </w:p>
    <w:p w14:paraId="411485C7"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4B5CF5B7"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peruano, a través de efectivos de la Policía Nacional, detuvo al señor </w:t>
      </w:r>
      <w:proofErr w:type="spellStart"/>
      <w:r w:rsidRPr="00D833CE">
        <w:rPr>
          <w:rFonts w:ascii="Cambria" w:eastAsia="Times New Roman" w:hAnsi="Cambria" w:cs="Cambria"/>
          <w:color w:val="000000" w:themeColor="text1"/>
          <w:sz w:val="20"/>
          <w:szCs w:val="20"/>
          <w:lang w:val="es-CO"/>
        </w:rPr>
        <w:t>Yone</w:t>
      </w:r>
      <w:proofErr w:type="spellEnd"/>
      <w:r w:rsidRPr="00D833CE">
        <w:rPr>
          <w:rFonts w:ascii="Cambria" w:eastAsia="Times New Roman" w:hAnsi="Cambria" w:cs="Cambria"/>
          <w:color w:val="000000" w:themeColor="text1"/>
          <w:sz w:val="20"/>
          <w:szCs w:val="20"/>
          <w:lang w:val="es-CO"/>
        </w:rPr>
        <w:t xml:space="preserve"> Cruz </w:t>
      </w:r>
      <w:proofErr w:type="spellStart"/>
      <w:r w:rsidRPr="00D833CE">
        <w:rPr>
          <w:rFonts w:ascii="Cambria" w:eastAsia="Times New Roman" w:hAnsi="Cambria" w:cs="Cambria"/>
          <w:color w:val="000000" w:themeColor="text1"/>
          <w:sz w:val="20"/>
          <w:szCs w:val="20"/>
          <w:lang w:val="es-CO"/>
        </w:rPr>
        <w:t>Ocalio</w:t>
      </w:r>
      <w:proofErr w:type="spellEnd"/>
      <w:r w:rsidRPr="00D833CE">
        <w:rPr>
          <w:rFonts w:ascii="Cambria" w:eastAsia="Times New Roman" w:hAnsi="Cambria" w:cs="Cambria"/>
          <w:color w:val="000000" w:themeColor="text1"/>
          <w:sz w:val="20"/>
          <w:szCs w:val="20"/>
          <w:lang w:val="es-CO"/>
        </w:rPr>
        <w:t xml:space="preserve"> el 24 de febrero de 1991, en la estación agropecuaria </w:t>
      </w:r>
      <w:proofErr w:type="spellStart"/>
      <w:r w:rsidRPr="00D833CE">
        <w:rPr>
          <w:rFonts w:ascii="Cambria" w:eastAsia="Times New Roman" w:hAnsi="Cambria" w:cs="Cambria"/>
          <w:color w:val="000000" w:themeColor="text1"/>
          <w:sz w:val="20"/>
          <w:szCs w:val="20"/>
          <w:lang w:val="es-CO"/>
        </w:rPr>
        <w:t>Tulumayo</w:t>
      </w:r>
      <w:proofErr w:type="spellEnd"/>
      <w:r w:rsidRPr="00D833CE">
        <w:rPr>
          <w:rFonts w:ascii="Cambria" w:eastAsia="Times New Roman" w:hAnsi="Cambria" w:cs="Cambria"/>
          <w:color w:val="000000" w:themeColor="text1"/>
          <w:sz w:val="20"/>
          <w:szCs w:val="20"/>
          <w:lang w:val="es-CO"/>
        </w:rPr>
        <w:t xml:space="preserve">, Aucayacu, Provincia de Leoncio Prado, Departamento de Huánuco, Perú, de donde habría sido conducido a la Base Militar de </w:t>
      </w:r>
      <w:proofErr w:type="spellStart"/>
      <w:r w:rsidRPr="00D833CE">
        <w:rPr>
          <w:rFonts w:ascii="Cambria" w:eastAsia="Times New Roman" w:hAnsi="Cambria" w:cs="Cambria"/>
          <w:color w:val="000000" w:themeColor="text1"/>
          <w:sz w:val="20"/>
          <w:szCs w:val="20"/>
          <w:lang w:val="es-CO"/>
        </w:rPr>
        <w:t>Tulumayo</w:t>
      </w:r>
      <w:proofErr w:type="spellEnd"/>
      <w:r w:rsidRPr="00D833CE">
        <w:rPr>
          <w:rFonts w:ascii="Cambria" w:eastAsia="Times New Roman" w:hAnsi="Cambria" w:cs="Cambria"/>
          <w:color w:val="000000" w:themeColor="text1"/>
          <w:sz w:val="20"/>
          <w:szCs w:val="20"/>
          <w:lang w:val="es-CO"/>
        </w:rPr>
        <w:t xml:space="preserve">, y posteriormente procedió a desaparecerlo. En consecuencia, para la Comisión el Estado peruano es responsable de la desaparición forzada del señor </w:t>
      </w:r>
      <w:proofErr w:type="spellStart"/>
      <w:r w:rsidRPr="00D833CE">
        <w:rPr>
          <w:rFonts w:ascii="Cambria" w:eastAsia="Times New Roman" w:hAnsi="Cambria" w:cs="Cambria"/>
          <w:color w:val="000000" w:themeColor="text1"/>
          <w:sz w:val="20"/>
          <w:szCs w:val="20"/>
          <w:lang w:val="es-CO"/>
        </w:rPr>
        <w:t>Yone</w:t>
      </w:r>
      <w:proofErr w:type="spellEnd"/>
      <w:r w:rsidRPr="00D833CE">
        <w:rPr>
          <w:rFonts w:ascii="Cambria" w:eastAsia="Times New Roman" w:hAnsi="Cambria" w:cs="Cambria"/>
          <w:color w:val="000000" w:themeColor="text1"/>
          <w:sz w:val="20"/>
          <w:szCs w:val="20"/>
          <w:lang w:val="es-CO"/>
        </w:rPr>
        <w:t xml:space="preserve"> Cruz </w:t>
      </w:r>
      <w:proofErr w:type="spellStart"/>
      <w:r w:rsidRPr="00D833CE">
        <w:rPr>
          <w:rFonts w:ascii="Cambria" w:eastAsia="Times New Roman" w:hAnsi="Cambria" w:cs="Cambria"/>
          <w:color w:val="000000" w:themeColor="text1"/>
          <w:sz w:val="20"/>
          <w:szCs w:val="20"/>
          <w:lang w:val="es-CO"/>
        </w:rPr>
        <w:t>Ocalio</w:t>
      </w:r>
      <w:proofErr w:type="spellEnd"/>
      <w:r w:rsidRPr="00D833CE">
        <w:rPr>
          <w:rFonts w:ascii="Cambria" w:eastAsia="Times New Roman" w:hAnsi="Cambria" w:cs="Cambria"/>
          <w:color w:val="000000" w:themeColor="text1"/>
          <w:sz w:val="20"/>
          <w:szCs w:val="20"/>
          <w:lang w:val="es-CO"/>
        </w:rPr>
        <w:t xml:space="preserve">, y, en consecuencia, Perú violó el derecho a la libertad (artículo 7), el derecho a la integridad personal (artículo 5), el derecho a la vida (artículo 4), el derecho a la personalidad jurídica (artículo 3) y el derecho a un recurso judicial efectivo (artículo 25) consagrados en la Convención Americana sobre Derechos Humanos.  Igualmente, el Estado peruano incumplió su obligación general de respetar y garantizar el ejercicio de estos derechos consagrados en la Convención, en los términos del artículo 1(1) de dicha Convención. </w:t>
      </w:r>
    </w:p>
    <w:p w14:paraId="484B3FD4"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6D0743E6" w14:textId="77777777" w:rsidR="00055027" w:rsidRDefault="00055027">
      <w:pPr>
        <w:rPr>
          <w:rFonts w:ascii="Cambria" w:eastAsia="Times New Roman" w:hAnsi="Cambria" w:cs="Cambria"/>
          <w:b/>
          <w:color w:val="000000" w:themeColor="text1"/>
          <w:sz w:val="20"/>
          <w:szCs w:val="20"/>
          <w:lang w:val="es-CO"/>
        </w:rPr>
      </w:pPr>
      <w:r>
        <w:rPr>
          <w:rFonts w:ascii="Cambria" w:eastAsia="Times New Roman" w:hAnsi="Cambria" w:cs="Cambria"/>
          <w:b/>
          <w:color w:val="000000" w:themeColor="text1"/>
          <w:sz w:val="20"/>
          <w:szCs w:val="20"/>
          <w:lang w:val="es-CO"/>
        </w:rPr>
        <w:br w:type="page"/>
      </w:r>
    </w:p>
    <w:p w14:paraId="09DC7366" w14:textId="093262DC"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lang w:val="es-CO"/>
        </w:rPr>
        <w:lastRenderedPageBreak/>
        <w:t xml:space="preserve"> </w:t>
      </w:r>
      <w:r w:rsidRPr="00D833CE">
        <w:rPr>
          <w:rFonts w:ascii="Cambria" w:eastAsia="Times New Roman" w:hAnsi="Cambria" w:cs="Cambria"/>
          <w:b/>
          <w:color w:val="000000" w:themeColor="text1"/>
          <w:sz w:val="20"/>
          <w:szCs w:val="20"/>
        </w:rPr>
        <w:t>Caso 11.031 - Informe Nº 111/00</w:t>
      </w:r>
    </w:p>
    <w:p w14:paraId="6943B930"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66245BE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Estado peruano, a través de miembros de la Policía Nacional y de la Marina de Guerra del Perú, detuvo a los señores Pedro Pablo López González, Denis Atilio Castillo Chávez, Gilmer Ramiro León Velásquez, Jesús Manfredo Noriega Ríos, Roberto y Carlos Alberto Barrientos Velásquez y Carlos Martín y Jorge Luis Tarazona More, el día 2 de mayo de 1992, en los Asentamientos Humanos “La Huaca”, “Javier Heraud”, y “San Carlos”, ubicados en el Distrito y Provincia de Santa, del Departamento de Ancash, y posteriormente procedió a desaparecerlos. Por tanto, para la Comisión el Estado peruano es responsable por la desaparición forzada de las víctimas antes identificadas, violando en consecuencia los siguientes derechos: derecho a la libertad (artículo 7), derecho a la integridad personal (artículo 5), derecho a la vida (artículo 4), derecho a la personalidad jurídica (artículo 3) y derecho a un recurso judicial efectivo (artículo 25) consagrados en la Convención Americana sobre Derechos Humanos. Igualmente, el Estado peruano ha incumplido su obligación general de respetar y garantizar el ejercicio de estos derechos consagrados en la Convención, en los términos del artículo 1(1) de dicha Convención. </w:t>
      </w:r>
    </w:p>
    <w:p w14:paraId="1BE765BF"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17371147"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10.493 - Informe N° 89/90</w:t>
      </w:r>
    </w:p>
    <w:p w14:paraId="369E8FCF"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7BFFC8D2"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la posterior desaparición de Hugo Bilbao Valenzuela, Flavio Bilbao Valenzuela, Wilfredo Cuéllar Chávez, Gregorio Canales Nalvarte, Reynaldo Laura Huarcaya e Hilario </w:t>
      </w:r>
      <w:proofErr w:type="spellStart"/>
      <w:r w:rsidRPr="00D833CE">
        <w:rPr>
          <w:rFonts w:ascii="Cambria" w:eastAsia="Times New Roman" w:hAnsi="Cambria" w:cs="Cambria"/>
          <w:color w:val="000000" w:themeColor="text1"/>
          <w:sz w:val="20"/>
          <w:szCs w:val="20"/>
          <w:lang w:val="es-CO"/>
        </w:rPr>
        <w:t>Piñarez</w:t>
      </w:r>
      <w:proofErr w:type="spellEnd"/>
      <w:r w:rsidRPr="00D833CE">
        <w:rPr>
          <w:rFonts w:ascii="Cambria" w:eastAsia="Times New Roman" w:hAnsi="Cambria" w:cs="Cambria"/>
          <w:color w:val="000000" w:themeColor="text1"/>
          <w:sz w:val="20"/>
          <w:szCs w:val="20"/>
          <w:lang w:val="es-CO"/>
        </w:rPr>
        <w:t xml:space="preserve">, por miembros del Ejército, en el distrito de </w:t>
      </w:r>
      <w:proofErr w:type="spellStart"/>
      <w:r w:rsidRPr="00D833CE">
        <w:rPr>
          <w:rFonts w:ascii="Cambria" w:eastAsia="Times New Roman" w:hAnsi="Cambria" w:cs="Cambria"/>
          <w:color w:val="000000" w:themeColor="text1"/>
          <w:sz w:val="20"/>
          <w:szCs w:val="20"/>
          <w:lang w:val="es-CO"/>
        </w:rPr>
        <w:t>Julcamarca</w:t>
      </w:r>
      <w:proofErr w:type="spellEnd"/>
      <w:r w:rsidRPr="00D833CE">
        <w:rPr>
          <w:rFonts w:ascii="Cambria" w:eastAsia="Times New Roman" w:hAnsi="Cambria" w:cs="Cambria"/>
          <w:color w:val="000000" w:themeColor="text1"/>
          <w:sz w:val="20"/>
          <w:szCs w:val="20"/>
          <w:lang w:val="es-CO"/>
        </w:rPr>
        <w:t xml:space="preserve">, provincia de Angaraes, Departamento de </w:t>
      </w:r>
      <w:proofErr w:type="spellStart"/>
      <w:r w:rsidRPr="00D833CE">
        <w:rPr>
          <w:rFonts w:ascii="Cambria" w:eastAsia="Times New Roman" w:hAnsi="Cambria" w:cs="Cambria"/>
          <w:color w:val="000000" w:themeColor="text1"/>
          <w:sz w:val="20"/>
          <w:szCs w:val="20"/>
          <w:lang w:val="es-CO"/>
        </w:rPr>
        <w:t>Huancavelicxa</w:t>
      </w:r>
      <w:proofErr w:type="spellEnd"/>
      <w:r w:rsidRPr="00D833CE">
        <w:rPr>
          <w:rFonts w:ascii="Cambria" w:eastAsia="Times New Roman" w:hAnsi="Cambria" w:cs="Cambria"/>
          <w:color w:val="000000" w:themeColor="text1"/>
          <w:sz w:val="20"/>
          <w:szCs w:val="20"/>
          <w:lang w:val="es-CO"/>
        </w:rPr>
        <w:t xml:space="preserve"> el día 17 de noviembre de 1989, y en consecuencia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1EC80B37"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7B62F83F"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10.487 – Informe N° 88/90</w:t>
      </w:r>
    </w:p>
    <w:p w14:paraId="1EDA7CBA"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3EEFBE84"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la posterior desaparición del P. Jorge Párraga Castillo, Guzmán Estrada, </w:t>
      </w:r>
      <w:proofErr w:type="spellStart"/>
      <w:r w:rsidRPr="00D833CE">
        <w:rPr>
          <w:rFonts w:ascii="Cambria" w:eastAsia="Times New Roman" w:hAnsi="Cambria" w:cs="Cambria"/>
          <w:color w:val="000000" w:themeColor="text1"/>
          <w:sz w:val="20"/>
          <w:szCs w:val="20"/>
          <w:lang w:val="es-CO"/>
        </w:rPr>
        <w:t>Incías</w:t>
      </w:r>
      <w:proofErr w:type="spellEnd"/>
      <w:r w:rsidRPr="00D833CE">
        <w:rPr>
          <w:rFonts w:ascii="Cambria" w:eastAsia="Times New Roman" w:hAnsi="Cambria" w:cs="Cambria"/>
          <w:color w:val="000000" w:themeColor="text1"/>
          <w:sz w:val="20"/>
          <w:szCs w:val="20"/>
          <w:lang w:val="es-CO"/>
        </w:rPr>
        <w:t xml:space="preserve"> Estrada Pascual, Herberth Estrada Pascual, </w:t>
      </w:r>
      <w:proofErr w:type="spellStart"/>
      <w:r w:rsidRPr="00D833CE">
        <w:rPr>
          <w:rFonts w:ascii="Cambria" w:eastAsia="Times New Roman" w:hAnsi="Cambria" w:cs="Cambria"/>
          <w:color w:val="000000" w:themeColor="text1"/>
          <w:sz w:val="20"/>
          <w:szCs w:val="20"/>
          <w:lang w:val="es-CO"/>
        </w:rPr>
        <w:t>Alinio</w:t>
      </w:r>
      <w:proofErr w:type="spellEnd"/>
      <w:r w:rsidRPr="00D833CE">
        <w:rPr>
          <w:rFonts w:ascii="Cambria" w:eastAsia="Times New Roman" w:hAnsi="Cambria" w:cs="Cambria"/>
          <w:color w:val="000000" w:themeColor="text1"/>
          <w:sz w:val="20"/>
          <w:szCs w:val="20"/>
          <w:lang w:val="es-CO"/>
        </w:rPr>
        <w:t xml:space="preserve"> Torrealba, Herberth Santos, Andrés Estrada y Rafael Castillo Mendoza y otros no identificados, por miembros del Ejército, en la localidad de </w:t>
      </w:r>
      <w:proofErr w:type="spellStart"/>
      <w:r w:rsidRPr="00D833CE">
        <w:rPr>
          <w:rFonts w:ascii="Cambria" w:eastAsia="Times New Roman" w:hAnsi="Cambria" w:cs="Cambria"/>
          <w:color w:val="000000" w:themeColor="text1"/>
          <w:sz w:val="20"/>
          <w:szCs w:val="20"/>
          <w:lang w:val="es-CO"/>
        </w:rPr>
        <w:t>Atcas</w:t>
      </w:r>
      <w:proofErr w:type="spellEnd"/>
      <w:r w:rsidRPr="00D833CE">
        <w:rPr>
          <w:rFonts w:ascii="Cambria" w:eastAsia="Times New Roman" w:hAnsi="Cambria" w:cs="Cambria"/>
          <w:color w:val="000000" w:themeColor="text1"/>
          <w:sz w:val="20"/>
          <w:szCs w:val="20"/>
          <w:lang w:val="es-CO"/>
        </w:rPr>
        <w:t xml:space="preserve">, Distrito de Huanta, Provincia de </w:t>
      </w:r>
      <w:proofErr w:type="spellStart"/>
      <w:r w:rsidRPr="00D833CE">
        <w:rPr>
          <w:rFonts w:ascii="Cambria" w:eastAsia="Times New Roman" w:hAnsi="Cambria" w:cs="Cambria"/>
          <w:color w:val="000000" w:themeColor="text1"/>
          <w:sz w:val="20"/>
          <w:szCs w:val="20"/>
          <w:lang w:val="es-CO"/>
        </w:rPr>
        <w:t>Yautos</w:t>
      </w:r>
      <w:proofErr w:type="spellEnd"/>
      <w:r w:rsidRPr="00D833CE">
        <w:rPr>
          <w:rFonts w:ascii="Cambria" w:eastAsia="Times New Roman" w:hAnsi="Cambria" w:cs="Cambria"/>
          <w:color w:val="000000" w:themeColor="text1"/>
          <w:sz w:val="20"/>
          <w:szCs w:val="20"/>
          <w:lang w:val="es-CO"/>
        </w:rPr>
        <w:t xml:space="preserve">, Departamento de Lima, el día 24 de octubre de 1989.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0E6CAAB8"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79DE035F"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10.477 – Informe N° 87/90</w:t>
      </w:r>
    </w:p>
    <w:p w14:paraId="55344BFF" w14:textId="77777777" w:rsidR="009D1967" w:rsidRPr="00D833CE" w:rsidRDefault="009D1967" w:rsidP="009D1967">
      <w:pPr>
        <w:spacing w:after="0" w:line="240" w:lineRule="auto"/>
        <w:ind w:left="360"/>
        <w:jc w:val="both"/>
        <w:rPr>
          <w:rFonts w:ascii="Cambria" w:eastAsia="Times New Roman" w:hAnsi="Cambria" w:cs="Cambria"/>
          <w:color w:val="000000" w:themeColor="text1"/>
          <w:sz w:val="20"/>
          <w:szCs w:val="20"/>
        </w:rPr>
      </w:pPr>
    </w:p>
    <w:p w14:paraId="52545279"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la posterior desaparición de Ismael Pimentel Dávalos en el anexo de </w:t>
      </w:r>
      <w:proofErr w:type="spellStart"/>
      <w:r w:rsidRPr="00D833CE">
        <w:rPr>
          <w:rFonts w:ascii="Cambria" w:eastAsia="Times New Roman" w:hAnsi="Cambria" w:cs="Cambria"/>
          <w:color w:val="000000" w:themeColor="text1"/>
          <w:sz w:val="20"/>
          <w:szCs w:val="20"/>
          <w:lang w:val="es-CO"/>
        </w:rPr>
        <w:t>Taucarpata</w:t>
      </w:r>
      <w:proofErr w:type="spellEnd"/>
      <w:r w:rsidRPr="00D833CE">
        <w:rPr>
          <w:rFonts w:ascii="Cambria" w:eastAsia="Times New Roman" w:hAnsi="Cambria" w:cs="Cambria"/>
          <w:color w:val="000000" w:themeColor="text1"/>
          <w:sz w:val="20"/>
          <w:szCs w:val="20"/>
          <w:lang w:val="es-CO"/>
        </w:rPr>
        <w:t xml:space="preserve">, comunidad de </w:t>
      </w:r>
      <w:proofErr w:type="spellStart"/>
      <w:r w:rsidRPr="00D833CE">
        <w:rPr>
          <w:rFonts w:ascii="Cambria" w:eastAsia="Times New Roman" w:hAnsi="Cambria" w:cs="Cambria"/>
          <w:color w:val="000000" w:themeColor="text1"/>
          <w:sz w:val="20"/>
          <w:szCs w:val="20"/>
          <w:lang w:val="es-CO"/>
        </w:rPr>
        <w:t>Quisapata</w:t>
      </w:r>
      <w:proofErr w:type="spellEnd"/>
      <w:r w:rsidRPr="00D833CE">
        <w:rPr>
          <w:rFonts w:ascii="Cambria" w:eastAsia="Times New Roman" w:hAnsi="Cambria" w:cs="Cambria"/>
          <w:color w:val="000000" w:themeColor="text1"/>
          <w:sz w:val="20"/>
          <w:szCs w:val="20"/>
          <w:lang w:val="es-CO"/>
        </w:rPr>
        <w:t>, Distrito y Provincia de Abancay, Departamento de Apurímac, el día 24 de junio de 1989.</w:t>
      </w:r>
      <w:r w:rsidRPr="00D833CE">
        <w:rPr>
          <w:rFonts w:eastAsia="Times New Roman" w:cs="Calibri"/>
          <w:color w:val="000000" w:themeColor="text1"/>
          <w:sz w:val="20"/>
          <w:szCs w:val="20"/>
          <w:lang w:val="es-CO"/>
        </w:rPr>
        <w:t xml:space="preserve"> </w:t>
      </w:r>
      <w:r w:rsidRPr="00D833CE">
        <w:rPr>
          <w:rFonts w:ascii="Cambria" w:eastAsia="Times New Roman" w:hAnsi="Cambria" w:cs="Cambria"/>
          <w:color w:val="000000" w:themeColor="text1"/>
          <w:sz w:val="20"/>
          <w:szCs w:val="20"/>
          <w:lang w:val="es-CO"/>
        </w:rPr>
        <w:t xml:space="preserve">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07ECC7D3"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21BA914B"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10.475 - Informe N° 86/90</w:t>
      </w:r>
    </w:p>
    <w:p w14:paraId="0D64A119"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6884EE0F" w14:textId="77777777" w:rsidR="009D1967" w:rsidRPr="00D833CE" w:rsidRDefault="009D1967" w:rsidP="00055027">
      <w:pPr>
        <w:spacing w:after="0" w:line="240" w:lineRule="auto"/>
        <w:ind w:firstLine="706"/>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la posterior desaparición de Santos Rojas Quispe, ocurrida el 5 de junio de 1989 en la localidad del sector Atajara, distrito y provincia de Andahuaylas, Departamento de Apurímac, Perú.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7441F156"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lastRenderedPageBreak/>
        <w:t>Caso 10.470 – Informe N° 85/90</w:t>
      </w:r>
    </w:p>
    <w:p w14:paraId="20D45D57"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0E0D9811"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la posterior desaparición de Vicente Bocanegra Espinoza, Carlos Augusto Solís Zorrilla, Mike Sajami Pizango, Nixon Alejandro, Santiago Alvarado Ruíz, Miguel Quispe Paredes, Rainer Tuanama </w:t>
      </w:r>
      <w:proofErr w:type="spellStart"/>
      <w:r w:rsidRPr="00D833CE">
        <w:rPr>
          <w:rFonts w:ascii="Cambria" w:eastAsia="Times New Roman" w:hAnsi="Cambria" w:cs="Cambria"/>
          <w:color w:val="000000" w:themeColor="text1"/>
          <w:sz w:val="20"/>
          <w:szCs w:val="20"/>
          <w:lang w:val="es-CO"/>
        </w:rPr>
        <w:t>Pelaez</w:t>
      </w:r>
      <w:proofErr w:type="spellEnd"/>
      <w:r w:rsidRPr="00D833CE">
        <w:rPr>
          <w:rFonts w:ascii="Cambria" w:eastAsia="Times New Roman" w:hAnsi="Cambria" w:cs="Cambria"/>
          <w:color w:val="000000" w:themeColor="text1"/>
          <w:sz w:val="20"/>
          <w:szCs w:val="20"/>
          <w:lang w:val="es-CO"/>
        </w:rPr>
        <w:t xml:space="preserve">, Leonardo </w:t>
      </w:r>
      <w:proofErr w:type="spellStart"/>
      <w:r w:rsidRPr="00D833CE">
        <w:rPr>
          <w:rFonts w:ascii="Cambria" w:eastAsia="Times New Roman" w:hAnsi="Cambria" w:cs="Cambria"/>
          <w:color w:val="000000" w:themeColor="text1"/>
          <w:sz w:val="20"/>
          <w:szCs w:val="20"/>
          <w:lang w:val="es-CO"/>
        </w:rPr>
        <w:t>Bisarres</w:t>
      </w:r>
      <w:proofErr w:type="spellEnd"/>
      <w:r w:rsidRPr="00D833CE">
        <w:rPr>
          <w:rFonts w:ascii="Cambria" w:eastAsia="Times New Roman" w:hAnsi="Cambria" w:cs="Cambria"/>
          <w:color w:val="000000" w:themeColor="text1"/>
          <w:sz w:val="20"/>
          <w:szCs w:val="20"/>
          <w:lang w:val="es-CO"/>
        </w:rPr>
        <w:t xml:space="preserve"> Tadeo, Pablo Camacho </w:t>
      </w:r>
      <w:proofErr w:type="spellStart"/>
      <w:r w:rsidRPr="00D833CE">
        <w:rPr>
          <w:rFonts w:ascii="Cambria" w:eastAsia="Times New Roman" w:hAnsi="Cambria" w:cs="Cambria"/>
          <w:color w:val="000000" w:themeColor="text1"/>
          <w:sz w:val="20"/>
          <w:szCs w:val="20"/>
          <w:lang w:val="es-CO"/>
        </w:rPr>
        <w:t>Sabolla</w:t>
      </w:r>
      <w:proofErr w:type="spellEnd"/>
      <w:r w:rsidRPr="00D833CE">
        <w:rPr>
          <w:rFonts w:ascii="Cambria" w:eastAsia="Times New Roman" w:hAnsi="Cambria" w:cs="Cambria"/>
          <w:color w:val="000000" w:themeColor="text1"/>
          <w:sz w:val="20"/>
          <w:szCs w:val="20"/>
          <w:lang w:val="es-CO"/>
        </w:rPr>
        <w:t xml:space="preserve"> y Diva Luis Pinedo Collazos por parte de efectivos del Ejército peruano el día 14 de agosto de 1989.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3A8F8643"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2F1E9A1F"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lang w:val="es-CO"/>
        </w:rPr>
        <w:t xml:space="preserve"> </w:t>
      </w:r>
      <w:r w:rsidRPr="00D833CE">
        <w:rPr>
          <w:rFonts w:ascii="Cambria" w:eastAsia="Times New Roman" w:hAnsi="Cambria" w:cs="Cambria"/>
          <w:b/>
          <w:color w:val="000000" w:themeColor="text1"/>
          <w:sz w:val="20"/>
          <w:szCs w:val="20"/>
        </w:rPr>
        <w:t>Caso 10.467 – Informe N° 84/90</w:t>
      </w:r>
    </w:p>
    <w:p w14:paraId="440B72AD"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063B2168"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la posterior desaparición de Silvio Alejandro Campos, Edmundo </w:t>
      </w:r>
      <w:proofErr w:type="spellStart"/>
      <w:r w:rsidRPr="00D833CE">
        <w:rPr>
          <w:rFonts w:ascii="Cambria" w:eastAsia="Times New Roman" w:hAnsi="Cambria" w:cs="Cambria"/>
          <w:color w:val="000000" w:themeColor="text1"/>
          <w:sz w:val="20"/>
          <w:szCs w:val="20"/>
          <w:lang w:val="es-CO"/>
        </w:rPr>
        <w:t>Zavallos</w:t>
      </w:r>
      <w:proofErr w:type="spellEnd"/>
      <w:r w:rsidRPr="00D833CE">
        <w:rPr>
          <w:rFonts w:ascii="Cambria" w:eastAsia="Times New Roman" w:hAnsi="Cambria" w:cs="Cambria"/>
          <w:color w:val="000000" w:themeColor="text1"/>
          <w:sz w:val="20"/>
          <w:szCs w:val="20"/>
          <w:lang w:val="es-CO"/>
        </w:rPr>
        <w:t xml:space="preserve"> Campos, Néstor Salvador Quinte, Antonio Salazar Valero, Jesús José Canchari Pérez, Juan Carlos </w:t>
      </w:r>
      <w:proofErr w:type="spellStart"/>
      <w:r w:rsidRPr="00D833CE">
        <w:rPr>
          <w:rFonts w:ascii="Cambria" w:eastAsia="Times New Roman" w:hAnsi="Cambria" w:cs="Cambria"/>
          <w:color w:val="000000" w:themeColor="text1"/>
          <w:sz w:val="20"/>
          <w:szCs w:val="20"/>
          <w:lang w:val="es-CO"/>
        </w:rPr>
        <w:t>Goetendía</w:t>
      </w:r>
      <w:proofErr w:type="spellEnd"/>
      <w:r w:rsidRPr="00D833CE">
        <w:rPr>
          <w:rFonts w:ascii="Cambria" w:eastAsia="Times New Roman" w:hAnsi="Cambria" w:cs="Cambria"/>
          <w:color w:val="000000" w:themeColor="text1"/>
          <w:sz w:val="20"/>
          <w:szCs w:val="20"/>
          <w:lang w:val="es-CO"/>
        </w:rPr>
        <w:t xml:space="preserve"> Alarcón y Aristóteles </w:t>
      </w:r>
      <w:proofErr w:type="spellStart"/>
      <w:r w:rsidRPr="00D833CE">
        <w:rPr>
          <w:rFonts w:ascii="Cambria" w:eastAsia="Times New Roman" w:hAnsi="Cambria" w:cs="Cambria"/>
          <w:color w:val="000000" w:themeColor="text1"/>
          <w:sz w:val="20"/>
          <w:szCs w:val="20"/>
          <w:lang w:val="es-CO"/>
        </w:rPr>
        <w:t>Iturrizaga</w:t>
      </w:r>
      <w:proofErr w:type="spellEnd"/>
      <w:r w:rsidRPr="00D833CE">
        <w:rPr>
          <w:rFonts w:ascii="Cambria" w:eastAsia="Times New Roman" w:hAnsi="Cambria" w:cs="Cambria"/>
          <w:color w:val="000000" w:themeColor="text1"/>
          <w:sz w:val="20"/>
          <w:szCs w:val="20"/>
          <w:lang w:val="es-CO"/>
        </w:rPr>
        <w:t xml:space="preserve"> Huamán, por miembros de la Policía Antisubversiva de Mazamari, Departamento de Junín, el 22 y 26 de mayo de 1989.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257D3BFE"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073555E" w14:textId="77777777" w:rsidR="009D1967" w:rsidRPr="00D833CE" w:rsidRDefault="009D1967" w:rsidP="00055027">
      <w:pPr>
        <w:numPr>
          <w:ilvl w:val="0"/>
          <w:numId w:val="39"/>
        </w:numPr>
        <w:spacing w:after="0" w:line="240" w:lineRule="auto"/>
        <w:ind w:firstLine="0"/>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10.466 - Informe N° 83/90</w:t>
      </w:r>
    </w:p>
    <w:p w14:paraId="739EC5AC" w14:textId="77777777" w:rsidR="009D1967" w:rsidRPr="00D833CE" w:rsidRDefault="009D1967" w:rsidP="009D1967">
      <w:pPr>
        <w:spacing w:after="0" w:line="240" w:lineRule="auto"/>
        <w:ind w:left="720"/>
        <w:rPr>
          <w:rFonts w:ascii="Cambria" w:eastAsia="Times New Roman" w:hAnsi="Cambria" w:cs="Cambria"/>
          <w:b/>
          <w:color w:val="000000" w:themeColor="text1"/>
          <w:sz w:val="20"/>
          <w:szCs w:val="20"/>
        </w:rPr>
      </w:pPr>
    </w:p>
    <w:p w14:paraId="2D123F1D"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Fernando Mejía Egocheaga y Aladino Melgarejo Ponce por parte de agentes del Estado peruano, el 15 de junio de 1989.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300BF71B"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61389CB"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 xml:space="preserve">Caso 10.464 – Informe N° 82/90 </w:t>
      </w:r>
    </w:p>
    <w:p w14:paraId="469A196C" w14:textId="77777777" w:rsidR="009D1967" w:rsidRPr="00D833CE" w:rsidRDefault="009D1967" w:rsidP="009D1967">
      <w:pPr>
        <w:spacing w:after="0" w:line="240" w:lineRule="auto"/>
        <w:ind w:left="720"/>
        <w:jc w:val="both"/>
        <w:rPr>
          <w:rFonts w:ascii="Cambria" w:eastAsia="Times New Roman" w:hAnsi="Cambria" w:cs="Cambria"/>
          <w:b/>
          <w:color w:val="000000" w:themeColor="text1"/>
          <w:sz w:val="20"/>
          <w:szCs w:val="20"/>
        </w:rPr>
      </w:pPr>
    </w:p>
    <w:p w14:paraId="20CE148F"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Pedro Valenzuela Tamayo y Manuel Mejía Cotrina por parte de agentes del Estado peruano, el 31 de julio de 1989.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1CF78100"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E1CA8AD"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10.463 – Informe N° 81/90</w:t>
      </w:r>
    </w:p>
    <w:p w14:paraId="0C7FE039"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20C9A959"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w:t>
      </w:r>
      <w:proofErr w:type="spellStart"/>
      <w:r w:rsidRPr="00D833CE">
        <w:rPr>
          <w:rFonts w:ascii="Cambria" w:eastAsia="Times New Roman" w:hAnsi="Cambria" w:cs="Cambria"/>
          <w:color w:val="000000" w:themeColor="text1"/>
          <w:sz w:val="20"/>
          <w:szCs w:val="20"/>
          <w:lang w:val="es-CO"/>
        </w:rPr>
        <w:t>Coqui</w:t>
      </w:r>
      <w:proofErr w:type="spellEnd"/>
      <w:r w:rsidRPr="00D833CE">
        <w:rPr>
          <w:rFonts w:ascii="Cambria" w:eastAsia="Times New Roman" w:hAnsi="Cambria" w:cs="Cambria"/>
          <w:color w:val="000000" w:themeColor="text1"/>
          <w:sz w:val="20"/>
          <w:szCs w:val="20"/>
          <w:lang w:val="es-CO"/>
        </w:rPr>
        <w:t xml:space="preserve"> Samuel </w:t>
      </w:r>
      <w:proofErr w:type="spellStart"/>
      <w:r w:rsidRPr="00D833CE">
        <w:rPr>
          <w:rFonts w:ascii="Cambria" w:eastAsia="Times New Roman" w:hAnsi="Cambria" w:cs="Cambria"/>
          <w:color w:val="000000" w:themeColor="text1"/>
          <w:sz w:val="20"/>
          <w:szCs w:val="20"/>
          <w:lang w:val="es-CO"/>
        </w:rPr>
        <w:t>Huamalí</w:t>
      </w:r>
      <w:proofErr w:type="spellEnd"/>
      <w:r w:rsidRPr="00D833CE">
        <w:rPr>
          <w:rFonts w:ascii="Cambria" w:eastAsia="Times New Roman" w:hAnsi="Cambria" w:cs="Cambria"/>
          <w:color w:val="000000" w:themeColor="text1"/>
          <w:sz w:val="20"/>
          <w:szCs w:val="20"/>
          <w:lang w:val="es-CO"/>
        </w:rPr>
        <w:t xml:space="preserve"> Sánchez por parte de agentes del Estado peruano, el 23 de agosto de 1989.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73728F79"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lang w:val="es-CO"/>
        </w:rPr>
      </w:pPr>
    </w:p>
    <w:p w14:paraId="0CF7147D" w14:textId="60B08B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 xml:space="preserve">Caso 10.461 - Informe N° 80/90 </w:t>
      </w:r>
    </w:p>
    <w:p w14:paraId="7DD9B8E0"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7C26E1FE" w14:textId="3449698E"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Teófilo Carrión </w:t>
      </w:r>
      <w:proofErr w:type="spellStart"/>
      <w:r w:rsidRPr="00D833CE">
        <w:rPr>
          <w:rFonts w:ascii="Cambria" w:eastAsia="Times New Roman" w:hAnsi="Cambria" w:cs="Cambria"/>
          <w:color w:val="000000" w:themeColor="text1"/>
          <w:sz w:val="20"/>
          <w:szCs w:val="20"/>
          <w:lang w:val="es-CO"/>
        </w:rPr>
        <w:t>Yaulis</w:t>
      </w:r>
      <w:proofErr w:type="spellEnd"/>
      <w:r w:rsidRPr="00D833CE">
        <w:rPr>
          <w:rFonts w:ascii="Cambria" w:eastAsia="Times New Roman" w:hAnsi="Cambria" w:cs="Cambria"/>
          <w:color w:val="000000" w:themeColor="text1"/>
          <w:sz w:val="20"/>
          <w:szCs w:val="20"/>
          <w:lang w:val="es-CO"/>
        </w:rPr>
        <w:t xml:space="preserve"> por parte de agentes del Estado peruano, el 23 de agosto de 1989. En consecuencia, la Comisión declaró que el Estado del Perú no ha cumplido con las obligaciones de respeto de los derechos humanos y garantías </w:t>
      </w:r>
      <w:r w:rsidRPr="00D833CE">
        <w:rPr>
          <w:rFonts w:ascii="Cambria" w:eastAsia="Times New Roman" w:hAnsi="Cambria" w:cs="Cambria"/>
          <w:color w:val="000000" w:themeColor="text1"/>
          <w:sz w:val="20"/>
          <w:szCs w:val="20"/>
          <w:lang w:val="es-CO"/>
        </w:rPr>
        <w:lastRenderedPageBreak/>
        <w:t xml:space="preserve">impuestas por el Artículo 1 de la Convención Americana sobre Derechos Humanos y que tales hechos constituyen violaciones del derecho a la vida y al derecho a la libertad consagrados en los Artículos 4 y 7 de la Convención. </w:t>
      </w:r>
    </w:p>
    <w:p w14:paraId="7AB8D052"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1F1CCE28"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 xml:space="preserve">Caso 10.460 – Informe N° 79/90 </w:t>
      </w:r>
    </w:p>
    <w:p w14:paraId="2F1D8B74"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1B7BC074"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Cipriano Agama Anaya por parte de agentes del Estado peruano, el 16 de abril de 1989.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7592D769"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1D5EDCF8"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 xml:space="preserve">Caso 10.444 – Informe N° 78/90 </w:t>
      </w:r>
    </w:p>
    <w:p w14:paraId="5B4FD974"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21561C4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A36C6E">
        <w:rPr>
          <w:rFonts w:ascii="Cambria" w:eastAsia="Times New Roman" w:hAnsi="Cambria" w:cs="Cambria"/>
          <w:color w:val="000000" w:themeColor="text1"/>
          <w:sz w:val="20"/>
          <w:szCs w:val="20"/>
          <w:lang w:val="es-US"/>
        </w:rPr>
        <w:t xml:space="preserve">Este caso se refiere a la detención ilegal y torturas por agentes del Estado peruano de Gregorio Castellares Robles, </w:t>
      </w:r>
      <w:proofErr w:type="gramStart"/>
      <w:r w:rsidRPr="00A36C6E">
        <w:rPr>
          <w:rFonts w:ascii="Cambria" w:eastAsia="Times New Roman" w:hAnsi="Cambria" w:cs="Cambria"/>
          <w:color w:val="000000" w:themeColor="text1"/>
          <w:sz w:val="20"/>
          <w:szCs w:val="20"/>
          <w:lang w:val="es-US"/>
        </w:rPr>
        <w:t>Alcalde</w:t>
      </w:r>
      <w:proofErr w:type="gramEnd"/>
      <w:r w:rsidRPr="00A36C6E">
        <w:rPr>
          <w:rFonts w:ascii="Cambria" w:eastAsia="Times New Roman" w:hAnsi="Cambria" w:cs="Cambria"/>
          <w:color w:val="000000" w:themeColor="text1"/>
          <w:sz w:val="20"/>
          <w:szCs w:val="20"/>
          <w:lang w:val="es-US"/>
        </w:rPr>
        <w:t xml:space="preserve"> Municipal de la comunidad campesina de Carhuancho, Distrito de San Pedro de Coris, provincia de Churcampa, Departamento de Huancavelica, ocurrida el 20 de marzo de 1989. </w:t>
      </w:r>
      <w:r w:rsidRPr="00D833CE">
        <w:rPr>
          <w:rFonts w:ascii="Cambria" w:eastAsia="Times New Roman" w:hAnsi="Cambria" w:cs="Cambria"/>
          <w:color w:val="000000" w:themeColor="text1"/>
          <w:sz w:val="20"/>
          <w:szCs w:val="20"/>
          <w:lang w:val="es-CO"/>
        </w:rPr>
        <w:t>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w:t>
      </w:r>
    </w:p>
    <w:p w14:paraId="7F884B53"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2ABEA671"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 xml:space="preserve">Caso 10.203 – Informe N° 77/90 </w:t>
      </w:r>
    </w:p>
    <w:p w14:paraId="6F03F71E"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062C3157"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la posterior desaparición de Andrés Huayhua y Ciro Huayhua por una patrulla del ejército, en el poblado de Santa Rosa de </w:t>
      </w:r>
      <w:proofErr w:type="spellStart"/>
      <w:r w:rsidRPr="00D833CE">
        <w:rPr>
          <w:rFonts w:ascii="Cambria" w:eastAsia="Times New Roman" w:hAnsi="Cambria" w:cs="Cambria"/>
          <w:color w:val="000000" w:themeColor="text1"/>
          <w:sz w:val="20"/>
          <w:szCs w:val="20"/>
          <w:lang w:val="es-CO"/>
        </w:rPr>
        <w:t>Ccotccoy</w:t>
      </w:r>
      <w:proofErr w:type="spellEnd"/>
      <w:r w:rsidRPr="00D833CE">
        <w:rPr>
          <w:rFonts w:ascii="Cambria" w:eastAsia="Times New Roman" w:hAnsi="Cambria" w:cs="Cambria"/>
          <w:color w:val="000000" w:themeColor="text1"/>
          <w:sz w:val="20"/>
          <w:szCs w:val="20"/>
          <w:lang w:val="es-CO"/>
        </w:rPr>
        <w:t xml:space="preserve">, Provincia de Churcampa, Huancavelica, Perú.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686D7865"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4AB0B7D2"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10.202 – Informe N° 76/90</w:t>
      </w:r>
    </w:p>
    <w:p w14:paraId="7888DA2A"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35266629"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ilegal y torturas de Sonia Muñoz de </w:t>
      </w:r>
      <w:proofErr w:type="spellStart"/>
      <w:r w:rsidRPr="00D833CE">
        <w:rPr>
          <w:rFonts w:ascii="Cambria" w:eastAsia="Times New Roman" w:hAnsi="Cambria" w:cs="Cambria"/>
          <w:color w:val="000000" w:themeColor="text1"/>
          <w:sz w:val="20"/>
          <w:szCs w:val="20"/>
          <w:lang w:val="es-CO"/>
        </w:rPr>
        <w:t>Yangalí</w:t>
      </w:r>
      <w:proofErr w:type="spellEnd"/>
      <w:r w:rsidRPr="00D833CE">
        <w:rPr>
          <w:rFonts w:ascii="Cambria" w:eastAsia="Times New Roman" w:hAnsi="Cambria" w:cs="Cambria"/>
          <w:color w:val="000000" w:themeColor="text1"/>
          <w:sz w:val="20"/>
          <w:szCs w:val="20"/>
          <w:lang w:val="es-CO"/>
        </w:rPr>
        <w:t xml:space="preserve">, ocurrida el 18 de mayo de 1988 en Churcampa, Departamento de Huancavelica, Perú.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integridad personal y al derecho a la libertad consagrados en los Artículos 5 y 7 de la Convención. </w:t>
      </w:r>
    </w:p>
    <w:p w14:paraId="1D29F1C3"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6D2C8886"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10.163 – Informe N° 75/90</w:t>
      </w:r>
    </w:p>
    <w:p w14:paraId="607E6FD8"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6D959259"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la posterior desaparición de </w:t>
      </w:r>
      <w:proofErr w:type="spellStart"/>
      <w:r w:rsidRPr="00D833CE">
        <w:rPr>
          <w:rFonts w:ascii="Cambria" w:eastAsia="Times New Roman" w:hAnsi="Cambria" w:cs="Cambria"/>
          <w:color w:val="000000" w:themeColor="text1"/>
          <w:sz w:val="20"/>
          <w:szCs w:val="20"/>
          <w:lang w:val="es-CO"/>
        </w:rPr>
        <w:t>Tecero</w:t>
      </w:r>
      <w:proofErr w:type="spellEnd"/>
      <w:r w:rsidRPr="00D833CE">
        <w:rPr>
          <w:rFonts w:ascii="Cambria" w:eastAsia="Times New Roman" w:hAnsi="Cambria" w:cs="Cambria"/>
          <w:color w:val="000000" w:themeColor="text1"/>
          <w:sz w:val="20"/>
          <w:szCs w:val="20"/>
          <w:lang w:val="es-CO"/>
        </w:rPr>
        <w:t xml:space="preserve"> Lava Ramírez, el 26 enero de 1988, en Sisa, Lamas, por Ejército Peruano; Julio y Oscar Saboya Pisco, el 17 de enero 1988, en </w:t>
      </w:r>
      <w:proofErr w:type="spellStart"/>
      <w:r w:rsidRPr="00D833CE">
        <w:rPr>
          <w:rFonts w:ascii="Cambria" w:eastAsia="Times New Roman" w:hAnsi="Cambria" w:cs="Cambria"/>
          <w:color w:val="000000" w:themeColor="text1"/>
          <w:sz w:val="20"/>
          <w:szCs w:val="20"/>
          <w:lang w:val="es-CO"/>
        </w:rPr>
        <w:t>Alao</w:t>
      </w:r>
      <w:proofErr w:type="spellEnd"/>
      <w:r w:rsidRPr="00D833CE">
        <w:rPr>
          <w:rFonts w:ascii="Cambria" w:eastAsia="Times New Roman" w:hAnsi="Cambria" w:cs="Cambria"/>
          <w:color w:val="000000" w:themeColor="text1"/>
          <w:sz w:val="20"/>
          <w:szCs w:val="20"/>
          <w:lang w:val="es-CO"/>
        </w:rPr>
        <w:t xml:space="preserve">, Lamas, por Ejército Peruano; Marcelino de La Cruz Manayay, el 27 enero 1988, en San Martín, por Ejército Peruano; Hilario Puelles </w:t>
      </w:r>
      <w:proofErr w:type="spellStart"/>
      <w:r w:rsidRPr="00D833CE">
        <w:rPr>
          <w:rFonts w:ascii="Cambria" w:eastAsia="Times New Roman" w:hAnsi="Cambria" w:cs="Cambria"/>
          <w:color w:val="000000" w:themeColor="text1"/>
          <w:sz w:val="20"/>
          <w:szCs w:val="20"/>
          <w:lang w:val="es-CO"/>
        </w:rPr>
        <w:t>Trolles</w:t>
      </w:r>
      <w:proofErr w:type="spellEnd"/>
      <w:r w:rsidRPr="00D833CE">
        <w:rPr>
          <w:rFonts w:ascii="Cambria" w:eastAsia="Times New Roman" w:hAnsi="Cambria" w:cs="Cambria"/>
          <w:color w:val="000000" w:themeColor="text1"/>
          <w:sz w:val="20"/>
          <w:szCs w:val="20"/>
          <w:lang w:val="es-CO"/>
        </w:rPr>
        <w:t xml:space="preserve">, el 27 de enero 1988, en </w:t>
      </w:r>
      <w:proofErr w:type="spellStart"/>
      <w:r w:rsidRPr="00D833CE">
        <w:rPr>
          <w:rFonts w:ascii="Cambria" w:eastAsia="Times New Roman" w:hAnsi="Cambria" w:cs="Cambria"/>
          <w:color w:val="000000" w:themeColor="text1"/>
          <w:sz w:val="20"/>
          <w:szCs w:val="20"/>
          <w:lang w:val="es-CO"/>
        </w:rPr>
        <w:t>Carachamayo</w:t>
      </w:r>
      <w:proofErr w:type="spellEnd"/>
      <w:r w:rsidRPr="00D833CE">
        <w:rPr>
          <w:rFonts w:ascii="Cambria" w:eastAsia="Times New Roman" w:hAnsi="Cambria" w:cs="Cambria"/>
          <w:color w:val="000000" w:themeColor="text1"/>
          <w:sz w:val="20"/>
          <w:szCs w:val="20"/>
          <w:lang w:val="es-CO"/>
        </w:rPr>
        <w:t xml:space="preserve">, Lamas, por Ejército Peruano, y Julio Campesino Sangama, </w:t>
      </w:r>
      <w:proofErr w:type="gramStart"/>
      <w:r w:rsidRPr="00D833CE">
        <w:rPr>
          <w:rFonts w:ascii="Cambria" w:eastAsia="Times New Roman" w:hAnsi="Cambria" w:cs="Cambria"/>
          <w:color w:val="000000" w:themeColor="text1"/>
          <w:sz w:val="20"/>
          <w:szCs w:val="20"/>
          <w:lang w:val="es-CO"/>
        </w:rPr>
        <w:t>Teniente</w:t>
      </w:r>
      <w:proofErr w:type="gramEnd"/>
      <w:r w:rsidRPr="00D833CE">
        <w:rPr>
          <w:rFonts w:ascii="Cambria" w:eastAsia="Times New Roman" w:hAnsi="Cambria" w:cs="Cambria"/>
          <w:color w:val="000000" w:themeColor="text1"/>
          <w:sz w:val="20"/>
          <w:szCs w:val="20"/>
          <w:lang w:val="es-CO"/>
        </w:rPr>
        <w:t xml:space="preserve"> Gobernador de </w:t>
      </w:r>
      <w:proofErr w:type="spellStart"/>
      <w:r w:rsidRPr="00D833CE">
        <w:rPr>
          <w:rFonts w:ascii="Cambria" w:eastAsia="Times New Roman" w:hAnsi="Cambria" w:cs="Cambria"/>
          <w:color w:val="000000" w:themeColor="text1"/>
          <w:sz w:val="20"/>
          <w:szCs w:val="20"/>
          <w:lang w:val="es-CO"/>
        </w:rPr>
        <w:t>Carachamayo</w:t>
      </w:r>
      <w:proofErr w:type="spellEnd"/>
      <w:r w:rsidRPr="00D833CE">
        <w:rPr>
          <w:rFonts w:ascii="Cambria" w:eastAsia="Times New Roman" w:hAnsi="Cambria" w:cs="Cambria"/>
          <w:color w:val="000000" w:themeColor="text1"/>
          <w:sz w:val="20"/>
          <w:szCs w:val="20"/>
          <w:lang w:val="es-CO"/>
        </w:rPr>
        <w:t xml:space="preserve">, Lamas. En consecuencia, la Comisión declaró que el Estado del Perú no ha cumplido con las obligaciones de respeto de los derechos humanos y garantías impuestas por el Artículo 1 de la Convención Americana sobre Derechos Humanos y que tales hechos constituyen violaciones del derecho a la vida y al derecho a la libertad consagrados en los Artículos 4 y 7 de la Convención. </w:t>
      </w:r>
    </w:p>
    <w:p w14:paraId="1E1C5B38" w14:textId="174A00CC" w:rsidR="009D1967"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7BA86078" w14:textId="77777777" w:rsidR="00EB529C" w:rsidRDefault="00EB529C">
      <w:pPr>
        <w:rPr>
          <w:rFonts w:ascii="Cambria" w:eastAsia="Times New Roman" w:hAnsi="Cambria" w:cs="Cambria"/>
          <w:b/>
          <w:color w:val="000000" w:themeColor="text1"/>
          <w:sz w:val="20"/>
          <w:szCs w:val="20"/>
          <w:lang w:val="es-CO"/>
        </w:rPr>
      </w:pPr>
      <w:r>
        <w:rPr>
          <w:rFonts w:ascii="Cambria" w:eastAsia="Times New Roman" w:hAnsi="Cambria" w:cs="Cambria"/>
          <w:b/>
          <w:color w:val="000000" w:themeColor="text1"/>
          <w:sz w:val="20"/>
          <w:szCs w:val="20"/>
          <w:lang w:val="es-CO"/>
        </w:rPr>
        <w:br w:type="page"/>
      </w:r>
    </w:p>
    <w:p w14:paraId="40E422A0" w14:textId="763F7640"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lang w:val="es-CO"/>
        </w:rPr>
        <w:lastRenderedPageBreak/>
        <w:t xml:space="preserve"> </w:t>
      </w:r>
      <w:r w:rsidRPr="00D833CE">
        <w:rPr>
          <w:rFonts w:ascii="Cambria" w:eastAsia="Times New Roman" w:hAnsi="Cambria" w:cs="Cambria"/>
          <w:b/>
          <w:color w:val="000000" w:themeColor="text1"/>
          <w:sz w:val="20"/>
          <w:szCs w:val="20"/>
        </w:rPr>
        <w:t xml:space="preserve">Caso 10.380 – Informe N° 42/90 </w:t>
      </w:r>
    </w:p>
    <w:p w14:paraId="0B111F35"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rPr>
      </w:pPr>
    </w:p>
    <w:p w14:paraId="2AE6E7E2"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el posterior homicidio de Soledad Granados Martínez, Eva </w:t>
      </w:r>
      <w:proofErr w:type="spellStart"/>
      <w:r w:rsidRPr="00D833CE">
        <w:rPr>
          <w:rFonts w:ascii="Cambria" w:eastAsia="Times New Roman" w:hAnsi="Cambria" w:cs="Cambria"/>
          <w:color w:val="000000" w:themeColor="text1"/>
          <w:sz w:val="20"/>
          <w:szCs w:val="20"/>
          <w:lang w:val="es-CO"/>
        </w:rPr>
        <w:t>Ricse</w:t>
      </w:r>
      <w:proofErr w:type="spellEnd"/>
      <w:r w:rsidRPr="00D833CE">
        <w:rPr>
          <w:rFonts w:ascii="Cambria" w:eastAsia="Times New Roman" w:hAnsi="Cambria" w:cs="Cambria"/>
          <w:color w:val="000000" w:themeColor="text1"/>
          <w:sz w:val="20"/>
          <w:szCs w:val="20"/>
          <w:lang w:val="es-CO"/>
        </w:rPr>
        <w:t xml:space="preserve"> Bohórquez, </w:t>
      </w:r>
      <w:proofErr w:type="spellStart"/>
      <w:r w:rsidRPr="00D833CE">
        <w:rPr>
          <w:rFonts w:ascii="Cambria" w:eastAsia="Times New Roman" w:hAnsi="Cambria" w:cs="Cambria"/>
          <w:color w:val="000000" w:themeColor="text1"/>
          <w:sz w:val="20"/>
          <w:szCs w:val="20"/>
          <w:lang w:val="es-CO"/>
        </w:rPr>
        <w:t>Hildo</w:t>
      </w:r>
      <w:proofErr w:type="spellEnd"/>
      <w:r w:rsidRPr="00D833CE">
        <w:rPr>
          <w:rFonts w:ascii="Cambria" w:eastAsia="Times New Roman" w:hAnsi="Cambria" w:cs="Cambria"/>
          <w:color w:val="000000" w:themeColor="text1"/>
          <w:sz w:val="20"/>
          <w:szCs w:val="20"/>
          <w:lang w:val="es-CO"/>
        </w:rPr>
        <w:t xml:space="preserve"> Jaime </w:t>
      </w:r>
      <w:proofErr w:type="spellStart"/>
      <w:r w:rsidRPr="00D833CE">
        <w:rPr>
          <w:rFonts w:ascii="Cambria" w:eastAsia="Times New Roman" w:hAnsi="Cambria" w:cs="Cambria"/>
          <w:color w:val="000000" w:themeColor="text1"/>
          <w:sz w:val="20"/>
          <w:szCs w:val="20"/>
          <w:lang w:val="es-CO"/>
        </w:rPr>
        <w:t>Huancauqui</w:t>
      </w:r>
      <w:proofErr w:type="spellEnd"/>
      <w:r w:rsidRPr="00D833CE">
        <w:rPr>
          <w:rFonts w:ascii="Cambria" w:eastAsia="Times New Roman" w:hAnsi="Cambria" w:cs="Cambria"/>
          <w:color w:val="000000" w:themeColor="text1"/>
          <w:sz w:val="20"/>
          <w:szCs w:val="20"/>
          <w:lang w:val="es-CO"/>
        </w:rPr>
        <w:t xml:space="preserve"> Portillo, Jesús Apolinario Zárate, Alberto Alanya </w:t>
      </w:r>
      <w:proofErr w:type="spellStart"/>
      <w:r w:rsidRPr="00D833CE">
        <w:rPr>
          <w:rFonts w:ascii="Cambria" w:eastAsia="Times New Roman" w:hAnsi="Cambria" w:cs="Cambria"/>
          <w:color w:val="000000" w:themeColor="text1"/>
          <w:sz w:val="20"/>
          <w:szCs w:val="20"/>
          <w:lang w:val="es-CO"/>
        </w:rPr>
        <w:t>Paitampoma</w:t>
      </w:r>
      <w:proofErr w:type="spellEnd"/>
      <w:r w:rsidRPr="00D833CE">
        <w:rPr>
          <w:rFonts w:ascii="Cambria" w:eastAsia="Times New Roman" w:hAnsi="Cambria" w:cs="Cambria"/>
          <w:color w:val="000000" w:themeColor="text1"/>
          <w:sz w:val="20"/>
          <w:szCs w:val="20"/>
          <w:lang w:val="es-CO"/>
        </w:rPr>
        <w:t xml:space="preserve">, Raimundo Roque, Adalberto Alanya, Samuel </w:t>
      </w:r>
      <w:proofErr w:type="spellStart"/>
      <w:r w:rsidRPr="00D833CE">
        <w:rPr>
          <w:rFonts w:ascii="Cambria" w:eastAsia="Times New Roman" w:hAnsi="Cambria" w:cs="Cambria"/>
          <w:color w:val="000000" w:themeColor="text1"/>
          <w:sz w:val="20"/>
          <w:szCs w:val="20"/>
          <w:lang w:val="es-CO"/>
        </w:rPr>
        <w:t>Paitampoma</w:t>
      </w:r>
      <w:proofErr w:type="spellEnd"/>
      <w:r w:rsidRPr="00D833CE">
        <w:rPr>
          <w:rFonts w:ascii="Cambria" w:eastAsia="Times New Roman" w:hAnsi="Cambria" w:cs="Cambria"/>
          <w:color w:val="000000" w:themeColor="text1"/>
          <w:sz w:val="20"/>
          <w:szCs w:val="20"/>
          <w:lang w:val="es-CO"/>
        </w:rPr>
        <w:t xml:space="preserve"> Llanco, Pascual Rojas </w:t>
      </w:r>
      <w:proofErr w:type="spellStart"/>
      <w:r w:rsidRPr="00D833CE">
        <w:rPr>
          <w:rFonts w:ascii="Cambria" w:eastAsia="Times New Roman" w:hAnsi="Cambria" w:cs="Cambria"/>
          <w:color w:val="000000" w:themeColor="text1"/>
          <w:sz w:val="20"/>
          <w:szCs w:val="20"/>
          <w:lang w:val="es-CO"/>
        </w:rPr>
        <w:t>Taipe</w:t>
      </w:r>
      <w:proofErr w:type="spellEnd"/>
      <w:r w:rsidRPr="00D833CE">
        <w:rPr>
          <w:rFonts w:ascii="Cambria" w:eastAsia="Times New Roman" w:hAnsi="Cambria" w:cs="Cambria"/>
          <w:color w:val="000000" w:themeColor="text1"/>
          <w:sz w:val="20"/>
          <w:szCs w:val="20"/>
          <w:lang w:val="es-CO"/>
        </w:rPr>
        <w:t xml:space="preserve">, Uriel Laureano, Sixto Torres Peña, cuyos cadáveres aparecieron a orillas del río Calabaza; la captura arbitraria y tortura, Secundino de la O. Espinoza, Evangélico Jesús Enrique </w:t>
      </w:r>
      <w:proofErr w:type="spellStart"/>
      <w:r w:rsidRPr="00D833CE">
        <w:rPr>
          <w:rFonts w:ascii="Cambria" w:eastAsia="Times New Roman" w:hAnsi="Cambria" w:cs="Cambria"/>
          <w:color w:val="000000" w:themeColor="text1"/>
          <w:sz w:val="20"/>
          <w:szCs w:val="20"/>
          <w:lang w:val="es-CO"/>
        </w:rPr>
        <w:t>Paulete</w:t>
      </w:r>
      <w:proofErr w:type="spellEnd"/>
      <w:r w:rsidRPr="00D833CE">
        <w:rPr>
          <w:rFonts w:ascii="Cambria" w:eastAsia="Times New Roman" w:hAnsi="Cambria" w:cs="Cambria"/>
          <w:color w:val="000000" w:themeColor="text1"/>
          <w:sz w:val="20"/>
          <w:szCs w:val="20"/>
          <w:lang w:val="es-CO"/>
        </w:rPr>
        <w:t xml:space="preserve"> Solórzano e Hilario Arca Portocarrero; la tortura de Elmer Jáuregui Arteaga y Gerónimo Bocanegra Herrera; y la captura por los mismos agentes y posterior desaparición de Félix Arteaga Moya, Lalo Arteaga Camargo, Irma </w:t>
      </w:r>
      <w:proofErr w:type="spellStart"/>
      <w:r w:rsidRPr="00D833CE">
        <w:rPr>
          <w:rFonts w:ascii="Cambria" w:eastAsia="Times New Roman" w:hAnsi="Cambria" w:cs="Cambria"/>
          <w:color w:val="000000" w:themeColor="text1"/>
          <w:sz w:val="20"/>
          <w:szCs w:val="20"/>
          <w:lang w:val="es-CO"/>
        </w:rPr>
        <w:t>Juscamaita</w:t>
      </w:r>
      <w:proofErr w:type="spellEnd"/>
      <w:r w:rsidRPr="00D833CE">
        <w:rPr>
          <w:rFonts w:ascii="Cambria" w:eastAsia="Times New Roman" w:hAnsi="Cambria" w:cs="Cambria"/>
          <w:color w:val="000000" w:themeColor="text1"/>
          <w:sz w:val="20"/>
          <w:szCs w:val="20"/>
          <w:lang w:val="es-CO"/>
        </w:rPr>
        <w:t xml:space="preserve"> Arteaga y Hernán Artica Ames, ocurridas en el Caserío Calabaza, Distrito de Mariposa, Provincia de Satipo, Departamento de Junín, el 17 y 18 de mayo de 1989. En consecuencia, la Comisión declaró que tales hechos configuran una grave violación por parte del Estado peruano al derecho a la vida, la integridad personal, derecho a la libertad personal, y derecho a las garantías judiciales (Artículos 4, 5, 7 y 8, respectivamente, de la Convención Americana sobre Derechos Humanos), con el agravante de que tres de las presuntas víctimas son menores de edad.</w:t>
      </w:r>
    </w:p>
    <w:p w14:paraId="775A8258"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6647617A"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10.370 – Informe N° 41/90</w:t>
      </w:r>
    </w:p>
    <w:p w14:paraId="5B737ABB"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783849F9"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Saturnino Castillo Peralta, ocurrida en las cercanías del puente </w:t>
      </w:r>
      <w:proofErr w:type="spellStart"/>
      <w:r w:rsidRPr="00D833CE">
        <w:rPr>
          <w:rFonts w:ascii="Cambria" w:eastAsia="Times New Roman" w:hAnsi="Cambria" w:cs="Cambria"/>
          <w:color w:val="000000" w:themeColor="text1"/>
          <w:sz w:val="20"/>
          <w:szCs w:val="20"/>
          <w:lang w:val="es-CO"/>
        </w:rPr>
        <w:t>Cunya</w:t>
      </w:r>
      <w:proofErr w:type="spellEnd"/>
      <w:r w:rsidRPr="00D833CE">
        <w:rPr>
          <w:rFonts w:ascii="Cambria" w:eastAsia="Times New Roman" w:hAnsi="Cambria" w:cs="Cambria"/>
          <w:color w:val="000000" w:themeColor="text1"/>
          <w:sz w:val="20"/>
          <w:szCs w:val="20"/>
          <w:lang w:val="es-CO"/>
        </w:rPr>
        <w:t xml:space="preserve">, en el límite entre las Provincias de Cusco y Abancay, el 6 de marzo de 1989. En consecuencia, la Comisión declaró que tal hecho configura una grave violación por parte del Estado peruano al derecho a la vida, la integridad personal, derecho a la libertad personal, y derecho a las garantías judiciales (Artículos 4, 5, 7 y 8, respectivamente, de la Convención Americana sobre Derechos Humanos). </w:t>
      </w:r>
    </w:p>
    <w:p w14:paraId="227AC0D5"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5A446A18"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10.326 – Informe N° 40/90</w:t>
      </w:r>
    </w:p>
    <w:p w14:paraId="0DA6F5D6"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5931C16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Noé Pastor Romo Antonio, ocurrida en Lima, el 15 de enero de 1989. En consecuencia, la Comisión declaró que tal hecho configura una grave violación por parte del Estado peruano al derecho a la vida, la integridad personal, derecho a la libertad personal, y derecho a las garantías judiciales (Artículos 4, 5, 7 y 8, respectivamente, de la Convención Americana sobre Derechos Humanos). </w:t>
      </w:r>
    </w:p>
    <w:p w14:paraId="64D62C4A"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076E0DD8"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10.321 – Informe N° 39/90</w:t>
      </w:r>
    </w:p>
    <w:p w14:paraId="2415CDB8"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5680DCD6" w14:textId="70F9A55A" w:rsidR="009D1967" w:rsidRPr="009D1967"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Miriam Huaches de García, ocurrida en el Caserío La Unión, Distrito de Campanilla, Provincia de Mariscal Cáceres, Departamento de San Martín, el 14 de diciembre de 1988. En consecuencia, la Comisión declaró que tal hecho configura una grave violación por parte del Estado peruano al derecho a la vida, la integridad personal, derecho a la libertad personal, y derecho a las garantías judiciales (Artículos 4, 5, 7 y 8, respectivamente, de la Convención Americana sobre Derechos Humanos). </w:t>
      </w:r>
    </w:p>
    <w:p w14:paraId="28A4D9FB"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574B3CA9"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lang w:val="es-CO"/>
        </w:rPr>
        <w:t xml:space="preserve"> </w:t>
      </w:r>
      <w:r w:rsidRPr="00D833CE">
        <w:rPr>
          <w:rFonts w:ascii="Cambria" w:eastAsia="Times New Roman" w:hAnsi="Cambria" w:cs="Cambria"/>
          <w:b/>
          <w:color w:val="000000" w:themeColor="text1"/>
          <w:sz w:val="20"/>
          <w:szCs w:val="20"/>
        </w:rPr>
        <w:t>Caso 10.317 – Informe N° 38/90</w:t>
      </w:r>
    </w:p>
    <w:p w14:paraId="7C630E5C"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7F2ADFFF" w14:textId="77777777" w:rsidR="009D1967" w:rsidRPr="00D833CE" w:rsidRDefault="009D1967" w:rsidP="00055027">
      <w:pPr>
        <w:spacing w:after="0" w:line="240" w:lineRule="auto"/>
        <w:ind w:firstLine="706"/>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Evaristo Morales Portillo, ocurrida en la localidad de </w:t>
      </w:r>
      <w:proofErr w:type="spellStart"/>
      <w:r w:rsidRPr="00D833CE">
        <w:rPr>
          <w:rFonts w:ascii="Cambria" w:eastAsia="Times New Roman" w:hAnsi="Cambria" w:cs="Cambria"/>
          <w:color w:val="000000" w:themeColor="text1"/>
          <w:sz w:val="20"/>
          <w:szCs w:val="20"/>
          <w:lang w:val="es-CO"/>
        </w:rPr>
        <w:t>Tintay</w:t>
      </w:r>
      <w:proofErr w:type="spellEnd"/>
      <w:r w:rsidRPr="00D833CE">
        <w:rPr>
          <w:rFonts w:ascii="Cambria" w:eastAsia="Times New Roman" w:hAnsi="Cambria" w:cs="Cambria"/>
          <w:color w:val="000000" w:themeColor="text1"/>
          <w:sz w:val="20"/>
          <w:szCs w:val="20"/>
          <w:lang w:val="es-CO"/>
        </w:rPr>
        <w:t xml:space="preserve">, Provincia de </w:t>
      </w:r>
      <w:proofErr w:type="spellStart"/>
      <w:r w:rsidRPr="00D833CE">
        <w:rPr>
          <w:rFonts w:ascii="Cambria" w:eastAsia="Times New Roman" w:hAnsi="Cambria" w:cs="Cambria"/>
          <w:color w:val="000000" w:themeColor="text1"/>
          <w:sz w:val="20"/>
          <w:szCs w:val="20"/>
          <w:lang w:val="es-CO"/>
        </w:rPr>
        <w:t>Aymaraes</w:t>
      </w:r>
      <w:proofErr w:type="spellEnd"/>
      <w:r w:rsidRPr="00D833CE">
        <w:rPr>
          <w:rFonts w:ascii="Cambria" w:eastAsia="Times New Roman" w:hAnsi="Cambria" w:cs="Cambria"/>
          <w:color w:val="000000" w:themeColor="text1"/>
          <w:sz w:val="20"/>
          <w:szCs w:val="20"/>
          <w:lang w:val="es-CO"/>
        </w:rPr>
        <w:t xml:space="preserve">, Departamento de Apurímac, el 28 de agosto de 1988. En consecuencia, la Comisión declaró que tal hecho configura una grave violación por parte del Estado peruano al derecho a la vida, la integridad personal, derecho a la libertad personal, y derecho a las garantías judiciales (Artículos 4, 5, 7 y 8, respectivamente, de la Convención Americana sobre Derechos Humanos). </w:t>
      </w:r>
    </w:p>
    <w:p w14:paraId="2AE02E27" w14:textId="7CB639C2" w:rsidR="009D1967" w:rsidRDefault="009D1967" w:rsidP="009D1967">
      <w:pPr>
        <w:spacing w:after="0" w:line="240" w:lineRule="auto"/>
        <w:ind w:firstLine="709"/>
        <w:jc w:val="both"/>
        <w:rPr>
          <w:rFonts w:ascii="Cambria" w:eastAsia="Times New Roman" w:hAnsi="Cambria" w:cs="Cambria"/>
          <w:b/>
          <w:color w:val="000000" w:themeColor="text1"/>
          <w:sz w:val="20"/>
          <w:szCs w:val="20"/>
          <w:lang w:val="es-CO"/>
        </w:rPr>
      </w:pPr>
    </w:p>
    <w:p w14:paraId="145A7784" w14:textId="77777777" w:rsidR="00EB529C" w:rsidRDefault="00EB529C">
      <w:pPr>
        <w:rPr>
          <w:rFonts w:ascii="Cambria" w:eastAsia="Times New Roman" w:hAnsi="Cambria" w:cs="Cambria"/>
          <w:b/>
          <w:color w:val="000000" w:themeColor="text1"/>
          <w:sz w:val="20"/>
          <w:szCs w:val="20"/>
          <w:lang w:val="es-CO"/>
        </w:rPr>
      </w:pPr>
      <w:r>
        <w:rPr>
          <w:rFonts w:ascii="Cambria" w:eastAsia="Times New Roman" w:hAnsi="Cambria" w:cs="Cambria"/>
          <w:b/>
          <w:color w:val="000000" w:themeColor="text1"/>
          <w:sz w:val="20"/>
          <w:szCs w:val="20"/>
          <w:lang w:val="es-CO"/>
        </w:rPr>
        <w:br w:type="page"/>
      </w:r>
    </w:p>
    <w:p w14:paraId="75575306" w14:textId="0589D91A"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lang w:val="es-CO"/>
        </w:rPr>
        <w:lastRenderedPageBreak/>
        <w:t xml:space="preserve"> </w:t>
      </w:r>
      <w:r w:rsidRPr="00D833CE">
        <w:rPr>
          <w:rFonts w:ascii="Cambria" w:eastAsia="Times New Roman" w:hAnsi="Cambria" w:cs="Cambria"/>
          <w:b/>
          <w:color w:val="000000" w:themeColor="text1"/>
          <w:sz w:val="20"/>
          <w:szCs w:val="20"/>
        </w:rPr>
        <w:t>Caso 10.308 – Informe N° 37/90</w:t>
      </w:r>
    </w:p>
    <w:p w14:paraId="32190A9C" w14:textId="77777777" w:rsidR="009D1967" w:rsidRPr="00D833CE" w:rsidRDefault="009D1967" w:rsidP="009D1967">
      <w:pPr>
        <w:spacing w:after="0" w:line="240" w:lineRule="auto"/>
        <w:jc w:val="both"/>
        <w:rPr>
          <w:rFonts w:ascii="Cambria" w:eastAsia="Times New Roman" w:hAnsi="Cambria" w:cs="Cambria"/>
          <w:b/>
          <w:color w:val="000000" w:themeColor="text1"/>
          <w:sz w:val="20"/>
          <w:szCs w:val="20"/>
        </w:rPr>
      </w:pPr>
    </w:p>
    <w:p w14:paraId="05B8DF36"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ocurrida en </w:t>
      </w:r>
      <w:proofErr w:type="spellStart"/>
      <w:r w:rsidRPr="00D833CE">
        <w:rPr>
          <w:rFonts w:ascii="Cambria" w:eastAsia="Times New Roman" w:hAnsi="Cambria" w:cs="Cambria"/>
          <w:color w:val="000000" w:themeColor="text1"/>
          <w:sz w:val="20"/>
          <w:szCs w:val="20"/>
          <w:lang w:val="es-CO"/>
        </w:rPr>
        <w:t>Sañayca</w:t>
      </w:r>
      <w:proofErr w:type="spellEnd"/>
      <w:r w:rsidRPr="00D833CE">
        <w:rPr>
          <w:rFonts w:ascii="Cambria" w:eastAsia="Times New Roman" w:hAnsi="Cambria" w:cs="Cambria"/>
          <w:color w:val="000000" w:themeColor="text1"/>
          <w:sz w:val="20"/>
          <w:szCs w:val="20"/>
          <w:lang w:val="es-CO"/>
        </w:rPr>
        <w:t xml:space="preserve"> el 27 y 28 de agosto de 1988, de Mercedes Gutiérrez </w:t>
      </w:r>
      <w:proofErr w:type="spellStart"/>
      <w:r w:rsidRPr="00D833CE">
        <w:rPr>
          <w:rFonts w:ascii="Cambria" w:eastAsia="Times New Roman" w:hAnsi="Cambria" w:cs="Cambria"/>
          <w:color w:val="000000" w:themeColor="text1"/>
          <w:sz w:val="20"/>
          <w:szCs w:val="20"/>
          <w:lang w:val="es-CO"/>
        </w:rPr>
        <w:t>Caypani</w:t>
      </w:r>
      <w:proofErr w:type="spellEnd"/>
      <w:r w:rsidRPr="00D833CE">
        <w:rPr>
          <w:rFonts w:ascii="Cambria" w:eastAsia="Times New Roman" w:hAnsi="Cambria" w:cs="Cambria"/>
          <w:color w:val="000000" w:themeColor="text1"/>
          <w:sz w:val="20"/>
          <w:szCs w:val="20"/>
          <w:lang w:val="es-CO"/>
        </w:rPr>
        <w:t xml:space="preserve">, Antonio Tinco y Mariano </w:t>
      </w:r>
      <w:proofErr w:type="spellStart"/>
      <w:r w:rsidRPr="00D833CE">
        <w:rPr>
          <w:rFonts w:ascii="Cambria" w:eastAsia="Times New Roman" w:hAnsi="Cambria" w:cs="Cambria"/>
          <w:color w:val="000000" w:themeColor="text1"/>
          <w:sz w:val="20"/>
          <w:szCs w:val="20"/>
          <w:lang w:val="es-CO"/>
        </w:rPr>
        <w:t>Huyhua</w:t>
      </w:r>
      <w:proofErr w:type="spellEnd"/>
      <w:r w:rsidRPr="00D833CE">
        <w:rPr>
          <w:rFonts w:ascii="Cambria" w:eastAsia="Times New Roman" w:hAnsi="Cambria" w:cs="Cambria"/>
          <w:color w:val="000000" w:themeColor="text1"/>
          <w:sz w:val="20"/>
          <w:szCs w:val="20"/>
          <w:lang w:val="es-CO"/>
        </w:rPr>
        <w:t xml:space="preserve">, y la detención arbitraria y maltrato con torturas a pobladores de </w:t>
      </w:r>
      <w:proofErr w:type="spellStart"/>
      <w:r w:rsidRPr="00D833CE">
        <w:rPr>
          <w:rFonts w:ascii="Cambria" w:eastAsia="Times New Roman" w:hAnsi="Cambria" w:cs="Cambria"/>
          <w:color w:val="000000" w:themeColor="text1"/>
          <w:sz w:val="20"/>
          <w:szCs w:val="20"/>
          <w:lang w:val="es-CO"/>
        </w:rPr>
        <w:t>Sañayca</w:t>
      </w:r>
      <w:proofErr w:type="spellEnd"/>
      <w:r w:rsidRPr="00D833CE">
        <w:rPr>
          <w:rFonts w:ascii="Cambria" w:eastAsia="Times New Roman" w:hAnsi="Cambria" w:cs="Cambria"/>
          <w:color w:val="000000" w:themeColor="text1"/>
          <w:sz w:val="20"/>
          <w:szCs w:val="20"/>
          <w:lang w:val="es-CO"/>
        </w:rPr>
        <w:t xml:space="preserve">, entre ellos Andrés Torres Huamani, Gloria Cortés Chipana, Enrique Casablanca Chipana, Fortunato Solórzano Pezo y de numerosas jóvenes entre ellas Carrasco </w:t>
      </w:r>
      <w:proofErr w:type="spellStart"/>
      <w:r w:rsidRPr="00D833CE">
        <w:rPr>
          <w:rFonts w:ascii="Cambria" w:eastAsia="Times New Roman" w:hAnsi="Cambria" w:cs="Cambria"/>
          <w:color w:val="000000" w:themeColor="text1"/>
          <w:sz w:val="20"/>
          <w:szCs w:val="20"/>
          <w:lang w:val="es-CO"/>
        </w:rPr>
        <w:t>Huyhua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Eprocina</w:t>
      </w:r>
      <w:proofErr w:type="spellEnd"/>
      <w:r w:rsidRPr="00D833CE">
        <w:rPr>
          <w:rFonts w:ascii="Cambria" w:eastAsia="Times New Roman" w:hAnsi="Cambria" w:cs="Cambria"/>
          <w:color w:val="000000" w:themeColor="text1"/>
          <w:sz w:val="20"/>
          <w:szCs w:val="20"/>
          <w:lang w:val="es-CO"/>
        </w:rPr>
        <w:t xml:space="preserve"> Chipana y </w:t>
      </w:r>
      <w:proofErr w:type="spellStart"/>
      <w:r w:rsidRPr="00D833CE">
        <w:rPr>
          <w:rFonts w:ascii="Cambria" w:eastAsia="Times New Roman" w:hAnsi="Cambria" w:cs="Cambria"/>
          <w:color w:val="000000" w:themeColor="text1"/>
          <w:sz w:val="20"/>
          <w:szCs w:val="20"/>
          <w:lang w:val="es-CO"/>
        </w:rPr>
        <w:t>Llachua</w:t>
      </w:r>
      <w:proofErr w:type="spellEnd"/>
      <w:r w:rsidRPr="00D833CE">
        <w:rPr>
          <w:rFonts w:ascii="Cambria" w:eastAsia="Times New Roman" w:hAnsi="Cambria" w:cs="Cambria"/>
          <w:color w:val="000000" w:themeColor="text1"/>
          <w:sz w:val="20"/>
          <w:szCs w:val="20"/>
          <w:lang w:val="es-CO"/>
        </w:rPr>
        <w:t xml:space="preserve"> Jauregui Benites. En consecuencia, la Comisión declaró que tal hecho configura una grave violación por parte del Estado peruano al derecho a la vida, la integridad personal, derecho a la libertad personal, y derecho a las garantías judiciales (Artículos 4, 5, 7 y 8, respectivamente, de la Convención Americana sobre Derechos Humanos). </w:t>
      </w:r>
    </w:p>
    <w:p w14:paraId="2057DA9C"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656A4ACB"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10.304 – Informe N° 36/90</w:t>
      </w:r>
    </w:p>
    <w:p w14:paraId="39C42976"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357753EF"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muerte por disparos por agentes del Estado peruano de </w:t>
      </w:r>
      <w:proofErr w:type="spellStart"/>
      <w:r w:rsidRPr="00D833CE">
        <w:rPr>
          <w:rFonts w:ascii="Cambria" w:eastAsia="Times New Roman" w:hAnsi="Cambria" w:cs="Cambria"/>
          <w:color w:val="000000" w:themeColor="text1"/>
          <w:sz w:val="20"/>
          <w:szCs w:val="20"/>
          <w:lang w:val="es-CO"/>
        </w:rPr>
        <w:t>Emigidio</w:t>
      </w:r>
      <w:proofErr w:type="spellEnd"/>
      <w:r w:rsidRPr="00D833CE">
        <w:rPr>
          <w:rFonts w:ascii="Cambria" w:eastAsia="Times New Roman" w:hAnsi="Cambria" w:cs="Cambria"/>
          <w:color w:val="000000" w:themeColor="text1"/>
          <w:sz w:val="20"/>
          <w:szCs w:val="20"/>
          <w:lang w:val="es-CO"/>
        </w:rPr>
        <w:t xml:space="preserve"> o Emilio Córdova Sánchez, Juan Guzmán </w:t>
      </w:r>
      <w:proofErr w:type="spellStart"/>
      <w:r w:rsidRPr="00D833CE">
        <w:rPr>
          <w:rFonts w:ascii="Cambria" w:eastAsia="Times New Roman" w:hAnsi="Cambria" w:cs="Cambria"/>
          <w:color w:val="000000" w:themeColor="text1"/>
          <w:sz w:val="20"/>
          <w:szCs w:val="20"/>
          <w:lang w:val="es-CO"/>
        </w:rPr>
        <w:t>Magipo</w:t>
      </w:r>
      <w:proofErr w:type="spellEnd"/>
      <w:r w:rsidRPr="00D833CE">
        <w:rPr>
          <w:rFonts w:ascii="Cambria" w:eastAsia="Times New Roman" w:hAnsi="Cambria" w:cs="Cambria"/>
          <w:color w:val="000000" w:themeColor="text1"/>
          <w:sz w:val="20"/>
          <w:szCs w:val="20"/>
          <w:lang w:val="es-CO"/>
        </w:rPr>
        <w:t xml:space="preserve">, Luis Palomino Guzmán, Juan </w:t>
      </w:r>
      <w:proofErr w:type="spellStart"/>
      <w:r w:rsidRPr="00D833CE">
        <w:rPr>
          <w:rFonts w:ascii="Cambria" w:eastAsia="Times New Roman" w:hAnsi="Cambria" w:cs="Cambria"/>
          <w:color w:val="000000" w:themeColor="text1"/>
          <w:sz w:val="20"/>
          <w:szCs w:val="20"/>
          <w:lang w:val="es-CO"/>
        </w:rPr>
        <w:t>Huasnato</w:t>
      </w:r>
      <w:proofErr w:type="spellEnd"/>
      <w:r w:rsidRPr="00D833CE">
        <w:rPr>
          <w:rFonts w:ascii="Cambria" w:eastAsia="Times New Roman" w:hAnsi="Cambria" w:cs="Cambria"/>
          <w:color w:val="000000" w:themeColor="text1"/>
          <w:sz w:val="20"/>
          <w:szCs w:val="20"/>
          <w:lang w:val="es-CO"/>
        </w:rPr>
        <w:t xml:space="preserve">, Armando </w:t>
      </w:r>
      <w:proofErr w:type="spellStart"/>
      <w:r w:rsidRPr="00D833CE">
        <w:rPr>
          <w:rFonts w:ascii="Cambria" w:eastAsia="Times New Roman" w:hAnsi="Cambria" w:cs="Cambria"/>
          <w:color w:val="000000" w:themeColor="text1"/>
          <w:sz w:val="20"/>
          <w:szCs w:val="20"/>
          <w:lang w:val="es-CO"/>
        </w:rPr>
        <w:t>Romaina</w:t>
      </w:r>
      <w:proofErr w:type="spellEnd"/>
      <w:r w:rsidRPr="00D833CE">
        <w:rPr>
          <w:rFonts w:ascii="Cambria" w:eastAsia="Times New Roman" w:hAnsi="Cambria" w:cs="Cambria"/>
          <w:color w:val="000000" w:themeColor="text1"/>
          <w:sz w:val="20"/>
          <w:szCs w:val="20"/>
          <w:lang w:val="es-CO"/>
        </w:rPr>
        <w:t xml:space="preserve"> o </w:t>
      </w:r>
      <w:proofErr w:type="spellStart"/>
      <w:r w:rsidRPr="00D833CE">
        <w:rPr>
          <w:rFonts w:ascii="Cambria" w:eastAsia="Times New Roman" w:hAnsi="Cambria" w:cs="Cambria"/>
          <w:color w:val="000000" w:themeColor="text1"/>
          <w:sz w:val="20"/>
          <w:szCs w:val="20"/>
          <w:lang w:val="es-CO"/>
        </w:rPr>
        <w:t>Romayna</w:t>
      </w:r>
      <w:proofErr w:type="spellEnd"/>
      <w:r w:rsidRPr="00D833CE">
        <w:rPr>
          <w:rFonts w:ascii="Cambria" w:eastAsia="Times New Roman" w:hAnsi="Cambria" w:cs="Cambria"/>
          <w:color w:val="000000" w:themeColor="text1"/>
          <w:sz w:val="20"/>
          <w:szCs w:val="20"/>
          <w:lang w:val="es-CO"/>
        </w:rPr>
        <w:t xml:space="preserve">, Edwin Soria Tello, Gildardo </w:t>
      </w:r>
      <w:proofErr w:type="spellStart"/>
      <w:r w:rsidRPr="00D833CE">
        <w:rPr>
          <w:rFonts w:ascii="Cambria" w:eastAsia="Times New Roman" w:hAnsi="Cambria" w:cs="Cambria"/>
          <w:color w:val="000000" w:themeColor="text1"/>
          <w:sz w:val="20"/>
          <w:szCs w:val="20"/>
          <w:lang w:val="es-CO"/>
        </w:rPr>
        <w:t>Idespalpa</w:t>
      </w:r>
      <w:proofErr w:type="spellEnd"/>
      <w:r w:rsidRPr="00D833CE">
        <w:rPr>
          <w:rFonts w:ascii="Cambria" w:eastAsia="Times New Roman" w:hAnsi="Cambria" w:cs="Cambria"/>
          <w:color w:val="000000" w:themeColor="text1"/>
          <w:sz w:val="20"/>
          <w:szCs w:val="20"/>
          <w:lang w:val="es-CO"/>
        </w:rPr>
        <w:t xml:space="preserve"> o </w:t>
      </w:r>
      <w:proofErr w:type="spellStart"/>
      <w:r w:rsidRPr="00D833CE">
        <w:rPr>
          <w:rFonts w:ascii="Cambria" w:eastAsia="Times New Roman" w:hAnsi="Cambria" w:cs="Cambria"/>
          <w:color w:val="000000" w:themeColor="text1"/>
          <w:sz w:val="20"/>
          <w:szCs w:val="20"/>
          <w:lang w:val="es-CO"/>
        </w:rPr>
        <w:t>Gilardo</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Jacanpallpa</w:t>
      </w:r>
      <w:proofErr w:type="spellEnd"/>
      <w:r w:rsidRPr="00D833CE">
        <w:rPr>
          <w:rFonts w:ascii="Cambria" w:eastAsia="Times New Roman" w:hAnsi="Cambria" w:cs="Cambria"/>
          <w:color w:val="000000" w:themeColor="text1"/>
          <w:sz w:val="20"/>
          <w:szCs w:val="20"/>
          <w:lang w:val="es-CO"/>
        </w:rPr>
        <w:t>, y NN., ocurrida en la ciudad de Pucallpa, en ocasión del ataque de fuerzas policiales a una manifestación autorizada de campesinos, ataque por el que produjeron además 26 heridos, Departamento de Ucayali, el 9 de febrero de 1989. También se presumen verdaderos</w:t>
      </w:r>
      <w:r w:rsidRPr="00D833CE">
        <w:rPr>
          <w:rFonts w:eastAsia="Times New Roman" w:cs="Calibri"/>
          <w:color w:val="000000" w:themeColor="text1"/>
          <w:sz w:val="20"/>
          <w:szCs w:val="20"/>
          <w:lang w:val="es-CO"/>
        </w:rPr>
        <w:t xml:space="preserve"> </w:t>
      </w:r>
      <w:r w:rsidRPr="00D833CE">
        <w:rPr>
          <w:rFonts w:ascii="Cambria" w:eastAsia="Times New Roman" w:hAnsi="Cambria" w:cs="Cambria"/>
          <w:color w:val="000000" w:themeColor="text1"/>
          <w:sz w:val="20"/>
          <w:szCs w:val="20"/>
          <w:lang w:val="es-CO"/>
        </w:rPr>
        <w:t xml:space="preserve">los hechos denunciados respecto a la detención ilegal y secuestro y amenazas a la vida contra Hugo Blanco Galdós, realizadas por agentes del Estado peruano en febrero y marzo de 1989. En consecuencia, la Comisión declaró que tal hecho configura una grave violación por parte del Estado peruano al derecho a la vida, la libertad, la integridad personal y derecho a las garantías judiciales (Artículos 4, 5, 8, 13 y 15, respectivamente, de la Convención Americana sobre Derechos Humanos), con el agravante de que una de las presuntas víctimas es un menor de edad. </w:t>
      </w:r>
    </w:p>
    <w:p w14:paraId="3DDBB6EA"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3105069A"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10.278 – Informe N° 35/90</w:t>
      </w:r>
    </w:p>
    <w:p w14:paraId="28DB0263" w14:textId="77777777" w:rsidR="009D1967" w:rsidRPr="00D833CE" w:rsidRDefault="009D1967" w:rsidP="009D1967">
      <w:pPr>
        <w:spacing w:after="0" w:line="240" w:lineRule="auto"/>
        <w:ind w:firstLine="709"/>
        <w:jc w:val="both"/>
        <w:rPr>
          <w:rFonts w:ascii="Cambria" w:eastAsia="Times New Roman" w:hAnsi="Cambria" w:cs="Cambria"/>
          <w:b/>
          <w:color w:val="000000" w:themeColor="text1"/>
          <w:sz w:val="20"/>
          <w:szCs w:val="20"/>
        </w:rPr>
      </w:pPr>
    </w:p>
    <w:p w14:paraId="74F74B88"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Oscar Delgado Vera, ocurrida en Lima, el 9 de diciembre de 1988. En consecuencia, la Comisión declaró que tal hecho configura una grave violación por parte del Estado peruano al derecho a la vida, la integridad personal, derecho a la libertad personal, y derecho a las garantías judiciales (Artículos 4, 5, 7 y 8, respectivamente, de la Convención Americana sobre Derechos Humanos). </w:t>
      </w:r>
    </w:p>
    <w:p w14:paraId="4E1989C1" w14:textId="77777777" w:rsidR="009D1967" w:rsidRPr="00D833CE" w:rsidRDefault="009D1967" w:rsidP="009D1967">
      <w:pPr>
        <w:spacing w:after="0" w:line="240" w:lineRule="auto"/>
        <w:ind w:firstLine="709"/>
        <w:jc w:val="both"/>
        <w:rPr>
          <w:rFonts w:ascii="Cambria" w:eastAsia="Times New Roman" w:hAnsi="Cambria" w:cs="Cambria"/>
          <w:color w:val="000000" w:themeColor="text1"/>
          <w:sz w:val="20"/>
          <w:szCs w:val="20"/>
          <w:lang w:val="es-CO"/>
        </w:rPr>
      </w:pPr>
    </w:p>
    <w:p w14:paraId="44C699F0"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 263 - Informe Nº 34/90</w:t>
      </w:r>
      <w:r w:rsidRPr="00D833CE">
        <w:rPr>
          <w:rFonts w:ascii="Cambria" w:eastAsia="Times New Roman" w:hAnsi="Cambria" w:cs="Cambria"/>
          <w:color w:val="000000" w:themeColor="text1"/>
          <w:sz w:val="20"/>
          <w:szCs w:val="20"/>
        </w:rPr>
        <w:t xml:space="preserve"> </w:t>
      </w:r>
    </w:p>
    <w:p w14:paraId="120C6A73"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015C8497"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El 27 de octubre de 1988, a las 10 a.m., fue detenida </w:t>
      </w:r>
      <w:proofErr w:type="spellStart"/>
      <w:r w:rsidRPr="00D833CE">
        <w:rPr>
          <w:rFonts w:ascii="Cambria" w:eastAsia="Times New Roman" w:hAnsi="Cambria" w:cs="Cambria"/>
          <w:color w:val="000000" w:themeColor="text1"/>
          <w:sz w:val="20"/>
          <w:szCs w:val="20"/>
          <w:lang w:val="es-CO"/>
        </w:rPr>
        <w:t>Giovana</w:t>
      </w:r>
      <w:proofErr w:type="spellEnd"/>
      <w:r w:rsidRPr="00D833CE">
        <w:rPr>
          <w:rFonts w:ascii="Cambria" w:eastAsia="Times New Roman" w:hAnsi="Cambria" w:cs="Cambria"/>
          <w:color w:val="000000" w:themeColor="text1"/>
          <w:sz w:val="20"/>
          <w:szCs w:val="20"/>
          <w:lang w:val="es-CO"/>
        </w:rPr>
        <w:t xml:space="preserve"> Vera, soltera, de 18 años, profesora reemplazante, en su domicilio del Colegio de la localidad de </w:t>
      </w:r>
      <w:proofErr w:type="spellStart"/>
      <w:r w:rsidRPr="00D833CE">
        <w:rPr>
          <w:rFonts w:ascii="Cambria" w:eastAsia="Times New Roman" w:hAnsi="Cambria" w:cs="Cambria"/>
          <w:color w:val="000000" w:themeColor="text1"/>
          <w:sz w:val="20"/>
          <w:szCs w:val="20"/>
          <w:lang w:val="es-CO"/>
        </w:rPr>
        <w:t>Chacoche</w:t>
      </w:r>
      <w:proofErr w:type="spellEnd"/>
      <w:r w:rsidRPr="00D833CE">
        <w:rPr>
          <w:rFonts w:ascii="Cambria" w:eastAsia="Times New Roman" w:hAnsi="Cambria" w:cs="Cambria"/>
          <w:color w:val="000000" w:themeColor="text1"/>
          <w:sz w:val="20"/>
          <w:szCs w:val="20"/>
          <w:lang w:val="es-CO"/>
        </w:rPr>
        <w:t xml:space="preserve">, Provincia de Abancay, Departamento de Apurímac, por un grupo de 8 o 9 efectivos del ejército, bajo el mando de un teniente no identificado. Fueron testigos de su detención tres profesoras más que se encontraban en el mismo lugar, quienes fueron amenazadas de ser detenidas, en caso de denunciar lo sucedido. </w:t>
      </w:r>
      <w:proofErr w:type="spellStart"/>
      <w:r w:rsidRPr="00D833CE">
        <w:rPr>
          <w:rFonts w:ascii="Cambria" w:eastAsia="Times New Roman" w:hAnsi="Cambria" w:cs="Cambria"/>
          <w:color w:val="000000" w:themeColor="text1"/>
          <w:sz w:val="20"/>
          <w:szCs w:val="20"/>
          <w:lang w:val="es-CO"/>
        </w:rPr>
        <w:t>Giovana</w:t>
      </w:r>
      <w:proofErr w:type="spellEnd"/>
      <w:r w:rsidRPr="00D833CE">
        <w:rPr>
          <w:rFonts w:ascii="Cambria" w:eastAsia="Times New Roman" w:hAnsi="Cambria" w:cs="Cambria"/>
          <w:color w:val="000000" w:themeColor="text1"/>
          <w:sz w:val="20"/>
          <w:szCs w:val="20"/>
          <w:lang w:val="es-CO"/>
        </w:rPr>
        <w:t xml:space="preserve"> Vera fue trasladada al cuartel de Santa Rosa ubicado a 20 kilómetros del lugar de detención. En el cuartel se ha negado toda información acerca de su detención, por lo que permanece en situación de detenida- desaparecida desde el 27 de octubre de 1988. Por lo anterior, la Comisión concluyó que el Estado peruano es responsable de la violación del Estado peruano al derecho a la vida, la integridad personal, derecho a la libertad personal, y derecho a las garantías judiciales (Artículos 4, 5, 7 y 8, respectivamente, de la Convención Americana sobre Derechos Humanos), y que el Estado incumplió dicha Convención. </w:t>
      </w:r>
    </w:p>
    <w:p w14:paraId="55573AEB"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7C3588C2" w14:textId="77777777" w:rsidR="00055027" w:rsidRDefault="00055027">
      <w:pPr>
        <w:rPr>
          <w:rFonts w:ascii="Cambria" w:eastAsia="Times New Roman" w:hAnsi="Cambria" w:cs="Cambria"/>
          <w:color w:val="000000" w:themeColor="text1"/>
          <w:sz w:val="20"/>
          <w:szCs w:val="20"/>
          <w:lang w:val="es-CO"/>
        </w:rPr>
      </w:pPr>
      <w:r>
        <w:rPr>
          <w:rFonts w:ascii="Cambria" w:eastAsia="Times New Roman" w:hAnsi="Cambria" w:cs="Cambria"/>
          <w:color w:val="000000" w:themeColor="text1"/>
          <w:sz w:val="20"/>
          <w:szCs w:val="20"/>
          <w:lang w:val="es-CO"/>
        </w:rPr>
        <w:br w:type="page"/>
      </w:r>
    </w:p>
    <w:p w14:paraId="0E7C2DB4" w14:textId="28631551"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lastRenderedPageBreak/>
        <w:t xml:space="preserve"> </w:t>
      </w:r>
      <w:r w:rsidRPr="00D833CE">
        <w:rPr>
          <w:rFonts w:ascii="Cambria" w:eastAsia="Times New Roman" w:hAnsi="Cambria" w:cs="Cambria"/>
          <w:b/>
          <w:color w:val="000000" w:themeColor="text1"/>
          <w:sz w:val="20"/>
          <w:szCs w:val="20"/>
        </w:rPr>
        <w:t>Caso 10. 260 - Informe Nº 33/90</w:t>
      </w:r>
      <w:r w:rsidRPr="00D833CE">
        <w:rPr>
          <w:rFonts w:ascii="Cambria" w:eastAsia="Times New Roman" w:hAnsi="Cambria" w:cs="Cambria"/>
          <w:color w:val="000000" w:themeColor="text1"/>
          <w:sz w:val="20"/>
          <w:szCs w:val="20"/>
        </w:rPr>
        <w:t xml:space="preserve"> </w:t>
      </w:r>
    </w:p>
    <w:p w14:paraId="4CF219A6"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7ECEC52D"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Hugo Máximo Aliaga </w:t>
      </w:r>
      <w:proofErr w:type="spellStart"/>
      <w:r w:rsidRPr="00D833CE">
        <w:rPr>
          <w:rFonts w:ascii="Cambria" w:eastAsia="Times New Roman" w:hAnsi="Cambria" w:cs="Cambria"/>
          <w:color w:val="000000" w:themeColor="text1"/>
          <w:sz w:val="20"/>
          <w:szCs w:val="20"/>
          <w:lang w:val="es-CO"/>
        </w:rPr>
        <w:t>Ordaya</w:t>
      </w:r>
      <w:proofErr w:type="spellEnd"/>
      <w:r w:rsidRPr="00D833CE">
        <w:rPr>
          <w:rFonts w:ascii="Cambria" w:eastAsia="Times New Roman" w:hAnsi="Cambria" w:cs="Cambria"/>
          <w:color w:val="000000" w:themeColor="text1"/>
          <w:sz w:val="20"/>
          <w:szCs w:val="20"/>
          <w:lang w:val="es-CO"/>
        </w:rPr>
        <w:t xml:space="preserve">, de 29 años, estudiante de la Universidad de San Marcos, en Pedregal, Chosica, Lima, cuando intentaba tomar un bus, a las 7:30 a.m., el 22 de septiembre de 1988.  Presuntos policías de civil lo obligaron a subir a un auto.  Fueron testigos los alumnos de la Universidad de La Cantuta que se encontraban con él.  Pese al tiempo transcurrido se desconoce su paradero.  La familia ha recorrido dependencias policiales donde niegan su detención.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 </w:t>
      </w:r>
    </w:p>
    <w:p w14:paraId="5D6F4150"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22E8643A"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 222 - Informe Nº 32/90</w:t>
      </w:r>
    </w:p>
    <w:p w14:paraId="4859D4B8"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los hechos ocurrido el 13 de julio de 1988, en el que una patrulla del Ejército Peruano, con 70 soldados y dos capitanes, incursiona en el Caserío </w:t>
      </w:r>
      <w:proofErr w:type="spellStart"/>
      <w:r w:rsidRPr="00D833CE">
        <w:rPr>
          <w:rFonts w:ascii="Cambria" w:eastAsia="Times New Roman" w:hAnsi="Cambria" w:cs="Cambria"/>
          <w:color w:val="000000" w:themeColor="text1"/>
          <w:sz w:val="20"/>
          <w:szCs w:val="20"/>
          <w:lang w:val="es-CO"/>
        </w:rPr>
        <w:t>Llucanayacú</w:t>
      </w:r>
      <w:proofErr w:type="spellEnd"/>
      <w:r w:rsidRPr="00D833CE">
        <w:rPr>
          <w:rFonts w:ascii="Cambria" w:eastAsia="Times New Roman" w:hAnsi="Cambria" w:cs="Cambria"/>
          <w:color w:val="000000" w:themeColor="text1"/>
          <w:sz w:val="20"/>
          <w:szCs w:val="20"/>
          <w:lang w:val="es-CO"/>
        </w:rPr>
        <w:t xml:space="preserve">, Distrito de Chazuta, Provincia de San Martín, deteniendo a la población y tomando la escuela y la iglesia.  Además, amenazaron a las autoridades del lugar y quemaron las viviendas de los campesinos </w:t>
      </w:r>
      <w:proofErr w:type="spellStart"/>
      <w:r w:rsidRPr="00D833CE">
        <w:rPr>
          <w:rFonts w:ascii="Cambria" w:eastAsia="Times New Roman" w:hAnsi="Cambria" w:cs="Cambria"/>
          <w:color w:val="000000" w:themeColor="text1"/>
          <w:sz w:val="20"/>
          <w:szCs w:val="20"/>
          <w:lang w:val="es-CO"/>
        </w:rPr>
        <w:t>Fabriciano</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Chujandama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Chasnamote</w:t>
      </w:r>
      <w:proofErr w:type="spellEnd"/>
      <w:r w:rsidRPr="00D833CE">
        <w:rPr>
          <w:rFonts w:ascii="Cambria" w:eastAsia="Times New Roman" w:hAnsi="Cambria" w:cs="Cambria"/>
          <w:color w:val="000000" w:themeColor="text1"/>
          <w:sz w:val="20"/>
          <w:szCs w:val="20"/>
          <w:lang w:val="es-CO"/>
        </w:rPr>
        <w:t xml:space="preserve"> y Margarita González Panduro. En la incursión al Caserío de </w:t>
      </w:r>
      <w:proofErr w:type="spellStart"/>
      <w:r w:rsidRPr="00D833CE">
        <w:rPr>
          <w:rFonts w:ascii="Cambria" w:eastAsia="Times New Roman" w:hAnsi="Cambria" w:cs="Cambria"/>
          <w:color w:val="000000" w:themeColor="text1"/>
          <w:sz w:val="20"/>
          <w:szCs w:val="20"/>
          <w:lang w:val="es-CO"/>
        </w:rPr>
        <w:t>Llucanayacú</w:t>
      </w:r>
      <w:proofErr w:type="spellEnd"/>
      <w:r w:rsidRPr="00D833CE">
        <w:rPr>
          <w:rFonts w:ascii="Cambria" w:eastAsia="Times New Roman" w:hAnsi="Cambria" w:cs="Cambria"/>
          <w:color w:val="000000" w:themeColor="text1"/>
          <w:sz w:val="20"/>
          <w:szCs w:val="20"/>
          <w:lang w:val="es-CO"/>
        </w:rPr>
        <w:t xml:space="preserve"> fueron detenidos y llevados en helicóptero, presumiblemente al Cuartel de Mariscal Cáceres de Morales, a:  </w:t>
      </w:r>
      <w:proofErr w:type="spellStart"/>
      <w:r w:rsidRPr="00D833CE">
        <w:rPr>
          <w:rFonts w:ascii="Cambria" w:eastAsia="Times New Roman" w:hAnsi="Cambria" w:cs="Cambria"/>
          <w:color w:val="000000" w:themeColor="text1"/>
          <w:sz w:val="20"/>
          <w:szCs w:val="20"/>
          <w:lang w:val="es-CO"/>
        </w:rPr>
        <w:t>Fabriciano</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Chujandama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Chasnamote</w:t>
      </w:r>
      <w:proofErr w:type="spellEnd"/>
      <w:r w:rsidRPr="00D833CE">
        <w:rPr>
          <w:rFonts w:ascii="Cambria" w:eastAsia="Times New Roman" w:hAnsi="Cambria" w:cs="Cambria"/>
          <w:color w:val="000000" w:themeColor="text1"/>
          <w:sz w:val="20"/>
          <w:szCs w:val="20"/>
          <w:lang w:val="es-CO"/>
        </w:rPr>
        <w:t xml:space="preserve">, Mamerto </w:t>
      </w:r>
      <w:proofErr w:type="spellStart"/>
      <w:r w:rsidRPr="00D833CE">
        <w:rPr>
          <w:rFonts w:ascii="Cambria" w:eastAsia="Times New Roman" w:hAnsi="Cambria" w:cs="Cambria"/>
          <w:color w:val="000000" w:themeColor="text1"/>
          <w:sz w:val="20"/>
          <w:szCs w:val="20"/>
          <w:lang w:val="es-CO"/>
        </w:rPr>
        <w:t>Chujandama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Chasnamote</w:t>
      </w:r>
      <w:proofErr w:type="spellEnd"/>
      <w:r w:rsidRPr="00D833CE">
        <w:rPr>
          <w:rFonts w:ascii="Cambria" w:eastAsia="Times New Roman" w:hAnsi="Cambria" w:cs="Cambria"/>
          <w:color w:val="000000" w:themeColor="text1"/>
          <w:sz w:val="20"/>
          <w:szCs w:val="20"/>
          <w:lang w:val="es-CO"/>
        </w:rPr>
        <w:t xml:space="preserve">, el 13 de julio de 1988 y Roldán </w:t>
      </w:r>
      <w:proofErr w:type="spellStart"/>
      <w:r w:rsidRPr="00D833CE">
        <w:rPr>
          <w:rFonts w:ascii="Cambria" w:eastAsia="Times New Roman" w:hAnsi="Cambria" w:cs="Cambria"/>
          <w:color w:val="000000" w:themeColor="text1"/>
          <w:sz w:val="20"/>
          <w:szCs w:val="20"/>
          <w:lang w:val="es-CO"/>
        </w:rPr>
        <w:t>Sabota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Chujandama</w:t>
      </w:r>
      <w:proofErr w:type="spellEnd"/>
      <w:r w:rsidRPr="00D833CE">
        <w:rPr>
          <w:rFonts w:ascii="Cambria" w:eastAsia="Times New Roman" w:hAnsi="Cambria" w:cs="Cambria"/>
          <w:color w:val="000000" w:themeColor="text1"/>
          <w:sz w:val="20"/>
          <w:szCs w:val="20"/>
          <w:lang w:val="es-CO"/>
        </w:rPr>
        <w:t xml:space="preserve"> el 15 de julio de 1988. </w:t>
      </w:r>
      <w:proofErr w:type="gramStart"/>
      <w:r w:rsidRPr="00D833CE">
        <w:rPr>
          <w:rFonts w:ascii="Cambria" w:eastAsia="Times New Roman" w:hAnsi="Cambria" w:cs="Cambria"/>
          <w:color w:val="000000" w:themeColor="text1"/>
          <w:sz w:val="20"/>
          <w:szCs w:val="20"/>
          <w:lang w:val="es-CO"/>
        </w:rPr>
        <w:t>Además</w:t>
      </w:r>
      <w:proofErr w:type="gramEnd"/>
      <w:r w:rsidRPr="00D833CE">
        <w:rPr>
          <w:rFonts w:ascii="Cambria" w:eastAsia="Times New Roman" w:hAnsi="Cambria" w:cs="Cambria"/>
          <w:color w:val="000000" w:themeColor="text1"/>
          <w:sz w:val="20"/>
          <w:szCs w:val="20"/>
          <w:lang w:val="es-CO"/>
        </w:rPr>
        <w:t xml:space="preserve"> detuvieron y torturaron a Edgardo </w:t>
      </w:r>
      <w:proofErr w:type="spellStart"/>
      <w:r w:rsidRPr="00D833CE">
        <w:rPr>
          <w:rFonts w:ascii="Cambria" w:eastAsia="Times New Roman" w:hAnsi="Cambria" w:cs="Cambria"/>
          <w:color w:val="000000" w:themeColor="text1"/>
          <w:sz w:val="20"/>
          <w:szCs w:val="20"/>
          <w:lang w:val="es-CO"/>
        </w:rPr>
        <w:t>Chujandama</w:t>
      </w:r>
      <w:proofErr w:type="spellEnd"/>
      <w:r w:rsidRPr="00D833CE">
        <w:rPr>
          <w:rFonts w:ascii="Cambria" w:eastAsia="Times New Roman" w:hAnsi="Cambria" w:cs="Cambria"/>
          <w:color w:val="000000" w:themeColor="text1"/>
          <w:sz w:val="20"/>
          <w:szCs w:val="20"/>
          <w:lang w:val="es-CO"/>
        </w:rPr>
        <w:t xml:space="preserve"> Pinedo y William Pozo y luego liberados por el mal estado de salud.  Amenazaron de muerte al </w:t>
      </w:r>
      <w:proofErr w:type="gramStart"/>
      <w:r w:rsidRPr="00D833CE">
        <w:rPr>
          <w:rFonts w:ascii="Cambria" w:eastAsia="Times New Roman" w:hAnsi="Cambria" w:cs="Cambria"/>
          <w:color w:val="000000" w:themeColor="text1"/>
          <w:sz w:val="20"/>
          <w:szCs w:val="20"/>
          <w:lang w:val="es-CO"/>
        </w:rPr>
        <w:t>Teniente</w:t>
      </w:r>
      <w:proofErr w:type="gramEnd"/>
      <w:r w:rsidRPr="00D833CE">
        <w:rPr>
          <w:rFonts w:ascii="Cambria" w:eastAsia="Times New Roman" w:hAnsi="Cambria" w:cs="Cambria"/>
          <w:color w:val="000000" w:themeColor="text1"/>
          <w:sz w:val="20"/>
          <w:szCs w:val="20"/>
          <w:lang w:val="es-CO"/>
        </w:rPr>
        <w:t xml:space="preserve"> Gobernador Brígido </w:t>
      </w:r>
      <w:proofErr w:type="spellStart"/>
      <w:r w:rsidRPr="00D833CE">
        <w:rPr>
          <w:rFonts w:ascii="Cambria" w:eastAsia="Times New Roman" w:hAnsi="Cambria" w:cs="Cambria"/>
          <w:color w:val="000000" w:themeColor="text1"/>
          <w:sz w:val="20"/>
          <w:szCs w:val="20"/>
          <w:lang w:val="es-CO"/>
        </w:rPr>
        <w:t>Chujandama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Chasnamote</w:t>
      </w:r>
      <w:proofErr w:type="spellEnd"/>
      <w:r w:rsidRPr="00D833CE">
        <w:rPr>
          <w:rFonts w:ascii="Cambria" w:eastAsia="Times New Roman" w:hAnsi="Cambria" w:cs="Cambria"/>
          <w:color w:val="000000" w:themeColor="text1"/>
          <w:sz w:val="20"/>
          <w:szCs w:val="20"/>
          <w:lang w:val="es-CO"/>
        </w:rPr>
        <w:t xml:space="preserve"> y al pueblo en general, de que siempre matarían a alguien para que tengan miedo. Por lo anterior, la Comisión concluyó que el Estado peruano es responsable de la violación derecho a la vida, la integridad personal, derecho a la libertad personal, y derecho a las garantías judiciales (Artículos 4, 5, 7 y 8, respectivamente, de la Convención Americana sobre Derechos Humanos). </w:t>
      </w:r>
    </w:p>
    <w:p w14:paraId="394273E8"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10.221 - Informe Nº 31/90</w:t>
      </w:r>
      <w:r w:rsidRPr="00D833CE">
        <w:rPr>
          <w:rFonts w:ascii="Cambria" w:eastAsia="Times New Roman" w:hAnsi="Cambria" w:cs="Cambria"/>
          <w:color w:val="000000" w:themeColor="text1"/>
          <w:sz w:val="20"/>
          <w:szCs w:val="20"/>
        </w:rPr>
        <w:t xml:space="preserve"> </w:t>
      </w:r>
    </w:p>
    <w:p w14:paraId="456555AF" w14:textId="53AEB8F0"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al hecho ocurrido el 25 de julio de 1988, a las 8:00 p.m., aproximadamente, en el que una patrulla del ejército peruano al mando del </w:t>
      </w:r>
      <w:proofErr w:type="gramStart"/>
      <w:r w:rsidRPr="00D833CE">
        <w:rPr>
          <w:rFonts w:ascii="Cambria" w:eastAsia="Times New Roman" w:hAnsi="Cambria" w:cs="Cambria"/>
          <w:color w:val="000000" w:themeColor="text1"/>
          <w:sz w:val="20"/>
          <w:szCs w:val="20"/>
          <w:lang w:val="es-CO"/>
        </w:rPr>
        <w:t>Teniente</w:t>
      </w:r>
      <w:proofErr w:type="gramEnd"/>
      <w:r w:rsidRPr="00D833CE">
        <w:rPr>
          <w:rFonts w:ascii="Cambria" w:eastAsia="Times New Roman" w:hAnsi="Cambria" w:cs="Cambria"/>
          <w:color w:val="000000" w:themeColor="text1"/>
          <w:sz w:val="20"/>
          <w:szCs w:val="20"/>
          <w:lang w:val="es-CO"/>
        </w:rPr>
        <w:t xml:space="preserve"> de Infantería, Luis Herrera del Busto, incursionó en el Caserío La Unión, Distrito Campanilla, Provincia Mariscal Cáceres, deteniendo a unas 700 personas, torturándolas y saqueando sus viviendas, cobrando posteriormente fuerte suma de dinero para obtener su libertad. El 30 de junio de 1988, una patrulla del ejército peruano al mando del teniente José López Rodríguez, dio muerte en la misma localidad a Segundo Salas Saldaña (16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utilizando granada de guerra. Con respecto a la incursión militar al Caserío La Unión, los militares pertenecen al Campamento del Caserío de Nuevo San Martín, a 11 kilómetros de la Unión.  Fueron detenidas 5 personas, entre ellos Leoncio Chávez García, </w:t>
      </w:r>
      <w:proofErr w:type="spellStart"/>
      <w:r w:rsidRPr="00D833CE">
        <w:rPr>
          <w:rFonts w:ascii="Cambria" w:eastAsia="Times New Roman" w:hAnsi="Cambria" w:cs="Cambria"/>
          <w:color w:val="000000" w:themeColor="text1"/>
          <w:sz w:val="20"/>
          <w:szCs w:val="20"/>
          <w:lang w:val="es-CO"/>
        </w:rPr>
        <w:t>Segio</w:t>
      </w:r>
      <w:proofErr w:type="spellEnd"/>
      <w:r w:rsidRPr="00D833CE">
        <w:rPr>
          <w:rFonts w:ascii="Cambria" w:eastAsia="Times New Roman" w:hAnsi="Cambria" w:cs="Cambria"/>
          <w:color w:val="000000" w:themeColor="text1"/>
          <w:sz w:val="20"/>
          <w:szCs w:val="20"/>
          <w:lang w:val="es-CO"/>
        </w:rPr>
        <w:t xml:space="preserve"> Roque </w:t>
      </w:r>
      <w:proofErr w:type="spellStart"/>
      <w:r w:rsidRPr="00D833CE">
        <w:rPr>
          <w:rFonts w:ascii="Cambria" w:eastAsia="Times New Roman" w:hAnsi="Cambria" w:cs="Cambria"/>
          <w:color w:val="000000" w:themeColor="text1"/>
          <w:sz w:val="20"/>
          <w:szCs w:val="20"/>
          <w:lang w:val="es-CO"/>
        </w:rPr>
        <w:t>Lachez</w:t>
      </w:r>
      <w:proofErr w:type="spellEnd"/>
      <w:r w:rsidRPr="00D833CE">
        <w:rPr>
          <w:rFonts w:ascii="Cambria" w:eastAsia="Times New Roman" w:hAnsi="Cambria" w:cs="Cambria"/>
          <w:color w:val="000000" w:themeColor="text1"/>
          <w:sz w:val="20"/>
          <w:szCs w:val="20"/>
          <w:lang w:val="es-CO"/>
        </w:rPr>
        <w:t xml:space="preserve">, Osvaldo Pérez Marino y Samuel Medina, quienes fueron liberados posteriormente.  Ellos informaron que había otro detenido Osvaldo Torres, al parecer con las costillas rotas y con los ojos rojos e hinchados quien procedería del Caserío San Juan (Km. 33 Vía Juanjuí, Nuevo San Martín) y que permanece aún detenido. Por lo anterior, la Comisión concluyó que el Estado peruano es responsable de la violación al derecho a la vida, la integridad personal, derecho a la libertad personal, y derecho a las garantías judiciales (Artículos 4, 5, 7, 8 y 21, respectivamente, de la Convención Americana sobre Derechos Humanos), con el agravante de que una de las presuntas víctimas es un menor de edad. </w:t>
      </w:r>
    </w:p>
    <w:p w14:paraId="5B950293"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10.220 - Informe Nº 30/90</w:t>
      </w:r>
      <w:r w:rsidRPr="00D833CE">
        <w:rPr>
          <w:rFonts w:ascii="Cambria" w:eastAsia="Times New Roman" w:hAnsi="Cambria" w:cs="Cambria"/>
          <w:color w:val="000000" w:themeColor="text1"/>
          <w:sz w:val="20"/>
          <w:szCs w:val="20"/>
        </w:rPr>
        <w:t xml:space="preserve"> </w:t>
      </w:r>
    </w:p>
    <w:p w14:paraId="7E909FBC" w14:textId="00C803C2" w:rsidR="009D1967"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lo ocurrido el 17 de agosto de 1988, en donde fue detenido en la Provincia de Andahuaylas, Departamento de Apurímac, José Pérez Olivares, Dirigente de Izquierda Unida, por efectivos de las fuerzas policiales, quienes niegan detención.  Por lo anterior, la Comisión concluyó que el </w:t>
      </w:r>
      <w:r w:rsidRPr="00D833CE">
        <w:rPr>
          <w:rFonts w:ascii="Cambria" w:eastAsia="Times New Roman" w:hAnsi="Cambria" w:cs="Cambria"/>
          <w:color w:val="000000" w:themeColor="text1"/>
          <w:sz w:val="20"/>
          <w:szCs w:val="20"/>
          <w:lang w:val="es-CO"/>
        </w:rPr>
        <w:lastRenderedPageBreak/>
        <w:t xml:space="preserve">Estado peruano es responsable de la violación al derecho a la vida, la integridad personal, derecho a la libertad personal, y derecho a las garantías judiciales (Artículos 4, 5, 7 y 8, respectivamente, de la Convención Americana sobre Derechos Humanos). </w:t>
      </w:r>
    </w:p>
    <w:p w14:paraId="0D4CE370"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10.186 - Informe Nº 29/90</w:t>
      </w:r>
      <w:r w:rsidRPr="00D833CE">
        <w:rPr>
          <w:rFonts w:ascii="Cambria" w:eastAsia="Times New Roman" w:hAnsi="Cambria" w:cs="Cambria"/>
          <w:color w:val="000000" w:themeColor="text1"/>
          <w:sz w:val="20"/>
          <w:szCs w:val="20"/>
        </w:rPr>
        <w:t xml:space="preserve"> </w:t>
      </w:r>
    </w:p>
    <w:p w14:paraId="59BE0824"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w:t>
      </w:r>
      <w:proofErr w:type="gramStart"/>
      <w:r w:rsidRPr="00D833CE">
        <w:rPr>
          <w:rFonts w:ascii="Cambria" w:eastAsia="Times New Roman" w:hAnsi="Cambria" w:cs="Cambria"/>
          <w:color w:val="000000" w:themeColor="text1"/>
          <w:sz w:val="20"/>
          <w:szCs w:val="20"/>
          <w:lang w:val="es-CO"/>
        </w:rPr>
        <w:t>de  Armando</w:t>
      </w:r>
      <w:proofErr w:type="gram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Guamantingo</w:t>
      </w:r>
      <w:proofErr w:type="spellEnd"/>
      <w:r w:rsidRPr="00D833CE">
        <w:rPr>
          <w:rFonts w:ascii="Cambria" w:eastAsia="Times New Roman" w:hAnsi="Cambria" w:cs="Cambria"/>
          <w:color w:val="000000" w:themeColor="text1"/>
          <w:sz w:val="20"/>
          <w:szCs w:val="20"/>
          <w:lang w:val="es-CO"/>
        </w:rPr>
        <w:t xml:space="preserve"> Villanueva, Juan Pablo Carbajal </w:t>
      </w:r>
      <w:proofErr w:type="spellStart"/>
      <w:r w:rsidRPr="00D833CE">
        <w:rPr>
          <w:rFonts w:ascii="Cambria" w:eastAsia="Times New Roman" w:hAnsi="Cambria" w:cs="Cambria"/>
          <w:color w:val="000000" w:themeColor="text1"/>
          <w:sz w:val="20"/>
          <w:szCs w:val="20"/>
          <w:lang w:val="es-CO"/>
        </w:rPr>
        <w:t>Ayvar</w:t>
      </w:r>
      <w:proofErr w:type="spellEnd"/>
      <w:r w:rsidRPr="00D833CE">
        <w:rPr>
          <w:rFonts w:ascii="Cambria" w:eastAsia="Times New Roman" w:hAnsi="Cambria" w:cs="Cambria"/>
          <w:color w:val="000000" w:themeColor="text1"/>
          <w:sz w:val="20"/>
          <w:szCs w:val="20"/>
          <w:lang w:val="es-CO"/>
        </w:rPr>
        <w:t xml:space="preserve">, María Zavala </w:t>
      </w:r>
      <w:proofErr w:type="spellStart"/>
      <w:r w:rsidRPr="00D833CE">
        <w:rPr>
          <w:rFonts w:ascii="Cambria" w:eastAsia="Times New Roman" w:hAnsi="Cambria" w:cs="Cambria"/>
          <w:color w:val="000000" w:themeColor="text1"/>
          <w:sz w:val="20"/>
          <w:szCs w:val="20"/>
          <w:lang w:val="es-CO"/>
        </w:rPr>
        <w:t>Cayllahua</w:t>
      </w:r>
      <w:proofErr w:type="spellEnd"/>
      <w:r w:rsidRPr="00D833CE">
        <w:rPr>
          <w:rFonts w:ascii="Cambria" w:eastAsia="Times New Roman" w:hAnsi="Cambria" w:cs="Cambria"/>
          <w:color w:val="000000" w:themeColor="text1"/>
          <w:sz w:val="20"/>
          <w:szCs w:val="20"/>
          <w:lang w:val="es-CO"/>
        </w:rPr>
        <w:t xml:space="preserve">, Manuel de Guzmán </w:t>
      </w:r>
      <w:proofErr w:type="spellStart"/>
      <w:r w:rsidRPr="00D833CE">
        <w:rPr>
          <w:rFonts w:ascii="Cambria" w:eastAsia="Times New Roman" w:hAnsi="Cambria" w:cs="Cambria"/>
          <w:color w:val="000000" w:themeColor="text1"/>
          <w:sz w:val="20"/>
          <w:szCs w:val="20"/>
          <w:lang w:val="es-CO"/>
        </w:rPr>
        <w:t>Ayvar</w:t>
      </w:r>
      <w:proofErr w:type="spellEnd"/>
      <w:r w:rsidRPr="00D833CE">
        <w:rPr>
          <w:rFonts w:ascii="Cambria" w:eastAsia="Times New Roman" w:hAnsi="Cambria" w:cs="Cambria"/>
          <w:color w:val="000000" w:themeColor="text1"/>
          <w:sz w:val="20"/>
          <w:szCs w:val="20"/>
          <w:lang w:val="es-CO"/>
        </w:rPr>
        <w:t xml:space="preserve">, Leandro Pareja Tapia y </w:t>
      </w:r>
      <w:proofErr w:type="spellStart"/>
      <w:r w:rsidRPr="00D833CE">
        <w:rPr>
          <w:rFonts w:ascii="Cambria" w:eastAsia="Times New Roman" w:hAnsi="Cambria" w:cs="Cambria"/>
          <w:color w:val="000000" w:themeColor="text1"/>
          <w:sz w:val="20"/>
          <w:szCs w:val="20"/>
          <w:lang w:val="es-CO"/>
        </w:rPr>
        <w:t>Simiona</w:t>
      </w:r>
      <w:proofErr w:type="spellEnd"/>
      <w:r w:rsidRPr="00D833CE">
        <w:rPr>
          <w:rFonts w:ascii="Cambria" w:eastAsia="Times New Roman" w:hAnsi="Cambria" w:cs="Cambria"/>
          <w:color w:val="000000" w:themeColor="text1"/>
          <w:sz w:val="20"/>
          <w:szCs w:val="20"/>
          <w:lang w:val="es-CO"/>
        </w:rPr>
        <w:t xml:space="preserve"> Pérez Tapia, </w:t>
      </w:r>
      <w:r w:rsidRPr="00D833CE">
        <w:rPr>
          <w:rFonts w:ascii="Verdana" w:eastAsia="Times New Roman" w:hAnsi="Verdana" w:cs="Verdana"/>
          <w:color w:val="000000" w:themeColor="text1"/>
          <w:sz w:val="20"/>
          <w:szCs w:val="20"/>
          <w:lang w:val="es-CO"/>
        </w:rPr>
        <w:t xml:space="preserve">pero en </w:t>
      </w:r>
      <w:r w:rsidRPr="00D833CE">
        <w:rPr>
          <w:rFonts w:ascii="Cambria" w:eastAsia="Times New Roman" w:hAnsi="Cambria" w:cs="Cambria"/>
          <w:color w:val="000000" w:themeColor="text1"/>
          <w:sz w:val="20"/>
          <w:szCs w:val="20"/>
          <w:lang w:val="es-CO"/>
        </w:rPr>
        <w:t xml:space="preserve">comunicados del Comando Político Militar se indica como muertos en combate con el ejército el 14 de enero de 1988, en </w:t>
      </w:r>
      <w:proofErr w:type="spellStart"/>
      <w:r w:rsidRPr="00D833CE">
        <w:rPr>
          <w:rFonts w:ascii="Cambria" w:eastAsia="Times New Roman" w:hAnsi="Cambria" w:cs="Cambria"/>
          <w:color w:val="000000" w:themeColor="text1"/>
          <w:sz w:val="20"/>
          <w:szCs w:val="20"/>
          <w:lang w:val="es-CO"/>
        </w:rPr>
        <w:t>Aymaraes</w:t>
      </w:r>
      <w:proofErr w:type="spellEnd"/>
      <w:r w:rsidRPr="00D833CE">
        <w:rPr>
          <w:rFonts w:ascii="Cambria" w:eastAsia="Times New Roman" w:hAnsi="Cambria" w:cs="Cambria"/>
          <w:color w:val="000000" w:themeColor="text1"/>
          <w:sz w:val="20"/>
          <w:szCs w:val="20"/>
          <w:lang w:val="es-CO"/>
        </w:rPr>
        <w:t xml:space="preserve">, Apurímac.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 </w:t>
      </w:r>
    </w:p>
    <w:p w14:paraId="6A4B3FB7"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10.185 - Informe Nº 28/90</w:t>
      </w:r>
      <w:r w:rsidRPr="00D833CE">
        <w:rPr>
          <w:rFonts w:ascii="Cambria" w:eastAsia="Times New Roman" w:hAnsi="Cambria" w:cs="Cambria"/>
          <w:color w:val="000000" w:themeColor="text1"/>
          <w:sz w:val="20"/>
          <w:szCs w:val="20"/>
        </w:rPr>
        <w:t xml:space="preserve"> </w:t>
      </w:r>
    </w:p>
    <w:p w14:paraId="63D84C3C"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Basilio </w:t>
      </w:r>
      <w:proofErr w:type="spellStart"/>
      <w:r w:rsidRPr="00D833CE">
        <w:rPr>
          <w:rFonts w:ascii="Cambria" w:eastAsia="Times New Roman" w:hAnsi="Cambria" w:cs="Cambria"/>
          <w:color w:val="000000" w:themeColor="text1"/>
          <w:sz w:val="20"/>
          <w:szCs w:val="20"/>
          <w:lang w:val="es-CO"/>
        </w:rPr>
        <w:t>Chirhuana</w:t>
      </w:r>
      <w:proofErr w:type="spellEnd"/>
      <w:r w:rsidRPr="00D833CE">
        <w:rPr>
          <w:rFonts w:ascii="Cambria" w:eastAsia="Times New Roman" w:hAnsi="Cambria" w:cs="Cambria"/>
          <w:color w:val="000000" w:themeColor="text1"/>
          <w:sz w:val="20"/>
          <w:szCs w:val="20"/>
          <w:lang w:val="es-CO"/>
        </w:rPr>
        <w:t xml:space="preserve"> Carbajal, </w:t>
      </w:r>
      <w:proofErr w:type="spellStart"/>
      <w:r w:rsidRPr="00D833CE">
        <w:rPr>
          <w:rFonts w:ascii="Cambria" w:eastAsia="Times New Roman" w:hAnsi="Cambria" w:cs="Cambria"/>
          <w:color w:val="000000" w:themeColor="text1"/>
          <w:sz w:val="20"/>
          <w:szCs w:val="20"/>
          <w:lang w:val="es-CO"/>
        </w:rPr>
        <w:t>Bethy</w:t>
      </w:r>
      <w:proofErr w:type="spellEnd"/>
      <w:r w:rsidRPr="00D833CE">
        <w:rPr>
          <w:rFonts w:ascii="Cambria" w:eastAsia="Times New Roman" w:hAnsi="Cambria" w:cs="Cambria"/>
          <w:color w:val="000000" w:themeColor="text1"/>
          <w:sz w:val="20"/>
          <w:szCs w:val="20"/>
          <w:lang w:val="es-CO"/>
        </w:rPr>
        <w:t xml:space="preserve"> Bazán Huamán, Pedro Carbajal Roldán, Rosa Velásquez Marca, Matilde Ni O. Guzmán </w:t>
      </w:r>
      <w:proofErr w:type="spellStart"/>
      <w:r w:rsidRPr="00D833CE">
        <w:rPr>
          <w:rFonts w:ascii="Cambria" w:eastAsia="Times New Roman" w:hAnsi="Cambria" w:cs="Cambria"/>
          <w:color w:val="000000" w:themeColor="text1"/>
          <w:sz w:val="20"/>
          <w:szCs w:val="20"/>
          <w:lang w:val="es-CO"/>
        </w:rPr>
        <w:t>Ayvar</w:t>
      </w:r>
      <w:proofErr w:type="spellEnd"/>
      <w:r w:rsidRPr="00D833CE">
        <w:rPr>
          <w:rFonts w:ascii="Cambria" w:eastAsia="Times New Roman" w:hAnsi="Cambria" w:cs="Cambria"/>
          <w:color w:val="000000" w:themeColor="text1"/>
          <w:sz w:val="20"/>
          <w:szCs w:val="20"/>
          <w:lang w:val="es-CO"/>
        </w:rPr>
        <w:t xml:space="preserve">, Rosa Ni O. de Guzmán </w:t>
      </w:r>
      <w:proofErr w:type="spellStart"/>
      <w:r w:rsidRPr="00D833CE">
        <w:rPr>
          <w:rFonts w:ascii="Cambria" w:eastAsia="Times New Roman" w:hAnsi="Cambria" w:cs="Cambria"/>
          <w:color w:val="000000" w:themeColor="text1"/>
          <w:sz w:val="20"/>
          <w:szCs w:val="20"/>
          <w:lang w:val="es-CO"/>
        </w:rPr>
        <w:t>Ayvar</w:t>
      </w:r>
      <w:proofErr w:type="spellEnd"/>
      <w:r w:rsidRPr="00D833CE">
        <w:rPr>
          <w:rFonts w:ascii="Cambria" w:eastAsia="Times New Roman" w:hAnsi="Cambria" w:cs="Cambria"/>
          <w:color w:val="000000" w:themeColor="text1"/>
          <w:sz w:val="20"/>
          <w:szCs w:val="20"/>
          <w:lang w:val="es-CO"/>
        </w:rPr>
        <w:t xml:space="preserve">, Luisa Guzmán de Guzmán </w:t>
      </w:r>
      <w:proofErr w:type="spellStart"/>
      <w:r w:rsidRPr="00D833CE">
        <w:rPr>
          <w:rFonts w:ascii="Cambria" w:eastAsia="Times New Roman" w:hAnsi="Cambria" w:cs="Cambria"/>
          <w:color w:val="000000" w:themeColor="text1"/>
          <w:sz w:val="20"/>
          <w:szCs w:val="20"/>
          <w:lang w:val="es-CO"/>
        </w:rPr>
        <w:t>Ayvar</w:t>
      </w:r>
      <w:proofErr w:type="spellEnd"/>
      <w:r w:rsidRPr="00D833CE">
        <w:rPr>
          <w:rFonts w:ascii="Cambria" w:eastAsia="Times New Roman" w:hAnsi="Cambria" w:cs="Cambria"/>
          <w:color w:val="000000" w:themeColor="text1"/>
          <w:sz w:val="20"/>
          <w:szCs w:val="20"/>
          <w:lang w:val="es-CO"/>
        </w:rPr>
        <w:t xml:space="preserve">, Celio Carbajal </w:t>
      </w:r>
      <w:proofErr w:type="spellStart"/>
      <w:r w:rsidRPr="00D833CE">
        <w:rPr>
          <w:rFonts w:ascii="Cambria" w:eastAsia="Times New Roman" w:hAnsi="Cambria" w:cs="Cambria"/>
          <w:color w:val="000000" w:themeColor="text1"/>
          <w:sz w:val="20"/>
          <w:szCs w:val="20"/>
          <w:lang w:val="es-CO"/>
        </w:rPr>
        <w:t>Ayvar</w:t>
      </w:r>
      <w:proofErr w:type="spellEnd"/>
      <w:r w:rsidRPr="00D833CE">
        <w:rPr>
          <w:rFonts w:ascii="Cambria" w:eastAsia="Times New Roman" w:hAnsi="Cambria" w:cs="Cambria"/>
          <w:color w:val="000000" w:themeColor="text1"/>
          <w:sz w:val="20"/>
          <w:szCs w:val="20"/>
          <w:lang w:val="es-CO"/>
        </w:rPr>
        <w:t xml:space="preserve">, José </w:t>
      </w:r>
      <w:proofErr w:type="spellStart"/>
      <w:r w:rsidRPr="00D833CE">
        <w:rPr>
          <w:rFonts w:ascii="Cambria" w:eastAsia="Times New Roman" w:hAnsi="Cambria" w:cs="Cambria"/>
          <w:color w:val="000000" w:themeColor="text1"/>
          <w:sz w:val="20"/>
          <w:szCs w:val="20"/>
          <w:lang w:val="es-CO"/>
        </w:rPr>
        <w:t>Ayvar</w:t>
      </w:r>
      <w:proofErr w:type="spellEnd"/>
      <w:r w:rsidRPr="00D833CE">
        <w:rPr>
          <w:rFonts w:ascii="Cambria" w:eastAsia="Times New Roman" w:hAnsi="Cambria" w:cs="Cambria"/>
          <w:color w:val="000000" w:themeColor="text1"/>
          <w:sz w:val="20"/>
          <w:szCs w:val="20"/>
          <w:lang w:val="es-CO"/>
        </w:rPr>
        <w:t xml:space="preserve"> Cavero, Fermín González, Jorge </w:t>
      </w:r>
      <w:proofErr w:type="spellStart"/>
      <w:r w:rsidRPr="00D833CE">
        <w:rPr>
          <w:rFonts w:ascii="Cambria" w:eastAsia="Times New Roman" w:hAnsi="Cambria" w:cs="Cambria"/>
          <w:color w:val="000000" w:themeColor="text1"/>
          <w:sz w:val="20"/>
          <w:szCs w:val="20"/>
          <w:lang w:val="es-CO"/>
        </w:rPr>
        <w:t>Ayvar</w:t>
      </w:r>
      <w:proofErr w:type="spellEnd"/>
      <w:r w:rsidRPr="00D833CE">
        <w:rPr>
          <w:rFonts w:ascii="Cambria" w:eastAsia="Times New Roman" w:hAnsi="Cambria" w:cs="Cambria"/>
          <w:color w:val="000000" w:themeColor="text1"/>
          <w:sz w:val="20"/>
          <w:szCs w:val="20"/>
          <w:lang w:val="es-CO"/>
        </w:rPr>
        <w:t xml:space="preserve"> Huamani y Julián Salinas, el 11 de noviembre de 1988, por efectivos del ejército peruano de las personas arriba mencionadas en la provincia de </w:t>
      </w:r>
      <w:proofErr w:type="spellStart"/>
      <w:r w:rsidRPr="00D833CE">
        <w:rPr>
          <w:rFonts w:ascii="Cambria" w:eastAsia="Times New Roman" w:hAnsi="Cambria" w:cs="Cambria"/>
          <w:color w:val="000000" w:themeColor="text1"/>
          <w:sz w:val="20"/>
          <w:szCs w:val="20"/>
          <w:lang w:val="es-CO"/>
        </w:rPr>
        <w:t>Aymaraes</w:t>
      </w:r>
      <w:proofErr w:type="spellEnd"/>
      <w:r w:rsidRPr="00D833CE">
        <w:rPr>
          <w:rFonts w:ascii="Cambria" w:eastAsia="Times New Roman" w:hAnsi="Cambria" w:cs="Cambria"/>
          <w:color w:val="000000" w:themeColor="text1"/>
          <w:sz w:val="20"/>
          <w:szCs w:val="20"/>
          <w:lang w:val="es-CO"/>
        </w:rPr>
        <w:t xml:space="preserve">, Departamento de Apurímac, zona declarada en estado de </w:t>
      </w:r>
      <w:proofErr w:type="spellStart"/>
      <w:r w:rsidRPr="00D833CE">
        <w:rPr>
          <w:rFonts w:ascii="Cambria" w:eastAsia="Times New Roman" w:hAnsi="Cambria" w:cs="Cambria"/>
          <w:color w:val="000000" w:themeColor="text1"/>
          <w:sz w:val="20"/>
          <w:szCs w:val="20"/>
          <w:lang w:val="es-CO"/>
        </w:rPr>
        <w:t>emergencia.Detenidos</w:t>
      </w:r>
      <w:proofErr w:type="spellEnd"/>
      <w:r w:rsidRPr="00D833CE">
        <w:rPr>
          <w:rFonts w:ascii="Cambria" w:eastAsia="Times New Roman" w:hAnsi="Cambria" w:cs="Cambria"/>
          <w:color w:val="000000" w:themeColor="text1"/>
          <w:sz w:val="20"/>
          <w:szCs w:val="20"/>
          <w:lang w:val="es-CO"/>
        </w:rPr>
        <w:t xml:space="preserve"> en su domicilio, el ejército además saqueó enseres y víveres; obligaron a sus familiares a alimentarlos. El ejército niega la detención a pesar de haber numerosos testigos.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 </w:t>
      </w:r>
    </w:p>
    <w:p w14:paraId="7BF18431"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10.183 - Informe Nº 27/90</w:t>
      </w:r>
      <w:r w:rsidRPr="00D833CE">
        <w:rPr>
          <w:rFonts w:ascii="Cambria" w:eastAsia="Times New Roman" w:hAnsi="Cambria" w:cs="Cambria"/>
          <w:color w:val="000000" w:themeColor="text1"/>
          <w:sz w:val="20"/>
          <w:szCs w:val="20"/>
        </w:rPr>
        <w:t xml:space="preserve"> </w:t>
      </w:r>
    </w:p>
    <w:p w14:paraId="7B69494D"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Manuel Tuanama García y </w:t>
      </w:r>
      <w:proofErr w:type="spellStart"/>
      <w:r w:rsidRPr="00D833CE">
        <w:rPr>
          <w:rFonts w:ascii="Cambria" w:eastAsia="Times New Roman" w:hAnsi="Cambria" w:cs="Cambria"/>
          <w:color w:val="000000" w:themeColor="text1"/>
          <w:sz w:val="20"/>
          <w:szCs w:val="20"/>
          <w:lang w:val="es-CO"/>
        </w:rPr>
        <w:t>Estalin</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Fasanando</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Upiachihua</w:t>
      </w:r>
      <w:proofErr w:type="spellEnd"/>
      <w:r w:rsidRPr="00D833CE">
        <w:rPr>
          <w:rFonts w:ascii="Cambria" w:eastAsia="Times New Roman" w:hAnsi="Cambria" w:cs="Cambria"/>
          <w:color w:val="000000" w:themeColor="text1"/>
          <w:sz w:val="20"/>
          <w:szCs w:val="20"/>
          <w:lang w:val="es-CO"/>
        </w:rPr>
        <w:t xml:space="preserve">, en el </w:t>
      </w:r>
      <w:proofErr w:type="spellStart"/>
      <w:r w:rsidRPr="00D833CE">
        <w:rPr>
          <w:rFonts w:ascii="Cambria" w:eastAsia="Times New Roman" w:hAnsi="Cambria" w:cs="Cambria"/>
          <w:color w:val="000000" w:themeColor="text1"/>
          <w:sz w:val="20"/>
          <w:szCs w:val="20"/>
          <w:lang w:val="es-CO"/>
        </w:rPr>
        <w:t>Caserio</w:t>
      </w:r>
      <w:proofErr w:type="spellEnd"/>
      <w:r w:rsidRPr="00D833CE">
        <w:rPr>
          <w:rFonts w:ascii="Cambria" w:eastAsia="Times New Roman" w:hAnsi="Cambria" w:cs="Cambria"/>
          <w:color w:val="000000" w:themeColor="text1"/>
          <w:sz w:val="20"/>
          <w:szCs w:val="20"/>
          <w:lang w:val="es-CO"/>
        </w:rPr>
        <w:t xml:space="preserve"> González Prada, Rio </w:t>
      </w:r>
      <w:proofErr w:type="spellStart"/>
      <w:r w:rsidRPr="00D833CE">
        <w:rPr>
          <w:rFonts w:ascii="Cambria" w:eastAsia="Times New Roman" w:hAnsi="Cambria" w:cs="Cambria"/>
          <w:color w:val="000000" w:themeColor="text1"/>
          <w:sz w:val="20"/>
          <w:szCs w:val="20"/>
          <w:lang w:val="es-CO"/>
        </w:rPr>
        <w:t>Braño</w:t>
      </w:r>
      <w:proofErr w:type="spellEnd"/>
      <w:r w:rsidRPr="00D833CE">
        <w:rPr>
          <w:rFonts w:ascii="Cambria" w:eastAsia="Times New Roman" w:hAnsi="Cambria" w:cs="Cambria"/>
          <w:color w:val="000000" w:themeColor="text1"/>
          <w:sz w:val="20"/>
          <w:szCs w:val="20"/>
          <w:lang w:val="es-CO"/>
        </w:rPr>
        <w:t>, Distrito de Cusco, Provincia de Bellavista, Departamento de San Martín, por una patrulla militar el 29 de marzo de 1988. La detención fue ante numerosos testigos, pero el ejército peruano niega tenerlos.  Se presume que los trasladaron al cuartel Mariscal Cáceres en Morales.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112E18C5"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10.166 - Informe Nº 26/90</w:t>
      </w:r>
      <w:r w:rsidRPr="00D833CE">
        <w:rPr>
          <w:rFonts w:ascii="Cambria" w:eastAsia="Times New Roman" w:hAnsi="Cambria" w:cs="Cambria"/>
          <w:color w:val="000000" w:themeColor="text1"/>
          <w:sz w:val="20"/>
          <w:szCs w:val="20"/>
        </w:rPr>
        <w:t xml:space="preserve"> </w:t>
      </w:r>
    </w:p>
    <w:p w14:paraId="3078F28B"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desaparición </w:t>
      </w:r>
      <w:proofErr w:type="gramStart"/>
      <w:r w:rsidRPr="00D833CE">
        <w:rPr>
          <w:rFonts w:ascii="Cambria" w:eastAsia="Times New Roman" w:hAnsi="Cambria" w:cs="Cambria"/>
          <w:color w:val="000000" w:themeColor="text1"/>
          <w:sz w:val="20"/>
          <w:szCs w:val="20"/>
          <w:lang w:val="es-CO"/>
        </w:rPr>
        <w:t>de  Fortunato</w:t>
      </w:r>
      <w:proofErr w:type="gramEnd"/>
      <w:r w:rsidRPr="00D833CE">
        <w:rPr>
          <w:rFonts w:ascii="Cambria" w:eastAsia="Times New Roman" w:hAnsi="Cambria" w:cs="Cambria"/>
          <w:color w:val="000000" w:themeColor="text1"/>
          <w:sz w:val="20"/>
          <w:szCs w:val="20"/>
          <w:lang w:val="es-CO"/>
        </w:rPr>
        <w:t xml:space="preserve"> López </w:t>
      </w:r>
      <w:proofErr w:type="spellStart"/>
      <w:r w:rsidRPr="00D833CE">
        <w:rPr>
          <w:rFonts w:ascii="Cambria" w:eastAsia="Times New Roman" w:hAnsi="Cambria" w:cs="Cambria"/>
          <w:color w:val="000000" w:themeColor="text1"/>
          <w:sz w:val="20"/>
          <w:szCs w:val="20"/>
          <w:lang w:val="es-CO"/>
        </w:rPr>
        <w:t>López</w:t>
      </w:r>
      <w:proofErr w:type="spellEnd"/>
      <w:r w:rsidRPr="00D833CE">
        <w:rPr>
          <w:rFonts w:ascii="Cambria" w:eastAsia="Times New Roman" w:hAnsi="Cambria" w:cs="Cambria"/>
          <w:color w:val="000000" w:themeColor="text1"/>
          <w:sz w:val="20"/>
          <w:szCs w:val="20"/>
          <w:lang w:val="es-CO"/>
        </w:rPr>
        <w:t xml:space="preserve"> de 26 años el 1 de enero 1988, en Huanta, por Guardia Civil o Policía de Investigaciones Peruanas; Víctor López </w:t>
      </w:r>
      <w:proofErr w:type="spellStart"/>
      <w:r w:rsidRPr="00D833CE">
        <w:rPr>
          <w:rFonts w:ascii="Cambria" w:eastAsia="Times New Roman" w:hAnsi="Cambria" w:cs="Cambria"/>
          <w:color w:val="000000" w:themeColor="text1"/>
          <w:sz w:val="20"/>
          <w:szCs w:val="20"/>
          <w:lang w:val="es-CO"/>
        </w:rPr>
        <w:t>López</w:t>
      </w:r>
      <w:proofErr w:type="spellEnd"/>
      <w:r w:rsidRPr="00D833CE">
        <w:rPr>
          <w:rFonts w:ascii="Cambria" w:eastAsia="Times New Roman" w:hAnsi="Cambria" w:cs="Cambria"/>
          <w:color w:val="000000" w:themeColor="text1"/>
          <w:sz w:val="20"/>
          <w:szCs w:val="20"/>
          <w:lang w:val="es-CO"/>
        </w:rPr>
        <w:t xml:space="preserve"> de 24 años, mismo día y lugar, y Santos Alarcón de la Cruz, el 2 febrero 1988 en Cangallo por la Policía de Investigaciones Peruana.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2AFD8215"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10.164 - Informe Nº 25/90</w:t>
      </w:r>
      <w:r w:rsidRPr="00D833CE">
        <w:rPr>
          <w:rFonts w:ascii="Cambria" w:eastAsia="Times New Roman" w:hAnsi="Cambria" w:cs="Cambria"/>
          <w:color w:val="000000" w:themeColor="text1"/>
          <w:sz w:val="20"/>
          <w:szCs w:val="20"/>
        </w:rPr>
        <w:t xml:space="preserve"> </w:t>
      </w:r>
    </w:p>
    <w:p w14:paraId="36E1CCDF" w14:textId="1F962685"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desaparición de los siguientes ciudadanos peruanos en el Departamento de Apurímac:  Armando </w:t>
      </w:r>
      <w:proofErr w:type="spellStart"/>
      <w:r w:rsidRPr="00D833CE">
        <w:rPr>
          <w:rFonts w:ascii="Cambria" w:eastAsia="Times New Roman" w:hAnsi="Cambria" w:cs="Cambria"/>
          <w:color w:val="000000" w:themeColor="text1"/>
          <w:sz w:val="20"/>
          <w:szCs w:val="20"/>
          <w:lang w:val="es-CO"/>
        </w:rPr>
        <w:t>Huamantingo</w:t>
      </w:r>
      <w:proofErr w:type="spellEnd"/>
      <w:r w:rsidRPr="00D833CE">
        <w:rPr>
          <w:rFonts w:ascii="Cambria" w:eastAsia="Times New Roman" w:hAnsi="Cambria" w:cs="Cambria"/>
          <w:color w:val="000000" w:themeColor="text1"/>
          <w:sz w:val="20"/>
          <w:szCs w:val="20"/>
          <w:lang w:val="es-CO"/>
        </w:rPr>
        <w:t xml:space="preserve"> Villanueva y </w:t>
      </w:r>
      <w:proofErr w:type="spellStart"/>
      <w:r w:rsidRPr="00D833CE">
        <w:rPr>
          <w:rFonts w:ascii="Cambria" w:eastAsia="Times New Roman" w:hAnsi="Cambria" w:cs="Cambria"/>
          <w:color w:val="000000" w:themeColor="text1"/>
          <w:sz w:val="20"/>
          <w:szCs w:val="20"/>
          <w:lang w:val="es-CO"/>
        </w:rPr>
        <w:t>Matiasa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Huashua</w:t>
      </w:r>
      <w:proofErr w:type="spellEnd"/>
      <w:r w:rsidRPr="00D833CE">
        <w:rPr>
          <w:rFonts w:ascii="Cambria" w:eastAsia="Times New Roman" w:hAnsi="Cambria" w:cs="Cambria"/>
          <w:color w:val="000000" w:themeColor="text1"/>
          <w:sz w:val="20"/>
          <w:szCs w:val="20"/>
          <w:lang w:val="es-CO"/>
        </w:rPr>
        <w:t xml:space="preserve"> Huamani, el 11 de </w:t>
      </w:r>
      <w:r w:rsidRPr="00D833CE">
        <w:rPr>
          <w:rFonts w:ascii="Cambria" w:eastAsia="Times New Roman" w:hAnsi="Cambria" w:cs="Cambria"/>
          <w:color w:val="000000" w:themeColor="text1"/>
          <w:sz w:val="20"/>
          <w:szCs w:val="20"/>
          <w:lang w:val="es-CO"/>
        </w:rPr>
        <w:lastRenderedPageBreak/>
        <w:t xml:space="preserve">enero de 1988 a 86 </w:t>
      </w:r>
      <w:proofErr w:type="spellStart"/>
      <w:r w:rsidRPr="00D833CE">
        <w:rPr>
          <w:rFonts w:ascii="Cambria" w:eastAsia="Times New Roman" w:hAnsi="Cambria" w:cs="Cambria"/>
          <w:color w:val="000000" w:themeColor="text1"/>
          <w:sz w:val="20"/>
          <w:szCs w:val="20"/>
          <w:lang w:val="es-CO"/>
        </w:rPr>
        <w:t>Kms</w:t>
      </w:r>
      <w:proofErr w:type="spellEnd"/>
      <w:r w:rsidRPr="00D833CE">
        <w:rPr>
          <w:rFonts w:ascii="Cambria" w:eastAsia="Times New Roman" w:hAnsi="Cambria" w:cs="Cambria"/>
          <w:color w:val="000000" w:themeColor="text1"/>
          <w:sz w:val="20"/>
          <w:szCs w:val="20"/>
          <w:lang w:val="es-CO"/>
        </w:rPr>
        <w:t xml:space="preserve">. de Abancay por el ejército peruano. Ellos fueron detenidos con sus hijos cuando se presentaron al destacamento militar proveniente de la base Santa Rosa de Ayacucho, ubicado en Abancay, para denunciar el ataque de las FFAA a la Comunidad de </w:t>
      </w:r>
      <w:proofErr w:type="spellStart"/>
      <w:r w:rsidRPr="00D833CE">
        <w:rPr>
          <w:rFonts w:ascii="Cambria" w:eastAsia="Times New Roman" w:hAnsi="Cambria" w:cs="Cambria"/>
          <w:color w:val="000000" w:themeColor="text1"/>
          <w:sz w:val="20"/>
          <w:szCs w:val="20"/>
          <w:lang w:val="es-CO"/>
        </w:rPr>
        <w:t>Checcasa</w:t>
      </w:r>
      <w:proofErr w:type="spellEnd"/>
      <w:r w:rsidRPr="00D833CE">
        <w:rPr>
          <w:rFonts w:ascii="Cambria" w:eastAsia="Times New Roman" w:hAnsi="Cambria" w:cs="Cambria"/>
          <w:color w:val="000000" w:themeColor="text1"/>
          <w:sz w:val="20"/>
          <w:szCs w:val="20"/>
          <w:lang w:val="es-CO"/>
        </w:rPr>
        <w:t>, Distrito Apu-</w:t>
      </w:r>
      <w:proofErr w:type="spellStart"/>
      <w:r w:rsidRPr="00D833CE">
        <w:rPr>
          <w:rFonts w:ascii="Cambria" w:eastAsia="Times New Roman" w:hAnsi="Cambria" w:cs="Cambria"/>
          <w:color w:val="000000" w:themeColor="text1"/>
          <w:sz w:val="20"/>
          <w:szCs w:val="20"/>
          <w:lang w:val="es-CO"/>
        </w:rPr>
        <w:t>Zahuaraura</w:t>
      </w:r>
      <w:proofErr w:type="spellEnd"/>
      <w:r w:rsidRPr="00D833CE">
        <w:rPr>
          <w:rFonts w:ascii="Cambria" w:eastAsia="Times New Roman" w:hAnsi="Cambria" w:cs="Cambria"/>
          <w:color w:val="000000" w:themeColor="text1"/>
          <w:sz w:val="20"/>
          <w:szCs w:val="20"/>
          <w:lang w:val="es-CO"/>
        </w:rPr>
        <w:t xml:space="preserve">, Provincia de </w:t>
      </w:r>
      <w:proofErr w:type="spellStart"/>
      <w:r w:rsidRPr="00D833CE">
        <w:rPr>
          <w:rFonts w:ascii="Cambria" w:eastAsia="Times New Roman" w:hAnsi="Cambria" w:cs="Cambria"/>
          <w:color w:val="000000" w:themeColor="text1"/>
          <w:sz w:val="20"/>
          <w:szCs w:val="20"/>
          <w:lang w:val="es-CO"/>
        </w:rPr>
        <w:t>Aymaraes</w:t>
      </w:r>
      <w:proofErr w:type="spellEnd"/>
      <w:r w:rsidRPr="00D833CE">
        <w:rPr>
          <w:rFonts w:ascii="Cambria" w:eastAsia="Times New Roman" w:hAnsi="Cambria" w:cs="Cambria"/>
          <w:color w:val="000000" w:themeColor="text1"/>
          <w:sz w:val="20"/>
          <w:szCs w:val="20"/>
          <w:lang w:val="es-CO"/>
        </w:rPr>
        <w:t xml:space="preserve">.  Sin embargo, el Comando Político Militar emitió un comunicado informando que Armando </w:t>
      </w:r>
      <w:proofErr w:type="spellStart"/>
      <w:r w:rsidRPr="00D833CE">
        <w:rPr>
          <w:rFonts w:ascii="Cambria" w:eastAsia="Times New Roman" w:hAnsi="Cambria" w:cs="Cambria"/>
          <w:color w:val="000000" w:themeColor="text1"/>
          <w:sz w:val="20"/>
          <w:szCs w:val="20"/>
          <w:lang w:val="es-CO"/>
        </w:rPr>
        <w:t>Huamantingo</w:t>
      </w:r>
      <w:proofErr w:type="spellEnd"/>
      <w:r w:rsidRPr="00D833CE">
        <w:rPr>
          <w:rFonts w:ascii="Cambria" w:eastAsia="Times New Roman" w:hAnsi="Cambria" w:cs="Cambria"/>
          <w:color w:val="000000" w:themeColor="text1"/>
          <w:sz w:val="20"/>
          <w:szCs w:val="20"/>
          <w:lang w:val="es-CO"/>
        </w:rPr>
        <w:t xml:space="preserve"> habría muerto en un combate con las FFAA el 7 de enero 1988 pero testigos los vieron presentarse al destacamento militar el 11 enero 1988.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0F7D5910"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10.014 - Informe Nº 24/90</w:t>
      </w:r>
      <w:r w:rsidRPr="00D833CE">
        <w:rPr>
          <w:rFonts w:ascii="Cambria" w:eastAsia="Times New Roman" w:hAnsi="Cambria" w:cs="Cambria"/>
          <w:color w:val="000000" w:themeColor="text1"/>
          <w:sz w:val="20"/>
          <w:szCs w:val="20"/>
        </w:rPr>
        <w:t xml:space="preserve"> </w:t>
      </w:r>
    </w:p>
    <w:p w14:paraId="56CE6A51"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Ángel Francisco Pérez Alí, estudiante de 22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de la Escuela de Computarización de la Universidad de San Marcos, Lima, quien fue detenido por la policía seguidamente a los hechos ocurridos en las afueras de ese centro universitario y otras dos universidades en Lima.  Desde su detención el 27 de </w:t>
      </w:r>
      <w:proofErr w:type="gramStart"/>
      <w:r w:rsidRPr="00D833CE">
        <w:rPr>
          <w:rFonts w:ascii="Cambria" w:eastAsia="Times New Roman" w:hAnsi="Cambria" w:cs="Cambria"/>
          <w:color w:val="000000" w:themeColor="text1"/>
          <w:sz w:val="20"/>
          <w:szCs w:val="20"/>
          <w:lang w:val="es-CO"/>
        </w:rPr>
        <w:t>febrero  de</w:t>
      </w:r>
      <w:proofErr w:type="gramEnd"/>
      <w:r w:rsidRPr="00D833CE">
        <w:rPr>
          <w:rFonts w:ascii="Cambria" w:eastAsia="Times New Roman" w:hAnsi="Cambria" w:cs="Cambria"/>
          <w:color w:val="000000" w:themeColor="text1"/>
          <w:sz w:val="20"/>
          <w:szCs w:val="20"/>
          <w:lang w:val="es-CO"/>
        </w:rPr>
        <w:t xml:space="preserve"> 1987 se ignora su paradero.  Su "desaparición" ha sido denunciada al Procurador General y ante el </w:t>
      </w:r>
      <w:proofErr w:type="gramStart"/>
      <w:r w:rsidRPr="00D833CE">
        <w:rPr>
          <w:rFonts w:ascii="Cambria" w:eastAsia="Times New Roman" w:hAnsi="Cambria" w:cs="Cambria"/>
          <w:color w:val="000000" w:themeColor="text1"/>
          <w:sz w:val="20"/>
          <w:szCs w:val="20"/>
          <w:lang w:val="es-CO"/>
        </w:rPr>
        <w:t>Fiscal General</w:t>
      </w:r>
      <w:proofErr w:type="gramEnd"/>
      <w:r w:rsidRPr="00D833CE">
        <w:rPr>
          <w:rFonts w:ascii="Cambria" w:eastAsia="Times New Roman" w:hAnsi="Cambria" w:cs="Cambria"/>
          <w:color w:val="000000" w:themeColor="text1"/>
          <w:sz w:val="20"/>
          <w:szCs w:val="20"/>
          <w:lang w:val="es-CO"/>
        </w:rPr>
        <w:t xml:space="preserve"> por las organizaciones locales de derechos humanos. A mediados de febrero de 1987 se llevó a cabo una amplia operación policial en las Universidades de San Marcos, Ingeniería y La Cantuta, con el pretexto de buscar miembros de las organizaciones terroristas. Cerca de 4 mil policías participaron en la operación que resultó en la detención de cerca de 800 personas y la muerte de un guardia en una de estas universidades. Se alega que algunos de los detenidos han sido torturados al ser sometidos a interrogatorios en Bocanegra, que es una finca de la Policía de Investigaciones del Perú, ubicada en las afueras de Lima. La gran mayoría de los detenidos han sido </w:t>
      </w:r>
      <w:proofErr w:type="gramStart"/>
      <w:r w:rsidRPr="00D833CE">
        <w:rPr>
          <w:rFonts w:ascii="Cambria" w:eastAsia="Times New Roman" w:hAnsi="Cambria" w:cs="Cambria"/>
          <w:color w:val="000000" w:themeColor="text1"/>
          <w:sz w:val="20"/>
          <w:szCs w:val="20"/>
          <w:lang w:val="es-CO"/>
        </w:rPr>
        <w:t>liberados</w:t>
      </w:r>
      <w:proofErr w:type="gramEnd"/>
      <w:r w:rsidRPr="00D833CE">
        <w:rPr>
          <w:rFonts w:ascii="Cambria" w:eastAsia="Times New Roman" w:hAnsi="Cambria" w:cs="Cambria"/>
          <w:color w:val="000000" w:themeColor="text1"/>
          <w:sz w:val="20"/>
          <w:szCs w:val="20"/>
          <w:lang w:val="es-CO"/>
        </w:rPr>
        <w:t xml:space="preserve"> pero aún permanecen detenidas 34 personas acusadas de terrorismo. También existe preocupación respecto de la suerte de Dionisia Huamani Tineo y Humberto Orosco, miembros de la comunidad campesina de </w:t>
      </w:r>
      <w:proofErr w:type="spellStart"/>
      <w:r w:rsidRPr="00D833CE">
        <w:rPr>
          <w:rFonts w:ascii="Cambria" w:eastAsia="Times New Roman" w:hAnsi="Cambria" w:cs="Cambria"/>
          <w:color w:val="000000" w:themeColor="text1"/>
          <w:sz w:val="20"/>
          <w:szCs w:val="20"/>
          <w:lang w:val="es-CO"/>
        </w:rPr>
        <w:t>Huhuapuquio</w:t>
      </w:r>
      <w:proofErr w:type="spellEnd"/>
      <w:r w:rsidRPr="00D833CE">
        <w:rPr>
          <w:rFonts w:ascii="Cambria" w:eastAsia="Times New Roman" w:hAnsi="Cambria" w:cs="Cambria"/>
          <w:color w:val="000000" w:themeColor="text1"/>
          <w:sz w:val="20"/>
          <w:szCs w:val="20"/>
          <w:lang w:val="es-CO"/>
        </w:rPr>
        <w:t xml:space="preserve">, en Cangallo, Departamento de Ayacucho, los cuales fueron detenidos el 12 de abril de 1987 por miembros del ejército.  Se desconoce su paradero y se ha negado su detención.  Se han presentado recursos de Habeas Corpus en su nombre y la Federación Agraria de Ayacucho ha expresado su preocupación al </w:t>
      </w:r>
      <w:proofErr w:type="gramStart"/>
      <w:r w:rsidRPr="00D833CE">
        <w:rPr>
          <w:rFonts w:ascii="Cambria" w:eastAsia="Times New Roman" w:hAnsi="Cambria" w:cs="Cambria"/>
          <w:color w:val="000000" w:themeColor="text1"/>
          <w:sz w:val="20"/>
          <w:szCs w:val="20"/>
          <w:lang w:val="es-CO"/>
        </w:rPr>
        <w:t>Comandante</w:t>
      </w:r>
      <w:proofErr w:type="gramEnd"/>
      <w:r w:rsidRPr="00D833CE">
        <w:rPr>
          <w:rFonts w:ascii="Cambria" w:eastAsia="Times New Roman" w:hAnsi="Cambria" w:cs="Cambria"/>
          <w:color w:val="000000" w:themeColor="text1"/>
          <w:sz w:val="20"/>
          <w:szCs w:val="20"/>
          <w:lang w:val="es-CO"/>
        </w:rPr>
        <w:t xml:space="preserve"> del puesto político-militar del lugar.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47D18569"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9.883 - Informe Nº 23/90</w:t>
      </w:r>
      <w:r w:rsidRPr="00D833CE">
        <w:rPr>
          <w:rFonts w:ascii="Cambria" w:eastAsia="Times New Roman" w:hAnsi="Cambria" w:cs="Cambria"/>
          <w:color w:val="000000" w:themeColor="text1"/>
          <w:sz w:val="20"/>
          <w:szCs w:val="20"/>
        </w:rPr>
        <w:t xml:space="preserve"> </w:t>
      </w:r>
    </w:p>
    <w:p w14:paraId="4BF7DAC5"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desaparición de Walter </w:t>
      </w:r>
      <w:proofErr w:type="spellStart"/>
      <w:r w:rsidRPr="00D833CE">
        <w:rPr>
          <w:rFonts w:ascii="Cambria" w:eastAsia="Times New Roman" w:hAnsi="Cambria" w:cs="Cambria"/>
          <w:color w:val="000000" w:themeColor="text1"/>
          <w:sz w:val="20"/>
          <w:szCs w:val="20"/>
          <w:lang w:val="es-CO"/>
        </w:rPr>
        <w:t>Angel</w:t>
      </w:r>
      <w:proofErr w:type="spellEnd"/>
      <w:r w:rsidRPr="00D833CE">
        <w:rPr>
          <w:rFonts w:ascii="Cambria" w:eastAsia="Times New Roman" w:hAnsi="Cambria" w:cs="Cambria"/>
          <w:color w:val="000000" w:themeColor="text1"/>
          <w:sz w:val="20"/>
          <w:szCs w:val="20"/>
          <w:lang w:val="es-CO"/>
        </w:rPr>
        <w:t xml:space="preserve"> Castillo Cisneros, después de haber sido detenido por miembros del ejército, en la ciudad de Ayacucho, el 13 de febrero de 1987 en el local de la Agencia de Transportes Molina.  Empleados de la agencia afirman haber presenciado la detención del señor Castillo quien había sido conducido en un vehículo cuyo registro o placa fue anotada por los empleados. Los parientes del señor Castillo han tratado de obtener información del lugar donde se encuentra detenido, pero su detención ha sido negada por autoridades militares.  La desaparición ha sido denunciada al </w:t>
      </w:r>
      <w:proofErr w:type="gramStart"/>
      <w:r w:rsidRPr="00D833CE">
        <w:rPr>
          <w:rFonts w:ascii="Cambria" w:eastAsia="Times New Roman" w:hAnsi="Cambria" w:cs="Cambria"/>
          <w:color w:val="000000" w:themeColor="text1"/>
          <w:sz w:val="20"/>
          <w:szCs w:val="20"/>
          <w:lang w:val="es-CO"/>
        </w:rPr>
        <w:t>Fiscal Provincial</w:t>
      </w:r>
      <w:proofErr w:type="gramEnd"/>
      <w:r w:rsidRPr="00D833CE">
        <w:rPr>
          <w:rFonts w:ascii="Cambria" w:eastAsia="Times New Roman" w:hAnsi="Cambria" w:cs="Cambria"/>
          <w:color w:val="000000" w:themeColor="text1"/>
          <w:sz w:val="20"/>
          <w:szCs w:val="20"/>
          <w:lang w:val="es-CO"/>
        </w:rPr>
        <w:t xml:space="preserve"> de Ayacucho y se ha interpuesto recurso de Habeas Corpus sin ningún resultado.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7E90984C"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9.881 - Informe Nº 22/90</w:t>
      </w:r>
      <w:r w:rsidRPr="00D833CE">
        <w:rPr>
          <w:rFonts w:ascii="Cambria" w:eastAsia="Times New Roman" w:hAnsi="Cambria" w:cs="Cambria"/>
          <w:color w:val="000000" w:themeColor="text1"/>
          <w:sz w:val="20"/>
          <w:szCs w:val="20"/>
        </w:rPr>
        <w:t xml:space="preserve"> </w:t>
      </w:r>
    </w:p>
    <w:p w14:paraId="28C3E507" w14:textId="3FC910CC"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Benjamín Lapa León, Julián </w:t>
      </w:r>
      <w:proofErr w:type="spellStart"/>
      <w:r w:rsidRPr="00D833CE">
        <w:rPr>
          <w:rFonts w:ascii="Cambria" w:eastAsia="Times New Roman" w:hAnsi="Cambria" w:cs="Cambria"/>
          <w:color w:val="000000" w:themeColor="text1"/>
          <w:sz w:val="20"/>
          <w:szCs w:val="20"/>
          <w:lang w:val="es-CO"/>
        </w:rPr>
        <w:t>Huaylla</w:t>
      </w:r>
      <w:proofErr w:type="spellEnd"/>
      <w:r w:rsidRPr="00D833CE">
        <w:rPr>
          <w:rFonts w:ascii="Cambria" w:eastAsia="Times New Roman" w:hAnsi="Cambria" w:cs="Cambria"/>
          <w:color w:val="000000" w:themeColor="text1"/>
          <w:sz w:val="20"/>
          <w:szCs w:val="20"/>
          <w:lang w:val="es-CO"/>
        </w:rPr>
        <w:t xml:space="preserve"> Lapa, Máximo Infante </w:t>
      </w:r>
      <w:proofErr w:type="spellStart"/>
      <w:r w:rsidRPr="00D833CE">
        <w:rPr>
          <w:rFonts w:ascii="Cambria" w:eastAsia="Times New Roman" w:hAnsi="Cambria" w:cs="Cambria"/>
          <w:color w:val="000000" w:themeColor="text1"/>
          <w:sz w:val="20"/>
          <w:szCs w:val="20"/>
          <w:lang w:val="es-CO"/>
        </w:rPr>
        <w:t>Ccajapoma</w:t>
      </w:r>
      <w:proofErr w:type="spellEnd"/>
      <w:r w:rsidRPr="00D833CE">
        <w:rPr>
          <w:rFonts w:ascii="Cambria" w:eastAsia="Times New Roman" w:hAnsi="Cambria" w:cs="Cambria"/>
          <w:color w:val="000000" w:themeColor="text1"/>
          <w:sz w:val="20"/>
          <w:szCs w:val="20"/>
          <w:lang w:val="es-CO"/>
        </w:rPr>
        <w:t xml:space="preserve">, Dionisio Huaraca Vargas, Paulino Huaraca Vargas y Asunto Huamán Peña, quienes desaparecieron después de haber sido detenidos por los militares. Según las informaciones recibidas los seis hombres fueron arrestados el 4 de febrero de 1987, en </w:t>
      </w:r>
      <w:proofErr w:type="spellStart"/>
      <w:r w:rsidRPr="00D833CE">
        <w:rPr>
          <w:rFonts w:ascii="Cambria" w:eastAsia="Times New Roman" w:hAnsi="Cambria" w:cs="Cambria"/>
          <w:color w:val="000000" w:themeColor="text1"/>
          <w:sz w:val="20"/>
          <w:szCs w:val="20"/>
          <w:lang w:val="es-CO"/>
        </w:rPr>
        <w:t>Iquicha</w:t>
      </w:r>
      <w:proofErr w:type="spellEnd"/>
      <w:r w:rsidRPr="00D833CE">
        <w:rPr>
          <w:rFonts w:ascii="Cambria" w:eastAsia="Times New Roman" w:hAnsi="Cambria" w:cs="Cambria"/>
          <w:color w:val="000000" w:themeColor="text1"/>
          <w:sz w:val="20"/>
          <w:szCs w:val="20"/>
          <w:lang w:val="es-CO"/>
        </w:rPr>
        <w:t xml:space="preserve">, Provincia de Huanta, Departamento de Ayacucho, por tropas militares de la base de Jano en Huanta.  También se informó que el arresto tuvo lugar mientras </w:t>
      </w:r>
      <w:r w:rsidRPr="00D833CE">
        <w:rPr>
          <w:rFonts w:ascii="Cambria" w:eastAsia="Times New Roman" w:hAnsi="Cambria" w:cs="Cambria"/>
          <w:color w:val="000000" w:themeColor="text1"/>
          <w:sz w:val="20"/>
          <w:szCs w:val="20"/>
          <w:lang w:val="es-CO"/>
        </w:rPr>
        <w:lastRenderedPageBreak/>
        <w:t xml:space="preserve">los seis hombres participaban en la inauguración de los nuevos edificios de la escuela comunal en </w:t>
      </w:r>
      <w:proofErr w:type="spellStart"/>
      <w:r w:rsidRPr="00D833CE">
        <w:rPr>
          <w:rFonts w:ascii="Cambria" w:eastAsia="Times New Roman" w:hAnsi="Cambria" w:cs="Cambria"/>
          <w:color w:val="000000" w:themeColor="text1"/>
          <w:sz w:val="20"/>
          <w:szCs w:val="20"/>
          <w:lang w:val="es-CO"/>
        </w:rPr>
        <w:t>Iquicha</w:t>
      </w:r>
      <w:proofErr w:type="spellEnd"/>
      <w:r w:rsidRPr="00D833CE">
        <w:rPr>
          <w:rFonts w:ascii="Cambria" w:eastAsia="Times New Roman" w:hAnsi="Cambria" w:cs="Cambria"/>
          <w:color w:val="000000" w:themeColor="text1"/>
          <w:sz w:val="20"/>
          <w:szCs w:val="20"/>
          <w:lang w:val="es-CO"/>
        </w:rPr>
        <w:t xml:space="preserve">.  Las autoridades desconocen esas detenciones y no se sabe el paradero de esas personas. Los familiares denunciaron esas detenciones al </w:t>
      </w:r>
      <w:proofErr w:type="gramStart"/>
      <w:r w:rsidRPr="00D833CE">
        <w:rPr>
          <w:rFonts w:ascii="Cambria" w:eastAsia="Times New Roman" w:hAnsi="Cambria" w:cs="Cambria"/>
          <w:color w:val="000000" w:themeColor="text1"/>
          <w:sz w:val="20"/>
          <w:szCs w:val="20"/>
          <w:lang w:val="es-CO"/>
        </w:rPr>
        <w:t>Fiscal Regional</w:t>
      </w:r>
      <w:proofErr w:type="gramEnd"/>
      <w:r w:rsidRPr="00D833CE">
        <w:rPr>
          <w:rFonts w:ascii="Cambria" w:eastAsia="Times New Roman" w:hAnsi="Cambria" w:cs="Cambria"/>
          <w:color w:val="000000" w:themeColor="text1"/>
          <w:sz w:val="20"/>
          <w:szCs w:val="20"/>
          <w:lang w:val="es-CO"/>
        </w:rPr>
        <w:t>.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7E361654"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9.878 - Informe Nº 21/90</w:t>
      </w:r>
      <w:r w:rsidRPr="00D833CE">
        <w:rPr>
          <w:rFonts w:ascii="Cambria" w:eastAsia="Times New Roman" w:hAnsi="Cambria" w:cs="Cambria"/>
          <w:color w:val="000000" w:themeColor="text1"/>
          <w:sz w:val="20"/>
          <w:szCs w:val="20"/>
        </w:rPr>
        <w:t xml:space="preserve"> </w:t>
      </w:r>
    </w:p>
    <w:p w14:paraId="7C039E15"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Gloria Marta Tineo García, de </w:t>
      </w:r>
      <w:proofErr w:type="spellStart"/>
      <w:r w:rsidRPr="00D833CE">
        <w:rPr>
          <w:rFonts w:ascii="Cambria" w:eastAsia="Times New Roman" w:hAnsi="Cambria" w:cs="Cambria"/>
          <w:color w:val="000000" w:themeColor="text1"/>
          <w:sz w:val="20"/>
          <w:szCs w:val="20"/>
          <w:lang w:val="es-CO"/>
        </w:rPr>
        <w:t>Accoro</w:t>
      </w:r>
      <w:proofErr w:type="spellEnd"/>
      <w:r w:rsidRPr="00D833CE">
        <w:rPr>
          <w:rFonts w:ascii="Cambria" w:eastAsia="Times New Roman" w:hAnsi="Cambria" w:cs="Cambria"/>
          <w:color w:val="000000" w:themeColor="text1"/>
          <w:sz w:val="20"/>
          <w:szCs w:val="20"/>
          <w:lang w:val="es-CO"/>
        </w:rPr>
        <w:t xml:space="preserve">, </w:t>
      </w:r>
      <w:proofErr w:type="gramStart"/>
      <w:r w:rsidRPr="00D833CE">
        <w:rPr>
          <w:rFonts w:ascii="Cambria" w:eastAsia="Times New Roman" w:hAnsi="Cambria" w:cs="Cambria"/>
          <w:color w:val="000000" w:themeColor="text1"/>
          <w:sz w:val="20"/>
          <w:szCs w:val="20"/>
          <w:lang w:val="es-CO"/>
        </w:rPr>
        <w:t>quien</w:t>
      </w:r>
      <w:proofErr w:type="gramEnd"/>
      <w:r w:rsidRPr="00D833CE">
        <w:rPr>
          <w:rFonts w:ascii="Cambria" w:eastAsia="Times New Roman" w:hAnsi="Cambria" w:cs="Cambria"/>
          <w:color w:val="000000" w:themeColor="text1"/>
          <w:sz w:val="20"/>
          <w:szCs w:val="20"/>
          <w:lang w:val="es-CO"/>
        </w:rPr>
        <w:t xml:space="preserve"> en la Provincia de Huamanga, fue detenida en su casa de habitación en presencia de su familia por un oficial y tres soldados el 3 de enero de 1987.  Sus familiares informaron de esta detención al Fiscal de la región, quien requirió información de las Fuerzas Armadas, pero hasta la fecha no le han dado contestación. Pelayo </w:t>
      </w:r>
      <w:proofErr w:type="spellStart"/>
      <w:r w:rsidRPr="00D833CE">
        <w:rPr>
          <w:rFonts w:ascii="Cambria" w:eastAsia="Times New Roman" w:hAnsi="Cambria" w:cs="Cambria"/>
          <w:color w:val="000000" w:themeColor="text1"/>
          <w:sz w:val="20"/>
          <w:szCs w:val="20"/>
          <w:lang w:val="es-CO"/>
        </w:rPr>
        <w:t>Arotoma</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Cacnahuaray</w:t>
      </w:r>
      <w:proofErr w:type="spellEnd"/>
      <w:r w:rsidRPr="00D833CE">
        <w:rPr>
          <w:rFonts w:ascii="Cambria" w:eastAsia="Times New Roman" w:hAnsi="Cambria" w:cs="Cambria"/>
          <w:color w:val="000000" w:themeColor="text1"/>
          <w:sz w:val="20"/>
          <w:szCs w:val="20"/>
          <w:lang w:val="es-CO"/>
        </w:rPr>
        <w:t xml:space="preserve">, fue detenido por tropas del Distrito de </w:t>
      </w:r>
      <w:proofErr w:type="spellStart"/>
      <w:r w:rsidRPr="00D833CE">
        <w:rPr>
          <w:rFonts w:ascii="Cambria" w:eastAsia="Times New Roman" w:hAnsi="Cambria" w:cs="Cambria"/>
          <w:color w:val="000000" w:themeColor="text1"/>
          <w:sz w:val="20"/>
          <w:szCs w:val="20"/>
          <w:lang w:val="es-CO"/>
        </w:rPr>
        <w:t>Huancaraylla</w:t>
      </w:r>
      <w:proofErr w:type="spellEnd"/>
      <w:r w:rsidRPr="00D833CE">
        <w:rPr>
          <w:rFonts w:ascii="Cambria" w:eastAsia="Times New Roman" w:hAnsi="Cambria" w:cs="Cambria"/>
          <w:color w:val="000000" w:themeColor="text1"/>
          <w:sz w:val="20"/>
          <w:szCs w:val="20"/>
          <w:lang w:val="es-CO"/>
        </w:rPr>
        <w:t>, Provincia de Víctor Fajardo, el 16 de enero de 1987.  Sus familiares no han obtenido información de las autoridades y se desconoce su paradero.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31D4785A"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9.859 - Informe Nº 20/90</w:t>
      </w:r>
      <w:r w:rsidRPr="00D833CE">
        <w:rPr>
          <w:rFonts w:ascii="Cambria" w:eastAsia="Times New Roman" w:hAnsi="Cambria" w:cs="Cambria"/>
          <w:color w:val="000000" w:themeColor="text1"/>
          <w:sz w:val="20"/>
          <w:szCs w:val="20"/>
        </w:rPr>
        <w:t xml:space="preserve"> </w:t>
      </w:r>
    </w:p>
    <w:p w14:paraId="3F19DDC0"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Roberto Huamán Ayala, albañil, de 28 años, casado, con cinco hijos, quien fue detenido el 19 de diciembre de 1986 en su casa en la comunidad </w:t>
      </w:r>
      <w:proofErr w:type="spellStart"/>
      <w:r w:rsidRPr="00D833CE">
        <w:rPr>
          <w:rFonts w:ascii="Cambria" w:eastAsia="Times New Roman" w:hAnsi="Cambria" w:cs="Cambria"/>
          <w:color w:val="000000" w:themeColor="text1"/>
          <w:sz w:val="20"/>
          <w:szCs w:val="20"/>
          <w:lang w:val="es-CO"/>
        </w:rPr>
        <w:t>Soccoscocha</w:t>
      </w:r>
      <w:proofErr w:type="spellEnd"/>
      <w:r w:rsidRPr="00D833CE">
        <w:rPr>
          <w:rFonts w:ascii="Cambria" w:eastAsia="Times New Roman" w:hAnsi="Cambria" w:cs="Cambria"/>
          <w:color w:val="000000" w:themeColor="text1"/>
          <w:sz w:val="20"/>
          <w:szCs w:val="20"/>
          <w:lang w:val="es-CO"/>
        </w:rPr>
        <w:t xml:space="preserve">, en Huanta, y se cree que fue llevado a las barracas del ejército en la localidad de </w:t>
      </w:r>
      <w:proofErr w:type="spellStart"/>
      <w:r w:rsidRPr="00D833CE">
        <w:rPr>
          <w:rFonts w:ascii="Cambria" w:eastAsia="Times New Roman" w:hAnsi="Cambria" w:cs="Cambria"/>
          <w:color w:val="000000" w:themeColor="text1"/>
          <w:sz w:val="20"/>
          <w:szCs w:val="20"/>
          <w:lang w:val="es-CO"/>
        </w:rPr>
        <w:t>Castrocampa</w:t>
      </w:r>
      <w:proofErr w:type="spellEnd"/>
      <w:r w:rsidRPr="00D833CE">
        <w:rPr>
          <w:rFonts w:ascii="Cambria" w:eastAsia="Times New Roman" w:hAnsi="Cambria" w:cs="Cambria"/>
          <w:color w:val="000000" w:themeColor="text1"/>
          <w:sz w:val="20"/>
          <w:szCs w:val="20"/>
          <w:lang w:val="es-CO"/>
        </w:rPr>
        <w:t xml:space="preserve">.  Parientes del detenido manifiestan que la detención de Huamán Ayala ha sido negada por las autoridades de la zona. </w:t>
      </w:r>
      <w:proofErr w:type="spellStart"/>
      <w:r w:rsidRPr="00D833CE">
        <w:rPr>
          <w:rFonts w:ascii="Cambria" w:eastAsia="Times New Roman" w:hAnsi="Cambria" w:cs="Cambria"/>
          <w:color w:val="000000" w:themeColor="text1"/>
          <w:sz w:val="20"/>
          <w:szCs w:val="20"/>
          <w:lang w:val="es-CO"/>
        </w:rPr>
        <w:t>Alcíades</w:t>
      </w:r>
      <w:proofErr w:type="spellEnd"/>
      <w:r w:rsidRPr="00D833CE">
        <w:rPr>
          <w:rFonts w:ascii="Cambria" w:eastAsia="Times New Roman" w:hAnsi="Cambria" w:cs="Cambria"/>
          <w:color w:val="000000" w:themeColor="text1"/>
          <w:sz w:val="20"/>
          <w:szCs w:val="20"/>
          <w:lang w:val="es-CO"/>
        </w:rPr>
        <w:t xml:space="preserve"> Bernardo Huayta Leiva, estudiante de escuela, de 17 años, se denuncia que fue detenido el 18 de diciembre de 1986, por miembros del ejército en su casa en la localidad de </w:t>
      </w:r>
      <w:proofErr w:type="spellStart"/>
      <w:r w:rsidRPr="00D833CE">
        <w:rPr>
          <w:rFonts w:ascii="Cambria" w:eastAsia="Times New Roman" w:hAnsi="Cambria" w:cs="Cambria"/>
          <w:color w:val="000000" w:themeColor="text1"/>
          <w:sz w:val="20"/>
          <w:szCs w:val="20"/>
          <w:lang w:val="es-CO"/>
        </w:rPr>
        <w:t>Soccoscocha</w:t>
      </w:r>
      <w:proofErr w:type="spellEnd"/>
      <w:r w:rsidRPr="00D833CE">
        <w:rPr>
          <w:rFonts w:ascii="Cambria" w:eastAsia="Times New Roman" w:hAnsi="Cambria" w:cs="Cambria"/>
          <w:color w:val="000000" w:themeColor="text1"/>
          <w:sz w:val="20"/>
          <w:szCs w:val="20"/>
          <w:lang w:val="es-CO"/>
        </w:rPr>
        <w:t xml:space="preserve">, en la Provincia de Huanta.  Igualmente se cree que el citado ha sido llevado a las barracas de </w:t>
      </w:r>
      <w:proofErr w:type="spellStart"/>
      <w:r w:rsidRPr="00D833CE">
        <w:rPr>
          <w:rFonts w:ascii="Cambria" w:eastAsia="Times New Roman" w:hAnsi="Cambria" w:cs="Cambria"/>
          <w:color w:val="000000" w:themeColor="text1"/>
          <w:sz w:val="20"/>
          <w:szCs w:val="20"/>
          <w:lang w:val="es-CO"/>
        </w:rPr>
        <w:t>Castrocampa</w:t>
      </w:r>
      <w:proofErr w:type="spellEnd"/>
      <w:r w:rsidRPr="00D833CE">
        <w:rPr>
          <w:rFonts w:ascii="Cambria" w:eastAsia="Times New Roman" w:hAnsi="Cambria" w:cs="Cambria"/>
          <w:color w:val="000000" w:themeColor="text1"/>
          <w:sz w:val="20"/>
          <w:szCs w:val="20"/>
          <w:lang w:val="es-CO"/>
        </w:rPr>
        <w:t>, pero las autoridades han negado su detención.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5E5CEC69"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9.842 - Informe Nº 19/90</w:t>
      </w:r>
      <w:r w:rsidRPr="00D833CE">
        <w:rPr>
          <w:rFonts w:ascii="Cambria" w:eastAsia="Times New Roman" w:hAnsi="Cambria" w:cs="Cambria"/>
          <w:color w:val="000000" w:themeColor="text1"/>
          <w:sz w:val="20"/>
          <w:szCs w:val="20"/>
        </w:rPr>
        <w:t xml:space="preserve"> </w:t>
      </w:r>
    </w:p>
    <w:p w14:paraId="2DE653EF"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Juan Rivera Alarcón, Víctor </w:t>
      </w:r>
      <w:proofErr w:type="spellStart"/>
      <w:r w:rsidRPr="00D833CE">
        <w:rPr>
          <w:rFonts w:ascii="Cambria" w:eastAsia="Times New Roman" w:hAnsi="Cambria" w:cs="Cambria"/>
          <w:color w:val="000000" w:themeColor="text1"/>
          <w:sz w:val="20"/>
          <w:szCs w:val="20"/>
          <w:lang w:val="es-CO"/>
        </w:rPr>
        <w:t>Mendivil</w:t>
      </w:r>
      <w:proofErr w:type="spellEnd"/>
      <w:r w:rsidRPr="00D833CE">
        <w:rPr>
          <w:rFonts w:ascii="Cambria" w:eastAsia="Times New Roman" w:hAnsi="Cambria" w:cs="Cambria"/>
          <w:color w:val="000000" w:themeColor="text1"/>
          <w:sz w:val="20"/>
          <w:szCs w:val="20"/>
          <w:lang w:val="es-CO"/>
        </w:rPr>
        <w:t xml:space="preserve"> Rojas y tres personas más quienes fueron detenidas por miembros del ejército peruano en </w:t>
      </w:r>
      <w:proofErr w:type="spellStart"/>
      <w:r w:rsidRPr="00D833CE">
        <w:rPr>
          <w:rFonts w:ascii="Cambria" w:eastAsia="Times New Roman" w:hAnsi="Cambria" w:cs="Cambria"/>
          <w:color w:val="000000" w:themeColor="text1"/>
          <w:sz w:val="20"/>
          <w:szCs w:val="20"/>
          <w:lang w:val="es-CO"/>
        </w:rPr>
        <w:t>Vilcashuamán</w:t>
      </w:r>
      <w:proofErr w:type="spellEnd"/>
      <w:r w:rsidRPr="00D833CE">
        <w:rPr>
          <w:rFonts w:ascii="Cambria" w:eastAsia="Times New Roman" w:hAnsi="Cambria" w:cs="Cambria"/>
          <w:color w:val="000000" w:themeColor="text1"/>
          <w:sz w:val="20"/>
          <w:szCs w:val="20"/>
          <w:lang w:val="es-CO"/>
        </w:rPr>
        <w:t xml:space="preserve">, Departamento de Ayacucho, el 9 de noviembre de 1986, día en que se celebraban elecciones municipales en todo el país.  De acuerdo con los informes muchas personas fueron testigos de la detención de:  Juan Rivera, 35 años, granjero, casado y con 6 hijos; Víctor </w:t>
      </w:r>
      <w:proofErr w:type="spellStart"/>
      <w:r w:rsidRPr="00D833CE">
        <w:rPr>
          <w:rFonts w:ascii="Cambria" w:eastAsia="Times New Roman" w:hAnsi="Cambria" w:cs="Cambria"/>
          <w:color w:val="000000" w:themeColor="text1"/>
          <w:sz w:val="20"/>
          <w:szCs w:val="20"/>
          <w:lang w:val="es-CO"/>
        </w:rPr>
        <w:t>Mendivil</w:t>
      </w:r>
      <w:proofErr w:type="spellEnd"/>
      <w:r w:rsidRPr="00D833CE">
        <w:rPr>
          <w:rFonts w:ascii="Cambria" w:eastAsia="Times New Roman" w:hAnsi="Cambria" w:cs="Cambria"/>
          <w:color w:val="000000" w:themeColor="text1"/>
          <w:sz w:val="20"/>
          <w:szCs w:val="20"/>
          <w:lang w:val="es-CO"/>
        </w:rPr>
        <w:t xml:space="preserve"> Rojas, 51 años, granjero, casado y con 2 hijos; Benigno </w:t>
      </w:r>
      <w:proofErr w:type="spellStart"/>
      <w:r w:rsidRPr="00D833CE">
        <w:rPr>
          <w:rFonts w:ascii="Cambria" w:eastAsia="Times New Roman" w:hAnsi="Cambria" w:cs="Cambria"/>
          <w:color w:val="000000" w:themeColor="text1"/>
          <w:sz w:val="20"/>
          <w:szCs w:val="20"/>
          <w:lang w:val="es-CO"/>
        </w:rPr>
        <w:t>Mendivil</w:t>
      </w:r>
      <w:proofErr w:type="spellEnd"/>
      <w:r w:rsidRPr="00D833CE">
        <w:rPr>
          <w:rFonts w:ascii="Cambria" w:eastAsia="Times New Roman" w:hAnsi="Cambria" w:cs="Cambria"/>
          <w:color w:val="000000" w:themeColor="text1"/>
          <w:sz w:val="20"/>
          <w:szCs w:val="20"/>
          <w:lang w:val="es-CO"/>
        </w:rPr>
        <w:t xml:space="preserve"> Rojas, casado y con tres hijos; </w:t>
      </w:r>
      <w:proofErr w:type="spellStart"/>
      <w:r w:rsidRPr="00D833CE">
        <w:rPr>
          <w:rFonts w:ascii="Cambria" w:eastAsia="Times New Roman" w:hAnsi="Cambria" w:cs="Cambria"/>
          <w:color w:val="000000" w:themeColor="text1"/>
          <w:sz w:val="20"/>
          <w:szCs w:val="20"/>
          <w:lang w:val="es-CO"/>
        </w:rPr>
        <w:t>Ercilio</w:t>
      </w:r>
      <w:proofErr w:type="spellEnd"/>
      <w:r w:rsidRPr="00D833CE">
        <w:rPr>
          <w:rFonts w:ascii="Cambria" w:eastAsia="Times New Roman" w:hAnsi="Cambria" w:cs="Cambria"/>
          <w:color w:val="000000" w:themeColor="text1"/>
          <w:sz w:val="20"/>
          <w:szCs w:val="20"/>
          <w:lang w:val="es-CO"/>
        </w:rPr>
        <w:t xml:space="preserve"> Rojas Ochoa, 40 años, granjero, casado y con 5 hijos, y Moisés </w:t>
      </w:r>
      <w:proofErr w:type="spellStart"/>
      <w:r w:rsidRPr="00D833CE">
        <w:rPr>
          <w:rFonts w:ascii="Cambria" w:eastAsia="Times New Roman" w:hAnsi="Cambria" w:cs="Cambria"/>
          <w:color w:val="000000" w:themeColor="text1"/>
          <w:sz w:val="20"/>
          <w:szCs w:val="20"/>
          <w:lang w:val="es-CO"/>
        </w:rPr>
        <w:t>Echaccaya</w:t>
      </w:r>
      <w:proofErr w:type="spellEnd"/>
      <w:r w:rsidRPr="00D833CE">
        <w:rPr>
          <w:rFonts w:ascii="Cambria" w:eastAsia="Times New Roman" w:hAnsi="Cambria" w:cs="Cambria"/>
          <w:color w:val="000000" w:themeColor="text1"/>
          <w:sz w:val="20"/>
          <w:szCs w:val="20"/>
          <w:lang w:val="es-CO"/>
        </w:rPr>
        <w:t xml:space="preserve"> Gamboa quien tiene 2 hijos.  Se cree que fueron llevados a las barracas de </w:t>
      </w:r>
      <w:proofErr w:type="spellStart"/>
      <w:r w:rsidRPr="00D833CE">
        <w:rPr>
          <w:rFonts w:ascii="Cambria" w:eastAsia="Times New Roman" w:hAnsi="Cambria" w:cs="Cambria"/>
          <w:color w:val="000000" w:themeColor="text1"/>
          <w:sz w:val="20"/>
          <w:szCs w:val="20"/>
          <w:lang w:val="es-CO"/>
        </w:rPr>
        <w:t>Vilcashuamán</w:t>
      </w:r>
      <w:proofErr w:type="spellEnd"/>
      <w:r w:rsidRPr="00D833CE">
        <w:rPr>
          <w:rFonts w:ascii="Cambria" w:eastAsia="Times New Roman" w:hAnsi="Cambria" w:cs="Cambria"/>
          <w:color w:val="000000" w:themeColor="text1"/>
          <w:sz w:val="20"/>
          <w:szCs w:val="20"/>
          <w:lang w:val="es-CO"/>
        </w:rPr>
        <w:t>, pero las autoridades dicen que la detención no se efectuó.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782EBEDA"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9.824 - Informe Nº 18/90</w:t>
      </w:r>
      <w:r w:rsidRPr="00D833CE">
        <w:rPr>
          <w:rFonts w:ascii="Cambria" w:eastAsia="Times New Roman" w:hAnsi="Cambria" w:cs="Cambria"/>
          <w:color w:val="000000" w:themeColor="text1"/>
          <w:sz w:val="20"/>
          <w:szCs w:val="20"/>
        </w:rPr>
        <w:t xml:space="preserve"> </w:t>
      </w:r>
    </w:p>
    <w:p w14:paraId="345CB8E4"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José Belarmino Navarrete Cabrera, de 50 años, casado, padre de familia, quien fue reportado como detenido en su casa en </w:t>
      </w:r>
      <w:proofErr w:type="spellStart"/>
      <w:r w:rsidRPr="00D833CE">
        <w:rPr>
          <w:rFonts w:ascii="Cambria" w:eastAsia="Times New Roman" w:hAnsi="Cambria" w:cs="Cambria"/>
          <w:color w:val="000000" w:themeColor="text1"/>
          <w:sz w:val="20"/>
          <w:szCs w:val="20"/>
          <w:lang w:val="es-CO"/>
        </w:rPr>
        <w:t>Castropampa</w:t>
      </w:r>
      <w:proofErr w:type="spellEnd"/>
      <w:r w:rsidRPr="00D833CE">
        <w:rPr>
          <w:rFonts w:ascii="Cambria" w:eastAsia="Times New Roman" w:hAnsi="Cambria" w:cs="Cambria"/>
          <w:color w:val="000000" w:themeColor="text1"/>
          <w:sz w:val="20"/>
          <w:szCs w:val="20"/>
          <w:lang w:val="es-CO"/>
        </w:rPr>
        <w:t xml:space="preserve">, Provincia de Huanta, el 27 de octubre de 1986 a la 1:00 a.m. por miembros del ejército.  Su detención no ha sido reconocida por las fuerzas de seguridad.  Antonio Janampa </w:t>
      </w:r>
      <w:proofErr w:type="spellStart"/>
      <w:r w:rsidRPr="00D833CE">
        <w:rPr>
          <w:rFonts w:ascii="Cambria" w:eastAsia="Times New Roman" w:hAnsi="Cambria" w:cs="Cambria"/>
          <w:color w:val="000000" w:themeColor="text1"/>
          <w:sz w:val="20"/>
          <w:szCs w:val="20"/>
          <w:lang w:val="es-CO"/>
        </w:rPr>
        <w:t>Huamantico</w:t>
      </w:r>
      <w:proofErr w:type="spellEnd"/>
      <w:r w:rsidRPr="00D833CE">
        <w:rPr>
          <w:rFonts w:ascii="Cambria" w:eastAsia="Times New Roman" w:hAnsi="Cambria" w:cs="Cambria"/>
          <w:color w:val="000000" w:themeColor="text1"/>
          <w:sz w:val="20"/>
          <w:szCs w:val="20"/>
          <w:lang w:val="es-CO"/>
        </w:rPr>
        <w:t xml:space="preserve">, y su hermano Tomás, fueron detenidos a las 4:00 p.m., el 23 </w:t>
      </w:r>
      <w:r w:rsidRPr="00D833CE">
        <w:rPr>
          <w:rFonts w:ascii="Cambria" w:eastAsia="Times New Roman" w:hAnsi="Cambria" w:cs="Cambria"/>
          <w:color w:val="000000" w:themeColor="text1"/>
          <w:sz w:val="20"/>
          <w:szCs w:val="20"/>
          <w:lang w:val="es-CO"/>
        </w:rPr>
        <w:lastRenderedPageBreak/>
        <w:t xml:space="preserve">de octubre de 1986, en </w:t>
      </w:r>
      <w:proofErr w:type="spellStart"/>
      <w:r w:rsidRPr="00D833CE">
        <w:rPr>
          <w:rFonts w:ascii="Cambria" w:eastAsia="Times New Roman" w:hAnsi="Cambria" w:cs="Cambria"/>
          <w:color w:val="000000" w:themeColor="text1"/>
          <w:sz w:val="20"/>
          <w:szCs w:val="20"/>
          <w:lang w:val="es-CO"/>
        </w:rPr>
        <w:t>Tahuajocha</w:t>
      </w:r>
      <w:proofErr w:type="spellEnd"/>
      <w:r w:rsidRPr="00D833CE">
        <w:rPr>
          <w:rFonts w:ascii="Cambria" w:eastAsia="Times New Roman" w:hAnsi="Cambria" w:cs="Cambria"/>
          <w:color w:val="000000" w:themeColor="text1"/>
          <w:sz w:val="20"/>
          <w:szCs w:val="20"/>
          <w:lang w:val="es-CO"/>
        </w:rPr>
        <w:t xml:space="preserve">, distrito de </w:t>
      </w:r>
      <w:proofErr w:type="spellStart"/>
      <w:r w:rsidRPr="00D833CE">
        <w:rPr>
          <w:rFonts w:ascii="Cambria" w:eastAsia="Times New Roman" w:hAnsi="Cambria" w:cs="Cambria"/>
          <w:color w:val="000000" w:themeColor="text1"/>
          <w:sz w:val="20"/>
          <w:szCs w:val="20"/>
          <w:lang w:val="es-CO"/>
        </w:rPr>
        <w:t>Pacaycasa</w:t>
      </w:r>
      <w:proofErr w:type="spellEnd"/>
      <w:r w:rsidRPr="00D833CE">
        <w:rPr>
          <w:rFonts w:ascii="Cambria" w:eastAsia="Times New Roman" w:hAnsi="Cambria" w:cs="Cambria"/>
          <w:color w:val="000000" w:themeColor="text1"/>
          <w:sz w:val="20"/>
          <w:szCs w:val="20"/>
          <w:lang w:val="es-CO"/>
        </w:rPr>
        <w:t>, Provincia de Huanta por las Fuerzas Armadas.  Se creía que estaban detenidos en las barracas militares "Los Cabitos".  Las autoridades no han reconocido su detención.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642DDADE"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9.817 - Informe Nº 17/90</w:t>
      </w:r>
      <w:r w:rsidRPr="00D833CE">
        <w:rPr>
          <w:rFonts w:ascii="Cambria" w:eastAsia="Times New Roman" w:hAnsi="Cambria" w:cs="Cambria"/>
          <w:color w:val="000000" w:themeColor="text1"/>
          <w:sz w:val="20"/>
          <w:szCs w:val="20"/>
        </w:rPr>
        <w:t xml:space="preserve"> </w:t>
      </w:r>
    </w:p>
    <w:p w14:paraId="4E3260E5"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Félix Torres P. Carlos Lazares y </w:t>
      </w:r>
      <w:proofErr w:type="spellStart"/>
      <w:r w:rsidRPr="00D833CE">
        <w:rPr>
          <w:rFonts w:ascii="Cambria" w:eastAsia="Times New Roman" w:hAnsi="Cambria" w:cs="Cambria"/>
          <w:color w:val="000000" w:themeColor="text1"/>
          <w:sz w:val="20"/>
          <w:szCs w:val="20"/>
          <w:lang w:val="es-CO"/>
        </w:rPr>
        <w:t>Ludovina</w:t>
      </w:r>
      <w:proofErr w:type="spellEnd"/>
      <w:r w:rsidRPr="00D833CE">
        <w:rPr>
          <w:rFonts w:ascii="Cambria" w:eastAsia="Times New Roman" w:hAnsi="Cambria" w:cs="Cambria"/>
          <w:color w:val="000000" w:themeColor="text1"/>
          <w:sz w:val="20"/>
          <w:szCs w:val="20"/>
          <w:lang w:val="es-CO"/>
        </w:rPr>
        <w:t xml:space="preserve"> Arias de 19 y 17 años respectivamente, ambos miembros de la comunidad campesina de </w:t>
      </w:r>
      <w:proofErr w:type="spellStart"/>
      <w:r w:rsidRPr="00D833CE">
        <w:rPr>
          <w:rFonts w:ascii="Cambria" w:eastAsia="Times New Roman" w:hAnsi="Cambria" w:cs="Cambria"/>
          <w:color w:val="000000" w:themeColor="text1"/>
          <w:sz w:val="20"/>
          <w:szCs w:val="20"/>
          <w:lang w:val="es-CO"/>
        </w:rPr>
        <w:t>Pantacc</w:t>
      </w:r>
      <w:proofErr w:type="spellEnd"/>
      <w:r w:rsidRPr="00D833CE">
        <w:rPr>
          <w:rFonts w:ascii="Cambria" w:eastAsia="Times New Roman" w:hAnsi="Cambria" w:cs="Cambria"/>
          <w:color w:val="000000" w:themeColor="text1"/>
          <w:sz w:val="20"/>
          <w:szCs w:val="20"/>
          <w:lang w:val="es-CO"/>
        </w:rPr>
        <w:t xml:space="preserve">, quienes fueron detenidos el 8 de octubre de 1986 por miembros del ejército en un campo de deportes en </w:t>
      </w:r>
      <w:proofErr w:type="spellStart"/>
      <w:r w:rsidRPr="00D833CE">
        <w:rPr>
          <w:rFonts w:ascii="Cambria" w:eastAsia="Times New Roman" w:hAnsi="Cambria" w:cs="Cambria"/>
          <w:color w:val="000000" w:themeColor="text1"/>
          <w:sz w:val="20"/>
          <w:szCs w:val="20"/>
          <w:lang w:val="es-CO"/>
        </w:rPr>
        <w:t>Macachacra</w:t>
      </w:r>
      <w:proofErr w:type="spellEnd"/>
      <w:r w:rsidRPr="00D833CE">
        <w:rPr>
          <w:rFonts w:ascii="Cambria" w:eastAsia="Times New Roman" w:hAnsi="Cambria" w:cs="Cambria"/>
          <w:color w:val="000000" w:themeColor="text1"/>
          <w:sz w:val="20"/>
          <w:szCs w:val="20"/>
          <w:lang w:val="es-CO"/>
        </w:rPr>
        <w:t xml:space="preserve">, provincia de Huamanga, cuando jugaban fútbol.  Aunque familiares y miembros de organizaciones internacionales han preguntado tanto a la policía, como al ejército acerca de su paradero, su detención no ha sido reconocida. En cuanto a </w:t>
      </w:r>
      <w:proofErr w:type="spellStart"/>
      <w:r w:rsidRPr="00D833CE">
        <w:rPr>
          <w:rFonts w:ascii="Cambria" w:eastAsia="Times New Roman" w:hAnsi="Cambria" w:cs="Cambria"/>
          <w:color w:val="000000" w:themeColor="text1"/>
          <w:sz w:val="20"/>
          <w:szCs w:val="20"/>
          <w:lang w:val="es-CO"/>
        </w:rPr>
        <w:t>Ludovina</w:t>
      </w:r>
      <w:proofErr w:type="spellEnd"/>
      <w:r w:rsidRPr="00D833CE">
        <w:rPr>
          <w:rFonts w:ascii="Cambria" w:eastAsia="Times New Roman" w:hAnsi="Cambria" w:cs="Cambria"/>
          <w:color w:val="000000" w:themeColor="text1"/>
          <w:sz w:val="20"/>
          <w:szCs w:val="20"/>
          <w:lang w:val="es-CO"/>
        </w:rPr>
        <w:t xml:space="preserve"> Arias, quien es una profesora de 26 años en Pujas, </w:t>
      </w:r>
      <w:proofErr w:type="spellStart"/>
      <w:r w:rsidRPr="00D833CE">
        <w:rPr>
          <w:rFonts w:ascii="Cambria" w:eastAsia="Times New Roman" w:hAnsi="Cambria" w:cs="Cambria"/>
          <w:color w:val="000000" w:themeColor="text1"/>
          <w:sz w:val="20"/>
          <w:szCs w:val="20"/>
          <w:lang w:val="es-CO"/>
        </w:rPr>
        <w:t>Vilcashuamán</w:t>
      </w:r>
      <w:proofErr w:type="spellEnd"/>
      <w:r w:rsidRPr="00D833CE">
        <w:rPr>
          <w:rFonts w:ascii="Cambria" w:eastAsia="Times New Roman" w:hAnsi="Cambria" w:cs="Cambria"/>
          <w:color w:val="000000" w:themeColor="text1"/>
          <w:sz w:val="20"/>
          <w:szCs w:val="20"/>
          <w:lang w:val="es-CO"/>
        </w:rPr>
        <w:t>, fue detenida el 4 de octubre del mismo año, junto con otro profesor del mismo colegio, Marino Ezequiel Soca, por miembros del ejército.  Familiares han tratado de localizarlos, pero se ha negado igualmente su detención.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7DBC20C2"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9.816 - Informe Nº 16/90</w:t>
      </w:r>
      <w:r w:rsidRPr="00D833CE">
        <w:rPr>
          <w:rFonts w:ascii="Cambria" w:eastAsia="Times New Roman" w:hAnsi="Cambria" w:cs="Cambria"/>
          <w:color w:val="000000" w:themeColor="text1"/>
          <w:sz w:val="20"/>
          <w:szCs w:val="20"/>
        </w:rPr>
        <w:t xml:space="preserve"> </w:t>
      </w:r>
    </w:p>
    <w:p w14:paraId="35419E13"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Jorge Herminio Mina, </w:t>
      </w:r>
      <w:proofErr w:type="spellStart"/>
      <w:r w:rsidRPr="00D833CE">
        <w:rPr>
          <w:rFonts w:ascii="Cambria" w:eastAsia="Times New Roman" w:hAnsi="Cambria" w:cs="Cambria"/>
          <w:color w:val="000000" w:themeColor="text1"/>
          <w:sz w:val="20"/>
          <w:szCs w:val="20"/>
          <w:lang w:val="es-CO"/>
        </w:rPr>
        <w:t>Rudencio</w:t>
      </w:r>
      <w:proofErr w:type="spellEnd"/>
      <w:r w:rsidRPr="00D833CE">
        <w:rPr>
          <w:rFonts w:ascii="Cambria" w:eastAsia="Times New Roman" w:hAnsi="Cambria" w:cs="Cambria"/>
          <w:color w:val="000000" w:themeColor="text1"/>
          <w:sz w:val="20"/>
          <w:szCs w:val="20"/>
          <w:lang w:val="es-CO"/>
        </w:rPr>
        <w:t xml:space="preserve"> Sánchez Valdés y Amancio </w:t>
      </w:r>
      <w:proofErr w:type="spellStart"/>
      <w:r w:rsidRPr="00D833CE">
        <w:rPr>
          <w:rFonts w:ascii="Cambria" w:eastAsia="Times New Roman" w:hAnsi="Cambria" w:cs="Cambria"/>
          <w:color w:val="000000" w:themeColor="text1"/>
          <w:sz w:val="20"/>
          <w:szCs w:val="20"/>
          <w:lang w:val="es-CO"/>
        </w:rPr>
        <w:t>Degadillo</w:t>
      </w:r>
      <w:proofErr w:type="spellEnd"/>
      <w:r w:rsidRPr="00D833CE">
        <w:rPr>
          <w:rFonts w:ascii="Cambria" w:eastAsia="Times New Roman" w:hAnsi="Cambria" w:cs="Cambria"/>
          <w:color w:val="000000" w:themeColor="text1"/>
          <w:sz w:val="20"/>
          <w:szCs w:val="20"/>
          <w:lang w:val="es-CO"/>
        </w:rPr>
        <w:t xml:space="preserve">, el 23 de septiembre de 1986, en la localidad de </w:t>
      </w:r>
      <w:proofErr w:type="spellStart"/>
      <w:r w:rsidRPr="00D833CE">
        <w:rPr>
          <w:rFonts w:ascii="Cambria" w:eastAsia="Times New Roman" w:hAnsi="Cambria" w:cs="Cambria"/>
          <w:color w:val="000000" w:themeColor="text1"/>
          <w:sz w:val="20"/>
          <w:szCs w:val="20"/>
          <w:lang w:val="es-CO"/>
        </w:rPr>
        <w:t>Cangarí</w:t>
      </w:r>
      <w:proofErr w:type="spellEnd"/>
      <w:r w:rsidRPr="00D833CE">
        <w:rPr>
          <w:rFonts w:ascii="Cambria" w:eastAsia="Times New Roman" w:hAnsi="Cambria" w:cs="Cambria"/>
          <w:color w:val="000000" w:themeColor="text1"/>
          <w:sz w:val="20"/>
          <w:szCs w:val="20"/>
          <w:lang w:val="es-CO"/>
        </w:rPr>
        <w:t xml:space="preserve">, Provincia de Huanta; Cirilo </w:t>
      </w:r>
      <w:proofErr w:type="spellStart"/>
      <w:r w:rsidRPr="00D833CE">
        <w:rPr>
          <w:rFonts w:ascii="Cambria" w:eastAsia="Times New Roman" w:hAnsi="Cambria" w:cs="Cambria"/>
          <w:color w:val="000000" w:themeColor="text1"/>
          <w:sz w:val="20"/>
          <w:szCs w:val="20"/>
          <w:lang w:val="es-CO"/>
        </w:rPr>
        <w:t>Quiquín</w:t>
      </w:r>
      <w:proofErr w:type="spellEnd"/>
      <w:r w:rsidRPr="00D833CE">
        <w:rPr>
          <w:rFonts w:ascii="Cambria" w:eastAsia="Times New Roman" w:hAnsi="Cambria" w:cs="Cambria"/>
          <w:color w:val="000000" w:themeColor="text1"/>
          <w:sz w:val="20"/>
          <w:szCs w:val="20"/>
          <w:lang w:val="es-CO"/>
        </w:rPr>
        <w:t xml:space="preserve"> </w:t>
      </w:r>
      <w:proofErr w:type="spellStart"/>
      <w:r w:rsidRPr="00D833CE">
        <w:rPr>
          <w:rFonts w:ascii="Cambria" w:eastAsia="Times New Roman" w:hAnsi="Cambria" w:cs="Cambria"/>
          <w:color w:val="000000" w:themeColor="text1"/>
          <w:sz w:val="20"/>
          <w:szCs w:val="20"/>
          <w:lang w:val="es-CO"/>
        </w:rPr>
        <w:t>Casaico</w:t>
      </w:r>
      <w:proofErr w:type="spellEnd"/>
      <w:r w:rsidRPr="00D833CE">
        <w:rPr>
          <w:rFonts w:ascii="Cambria" w:eastAsia="Times New Roman" w:hAnsi="Cambria" w:cs="Cambria"/>
          <w:color w:val="000000" w:themeColor="text1"/>
          <w:sz w:val="20"/>
          <w:szCs w:val="20"/>
          <w:lang w:val="es-CO"/>
        </w:rPr>
        <w:t xml:space="preserve">, el 9 de octubre de 1986 en </w:t>
      </w:r>
      <w:proofErr w:type="spellStart"/>
      <w:r w:rsidRPr="00D833CE">
        <w:rPr>
          <w:rFonts w:ascii="Cambria" w:eastAsia="Times New Roman" w:hAnsi="Cambria" w:cs="Cambria"/>
          <w:color w:val="000000" w:themeColor="text1"/>
          <w:sz w:val="20"/>
          <w:szCs w:val="20"/>
          <w:lang w:val="es-CO"/>
        </w:rPr>
        <w:t>Quinrapa</w:t>
      </w:r>
      <w:proofErr w:type="spellEnd"/>
      <w:r w:rsidRPr="00D833CE">
        <w:rPr>
          <w:rFonts w:ascii="Cambria" w:eastAsia="Times New Roman" w:hAnsi="Cambria" w:cs="Cambria"/>
          <w:color w:val="000000" w:themeColor="text1"/>
          <w:sz w:val="20"/>
          <w:szCs w:val="20"/>
          <w:lang w:val="es-CO"/>
        </w:rPr>
        <w:t xml:space="preserve">, Provincia de Huanta; Teodosio Anaya Valenzuela y Antonio </w:t>
      </w:r>
      <w:proofErr w:type="spellStart"/>
      <w:r w:rsidRPr="00D833CE">
        <w:rPr>
          <w:rFonts w:ascii="Cambria" w:eastAsia="Times New Roman" w:hAnsi="Cambria" w:cs="Cambria"/>
          <w:color w:val="000000" w:themeColor="text1"/>
          <w:sz w:val="20"/>
          <w:szCs w:val="20"/>
          <w:lang w:val="es-CO"/>
        </w:rPr>
        <w:t>Carnera</w:t>
      </w:r>
      <w:proofErr w:type="spellEnd"/>
      <w:r w:rsidRPr="00D833CE">
        <w:rPr>
          <w:rFonts w:ascii="Cambria" w:eastAsia="Times New Roman" w:hAnsi="Cambria" w:cs="Cambria"/>
          <w:color w:val="000000" w:themeColor="text1"/>
          <w:sz w:val="20"/>
          <w:szCs w:val="20"/>
          <w:lang w:val="es-CO"/>
        </w:rPr>
        <w:t xml:space="preserve"> Sánchez, el 10 de octubre de 1986 en San Francisco, Provincia de La Mar y Antonio Teodoro </w:t>
      </w:r>
      <w:proofErr w:type="spellStart"/>
      <w:r w:rsidRPr="00D833CE">
        <w:rPr>
          <w:rFonts w:ascii="Cambria" w:eastAsia="Times New Roman" w:hAnsi="Cambria" w:cs="Cambria"/>
          <w:color w:val="000000" w:themeColor="text1"/>
          <w:sz w:val="20"/>
          <w:szCs w:val="20"/>
          <w:lang w:val="es-CO"/>
        </w:rPr>
        <w:t>Llampasi</w:t>
      </w:r>
      <w:proofErr w:type="spellEnd"/>
      <w:r w:rsidRPr="00D833CE">
        <w:rPr>
          <w:rFonts w:ascii="Cambria" w:eastAsia="Times New Roman" w:hAnsi="Cambria" w:cs="Cambria"/>
          <w:color w:val="000000" w:themeColor="text1"/>
          <w:sz w:val="20"/>
          <w:szCs w:val="20"/>
          <w:lang w:val="es-CO"/>
        </w:rPr>
        <w:t xml:space="preserve"> Cerda, el 9 de octubre de 1986 en </w:t>
      </w:r>
      <w:proofErr w:type="spellStart"/>
      <w:r w:rsidRPr="00D833CE">
        <w:rPr>
          <w:rFonts w:ascii="Cambria" w:eastAsia="Times New Roman" w:hAnsi="Cambria" w:cs="Cambria"/>
          <w:color w:val="000000" w:themeColor="text1"/>
          <w:sz w:val="20"/>
          <w:szCs w:val="20"/>
          <w:lang w:val="es-CO"/>
        </w:rPr>
        <w:t>Ccantollo</w:t>
      </w:r>
      <w:proofErr w:type="spellEnd"/>
      <w:r w:rsidRPr="00D833CE">
        <w:rPr>
          <w:rFonts w:ascii="Cambria" w:eastAsia="Times New Roman" w:hAnsi="Cambria" w:cs="Cambria"/>
          <w:color w:val="000000" w:themeColor="text1"/>
          <w:sz w:val="20"/>
          <w:szCs w:val="20"/>
          <w:lang w:val="es-CO"/>
        </w:rPr>
        <w:t xml:space="preserve">, Distrito Concepción, </w:t>
      </w:r>
      <w:proofErr w:type="spellStart"/>
      <w:r w:rsidRPr="00D833CE">
        <w:rPr>
          <w:rFonts w:ascii="Cambria" w:eastAsia="Times New Roman" w:hAnsi="Cambria" w:cs="Cambria"/>
          <w:color w:val="000000" w:themeColor="text1"/>
          <w:sz w:val="20"/>
          <w:szCs w:val="20"/>
          <w:lang w:val="es-CO"/>
        </w:rPr>
        <w:t>Vilcashuamán.Por</w:t>
      </w:r>
      <w:proofErr w:type="spellEnd"/>
      <w:r w:rsidRPr="00D833CE">
        <w:rPr>
          <w:rFonts w:ascii="Cambria" w:eastAsia="Times New Roman" w:hAnsi="Cambria" w:cs="Cambria"/>
          <w:color w:val="000000" w:themeColor="text1"/>
          <w:sz w:val="20"/>
          <w:szCs w:val="20"/>
          <w:lang w:val="es-CO"/>
        </w:rPr>
        <w:t xml:space="preserve">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315A1273"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9.815 - Informe Nº 15/90</w:t>
      </w:r>
      <w:r w:rsidRPr="00D833CE">
        <w:rPr>
          <w:rFonts w:ascii="Cambria" w:eastAsia="Times New Roman" w:hAnsi="Cambria" w:cs="Cambria"/>
          <w:color w:val="000000" w:themeColor="text1"/>
          <w:sz w:val="20"/>
          <w:szCs w:val="20"/>
        </w:rPr>
        <w:t xml:space="preserve"> </w:t>
      </w:r>
    </w:p>
    <w:p w14:paraId="67828D8E"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Marino Ezequiel Soca, ocurrida en Pujas, </w:t>
      </w:r>
      <w:proofErr w:type="spellStart"/>
      <w:r w:rsidRPr="00D833CE">
        <w:rPr>
          <w:rFonts w:ascii="Cambria" w:eastAsia="Times New Roman" w:hAnsi="Cambria" w:cs="Cambria"/>
          <w:color w:val="000000" w:themeColor="text1"/>
          <w:sz w:val="20"/>
          <w:szCs w:val="20"/>
          <w:lang w:val="es-CO"/>
        </w:rPr>
        <w:t>Vilcashuamán</w:t>
      </w:r>
      <w:proofErr w:type="spellEnd"/>
      <w:r w:rsidRPr="00D833CE">
        <w:rPr>
          <w:rFonts w:ascii="Cambria" w:eastAsia="Times New Roman" w:hAnsi="Cambria" w:cs="Cambria"/>
          <w:color w:val="000000" w:themeColor="text1"/>
          <w:sz w:val="20"/>
          <w:szCs w:val="20"/>
          <w:lang w:val="es-CO"/>
        </w:rPr>
        <w:t>, Ayacucho, el 4 de octubre de 1986.Por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167D813E"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9.814 - Informe Nº 14/90</w:t>
      </w:r>
      <w:r w:rsidRPr="00D833CE">
        <w:rPr>
          <w:rFonts w:ascii="Cambria" w:eastAsia="Times New Roman" w:hAnsi="Cambria" w:cs="Cambria"/>
          <w:color w:val="000000" w:themeColor="text1"/>
          <w:sz w:val="20"/>
          <w:szCs w:val="20"/>
        </w:rPr>
        <w:t xml:space="preserve"> </w:t>
      </w:r>
    </w:p>
    <w:p w14:paraId="67D3D647"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Teresa García Bautista y Rubén </w:t>
      </w:r>
      <w:proofErr w:type="spellStart"/>
      <w:r w:rsidRPr="00D833CE">
        <w:rPr>
          <w:rFonts w:ascii="Cambria" w:eastAsia="Times New Roman" w:hAnsi="Cambria" w:cs="Cambria"/>
          <w:color w:val="000000" w:themeColor="text1"/>
          <w:sz w:val="20"/>
          <w:szCs w:val="20"/>
          <w:lang w:val="es-CO"/>
        </w:rPr>
        <w:t>Nanac</w:t>
      </w:r>
      <w:proofErr w:type="spellEnd"/>
      <w:r w:rsidRPr="00D833CE">
        <w:rPr>
          <w:rFonts w:ascii="Cambria" w:eastAsia="Times New Roman" w:hAnsi="Cambria" w:cs="Cambria"/>
          <w:color w:val="000000" w:themeColor="text1"/>
          <w:sz w:val="20"/>
          <w:szCs w:val="20"/>
          <w:lang w:val="es-CO"/>
        </w:rPr>
        <w:t xml:space="preserve">, ocurrida en </w:t>
      </w:r>
      <w:proofErr w:type="spellStart"/>
      <w:r w:rsidRPr="00D833CE">
        <w:rPr>
          <w:rFonts w:ascii="Cambria" w:eastAsia="Times New Roman" w:hAnsi="Cambria" w:cs="Cambria"/>
          <w:color w:val="000000" w:themeColor="text1"/>
          <w:sz w:val="20"/>
          <w:szCs w:val="20"/>
          <w:lang w:val="es-CO"/>
        </w:rPr>
        <w:t>Manay</w:t>
      </w:r>
      <w:proofErr w:type="spellEnd"/>
      <w:r w:rsidRPr="00D833CE">
        <w:rPr>
          <w:rFonts w:ascii="Cambria" w:eastAsia="Times New Roman" w:hAnsi="Cambria" w:cs="Cambria"/>
          <w:color w:val="000000" w:themeColor="text1"/>
          <w:sz w:val="20"/>
          <w:szCs w:val="20"/>
          <w:lang w:val="es-CO"/>
        </w:rPr>
        <w:t>, Huanta, el 19 de septiembre de 1986.Por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44D048D2"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9.809 - Informe Nº 13/90</w:t>
      </w:r>
      <w:r w:rsidRPr="00D833CE">
        <w:rPr>
          <w:rFonts w:ascii="Cambria" w:eastAsia="Times New Roman" w:hAnsi="Cambria" w:cs="Cambria"/>
          <w:color w:val="000000" w:themeColor="text1"/>
          <w:sz w:val="20"/>
          <w:szCs w:val="20"/>
        </w:rPr>
        <w:t xml:space="preserve"> </w:t>
      </w:r>
    </w:p>
    <w:p w14:paraId="5FD21973" w14:textId="1C5F9B6D"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Teófilo Ramos Gamboa, ocurrida en San Juan Bautista, Huamanga, el 18 de mayo de 1986.Por lo anterior, </w:t>
      </w:r>
      <w:r w:rsidRPr="00D833CE">
        <w:rPr>
          <w:rFonts w:ascii="Cambria" w:eastAsia="Times New Roman" w:hAnsi="Cambria" w:cs="Cambria"/>
          <w:color w:val="000000" w:themeColor="text1"/>
          <w:sz w:val="20"/>
          <w:szCs w:val="20"/>
          <w:lang w:val="es-CO"/>
        </w:rPr>
        <w:lastRenderedPageBreak/>
        <w:t>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1A273CE7"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9.807 - Informe Nº 12/90</w:t>
      </w:r>
      <w:r w:rsidRPr="00D833CE">
        <w:rPr>
          <w:rFonts w:ascii="Cambria" w:eastAsia="Times New Roman" w:hAnsi="Cambria" w:cs="Cambria"/>
          <w:color w:val="000000" w:themeColor="text1"/>
          <w:sz w:val="20"/>
          <w:szCs w:val="20"/>
        </w:rPr>
        <w:t xml:space="preserve"> </w:t>
      </w:r>
    </w:p>
    <w:p w14:paraId="6E582183"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Este caso se refiere a la detención por agentes del estado peruano y la posterior desaparición de Martín Escriba, ocurrida en Matero, Cangallo el 30 de julio de 1986.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460A9640"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9.806 - Informe Nº 11/90</w:t>
      </w:r>
      <w:r w:rsidRPr="00D833CE">
        <w:rPr>
          <w:rFonts w:ascii="Cambria" w:eastAsia="Times New Roman" w:hAnsi="Cambria" w:cs="Cambria"/>
          <w:color w:val="000000" w:themeColor="text1"/>
          <w:sz w:val="20"/>
          <w:szCs w:val="20"/>
        </w:rPr>
        <w:t xml:space="preserve"> </w:t>
      </w:r>
    </w:p>
    <w:p w14:paraId="1F32F23D"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Este caso se refiere a la detención por agentes del estado peruano y la posterior desaparición de Severino Quispe Pillaca ocurrida en Montero, Cangallo, el 30 de julio de 1986.Por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0083D19A"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9.805 - Informe Nº 10/90</w:t>
      </w:r>
      <w:r w:rsidRPr="00D833CE">
        <w:rPr>
          <w:rFonts w:ascii="Cambria" w:eastAsia="Times New Roman" w:hAnsi="Cambria" w:cs="Cambria"/>
          <w:color w:val="000000" w:themeColor="text1"/>
          <w:sz w:val="20"/>
          <w:szCs w:val="20"/>
        </w:rPr>
        <w:t xml:space="preserve"> </w:t>
      </w:r>
    </w:p>
    <w:p w14:paraId="5C0CA057"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Este caso se refiere a la detención por agentes del estado peruano y la posterior desaparición de Albino Quino Sulca, ocurrida en Matero, Cangallo el 30 de julio de 1986.Por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6B700790"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9.804 - Informe Nº 9/90</w:t>
      </w:r>
      <w:r w:rsidRPr="00D833CE">
        <w:rPr>
          <w:rFonts w:ascii="Cambria" w:eastAsia="Times New Roman" w:hAnsi="Cambria" w:cs="Cambria"/>
          <w:color w:val="000000" w:themeColor="text1"/>
          <w:sz w:val="20"/>
          <w:szCs w:val="20"/>
        </w:rPr>
        <w:t xml:space="preserve"> </w:t>
      </w:r>
    </w:p>
    <w:p w14:paraId="43DF2270"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Este caso se refiere a la detención por agentes del estado peruano y la posterior desaparición de Melchor Tineo Pérez, ocurrida en Matero, Cangallo el 30 de julio de 1986. 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6238F7BB"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9.803 - Informe Nº 8/90</w:t>
      </w:r>
      <w:r w:rsidRPr="00D833CE">
        <w:rPr>
          <w:rFonts w:ascii="Cambria" w:eastAsia="Times New Roman" w:hAnsi="Cambria" w:cs="Cambria"/>
          <w:color w:val="000000" w:themeColor="text1"/>
          <w:sz w:val="20"/>
          <w:szCs w:val="20"/>
        </w:rPr>
        <w:t xml:space="preserve"> </w:t>
      </w:r>
    </w:p>
    <w:p w14:paraId="3E84A0FE"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por agentes del estado peruano y la posterior desaparición de Teodoro Pillaca Tinco, ocurrida en </w:t>
      </w:r>
      <w:proofErr w:type="spellStart"/>
      <w:r w:rsidRPr="00D833CE">
        <w:rPr>
          <w:rFonts w:ascii="Cambria" w:eastAsia="Times New Roman" w:hAnsi="Cambria" w:cs="Cambria"/>
          <w:color w:val="000000" w:themeColor="text1"/>
          <w:sz w:val="20"/>
          <w:szCs w:val="20"/>
          <w:lang w:val="es-CO"/>
        </w:rPr>
        <w:t>Incanacall</w:t>
      </w:r>
      <w:proofErr w:type="spellEnd"/>
      <w:r w:rsidRPr="00D833CE">
        <w:rPr>
          <w:rFonts w:ascii="Cambria" w:eastAsia="Times New Roman" w:hAnsi="Cambria" w:cs="Cambria"/>
          <w:color w:val="000000" w:themeColor="text1"/>
          <w:sz w:val="20"/>
          <w:szCs w:val="20"/>
          <w:lang w:val="es-CO"/>
        </w:rPr>
        <w:t>, Cangallo el 9 de agosto de 1986.Por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012104DF"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9.802 - Informe Nº 10/89</w:t>
      </w:r>
      <w:r w:rsidRPr="00D833CE">
        <w:rPr>
          <w:rFonts w:ascii="Cambria" w:eastAsia="Times New Roman" w:hAnsi="Cambria" w:cs="Cambria"/>
          <w:color w:val="000000" w:themeColor="text1"/>
          <w:sz w:val="20"/>
          <w:szCs w:val="20"/>
        </w:rPr>
        <w:t xml:space="preserve"> </w:t>
      </w:r>
    </w:p>
    <w:p w14:paraId="6AC49542"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del señor Benito Rojas </w:t>
      </w:r>
      <w:proofErr w:type="spellStart"/>
      <w:r w:rsidRPr="00D833CE">
        <w:rPr>
          <w:rFonts w:ascii="Cambria" w:eastAsia="Times New Roman" w:hAnsi="Cambria" w:cs="Cambria"/>
          <w:color w:val="000000" w:themeColor="text1"/>
          <w:sz w:val="20"/>
          <w:szCs w:val="20"/>
          <w:lang w:val="es-CO"/>
        </w:rPr>
        <w:t>Ccorahua</w:t>
      </w:r>
      <w:proofErr w:type="spellEnd"/>
      <w:r w:rsidRPr="00D833CE">
        <w:rPr>
          <w:rFonts w:ascii="Cambria" w:eastAsia="Times New Roman" w:hAnsi="Cambria" w:cs="Cambria"/>
          <w:color w:val="000000" w:themeColor="text1"/>
          <w:sz w:val="20"/>
          <w:szCs w:val="20"/>
          <w:lang w:val="es-CO"/>
        </w:rPr>
        <w:t xml:space="preserve"> en 1986. Benito Rojas </w:t>
      </w:r>
      <w:proofErr w:type="spellStart"/>
      <w:r w:rsidRPr="00D833CE">
        <w:rPr>
          <w:rFonts w:ascii="Cambria" w:eastAsia="Times New Roman" w:hAnsi="Cambria" w:cs="Cambria"/>
          <w:color w:val="000000" w:themeColor="text1"/>
          <w:sz w:val="20"/>
          <w:szCs w:val="20"/>
          <w:lang w:val="es-CO"/>
        </w:rPr>
        <w:t>Ccorahua</w:t>
      </w:r>
      <w:proofErr w:type="spellEnd"/>
      <w:r w:rsidRPr="00D833CE">
        <w:rPr>
          <w:rFonts w:ascii="Cambria" w:eastAsia="Times New Roman" w:hAnsi="Cambria" w:cs="Cambria"/>
          <w:color w:val="000000" w:themeColor="text1"/>
          <w:sz w:val="20"/>
          <w:szCs w:val="20"/>
          <w:lang w:val="es-CO"/>
        </w:rPr>
        <w:t xml:space="preserve"> fue detenido el domingo 20 de julio de 1986, alrededor de las 11 a.m. en Tambo, provincia de La Mar por miembros de las fuerzas armadas y llevado, en presencia de testigos, a la Base Militar que está ubicada en el edificio municipal de ese lugar. Fue detenido en compañía de otras personas cuando se dirigía a la Iglesia Presbiteriana en Tambo de la cual es miembro. Su esposa informó su arresto en forma formal al Ministerio Público y al </w:t>
      </w:r>
      <w:proofErr w:type="gramStart"/>
      <w:r w:rsidRPr="00D833CE">
        <w:rPr>
          <w:rFonts w:ascii="Cambria" w:eastAsia="Times New Roman" w:hAnsi="Cambria" w:cs="Cambria"/>
          <w:color w:val="000000" w:themeColor="text1"/>
          <w:sz w:val="20"/>
          <w:szCs w:val="20"/>
          <w:lang w:val="es-CO"/>
        </w:rPr>
        <w:t>Jefe</w:t>
      </w:r>
      <w:proofErr w:type="gramEnd"/>
      <w:r w:rsidRPr="00D833CE">
        <w:rPr>
          <w:rFonts w:ascii="Cambria" w:eastAsia="Times New Roman" w:hAnsi="Cambria" w:cs="Cambria"/>
          <w:color w:val="000000" w:themeColor="text1"/>
          <w:sz w:val="20"/>
          <w:szCs w:val="20"/>
          <w:lang w:val="es-CO"/>
        </w:rPr>
        <w:t xml:space="preserve"> de la Policía Militar de esa zona. En esos testimonios su esposa dice que le fue permitido llevarle comida cada día del 20 al 28 de julio a la base de </w:t>
      </w:r>
      <w:r w:rsidRPr="00D833CE">
        <w:rPr>
          <w:rFonts w:ascii="Cambria" w:eastAsia="Times New Roman" w:hAnsi="Cambria" w:cs="Cambria"/>
          <w:color w:val="000000" w:themeColor="text1"/>
          <w:sz w:val="20"/>
          <w:szCs w:val="20"/>
          <w:lang w:val="es-CO"/>
        </w:rPr>
        <w:lastRenderedPageBreak/>
        <w:t xml:space="preserve">Tambo, y que habló personalmente con él, la última vez, el 28 de julio. El miércoles 30 de julio las autoridades militares de Tambo le notificaron que su marido no estaba allí detenido, y que había sido transferido a las barracas de Los Cabitos, en Ayacucho. Las autoridades militares de Tambo no proveen ninguna noticia de este arresto a los familiares, y ahora que ha sido transferido a Los Cabitos no se ha tenido ninguna información oficial de su paradero. En un memorial al Fiscal Superior Decano de Ayacucho, de 12 de agosto del corriente año, su esposa presenta evidencia de que Benito Rojas </w:t>
      </w:r>
      <w:proofErr w:type="spellStart"/>
      <w:r w:rsidRPr="00D833CE">
        <w:rPr>
          <w:rFonts w:ascii="Cambria" w:eastAsia="Times New Roman" w:hAnsi="Cambria" w:cs="Cambria"/>
          <w:color w:val="000000" w:themeColor="text1"/>
          <w:sz w:val="20"/>
          <w:szCs w:val="20"/>
          <w:lang w:val="es-CO"/>
        </w:rPr>
        <w:t>Ccorahua</w:t>
      </w:r>
      <w:proofErr w:type="spellEnd"/>
      <w:r w:rsidRPr="00D833CE">
        <w:rPr>
          <w:rFonts w:ascii="Cambria" w:eastAsia="Times New Roman" w:hAnsi="Cambria" w:cs="Cambria"/>
          <w:color w:val="000000" w:themeColor="text1"/>
          <w:sz w:val="20"/>
          <w:szCs w:val="20"/>
          <w:lang w:val="es-CO"/>
        </w:rPr>
        <w:t xml:space="preserve"> en efecto fue visto por otros prisioneros que estaban bajo custodia en Los Cabitos. También que un </w:t>
      </w:r>
      <w:proofErr w:type="gramStart"/>
      <w:r w:rsidRPr="00D833CE">
        <w:rPr>
          <w:rFonts w:ascii="Cambria" w:eastAsia="Times New Roman" w:hAnsi="Cambria" w:cs="Cambria"/>
          <w:color w:val="000000" w:themeColor="text1"/>
          <w:sz w:val="20"/>
          <w:szCs w:val="20"/>
          <w:lang w:val="es-CO"/>
        </w:rPr>
        <w:t>ex prisionero</w:t>
      </w:r>
      <w:proofErr w:type="gramEnd"/>
      <w:r w:rsidRPr="00D833CE">
        <w:rPr>
          <w:rFonts w:ascii="Cambria" w:eastAsia="Times New Roman" w:hAnsi="Cambria" w:cs="Cambria"/>
          <w:color w:val="000000" w:themeColor="text1"/>
          <w:sz w:val="20"/>
          <w:szCs w:val="20"/>
          <w:lang w:val="es-CO"/>
        </w:rPr>
        <w:t xml:space="preserve"> le informó, el 11 de agosto, que él había estado con Rojas </w:t>
      </w:r>
      <w:proofErr w:type="spellStart"/>
      <w:r w:rsidRPr="00D833CE">
        <w:rPr>
          <w:rFonts w:ascii="Cambria" w:eastAsia="Times New Roman" w:hAnsi="Cambria" w:cs="Cambria"/>
          <w:color w:val="000000" w:themeColor="text1"/>
          <w:sz w:val="20"/>
          <w:szCs w:val="20"/>
          <w:lang w:val="es-CO"/>
        </w:rPr>
        <w:t>Ccorahua</w:t>
      </w:r>
      <w:proofErr w:type="spellEnd"/>
      <w:r w:rsidRPr="00D833CE">
        <w:rPr>
          <w:rFonts w:ascii="Cambria" w:eastAsia="Times New Roman" w:hAnsi="Cambria" w:cs="Cambria"/>
          <w:color w:val="000000" w:themeColor="text1"/>
          <w:sz w:val="20"/>
          <w:szCs w:val="20"/>
          <w:lang w:val="es-CO"/>
        </w:rPr>
        <w:t xml:space="preserve"> en Los Cabitos hasta que fue liberado. En ese mismo memorial al Fiscal Superior Decano también se hizo notar que el recurso de habeas corpus se presentó en el Segundo Juzgado de Instrucción de Huamanga. Pero los magistrados que examinan la implementación del habeas corpus no han tenido acceso en las áreas de detención en Los Cabitos en años recientes y, como consecuencia de ello y la obstrucción por parte del Comando de la Policía Militar, el habeas corpus es en la práctica inaplicable en la zona de emergencia. Por lo anterior, la Comisión concluyó que el Estado peruano es responsable de la violación al derecho a la vida (artículo </w:t>
      </w:r>
      <w:proofErr w:type="gramStart"/>
      <w:r w:rsidRPr="00D833CE">
        <w:rPr>
          <w:rFonts w:ascii="Cambria" w:eastAsia="Times New Roman" w:hAnsi="Cambria" w:cs="Cambria"/>
          <w:color w:val="000000" w:themeColor="text1"/>
          <w:sz w:val="20"/>
          <w:szCs w:val="20"/>
          <w:lang w:val="es-CO"/>
        </w:rPr>
        <w:t>4 )</w:t>
      </w:r>
      <w:proofErr w:type="gramEnd"/>
      <w:r w:rsidRPr="00D833CE">
        <w:rPr>
          <w:rFonts w:ascii="Cambria" w:eastAsia="Times New Roman" w:hAnsi="Cambria" w:cs="Cambria"/>
          <w:color w:val="000000" w:themeColor="text1"/>
          <w:sz w:val="20"/>
          <w:szCs w:val="20"/>
          <w:lang w:val="es-CO"/>
        </w:rPr>
        <w:t>, del derecho a la seguridad e integridad de la persona (artículo 5 ) y del derecho a la libertad personal (artículo 7 ) de la Convención Americana sobre Derechos Humanos,</w:t>
      </w:r>
    </w:p>
    <w:p w14:paraId="129EF24D"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9.799 - Informe Nº 9/89</w:t>
      </w:r>
      <w:r w:rsidRPr="00D833CE">
        <w:rPr>
          <w:rFonts w:ascii="Cambria" w:eastAsia="Times New Roman" w:hAnsi="Cambria" w:cs="Cambria"/>
          <w:color w:val="000000" w:themeColor="text1"/>
          <w:sz w:val="20"/>
          <w:szCs w:val="20"/>
        </w:rPr>
        <w:t xml:space="preserve"> </w:t>
      </w:r>
    </w:p>
    <w:p w14:paraId="76C2336F"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la detención y posterior desaparición de los señores Eleodoro López </w:t>
      </w:r>
      <w:proofErr w:type="spellStart"/>
      <w:r w:rsidRPr="00D833CE">
        <w:rPr>
          <w:rFonts w:ascii="Cambria" w:eastAsia="Times New Roman" w:hAnsi="Cambria" w:cs="Cambria"/>
          <w:color w:val="000000" w:themeColor="text1"/>
          <w:sz w:val="20"/>
          <w:szCs w:val="20"/>
          <w:lang w:val="es-CO"/>
        </w:rPr>
        <w:t>Ballardo</w:t>
      </w:r>
      <w:proofErr w:type="spellEnd"/>
      <w:r w:rsidRPr="00D833CE">
        <w:rPr>
          <w:rFonts w:ascii="Cambria" w:eastAsia="Times New Roman" w:hAnsi="Cambria" w:cs="Cambria"/>
          <w:color w:val="000000" w:themeColor="text1"/>
          <w:sz w:val="20"/>
          <w:szCs w:val="20"/>
          <w:lang w:val="es-CO"/>
        </w:rPr>
        <w:t xml:space="preserve">, Rubén López Loyola y Bautista Rodríguez Arce quienes fueron detenidos por miembros de la Guardia Republicana el 1 de marzo de 1986 en la villa de Pichincha, cerca de </w:t>
      </w:r>
      <w:proofErr w:type="spellStart"/>
      <w:r w:rsidRPr="00D833CE">
        <w:rPr>
          <w:rFonts w:ascii="Cambria" w:eastAsia="Times New Roman" w:hAnsi="Cambria" w:cs="Cambria"/>
          <w:color w:val="000000" w:themeColor="text1"/>
          <w:sz w:val="20"/>
          <w:szCs w:val="20"/>
          <w:lang w:val="es-CO"/>
        </w:rPr>
        <w:t>Yanabuanca</w:t>
      </w:r>
      <w:proofErr w:type="spellEnd"/>
      <w:r w:rsidRPr="00D833CE">
        <w:rPr>
          <w:rFonts w:ascii="Cambria" w:eastAsia="Times New Roman" w:hAnsi="Cambria" w:cs="Cambria"/>
          <w:color w:val="000000" w:themeColor="text1"/>
          <w:sz w:val="20"/>
          <w:szCs w:val="20"/>
          <w:lang w:val="es-CO"/>
        </w:rPr>
        <w:t xml:space="preserve">. El 4 de marzo de 1986, el Comando de la Fuerza Armada de Cerro de Pasco publicó un comunicado (No.12/CCFAA-RRPP) donde informaba sobre el enfrentamiento armado el día anterior y la captura de tres subversivos, incluyendo uno que fue identificado en el comunicado como Walter López Loyola. Se cree que los otros eran Eliodoro López </w:t>
      </w:r>
      <w:proofErr w:type="spellStart"/>
      <w:r w:rsidRPr="00D833CE">
        <w:rPr>
          <w:rFonts w:ascii="Cambria" w:eastAsia="Times New Roman" w:hAnsi="Cambria" w:cs="Cambria"/>
          <w:color w:val="000000" w:themeColor="text1"/>
          <w:sz w:val="20"/>
          <w:szCs w:val="20"/>
          <w:lang w:val="es-CO"/>
        </w:rPr>
        <w:t>Ballardo</w:t>
      </w:r>
      <w:proofErr w:type="spellEnd"/>
      <w:r w:rsidRPr="00D833CE">
        <w:rPr>
          <w:rFonts w:ascii="Cambria" w:eastAsia="Times New Roman" w:hAnsi="Cambria" w:cs="Cambria"/>
          <w:color w:val="000000" w:themeColor="text1"/>
          <w:sz w:val="20"/>
          <w:szCs w:val="20"/>
          <w:lang w:val="es-CO"/>
        </w:rPr>
        <w:t xml:space="preserve">, padre del arriba mencionado y Bautista Rodríguez. Desde entonces no se ha tenido ninguna información sobre esas tres personas o su paradero. Sus familiares y miembros de los grupos de derechos humanos buscan por ellos, pero las fuerzas armadas niegan su detención. El fiscal de la provincia no ha sido informado de estos arrestos y los prisioneros no han sido llevados ante una corte, acusados del crimen o puestos en libertad. Se ignore su </w:t>
      </w:r>
      <w:proofErr w:type="spellStart"/>
      <w:proofErr w:type="gramStart"/>
      <w:r w:rsidRPr="00D833CE">
        <w:rPr>
          <w:rFonts w:ascii="Cambria" w:eastAsia="Times New Roman" w:hAnsi="Cambria" w:cs="Cambria"/>
          <w:color w:val="000000" w:themeColor="text1"/>
          <w:sz w:val="20"/>
          <w:szCs w:val="20"/>
          <w:lang w:val="es-CO"/>
        </w:rPr>
        <w:t>paradero</w:t>
      </w:r>
      <w:r w:rsidRPr="00D833CE">
        <w:rPr>
          <w:rFonts w:ascii="Verdana" w:eastAsia="Times New Roman" w:hAnsi="Verdana" w:cs="Verdana"/>
          <w:color w:val="000000" w:themeColor="text1"/>
          <w:sz w:val="20"/>
          <w:szCs w:val="20"/>
          <w:lang w:val="es-CO"/>
        </w:rPr>
        <w:t>.</w:t>
      </w:r>
      <w:r w:rsidRPr="00D833CE">
        <w:rPr>
          <w:rFonts w:ascii="Cambria" w:eastAsia="Times New Roman" w:hAnsi="Cambria" w:cs="Cambria"/>
          <w:color w:val="000000" w:themeColor="text1"/>
          <w:sz w:val="20"/>
          <w:szCs w:val="20"/>
          <w:lang w:val="es-CO"/>
        </w:rPr>
        <w:t>Por</w:t>
      </w:r>
      <w:proofErr w:type="spellEnd"/>
      <w:proofErr w:type="gramEnd"/>
      <w:r w:rsidRPr="00D833CE">
        <w:rPr>
          <w:rFonts w:ascii="Cambria" w:eastAsia="Times New Roman" w:hAnsi="Cambria" w:cs="Cambria"/>
          <w:color w:val="000000" w:themeColor="text1"/>
          <w:sz w:val="20"/>
          <w:szCs w:val="20"/>
          <w:lang w:val="es-CO"/>
        </w:rPr>
        <w:t xml:space="preserve"> lo anterior, la Comisión concluyó que el Estado peruano es responsable de la violación al derecho a la vida, la integridad personal, derecho a la libertad personal, y derecho a las garantías judiciales  (Artículos 4, 5, 7 y 8, respectivamente, de la Convención Americana sobre Derechos Humanos).</w:t>
      </w:r>
    </w:p>
    <w:p w14:paraId="133C23C3"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9786 - Informe Nº 33/88</w:t>
      </w:r>
    </w:p>
    <w:p w14:paraId="05349BD4"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Juan Geldres Orozco, </w:t>
      </w:r>
      <w:proofErr w:type="gramStart"/>
      <w:r w:rsidRPr="00D833CE">
        <w:rPr>
          <w:rFonts w:ascii="Cambria" w:eastAsia="Times New Roman" w:hAnsi="Cambria" w:cs="Cambria"/>
          <w:color w:val="000000" w:themeColor="text1"/>
          <w:sz w:val="20"/>
          <w:szCs w:val="20"/>
          <w:lang w:val="es-CO"/>
        </w:rPr>
        <w:t>Presidente</w:t>
      </w:r>
      <w:proofErr w:type="gramEnd"/>
      <w:r w:rsidRPr="00D833CE">
        <w:rPr>
          <w:rFonts w:ascii="Cambria" w:eastAsia="Times New Roman" w:hAnsi="Cambria" w:cs="Cambria"/>
          <w:color w:val="000000" w:themeColor="text1"/>
          <w:sz w:val="20"/>
          <w:szCs w:val="20"/>
          <w:lang w:val="es-CO"/>
        </w:rPr>
        <w:t xml:space="preserve"> de la Liga Agraria de Santa Rosa, quien fue detenido el 16 de septiembre de 1986, en el Distrito de </w:t>
      </w:r>
      <w:proofErr w:type="spellStart"/>
      <w:r w:rsidRPr="00D833CE">
        <w:rPr>
          <w:rFonts w:ascii="Cambria" w:eastAsia="Times New Roman" w:hAnsi="Cambria" w:cs="Cambria"/>
          <w:color w:val="000000" w:themeColor="text1"/>
          <w:sz w:val="20"/>
          <w:szCs w:val="20"/>
          <w:lang w:val="es-CO"/>
        </w:rPr>
        <w:t>Atna</w:t>
      </w:r>
      <w:proofErr w:type="spellEnd"/>
      <w:r w:rsidRPr="00D833CE">
        <w:rPr>
          <w:rFonts w:ascii="Cambria" w:eastAsia="Times New Roman" w:hAnsi="Cambria" w:cs="Cambria"/>
          <w:color w:val="000000" w:themeColor="text1"/>
          <w:sz w:val="20"/>
          <w:szCs w:val="20"/>
          <w:lang w:val="es-CO"/>
        </w:rPr>
        <w:t xml:space="preserve">, Provincia de la Mar, por miembros de la Infantería de Marina de Luisiana, en el Río </w:t>
      </w:r>
      <w:proofErr w:type="spellStart"/>
      <w:r w:rsidRPr="00D833CE">
        <w:rPr>
          <w:rFonts w:ascii="Cambria" w:eastAsia="Times New Roman" w:hAnsi="Cambria" w:cs="Cambria"/>
          <w:color w:val="000000" w:themeColor="text1"/>
          <w:sz w:val="20"/>
          <w:szCs w:val="20"/>
          <w:lang w:val="es-CO"/>
        </w:rPr>
        <w:t>Apurimac</w:t>
      </w:r>
      <w:proofErr w:type="spellEnd"/>
      <w:r w:rsidRPr="00D833CE">
        <w:rPr>
          <w:rFonts w:ascii="Cambria" w:eastAsia="Times New Roman" w:hAnsi="Cambria" w:cs="Cambria"/>
          <w:color w:val="000000" w:themeColor="text1"/>
          <w:sz w:val="20"/>
          <w:szCs w:val="20"/>
          <w:lang w:val="es-CO"/>
        </w:rPr>
        <w:t xml:space="preserve">. Hay información de la aplicación de torturas en ese cuartel. Benigno Contreras, de 37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fue detenido en su casa en la ciudad de Ayacucho por miembros del Servicio de Inteligencia del Ejército, el 24 de septiembre de 1986, en presencia de varios testigos. Por lo anterior, la Comisión concluyó que el Estado peruano es responsable de violaciones del derecho a la libertad personal (artículo 7º) y del derecho a la vida (artículo 4º) de la Convención Americana sobre Derechos Humanos.</w:t>
      </w:r>
    </w:p>
    <w:p w14:paraId="4E4AB908"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9.748 - Informe Nº 30/88</w:t>
      </w:r>
      <w:r w:rsidRPr="00D833CE">
        <w:rPr>
          <w:rFonts w:ascii="Cambria" w:eastAsia="Times New Roman" w:hAnsi="Cambria" w:cs="Cambria"/>
          <w:color w:val="000000" w:themeColor="text1"/>
          <w:sz w:val="20"/>
          <w:szCs w:val="20"/>
        </w:rPr>
        <w:t xml:space="preserve"> </w:t>
      </w:r>
    </w:p>
    <w:p w14:paraId="23A93768"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Luis Máximo Vera Aragón, profesor de metodología de la educación de la Universidad de San Carlos de Huamanga, quien en la ciudad Ayacucho, fue interceptado en una calle cerca de su casa en la ciudad de Ayacucho, el día 6 de junio de 1986, a las 9:00 p.m. por un grupo de hombres vestidos de uniforme azul, que se cree pertenecen a la Fuerza Aérea peruana, quienes lo forzaron a entrar al vehículo y se dieron a la fuga. Al momento en que se llevaba a cabo ese arresto se escucharon gritos de ayuda en la calle, pero la gente que trató de acercarse al vehículo fue impedida de hacerlo por miedo a </w:t>
      </w:r>
      <w:r w:rsidRPr="00D833CE">
        <w:rPr>
          <w:rFonts w:ascii="Cambria" w:eastAsia="Times New Roman" w:hAnsi="Cambria" w:cs="Cambria"/>
          <w:color w:val="000000" w:themeColor="text1"/>
          <w:sz w:val="20"/>
          <w:szCs w:val="20"/>
          <w:lang w:val="es-CO"/>
        </w:rPr>
        <w:lastRenderedPageBreak/>
        <w:t>disparos. Las autoridades de seguridad niegan haber detenido a Luis Máximo Vera y su paradero permanece desconocido. Por lo anterior, la Comisión concluyó que el Estado peruano es responsable de violaciones del derecho a la libertad personal (Art. 7º) y del derecho a la vida (Art. 4º) de la Convención Americana sobre Derechos Humanos.</w:t>
      </w:r>
    </w:p>
    <w:p w14:paraId="2DBF5FE8"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9.511 - Informe Nº 19/88</w:t>
      </w:r>
    </w:p>
    <w:p w14:paraId="21CF19EE"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Lucio Lozano Huayta, de 39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casado, albañil, quien fue detenido el día 15 de noviembre de 1983, a las 3 p.m., en Ayacucho, Huanta, Consejo Provincial, por las fuerzas de la PIP. Se interpuso denuncia al </w:t>
      </w:r>
      <w:proofErr w:type="gramStart"/>
      <w:r w:rsidRPr="00D833CE">
        <w:rPr>
          <w:rFonts w:ascii="Cambria" w:eastAsia="Times New Roman" w:hAnsi="Cambria" w:cs="Cambria"/>
          <w:color w:val="000000" w:themeColor="text1"/>
          <w:sz w:val="20"/>
          <w:szCs w:val="20"/>
          <w:lang w:val="es-CO"/>
        </w:rPr>
        <w:t>Fiscal Provincial</w:t>
      </w:r>
      <w:proofErr w:type="gramEnd"/>
      <w:r w:rsidRPr="00D833CE">
        <w:rPr>
          <w:rFonts w:ascii="Cambria" w:eastAsia="Times New Roman" w:hAnsi="Cambria" w:cs="Cambria"/>
          <w:color w:val="000000" w:themeColor="text1"/>
          <w:sz w:val="20"/>
          <w:szCs w:val="20"/>
          <w:lang w:val="es-CO"/>
        </w:rPr>
        <w:t xml:space="preserve"> ad hoc de Huanta, el 28-11-83. El cadáver fue hallado el 30 de diciembre del mismo año en </w:t>
      </w:r>
      <w:proofErr w:type="spellStart"/>
      <w:r w:rsidRPr="00D833CE">
        <w:rPr>
          <w:rFonts w:ascii="Cambria" w:eastAsia="Times New Roman" w:hAnsi="Cambria" w:cs="Cambria"/>
          <w:color w:val="000000" w:themeColor="text1"/>
          <w:sz w:val="20"/>
          <w:szCs w:val="20"/>
          <w:lang w:val="es-CO"/>
        </w:rPr>
        <w:t>Rashuillca</w:t>
      </w:r>
      <w:proofErr w:type="spellEnd"/>
      <w:r w:rsidRPr="00D833CE">
        <w:rPr>
          <w:rFonts w:ascii="Cambria" w:eastAsia="Times New Roman" w:hAnsi="Cambria" w:cs="Cambria"/>
          <w:color w:val="000000" w:themeColor="text1"/>
          <w:sz w:val="20"/>
          <w:szCs w:val="20"/>
          <w:lang w:val="es-CO"/>
        </w:rPr>
        <w:t xml:space="preserve">, camino a la laguna, Huanta.  Por lo anterior, la Comisión concluyó que el Estado peruano es responsable de la violación al derecho a la vida (Artículo 4) de la Convención Americana de Derechos Humanos. </w:t>
      </w:r>
    </w:p>
    <w:p w14:paraId="2122805A"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9.505 - Informe Nº 18/88</w:t>
      </w:r>
      <w:r w:rsidRPr="00D833CE">
        <w:rPr>
          <w:rFonts w:ascii="Cambria" w:eastAsia="Times New Roman" w:hAnsi="Cambria" w:cs="Cambria"/>
          <w:color w:val="000000" w:themeColor="text1"/>
          <w:sz w:val="20"/>
          <w:szCs w:val="20"/>
        </w:rPr>
        <w:t xml:space="preserve"> </w:t>
      </w:r>
    </w:p>
    <w:p w14:paraId="43A2BBB6" w14:textId="77777777" w:rsidR="009D1967" w:rsidRPr="00D833CE" w:rsidRDefault="009D1967" w:rsidP="009D1967">
      <w:pPr>
        <w:spacing w:before="240" w:after="24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Juan Hugo Calle Rodríguez, de 18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estudiante de secundaria, quien fue detenido el 24 de octubre de 1984 en Ayacucho por Fuerzas Policiales. Según la revista "Caretas" del 26 de noviembre de 1984, el 23 de noviembre de 1984 fue hallado su cadáver en fosa clandestina en "Tambillo", a 23 kilómetros de Ayacucho. Por lo anterior, la Comisión concluyó que el Estado peruano es responsable de la violación al derecho de la vida (Artículo 4) de la Convención Americana sobre Derechos Humanos. </w:t>
      </w:r>
    </w:p>
    <w:p w14:paraId="550805BD"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9.503 - Informe Nº 17/88</w:t>
      </w:r>
      <w:r w:rsidRPr="00D833CE">
        <w:rPr>
          <w:rFonts w:ascii="Cambria" w:eastAsia="Times New Roman" w:hAnsi="Cambria" w:cs="Cambria"/>
          <w:color w:val="000000" w:themeColor="text1"/>
          <w:sz w:val="20"/>
          <w:szCs w:val="20"/>
        </w:rPr>
        <w:t xml:space="preserve"> </w:t>
      </w:r>
    </w:p>
    <w:p w14:paraId="2FD10E96"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Marcial Flores Sulca, de 18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soltero, comerciante, quien fue detenido el 19 de octubre de 1983, en Ayacucho, Huanta, en la localidad de "Paso Espíritu", por la Infantería de la Marina. El 21 de octubre de 1983 se encontró el cadáver en la morgue del hospital de Huanta. Sus padres fueron testigos de la detención, según testimonios firmados. Por lo anterior, la Comisión concluyó que el Estado peruano es responsable de la violación al derecho a la vida (Artículo 4) de la Convención Americana sobre Derechos Humanos.  </w:t>
      </w:r>
    </w:p>
    <w:p w14:paraId="02294BB1"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9.506 - Informe Nº 16/88</w:t>
      </w:r>
      <w:r w:rsidRPr="00D833CE">
        <w:rPr>
          <w:rFonts w:ascii="Cambria" w:eastAsia="Times New Roman" w:hAnsi="Cambria" w:cs="Cambria"/>
          <w:color w:val="000000" w:themeColor="text1"/>
          <w:sz w:val="20"/>
          <w:szCs w:val="20"/>
        </w:rPr>
        <w:t xml:space="preserve"> </w:t>
      </w:r>
    </w:p>
    <w:p w14:paraId="05496573"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Nemesio Fernández Lapa, de 75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empleado civil, retirado del ejército, quien fue detenido a las 11 p.m. el día 15 de julio de 1984, en Ayacucho, Huanta, por la Infantería Marina. Su cadáver fue hallado el 23 de agosto de 1984, en fosas clandestinas en </w:t>
      </w:r>
      <w:proofErr w:type="spellStart"/>
      <w:r w:rsidRPr="00D833CE">
        <w:rPr>
          <w:rFonts w:ascii="Cambria" w:eastAsia="Times New Roman" w:hAnsi="Cambria" w:cs="Cambria"/>
          <w:color w:val="000000" w:themeColor="text1"/>
          <w:sz w:val="20"/>
          <w:szCs w:val="20"/>
          <w:lang w:val="es-CO"/>
        </w:rPr>
        <w:t>Pucayacu</w:t>
      </w:r>
      <w:proofErr w:type="spellEnd"/>
      <w:r w:rsidRPr="00D833CE">
        <w:rPr>
          <w:rFonts w:ascii="Cambria" w:eastAsia="Times New Roman" w:hAnsi="Cambria" w:cs="Cambria"/>
          <w:color w:val="000000" w:themeColor="text1"/>
          <w:sz w:val="20"/>
          <w:szCs w:val="20"/>
          <w:lang w:val="es-CO"/>
        </w:rPr>
        <w:t xml:space="preserve">.  Según la revista "Caretas" del 20 de agosto de 1984, la familia dio testimonio a la fiscalía sobre la detención y el posterior reconocimiento del cadáver. Según la misma revista del 9 de octubre de 1984, fue la hija la que reconoció a su padre entre los 50 cadáveres de las fosas comunes de </w:t>
      </w:r>
      <w:proofErr w:type="spellStart"/>
      <w:r w:rsidRPr="00D833CE">
        <w:rPr>
          <w:rFonts w:ascii="Cambria" w:eastAsia="Times New Roman" w:hAnsi="Cambria" w:cs="Cambria"/>
          <w:color w:val="000000" w:themeColor="text1"/>
          <w:sz w:val="20"/>
          <w:szCs w:val="20"/>
          <w:lang w:val="es-CO"/>
        </w:rPr>
        <w:t>Pucayacu</w:t>
      </w:r>
      <w:proofErr w:type="spellEnd"/>
      <w:r w:rsidRPr="00D833CE">
        <w:rPr>
          <w:rFonts w:ascii="Cambria" w:eastAsia="Times New Roman" w:hAnsi="Cambria" w:cs="Cambria"/>
          <w:color w:val="000000" w:themeColor="text1"/>
          <w:sz w:val="20"/>
          <w:szCs w:val="20"/>
          <w:lang w:val="es-CO"/>
        </w:rPr>
        <w:t xml:space="preserve">. Por lo anterior, la Comisión concluyó que el Estado peruano es responsable de la violación al derecho a la vida (Artículo 4) de la Convención Americana sobre Derechos Humanos. </w:t>
      </w:r>
    </w:p>
    <w:p w14:paraId="6BC59D55"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9.433 - Informe Nº 15/88</w:t>
      </w:r>
      <w:r w:rsidRPr="00D833CE">
        <w:rPr>
          <w:rFonts w:ascii="Cambria" w:eastAsia="Times New Roman" w:hAnsi="Cambria" w:cs="Cambria"/>
          <w:color w:val="000000" w:themeColor="text1"/>
          <w:sz w:val="20"/>
          <w:szCs w:val="20"/>
        </w:rPr>
        <w:t xml:space="preserve"> </w:t>
      </w:r>
    </w:p>
    <w:p w14:paraId="1731AB53"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los hechos de enero de 1984, en los que se recibieron informes según los cuales don Rómulo </w:t>
      </w:r>
      <w:proofErr w:type="spellStart"/>
      <w:r w:rsidRPr="00D833CE">
        <w:rPr>
          <w:rFonts w:ascii="Cambria" w:eastAsia="Times New Roman" w:hAnsi="Cambria" w:cs="Cambria"/>
          <w:color w:val="000000" w:themeColor="text1"/>
          <w:sz w:val="20"/>
          <w:szCs w:val="20"/>
          <w:lang w:val="es-CO"/>
        </w:rPr>
        <w:t>Yangali</w:t>
      </w:r>
      <w:proofErr w:type="spellEnd"/>
      <w:r w:rsidRPr="00D833CE">
        <w:rPr>
          <w:rFonts w:ascii="Cambria" w:eastAsia="Times New Roman" w:hAnsi="Cambria" w:cs="Cambria"/>
          <w:color w:val="000000" w:themeColor="text1"/>
          <w:sz w:val="20"/>
          <w:szCs w:val="20"/>
          <w:lang w:val="es-CO"/>
        </w:rPr>
        <w:t xml:space="preserve">, funcionario del Registro Electoral de Churcampa, Efrén </w:t>
      </w:r>
      <w:proofErr w:type="spellStart"/>
      <w:r w:rsidRPr="00D833CE">
        <w:rPr>
          <w:rFonts w:ascii="Cambria" w:eastAsia="Times New Roman" w:hAnsi="Cambria" w:cs="Cambria"/>
          <w:color w:val="000000" w:themeColor="text1"/>
          <w:sz w:val="20"/>
          <w:szCs w:val="20"/>
          <w:lang w:val="es-CO"/>
        </w:rPr>
        <w:t>Yangali</w:t>
      </w:r>
      <w:proofErr w:type="spellEnd"/>
      <w:r w:rsidRPr="00D833CE">
        <w:rPr>
          <w:rFonts w:ascii="Cambria" w:eastAsia="Times New Roman" w:hAnsi="Cambria" w:cs="Cambria"/>
          <w:color w:val="000000" w:themeColor="text1"/>
          <w:sz w:val="20"/>
          <w:szCs w:val="20"/>
          <w:lang w:val="es-CO"/>
        </w:rPr>
        <w:t xml:space="preserve">, abogado, Fortunato </w:t>
      </w:r>
      <w:proofErr w:type="spellStart"/>
      <w:r w:rsidRPr="00D833CE">
        <w:rPr>
          <w:rFonts w:ascii="Cambria" w:eastAsia="Times New Roman" w:hAnsi="Cambria" w:cs="Cambria"/>
          <w:color w:val="000000" w:themeColor="text1"/>
          <w:sz w:val="20"/>
          <w:szCs w:val="20"/>
          <w:lang w:val="es-CO"/>
        </w:rPr>
        <w:t>Yangali</w:t>
      </w:r>
      <w:proofErr w:type="spellEnd"/>
      <w:r w:rsidRPr="00D833CE">
        <w:rPr>
          <w:rFonts w:ascii="Cambria" w:eastAsia="Times New Roman" w:hAnsi="Cambria" w:cs="Cambria"/>
          <w:color w:val="000000" w:themeColor="text1"/>
          <w:sz w:val="20"/>
          <w:szCs w:val="20"/>
          <w:lang w:val="es-CO"/>
        </w:rPr>
        <w:t xml:space="preserve">, empleado de la Oficina del Consejo del Distrito y Hugo Bustamante, maestro de escuela primaria del Colegio "Antonio Raymondi" de Churcampa, fueron detenidos por la Guardia Civil en sus casas de Churcampa, Provincia de Tayacaja, en la tarde del 21 de noviembre de 1983. Algunos vecinos y un oficial de la Guardia Civil declararon que el día siguiente por la mañana temprano fueron llevados en un vehículo blindado a la ciudad de Ayacucho y, según informes, detenidos en "Los Cabitos", el Cuartel General Regional del Ejército. Se informó que el comandante del Ejército en Ayacucho confirmó </w:t>
      </w:r>
      <w:r w:rsidRPr="00D833CE">
        <w:rPr>
          <w:rFonts w:ascii="Cambria" w:eastAsia="Times New Roman" w:hAnsi="Cambria" w:cs="Cambria"/>
          <w:color w:val="000000" w:themeColor="text1"/>
          <w:sz w:val="20"/>
          <w:szCs w:val="20"/>
          <w:lang w:val="es-CO"/>
        </w:rPr>
        <w:lastRenderedPageBreak/>
        <w:t xml:space="preserve">que el Dr. Efrén </w:t>
      </w:r>
      <w:proofErr w:type="spellStart"/>
      <w:r w:rsidRPr="00D833CE">
        <w:rPr>
          <w:rFonts w:ascii="Cambria" w:eastAsia="Times New Roman" w:hAnsi="Cambria" w:cs="Cambria"/>
          <w:color w:val="000000" w:themeColor="text1"/>
          <w:sz w:val="20"/>
          <w:szCs w:val="20"/>
          <w:lang w:val="es-CO"/>
        </w:rPr>
        <w:t>Yangali</w:t>
      </w:r>
      <w:proofErr w:type="spellEnd"/>
      <w:r w:rsidRPr="00D833CE">
        <w:rPr>
          <w:rFonts w:ascii="Cambria" w:eastAsia="Times New Roman" w:hAnsi="Cambria" w:cs="Cambria"/>
          <w:color w:val="000000" w:themeColor="text1"/>
          <w:sz w:val="20"/>
          <w:szCs w:val="20"/>
          <w:lang w:val="es-CO"/>
        </w:rPr>
        <w:t xml:space="preserve"> y don Rómulo </w:t>
      </w:r>
      <w:proofErr w:type="spellStart"/>
      <w:r w:rsidRPr="00D833CE">
        <w:rPr>
          <w:rFonts w:ascii="Cambria" w:eastAsia="Times New Roman" w:hAnsi="Cambria" w:cs="Cambria"/>
          <w:color w:val="000000" w:themeColor="text1"/>
          <w:sz w:val="20"/>
          <w:szCs w:val="20"/>
          <w:lang w:val="es-CO"/>
        </w:rPr>
        <w:t>Yangali</w:t>
      </w:r>
      <w:proofErr w:type="spellEnd"/>
      <w:r w:rsidRPr="00D833CE">
        <w:rPr>
          <w:rFonts w:ascii="Cambria" w:eastAsia="Times New Roman" w:hAnsi="Cambria" w:cs="Cambria"/>
          <w:color w:val="000000" w:themeColor="text1"/>
          <w:sz w:val="20"/>
          <w:szCs w:val="20"/>
          <w:lang w:val="es-CO"/>
        </w:rPr>
        <w:t xml:space="preserve"> estaban bajo custodia del Ejército el 24 de noviembre, por sospechas de colaborar con guerrilleros de Sendero Luminoso, pero posteriormente se dijo que </w:t>
      </w:r>
      <w:proofErr w:type="spellStart"/>
      <w:r w:rsidRPr="00D833CE">
        <w:rPr>
          <w:rFonts w:ascii="Cambria" w:eastAsia="Times New Roman" w:hAnsi="Cambria" w:cs="Cambria"/>
          <w:color w:val="000000" w:themeColor="text1"/>
          <w:sz w:val="20"/>
          <w:szCs w:val="20"/>
          <w:lang w:val="es-CO"/>
        </w:rPr>
        <w:t>ésto</w:t>
      </w:r>
      <w:proofErr w:type="spellEnd"/>
      <w:r w:rsidRPr="00D833CE">
        <w:rPr>
          <w:rFonts w:ascii="Cambria" w:eastAsia="Times New Roman" w:hAnsi="Cambria" w:cs="Cambria"/>
          <w:color w:val="000000" w:themeColor="text1"/>
          <w:sz w:val="20"/>
          <w:szCs w:val="20"/>
          <w:lang w:val="es-CO"/>
        </w:rPr>
        <w:t xml:space="preserve"> era un "error". Las autoridades militares siguen desmintiendo que los cuatro hombres están detenidos, y no han proporcionado información sobre sus paraderos. Existen informes extraoficiales que los cuatro fueron detenidos en un campamento militar secreto en el pueblo de Cangallo, Ayacucho, y </w:t>
      </w:r>
      <w:proofErr w:type="spellStart"/>
      <w:r w:rsidRPr="00D833CE">
        <w:rPr>
          <w:rFonts w:ascii="Cambria" w:eastAsia="Times New Roman" w:hAnsi="Cambria" w:cs="Cambria"/>
          <w:color w:val="000000" w:themeColor="text1"/>
          <w:sz w:val="20"/>
          <w:szCs w:val="20"/>
          <w:lang w:val="es-CO"/>
        </w:rPr>
        <w:t>ex-presos</w:t>
      </w:r>
      <w:proofErr w:type="spellEnd"/>
      <w:r w:rsidRPr="00D833CE">
        <w:rPr>
          <w:rFonts w:ascii="Cambria" w:eastAsia="Times New Roman" w:hAnsi="Cambria" w:cs="Cambria"/>
          <w:color w:val="000000" w:themeColor="text1"/>
          <w:sz w:val="20"/>
          <w:szCs w:val="20"/>
          <w:lang w:val="es-CO"/>
        </w:rPr>
        <w:t xml:space="preserve"> han denunciado que Efrén y Rómulo </w:t>
      </w:r>
      <w:proofErr w:type="spellStart"/>
      <w:r w:rsidRPr="00D833CE">
        <w:rPr>
          <w:rFonts w:ascii="Cambria" w:eastAsia="Times New Roman" w:hAnsi="Cambria" w:cs="Cambria"/>
          <w:color w:val="000000" w:themeColor="text1"/>
          <w:sz w:val="20"/>
          <w:szCs w:val="20"/>
          <w:lang w:val="es-CO"/>
        </w:rPr>
        <w:t>Yangali</w:t>
      </w:r>
      <w:proofErr w:type="spellEnd"/>
      <w:r w:rsidRPr="00D833CE">
        <w:rPr>
          <w:rFonts w:ascii="Cambria" w:eastAsia="Times New Roman" w:hAnsi="Cambria" w:cs="Cambria"/>
          <w:color w:val="000000" w:themeColor="text1"/>
          <w:sz w:val="20"/>
          <w:szCs w:val="20"/>
          <w:lang w:val="es-CO"/>
        </w:rPr>
        <w:t xml:space="preserve"> han sido gravemente heridos. Aparentemente el Poder Judicial no ha investigado estos informes. El Poder Judicial también ha negado peticiones de </w:t>
      </w:r>
      <w:r w:rsidRPr="00D833CE">
        <w:rPr>
          <w:rFonts w:ascii="Cambria" w:eastAsia="Times New Roman" w:hAnsi="Cambria" w:cs="Cambria"/>
          <w:color w:val="000000" w:themeColor="text1"/>
          <w:sz w:val="20"/>
          <w:szCs w:val="20"/>
          <w:u w:val="single"/>
          <w:lang w:val="es-CO"/>
        </w:rPr>
        <w:t>habeas</w:t>
      </w: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color w:val="000000" w:themeColor="text1"/>
          <w:sz w:val="20"/>
          <w:szCs w:val="20"/>
          <w:u w:val="single"/>
          <w:lang w:val="es-CO"/>
        </w:rPr>
        <w:t>corpus</w:t>
      </w:r>
      <w:r w:rsidRPr="00D833CE">
        <w:rPr>
          <w:rFonts w:ascii="Cambria" w:eastAsia="Times New Roman" w:hAnsi="Cambria" w:cs="Cambria"/>
          <w:color w:val="000000" w:themeColor="text1"/>
          <w:sz w:val="20"/>
          <w:szCs w:val="20"/>
          <w:lang w:val="es-CO"/>
        </w:rPr>
        <w:t xml:space="preserve"> por el motivo de que las garantías constitucionales están suspendidas bajo el estado de emergencia. Por lo anterior, la Comisión concluyó que el Estado peruano es responsable de la violación al a la libertad personal (Artículo 7), derecho a las garantías judiciales (Artículo 8) y derecho a la vida (Artículo 4) de la Convención Americana de Derechos Humanos. </w:t>
      </w:r>
    </w:p>
    <w:p w14:paraId="6786579B"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9.507 - Informe Nº 14/88</w:t>
      </w:r>
      <w:r w:rsidRPr="00D833CE">
        <w:rPr>
          <w:rFonts w:ascii="Cambria" w:eastAsia="Times New Roman" w:hAnsi="Cambria" w:cs="Cambria"/>
          <w:color w:val="000000" w:themeColor="text1"/>
          <w:sz w:val="20"/>
          <w:szCs w:val="20"/>
        </w:rPr>
        <w:t xml:space="preserve"> </w:t>
      </w:r>
    </w:p>
    <w:p w14:paraId="27DBC7F3"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lo ocurrido el 26 de agosto de 1984, a las 9 a.m. en la calle 28 de Julio de la ciudad de Ayacucho, en donde Florentino Mendoza </w:t>
      </w:r>
      <w:proofErr w:type="spellStart"/>
      <w:r w:rsidRPr="00D833CE">
        <w:rPr>
          <w:rFonts w:ascii="Cambria" w:eastAsia="Times New Roman" w:hAnsi="Cambria" w:cs="Cambria"/>
          <w:color w:val="000000" w:themeColor="text1"/>
          <w:sz w:val="20"/>
          <w:szCs w:val="20"/>
          <w:lang w:val="es-CO"/>
        </w:rPr>
        <w:t>Huaman</w:t>
      </w:r>
      <w:proofErr w:type="spellEnd"/>
      <w:r w:rsidRPr="00D833CE">
        <w:rPr>
          <w:rFonts w:ascii="Cambria" w:eastAsia="Times New Roman" w:hAnsi="Cambria" w:cs="Cambria"/>
          <w:color w:val="000000" w:themeColor="text1"/>
          <w:sz w:val="20"/>
          <w:szCs w:val="20"/>
          <w:lang w:val="es-CO"/>
        </w:rPr>
        <w:t xml:space="preserve">, policía municipal del Consejo Provincial de Huamanga, fue detenido por efectivos del Servicio de Inteligencia de las Fuerzas Armadas, en un carro azul, sin placa. Su esposa, Raquel Acevedo Bellido, recurrió a todas las dependencias policiales de la zona y ninguna proveyó información al respecto. </w:t>
      </w:r>
      <w:proofErr w:type="gramStart"/>
      <w:r w:rsidRPr="00D833CE">
        <w:rPr>
          <w:rFonts w:ascii="Cambria" w:eastAsia="Times New Roman" w:hAnsi="Cambria" w:cs="Cambria"/>
          <w:color w:val="000000" w:themeColor="text1"/>
          <w:sz w:val="20"/>
          <w:szCs w:val="20"/>
          <w:lang w:val="es-CO"/>
        </w:rPr>
        <w:t>Asimismo</w:t>
      </w:r>
      <w:proofErr w:type="gramEnd"/>
      <w:r w:rsidRPr="00D833CE">
        <w:rPr>
          <w:rFonts w:ascii="Cambria" w:eastAsia="Times New Roman" w:hAnsi="Cambria" w:cs="Cambria"/>
          <w:color w:val="000000" w:themeColor="text1"/>
          <w:sz w:val="20"/>
          <w:szCs w:val="20"/>
          <w:lang w:val="es-CO"/>
        </w:rPr>
        <w:t xml:space="preserve"> se interpuso denuncia ante el Fiscal Superior de la Nación. Según reportaje de la revista "Caretas", el 23 de noviembre de 1984, en el distrito de Tambillos a 25 kilómetros de Ayacucho, fue hallado su cadáver, el que fue reconocido por su esposa el 26 de noviembre de 1984. Por lo anterior, la Comisión concluyó que el Estado peruano es responsable de la violación al derecho a la vida (Artículo 4) de la Convención Americana sobre Derechos Humanos. </w:t>
      </w:r>
    </w:p>
    <w:p w14:paraId="35928BAC" w14:textId="77777777" w:rsidR="009D1967" w:rsidRPr="00D833CE" w:rsidRDefault="009D1967" w:rsidP="00055027">
      <w:pPr>
        <w:numPr>
          <w:ilvl w:val="0"/>
          <w:numId w:val="39"/>
        </w:numPr>
        <w:spacing w:before="240" w:after="24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b/>
          <w:color w:val="000000" w:themeColor="text1"/>
          <w:sz w:val="20"/>
          <w:szCs w:val="20"/>
        </w:rPr>
        <w:t>Caso 9.508 - Informe Nº 13/88</w:t>
      </w:r>
      <w:r w:rsidRPr="00D833CE">
        <w:rPr>
          <w:rFonts w:ascii="Cambria" w:eastAsia="Times New Roman" w:hAnsi="Cambria" w:cs="Cambria"/>
          <w:color w:val="000000" w:themeColor="text1"/>
          <w:sz w:val="20"/>
          <w:szCs w:val="20"/>
        </w:rPr>
        <w:t xml:space="preserve"> </w:t>
      </w:r>
    </w:p>
    <w:p w14:paraId="52050985"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Lidia Quispe Silva, de 19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soltera, estudiante, quien fue detenida a las 11 p.m. el 15 de diciembre de 1983, en Ayacucho, Huamanga, por la Guardia Civil. El 16 de diciembre del mismo año se interpuso denuncia ante el Fiscal provincial ad hoc de Ayacucho. En julio de 1984, fue hallado su cadáver en el interior de una alcantarilla en el kilómetro 384 de la vía Los Libertadores. Por lo anterior, la Comisión concluyó que el Estado peruano es responsable de la violación al derecho a la vida (Artículo 4) de la Convención Americana sobre Derechos Humanos.  </w:t>
      </w:r>
    </w:p>
    <w:p w14:paraId="264B0A76"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27DD0DDC"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9.510 - Informe Nº 12/88</w:t>
      </w:r>
      <w:r w:rsidRPr="00D833CE">
        <w:rPr>
          <w:rFonts w:ascii="Cambria" w:eastAsia="Times New Roman" w:hAnsi="Cambria" w:cs="Cambria"/>
          <w:color w:val="000000" w:themeColor="text1"/>
          <w:sz w:val="20"/>
          <w:szCs w:val="20"/>
        </w:rPr>
        <w:t xml:space="preserve"> </w:t>
      </w:r>
    </w:p>
    <w:p w14:paraId="66698537"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79287614"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Reyna Esperanza Cervantes </w:t>
      </w:r>
      <w:proofErr w:type="spellStart"/>
      <w:r w:rsidRPr="00D833CE">
        <w:rPr>
          <w:rFonts w:ascii="Cambria" w:eastAsia="Times New Roman" w:hAnsi="Cambria" w:cs="Cambria"/>
          <w:color w:val="000000" w:themeColor="text1"/>
          <w:sz w:val="20"/>
          <w:szCs w:val="20"/>
          <w:lang w:val="es-CO"/>
        </w:rPr>
        <w:t>Romani</w:t>
      </w:r>
      <w:proofErr w:type="spellEnd"/>
      <w:r w:rsidRPr="00D833CE">
        <w:rPr>
          <w:rFonts w:ascii="Cambria" w:eastAsia="Times New Roman" w:hAnsi="Cambria" w:cs="Cambria"/>
          <w:color w:val="000000" w:themeColor="text1"/>
          <w:sz w:val="20"/>
          <w:szCs w:val="20"/>
          <w:lang w:val="es-CO"/>
        </w:rPr>
        <w:t xml:space="preserve">, de 22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casada, estudiante, quien fue detenida el 7 de noviembre de 1983, a las 10 p.m., en Ayacucho, Huanta por la Infantería Marina. Los vecinos fueron testigos de su detención. Se interpusieron los siguientes recursos: denuncia ante el </w:t>
      </w:r>
      <w:proofErr w:type="gramStart"/>
      <w:r w:rsidRPr="00D833CE">
        <w:rPr>
          <w:rFonts w:ascii="Cambria" w:eastAsia="Times New Roman" w:hAnsi="Cambria" w:cs="Cambria"/>
          <w:color w:val="000000" w:themeColor="text1"/>
          <w:sz w:val="20"/>
          <w:szCs w:val="20"/>
          <w:lang w:val="es-CO"/>
        </w:rPr>
        <w:t>Fiscal Provincial</w:t>
      </w:r>
      <w:proofErr w:type="gramEnd"/>
      <w:r w:rsidRPr="00D833CE">
        <w:rPr>
          <w:rFonts w:ascii="Cambria" w:eastAsia="Times New Roman" w:hAnsi="Cambria" w:cs="Cambria"/>
          <w:color w:val="000000" w:themeColor="text1"/>
          <w:sz w:val="20"/>
          <w:szCs w:val="20"/>
          <w:lang w:val="es-CO"/>
        </w:rPr>
        <w:t xml:space="preserve"> de Huanta, el 8-11-83; denuncia ante el Fiscal Provincial de Huanta, el 10-11-83; denuncia ante el Decano del Colegio de Abogados de Ayacucho, el 11-11-83; denuncia ante el Fiscal Provincial de Huanta, el 5-12-83 y denuncia ante el Fiscal Provincial ad hoc de Ayacucho, el 7-12-83. El cadáver de Reyna Esperanza Cervantes </w:t>
      </w:r>
      <w:proofErr w:type="spellStart"/>
      <w:r w:rsidRPr="00D833CE">
        <w:rPr>
          <w:rFonts w:ascii="Cambria" w:eastAsia="Times New Roman" w:hAnsi="Cambria" w:cs="Cambria"/>
          <w:color w:val="000000" w:themeColor="text1"/>
          <w:sz w:val="20"/>
          <w:szCs w:val="20"/>
          <w:lang w:val="es-CO"/>
        </w:rPr>
        <w:t>Romani</w:t>
      </w:r>
      <w:proofErr w:type="spellEnd"/>
      <w:r w:rsidRPr="00D833CE">
        <w:rPr>
          <w:rFonts w:ascii="Cambria" w:eastAsia="Times New Roman" w:hAnsi="Cambria" w:cs="Cambria"/>
          <w:color w:val="000000" w:themeColor="text1"/>
          <w:sz w:val="20"/>
          <w:szCs w:val="20"/>
          <w:lang w:val="es-CO"/>
        </w:rPr>
        <w:t xml:space="preserve"> fue hallado el 25 de noviembre de 1983 en el paraje de </w:t>
      </w:r>
      <w:proofErr w:type="spellStart"/>
      <w:r w:rsidRPr="00D833CE">
        <w:rPr>
          <w:rFonts w:ascii="Cambria" w:eastAsia="Times New Roman" w:hAnsi="Cambria" w:cs="Cambria"/>
          <w:color w:val="000000" w:themeColor="text1"/>
          <w:sz w:val="20"/>
          <w:szCs w:val="20"/>
          <w:lang w:val="es-CO"/>
        </w:rPr>
        <w:t>Impao</w:t>
      </w:r>
      <w:proofErr w:type="spellEnd"/>
      <w:r w:rsidRPr="00D833CE">
        <w:rPr>
          <w:rFonts w:ascii="Cambria" w:eastAsia="Times New Roman" w:hAnsi="Cambria" w:cs="Cambria"/>
          <w:color w:val="000000" w:themeColor="text1"/>
          <w:sz w:val="20"/>
          <w:szCs w:val="20"/>
          <w:lang w:val="es-CO"/>
        </w:rPr>
        <w:t xml:space="preserve">, a cuatro kilómetros de Huanta. El cuerpo presentaba señales de tortura y mutilaciones. Por lo anterior, la Comisión concluyó que el Estado peruano es responsable de la violación al derecho a la vida (Artículo 4) de la Convención Americana sobre Derechos Humanos.  </w:t>
      </w:r>
    </w:p>
    <w:p w14:paraId="2046DB13"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594F1A7A"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9.509 - Informe Nº 11/88</w:t>
      </w:r>
      <w:r w:rsidRPr="00D833CE">
        <w:rPr>
          <w:rFonts w:ascii="Cambria" w:eastAsia="Times New Roman" w:hAnsi="Cambria" w:cs="Cambria"/>
          <w:color w:val="000000" w:themeColor="text1"/>
          <w:sz w:val="20"/>
          <w:szCs w:val="20"/>
        </w:rPr>
        <w:t xml:space="preserve"> </w:t>
      </w:r>
    </w:p>
    <w:p w14:paraId="4AB7AB76"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7BD67DEE" w14:textId="31224B36" w:rsidR="009D1967"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Constanza Torres Quispe, de 14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quien fue detenida a las 4 a.m., el 20 de julio de 1984, en Ayacucho, Huamanga, Tambillo, </w:t>
      </w:r>
      <w:proofErr w:type="spellStart"/>
      <w:r w:rsidRPr="00D833CE">
        <w:rPr>
          <w:rFonts w:ascii="Cambria" w:eastAsia="Times New Roman" w:hAnsi="Cambria" w:cs="Cambria"/>
          <w:color w:val="000000" w:themeColor="text1"/>
          <w:sz w:val="20"/>
          <w:szCs w:val="20"/>
          <w:lang w:val="es-CO"/>
        </w:rPr>
        <w:t>Guayacondo</w:t>
      </w:r>
      <w:proofErr w:type="spellEnd"/>
      <w:r w:rsidRPr="00D833CE">
        <w:rPr>
          <w:rFonts w:ascii="Cambria" w:eastAsia="Times New Roman" w:hAnsi="Cambria" w:cs="Cambria"/>
          <w:color w:val="000000" w:themeColor="text1"/>
          <w:sz w:val="20"/>
          <w:szCs w:val="20"/>
          <w:lang w:val="es-CO"/>
        </w:rPr>
        <w:t xml:space="preserve">, por un grupo sin uniforme en vehículo militar. Su cadáver fue hallado el 25 de julio del mismo año a cuatro kilómetros de </w:t>
      </w:r>
      <w:proofErr w:type="spellStart"/>
      <w:r w:rsidRPr="00D833CE">
        <w:rPr>
          <w:rFonts w:ascii="Cambria" w:eastAsia="Times New Roman" w:hAnsi="Cambria" w:cs="Cambria"/>
          <w:color w:val="000000" w:themeColor="text1"/>
          <w:sz w:val="20"/>
          <w:szCs w:val="20"/>
          <w:lang w:val="es-CO"/>
        </w:rPr>
        <w:t>Guayacondo</w:t>
      </w:r>
      <w:proofErr w:type="spellEnd"/>
      <w:r w:rsidRPr="00D833CE">
        <w:rPr>
          <w:rFonts w:ascii="Cambria" w:eastAsia="Times New Roman" w:hAnsi="Cambria" w:cs="Cambria"/>
          <w:color w:val="000000" w:themeColor="text1"/>
          <w:sz w:val="20"/>
          <w:szCs w:val="20"/>
          <w:lang w:val="es-CO"/>
        </w:rPr>
        <w:t xml:space="preserve">. Se interpusieron los siguientes recursos: denuncia ante el </w:t>
      </w:r>
      <w:proofErr w:type="gramStart"/>
      <w:r w:rsidRPr="00D833CE">
        <w:rPr>
          <w:rFonts w:ascii="Cambria" w:eastAsia="Times New Roman" w:hAnsi="Cambria" w:cs="Cambria"/>
          <w:color w:val="000000" w:themeColor="text1"/>
          <w:sz w:val="20"/>
          <w:szCs w:val="20"/>
          <w:lang w:val="es-CO"/>
        </w:rPr>
        <w:t>Fiscal Provincial</w:t>
      </w:r>
      <w:proofErr w:type="gramEnd"/>
      <w:r w:rsidRPr="00D833CE">
        <w:rPr>
          <w:rFonts w:ascii="Cambria" w:eastAsia="Times New Roman" w:hAnsi="Cambria" w:cs="Cambria"/>
          <w:color w:val="000000" w:themeColor="text1"/>
          <w:sz w:val="20"/>
          <w:szCs w:val="20"/>
          <w:lang w:val="es-CO"/>
        </w:rPr>
        <w:t xml:space="preserve"> ad hoc de Ayacucho y denuncia ante el Comando Político Militar de la zona declarada en Estado de </w:t>
      </w:r>
      <w:proofErr w:type="spellStart"/>
      <w:r w:rsidRPr="00D833CE">
        <w:rPr>
          <w:rFonts w:ascii="Cambria" w:eastAsia="Times New Roman" w:hAnsi="Cambria" w:cs="Cambria"/>
          <w:color w:val="000000" w:themeColor="text1"/>
          <w:sz w:val="20"/>
          <w:szCs w:val="20"/>
          <w:lang w:val="es-CO"/>
        </w:rPr>
        <w:t>Emergencia.Por</w:t>
      </w:r>
      <w:proofErr w:type="spellEnd"/>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color w:val="000000" w:themeColor="text1"/>
          <w:sz w:val="20"/>
          <w:szCs w:val="20"/>
          <w:lang w:val="es-CO"/>
        </w:rPr>
        <w:lastRenderedPageBreak/>
        <w:t xml:space="preserve">lo anterior, la Comisión concluyó que el Estado peruano es responsable de la violación al derecho a la vida (Artículo 4) de la Convención Americana sobre Derechos Humanos.  </w:t>
      </w:r>
    </w:p>
    <w:p w14:paraId="6EA9FB29"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0A153CB9"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9.512 - Informe Nº 10/88</w:t>
      </w:r>
      <w:r w:rsidRPr="00D833CE">
        <w:rPr>
          <w:rFonts w:ascii="Cambria" w:eastAsia="Times New Roman" w:hAnsi="Cambria" w:cs="Cambria"/>
          <w:color w:val="000000" w:themeColor="text1"/>
          <w:sz w:val="20"/>
          <w:szCs w:val="20"/>
        </w:rPr>
        <w:t xml:space="preserve"> </w:t>
      </w:r>
    </w:p>
    <w:p w14:paraId="6BC73D2D"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5582DB7C"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lo ocurrido el 27 de octubre de 1983 en el anexo de Satica, Distrito de los </w:t>
      </w:r>
      <w:proofErr w:type="spellStart"/>
      <w:r w:rsidRPr="00D833CE">
        <w:rPr>
          <w:rFonts w:ascii="Cambria" w:eastAsia="Times New Roman" w:hAnsi="Cambria" w:cs="Cambria"/>
          <w:color w:val="000000" w:themeColor="text1"/>
          <w:sz w:val="20"/>
          <w:szCs w:val="20"/>
          <w:lang w:val="es-CO"/>
        </w:rPr>
        <w:t>Morochucos</w:t>
      </w:r>
      <w:proofErr w:type="spellEnd"/>
      <w:r w:rsidRPr="00D833CE">
        <w:rPr>
          <w:rFonts w:ascii="Cambria" w:eastAsia="Times New Roman" w:hAnsi="Cambria" w:cs="Cambria"/>
          <w:color w:val="000000" w:themeColor="text1"/>
          <w:sz w:val="20"/>
          <w:szCs w:val="20"/>
          <w:lang w:val="es-CO"/>
        </w:rPr>
        <w:t xml:space="preserve">, Provincia de Cangallo, en donde Edgar Palomino Ayala, de 25 años, casado, profesor, fue detenido en su domicilio a las 7:00 a.m. por elementos de la Fuerzas Armadas que operan en la Zona de Emergencia. Su cadáver fue hallado el 10 de noviembre de 1983 en el lugar denominado "Infiernillo", a trece kilómetros de Ayacucho. En misma fecha, sus restos fueron reconocidos por su esposa y fue interpuesta la correspondiente denuncia ante el Fiscal ad hoc de Ayacucho. Por lo anterior, la Comisión concluyó que el Estado peruano es responsable de la violación al derecho a la vida (Artículo 4) de la Convención Americana sobre Derechos Humanos. </w:t>
      </w:r>
    </w:p>
    <w:p w14:paraId="182B12DE"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477F9AED"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9.501 - Informe Nº 9/88</w:t>
      </w:r>
      <w:r w:rsidRPr="00D833CE">
        <w:rPr>
          <w:rFonts w:ascii="Cambria" w:eastAsia="Times New Roman" w:hAnsi="Cambria" w:cs="Cambria"/>
          <w:color w:val="000000" w:themeColor="text1"/>
          <w:sz w:val="20"/>
          <w:szCs w:val="20"/>
        </w:rPr>
        <w:t xml:space="preserve"> </w:t>
      </w:r>
    </w:p>
    <w:p w14:paraId="05674C7E"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66EE41CE"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Claudio Marcial Muñoz </w:t>
      </w:r>
      <w:proofErr w:type="spellStart"/>
      <w:r w:rsidRPr="00D833CE">
        <w:rPr>
          <w:rFonts w:ascii="Cambria" w:eastAsia="Times New Roman" w:hAnsi="Cambria" w:cs="Cambria"/>
          <w:color w:val="000000" w:themeColor="text1"/>
          <w:sz w:val="20"/>
          <w:szCs w:val="20"/>
          <w:lang w:val="es-CO"/>
        </w:rPr>
        <w:t>Yaranga</w:t>
      </w:r>
      <w:proofErr w:type="spellEnd"/>
      <w:r w:rsidRPr="00D833CE">
        <w:rPr>
          <w:rFonts w:ascii="Cambria" w:eastAsia="Times New Roman" w:hAnsi="Cambria" w:cs="Cambria"/>
          <w:color w:val="000000" w:themeColor="text1"/>
          <w:sz w:val="20"/>
          <w:szCs w:val="20"/>
          <w:lang w:val="es-CO"/>
        </w:rPr>
        <w:t>, de 32 años, soltero, agricultor, quien fue detenido a las 4:00 p.m.</w:t>
      </w:r>
      <w:proofErr w:type="gramStart"/>
      <w:r w:rsidRPr="00D833CE">
        <w:rPr>
          <w:rFonts w:ascii="Cambria" w:eastAsia="Times New Roman" w:hAnsi="Cambria" w:cs="Cambria"/>
          <w:color w:val="000000" w:themeColor="text1"/>
          <w:sz w:val="20"/>
          <w:szCs w:val="20"/>
          <w:lang w:val="es-CO"/>
        </w:rPr>
        <w:t>,  el</w:t>
      </w:r>
      <w:proofErr w:type="gramEnd"/>
      <w:r w:rsidRPr="00D833CE">
        <w:rPr>
          <w:rFonts w:ascii="Cambria" w:eastAsia="Times New Roman" w:hAnsi="Cambria" w:cs="Cambria"/>
          <w:color w:val="000000" w:themeColor="text1"/>
          <w:sz w:val="20"/>
          <w:szCs w:val="20"/>
          <w:lang w:val="es-CO"/>
        </w:rPr>
        <w:t xml:space="preserve"> 25 de noviembre de 1983, en Ayacucho, Huamanga por la Guardia Civil. El 25 de noviembre de 1983 la familia encontró el cadáver en las cercanías de su casa, Jr. Gonzáles, Ayacucho. Según testimonios, Muñoz </w:t>
      </w:r>
      <w:proofErr w:type="spellStart"/>
      <w:r w:rsidRPr="00D833CE">
        <w:rPr>
          <w:rFonts w:ascii="Cambria" w:eastAsia="Times New Roman" w:hAnsi="Cambria" w:cs="Cambria"/>
          <w:color w:val="000000" w:themeColor="text1"/>
          <w:sz w:val="20"/>
          <w:szCs w:val="20"/>
          <w:lang w:val="es-CO"/>
        </w:rPr>
        <w:t>Yaranga</w:t>
      </w:r>
      <w:proofErr w:type="spellEnd"/>
      <w:r w:rsidRPr="00D833CE">
        <w:rPr>
          <w:rFonts w:ascii="Cambria" w:eastAsia="Times New Roman" w:hAnsi="Cambria" w:cs="Cambria"/>
          <w:color w:val="000000" w:themeColor="text1"/>
          <w:sz w:val="20"/>
          <w:szCs w:val="20"/>
          <w:lang w:val="es-CO"/>
        </w:rPr>
        <w:t xml:space="preserve"> fue ejecutado inmediatamente después de su detención en plena vista de la familia.  Por lo anterior, la Comisión concluyó que el Estado peruano es responsable de la violación al derecho a la vida (Artículo 4) de la Convención Americana sobre Derechos Humanos.  </w:t>
      </w:r>
    </w:p>
    <w:p w14:paraId="5D5F7957"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32BEE1F6"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9.502 - Informe Nº 8/88</w:t>
      </w:r>
      <w:r w:rsidRPr="00D833CE">
        <w:rPr>
          <w:rFonts w:ascii="Cambria" w:eastAsia="Times New Roman" w:hAnsi="Cambria" w:cs="Cambria"/>
          <w:color w:val="000000" w:themeColor="text1"/>
          <w:sz w:val="20"/>
          <w:szCs w:val="20"/>
        </w:rPr>
        <w:t xml:space="preserve"> </w:t>
      </w:r>
    </w:p>
    <w:p w14:paraId="5FEF6EA9"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7F75307E"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Nemesio </w:t>
      </w:r>
      <w:proofErr w:type="spellStart"/>
      <w:r w:rsidRPr="00D833CE">
        <w:rPr>
          <w:rFonts w:ascii="Cambria" w:eastAsia="Times New Roman" w:hAnsi="Cambria" w:cs="Cambria"/>
          <w:color w:val="000000" w:themeColor="text1"/>
          <w:sz w:val="20"/>
          <w:szCs w:val="20"/>
          <w:lang w:val="es-CO"/>
        </w:rPr>
        <w:t>Ccenta</w:t>
      </w:r>
      <w:proofErr w:type="spellEnd"/>
      <w:r w:rsidRPr="00D833CE">
        <w:rPr>
          <w:rFonts w:ascii="Cambria" w:eastAsia="Times New Roman" w:hAnsi="Cambria" w:cs="Cambria"/>
          <w:color w:val="000000" w:themeColor="text1"/>
          <w:sz w:val="20"/>
          <w:szCs w:val="20"/>
          <w:lang w:val="es-CO"/>
        </w:rPr>
        <w:t xml:space="preserve"> Aquino, de 31 años, estado civil casado, quien fue detenido a las 4:00 a.m., el 20 de julio de 1984, en Tambillo, </w:t>
      </w:r>
      <w:proofErr w:type="spellStart"/>
      <w:r w:rsidRPr="00D833CE">
        <w:rPr>
          <w:rFonts w:ascii="Cambria" w:eastAsia="Times New Roman" w:hAnsi="Cambria" w:cs="Cambria"/>
          <w:color w:val="000000" w:themeColor="text1"/>
          <w:sz w:val="20"/>
          <w:szCs w:val="20"/>
          <w:lang w:val="es-CO"/>
        </w:rPr>
        <w:t>Guayacondo</w:t>
      </w:r>
      <w:proofErr w:type="spellEnd"/>
      <w:r w:rsidRPr="00D833CE">
        <w:rPr>
          <w:rFonts w:ascii="Cambria" w:eastAsia="Times New Roman" w:hAnsi="Cambria" w:cs="Cambria"/>
          <w:color w:val="000000" w:themeColor="text1"/>
          <w:sz w:val="20"/>
          <w:szCs w:val="20"/>
          <w:lang w:val="es-CO"/>
        </w:rPr>
        <w:t xml:space="preserve">, por un grupo sin uniforme en vehículo militar. El 25 de julio de 1984 se encontró el cadáver a cuatro kilómetros de </w:t>
      </w:r>
      <w:proofErr w:type="spellStart"/>
      <w:r w:rsidRPr="00D833CE">
        <w:rPr>
          <w:rFonts w:ascii="Cambria" w:eastAsia="Times New Roman" w:hAnsi="Cambria" w:cs="Cambria"/>
          <w:color w:val="000000" w:themeColor="text1"/>
          <w:sz w:val="20"/>
          <w:szCs w:val="20"/>
          <w:lang w:val="es-CO"/>
        </w:rPr>
        <w:t>Guayacondo</w:t>
      </w:r>
      <w:proofErr w:type="spellEnd"/>
      <w:r w:rsidRPr="00D833CE">
        <w:rPr>
          <w:rFonts w:ascii="Cambria" w:eastAsia="Times New Roman" w:hAnsi="Cambria" w:cs="Cambria"/>
          <w:color w:val="000000" w:themeColor="text1"/>
          <w:sz w:val="20"/>
          <w:szCs w:val="20"/>
          <w:lang w:val="es-CO"/>
        </w:rPr>
        <w:t xml:space="preserve">. La autopsia constata que la causa de la muerte ha sido un traumatismo encéfalo craneano grave, shock hipovolémico grave por perforación de ambos pulmones, agente agresor por proyectiles de arma de fuego. Por lo anterior, la Comisión concluyó que el Estado peruano es responsable de la violación al derecho a la vida (Artículo 4) de la Convención Americana sobre Derechos Humanos. </w:t>
      </w:r>
    </w:p>
    <w:p w14:paraId="4DD24F94"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1843B9B5"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9.504 - Informe Nº 7/88</w:t>
      </w:r>
      <w:r w:rsidRPr="00D833CE">
        <w:rPr>
          <w:rFonts w:ascii="Cambria" w:eastAsia="Times New Roman" w:hAnsi="Cambria" w:cs="Cambria"/>
          <w:color w:val="000000" w:themeColor="text1"/>
          <w:sz w:val="20"/>
          <w:szCs w:val="20"/>
        </w:rPr>
        <w:t xml:space="preserve"> </w:t>
      </w:r>
    </w:p>
    <w:p w14:paraId="79381F87"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791E88E2"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Eustaquio Yauli </w:t>
      </w:r>
      <w:proofErr w:type="spellStart"/>
      <w:r w:rsidRPr="00D833CE">
        <w:rPr>
          <w:rFonts w:ascii="Cambria" w:eastAsia="Times New Roman" w:hAnsi="Cambria" w:cs="Cambria"/>
          <w:color w:val="000000" w:themeColor="text1"/>
          <w:sz w:val="20"/>
          <w:szCs w:val="20"/>
          <w:lang w:val="es-CO"/>
        </w:rPr>
        <w:t>Huaman</w:t>
      </w:r>
      <w:proofErr w:type="spellEnd"/>
      <w:r w:rsidRPr="00D833CE">
        <w:rPr>
          <w:rFonts w:ascii="Cambria" w:eastAsia="Times New Roman" w:hAnsi="Cambria" w:cs="Cambria"/>
          <w:color w:val="000000" w:themeColor="text1"/>
          <w:sz w:val="20"/>
          <w:szCs w:val="20"/>
          <w:lang w:val="es-CO"/>
        </w:rPr>
        <w:t xml:space="preserve">, de 63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casado, cesante de la Empresa Bancaria Nacional/Gobernador Distrito San Pedro Cachi, quien fue detenido el 20 de diciembre de 1982 en Ayacucho, Huamanga, San Pedro Cachi, por fuerzas combinadas de la Guardia Nacional y P.I.P. Fue baleado en el Parque de </w:t>
      </w:r>
      <w:proofErr w:type="spellStart"/>
      <w:r w:rsidRPr="00D833CE">
        <w:rPr>
          <w:rFonts w:ascii="Cambria" w:eastAsia="Times New Roman" w:hAnsi="Cambria" w:cs="Cambria"/>
          <w:color w:val="000000" w:themeColor="text1"/>
          <w:sz w:val="20"/>
          <w:szCs w:val="20"/>
          <w:lang w:val="es-CO"/>
        </w:rPr>
        <w:t>Rumihuasi</w:t>
      </w:r>
      <w:proofErr w:type="spellEnd"/>
      <w:r w:rsidRPr="00D833CE">
        <w:rPr>
          <w:rFonts w:ascii="Cambria" w:eastAsia="Times New Roman" w:hAnsi="Cambria" w:cs="Cambria"/>
          <w:color w:val="000000" w:themeColor="text1"/>
          <w:sz w:val="20"/>
          <w:szCs w:val="20"/>
          <w:lang w:val="es-CO"/>
        </w:rPr>
        <w:t xml:space="preserve"> del Distrito de San Pedro Cachi y su cuerpo fue llevado por las Fuerzas de Seguridad. El cadáver fue hallado el 22 de diciembre de 1982.  Por lo anterior, la Comisión concluyó que el Estado peruano es responsable de la violación al derecho a la vida (Artículo 4) de la Convención Americana sobre Derechos Humanos.  </w:t>
      </w:r>
    </w:p>
    <w:p w14:paraId="23763645"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090CCBC3"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9.468 - Informe Nº 23/87</w:t>
      </w:r>
      <w:r w:rsidRPr="00D833CE">
        <w:rPr>
          <w:rFonts w:ascii="Cambria" w:eastAsia="Times New Roman" w:hAnsi="Cambria" w:cs="Cambria"/>
          <w:color w:val="000000" w:themeColor="text1"/>
          <w:sz w:val="20"/>
          <w:szCs w:val="20"/>
        </w:rPr>
        <w:t xml:space="preserve"> </w:t>
      </w:r>
    </w:p>
    <w:p w14:paraId="4AF1B162"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352EE9A0" w14:textId="7BB222A8" w:rsidR="009D1967"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Francisco García Ramos, de 25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quien desapareció de su casa el 28 de julio de 1984, en el pueblo de </w:t>
      </w:r>
      <w:proofErr w:type="spellStart"/>
      <w:r w:rsidRPr="00D833CE">
        <w:rPr>
          <w:rFonts w:ascii="Cambria" w:eastAsia="Times New Roman" w:hAnsi="Cambria" w:cs="Cambria"/>
          <w:color w:val="000000" w:themeColor="text1"/>
          <w:sz w:val="20"/>
          <w:szCs w:val="20"/>
          <w:lang w:val="es-CO"/>
        </w:rPr>
        <w:t>Vilcashuaman</w:t>
      </w:r>
      <w:proofErr w:type="spellEnd"/>
      <w:r w:rsidRPr="00D833CE">
        <w:rPr>
          <w:rFonts w:ascii="Cambria" w:eastAsia="Times New Roman" w:hAnsi="Cambria" w:cs="Cambria"/>
          <w:color w:val="000000" w:themeColor="text1"/>
          <w:sz w:val="20"/>
          <w:szCs w:val="20"/>
          <w:lang w:val="es-CO"/>
        </w:rPr>
        <w:t xml:space="preserve">, en la provincia de Huamanga. No se ha dado una razón oficial de su captura. Oficiales de la Policía de Investigaciones afirman que el Sr. García Ramos fue liberado el día 2 de agosto de 1984, pero hasta la fecha no ha regresado a su hogar. Oficiales del cuartel de "Los Cabitos" niegan que lo tengan bajo su custodia. El Sr. García Ramos fue soldado del ejército hasta febrero de 1984, en la localidad de </w:t>
      </w:r>
      <w:proofErr w:type="spellStart"/>
      <w:r w:rsidRPr="00D833CE">
        <w:rPr>
          <w:rFonts w:ascii="Cambria" w:eastAsia="Times New Roman" w:hAnsi="Cambria" w:cs="Cambria"/>
          <w:color w:val="000000" w:themeColor="text1"/>
          <w:sz w:val="20"/>
          <w:szCs w:val="20"/>
          <w:lang w:val="es-CO"/>
        </w:rPr>
        <w:t>Vilcashuaman</w:t>
      </w:r>
      <w:proofErr w:type="spellEnd"/>
      <w:r w:rsidRPr="00D833CE">
        <w:rPr>
          <w:rFonts w:ascii="Cambria" w:eastAsia="Times New Roman" w:hAnsi="Cambria" w:cs="Cambria"/>
          <w:color w:val="000000" w:themeColor="text1"/>
          <w:sz w:val="20"/>
          <w:szCs w:val="20"/>
          <w:lang w:val="es-CO"/>
        </w:rPr>
        <w:t xml:space="preserve">. Por lo anterior, la Comisión concluyó que el Estado peruano es responsable de la violación al derecho a la libertad personal (Art. 7) y del derecho a la vida (Art. 4) de la Convención Americana sobre Derechos Humanos.  </w:t>
      </w:r>
    </w:p>
    <w:p w14:paraId="7BE884D5" w14:textId="223CDEAF" w:rsidR="00A77342" w:rsidRDefault="00A77342" w:rsidP="009D1967">
      <w:pPr>
        <w:spacing w:after="0" w:line="240" w:lineRule="auto"/>
        <w:ind w:firstLine="720"/>
        <w:jc w:val="both"/>
        <w:rPr>
          <w:rFonts w:ascii="Cambria" w:eastAsia="Times New Roman" w:hAnsi="Cambria" w:cs="Cambria"/>
          <w:color w:val="000000" w:themeColor="text1"/>
          <w:sz w:val="20"/>
          <w:szCs w:val="20"/>
          <w:lang w:val="es-CO"/>
        </w:rPr>
      </w:pPr>
    </w:p>
    <w:p w14:paraId="57445FAA"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lastRenderedPageBreak/>
        <w:t xml:space="preserve"> </w:t>
      </w:r>
      <w:r w:rsidRPr="00D833CE">
        <w:rPr>
          <w:rFonts w:ascii="Cambria" w:eastAsia="Times New Roman" w:hAnsi="Cambria" w:cs="Cambria"/>
          <w:b/>
          <w:color w:val="000000" w:themeColor="text1"/>
          <w:sz w:val="20"/>
          <w:szCs w:val="20"/>
        </w:rPr>
        <w:t>Caso 9.467 - Informe Nº 22/87</w:t>
      </w:r>
    </w:p>
    <w:p w14:paraId="7516F0D2"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0C218FFE"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Felipe </w:t>
      </w:r>
      <w:proofErr w:type="spellStart"/>
      <w:r w:rsidRPr="00D833CE">
        <w:rPr>
          <w:rFonts w:ascii="Cambria" w:eastAsia="Times New Roman" w:hAnsi="Cambria" w:cs="Cambria"/>
          <w:color w:val="000000" w:themeColor="text1"/>
          <w:sz w:val="20"/>
          <w:szCs w:val="20"/>
          <w:lang w:val="es-CO"/>
        </w:rPr>
        <w:t>Huaman</w:t>
      </w:r>
      <w:proofErr w:type="spellEnd"/>
      <w:r w:rsidRPr="00D833CE">
        <w:rPr>
          <w:rFonts w:ascii="Cambria" w:eastAsia="Times New Roman" w:hAnsi="Cambria" w:cs="Cambria"/>
          <w:color w:val="000000" w:themeColor="text1"/>
          <w:sz w:val="20"/>
          <w:szCs w:val="20"/>
          <w:lang w:val="es-CO"/>
        </w:rPr>
        <w:t xml:space="preserve"> Palomino, de 32 </w:t>
      </w:r>
      <w:proofErr w:type="gramStart"/>
      <w:r w:rsidRPr="00D833CE">
        <w:rPr>
          <w:rFonts w:ascii="Cambria" w:eastAsia="Times New Roman" w:hAnsi="Cambria" w:cs="Cambria"/>
          <w:color w:val="000000" w:themeColor="text1"/>
          <w:sz w:val="20"/>
          <w:szCs w:val="20"/>
          <w:lang w:val="es-CO"/>
        </w:rPr>
        <w:t>años de edad</w:t>
      </w:r>
      <w:proofErr w:type="gramEnd"/>
      <w:r w:rsidRPr="00D833CE">
        <w:rPr>
          <w:rFonts w:ascii="Cambria" w:eastAsia="Times New Roman" w:hAnsi="Cambria" w:cs="Cambria"/>
          <w:color w:val="000000" w:themeColor="text1"/>
          <w:sz w:val="20"/>
          <w:szCs w:val="20"/>
          <w:lang w:val="es-CO"/>
        </w:rPr>
        <w:t xml:space="preserve">, quien fue detenido en su casa en Ayacucho por miembros de la llamada Guardia Republicana vestidos de civil, el día 23 de julio de 1984. Las autoridades de policía niegan su detención. Sin </w:t>
      </w:r>
      <w:proofErr w:type="gramStart"/>
      <w:r w:rsidRPr="00D833CE">
        <w:rPr>
          <w:rFonts w:ascii="Cambria" w:eastAsia="Times New Roman" w:hAnsi="Cambria" w:cs="Cambria"/>
          <w:color w:val="000000" w:themeColor="text1"/>
          <w:sz w:val="20"/>
          <w:szCs w:val="20"/>
          <w:lang w:val="es-CO"/>
        </w:rPr>
        <w:t>embargo</w:t>
      </w:r>
      <w:proofErr w:type="gramEnd"/>
      <w:r w:rsidRPr="00D833CE">
        <w:rPr>
          <w:rFonts w:ascii="Cambria" w:eastAsia="Times New Roman" w:hAnsi="Cambria" w:cs="Cambria"/>
          <w:color w:val="000000" w:themeColor="text1"/>
          <w:sz w:val="20"/>
          <w:szCs w:val="20"/>
          <w:lang w:val="es-CO"/>
        </w:rPr>
        <w:t xml:space="preserve"> se tienen informaciones de que se encontraría detenido en el Cuartel de </w:t>
      </w:r>
      <w:proofErr w:type="spellStart"/>
      <w:r w:rsidRPr="00D833CE">
        <w:rPr>
          <w:rFonts w:ascii="Cambria" w:eastAsia="Times New Roman" w:hAnsi="Cambria" w:cs="Cambria"/>
          <w:color w:val="000000" w:themeColor="text1"/>
          <w:sz w:val="20"/>
          <w:szCs w:val="20"/>
          <w:lang w:val="es-CO"/>
        </w:rPr>
        <w:t>Quicapata</w:t>
      </w:r>
      <w:proofErr w:type="spellEnd"/>
      <w:r w:rsidRPr="00D833CE">
        <w:rPr>
          <w:rFonts w:ascii="Cambria" w:eastAsia="Times New Roman" w:hAnsi="Cambria" w:cs="Cambria"/>
          <w:color w:val="000000" w:themeColor="text1"/>
          <w:sz w:val="20"/>
          <w:szCs w:val="20"/>
          <w:lang w:val="es-CO"/>
        </w:rPr>
        <w:t xml:space="preserve">. A pesar de las gestiones realizadas se desconoce su paradero actual. Por lo anterior, la Comisión concluyó que el Estado peruano es responsable de la violación al derecho a </w:t>
      </w:r>
      <w:proofErr w:type="spellStart"/>
      <w:r w:rsidRPr="00D833CE">
        <w:rPr>
          <w:rFonts w:ascii="Cambria" w:eastAsia="Times New Roman" w:hAnsi="Cambria" w:cs="Cambria"/>
          <w:color w:val="000000" w:themeColor="text1"/>
          <w:sz w:val="20"/>
          <w:szCs w:val="20"/>
          <w:lang w:val="es-CO"/>
        </w:rPr>
        <w:t>a</w:t>
      </w:r>
      <w:proofErr w:type="spellEnd"/>
      <w:r w:rsidRPr="00D833CE">
        <w:rPr>
          <w:rFonts w:ascii="Cambria" w:eastAsia="Times New Roman" w:hAnsi="Cambria" w:cs="Cambria"/>
          <w:color w:val="000000" w:themeColor="text1"/>
          <w:sz w:val="20"/>
          <w:szCs w:val="20"/>
          <w:lang w:val="es-CO"/>
        </w:rPr>
        <w:t xml:space="preserve"> la libertad personal (Art. 7) y del derecho a la vida (Art. 4), estipulados en la Convención Americana sobre Derechos Humanos.  </w:t>
      </w:r>
    </w:p>
    <w:p w14:paraId="7E9DC5BB"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05B79B90"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9.466 - Informe Nº 21/87</w:t>
      </w:r>
    </w:p>
    <w:p w14:paraId="6FD783E7"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39EC35A5"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Teodoro </w:t>
      </w:r>
      <w:proofErr w:type="spellStart"/>
      <w:r w:rsidRPr="00D833CE">
        <w:rPr>
          <w:rFonts w:ascii="Cambria" w:eastAsia="Times New Roman" w:hAnsi="Cambria" w:cs="Cambria"/>
          <w:color w:val="000000" w:themeColor="text1"/>
          <w:sz w:val="20"/>
          <w:szCs w:val="20"/>
          <w:lang w:val="es-CO"/>
        </w:rPr>
        <w:t>Huancahuari</w:t>
      </w:r>
      <w:proofErr w:type="spellEnd"/>
      <w:r w:rsidRPr="00D833CE">
        <w:rPr>
          <w:rFonts w:ascii="Cambria" w:eastAsia="Times New Roman" w:hAnsi="Cambria" w:cs="Cambria"/>
          <w:color w:val="000000" w:themeColor="text1"/>
          <w:sz w:val="20"/>
          <w:szCs w:val="20"/>
          <w:lang w:val="es-CO"/>
        </w:rPr>
        <w:t xml:space="preserve">, quien desapareció el 12 de diciembre de 1983, en el pueblo donde residió llamado </w:t>
      </w:r>
      <w:proofErr w:type="spellStart"/>
      <w:r w:rsidRPr="00D833CE">
        <w:rPr>
          <w:rFonts w:ascii="Cambria" w:eastAsia="Times New Roman" w:hAnsi="Cambria" w:cs="Cambria"/>
          <w:color w:val="000000" w:themeColor="text1"/>
          <w:sz w:val="20"/>
          <w:szCs w:val="20"/>
          <w:lang w:val="es-CO"/>
        </w:rPr>
        <w:t>Lucanamarca</w:t>
      </w:r>
      <w:proofErr w:type="spellEnd"/>
      <w:r w:rsidRPr="00D833CE">
        <w:rPr>
          <w:rFonts w:ascii="Cambria" w:eastAsia="Times New Roman" w:hAnsi="Cambria" w:cs="Cambria"/>
          <w:color w:val="000000" w:themeColor="text1"/>
          <w:sz w:val="20"/>
          <w:szCs w:val="20"/>
          <w:lang w:val="es-CO"/>
        </w:rPr>
        <w:t xml:space="preserve">, en Ayacucho. El capitán Edgar Acevedo López del distrito de </w:t>
      </w:r>
      <w:proofErr w:type="spellStart"/>
      <w:r w:rsidRPr="00D833CE">
        <w:rPr>
          <w:rFonts w:ascii="Cambria" w:eastAsia="Times New Roman" w:hAnsi="Cambria" w:cs="Cambria"/>
          <w:color w:val="000000" w:themeColor="text1"/>
          <w:sz w:val="20"/>
          <w:szCs w:val="20"/>
          <w:lang w:val="es-CO"/>
        </w:rPr>
        <w:t>Lucanamarca</w:t>
      </w:r>
      <w:proofErr w:type="spellEnd"/>
      <w:r w:rsidRPr="00D833CE">
        <w:rPr>
          <w:rFonts w:ascii="Cambria" w:eastAsia="Times New Roman" w:hAnsi="Cambria" w:cs="Cambria"/>
          <w:color w:val="000000" w:themeColor="text1"/>
          <w:sz w:val="20"/>
          <w:szCs w:val="20"/>
          <w:lang w:val="es-CO"/>
        </w:rPr>
        <w:t xml:space="preserve"> informó a las autoridades que Teodoro se encontraba detenido en el cuartel del ejército en Cangallo. Las gestiones realizadas por su familia y autoridades locales han sido infructuosas. Hasta la fecha se desconoce su paradero. Por lo anterior, la Comisión concluyó que el Estado peruano es responsable de la violación al derecho a </w:t>
      </w:r>
      <w:proofErr w:type="spellStart"/>
      <w:r w:rsidRPr="00D833CE">
        <w:rPr>
          <w:rFonts w:ascii="Cambria" w:eastAsia="Times New Roman" w:hAnsi="Cambria" w:cs="Cambria"/>
          <w:color w:val="000000" w:themeColor="text1"/>
          <w:sz w:val="20"/>
          <w:szCs w:val="20"/>
          <w:lang w:val="es-CO"/>
        </w:rPr>
        <w:t>a</w:t>
      </w:r>
      <w:proofErr w:type="spellEnd"/>
      <w:r w:rsidRPr="00D833CE">
        <w:rPr>
          <w:rFonts w:ascii="Cambria" w:eastAsia="Times New Roman" w:hAnsi="Cambria" w:cs="Cambria"/>
          <w:color w:val="000000" w:themeColor="text1"/>
          <w:sz w:val="20"/>
          <w:szCs w:val="20"/>
          <w:lang w:val="es-CO"/>
        </w:rPr>
        <w:t xml:space="preserve"> la libertad personal (Art. 7) y del derecho a la vida (Art. 4), estipulados en la Convención Americana sobre Derechos Humanos. </w:t>
      </w:r>
    </w:p>
    <w:p w14:paraId="35D2D72E"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7495CA30"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color w:val="000000" w:themeColor="text1"/>
          <w:sz w:val="20"/>
          <w:szCs w:val="20"/>
        </w:rPr>
      </w:pPr>
      <w:r w:rsidRPr="00D833CE">
        <w:rPr>
          <w:rFonts w:ascii="Cambria" w:eastAsia="Times New Roman" w:hAnsi="Cambria" w:cs="Cambria"/>
          <w:color w:val="000000" w:themeColor="text1"/>
          <w:sz w:val="20"/>
          <w:szCs w:val="20"/>
          <w:lang w:val="es-CO"/>
        </w:rPr>
        <w:t xml:space="preserve"> </w:t>
      </w:r>
      <w:r w:rsidRPr="00D833CE">
        <w:rPr>
          <w:rFonts w:ascii="Cambria" w:eastAsia="Times New Roman" w:hAnsi="Cambria" w:cs="Cambria"/>
          <w:b/>
          <w:color w:val="000000" w:themeColor="text1"/>
          <w:sz w:val="20"/>
          <w:szCs w:val="20"/>
        </w:rPr>
        <w:t>Caso 9.449 - Informe Nº 20/87</w:t>
      </w:r>
    </w:p>
    <w:p w14:paraId="317A8268"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43E9AA12"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Martín Hipólito Bellido Canchari, de 14 años, estudiante de secundaria en la escuela "Mariscal Cáceres", quien fue detenido a finales de 1983, por miembros encapuchados de la Guardia Civil en su casa en Ayacucho. No se conoce su paradero. A pesar de las gestiones realizadas ante las autoridades pertinentes no se ha logrado esclarecer el paradero, temiendo por su vida. Por lo anterior, la Comisión concluyó que el Estado peruano es responsable de la violación al derecho a </w:t>
      </w:r>
      <w:proofErr w:type="spellStart"/>
      <w:r w:rsidRPr="00D833CE">
        <w:rPr>
          <w:rFonts w:ascii="Cambria" w:eastAsia="Times New Roman" w:hAnsi="Cambria" w:cs="Cambria"/>
          <w:color w:val="000000" w:themeColor="text1"/>
          <w:sz w:val="20"/>
          <w:szCs w:val="20"/>
          <w:lang w:val="es-CO"/>
        </w:rPr>
        <w:t>a</w:t>
      </w:r>
      <w:proofErr w:type="spellEnd"/>
      <w:r w:rsidRPr="00D833CE">
        <w:rPr>
          <w:rFonts w:ascii="Cambria" w:eastAsia="Times New Roman" w:hAnsi="Cambria" w:cs="Cambria"/>
          <w:color w:val="000000" w:themeColor="text1"/>
          <w:sz w:val="20"/>
          <w:szCs w:val="20"/>
          <w:lang w:val="es-CO"/>
        </w:rPr>
        <w:t xml:space="preserve"> la libertad personal (Art. 7) y del derecho a la vida (Art. 4), estipulados en la Convención Americana sobre Derechos Humanos. </w:t>
      </w:r>
    </w:p>
    <w:p w14:paraId="762E49A8"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68CC990E"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9.429 - Informe Nº 19/87</w:t>
      </w:r>
    </w:p>
    <w:p w14:paraId="0C18A500"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287EAE98"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al homicidio de cinco hombres ocurridos durante abril de 1983 en Paras, en el Departamento de Ayacucho, por miembros de la Guardia Civil, quienes fueron identificados como Patrocinio </w:t>
      </w:r>
      <w:proofErr w:type="spellStart"/>
      <w:r w:rsidRPr="00D833CE">
        <w:rPr>
          <w:rFonts w:ascii="Cambria" w:eastAsia="Times New Roman" w:hAnsi="Cambria" w:cs="Cambria"/>
          <w:color w:val="000000" w:themeColor="text1"/>
          <w:sz w:val="20"/>
          <w:szCs w:val="20"/>
          <w:lang w:val="es-CO"/>
        </w:rPr>
        <w:t>Quiccha</w:t>
      </w:r>
      <w:proofErr w:type="spellEnd"/>
      <w:r w:rsidRPr="00D833CE">
        <w:rPr>
          <w:rFonts w:ascii="Cambria" w:eastAsia="Times New Roman" w:hAnsi="Cambria" w:cs="Cambria"/>
          <w:color w:val="000000" w:themeColor="text1"/>
          <w:sz w:val="20"/>
          <w:szCs w:val="20"/>
          <w:lang w:val="es-CO"/>
        </w:rPr>
        <w:t xml:space="preserve"> Espinosa, Virgilio Huaranca, Oswaldo Castañeda, Filón Palomino Ayala, Heraclio Palomino Ayala y Estilo Ayala.  Según los informes los hombres fueron detenidos después de ser acusados de estar involucrados en actividades guerrilleras, acusaciones que han sido negadas por sus familias. Se denuncia que entonces, todos eran maestros menos Estilo Ayala, un comerciante. Según la revista peruana CARETAS del 22 de agosto de 1983, </w:t>
      </w:r>
      <w:proofErr w:type="spellStart"/>
      <w:r w:rsidRPr="00D833CE">
        <w:rPr>
          <w:rFonts w:ascii="Cambria" w:eastAsia="Times New Roman" w:hAnsi="Cambria" w:cs="Cambria"/>
          <w:color w:val="000000" w:themeColor="text1"/>
          <w:sz w:val="20"/>
          <w:szCs w:val="20"/>
          <w:lang w:val="es-CO"/>
        </w:rPr>
        <w:t>Quiccha</w:t>
      </w:r>
      <w:proofErr w:type="spellEnd"/>
      <w:r w:rsidRPr="00D833CE">
        <w:rPr>
          <w:rFonts w:ascii="Cambria" w:eastAsia="Times New Roman" w:hAnsi="Cambria" w:cs="Cambria"/>
          <w:color w:val="000000" w:themeColor="text1"/>
          <w:sz w:val="20"/>
          <w:szCs w:val="20"/>
          <w:lang w:val="es-CO"/>
        </w:rPr>
        <w:t xml:space="preserve">, Huaranca y Estilo Ayala fueron detenidos por una patrulla de la Guardia Civil cuando caminaban hacia la feria de Paras el 10 de abril de 1983. Se informa que entonces los llevaron detrás de un cerro y dispararon contra ellos. No se ha recibido ningún otro detalle de los homicidios de </w:t>
      </w:r>
      <w:proofErr w:type="spellStart"/>
      <w:r w:rsidRPr="00D833CE">
        <w:rPr>
          <w:rFonts w:ascii="Cambria" w:eastAsia="Times New Roman" w:hAnsi="Cambria" w:cs="Cambria"/>
          <w:color w:val="000000" w:themeColor="text1"/>
          <w:sz w:val="20"/>
          <w:szCs w:val="20"/>
          <w:lang w:val="es-CO"/>
        </w:rPr>
        <w:t>Casteñeda</w:t>
      </w:r>
      <w:proofErr w:type="spellEnd"/>
      <w:r w:rsidRPr="00D833CE">
        <w:rPr>
          <w:rFonts w:ascii="Cambria" w:eastAsia="Times New Roman" w:hAnsi="Cambria" w:cs="Cambria"/>
          <w:color w:val="000000" w:themeColor="text1"/>
          <w:sz w:val="20"/>
          <w:szCs w:val="20"/>
          <w:lang w:val="es-CO"/>
        </w:rPr>
        <w:t xml:space="preserve"> Filón ni de Palomino Ayala. Por lo anterior, la Comisión concluyó que el Estado peruano es responsable de la violación a la vida (Art. 4) e integridad personal (Art. 5) de la Convención Americana sobre Derechos Humanos.  </w:t>
      </w:r>
    </w:p>
    <w:p w14:paraId="1EFCBC89"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60D999E7"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9.426 - Informe Nº 18/87</w:t>
      </w:r>
    </w:p>
    <w:p w14:paraId="16F20D5C"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5EF73F1D"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del joven de 18 años Juan Darío Cuya </w:t>
      </w:r>
      <w:proofErr w:type="spellStart"/>
      <w:r w:rsidRPr="00D833CE">
        <w:rPr>
          <w:rFonts w:ascii="Cambria" w:eastAsia="Times New Roman" w:hAnsi="Cambria" w:cs="Cambria"/>
          <w:color w:val="000000" w:themeColor="text1"/>
          <w:sz w:val="20"/>
          <w:szCs w:val="20"/>
          <w:lang w:val="es-CO"/>
        </w:rPr>
        <w:t>Laine</w:t>
      </w:r>
      <w:proofErr w:type="spellEnd"/>
      <w:r w:rsidRPr="00D833CE">
        <w:rPr>
          <w:rFonts w:ascii="Cambria" w:eastAsia="Times New Roman" w:hAnsi="Cambria" w:cs="Cambria"/>
          <w:color w:val="000000" w:themeColor="text1"/>
          <w:sz w:val="20"/>
          <w:szCs w:val="20"/>
          <w:lang w:val="es-CO"/>
        </w:rPr>
        <w:t xml:space="preserve"> quien fue detenido en su casa ubicada en la Provincia de Ayacucho, el 24 de julio de 1984, por miembros del ejército y de la policía. Su madre ha informado que lo </w:t>
      </w:r>
      <w:proofErr w:type="spellStart"/>
      <w:r w:rsidRPr="00D833CE">
        <w:rPr>
          <w:rFonts w:ascii="Cambria" w:eastAsia="Times New Roman" w:hAnsi="Cambria" w:cs="Cambria"/>
          <w:color w:val="000000" w:themeColor="text1"/>
          <w:sz w:val="20"/>
          <w:szCs w:val="20"/>
          <w:lang w:val="es-CO"/>
        </w:rPr>
        <w:t>vió</w:t>
      </w:r>
      <w:proofErr w:type="spellEnd"/>
      <w:r w:rsidRPr="00D833CE">
        <w:rPr>
          <w:rFonts w:ascii="Cambria" w:eastAsia="Times New Roman" w:hAnsi="Cambria" w:cs="Cambria"/>
          <w:color w:val="000000" w:themeColor="text1"/>
          <w:sz w:val="20"/>
          <w:szCs w:val="20"/>
          <w:lang w:val="es-CO"/>
        </w:rPr>
        <w:t xml:space="preserve"> el día 30 de julio de l984, cuando lo visitó en los cuarteles de </w:t>
      </w:r>
      <w:proofErr w:type="spellStart"/>
      <w:r w:rsidRPr="00D833CE">
        <w:rPr>
          <w:rFonts w:ascii="Cambria" w:eastAsia="Times New Roman" w:hAnsi="Cambria" w:cs="Cambria"/>
          <w:color w:val="000000" w:themeColor="text1"/>
          <w:sz w:val="20"/>
          <w:szCs w:val="20"/>
          <w:lang w:val="es-CO"/>
        </w:rPr>
        <w:t>Quicapata</w:t>
      </w:r>
      <w:proofErr w:type="spellEnd"/>
      <w:r w:rsidRPr="00D833CE">
        <w:rPr>
          <w:rFonts w:ascii="Cambria" w:eastAsia="Times New Roman" w:hAnsi="Cambria" w:cs="Cambria"/>
          <w:color w:val="000000" w:themeColor="text1"/>
          <w:sz w:val="20"/>
          <w:szCs w:val="20"/>
          <w:lang w:val="es-CO"/>
        </w:rPr>
        <w:t xml:space="preserve">. A esa fecha presentaba visibles señales de tortura. Desde esa fecha se desconoce su paradero. Los oficiales de </w:t>
      </w:r>
      <w:proofErr w:type="spellStart"/>
      <w:r w:rsidRPr="00D833CE">
        <w:rPr>
          <w:rFonts w:ascii="Cambria" w:eastAsia="Times New Roman" w:hAnsi="Cambria" w:cs="Cambria"/>
          <w:color w:val="000000" w:themeColor="text1"/>
          <w:sz w:val="20"/>
          <w:szCs w:val="20"/>
          <w:lang w:val="es-CO"/>
        </w:rPr>
        <w:t>Quicapata</w:t>
      </w:r>
      <w:proofErr w:type="spellEnd"/>
      <w:r w:rsidRPr="00D833CE">
        <w:rPr>
          <w:rFonts w:ascii="Cambria" w:eastAsia="Times New Roman" w:hAnsi="Cambria" w:cs="Cambria"/>
          <w:color w:val="000000" w:themeColor="text1"/>
          <w:sz w:val="20"/>
          <w:szCs w:val="20"/>
          <w:lang w:val="es-CO"/>
        </w:rPr>
        <w:t xml:space="preserve">, donde estuvo detenido niegan su detención. Según las informaciones recibidas las dependencias de </w:t>
      </w:r>
      <w:proofErr w:type="spellStart"/>
      <w:r w:rsidRPr="00D833CE">
        <w:rPr>
          <w:rFonts w:ascii="Cambria" w:eastAsia="Times New Roman" w:hAnsi="Cambria" w:cs="Cambria"/>
          <w:color w:val="000000" w:themeColor="text1"/>
          <w:sz w:val="20"/>
          <w:szCs w:val="20"/>
          <w:lang w:val="es-CO"/>
        </w:rPr>
        <w:t>Quicapata</w:t>
      </w:r>
      <w:proofErr w:type="spellEnd"/>
      <w:r w:rsidRPr="00D833CE">
        <w:rPr>
          <w:rFonts w:ascii="Cambria" w:eastAsia="Times New Roman" w:hAnsi="Cambria" w:cs="Cambria"/>
          <w:color w:val="000000" w:themeColor="text1"/>
          <w:sz w:val="20"/>
          <w:szCs w:val="20"/>
          <w:lang w:val="es-CO"/>
        </w:rPr>
        <w:t xml:space="preserve"> eran anteriormente un colegio. Todos los recursos legales posibles han sido agotados. Por lo anterior, la Comisión concluyó que el Estado peruano es responsable de la violación a la </w:t>
      </w:r>
      <w:r w:rsidRPr="00D833CE">
        <w:rPr>
          <w:rFonts w:ascii="Cambria" w:eastAsia="Times New Roman" w:hAnsi="Cambria" w:cs="Cambria"/>
          <w:color w:val="000000" w:themeColor="text1"/>
          <w:sz w:val="20"/>
          <w:szCs w:val="20"/>
          <w:lang w:val="es-CO"/>
        </w:rPr>
        <w:lastRenderedPageBreak/>
        <w:t>vida (Art. 4); a la integridad personal (Art. 5) y a la libertad personal (Art. 7) estipulados en la Convención Americana sobre Derechos Humanos.</w:t>
      </w:r>
    </w:p>
    <w:p w14:paraId="4E3D1A52"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19278D04"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rPr>
      </w:pPr>
      <w:r w:rsidRPr="00D833CE">
        <w:rPr>
          <w:rFonts w:ascii="Cambria" w:eastAsia="Times New Roman" w:hAnsi="Cambria" w:cs="Cambria"/>
          <w:b/>
          <w:color w:val="000000" w:themeColor="text1"/>
          <w:sz w:val="20"/>
          <w:szCs w:val="20"/>
        </w:rPr>
        <w:t>Caso 9.425 - Informe Nº 17/87</w:t>
      </w:r>
    </w:p>
    <w:p w14:paraId="1D598209" w14:textId="77777777" w:rsidR="009D1967" w:rsidRPr="00D833CE" w:rsidRDefault="009D1967" w:rsidP="009D1967">
      <w:pPr>
        <w:spacing w:after="0" w:line="240" w:lineRule="auto"/>
        <w:jc w:val="both"/>
        <w:rPr>
          <w:rFonts w:ascii="Cambria" w:eastAsia="Times New Roman" w:hAnsi="Cambria" w:cs="Cambria"/>
          <w:color w:val="000000" w:themeColor="text1"/>
          <w:sz w:val="20"/>
          <w:szCs w:val="20"/>
        </w:rPr>
      </w:pPr>
    </w:p>
    <w:p w14:paraId="0DDE53DC"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r w:rsidRPr="00D833CE">
        <w:rPr>
          <w:rFonts w:ascii="Cambria" w:eastAsia="Times New Roman" w:hAnsi="Cambria" w:cs="Cambria"/>
          <w:color w:val="000000" w:themeColor="text1"/>
          <w:sz w:val="20"/>
          <w:szCs w:val="20"/>
          <w:lang w:val="es-CO"/>
        </w:rPr>
        <w:t xml:space="preserve">Este caso se refiere a Jaime Ayala Sulca Huanta, corresponsal del periódico "La República" quien desapareció después de haber sido detenido el día 2 de agosto de 1984, en dependencia de la Marina en Huanta, Departamento de Ayacucho. El señor Ayala había ido a esas dependencias a quejarse de la conducta de la policía hacia su madre quien se presentó en su casa la noche anterior. El Comando Conjunto de las Fuerzas Armadas ha negado su detención en Huanta. No se conocen más detalles de su paradero. Todos los recursos legales posibles bajo el Estado de Emergencia imperante en el Perú han sido agotados. En la región de Ayacucho se han ocurrido recientemente numerosas desapariciones y ejecuciones ilegales luego de las detenciones.  Por lo anterior, la Comisión concluyó que el Estado peruano es responsable de la violación de los derechos a la vida (Art. 4); a la integridad personal (Art. 5) y a la libertad personal (Art. 7), estipulados en la Convención Americana sobre Derechos Humanos. </w:t>
      </w:r>
    </w:p>
    <w:p w14:paraId="2543E86E" w14:textId="77777777" w:rsidR="009D1967" w:rsidRPr="00D833CE" w:rsidRDefault="009D1967" w:rsidP="009D1967">
      <w:pPr>
        <w:spacing w:after="0" w:line="240" w:lineRule="auto"/>
        <w:ind w:firstLine="720"/>
        <w:jc w:val="both"/>
        <w:rPr>
          <w:rFonts w:ascii="Cambria" w:eastAsia="Times New Roman" w:hAnsi="Cambria" w:cs="Cambria"/>
          <w:color w:val="000000" w:themeColor="text1"/>
          <w:sz w:val="20"/>
          <w:szCs w:val="20"/>
          <w:lang w:val="es-CO"/>
        </w:rPr>
      </w:pPr>
    </w:p>
    <w:p w14:paraId="39387EB5" w14:textId="77777777" w:rsidR="009D1967" w:rsidRPr="00D833CE" w:rsidRDefault="009D1967" w:rsidP="00055027">
      <w:pPr>
        <w:numPr>
          <w:ilvl w:val="0"/>
          <w:numId w:val="39"/>
        </w:numPr>
        <w:spacing w:after="0" w:line="240" w:lineRule="auto"/>
        <w:ind w:firstLine="0"/>
        <w:jc w:val="both"/>
        <w:rPr>
          <w:rFonts w:ascii="Cambria" w:eastAsia="Times New Roman" w:hAnsi="Cambria" w:cs="Cambria"/>
          <w:b/>
          <w:color w:val="000000" w:themeColor="text1"/>
          <w:sz w:val="20"/>
          <w:szCs w:val="20"/>
          <w:lang w:val="es-CO"/>
        </w:rPr>
      </w:pPr>
      <w:r w:rsidRPr="00D833CE">
        <w:rPr>
          <w:rFonts w:ascii="Cambria" w:eastAsia="Times New Roman" w:hAnsi="Cambria" w:cs="Cambria"/>
          <w:b/>
          <w:color w:val="000000" w:themeColor="text1"/>
          <w:sz w:val="20"/>
          <w:szCs w:val="20"/>
          <w:lang w:val="es-CO"/>
        </w:rPr>
        <w:t xml:space="preserve">Casos 10.247 y otros - Informe </w:t>
      </w:r>
      <w:proofErr w:type="spellStart"/>
      <w:r w:rsidRPr="00D833CE">
        <w:rPr>
          <w:rFonts w:ascii="Cambria" w:eastAsia="Times New Roman" w:hAnsi="Cambria" w:cs="Cambria"/>
          <w:b/>
          <w:color w:val="000000" w:themeColor="text1"/>
          <w:sz w:val="20"/>
          <w:szCs w:val="20"/>
          <w:lang w:val="es-CO"/>
        </w:rPr>
        <w:t>Nº</w:t>
      </w:r>
      <w:proofErr w:type="spellEnd"/>
      <w:r w:rsidRPr="00D833CE">
        <w:rPr>
          <w:rFonts w:ascii="Cambria" w:eastAsia="Times New Roman" w:hAnsi="Cambria" w:cs="Cambria"/>
          <w:b/>
          <w:color w:val="000000" w:themeColor="text1"/>
          <w:sz w:val="20"/>
          <w:szCs w:val="20"/>
          <w:lang w:val="es-CO"/>
        </w:rPr>
        <w:t xml:space="preserve"> 101/01</w:t>
      </w:r>
    </w:p>
    <w:p w14:paraId="4761A8D1" w14:textId="77777777" w:rsidR="009D1967" w:rsidRPr="00D833CE" w:rsidRDefault="009D1967" w:rsidP="009D1967">
      <w:pPr>
        <w:spacing w:after="0" w:line="240" w:lineRule="atLeast"/>
        <w:jc w:val="both"/>
        <w:rPr>
          <w:rFonts w:ascii="Cambria" w:eastAsia="Times New Roman" w:hAnsi="Cambria" w:cs="Cambria"/>
          <w:color w:val="000000" w:themeColor="text1"/>
          <w:sz w:val="20"/>
          <w:szCs w:val="20"/>
          <w:lang w:val="es-CO"/>
        </w:rPr>
      </w:pPr>
    </w:p>
    <w:p w14:paraId="08962336" w14:textId="06BC90C6" w:rsidR="009D1967" w:rsidRDefault="009D1967" w:rsidP="009D1967">
      <w:pPr>
        <w:spacing w:after="0" w:line="240" w:lineRule="atLeast"/>
        <w:ind w:firstLine="708"/>
        <w:jc w:val="both"/>
        <w:rPr>
          <w:rFonts w:ascii="Cambria" w:eastAsia="Times New Roman" w:hAnsi="Cambria"/>
          <w:color w:val="000000" w:themeColor="text1"/>
          <w:sz w:val="20"/>
          <w:szCs w:val="20"/>
          <w:lang w:val="es-ES"/>
        </w:rPr>
      </w:pPr>
      <w:r w:rsidRPr="00D833CE">
        <w:rPr>
          <w:rFonts w:ascii="Cambria" w:eastAsia="Times New Roman" w:hAnsi="Cambria"/>
          <w:color w:val="000000" w:themeColor="text1"/>
          <w:sz w:val="20"/>
          <w:szCs w:val="20"/>
          <w:lang w:val="es-ES"/>
        </w:rPr>
        <w:t>En el período comprendido entre los años 1984 y 1993, la CIDH recibió, entre otras, 25</w:t>
      </w:r>
      <w:r w:rsidRPr="00D833CE">
        <w:rPr>
          <w:rFonts w:ascii="Cambria" w:eastAsia="Times New Roman" w:hAnsi="Cambria"/>
          <w:b/>
          <w:bCs/>
          <w:color w:val="000000" w:themeColor="text1"/>
          <w:sz w:val="20"/>
          <w:szCs w:val="20"/>
          <w:lang w:val="es-ES"/>
        </w:rPr>
        <w:t> </w:t>
      </w:r>
      <w:r w:rsidRPr="00D833CE">
        <w:rPr>
          <w:rFonts w:ascii="Cambria" w:eastAsia="Times New Roman" w:hAnsi="Cambria"/>
          <w:color w:val="000000" w:themeColor="text1"/>
          <w:sz w:val="20"/>
          <w:szCs w:val="20"/>
          <w:lang w:val="es-ES"/>
        </w:rPr>
        <w:t xml:space="preserve">peticiones en las que se denunciaba que el Estado del violó derechos humanos consagrados en la Convención Americana sobre Derechos Humanos en perjuicio de las 119 personas incluidas en los casos contemplados en este Informe (ver: </w:t>
      </w:r>
      <w:hyperlink r:id="rId8" w:history="1">
        <w:r w:rsidRPr="00D833CE">
          <w:rPr>
            <w:rStyle w:val="Hyperlink"/>
            <w:rFonts w:ascii="Cambria" w:eastAsia="Times New Roman" w:hAnsi="Cambria"/>
            <w:color w:val="000000" w:themeColor="text1"/>
            <w:sz w:val="20"/>
            <w:szCs w:val="20"/>
            <w:lang w:val="es-ES"/>
          </w:rPr>
          <w:t>Informe de Fondo No. 101/01</w:t>
        </w:r>
      </w:hyperlink>
      <w:r w:rsidRPr="00D833CE">
        <w:rPr>
          <w:rFonts w:ascii="Cambria" w:eastAsia="Times New Roman" w:hAnsi="Cambria"/>
          <w:color w:val="000000" w:themeColor="text1"/>
          <w:sz w:val="20"/>
          <w:szCs w:val="20"/>
          <w:lang w:val="es-ES"/>
        </w:rPr>
        <w:t>). Teniendo en cuenta la uniformidad en el estado del trámite de los casos, las características comunes de los hechos denunciados, el marco cronológico común, y que todos ellos se refieren a denuncias de ejecuciones extrajudiciales o a desapariciones forzadas que se han imputado a agentes del Estado, la Comisión acumuló los casos y los resolvió en forma conjunta.</w:t>
      </w:r>
      <w:r w:rsidRPr="00D833CE">
        <w:rPr>
          <w:rFonts w:ascii="Cambria" w:eastAsia="Times New Roman" w:hAnsi="Cambria"/>
          <w:color w:val="000000" w:themeColor="text1"/>
          <w:sz w:val="20"/>
          <w:szCs w:val="20"/>
          <w:lang w:val="es-CO"/>
        </w:rPr>
        <w:t xml:space="preserve"> </w:t>
      </w:r>
      <w:r w:rsidRPr="00D833CE">
        <w:rPr>
          <w:rFonts w:ascii="Cambria" w:eastAsia="Times New Roman" w:hAnsi="Cambria"/>
          <w:color w:val="000000" w:themeColor="text1"/>
          <w:sz w:val="20"/>
          <w:szCs w:val="20"/>
          <w:lang w:val="es-ES"/>
        </w:rPr>
        <w:t>Al respecto, la Comisión Interamericana determinó que el Estado peruano es responsable por la ejecución extrajudicial de algunas víctimas y por la desaparición forzada de las demás de ellas, y encuentra que Perú violó en perjuicio de las víctimas, con las variables que se indican en cada caso, derechos humanos a la libertad personal, integridad personal, garantías judiciales, protección judicial, medidas especiales de protección y personalidad jurídica, consagrados en los artículos 7, 5, 8, 25, 19, y 3, respectivamente, de la Convención Americana. Asimismo, la Comisión efectúa al Estado peruano las recomendaciones pertinentes, referidas a dejar sin efecto las disposiciones internas y las decisiones judiciales que tiendan a impedir la investigación, procesamiento y sanción de los responsables de las violaciones de los derechos humanos en cuestión; llevar a cabo una investigación seria, exhaustiva, imparcial y eficaz para determinar las responsabilidades individuales por dichas violaciones, sancionar a los responsables e indemnizar a los familiares de las víctimas por las violaciones de derechos humanos comprobadas. La CIDH recomienda también al Estado peruano adherir a la Convención Interamericana sobre Desaparición Forzada de Personas.  </w:t>
      </w:r>
    </w:p>
    <w:p w14:paraId="0B0AA25F" w14:textId="3203D0F5" w:rsidR="005406FF" w:rsidRDefault="005406FF" w:rsidP="009D1967">
      <w:pPr>
        <w:spacing w:after="0" w:line="240" w:lineRule="atLeast"/>
        <w:ind w:firstLine="708"/>
        <w:jc w:val="both"/>
        <w:rPr>
          <w:rFonts w:ascii="Cambria" w:eastAsia="Times New Roman" w:hAnsi="Cambria"/>
          <w:color w:val="000000" w:themeColor="text1"/>
          <w:sz w:val="20"/>
          <w:szCs w:val="20"/>
          <w:lang w:val="es-ES"/>
        </w:rPr>
      </w:pPr>
    </w:p>
    <w:p w14:paraId="1B45655A" w14:textId="77777777" w:rsidR="005406FF" w:rsidRPr="00D833CE" w:rsidRDefault="005406FF" w:rsidP="00055027">
      <w:pPr>
        <w:numPr>
          <w:ilvl w:val="0"/>
          <w:numId w:val="39"/>
        </w:numPr>
        <w:spacing w:after="0" w:line="240" w:lineRule="auto"/>
        <w:ind w:firstLine="0"/>
        <w:jc w:val="both"/>
        <w:rPr>
          <w:rFonts w:ascii="Cambria" w:eastAsia="Times New Roman" w:hAnsi="Cambria" w:cs="Cambria"/>
          <w:b/>
          <w:color w:val="000000" w:themeColor="text1"/>
          <w:sz w:val="20"/>
          <w:szCs w:val="20"/>
          <w:lang w:val="es-CO"/>
        </w:rPr>
      </w:pPr>
      <w:bookmarkStart w:id="2" w:name="_Hlk95332823"/>
      <w:r w:rsidRPr="00D833CE">
        <w:rPr>
          <w:rFonts w:ascii="Cambria" w:eastAsia="Times New Roman" w:hAnsi="Cambria" w:cs="Cambria"/>
          <w:b/>
          <w:color w:val="000000" w:themeColor="text1"/>
          <w:sz w:val="20"/>
          <w:szCs w:val="20"/>
          <w:lang w:val="es-CO"/>
        </w:rPr>
        <w:t xml:space="preserve">Casos 10.247 y otros - Informe </w:t>
      </w:r>
      <w:proofErr w:type="spellStart"/>
      <w:r w:rsidRPr="00D833CE">
        <w:rPr>
          <w:rFonts w:ascii="Cambria" w:eastAsia="Times New Roman" w:hAnsi="Cambria" w:cs="Cambria"/>
          <w:b/>
          <w:color w:val="000000" w:themeColor="text1"/>
          <w:sz w:val="20"/>
          <w:szCs w:val="20"/>
          <w:lang w:val="es-CO"/>
        </w:rPr>
        <w:t>Nº</w:t>
      </w:r>
      <w:proofErr w:type="spellEnd"/>
      <w:r w:rsidRPr="00D833CE">
        <w:rPr>
          <w:rFonts w:ascii="Cambria" w:eastAsia="Times New Roman" w:hAnsi="Cambria" w:cs="Cambria"/>
          <w:b/>
          <w:color w:val="000000" w:themeColor="text1"/>
          <w:sz w:val="20"/>
          <w:szCs w:val="20"/>
          <w:lang w:val="es-CO"/>
        </w:rPr>
        <w:t xml:space="preserve"> 101/01</w:t>
      </w:r>
    </w:p>
    <w:bookmarkEnd w:id="2"/>
    <w:p w14:paraId="439D5B18" w14:textId="77777777" w:rsidR="005406FF" w:rsidRDefault="005406FF" w:rsidP="00F17FE5">
      <w:pPr>
        <w:spacing w:after="0" w:line="240" w:lineRule="atLeast"/>
        <w:jc w:val="both"/>
        <w:rPr>
          <w:rFonts w:ascii="Cambria" w:eastAsia="Times New Roman" w:hAnsi="Cambria"/>
          <w:color w:val="000000" w:themeColor="text1"/>
          <w:sz w:val="20"/>
          <w:szCs w:val="20"/>
          <w:lang w:val="es-ES"/>
        </w:rPr>
      </w:pPr>
    </w:p>
    <w:p w14:paraId="02D17476" w14:textId="578407EF" w:rsidR="009D1967" w:rsidRPr="00F17FE5" w:rsidRDefault="00F17FE5" w:rsidP="00F17FE5">
      <w:pPr>
        <w:pStyle w:val="NoSpacing"/>
        <w:spacing w:after="120"/>
        <w:jc w:val="both"/>
        <w:rPr>
          <w:rFonts w:ascii="Cambria" w:hAnsi="Cambria"/>
          <w:color w:val="000000"/>
          <w:sz w:val="20"/>
          <w:szCs w:val="20"/>
          <w:lang w:val="es-ES"/>
        </w:rPr>
      </w:pPr>
      <w:r w:rsidRPr="00FE1FB5">
        <w:rPr>
          <w:rFonts w:ascii="Cambria" w:hAnsi="Cambria"/>
          <w:color w:val="000000"/>
          <w:sz w:val="20"/>
          <w:szCs w:val="20"/>
          <w:lang w:val="es-ES"/>
        </w:rPr>
        <w:t xml:space="preserve">El señor César Cabrejos Bernuy, </w:t>
      </w:r>
      <w:proofErr w:type="gramStart"/>
      <w:r w:rsidRPr="00FE1FB5">
        <w:rPr>
          <w:rFonts w:ascii="Cambria" w:hAnsi="Cambria"/>
          <w:color w:val="000000"/>
          <w:sz w:val="20"/>
          <w:szCs w:val="20"/>
          <w:lang w:val="es-ES"/>
        </w:rPr>
        <w:t>Coronel</w:t>
      </w:r>
      <w:proofErr w:type="gramEnd"/>
      <w:r w:rsidRPr="00FE1FB5">
        <w:rPr>
          <w:rFonts w:ascii="Cambria" w:hAnsi="Cambria"/>
          <w:color w:val="000000"/>
          <w:sz w:val="20"/>
          <w:szCs w:val="20"/>
          <w:lang w:val="es-ES"/>
        </w:rPr>
        <w:t xml:space="preserve"> de la Policía Nacional del Perú, fue pasado a retiro el 31 de julio de 1990</w:t>
      </w:r>
      <w:r w:rsidRPr="00FE1FB5">
        <w:rPr>
          <w:lang w:val="es-ES"/>
        </w:rPr>
        <w:t xml:space="preserve"> </w:t>
      </w:r>
      <w:r w:rsidRPr="00FE1FB5">
        <w:rPr>
          <w:rFonts w:ascii="Cambria" w:hAnsi="Cambria"/>
          <w:color w:val="000000"/>
          <w:sz w:val="20"/>
          <w:szCs w:val="20"/>
          <w:lang w:val="es-ES"/>
        </w:rPr>
        <w:t xml:space="preserve">debido a una supuesta renovación de personal. </w:t>
      </w:r>
      <w:r>
        <w:rPr>
          <w:rFonts w:ascii="Cambria" w:hAnsi="Cambria"/>
          <w:color w:val="000000"/>
          <w:sz w:val="20"/>
          <w:szCs w:val="20"/>
          <w:lang w:val="es-ES"/>
        </w:rPr>
        <w:t xml:space="preserve">Tras impugnar </w:t>
      </w:r>
      <w:r w:rsidRPr="00FE1FB5">
        <w:rPr>
          <w:rFonts w:ascii="Cambria" w:hAnsi="Cambria"/>
          <w:color w:val="000000"/>
          <w:sz w:val="20"/>
          <w:szCs w:val="20"/>
          <w:lang w:val="es-ES"/>
        </w:rPr>
        <w:t xml:space="preserve">su pase a retiro, </w:t>
      </w:r>
      <w:r>
        <w:rPr>
          <w:rFonts w:ascii="Cambria" w:hAnsi="Cambria"/>
          <w:color w:val="000000"/>
          <w:sz w:val="20"/>
          <w:szCs w:val="20"/>
          <w:lang w:val="es-ES"/>
        </w:rPr>
        <w:t xml:space="preserve">fue incorporado y retirado en varias oportunidades. </w:t>
      </w:r>
      <w:r w:rsidRPr="00FE1FB5">
        <w:rPr>
          <w:rFonts w:ascii="Cambria" w:hAnsi="Cambria"/>
          <w:color w:val="000000"/>
          <w:sz w:val="20"/>
          <w:szCs w:val="20"/>
          <w:lang w:val="es-ES"/>
        </w:rPr>
        <w:t>La Comisión concluyó que el Estado peruano incumplió de manera continua la sentencia de la Corte Suprema de Perú del 5 de julio de 1992, que ordenó la reincorporación del señor Cesar Cabrejos Bernuy a su cargo de Coronel de la Policía Nacional del Perú, y por ello incurrió en violación, en perjuicio del señor Cabrejos Bernuy, del derecho a la protección judicial consagrado en el artículo 25 de la Convención Americana y del deber genérico del Estado de respetar y garantizar los derechos de las personas que se encuentran bajo su jurisdicción consagrado en el artículo 1(1) de la Convención.</w:t>
      </w:r>
      <w:r>
        <w:rPr>
          <w:rFonts w:ascii="Cambria" w:hAnsi="Cambria"/>
          <w:color w:val="000000"/>
          <w:sz w:val="20"/>
          <w:szCs w:val="20"/>
          <w:lang w:val="es-ES"/>
        </w:rPr>
        <w:t xml:space="preserve"> Las recomendaciones emitidas por la CIDH en el informe de fondo del caso fueron declaradas totalmente cumplida en su </w:t>
      </w:r>
      <w:hyperlink r:id="rId9" w:history="1">
        <w:r w:rsidRPr="00FE1FB5">
          <w:rPr>
            <w:rStyle w:val="Hyperlink"/>
            <w:rFonts w:ascii="Cambria" w:hAnsi="Cambria"/>
            <w:color w:val="auto"/>
            <w:sz w:val="20"/>
            <w:szCs w:val="20"/>
            <w:lang w:val="es-ES"/>
          </w:rPr>
          <w:t>Informe Anual 2010</w:t>
        </w:r>
      </w:hyperlink>
      <w:r>
        <w:rPr>
          <w:rFonts w:ascii="Cambria" w:hAnsi="Cambria"/>
          <w:sz w:val="20"/>
          <w:szCs w:val="20"/>
          <w:lang w:val="es-ES"/>
        </w:rPr>
        <w:t>.</w:t>
      </w:r>
    </w:p>
    <w:p w14:paraId="386D7BEE" w14:textId="77777777" w:rsidR="009D1967" w:rsidRPr="00D833CE" w:rsidRDefault="009D1967" w:rsidP="009D1967">
      <w:pPr>
        <w:spacing w:after="0" w:line="240" w:lineRule="auto"/>
        <w:ind w:firstLine="720"/>
        <w:jc w:val="both"/>
        <w:rPr>
          <w:rFonts w:ascii="Cambria" w:eastAsia="Times New Roman" w:hAnsi="Cambria" w:cs="Cambria"/>
          <w:b/>
          <w:color w:val="000000" w:themeColor="text1"/>
          <w:sz w:val="20"/>
          <w:szCs w:val="20"/>
          <w:lang w:val="es-CO"/>
        </w:rPr>
      </w:pPr>
    </w:p>
    <w:p w14:paraId="2A34F35A" w14:textId="77777777" w:rsidR="009D1967" w:rsidRPr="009D1967" w:rsidRDefault="009D1967" w:rsidP="00B537A7">
      <w:pPr>
        <w:spacing w:line="240" w:lineRule="auto"/>
        <w:jc w:val="both"/>
        <w:rPr>
          <w:color w:val="000000" w:themeColor="text1"/>
          <w:sz w:val="20"/>
          <w:szCs w:val="20"/>
          <w:lang w:val="es-ES"/>
        </w:rPr>
      </w:pPr>
    </w:p>
    <w:sectPr w:rsidR="009D1967" w:rsidRPr="009D1967" w:rsidSect="00842B44">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52A0" w14:textId="77777777" w:rsidR="00487EE7" w:rsidRDefault="00487EE7" w:rsidP="00842B44">
      <w:pPr>
        <w:spacing w:after="0" w:line="240" w:lineRule="auto"/>
      </w:pPr>
      <w:r>
        <w:separator/>
      </w:r>
    </w:p>
  </w:endnote>
  <w:endnote w:type="continuationSeparator" w:id="0">
    <w:p w14:paraId="33F5BE29" w14:textId="77777777" w:rsidR="00487EE7" w:rsidRDefault="00487EE7" w:rsidP="0084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287663"/>
      <w:docPartObj>
        <w:docPartGallery w:val="Page Numbers (Bottom of Page)"/>
        <w:docPartUnique/>
      </w:docPartObj>
    </w:sdtPr>
    <w:sdtEndPr>
      <w:rPr>
        <w:rFonts w:ascii="Cambria" w:hAnsi="Cambria"/>
        <w:noProof/>
      </w:rPr>
    </w:sdtEndPr>
    <w:sdtContent>
      <w:p w14:paraId="2CC7CD03" w14:textId="0352D1FF" w:rsidR="00CE4764" w:rsidRDefault="00CE4764">
        <w:pPr>
          <w:pStyle w:val="Footer"/>
          <w:jc w:val="center"/>
        </w:pPr>
        <w:r w:rsidRPr="00CE4764">
          <w:rPr>
            <w:rFonts w:ascii="Cambria" w:hAnsi="Cambria"/>
            <w:sz w:val="16"/>
            <w:szCs w:val="16"/>
          </w:rPr>
          <w:fldChar w:fldCharType="begin"/>
        </w:r>
        <w:r w:rsidRPr="00CE4764">
          <w:rPr>
            <w:rFonts w:ascii="Cambria" w:hAnsi="Cambria"/>
            <w:sz w:val="16"/>
            <w:szCs w:val="16"/>
          </w:rPr>
          <w:instrText xml:space="preserve"> PAGE   \* MERGEFORMAT </w:instrText>
        </w:r>
        <w:r w:rsidRPr="00CE4764">
          <w:rPr>
            <w:rFonts w:ascii="Cambria" w:hAnsi="Cambria"/>
            <w:sz w:val="16"/>
            <w:szCs w:val="16"/>
          </w:rPr>
          <w:fldChar w:fldCharType="separate"/>
        </w:r>
        <w:r w:rsidRPr="00CE4764">
          <w:rPr>
            <w:rFonts w:ascii="Cambria" w:hAnsi="Cambria"/>
            <w:noProof/>
            <w:sz w:val="16"/>
            <w:szCs w:val="16"/>
          </w:rPr>
          <w:t>2</w:t>
        </w:r>
        <w:r w:rsidRPr="00CE4764">
          <w:rPr>
            <w:rFonts w:ascii="Cambria" w:hAnsi="Cambria"/>
            <w:noProof/>
            <w:sz w:val="16"/>
            <w:szCs w:val="16"/>
          </w:rPr>
          <w:fldChar w:fldCharType="end"/>
        </w:r>
      </w:p>
    </w:sdtContent>
  </w:sdt>
  <w:p w14:paraId="21895F4D" w14:textId="77777777" w:rsidR="00CE4764" w:rsidRDefault="00CE4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6C4C836E" w14:paraId="46FCC65C" w14:textId="77777777" w:rsidTr="6C4C836E">
      <w:tc>
        <w:tcPr>
          <w:tcW w:w="2945" w:type="dxa"/>
        </w:tcPr>
        <w:p w14:paraId="7538F65B" w14:textId="28AE7037" w:rsidR="6C4C836E" w:rsidRDefault="6C4C836E" w:rsidP="6C4C836E">
          <w:pPr>
            <w:pStyle w:val="Header"/>
            <w:ind w:left="-115"/>
          </w:pPr>
        </w:p>
      </w:tc>
      <w:tc>
        <w:tcPr>
          <w:tcW w:w="2945" w:type="dxa"/>
        </w:tcPr>
        <w:p w14:paraId="52176257" w14:textId="346E726F" w:rsidR="6C4C836E" w:rsidRDefault="6C4C836E" w:rsidP="6C4C836E">
          <w:pPr>
            <w:pStyle w:val="Header"/>
            <w:jc w:val="center"/>
          </w:pPr>
        </w:p>
      </w:tc>
      <w:tc>
        <w:tcPr>
          <w:tcW w:w="2945" w:type="dxa"/>
        </w:tcPr>
        <w:p w14:paraId="1BBD7AD0" w14:textId="77FAF257" w:rsidR="6C4C836E" w:rsidRDefault="6C4C836E" w:rsidP="6C4C836E">
          <w:pPr>
            <w:pStyle w:val="Header"/>
            <w:ind w:right="-115"/>
            <w:jc w:val="right"/>
          </w:pPr>
        </w:p>
      </w:tc>
    </w:tr>
  </w:tbl>
  <w:p w14:paraId="34806C29" w14:textId="489BBA56" w:rsidR="6C4C836E" w:rsidRDefault="6C4C836E" w:rsidP="6C4C8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9DA3" w14:textId="77777777" w:rsidR="00487EE7" w:rsidRDefault="00487EE7" w:rsidP="00842B44">
      <w:pPr>
        <w:spacing w:after="0" w:line="240" w:lineRule="auto"/>
      </w:pPr>
      <w:r>
        <w:separator/>
      </w:r>
    </w:p>
  </w:footnote>
  <w:footnote w:type="continuationSeparator" w:id="0">
    <w:p w14:paraId="6EB2C0B4" w14:textId="77777777" w:rsidR="00487EE7" w:rsidRDefault="00487EE7" w:rsidP="00842B44">
      <w:pPr>
        <w:spacing w:after="0" w:line="240" w:lineRule="auto"/>
      </w:pPr>
      <w:r>
        <w:continuationSeparator/>
      </w:r>
    </w:p>
  </w:footnote>
  <w:footnote w:id="1">
    <w:p w14:paraId="5D5DF1ED" w14:textId="2B97ADE8" w:rsidR="004E7BB6" w:rsidRPr="00491517" w:rsidRDefault="004E7BB6" w:rsidP="00DA3A3C">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w:t>
      </w:r>
      <w:r w:rsidRPr="00491517">
        <w:rPr>
          <w:rFonts w:ascii="Cambria" w:hAnsi="Cambria"/>
          <w:bCs/>
          <w:color w:val="000000" w:themeColor="text1"/>
          <w:sz w:val="16"/>
          <w:szCs w:val="16"/>
          <w:lang w:val="es-ES"/>
        </w:rPr>
        <w:t xml:space="preserve">Considerando que esta ficha de seguimiento tiene el propósito de </w:t>
      </w:r>
      <w:r w:rsidR="004B1518" w:rsidRPr="00491517">
        <w:rPr>
          <w:rFonts w:ascii="Cambria" w:hAnsi="Cambria"/>
          <w:bCs/>
          <w:color w:val="000000" w:themeColor="text1"/>
          <w:sz w:val="16"/>
          <w:szCs w:val="16"/>
          <w:lang w:val="es-ES"/>
        </w:rPr>
        <w:t xml:space="preserve">servir de documento de trabajo para </w:t>
      </w:r>
      <w:r w:rsidRPr="00491517">
        <w:rPr>
          <w:rFonts w:ascii="Cambria" w:hAnsi="Cambria"/>
          <w:bCs/>
          <w:color w:val="000000" w:themeColor="text1"/>
          <w:sz w:val="16"/>
          <w:szCs w:val="16"/>
          <w:lang w:val="es-ES"/>
        </w:rPr>
        <w:t>fortalecer el seguimiento de todos los casos, es posible que en la medida en que transcurra el proceso de monitoreo e impulso del cumplimiento, sean incorporados ajustes a partir de la información proporcionada por ambas partes</w:t>
      </w:r>
      <w:r w:rsidR="004B1518" w:rsidRPr="00491517">
        <w:rPr>
          <w:rFonts w:ascii="Cambria" w:hAnsi="Cambria"/>
          <w:bCs/>
          <w:color w:val="000000" w:themeColor="text1"/>
          <w:sz w:val="16"/>
          <w:szCs w:val="16"/>
          <w:lang w:val="es-ES"/>
        </w:rPr>
        <w:t xml:space="preserve"> y los análisis de seguimiento realizados por la CIDH</w:t>
      </w:r>
      <w:r w:rsidRPr="00491517">
        <w:rPr>
          <w:rFonts w:ascii="Cambria" w:hAnsi="Cambria"/>
          <w:bCs/>
          <w:color w:val="000000" w:themeColor="text1"/>
          <w:sz w:val="16"/>
          <w:szCs w:val="16"/>
          <w:lang w:val="es-ES"/>
        </w:rPr>
        <w:t>.</w:t>
      </w:r>
    </w:p>
  </w:footnote>
  <w:footnote w:id="2">
    <w:p w14:paraId="0ACA0892" w14:textId="0CD1209D" w:rsidR="004E7BB6" w:rsidRPr="00491517" w:rsidRDefault="004E7BB6" w:rsidP="00DA3A3C">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w:t>
      </w:r>
      <w:proofErr w:type="spellStart"/>
      <w:r w:rsidRPr="00491517">
        <w:rPr>
          <w:rFonts w:ascii="Cambria" w:hAnsi="Cambria"/>
          <w:bCs/>
          <w:color w:val="000000" w:themeColor="text1"/>
          <w:sz w:val="16"/>
          <w:szCs w:val="16"/>
          <w:lang w:val="es-ES"/>
        </w:rPr>
        <w:t>Ibídem</w:t>
      </w:r>
      <w:proofErr w:type="spellEnd"/>
      <w:r w:rsidRPr="00491517">
        <w:rPr>
          <w:rFonts w:ascii="Cambria" w:hAnsi="Cambria"/>
          <w:bCs/>
          <w:color w:val="000000" w:themeColor="text1"/>
          <w:sz w:val="16"/>
          <w:szCs w:val="16"/>
          <w:lang w:val="es-ES"/>
        </w:rPr>
        <w:t>.</w:t>
      </w:r>
    </w:p>
  </w:footnote>
  <w:footnote w:id="3">
    <w:p w14:paraId="5ECCD3DC" w14:textId="3B4252BA" w:rsidR="00DA3A3C" w:rsidRPr="00491517" w:rsidRDefault="00DA3A3C" w:rsidP="00DA3A3C">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CIDH, Directrices Generales de Seguimiento de Recomendaciones y Decisiones de la </w:t>
      </w:r>
      <w:proofErr w:type="gramStart"/>
      <w:r w:rsidRPr="00491517">
        <w:rPr>
          <w:rFonts w:ascii="Cambria" w:hAnsi="Cambria"/>
          <w:color w:val="000000" w:themeColor="text1"/>
          <w:sz w:val="16"/>
          <w:szCs w:val="16"/>
          <w:lang w:val="es-CO"/>
        </w:rPr>
        <w:t>CIDH,  OEA</w:t>
      </w:r>
      <w:proofErr w:type="gramEnd"/>
      <w:r w:rsidRPr="00491517">
        <w:rPr>
          <w:rFonts w:ascii="Cambria" w:hAnsi="Cambria"/>
          <w:color w:val="000000" w:themeColor="text1"/>
          <w:sz w:val="16"/>
          <w:szCs w:val="16"/>
          <w:lang w:val="es-CO"/>
        </w:rPr>
        <w:t>/</w:t>
      </w:r>
      <w:proofErr w:type="spellStart"/>
      <w:r w:rsidRPr="00491517">
        <w:rPr>
          <w:rFonts w:ascii="Cambria" w:hAnsi="Cambria"/>
          <w:color w:val="000000" w:themeColor="text1"/>
          <w:sz w:val="16"/>
          <w:szCs w:val="16"/>
          <w:lang w:val="es-CO"/>
        </w:rPr>
        <w:t>Ser.L</w:t>
      </w:r>
      <w:proofErr w:type="spellEnd"/>
      <w:r w:rsidRPr="00491517">
        <w:rPr>
          <w:rFonts w:ascii="Cambria" w:hAnsi="Cambria"/>
          <w:color w:val="000000" w:themeColor="text1"/>
          <w:sz w:val="16"/>
          <w:szCs w:val="16"/>
          <w:lang w:val="es-CO"/>
        </w:rPr>
        <w:t xml:space="preserve">/V/II.173, Doc. 177, 30 septiembre 2019. </w:t>
      </w:r>
    </w:p>
  </w:footnote>
  <w:footnote w:id="4">
    <w:p w14:paraId="507DA964" w14:textId="225FEF3A" w:rsidR="00547646" w:rsidRPr="00491517" w:rsidRDefault="00547646" w:rsidP="00DA3A3C">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Al respecto, el </w:t>
      </w:r>
      <w:r w:rsidR="00D80A03" w:rsidRPr="00491517">
        <w:rPr>
          <w:rFonts w:ascii="Cambria" w:hAnsi="Cambria"/>
          <w:color w:val="000000" w:themeColor="text1"/>
          <w:sz w:val="16"/>
          <w:szCs w:val="16"/>
          <w:lang w:val="es-ES"/>
        </w:rPr>
        <w:t>MP</w:t>
      </w:r>
      <w:r w:rsidR="00D80A03" w:rsidRPr="00491517">
        <w:rPr>
          <w:rFonts w:ascii="Cambria" w:hAnsi="Cambria"/>
          <w:color w:val="000000" w:themeColor="text1"/>
          <w:sz w:val="16"/>
          <w:szCs w:val="16"/>
          <w:lang w:val="es-CO"/>
        </w:rPr>
        <w:t xml:space="preserve"> </w:t>
      </w:r>
      <w:r w:rsidRPr="00491517">
        <w:rPr>
          <w:rFonts w:ascii="Cambria" w:hAnsi="Cambria"/>
          <w:color w:val="000000" w:themeColor="text1"/>
          <w:sz w:val="16"/>
          <w:szCs w:val="16"/>
          <w:lang w:val="es-CO"/>
        </w:rPr>
        <w:t xml:space="preserve">se refirió específicamente a dos hipótesis de demora: </w:t>
      </w:r>
      <w:r w:rsidR="0075495A" w:rsidRPr="00491517">
        <w:rPr>
          <w:rFonts w:ascii="Cambria" w:hAnsi="Cambria"/>
          <w:color w:val="000000" w:themeColor="text1"/>
          <w:sz w:val="16"/>
          <w:szCs w:val="16"/>
          <w:lang w:val="es-CO"/>
        </w:rPr>
        <w:t>c</w:t>
      </w:r>
      <w:r w:rsidRPr="00491517">
        <w:rPr>
          <w:rFonts w:ascii="Cambria" w:hAnsi="Cambria"/>
          <w:color w:val="000000" w:themeColor="text1"/>
          <w:sz w:val="16"/>
          <w:szCs w:val="16"/>
          <w:lang w:val="es-CO"/>
        </w:rPr>
        <w:t>asos en los que, pese a existir auto de enjuiciamiento, desde hace más de un año no se ha señalado la fecha de su inicio (como</w:t>
      </w:r>
      <w:r w:rsidR="0075495A" w:rsidRPr="00491517">
        <w:rPr>
          <w:rFonts w:ascii="Cambria" w:hAnsi="Cambria"/>
          <w:color w:val="000000" w:themeColor="text1"/>
          <w:sz w:val="16"/>
          <w:szCs w:val="16"/>
          <w:lang w:val="es-CO"/>
        </w:rPr>
        <w:t xml:space="preserve">, indica, sucede con el </w:t>
      </w:r>
      <w:r w:rsidRPr="00491517">
        <w:rPr>
          <w:rFonts w:ascii="Cambria" w:hAnsi="Cambria"/>
          <w:color w:val="000000" w:themeColor="text1"/>
          <w:sz w:val="16"/>
          <w:szCs w:val="16"/>
          <w:lang w:val="es-CO"/>
        </w:rPr>
        <w:t xml:space="preserve"> </w:t>
      </w:r>
      <w:r w:rsidR="0075495A" w:rsidRPr="00491517">
        <w:rPr>
          <w:rFonts w:ascii="Cambria" w:hAnsi="Cambria"/>
          <w:color w:val="000000" w:themeColor="text1"/>
          <w:sz w:val="16"/>
          <w:szCs w:val="16"/>
          <w:lang w:val="es-CO"/>
        </w:rPr>
        <w:t>c</w:t>
      </w:r>
      <w:r w:rsidRPr="00491517">
        <w:rPr>
          <w:rFonts w:ascii="Cambria" w:hAnsi="Cambria"/>
          <w:color w:val="000000" w:themeColor="text1"/>
          <w:sz w:val="16"/>
          <w:szCs w:val="16"/>
          <w:lang w:val="es-CO"/>
        </w:rPr>
        <w:t xml:space="preserve">aso Universidad del Centro); y casos con juicios en curso que no cumplen con la debida celeridad por el reducido número de jueces designados (al respecto, el </w:t>
      </w:r>
      <w:r w:rsidR="00D80A03" w:rsidRPr="00491517">
        <w:rPr>
          <w:rFonts w:ascii="Cambria" w:hAnsi="Cambria"/>
          <w:color w:val="000000" w:themeColor="text1"/>
          <w:sz w:val="16"/>
          <w:szCs w:val="16"/>
          <w:lang w:val="es-ES"/>
        </w:rPr>
        <w:t>MP</w:t>
      </w:r>
      <w:r w:rsidRPr="00491517">
        <w:rPr>
          <w:rFonts w:ascii="Cambria" w:hAnsi="Cambria"/>
          <w:color w:val="000000" w:themeColor="text1"/>
          <w:sz w:val="16"/>
          <w:szCs w:val="16"/>
          <w:lang w:val="es-CO"/>
        </w:rPr>
        <w:t xml:space="preserve"> señaló que sólo existe un juzgado en liquidación que viene conociendo muchos de los casos que en cuestión y un colegiado especializado en la materia con tres jueces).</w:t>
      </w:r>
    </w:p>
  </w:footnote>
  <w:footnote w:id="5">
    <w:p w14:paraId="603B05D7" w14:textId="57A921A0" w:rsidR="006B2718" w:rsidRPr="00491517" w:rsidRDefault="00331125" w:rsidP="0075495A">
      <w:pPr>
        <w:pStyle w:val="FootnoteText"/>
        <w:tabs>
          <w:tab w:val="left" w:pos="720"/>
          <w:tab w:val="left" w:pos="1170"/>
        </w:tabs>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w:t>
      </w:r>
      <w:r w:rsidR="006B2718" w:rsidRPr="00491517">
        <w:rPr>
          <w:rFonts w:ascii="Cambria" w:hAnsi="Cambria"/>
          <w:color w:val="000000" w:themeColor="text1"/>
          <w:sz w:val="16"/>
          <w:szCs w:val="16"/>
          <w:lang w:val="es-CO"/>
        </w:rPr>
        <w:t>Estos casos son los siguiente</w:t>
      </w:r>
      <w:r w:rsidR="004F6428" w:rsidRPr="00491517">
        <w:rPr>
          <w:rFonts w:ascii="Cambria" w:hAnsi="Cambria"/>
          <w:color w:val="000000" w:themeColor="text1"/>
          <w:sz w:val="16"/>
          <w:szCs w:val="16"/>
          <w:lang w:val="es-CO"/>
        </w:rPr>
        <w:t>s</w:t>
      </w:r>
      <w:r w:rsidR="006B2718" w:rsidRPr="00491517">
        <w:rPr>
          <w:rFonts w:ascii="Cambria" w:hAnsi="Cambria"/>
          <w:color w:val="000000" w:themeColor="text1"/>
          <w:sz w:val="16"/>
          <w:szCs w:val="16"/>
          <w:lang w:val="es-CO"/>
        </w:rPr>
        <w:t xml:space="preserve">: </w:t>
      </w:r>
    </w:p>
    <w:p w14:paraId="1703C1B5" w14:textId="2C2D484A" w:rsidR="00331125" w:rsidRPr="00491517" w:rsidRDefault="00331125" w:rsidP="0075495A">
      <w:pPr>
        <w:pStyle w:val="FootnoteText"/>
        <w:numPr>
          <w:ilvl w:val="0"/>
          <w:numId w:val="34"/>
        </w:numPr>
        <w:tabs>
          <w:tab w:val="left" w:pos="720"/>
        </w:tabs>
        <w:ind w:left="0" w:firstLine="720"/>
        <w:jc w:val="both"/>
        <w:rPr>
          <w:rFonts w:ascii="Cambria" w:hAnsi="Cambria" w:cs="Arial"/>
          <w:color w:val="000000" w:themeColor="text1"/>
          <w:sz w:val="16"/>
          <w:szCs w:val="16"/>
          <w:lang w:val="es-CO"/>
        </w:rPr>
      </w:pPr>
      <w:r w:rsidRPr="00491517">
        <w:rPr>
          <w:rFonts w:ascii="Cambria" w:hAnsi="Cambria"/>
          <w:color w:val="000000" w:themeColor="text1"/>
          <w:sz w:val="16"/>
          <w:szCs w:val="16"/>
          <w:lang w:val="es-CO"/>
        </w:rPr>
        <w:t xml:space="preserve">Casos en etapa de juicio oral: </w:t>
      </w:r>
      <w:r w:rsidRPr="00491517">
        <w:rPr>
          <w:rFonts w:ascii="Cambria" w:hAnsi="Cambria" w:cs="Calibri Light"/>
          <w:color w:val="000000" w:themeColor="text1"/>
          <w:sz w:val="16"/>
          <w:szCs w:val="16"/>
          <w:lang w:val="es-CO"/>
        </w:rPr>
        <w:t xml:space="preserve">Urresti; </w:t>
      </w:r>
      <w:r w:rsidRPr="00491517">
        <w:rPr>
          <w:rFonts w:ascii="Cambria" w:hAnsi="Cambria" w:cs="Arial"/>
          <w:color w:val="000000" w:themeColor="text1"/>
          <w:sz w:val="16"/>
          <w:szCs w:val="16"/>
          <w:lang w:val="es-CO"/>
        </w:rPr>
        <w:t xml:space="preserve">Sonia Muñoz Cuadros; Teófilo Rímac </w:t>
      </w:r>
      <w:proofErr w:type="spellStart"/>
      <w:r w:rsidRPr="00491517">
        <w:rPr>
          <w:rFonts w:ascii="Cambria" w:hAnsi="Cambria" w:cs="Arial"/>
          <w:color w:val="000000" w:themeColor="text1"/>
          <w:sz w:val="16"/>
          <w:szCs w:val="16"/>
          <w:lang w:val="es-CO"/>
        </w:rPr>
        <w:t>Capcha</w:t>
      </w:r>
      <w:proofErr w:type="spellEnd"/>
      <w:r w:rsidRPr="00491517">
        <w:rPr>
          <w:rFonts w:ascii="Cambria" w:hAnsi="Cambria" w:cs="Arial"/>
          <w:color w:val="000000" w:themeColor="text1"/>
          <w:sz w:val="16"/>
          <w:szCs w:val="16"/>
          <w:lang w:val="es-CO"/>
        </w:rPr>
        <w:t xml:space="preserve">; Guadalupe </w:t>
      </w:r>
      <w:proofErr w:type="spellStart"/>
      <w:r w:rsidRPr="00491517">
        <w:rPr>
          <w:rFonts w:ascii="Cambria" w:hAnsi="Cambria" w:cs="Arial"/>
          <w:color w:val="000000" w:themeColor="text1"/>
          <w:sz w:val="16"/>
          <w:szCs w:val="16"/>
          <w:lang w:val="es-CO"/>
        </w:rPr>
        <w:t>Ccollacunto</w:t>
      </w:r>
      <w:proofErr w:type="spellEnd"/>
      <w:r w:rsidRPr="00491517">
        <w:rPr>
          <w:rFonts w:ascii="Cambria" w:hAnsi="Cambria" w:cs="Arial"/>
          <w:color w:val="000000" w:themeColor="text1"/>
          <w:sz w:val="16"/>
          <w:szCs w:val="16"/>
          <w:lang w:val="es-CO"/>
        </w:rPr>
        <w:t>; Chumbivilcas; Chuschi; Adrián Medina Puma; Comando Rodrigo Franco, y Huanta 84.</w:t>
      </w:r>
    </w:p>
    <w:p w14:paraId="062AEB83" w14:textId="77777777" w:rsidR="00331125" w:rsidRPr="00491517" w:rsidRDefault="00331125" w:rsidP="00DA3A3C">
      <w:pPr>
        <w:pStyle w:val="FootnoteText"/>
        <w:numPr>
          <w:ilvl w:val="0"/>
          <w:numId w:val="34"/>
        </w:numPr>
        <w:tabs>
          <w:tab w:val="left" w:pos="720"/>
        </w:tabs>
        <w:ind w:left="0" w:firstLine="720"/>
        <w:jc w:val="both"/>
        <w:rPr>
          <w:rFonts w:ascii="Cambria" w:hAnsi="Cambria" w:cs="Arial"/>
          <w:color w:val="000000" w:themeColor="text1"/>
          <w:sz w:val="16"/>
          <w:szCs w:val="16"/>
          <w:lang w:val="es-CO"/>
        </w:rPr>
      </w:pPr>
      <w:r w:rsidRPr="00491517">
        <w:rPr>
          <w:rFonts w:ascii="Cambria" w:hAnsi="Cambria" w:cs="Arial"/>
          <w:color w:val="000000" w:themeColor="text1"/>
          <w:sz w:val="16"/>
          <w:szCs w:val="16"/>
          <w:lang w:val="es-CO"/>
        </w:rPr>
        <w:t xml:space="preserve">Casos archivados definitivamente: Raúl Zevallos Loayza / Rubén; Villanueva Toro; Walter Castillo Cisneros; Felipe Huamán Palomino; Pedro Yauri, y Cirilo </w:t>
      </w:r>
      <w:proofErr w:type="spellStart"/>
      <w:r w:rsidRPr="00491517">
        <w:rPr>
          <w:rFonts w:ascii="Cambria" w:hAnsi="Cambria" w:cs="Arial"/>
          <w:color w:val="000000" w:themeColor="text1"/>
          <w:sz w:val="16"/>
          <w:szCs w:val="16"/>
          <w:lang w:val="es-CO"/>
        </w:rPr>
        <w:t>Quinquín</w:t>
      </w:r>
      <w:proofErr w:type="spellEnd"/>
      <w:r w:rsidRPr="00491517">
        <w:rPr>
          <w:rFonts w:ascii="Cambria" w:hAnsi="Cambria" w:cs="Arial"/>
          <w:color w:val="000000" w:themeColor="text1"/>
          <w:sz w:val="16"/>
          <w:szCs w:val="16"/>
          <w:lang w:val="es-CO"/>
        </w:rPr>
        <w:t>.</w:t>
      </w:r>
    </w:p>
    <w:p w14:paraId="3799C141" w14:textId="77777777" w:rsidR="00331125" w:rsidRPr="00491517" w:rsidRDefault="00331125" w:rsidP="00DA3A3C">
      <w:pPr>
        <w:pStyle w:val="FootnoteText"/>
        <w:numPr>
          <w:ilvl w:val="0"/>
          <w:numId w:val="34"/>
        </w:numPr>
        <w:tabs>
          <w:tab w:val="left" w:pos="720"/>
        </w:tabs>
        <w:ind w:left="0" w:firstLine="720"/>
        <w:jc w:val="both"/>
        <w:rPr>
          <w:rFonts w:ascii="Cambria" w:hAnsi="Cambria" w:cs="Arial"/>
          <w:color w:val="000000" w:themeColor="text1"/>
          <w:sz w:val="16"/>
          <w:szCs w:val="16"/>
          <w:lang w:val="es-CO"/>
        </w:rPr>
      </w:pPr>
      <w:r w:rsidRPr="00491517">
        <w:rPr>
          <w:rFonts w:ascii="Cambria" w:hAnsi="Cambria" w:cs="Arial"/>
          <w:color w:val="000000" w:themeColor="text1"/>
          <w:sz w:val="16"/>
          <w:szCs w:val="16"/>
          <w:lang w:val="es-CO"/>
        </w:rPr>
        <w:t xml:space="preserve">Procesos para inicio de juicio oral: Óscar Urbina; Rodolfo Ángel Escobar y Universidad Nacional del Centro. </w:t>
      </w:r>
    </w:p>
    <w:p w14:paraId="2097AB17" w14:textId="77777777" w:rsidR="00331125" w:rsidRPr="00491517" w:rsidRDefault="00331125" w:rsidP="00DA3A3C">
      <w:pPr>
        <w:pStyle w:val="FootnoteText"/>
        <w:numPr>
          <w:ilvl w:val="0"/>
          <w:numId w:val="34"/>
        </w:numPr>
        <w:tabs>
          <w:tab w:val="left" w:pos="720"/>
        </w:tabs>
        <w:ind w:left="0" w:firstLine="720"/>
        <w:jc w:val="both"/>
        <w:rPr>
          <w:rFonts w:ascii="Cambria" w:hAnsi="Cambria" w:cs="Arial"/>
          <w:color w:val="000000" w:themeColor="text1"/>
          <w:sz w:val="16"/>
          <w:szCs w:val="16"/>
          <w:lang w:val="es-CO"/>
        </w:rPr>
      </w:pPr>
      <w:r w:rsidRPr="00491517">
        <w:rPr>
          <w:rFonts w:ascii="Cambria" w:hAnsi="Cambria" w:cs="Arial"/>
          <w:color w:val="000000" w:themeColor="text1"/>
          <w:sz w:val="16"/>
          <w:szCs w:val="16"/>
          <w:lang w:val="es-CO"/>
        </w:rPr>
        <w:t>Procesos en trámite: Juan Hualla Choquehuanca</w:t>
      </w:r>
      <w:r w:rsidRPr="00491517">
        <w:rPr>
          <w:rFonts w:ascii="Cambria" w:hAnsi="Cambria"/>
          <w:color w:val="000000" w:themeColor="text1"/>
          <w:sz w:val="16"/>
          <w:szCs w:val="16"/>
          <w:lang w:val="es-CO"/>
        </w:rPr>
        <w:t xml:space="preserve">; </w:t>
      </w:r>
      <w:r w:rsidRPr="00491517">
        <w:rPr>
          <w:rFonts w:ascii="Cambria" w:hAnsi="Cambria" w:cs="Arial"/>
          <w:color w:val="000000" w:themeColor="text1"/>
          <w:sz w:val="16"/>
          <w:szCs w:val="16"/>
          <w:lang w:val="es-CO"/>
        </w:rPr>
        <w:t xml:space="preserve">Juan Hugo Calla Rodríguez </w:t>
      </w:r>
      <w:r w:rsidRPr="00491517">
        <w:rPr>
          <w:rFonts w:ascii="Cambria" w:hAnsi="Cambria"/>
          <w:color w:val="000000" w:themeColor="text1"/>
          <w:sz w:val="16"/>
          <w:szCs w:val="16"/>
          <w:lang w:val="es-CO"/>
        </w:rPr>
        <w:t xml:space="preserve">y </w:t>
      </w:r>
      <w:r w:rsidRPr="00491517">
        <w:rPr>
          <w:rFonts w:ascii="Cambria" w:hAnsi="Cambria" w:cs="Arial"/>
          <w:color w:val="000000" w:themeColor="text1"/>
          <w:sz w:val="16"/>
          <w:szCs w:val="16"/>
          <w:lang w:val="es-CO"/>
        </w:rPr>
        <w:t>Rafael Ventocilla y otros.</w:t>
      </w:r>
    </w:p>
    <w:p w14:paraId="758B47FA" w14:textId="77777777" w:rsidR="00331125" w:rsidRPr="00491517" w:rsidRDefault="00331125" w:rsidP="00DA3A3C">
      <w:pPr>
        <w:pStyle w:val="FootnoteText"/>
        <w:numPr>
          <w:ilvl w:val="0"/>
          <w:numId w:val="34"/>
        </w:numPr>
        <w:tabs>
          <w:tab w:val="left" w:pos="720"/>
        </w:tabs>
        <w:ind w:left="0" w:firstLine="720"/>
        <w:jc w:val="both"/>
        <w:rPr>
          <w:rFonts w:ascii="Cambria" w:hAnsi="Cambria" w:cs="Arial"/>
          <w:color w:val="000000" w:themeColor="text1"/>
          <w:sz w:val="16"/>
          <w:szCs w:val="16"/>
          <w:lang w:val="es-CO"/>
        </w:rPr>
      </w:pPr>
      <w:r w:rsidRPr="00491517">
        <w:rPr>
          <w:rFonts w:ascii="Cambria" w:hAnsi="Cambria" w:cs="Arial"/>
          <w:color w:val="000000" w:themeColor="text1"/>
          <w:sz w:val="16"/>
          <w:szCs w:val="16"/>
          <w:lang w:val="es-CO"/>
        </w:rPr>
        <w:t>Procesos con sentencia: Sótanos del SIE</w:t>
      </w:r>
      <w:r w:rsidRPr="00491517">
        <w:rPr>
          <w:rFonts w:ascii="Cambria" w:hAnsi="Cambria"/>
          <w:color w:val="000000" w:themeColor="text1"/>
          <w:sz w:val="16"/>
          <w:szCs w:val="16"/>
          <w:lang w:val="es-CO"/>
        </w:rPr>
        <w:t>;</w:t>
      </w:r>
      <w:r w:rsidRPr="00491517">
        <w:rPr>
          <w:rFonts w:ascii="Cambria" w:hAnsi="Cambria" w:cs="Arial"/>
          <w:color w:val="000000" w:themeColor="text1"/>
          <w:sz w:val="16"/>
          <w:szCs w:val="16"/>
          <w:lang w:val="es-CO"/>
        </w:rPr>
        <w:t xml:space="preserve"> </w:t>
      </w:r>
      <w:proofErr w:type="spellStart"/>
      <w:r w:rsidRPr="00491517">
        <w:rPr>
          <w:rFonts w:ascii="Cambria" w:hAnsi="Cambria" w:cs="Arial"/>
          <w:color w:val="000000" w:themeColor="text1"/>
          <w:sz w:val="16"/>
          <w:szCs w:val="16"/>
          <w:lang w:val="es-CO"/>
        </w:rPr>
        <w:t>Huancapi</w:t>
      </w:r>
      <w:proofErr w:type="spellEnd"/>
      <w:r w:rsidRPr="00491517">
        <w:rPr>
          <w:rFonts w:ascii="Cambria" w:hAnsi="Cambria"/>
          <w:color w:val="000000" w:themeColor="text1"/>
          <w:sz w:val="16"/>
          <w:szCs w:val="16"/>
          <w:lang w:val="es-CO"/>
        </w:rPr>
        <w:t>;</w:t>
      </w:r>
      <w:r w:rsidRPr="00491517">
        <w:rPr>
          <w:rFonts w:ascii="Cambria" w:hAnsi="Cambria" w:cs="Arial"/>
          <w:color w:val="000000" w:themeColor="text1"/>
          <w:sz w:val="16"/>
          <w:szCs w:val="16"/>
          <w:lang w:val="es-CO"/>
        </w:rPr>
        <w:t xml:space="preserve"> Matero </w:t>
      </w:r>
      <w:r w:rsidRPr="00491517">
        <w:rPr>
          <w:rFonts w:ascii="Cambria" w:hAnsi="Cambria"/>
          <w:color w:val="000000" w:themeColor="text1"/>
          <w:sz w:val="16"/>
          <w:szCs w:val="16"/>
          <w:lang w:val="es-CO"/>
        </w:rPr>
        <w:t>y</w:t>
      </w:r>
      <w:r w:rsidRPr="00491517">
        <w:rPr>
          <w:rFonts w:ascii="Cambria" w:hAnsi="Cambria" w:cs="Arial"/>
          <w:color w:val="000000" w:themeColor="text1"/>
          <w:sz w:val="16"/>
          <w:szCs w:val="16"/>
          <w:lang w:val="es-CO"/>
        </w:rPr>
        <w:t xml:space="preserve"> Campesinos del Santa.</w:t>
      </w:r>
    </w:p>
    <w:p w14:paraId="7B552B9E" w14:textId="77777777" w:rsidR="00331125" w:rsidRPr="00491517" w:rsidRDefault="00331125" w:rsidP="00DA3A3C">
      <w:pPr>
        <w:pStyle w:val="FootnoteText"/>
        <w:numPr>
          <w:ilvl w:val="0"/>
          <w:numId w:val="34"/>
        </w:numPr>
        <w:tabs>
          <w:tab w:val="left" w:pos="720"/>
        </w:tabs>
        <w:ind w:left="0" w:firstLine="720"/>
        <w:jc w:val="both"/>
        <w:rPr>
          <w:rFonts w:ascii="Cambria" w:hAnsi="Cambria" w:cs="Arial"/>
          <w:color w:val="000000" w:themeColor="text1"/>
          <w:sz w:val="16"/>
          <w:szCs w:val="16"/>
          <w:lang w:val="es-CO"/>
        </w:rPr>
      </w:pPr>
      <w:r w:rsidRPr="00491517">
        <w:rPr>
          <w:rFonts w:ascii="Cambria" w:hAnsi="Cambria" w:cs="Arial"/>
          <w:color w:val="000000" w:themeColor="text1"/>
          <w:sz w:val="16"/>
          <w:szCs w:val="16"/>
          <w:lang w:val="es-CO"/>
        </w:rPr>
        <w:t xml:space="preserve">Procesos en apelación: Hugo </w:t>
      </w:r>
      <w:proofErr w:type="spellStart"/>
      <w:r w:rsidRPr="00491517">
        <w:rPr>
          <w:rFonts w:ascii="Cambria" w:hAnsi="Cambria" w:cs="Arial"/>
          <w:color w:val="000000" w:themeColor="text1"/>
          <w:sz w:val="16"/>
          <w:szCs w:val="16"/>
          <w:lang w:val="es-CO"/>
        </w:rPr>
        <w:t>Bustíos</w:t>
      </w:r>
      <w:proofErr w:type="spellEnd"/>
      <w:r w:rsidRPr="00491517">
        <w:rPr>
          <w:rFonts w:ascii="Cambria" w:hAnsi="Cambria"/>
          <w:color w:val="000000" w:themeColor="text1"/>
          <w:sz w:val="16"/>
          <w:szCs w:val="16"/>
          <w:lang w:val="es-CO"/>
        </w:rPr>
        <w:t>;</w:t>
      </w:r>
      <w:r w:rsidRPr="00491517">
        <w:rPr>
          <w:rFonts w:ascii="Cambria" w:hAnsi="Cambria" w:cs="Arial"/>
          <w:color w:val="000000" w:themeColor="text1"/>
          <w:sz w:val="16"/>
          <w:szCs w:val="16"/>
          <w:lang w:val="es-CO"/>
        </w:rPr>
        <w:t xml:space="preserve"> Hugo Blanco Galdós y otros</w:t>
      </w:r>
      <w:r w:rsidRPr="00491517">
        <w:rPr>
          <w:rFonts w:ascii="Cambria" w:hAnsi="Cambria"/>
          <w:color w:val="000000" w:themeColor="text1"/>
          <w:sz w:val="16"/>
          <w:szCs w:val="16"/>
          <w:lang w:val="es-CO"/>
        </w:rPr>
        <w:t>;</w:t>
      </w:r>
      <w:r w:rsidRPr="00491517">
        <w:rPr>
          <w:rFonts w:ascii="Cambria" w:hAnsi="Cambria" w:cs="Arial"/>
          <w:color w:val="000000" w:themeColor="text1"/>
          <w:sz w:val="16"/>
          <w:szCs w:val="16"/>
          <w:lang w:val="es-CO"/>
        </w:rPr>
        <w:t xml:space="preserve"> María Zavala </w:t>
      </w:r>
      <w:proofErr w:type="spellStart"/>
      <w:r w:rsidRPr="00491517">
        <w:rPr>
          <w:rFonts w:ascii="Cambria" w:hAnsi="Cambria" w:cs="Arial"/>
          <w:color w:val="000000" w:themeColor="text1"/>
          <w:sz w:val="16"/>
          <w:szCs w:val="16"/>
          <w:lang w:val="es-CO"/>
        </w:rPr>
        <w:t>Cayllahua</w:t>
      </w:r>
      <w:proofErr w:type="spellEnd"/>
      <w:r w:rsidRPr="00491517">
        <w:rPr>
          <w:rFonts w:ascii="Cambria" w:hAnsi="Cambria"/>
          <w:color w:val="000000" w:themeColor="text1"/>
          <w:sz w:val="16"/>
          <w:szCs w:val="16"/>
          <w:lang w:val="es-CO"/>
        </w:rPr>
        <w:t>, y</w:t>
      </w:r>
      <w:r w:rsidRPr="00491517">
        <w:rPr>
          <w:rFonts w:ascii="Cambria" w:hAnsi="Cambria" w:cs="Arial"/>
          <w:color w:val="000000" w:themeColor="text1"/>
          <w:sz w:val="16"/>
          <w:szCs w:val="16"/>
          <w:lang w:val="es-CO"/>
        </w:rPr>
        <w:t xml:space="preserve"> Nemesio Fernández Lapa.</w:t>
      </w:r>
    </w:p>
    <w:p w14:paraId="0D773886" w14:textId="77777777" w:rsidR="00331125" w:rsidRPr="00491517" w:rsidRDefault="00331125" w:rsidP="00DA3A3C">
      <w:pPr>
        <w:pStyle w:val="FootnoteText"/>
        <w:numPr>
          <w:ilvl w:val="0"/>
          <w:numId w:val="34"/>
        </w:numPr>
        <w:tabs>
          <w:tab w:val="left" w:pos="720"/>
        </w:tabs>
        <w:ind w:left="0" w:firstLine="720"/>
        <w:jc w:val="both"/>
        <w:rPr>
          <w:rFonts w:ascii="Cambria" w:hAnsi="Cambria" w:cs="Arial"/>
          <w:color w:val="000000" w:themeColor="text1"/>
          <w:sz w:val="16"/>
          <w:szCs w:val="16"/>
          <w:lang w:val="es-CO"/>
        </w:rPr>
      </w:pPr>
      <w:r w:rsidRPr="00491517">
        <w:rPr>
          <w:rFonts w:ascii="Cambria" w:hAnsi="Cambria" w:cs="Arial"/>
          <w:color w:val="000000" w:themeColor="text1"/>
          <w:sz w:val="16"/>
          <w:szCs w:val="16"/>
          <w:lang w:val="es-CO"/>
        </w:rPr>
        <w:t xml:space="preserve">Procesos en ejecución: Edith Galván Montero </w:t>
      </w:r>
      <w:r w:rsidRPr="00491517">
        <w:rPr>
          <w:rFonts w:ascii="Cambria" w:hAnsi="Cambria"/>
          <w:color w:val="000000" w:themeColor="text1"/>
          <w:sz w:val="16"/>
          <w:szCs w:val="16"/>
          <w:lang w:val="es-CO"/>
        </w:rPr>
        <w:t>y</w:t>
      </w:r>
      <w:r w:rsidRPr="00491517">
        <w:rPr>
          <w:rFonts w:ascii="Cambria" w:hAnsi="Cambria" w:cs="Arial"/>
          <w:color w:val="000000" w:themeColor="text1"/>
          <w:sz w:val="16"/>
          <w:szCs w:val="16"/>
          <w:lang w:val="es-CO"/>
        </w:rPr>
        <w:t xml:space="preserve"> Melchor Tineo Pérez y otros.</w:t>
      </w:r>
    </w:p>
    <w:p w14:paraId="31C0245A" w14:textId="77777777" w:rsidR="00331125" w:rsidRPr="00491517" w:rsidRDefault="00331125" w:rsidP="00DA3A3C">
      <w:pPr>
        <w:pStyle w:val="FootnoteText"/>
        <w:numPr>
          <w:ilvl w:val="0"/>
          <w:numId w:val="34"/>
        </w:numPr>
        <w:tabs>
          <w:tab w:val="left" w:pos="720"/>
        </w:tabs>
        <w:ind w:left="0" w:firstLine="720"/>
        <w:jc w:val="both"/>
        <w:rPr>
          <w:rFonts w:ascii="Cambria" w:hAnsi="Cambria" w:cs="Times New Roman"/>
          <w:color w:val="000000" w:themeColor="text1"/>
          <w:sz w:val="16"/>
          <w:szCs w:val="16"/>
          <w:lang w:val="es-CO"/>
        </w:rPr>
      </w:pPr>
      <w:r w:rsidRPr="00491517">
        <w:rPr>
          <w:rFonts w:ascii="Cambria" w:hAnsi="Cambria" w:cs="Arial"/>
          <w:color w:val="000000" w:themeColor="text1"/>
          <w:sz w:val="16"/>
          <w:szCs w:val="16"/>
          <w:lang w:val="es-CO"/>
        </w:rPr>
        <w:t xml:space="preserve">Proceso en etapa de calificación: </w:t>
      </w:r>
      <w:r w:rsidRPr="00491517">
        <w:rPr>
          <w:rFonts w:ascii="Cambria" w:hAnsi="Cambria" w:cs="Times New Roman"/>
          <w:color w:val="000000" w:themeColor="text1"/>
          <w:sz w:val="16"/>
          <w:szCs w:val="16"/>
          <w:lang w:val="es-CO"/>
        </w:rPr>
        <w:t>Samuel Ramos Diego.</w:t>
      </w:r>
    </w:p>
    <w:p w14:paraId="333F68F6" w14:textId="77777777" w:rsidR="00331125" w:rsidRPr="00491517" w:rsidRDefault="00331125" w:rsidP="00DA3A3C">
      <w:pPr>
        <w:pStyle w:val="FootnoteText"/>
        <w:numPr>
          <w:ilvl w:val="0"/>
          <w:numId w:val="34"/>
        </w:numPr>
        <w:tabs>
          <w:tab w:val="left" w:pos="720"/>
        </w:tabs>
        <w:ind w:left="0" w:firstLine="720"/>
        <w:jc w:val="both"/>
        <w:rPr>
          <w:rFonts w:ascii="Cambria" w:hAnsi="Cambria" w:cs="Times New Roman"/>
          <w:color w:val="000000" w:themeColor="text1"/>
          <w:sz w:val="16"/>
          <w:szCs w:val="16"/>
          <w:lang w:val="es-CO"/>
        </w:rPr>
      </w:pPr>
      <w:r w:rsidRPr="00491517">
        <w:rPr>
          <w:rFonts w:ascii="Cambria" w:hAnsi="Cambria" w:cs="Times New Roman"/>
          <w:color w:val="000000" w:themeColor="text1"/>
          <w:sz w:val="16"/>
          <w:szCs w:val="16"/>
          <w:lang w:val="es-CO"/>
        </w:rPr>
        <w:t xml:space="preserve">Proceso en etapa de acusación: </w:t>
      </w:r>
      <w:r w:rsidRPr="00491517">
        <w:rPr>
          <w:rFonts w:ascii="Cambria" w:hAnsi="Cambria"/>
          <w:color w:val="000000" w:themeColor="text1"/>
          <w:sz w:val="16"/>
          <w:szCs w:val="16"/>
          <w:lang w:val="es-CO"/>
        </w:rPr>
        <w:t>Santa Teresita</w:t>
      </w:r>
      <w:r w:rsidRPr="00491517">
        <w:rPr>
          <w:rFonts w:ascii="Cambria" w:hAnsi="Cambria" w:cs="Times New Roman"/>
          <w:color w:val="000000" w:themeColor="text1"/>
          <w:sz w:val="16"/>
          <w:szCs w:val="16"/>
          <w:lang w:val="es-CO"/>
        </w:rPr>
        <w:t>.</w:t>
      </w:r>
    </w:p>
    <w:p w14:paraId="22AA7E29" w14:textId="77777777" w:rsidR="00331125" w:rsidRPr="00491517" w:rsidRDefault="00331125" w:rsidP="00DA3A3C">
      <w:pPr>
        <w:pStyle w:val="FootnoteText"/>
        <w:numPr>
          <w:ilvl w:val="0"/>
          <w:numId w:val="34"/>
        </w:numPr>
        <w:tabs>
          <w:tab w:val="left" w:pos="720"/>
        </w:tabs>
        <w:ind w:left="0" w:firstLine="720"/>
        <w:jc w:val="both"/>
        <w:rPr>
          <w:rFonts w:ascii="Cambria" w:hAnsi="Cambria" w:cs="Times New Roman"/>
          <w:color w:val="000000" w:themeColor="text1"/>
          <w:sz w:val="16"/>
          <w:szCs w:val="16"/>
          <w:lang w:val="es-CO"/>
        </w:rPr>
      </w:pPr>
      <w:r w:rsidRPr="00491517">
        <w:rPr>
          <w:rFonts w:ascii="Cambria" w:hAnsi="Cambria" w:cs="Times New Roman"/>
          <w:color w:val="000000" w:themeColor="text1"/>
          <w:sz w:val="16"/>
          <w:szCs w:val="16"/>
          <w:lang w:val="es-CO"/>
        </w:rPr>
        <w:t xml:space="preserve">Proceso con archivo provisional: </w:t>
      </w:r>
      <w:r w:rsidRPr="00491517">
        <w:rPr>
          <w:rFonts w:ascii="Cambria" w:hAnsi="Cambria"/>
          <w:color w:val="000000" w:themeColor="text1"/>
          <w:sz w:val="16"/>
          <w:szCs w:val="16"/>
          <w:lang w:val="es-CO"/>
        </w:rPr>
        <w:t>David Palomino Morales y otros</w:t>
      </w:r>
    </w:p>
    <w:p w14:paraId="01B6A7BE" w14:textId="77777777" w:rsidR="00331125" w:rsidRPr="00491517" w:rsidRDefault="00331125" w:rsidP="00DA3A3C">
      <w:pPr>
        <w:pStyle w:val="FootnoteText"/>
        <w:numPr>
          <w:ilvl w:val="0"/>
          <w:numId w:val="34"/>
        </w:numPr>
        <w:tabs>
          <w:tab w:val="left" w:pos="720"/>
        </w:tabs>
        <w:ind w:left="0" w:firstLine="720"/>
        <w:jc w:val="both"/>
        <w:rPr>
          <w:rFonts w:ascii="Cambria" w:hAnsi="Cambria" w:cs="Arial"/>
          <w:color w:val="000000" w:themeColor="text1"/>
          <w:sz w:val="16"/>
          <w:szCs w:val="16"/>
          <w:lang w:val="es-CO"/>
        </w:rPr>
      </w:pPr>
      <w:r w:rsidRPr="00491517">
        <w:rPr>
          <w:rFonts w:ascii="Cambria" w:hAnsi="Cambria" w:cs="Times New Roman"/>
          <w:color w:val="000000" w:themeColor="text1"/>
          <w:sz w:val="16"/>
          <w:szCs w:val="16"/>
          <w:lang w:val="es-CO"/>
        </w:rPr>
        <w:t>Proceso reservado:</w:t>
      </w:r>
      <w:r w:rsidRPr="00491517">
        <w:rPr>
          <w:rFonts w:ascii="Cambria" w:hAnsi="Cambria"/>
          <w:color w:val="000000" w:themeColor="text1"/>
          <w:sz w:val="16"/>
          <w:szCs w:val="16"/>
          <w:lang w:val="es-CO"/>
        </w:rPr>
        <w:t xml:space="preserve"> </w:t>
      </w:r>
      <w:proofErr w:type="spellStart"/>
      <w:r w:rsidRPr="00491517">
        <w:rPr>
          <w:rFonts w:ascii="Cambria" w:hAnsi="Cambria"/>
          <w:color w:val="000000" w:themeColor="text1"/>
          <w:sz w:val="16"/>
          <w:szCs w:val="16"/>
          <w:lang w:val="es-CO"/>
        </w:rPr>
        <w:t>Honorata</w:t>
      </w:r>
      <w:proofErr w:type="spellEnd"/>
      <w:r w:rsidRPr="00491517">
        <w:rPr>
          <w:rFonts w:ascii="Cambria" w:hAnsi="Cambria"/>
          <w:color w:val="000000" w:themeColor="text1"/>
          <w:sz w:val="16"/>
          <w:szCs w:val="16"/>
          <w:lang w:val="es-CO"/>
        </w:rPr>
        <w:t xml:space="preserve"> Oré </w:t>
      </w:r>
      <w:proofErr w:type="spellStart"/>
      <w:r w:rsidRPr="00491517">
        <w:rPr>
          <w:rFonts w:ascii="Cambria" w:hAnsi="Cambria"/>
          <w:color w:val="000000" w:themeColor="text1"/>
          <w:sz w:val="16"/>
          <w:szCs w:val="16"/>
          <w:lang w:val="es-CO"/>
        </w:rPr>
        <w:t>Arotoma</w:t>
      </w:r>
      <w:proofErr w:type="spellEnd"/>
      <w:r w:rsidRPr="00491517">
        <w:rPr>
          <w:rFonts w:ascii="Cambria" w:hAnsi="Cambria"/>
          <w:color w:val="000000" w:themeColor="text1"/>
          <w:sz w:val="16"/>
          <w:szCs w:val="16"/>
          <w:lang w:val="es-CO"/>
        </w:rPr>
        <w:t xml:space="preserve"> y otros</w:t>
      </w:r>
    </w:p>
  </w:footnote>
  <w:footnote w:id="6">
    <w:p w14:paraId="05C47352" w14:textId="1BBE3564" w:rsidR="0056434A" w:rsidRPr="00491517" w:rsidRDefault="0056434A" w:rsidP="00DA3A3C">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Directiva </w:t>
      </w:r>
      <w:proofErr w:type="spellStart"/>
      <w:r w:rsidRPr="00491517">
        <w:rPr>
          <w:rFonts w:ascii="Cambria" w:hAnsi="Cambria"/>
          <w:color w:val="000000" w:themeColor="text1"/>
          <w:sz w:val="16"/>
          <w:szCs w:val="16"/>
          <w:lang w:val="es-CO"/>
        </w:rPr>
        <w:t>Nº</w:t>
      </w:r>
      <w:proofErr w:type="spellEnd"/>
      <w:r w:rsidRPr="00491517">
        <w:rPr>
          <w:rFonts w:ascii="Cambria" w:hAnsi="Cambria"/>
          <w:color w:val="000000" w:themeColor="text1"/>
          <w:sz w:val="16"/>
          <w:szCs w:val="16"/>
          <w:lang w:val="es-CO"/>
        </w:rPr>
        <w:t xml:space="preserve"> 001-2017- JUS/VMDHAJ-DGBPD aprobada mediante Resolución Directoral </w:t>
      </w:r>
      <w:proofErr w:type="spellStart"/>
      <w:r w:rsidRPr="00491517">
        <w:rPr>
          <w:rFonts w:ascii="Cambria" w:hAnsi="Cambria"/>
          <w:color w:val="000000" w:themeColor="text1"/>
          <w:sz w:val="16"/>
          <w:szCs w:val="16"/>
          <w:lang w:val="es-CO"/>
        </w:rPr>
        <w:t>N°</w:t>
      </w:r>
      <w:proofErr w:type="spellEnd"/>
      <w:r w:rsidRPr="00491517">
        <w:rPr>
          <w:rFonts w:ascii="Cambria" w:hAnsi="Cambria"/>
          <w:color w:val="000000" w:themeColor="text1"/>
          <w:sz w:val="16"/>
          <w:szCs w:val="16"/>
          <w:lang w:val="es-CO"/>
        </w:rPr>
        <w:t xml:space="preserve"> 001-2017-JUS/DGBPD del 27 de octubre de 2017.</w:t>
      </w:r>
    </w:p>
  </w:footnote>
  <w:footnote w:id="7">
    <w:p w14:paraId="0F8AC5F1" w14:textId="11594871" w:rsidR="00FC069E" w:rsidRPr="00491517" w:rsidRDefault="00FC069E" w:rsidP="00DA3A3C">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Aprobada por la Resolución </w:t>
      </w:r>
      <w:proofErr w:type="spellStart"/>
      <w:r w:rsidRPr="00491517">
        <w:rPr>
          <w:rFonts w:ascii="Cambria" w:hAnsi="Cambria"/>
          <w:color w:val="000000" w:themeColor="text1"/>
          <w:sz w:val="16"/>
          <w:szCs w:val="16"/>
          <w:lang w:val="es-CO"/>
        </w:rPr>
        <w:t>N°</w:t>
      </w:r>
      <w:proofErr w:type="spellEnd"/>
      <w:r w:rsidRPr="00491517">
        <w:rPr>
          <w:rFonts w:ascii="Cambria" w:hAnsi="Cambria"/>
          <w:color w:val="000000" w:themeColor="text1"/>
          <w:sz w:val="16"/>
          <w:szCs w:val="16"/>
          <w:lang w:val="es-CO"/>
        </w:rPr>
        <w:t xml:space="preserve"> 2989-2019-MP-FN, del 30 de octubre de 2019.</w:t>
      </w:r>
    </w:p>
  </w:footnote>
  <w:footnote w:id="8">
    <w:p w14:paraId="72037A2D" w14:textId="1E9FA580" w:rsidR="001F6BAB" w:rsidRPr="00491517" w:rsidRDefault="001F6BAB" w:rsidP="00DA3A3C">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w:t>
      </w:r>
      <w:r w:rsidRPr="00491517">
        <w:rPr>
          <w:rFonts w:ascii="Cambria" w:hAnsi="Cambria"/>
          <w:color w:val="000000" w:themeColor="text1"/>
          <w:sz w:val="16"/>
          <w:szCs w:val="16"/>
          <w:lang w:val="es-EC"/>
        </w:rPr>
        <w:t>Por su parte, el Estado indicó que</w:t>
      </w:r>
      <w:r w:rsidR="00E72774" w:rsidRPr="00491517">
        <w:rPr>
          <w:rFonts w:ascii="Cambria" w:hAnsi="Cambria"/>
          <w:color w:val="000000" w:themeColor="text1"/>
          <w:sz w:val="16"/>
          <w:szCs w:val="16"/>
          <w:lang w:val="es-EC"/>
        </w:rPr>
        <w:t>,</w:t>
      </w:r>
      <w:r w:rsidRPr="00491517">
        <w:rPr>
          <w:rFonts w:ascii="Cambria" w:hAnsi="Cambria"/>
          <w:color w:val="000000" w:themeColor="text1"/>
          <w:sz w:val="16"/>
          <w:szCs w:val="16"/>
          <w:lang w:val="es-EC"/>
        </w:rPr>
        <w:t xml:space="preserve"> de las 240 personas de casos seguidos ante la CIDH, 94 personas corresponden al Informe de Fondo No. 101/01 y 18 personas al Oficio No. 2039-2020-JUS/CDJE-PPES.</w:t>
      </w:r>
    </w:p>
  </w:footnote>
  <w:footnote w:id="9">
    <w:p w14:paraId="225D87E0" w14:textId="0E7C51C1" w:rsidR="00D67925" w:rsidRPr="00491517" w:rsidRDefault="00D67925" w:rsidP="00DA3A3C">
      <w:pPr>
        <w:pStyle w:val="Defaul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Est</w:t>
      </w:r>
      <w:r w:rsidR="00024511" w:rsidRPr="00491517">
        <w:rPr>
          <w:rFonts w:ascii="Cambria" w:hAnsi="Cambria"/>
          <w:color w:val="000000" w:themeColor="text1"/>
          <w:sz w:val="16"/>
          <w:szCs w:val="16"/>
          <w:lang w:val="es-CO"/>
        </w:rPr>
        <w:t>a</w:t>
      </w:r>
      <w:r w:rsidRPr="00491517">
        <w:rPr>
          <w:rFonts w:ascii="Cambria" w:hAnsi="Cambria"/>
          <w:color w:val="000000" w:themeColor="text1"/>
          <w:sz w:val="16"/>
          <w:szCs w:val="16"/>
          <w:lang w:val="es-CO"/>
        </w:rPr>
        <w:t>s 14</w:t>
      </w:r>
      <w:r w:rsidR="00024511" w:rsidRPr="00491517">
        <w:rPr>
          <w:rFonts w:ascii="Cambria" w:hAnsi="Cambria"/>
          <w:color w:val="000000" w:themeColor="text1"/>
          <w:sz w:val="16"/>
          <w:szCs w:val="16"/>
          <w:lang w:val="es-CO"/>
        </w:rPr>
        <w:t xml:space="preserve"> investigaciones humanitarias fueron identificadas de la siguiente manera</w:t>
      </w:r>
      <w:r w:rsidRPr="00491517">
        <w:rPr>
          <w:rFonts w:ascii="Cambria" w:hAnsi="Cambria"/>
          <w:color w:val="000000" w:themeColor="text1"/>
          <w:sz w:val="16"/>
          <w:szCs w:val="16"/>
          <w:lang w:val="es-CO"/>
        </w:rPr>
        <w:t>: Cabitos</w:t>
      </w:r>
      <w:r w:rsidR="00D227D0" w:rsidRPr="00491517">
        <w:rPr>
          <w:rFonts w:ascii="Cambria" w:hAnsi="Cambria"/>
          <w:color w:val="000000" w:themeColor="text1"/>
          <w:sz w:val="16"/>
          <w:szCs w:val="16"/>
          <w:lang w:val="es-CO"/>
        </w:rPr>
        <w:t xml:space="preserve"> (que incluye los casos 9426, 9449, 9467, 9508, 9809, 9814, 10.809, 10.810)</w:t>
      </w:r>
      <w:r w:rsidRPr="00491517">
        <w:rPr>
          <w:rFonts w:ascii="Cambria" w:hAnsi="Cambria"/>
          <w:color w:val="000000" w:themeColor="text1"/>
          <w:sz w:val="16"/>
          <w:szCs w:val="16"/>
          <w:lang w:val="es-CO"/>
        </w:rPr>
        <w:t>; Estadio de Huanta</w:t>
      </w:r>
      <w:r w:rsidR="00EF6117" w:rsidRPr="00491517">
        <w:rPr>
          <w:rFonts w:ascii="Cambria" w:hAnsi="Cambria"/>
          <w:color w:val="000000" w:themeColor="text1"/>
          <w:sz w:val="16"/>
          <w:szCs w:val="16"/>
          <w:lang w:val="es-CO"/>
        </w:rPr>
        <w:t xml:space="preserve"> (caso 9.425)</w:t>
      </w:r>
      <w:r w:rsidRPr="00491517">
        <w:rPr>
          <w:rFonts w:ascii="Cambria" w:hAnsi="Cambria"/>
          <w:color w:val="000000" w:themeColor="text1"/>
          <w:sz w:val="16"/>
          <w:szCs w:val="16"/>
          <w:lang w:val="es-CO"/>
        </w:rPr>
        <w:t>; Huanta (Valle)</w:t>
      </w:r>
      <w:r w:rsidR="00EF6117" w:rsidRPr="00491517">
        <w:rPr>
          <w:rFonts w:ascii="Cambria" w:hAnsi="Cambria"/>
          <w:color w:val="000000" w:themeColor="text1"/>
          <w:sz w:val="16"/>
          <w:szCs w:val="16"/>
          <w:lang w:val="es-CO"/>
        </w:rPr>
        <w:t xml:space="preserve"> (que incluye los casos 9816, 9817, 9859, 9501, 10.166 10.542, 10.807)</w:t>
      </w:r>
      <w:r w:rsidRPr="00491517">
        <w:rPr>
          <w:rFonts w:ascii="Cambria" w:hAnsi="Cambria"/>
          <w:color w:val="000000" w:themeColor="text1"/>
          <w:sz w:val="16"/>
          <w:szCs w:val="16"/>
          <w:lang w:val="es-CO"/>
        </w:rPr>
        <w:t>; Río Chari Alto</w:t>
      </w:r>
      <w:r w:rsidR="00EF6117" w:rsidRPr="00491517">
        <w:rPr>
          <w:rFonts w:ascii="Cambria" w:hAnsi="Cambria"/>
          <w:color w:val="000000" w:themeColor="text1"/>
          <w:sz w:val="16"/>
          <w:szCs w:val="16"/>
          <w:lang w:val="es-CO"/>
        </w:rPr>
        <w:t xml:space="preserve"> (caso 10.551)</w:t>
      </w:r>
      <w:r w:rsidRPr="00491517">
        <w:rPr>
          <w:rFonts w:ascii="Cambria" w:hAnsi="Cambria"/>
          <w:color w:val="000000" w:themeColor="text1"/>
          <w:sz w:val="16"/>
          <w:szCs w:val="16"/>
          <w:lang w:val="es-CO"/>
        </w:rPr>
        <w:t>; Molinos</w:t>
      </w:r>
      <w:r w:rsidR="00EF6117" w:rsidRPr="00491517">
        <w:rPr>
          <w:rFonts w:ascii="Cambria" w:hAnsi="Cambria"/>
          <w:color w:val="000000" w:themeColor="text1"/>
          <w:sz w:val="16"/>
          <w:szCs w:val="16"/>
          <w:lang w:val="es-CO"/>
        </w:rPr>
        <w:t xml:space="preserve"> (caso 10.433)</w:t>
      </w:r>
      <w:r w:rsidRPr="00491517">
        <w:rPr>
          <w:rFonts w:ascii="Cambria" w:hAnsi="Cambria"/>
          <w:color w:val="000000" w:themeColor="text1"/>
          <w:sz w:val="16"/>
          <w:szCs w:val="16"/>
          <w:lang w:val="es-CO"/>
        </w:rPr>
        <w:t>; Universidad Nacional del Centro del Perú</w:t>
      </w:r>
      <w:r w:rsidR="00EF6117" w:rsidRPr="00491517">
        <w:rPr>
          <w:rFonts w:ascii="Cambria" w:hAnsi="Cambria"/>
          <w:color w:val="000000" w:themeColor="text1"/>
          <w:sz w:val="16"/>
          <w:szCs w:val="16"/>
          <w:lang w:val="es-CO"/>
        </w:rPr>
        <w:t xml:space="preserve"> (que incluye los casos 10.531, 10.803, 11.322)</w:t>
      </w:r>
      <w:r w:rsidRPr="00491517">
        <w:rPr>
          <w:rFonts w:ascii="Cambria" w:hAnsi="Cambria"/>
          <w:color w:val="000000" w:themeColor="text1"/>
          <w:sz w:val="16"/>
          <w:szCs w:val="16"/>
          <w:lang w:val="es-CO"/>
        </w:rPr>
        <w:t xml:space="preserve">; </w:t>
      </w:r>
      <w:proofErr w:type="spellStart"/>
      <w:r w:rsidRPr="00491517">
        <w:rPr>
          <w:rFonts w:ascii="Cambria" w:hAnsi="Cambria"/>
          <w:color w:val="000000" w:themeColor="text1"/>
          <w:sz w:val="16"/>
          <w:szCs w:val="16"/>
          <w:lang w:val="es-CO"/>
        </w:rPr>
        <w:t>Yangali</w:t>
      </w:r>
      <w:proofErr w:type="spellEnd"/>
      <w:r w:rsidRPr="00491517">
        <w:rPr>
          <w:rFonts w:ascii="Cambria" w:hAnsi="Cambria"/>
          <w:color w:val="000000" w:themeColor="text1"/>
          <w:sz w:val="16"/>
          <w:szCs w:val="16"/>
          <w:lang w:val="es-CO"/>
        </w:rPr>
        <w:t>-Bustamante</w:t>
      </w:r>
      <w:r w:rsidR="00EF6117" w:rsidRPr="00491517">
        <w:rPr>
          <w:rFonts w:ascii="Cambria" w:hAnsi="Cambria"/>
          <w:color w:val="000000" w:themeColor="text1"/>
          <w:sz w:val="16"/>
          <w:szCs w:val="16"/>
          <w:lang w:val="es-CO"/>
        </w:rPr>
        <w:t xml:space="preserve"> (caso 9.433)</w:t>
      </w:r>
      <w:r w:rsidRPr="00491517">
        <w:rPr>
          <w:rFonts w:ascii="Cambria" w:hAnsi="Cambria"/>
          <w:color w:val="000000" w:themeColor="text1"/>
          <w:sz w:val="16"/>
          <w:szCs w:val="16"/>
          <w:lang w:val="es-CO"/>
        </w:rPr>
        <w:t>; Huancavelica -1989-1990 y Lircay</w:t>
      </w:r>
      <w:r w:rsidR="00EF6117" w:rsidRPr="00491517">
        <w:rPr>
          <w:rFonts w:ascii="Cambria" w:hAnsi="Cambria"/>
          <w:color w:val="000000" w:themeColor="text1"/>
          <w:sz w:val="16"/>
          <w:szCs w:val="16"/>
          <w:lang w:val="es-CO"/>
        </w:rPr>
        <w:t xml:space="preserve"> (que incluye los casos 10.521, 10.528 y 10.544, 11.098)</w:t>
      </w:r>
      <w:r w:rsidRPr="00491517">
        <w:rPr>
          <w:rFonts w:ascii="Cambria" w:hAnsi="Cambria"/>
          <w:color w:val="000000" w:themeColor="text1"/>
          <w:sz w:val="16"/>
          <w:szCs w:val="16"/>
          <w:lang w:val="es-CO"/>
        </w:rPr>
        <w:t>; Sótanos del SIEI</w:t>
      </w:r>
      <w:r w:rsidR="00EF6117" w:rsidRPr="00491517">
        <w:rPr>
          <w:rFonts w:ascii="Cambria" w:hAnsi="Cambria"/>
          <w:color w:val="000000" w:themeColor="text1"/>
          <w:sz w:val="16"/>
          <w:szCs w:val="16"/>
          <w:lang w:val="es-CO"/>
        </w:rPr>
        <w:t xml:space="preserve"> (</w:t>
      </w:r>
      <w:proofErr w:type="spellStart"/>
      <w:r w:rsidR="00EF6117" w:rsidRPr="00491517">
        <w:rPr>
          <w:rFonts w:ascii="Cambria" w:hAnsi="Cambria"/>
          <w:color w:val="000000" w:themeColor="text1"/>
          <w:sz w:val="16"/>
          <w:szCs w:val="16"/>
          <w:lang w:val="es-CO"/>
        </w:rPr>
        <w:t>ue</w:t>
      </w:r>
      <w:proofErr w:type="spellEnd"/>
      <w:r w:rsidR="00EF6117" w:rsidRPr="00491517">
        <w:rPr>
          <w:rFonts w:ascii="Cambria" w:hAnsi="Cambria"/>
          <w:color w:val="000000" w:themeColor="text1"/>
          <w:sz w:val="16"/>
          <w:szCs w:val="16"/>
          <w:lang w:val="es-CO"/>
        </w:rPr>
        <w:t xml:space="preserve"> incluye los casos 11.175, 11.233)</w:t>
      </w:r>
      <w:r w:rsidRPr="00491517">
        <w:rPr>
          <w:rFonts w:ascii="Cambria" w:hAnsi="Cambria"/>
          <w:color w:val="000000" w:themeColor="text1"/>
          <w:sz w:val="16"/>
          <w:szCs w:val="16"/>
          <w:lang w:val="es-CO"/>
        </w:rPr>
        <w:t xml:space="preserve">; Lima </w:t>
      </w:r>
      <w:r w:rsidR="00EF6117" w:rsidRPr="00491517">
        <w:rPr>
          <w:rFonts w:ascii="Cambria" w:hAnsi="Cambria"/>
          <w:color w:val="000000" w:themeColor="text1"/>
          <w:sz w:val="16"/>
          <w:szCs w:val="16"/>
          <w:lang w:val="es-CO"/>
        </w:rPr>
        <w:t>–</w:t>
      </w:r>
      <w:r w:rsidRPr="00491517">
        <w:rPr>
          <w:rFonts w:ascii="Cambria" w:hAnsi="Cambria"/>
          <w:color w:val="000000" w:themeColor="text1"/>
          <w:sz w:val="16"/>
          <w:szCs w:val="16"/>
          <w:lang w:val="es-CO"/>
        </w:rPr>
        <w:t xml:space="preserve"> Callao</w:t>
      </w:r>
      <w:r w:rsidR="00EF6117" w:rsidRPr="00491517">
        <w:rPr>
          <w:rFonts w:ascii="Cambria" w:hAnsi="Cambria"/>
          <w:color w:val="000000" w:themeColor="text1"/>
          <w:sz w:val="16"/>
          <w:szCs w:val="16"/>
          <w:lang w:val="es-CO"/>
        </w:rPr>
        <w:t xml:space="preserve"> (que incluye los casos 10.014, 10.260, 10.278, 11.124, 11.125)</w:t>
      </w:r>
      <w:r w:rsidRPr="00491517">
        <w:rPr>
          <w:rFonts w:ascii="Cambria" w:hAnsi="Cambria"/>
          <w:color w:val="000000" w:themeColor="text1"/>
          <w:sz w:val="16"/>
          <w:szCs w:val="16"/>
          <w:lang w:val="es-CO"/>
        </w:rPr>
        <w:t xml:space="preserve">; Raúl </w:t>
      </w:r>
      <w:proofErr w:type="spellStart"/>
      <w:r w:rsidRPr="00491517">
        <w:rPr>
          <w:rFonts w:ascii="Cambria" w:hAnsi="Cambria"/>
          <w:color w:val="000000" w:themeColor="text1"/>
          <w:sz w:val="16"/>
          <w:szCs w:val="16"/>
          <w:lang w:val="es-CO"/>
        </w:rPr>
        <w:t>Naraza</w:t>
      </w:r>
      <w:proofErr w:type="spellEnd"/>
      <w:r w:rsidRPr="00491517">
        <w:rPr>
          <w:rFonts w:ascii="Cambria" w:hAnsi="Cambria"/>
          <w:color w:val="000000" w:themeColor="text1"/>
          <w:sz w:val="16"/>
          <w:szCs w:val="16"/>
          <w:lang w:val="es-CO"/>
        </w:rPr>
        <w:t xml:space="preserve"> Salazar</w:t>
      </w:r>
      <w:r w:rsidR="00EF6117" w:rsidRPr="00491517">
        <w:rPr>
          <w:rFonts w:ascii="Cambria" w:hAnsi="Cambria"/>
          <w:color w:val="000000" w:themeColor="text1"/>
          <w:sz w:val="16"/>
          <w:szCs w:val="16"/>
          <w:lang w:val="es-CO"/>
        </w:rPr>
        <w:t xml:space="preserve"> (caso 10.981)</w:t>
      </w:r>
      <w:r w:rsidRPr="00491517">
        <w:rPr>
          <w:rFonts w:ascii="Cambria" w:hAnsi="Cambria"/>
          <w:color w:val="000000" w:themeColor="text1"/>
          <w:sz w:val="16"/>
          <w:szCs w:val="16"/>
          <w:lang w:val="es-CO"/>
        </w:rPr>
        <w:t xml:space="preserve">; Teófilo Rímac </w:t>
      </w:r>
      <w:proofErr w:type="spellStart"/>
      <w:r w:rsidRPr="00491517">
        <w:rPr>
          <w:rFonts w:ascii="Cambria" w:hAnsi="Cambria"/>
          <w:color w:val="000000" w:themeColor="text1"/>
          <w:sz w:val="16"/>
          <w:szCs w:val="16"/>
          <w:lang w:val="es-CO"/>
        </w:rPr>
        <w:t>Capcha</w:t>
      </w:r>
      <w:proofErr w:type="spellEnd"/>
      <w:r w:rsidR="00EF6117" w:rsidRPr="00491517">
        <w:rPr>
          <w:rFonts w:ascii="Cambria" w:hAnsi="Cambria"/>
          <w:color w:val="000000" w:themeColor="text1"/>
          <w:sz w:val="16"/>
          <w:szCs w:val="16"/>
          <w:lang w:val="es-CO"/>
        </w:rPr>
        <w:t xml:space="preserve"> (caso 10.433)</w:t>
      </w:r>
      <w:r w:rsidR="006B71B3" w:rsidRPr="00491517">
        <w:rPr>
          <w:rFonts w:ascii="Cambria" w:hAnsi="Cambria"/>
          <w:color w:val="000000" w:themeColor="text1"/>
          <w:sz w:val="16"/>
          <w:szCs w:val="16"/>
          <w:lang w:val="es-CO"/>
        </w:rPr>
        <w:t>;</w:t>
      </w:r>
      <w:r w:rsidRPr="00491517">
        <w:rPr>
          <w:rFonts w:ascii="Cambria" w:hAnsi="Cambria"/>
          <w:color w:val="000000" w:themeColor="text1"/>
          <w:sz w:val="16"/>
          <w:szCs w:val="16"/>
          <w:lang w:val="es-CO"/>
        </w:rPr>
        <w:t xml:space="preserve"> Jos</w:t>
      </w:r>
      <w:r w:rsidR="00024511" w:rsidRPr="00491517">
        <w:rPr>
          <w:rFonts w:ascii="Cambria" w:hAnsi="Cambria"/>
          <w:color w:val="000000" w:themeColor="text1"/>
          <w:sz w:val="16"/>
          <w:szCs w:val="16"/>
          <w:lang w:val="es-CO"/>
        </w:rPr>
        <w:t>é</w:t>
      </w:r>
      <w:r w:rsidRPr="00491517">
        <w:rPr>
          <w:rFonts w:ascii="Cambria" w:hAnsi="Cambria"/>
          <w:color w:val="000000" w:themeColor="text1"/>
          <w:sz w:val="16"/>
          <w:szCs w:val="16"/>
          <w:lang w:val="es-CO"/>
        </w:rPr>
        <w:t xml:space="preserve"> Aybar</w:t>
      </w:r>
      <w:r w:rsidR="006B71B3" w:rsidRPr="00491517">
        <w:rPr>
          <w:rFonts w:ascii="Cambria" w:hAnsi="Cambria"/>
          <w:color w:val="000000" w:themeColor="text1"/>
          <w:sz w:val="16"/>
          <w:szCs w:val="16"/>
          <w:lang w:val="es-CO"/>
        </w:rPr>
        <w:t xml:space="preserve"> Cavero</w:t>
      </w:r>
      <w:r w:rsidR="00EF6117" w:rsidRPr="00491517">
        <w:rPr>
          <w:rFonts w:ascii="Cambria" w:hAnsi="Cambria"/>
          <w:color w:val="000000" w:themeColor="text1"/>
          <w:sz w:val="16"/>
          <w:szCs w:val="16"/>
          <w:lang w:val="es-CO"/>
        </w:rPr>
        <w:t xml:space="preserve"> (caso 10.185)</w:t>
      </w:r>
      <w:r w:rsidR="006B71B3" w:rsidRPr="00491517">
        <w:rPr>
          <w:rFonts w:ascii="Cambria" w:hAnsi="Cambria"/>
          <w:color w:val="000000" w:themeColor="text1"/>
          <w:sz w:val="16"/>
          <w:szCs w:val="16"/>
          <w:lang w:val="es-CO"/>
        </w:rPr>
        <w:t>,</w:t>
      </w:r>
      <w:r w:rsidRPr="00491517">
        <w:rPr>
          <w:rFonts w:ascii="Cambria" w:hAnsi="Cambria"/>
          <w:color w:val="000000" w:themeColor="text1"/>
          <w:sz w:val="16"/>
          <w:szCs w:val="16"/>
          <w:lang w:val="es-CO"/>
        </w:rPr>
        <w:t xml:space="preserve"> y </w:t>
      </w:r>
      <w:proofErr w:type="spellStart"/>
      <w:r w:rsidRPr="00491517">
        <w:rPr>
          <w:rFonts w:ascii="Cambria" w:hAnsi="Cambria"/>
          <w:color w:val="000000" w:themeColor="text1"/>
          <w:sz w:val="16"/>
          <w:szCs w:val="16"/>
          <w:lang w:val="es-CO"/>
        </w:rPr>
        <w:t>Giovana</w:t>
      </w:r>
      <w:proofErr w:type="spellEnd"/>
      <w:r w:rsidRPr="00491517">
        <w:rPr>
          <w:rFonts w:ascii="Cambria" w:hAnsi="Cambria"/>
          <w:color w:val="000000" w:themeColor="text1"/>
          <w:sz w:val="16"/>
          <w:szCs w:val="16"/>
          <w:lang w:val="es-CO"/>
        </w:rPr>
        <w:t xml:space="preserve"> Vera</w:t>
      </w:r>
      <w:r w:rsidR="00EF6117" w:rsidRPr="00491517">
        <w:rPr>
          <w:rFonts w:ascii="Cambria" w:hAnsi="Cambria"/>
          <w:color w:val="000000" w:themeColor="text1"/>
          <w:sz w:val="16"/>
          <w:szCs w:val="16"/>
          <w:lang w:val="es-CO"/>
        </w:rPr>
        <w:t xml:space="preserve"> (caso 10.263)</w:t>
      </w:r>
      <w:r w:rsidRPr="00491517">
        <w:rPr>
          <w:rFonts w:ascii="Cambria" w:hAnsi="Cambria"/>
          <w:color w:val="000000" w:themeColor="text1"/>
          <w:sz w:val="16"/>
          <w:szCs w:val="16"/>
          <w:lang w:val="es-CO"/>
        </w:rPr>
        <w:t>.</w:t>
      </w:r>
    </w:p>
  </w:footnote>
  <w:footnote w:id="10">
    <w:p w14:paraId="64A66947" w14:textId="700583D6" w:rsidR="00D67925" w:rsidRPr="00491517" w:rsidRDefault="00D67925" w:rsidP="00DA3A3C">
      <w:pPr>
        <w:pStyle w:val="FootnoteText"/>
        <w:spacing w:after="240"/>
        <w:ind w:firstLine="720"/>
        <w:jc w:val="both"/>
        <w:rPr>
          <w:rFonts w:ascii="Cambria" w:hAnsi="Cambria" w:cs="Arial"/>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L</w:t>
      </w:r>
      <w:r w:rsidR="00E72774" w:rsidRPr="00491517">
        <w:rPr>
          <w:rFonts w:ascii="Cambria" w:hAnsi="Cambria"/>
          <w:color w:val="000000" w:themeColor="text1"/>
          <w:sz w:val="16"/>
          <w:szCs w:val="16"/>
          <w:lang w:val="es-CO"/>
        </w:rPr>
        <w:t xml:space="preserve">os números </w:t>
      </w:r>
      <w:r w:rsidRPr="00491517">
        <w:rPr>
          <w:rFonts w:ascii="Cambria" w:hAnsi="Cambria"/>
          <w:color w:val="000000" w:themeColor="text1"/>
          <w:sz w:val="16"/>
          <w:szCs w:val="16"/>
          <w:lang w:val="es-CO"/>
        </w:rPr>
        <w:t xml:space="preserve">de los </w:t>
      </w:r>
      <w:r w:rsidR="0004425B" w:rsidRPr="00491517">
        <w:rPr>
          <w:rFonts w:ascii="Cambria" w:hAnsi="Cambria"/>
          <w:color w:val="000000" w:themeColor="text1"/>
          <w:sz w:val="16"/>
          <w:szCs w:val="16"/>
          <w:lang w:val="es-CO"/>
        </w:rPr>
        <w:t xml:space="preserve">36 </w:t>
      </w:r>
      <w:r w:rsidRPr="00491517">
        <w:rPr>
          <w:rFonts w:ascii="Cambria" w:hAnsi="Cambria"/>
          <w:color w:val="000000" w:themeColor="text1"/>
          <w:sz w:val="16"/>
          <w:szCs w:val="16"/>
          <w:lang w:val="es-CO"/>
        </w:rPr>
        <w:t xml:space="preserve">casos con informes de fondo </w:t>
      </w:r>
      <w:r w:rsidR="00E72774" w:rsidRPr="00491517">
        <w:rPr>
          <w:rFonts w:ascii="Cambria" w:hAnsi="Cambria"/>
          <w:color w:val="000000" w:themeColor="text1"/>
          <w:sz w:val="16"/>
          <w:szCs w:val="16"/>
          <w:lang w:val="es-CO"/>
        </w:rPr>
        <w:t xml:space="preserve">de la CIDH </w:t>
      </w:r>
      <w:r w:rsidRPr="00491517">
        <w:rPr>
          <w:rFonts w:ascii="Cambria" w:hAnsi="Cambria"/>
          <w:color w:val="000000" w:themeColor="text1"/>
          <w:sz w:val="16"/>
          <w:szCs w:val="16"/>
          <w:lang w:val="es-CO"/>
        </w:rPr>
        <w:t xml:space="preserve">incluidos </w:t>
      </w:r>
      <w:r w:rsidR="0004425B" w:rsidRPr="00491517">
        <w:rPr>
          <w:rFonts w:ascii="Cambria" w:hAnsi="Cambria"/>
          <w:color w:val="000000" w:themeColor="text1"/>
          <w:sz w:val="16"/>
          <w:szCs w:val="16"/>
          <w:lang w:val="es-CO"/>
        </w:rPr>
        <w:t>en</w:t>
      </w:r>
      <w:r w:rsidRPr="00491517">
        <w:rPr>
          <w:rFonts w:ascii="Cambria" w:hAnsi="Cambria"/>
          <w:color w:val="000000" w:themeColor="text1"/>
          <w:sz w:val="16"/>
          <w:szCs w:val="16"/>
          <w:lang w:val="es-CO"/>
        </w:rPr>
        <w:t xml:space="preserve"> </w:t>
      </w:r>
      <w:r w:rsidR="00E72774" w:rsidRPr="00491517">
        <w:rPr>
          <w:rFonts w:ascii="Cambria" w:hAnsi="Cambria"/>
          <w:color w:val="000000" w:themeColor="text1"/>
          <w:sz w:val="16"/>
          <w:szCs w:val="16"/>
          <w:lang w:val="es-CO"/>
        </w:rPr>
        <w:t>estos</w:t>
      </w:r>
      <w:r w:rsidRPr="00491517">
        <w:rPr>
          <w:rFonts w:ascii="Cambria" w:hAnsi="Cambria"/>
          <w:color w:val="000000" w:themeColor="text1"/>
          <w:sz w:val="16"/>
          <w:szCs w:val="16"/>
          <w:lang w:val="es-CO"/>
        </w:rPr>
        <w:t xml:space="preserve"> 14 casos son</w:t>
      </w:r>
      <w:r w:rsidR="00E72774" w:rsidRPr="00491517">
        <w:rPr>
          <w:rFonts w:ascii="Cambria" w:hAnsi="Cambria"/>
          <w:color w:val="000000" w:themeColor="text1"/>
          <w:sz w:val="16"/>
          <w:szCs w:val="16"/>
          <w:lang w:val="es-CO"/>
        </w:rPr>
        <w:t xml:space="preserve"> los siguientes</w:t>
      </w:r>
      <w:r w:rsidRPr="00491517">
        <w:rPr>
          <w:rFonts w:ascii="Cambria" w:hAnsi="Cambria"/>
          <w:color w:val="000000" w:themeColor="text1"/>
          <w:sz w:val="16"/>
          <w:szCs w:val="16"/>
          <w:lang w:val="es-CO"/>
        </w:rPr>
        <w:t xml:space="preserve">: 9.426; 9.449; 9.508; 9.809; 9.814; 10.809; 10.810; 9.425; 9.816; 9.817; 9.859; 9.501; 10.166; 10.542; 10.807; 10.551; 10.433; 10.531; 10.803; 11.322; 9.433; 10.521; 10.528; 10.544; 11.098; 11.175; 11.233; 10.014; 10.260; 10.278; 11.124; 11.125; </w:t>
      </w:r>
      <w:r w:rsidR="0004425B" w:rsidRPr="00491517">
        <w:rPr>
          <w:rFonts w:ascii="Cambria" w:hAnsi="Cambria"/>
          <w:color w:val="000000" w:themeColor="text1"/>
          <w:sz w:val="16"/>
          <w:szCs w:val="16"/>
          <w:lang w:val="es-CO"/>
        </w:rPr>
        <w:t>10.981; 10.443; 10.185; 10.263.</w:t>
      </w:r>
    </w:p>
    <w:p w14:paraId="1B028215" w14:textId="77777777" w:rsidR="00D67925" w:rsidRPr="00491517" w:rsidRDefault="00D67925" w:rsidP="00DA3A3C">
      <w:pPr>
        <w:pStyle w:val="FootnoteText"/>
        <w:spacing w:after="240"/>
        <w:ind w:firstLine="720"/>
        <w:jc w:val="both"/>
        <w:rPr>
          <w:rFonts w:ascii="Cambria" w:hAnsi="Cambria"/>
          <w:color w:val="000000" w:themeColor="text1"/>
          <w:sz w:val="16"/>
          <w:szCs w:val="16"/>
          <w:lang w:val="es-CO"/>
        </w:rPr>
      </w:pPr>
    </w:p>
  </w:footnote>
  <w:footnote w:id="11">
    <w:p w14:paraId="6CFB2C7E" w14:textId="601ABB4D" w:rsidR="002B00C1" w:rsidRPr="00491517" w:rsidRDefault="002B00C1" w:rsidP="00DA3A3C">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Frente a estos 5 predios, el Estado señaló que 2 están detenidos por observación de sucesión intestada y 2 por falta de la firma de un integrante de la sucesión intestada.</w:t>
      </w:r>
    </w:p>
  </w:footnote>
  <w:footnote w:id="12">
    <w:p w14:paraId="57C97640" w14:textId="7BCFB7C4" w:rsidR="000610DC" w:rsidRPr="00491517" w:rsidRDefault="000610DC" w:rsidP="00DA3A3C">
      <w:pPr>
        <w:pStyle w:val="Defaul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Esta resolución fue identificada con el número 0532- 2021/SBN-DGPE-SDDI del 18 de junio de 2021.</w:t>
      </w:r>
    </w:p>
    <w:p w14:paraId="560B0645" w14:textId="66CA6B09" w:rsidR="000610DC" w:rsidRPr="00491517" w:rsidRDefault="000610DC" w:rsidP="00DA3A3C">
      <w:pPr>
        <w:pStyle w:val="FootnoteText"/>
        <w:spacing w:after="240"/>
        <w:ind w:firstLine="720"/>
        <w:jc w:val="both"/>
        <w:rPr>
          <w:rFonts w:ascii="Cambria" w:hAnsi="Cambria"/>
          <w:color w:val="000000" w:themeColor="text1"/>
          <w:sz w:val="16"/>
          <w:szCs w:val="16"/>
          <w:lang w:val="es-CO"/>
        </w:rPr>
      </w:pPr>
    </w:p>
  </w:footnote>
  <w:footnote w:id="13">
    <w:p w14:paraId="048CFA59" w14:textId="04694C9E" w:rsidR="00645E03" w:rsidRPr="00491517" w:rsidRDefault="00645E03" w:rsidP="00645E03">
      <w:pPr>
        <w:pStyle w:val="FootnoteText"/>
        <w:spacing w:after="240"/>
        <w:ind w:firstLine="360"/>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Este informe evaluó los avances del Plan Multianual de Reparaciones en Educación para las Víctimas de la Violencia en el Perú - REPAEDUCA 2016 – 2021</w:t>
      </w:r>
      <w:r w:rsidRPr="00491517">
        <w:rPr>
          <w:rStyle w:val="FootnoteReference"/>
          <w:rFonts w:ascii="Cambria" w:hAnsi="Cambria"/>
          <w:color w:val="000000" w:themeColor="text1"/>
          <w:sz w:val="16"/>
          <w:szCs w:val="16"/>
          <w:lang w:val="es-CO"/>
        </w:rPr>
        <w:footnoteRef/>
      </w:r>
      <w:r w:rsidRPr="00491517">
        <w:rPr>
          <w:rFonts w:ascii="Cambria" w:hAnsi="Cambria"/>
          <w:color w:val="000000" w:themeColor="text1"/>
          <w:sz w:val="16"/>
          <w:szCs w:val="16"/>
          <w:lang w:val="es-CO"/>
        </w:rPr>
        <w:t xml:space="preserve"> entre los años 2016 y 2020.</w:t>
      </w:r>
    </w:p>
  </w:footnote>
  <w:footnote w:id="14">
    <w:p w14:paraId="6AE54FDC" w14:textId="77777777" w:rsidR="00804DF6" w:rsidRPr="00491517" w:rsidRDefault="00804DF6" w:rsidP="00804DF6">
      <w:pPr>
        <w:pStyle w:val="FootnoteText"/>
        <w:spacing w:after="240"/>
        <w:ind w:firstLine="720"/>
        <w:jc w:val="both"/>
        <w:rPr>
          <w:rFonts w:ascii="Cambria" w:hAnsi="Cambria"/>
          <w:color w:val="000000" w:themeColor="text1"/>
          <w:sz w:val="16"/>
          <w:szCs w:val="16"/>
          <w:lang w:val="es-CO"/>
        </w:rPr>
      </w:pPr>
      <w:r w:rsidRPr="00491517">
        <w:rPr>
          <w:rStyle w:val="FootnoteReference"/>
          <w:rFonts w:ascii="Cambria" w:hAnsi="Cambria"/>
          <w:color w:val="000000" w:themeColor="text1"/>
          <w:sz w:val="16"/>
          <w:szCs w:val="16"/>
        </w:rPr>
        <w:footnoteRef/>
      </w:r>
      <w:r w:rsidRPr="00491517">
        <w:rPr>
          <w:rFonts w:ascii="Cambria" w:hAnsi="Cambria"/>
          <w:color w:val="000000" w:themeColor="text1"/>
          <w:sz w:val="16"/>
          <w:szCs w:val="16"/>
          <w:lang w:val="es-CO"/>
        </w:rPr>
        <w:t xml:space="preserve"> CIDH, Directrices Generales de Seguimiento de Recomendaciones y Decisiones de la </w:t>
      </w:r>
      <w:proofErr w:type="gramStart"/>
      <w:r w:rsidRPr="00491517">
        <w:rPr>
          <w:rFonts w:ascii="Cambria" w:hAnsi="Cambria"/>
          <w:color w:val="000000" w:themeColor="text1"/>
          <w:sz w:val="16"/>
          <w:szCs w:val="16"/>
          <w:lang w:val="es-CO"/>
        </w:rPr>
        <w:t>CIDH,  OEA</w:t>
      </w:r>
      <w:proofErr w:type="gramEnd"/>
      <w:r w:rsidRPr="00491517">
        <w:rPr>
          <w:rFonts w:ascii="Cambria" w:hAnsi="Cambria"/>
          <w:color w:val="000000" w:themeColor="text1"/>
          <w:sz w:val="16"/>
          <w:szCs w:val="16"/>
          <w:lang w:val="es-CO"/>
        </w:rPr>
        <w:t>/</w:t>
      </w:r>
      <w:proofErr w:type="spellStart"/>
      <w:r w:rsidRPr="00491517">
        <w:rPr>
          <w:rFonts w:ascii="Cambria" w:hAnsi="Cambria"/>
          <w:color w:val="000000" w:themeColor="text1"/>
          <w:sz w:val="16"/>
          <w:szCs w:val="16"/>
          <w:lang w:val="es-CO"/>
        </w:rPr>
        <w:t>Ser.L</w:t>
      </w:r>
      <w:proofErr w:type="spellEnd"/>
      <w:r w:rsidRPr="00491517">
        <w:rPr>
          <w:rFonts w:ascii="Cambria" w:hAnsi="Cambria"/>
          <w:color w:val="000000" w:themeColor="text1"/>
          <w:sz w:val="16"/>
          <w:szCs w:val="16"/>
          <w:lang w:val="es-CO"/>
        </w:rPr>
        <w:t xml:space="preserve">/V/II.173, Doc. 177, 30 septiembre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8149186"/>
  <w:bookmarkStart w:id="4" w:name="_Hlk88149187"/>
  <w:p w14:paraId="76E2EB9A" w14:textId="48C81364" w:rsidR="00842B44" w:rsidRDefault="00842B44" w:rsidP="00842B44">
    <w:pPr>
      <w:pStyle w:val="Header"/>
      <w:rPr>
        <w:rFonts w:ascii="Arial" w:hAnsi="Arial" w:cs="Arial"/>
        <w:color w:val="3B3838"/>
        <w:szCs w:val="28"/>
      </w:rPr>
    </w:pPr>
    <w:r>
      <w:rPr>
        <w:noProof/>
      </w:rPr>
      <mc:AlternateContent>
        <mc:Choice Requires="wps">
          <w:drawing>
            <wp:anchor distT="4294967295" distB="4294967295" distL="114300" distR="114300" simplePos="0" relativeHeight="251659264" behindDoc="0" locked="0" layoutInCell="1" allowOverlap="1" wp14:anchorId="3F012D13" wp14:editId="5C581428">
              <wp:simplePos x="0" y="0"/>
              <wp:positionH relativeFrom="column">
                <wp:posOffset>-5080</wp:posOffset>
              </wp:positionH>
              <wp:positionV relativeFrom="paragraph">
                <wp:posOffset>467359</wp:posOffset>
              </wp:positionV>
              <wp:extent cx="6148070" cy="0"/>
              <wp:effectExtent l="0" t="0" r="0" b="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3BEEE6">
            <v:line id="Conector recto 1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262626" strokeweight="1.25pt" from="-.4pt,36.8pt" to="483.7pt,36.8pt" w14:anchorId="751DA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G8QEAANsDAAAOAAAAZHJzL2Uyb0RvYy54bWysU01v2zAMvQ/YfxB0X5wESxsYcXpI0F26&#10;LUC7H8DKcixMEgVRjZN/P0pOsn7chvkgSyT1yEc+re6OzoqDjmTQN3I2mUqhvcLW+H0jfz3df1lK&#10;QQl8Cxa9buRJk7xbf/60GkKt59ijbXUUDOKpHkIj+5RCXVWkeu2AJhi0Z2eH0UHiY9xXbYSB0Z2t&#10;5tPpTTVgbENEpYnYuh2dcl3wu06r9LPrSCdhG8m1pbLGsj7ntVqvoN5HCL1R5zLgH6pwYDwnvUJt&#10;IYF4ieYDlDMqImGXJgpdhV1nlC4cmM1s+o7NYw9BFy7cHArXNtH/g1U/DrsoTMuzm0vhwfGMNjwp&#10;lTCKmH+CHdylIVDNwRu/i5mnOvrH8IDqN7GveuPMBwpj2LGLLoczUXEsXT9du66PSSg23sy+Lqe3&#10;PBx18VVQXy6GSOmbRifyppHW+NwQqOHwQCmnhvoSks0e7421ZajWi4FZLZa3C4YG1lZnIfHWBWZL&#10;fi8F2D2LVqVYIAmtafP1DEQn2tgoDsC6Ybm1ODxxvVJYoMQOJlG+ctG+uO/YjrHLBdtHVbGZtTea&#10;Zxcz1ztCl9LfpMw8tkD9eKO4RiBnEr8Ra1wjl2PWkbj1uVJdVH7uxt/e590ztqddvAyIFVSSntWe&#10;Jfr6zPvXb3L9BwAA//8DAFBLAwQUAAYACAAAACEAo9cmet0AAAAHAQAADwAAAGRycy9kb3ducmV2&#10;LnhtbEzOTU/DMAwG4DsS/yHyJG4sHaAOStMJgSbExIXxIXHzGq+NaJyoSbfu3y8TBzjar/X6KRej&#10;7cSO+mAcK5hNMxDEtdOGGwUf78vLWxAhImvsHJOCAwVYVOdnJRba7fmNduvYiFTCoUAFbYy+kDLU&#10;LVkMU+eJU7Z1vcWYxr6Rusd9KredvMqyXFo0nD606OmxpfpnPVgFw8qEfPu1DM3n6+H5yXz78YW8&#10;UheT8eEeRKQx/h3DiZ/oUCXTxg2sg+gUnOBRwfw6B5Hiu3x+A2Lzu5BVKf/7qyMAAAD//wMAUEsB&#10;Ai0AFAAGAAgAAAAhALaDOJL+AAAA4QEAABMAAAAAAAAAAAAAAAAAAAAAAFtDb250ZW50X1R5cGVz&#10;XS54bWxQSwECLQAUAAYACAAAACEAOP0h/9YAAACUAQAACwAAAAAAAAAAAAAAAAAvAQAAX3JlbHMv&#10;LnJlbHNQSwECLQAUAAYACAAAACEAPrV1xvEBAADbAwAADgAAAAAAAAAAAAAAAAAuAgAAZHJzL2Uy&#10;b0RvYy54bWxQSwECLQAUAAYACAAAACEAo9cmet0AAAAHAQAADwAAAAAAAAAAAAAAAABLBAAAZHJz&#10;L2Rvd25yZXYueG1sUEsFBgAAAAAEAAQA8wAAAFUFAAAAAA==&#10;">
              <v:stroke joinstyle="miter"/>
              <o:lock v:ext="edit" shapetype="f"/>
            </v:line>
          </w:pict>
        </mc:Fallback>
      </mc:AlternateContent>
    </w:r>
    <w:r>
      <w:rPr>
        <w:noProof/>
      </w:rPr>
      <w:drawing>
        <wp:anchor distT="0" distB="0" distL="114300" distR="114300" simplePos="0" relativeHeight="251660288" behindDoc="0" locked="0" layoutInCell="1" allowOverlap="1" wp14:anchorId="2B2B14F6" wp14:editId="0EE1E7BD">
          <wp:simplePos x="0" y="0"/>
          <wp:positionH relativeFrom="column">
            <wp:posOffset>4658995</wp:posOffset>
          </wp:positionH>
          <wp:positionV relativeFrom="paragraph">
            <wp:posOffset>-3175</wp:posOffset>
          </wp:positionV>
          <wp:extent cx="1485900" cy="346075"/>
          <wp:effectExtent l="0" t="0" r="0" b="0"/>
          <wp:wrapSquare wrapText="bothSides"/>
          <wp:docPr id="11" name="Imagen 1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98E">
      <w:rPr>
        <w:noProof/>
      </w:rPr>
      <w:drawing>
        <wp:inline distT="0" distB="0" distL="0" distR="0" wp14:anchorId="2ECFD9CA" wp14:editId="54F7ECED">
          <wp:extent cx="1325880" cy="312420"/>
          <wp:effectExtent l="0" t="0" r="7620" b="0"/>
          <wp:docPr id="10" name="Imagen 10"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312420"/>
                  </a:xfrm>
                  <a:prstGeom prst="rect">
                    <a:avLst/>
                  </a:prstGeom>
                  <a:noFill/>
                  <a:ln>
                    <a:noFill/>
                  </a:ln>
                </pic:spPr>
              </pic:pic>
            </a:graphicData>
          </a:graphic>
        </wp:inline>
      </w:drawing>
    </w:r>
    <w:r w:rsidRPr="00AD498E">
      <w:rPr>
        <w:rFonts w:ascii="Arial" w:hAnsi="Arial" w:cs="Arial"/>
        <w:color w:val="3B3838"/>
        <w:szCs w:val="28"/>
      </w:rPr>
      <w:softHyphen/>
    </w:r>
    <w:r w:rsidRPr="00AD498E">
      <w:rPr>
        <w:rFonts w:ascii="Arial" w:hAnsi="Arial" w:cs="Arial"/>
        <w:color w:val="3B3838"/>
        <w:szCs w:val="28"/>
      </w:rPr>
      <w:softHyphen/>
      <w:t xml:space="preserve">                       </w:t>
    </w:r>
  </w:p>
  <w:p w14:paraId="7069369A" w14:textId="1CE13A01" w:rsidR="00842B44" w:rsidRDefault="00842B44" w:rsidP="00842B44">
    <w:pPr>
      <w:pStyle w:val="Header"/>
    </w:pPr>
  </w:p>
  <w:bookmarkEnd w:id="3"/>
  <w:bookmarkEnd w:id="4"/>
  <w:p w14:paraId="077AFA3B" w14:textId="77777777" w:rsidR="00842B44" w:rsidRPr="00842B44" w:rsidRDefault="00842B44" w:rsidP="00842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9F68" w14:textId="77777777" w:rsidR="00805A9A" w:rsidRPr="00B9218F" w:rsidRDefault="00805A9A" w:rsidP="00805A9A">
    <w:pPr>
      <w:tabs>
        <w:tab w:val="center" w:pos="4680"/>
        <w:tab w:val="right" w:pos="9360"/>
      </w:tabs>
      <w:spacing w:after="0" w:line="216" w:lineRule="auto"/>
      <w:rPr>
        <w:rFonts w:ascii="Arial" w:eastAsia="Times New Roman" w:hAnsi="Arial" w:cs="Arial"/>
        <w:color w:val="3B3838"/>
        <w:sz w:val="28"/>
        <w:szCs w:val="28"/>
        <w:lang w:val="es-ES"/>
      </w:rPr>
    </w:pPr>
    <w:r w:rsidRPr="00B9218F">
      <w:rPr>
        <w:rFonts w:eastAsia="Times New Roman"/>
        <w:noProof/>
        <w:sz w:val="24"/>
        <w:szCs w:val="24"/>
      </w:rPr>
      <w:drawing>
        <wp:anchor distT="0" distB="0" distL="114300" distR="114300" simplePos="0" relativeHeight="251663360" behindDoc="0" locked="0" layoutInCell="1" allowOverlap="1" wp14:anchorId="3539222A" wp14:editId="1C8A02B8">
          <wp:simplePos x="0" y="0"/>
          <wp:positionH relativeFrom="margin">
            <wp:align>right</wp:align>
          </wp:positionH>
          <wp:positionV relativeFrom="paragraph">
            <wp:posOffset>78214</wp:posOffset>
          </wp:positionV>
          <wp:extent cx="2183130" cy="508635"/>
          <wp:effectExtent l="0" t="0" r="0" b="0"/>
          <wp:wrapSquare wrapText="bothSides"/>
          <wp:docPr id="17"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18F">
      <w:rPr>
        <w:rFonts w:eastAsia="Times New Roman"/>
        <w:noProof/>
        <w:sz w:val="24"/>
        <w:szCs w:val="24"/>
      </w:rPr>
      <mc:AlternateContent>
        <mc:Choice Requires="wps">
          <w:drawing>
            <wp:anchor distT="0" distB="0" distL="114300" distR="114300" simplePos="0" relativeHeight="251664384" behindDoc="0" locked="0" layoutInCell="1" allowOverlap="1" wp14:anchorId="1DB25CAE" wp14:editId="5E9A421F">
              <wp:simplePos x="0" y="0"/>
              <wp:positionH relativeFrom="column">
                <wp:posOffset>-166370</wp:posOffset>
              </wp:positionH>
              <wp:positionV relativeFrom="paragraph">
                <wp:posOffset>48895</wp:posOffset>
              </wp:positionV>
              <wp:extent cx="2936875" cy="664845"/>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664845"/>
                      </a:xfrm>
                      <a:prstGeom prst="rect">
                        <a:avLst/>
                      </a:prstGeom>
                      <a:noFill/>
                      <a:ln w="6350">
                        <a:noFill/>
                      </a:ln>
                    </wps:spPr>
                    <wps:txbx>
                      <w:txbxContent>
                        <w:p w14:paraId="0590CD39" w14:textId="77777777" w:rsidR="00805A9A" w:rsidRDefault="00805A9A" w:rsidP="00805A9A">
                          <w:r w:rsidRPr="00F658D8">
                            <w:rPr>
                              <w:noProof/>
                            </w:rPr>
                            <w:drawing>
                              <wp:inline distT="0" distB="0" distL="0" distR="0" wp14:anchorId="1F1DBA2F" wp14:editId="527C5292">
                                <wp:extent cx="2009775" cy="466725"/>
                                <wp:effectExtent l="0" t="0" r="0" b="0"/>
                                <wp:docPr id="2" name="Imagem 11" descr="Uma imagem contendo placa, desenho, comida, placar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B25CA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JAIAAEUEAAAOAAAAZHJzL2Uyb0RvYy54bWysU8tu2zAQvBfoPxC815Id23EEy4GbwEUB&#10;IwngBDnTFGkJpbgsSVtyv75LSn4g7anohVpql/uYmZ3ft7UiB2FdBTqnw0FKidAcikrvcvr2uvoy&#10;o8R5pgumQIucHoWj94vPn+aNycQISlCFsASTaJc1Jqel9yZLEsdLUTM3ACM0OiXYmnm82l1SWNZg&#10;9lolozSdJg3Ywljgwjn8+9g56SLml1Jw/yylE56onGJvPp42nttwJos5y3aWmbLifRvsH7qoWaWx&#10;6DnVI/OM7G31R6q64hYcSD/gUCcgZcVFnAGnGaYfptmUzIg4C4LjzBkm9//S8qfDxrxY4tuv0CKB&#10;cQhn1sB/OMQmaYzL+piAqcscRodBW2nr8MURCD5EbI9nPEXrCcefo7ub6ex2QglH33Q6no0nAfDk&#10;8tpY578JqEkwcmqRr9gBO6yd70JPIaGYhlWlVORMadJg0ptJGh+cPZhc6b7xrtfQtW+3LT4L5haK&#10;Iw5sodOCM3xVYfE1c/6FWSQfR0FB+2c8pAIsAr1FSQn219/+h3jkBL2UNCimnLqfe2YFJeq7Rrbu&#10;huNxUF+8jCe3I7zYa8/22qP39QOgXoe4OoZHM8R7dTKlhfoddb8MVdHFNMfaOfUn88F3Ese94WK5&#10;jEGoN8P8Wm8MP/EcoH1t35k1Pf4emXuCk+xY9oGGLrYjYrn3IKvI0QXVHnfUamS536uwDNf3GHXZ&#10;/sVvAAAA//8DAFBLAwQUAAYACAAAACEAwLe6O+EAAAAJAQAADwAAAGRycy9kb3ducmV2LnhtbEyP&#10;wW7CMBBE75X6D9ZW6g0cDA0oxEEoEqpUtQcol96c2CQR9jqNDaT9+m5P7XE1TzNv883oLLuaIXQe&#10;JcymCTCDtdcdNhKO77vJCliICrWyHo2ELxNgU9zf5SrT/oZ7cz3EhlEJhkxJaGPsM85D3RqnwtT3&#10;Bik7+cGpSOfQcD2oG5U7y0WSpNypDmmhVb0pW1OfDxcn4aXcval9Jdzq25bPr6dt/3n8eJLy8WHc&#10;roFFM8Y/GH71SR0Kcqr8BXVgVsJEpIJQCcslMMoX83QOrCJwJhbAi5z//6D4AQAA//8DAFBLAQIt&#10;ABQABgAIAAAAIQC2gziS/gAAAOEBAAATAAAAAAAAAAAAAAAAAAAAAABbQ29udGVudF9UeXBlc10u&#10;eG1sUEsBAi0AFAAGAAgAAAAhADj9If/WAAAAlAEAAAsAAAAAAAAAAAAAAAAALwEAAF9yZWxzLy5y&#10;ZWxzUEsBAi0AFAAGAAgAAAAhAO1/gwUkAgAARQQAAA4AAAAAAAAAAAAAAAAALgIAAGRycy9lMm9E&#10;b2MueG1sUEsBAi0AFAAGAAgAAAAhAMC3ujvhAAAACQEAAA8AAAAAAAAAAAAAAAAAfgQAAGRycy9k&#10;b3ducmV2LnhtbFBLBQYAAAAABAAEAPMAAACMBQAAAAA=&#10;" filled="f" stroked="f" strokeweight=".5pt">
              <v:textbox>
                <w:txbxContent>
                  <w:p w14:paraId="0590CD39" w14:textId="77777777" w:rsidR="00805A9A" w:rsidRDefault="00805A9A" w:rsidP="00805A9A">
                    <w:r w:rsidRPr="00F658D8">
                      <w:rPr>
                        <w:noProof/>
                      </w:rPr>
                      <w:drawing>
                        <wp:inline distT="0" distB="0" distL="0" distR="0" wp14:anchorId="1F1DBA2F" wp14:editId="527C5292">
                          <wp:extent cx="2009775" cy="466725"/>
                          <wp:effectExtent l="0" t="0" r="0" b="0"/>
                          <wp:docPr id="2" name="Imagem 11" descr="Uma imagem contendo placa, desenho, comida, placar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txbxContent>
              </v:textbox>
            </v:shape>
          </w:pict>
        </mc:Fallback>
      </mc:AlternateContent>
    </w:r>
    <w:r w:rsidRPr="00B9218F">
      <w:rPr>
        <w:rFonts w:ascii="Arial" w:eastAsia="Times New Roman" w:hAnsi="Arial" w:cs="Arial"/>
        <w:color w:val="3B3838"/>
        <w:sz w:val="28"/>
        <w:szCs w:val="28"/>
        <w:lang w:val="es-ES"/>
      </w:rPr>
      <w:softHyphen/>
    </w:r>
    <w:r w:rsidRPr="00B9218F">
      <w:rPr>
        <w:rFonts w:ascii="Arial" w:eastAsia="Times New Roman" w:hAnsi="Arial" w:cs="Arial"/>
        <w:color w:val="3B3838"/>
        <w:sz w:val="28"/>
        <w:szCs w:val="28"/>
        <w:lang w:val="es-ES"/>
      </w:rPr>
      <w:softHyphen/>
    </w:r>
    <w:r w:rsidRPr="00B9218F">
      <w:rPr>
        <w:rFonts w:ascii="Arial" w:eastAsia="Times New Roman" w:hAnsi="Arial" w:cs="Arial"/>
        <w:color w:val="3B3838"/>
        <w:sz w:val="28"/>
        <w:szCs w:val="28"/>
        <w:lang w:val="es-ES"/>
      </w:rPr>
      <w:softHyphen/>
    </w:r>
  </w:p>
  <w:p w14:paraId="5C880FA1" w14:textId="77777777" w:rsidR="00805A9A" w:rsidRPr="00B9218F" w:rsidRDefault="00805A9A" w:rsidP="00805A9A">
    <w:pPr>
      <w:tabs>
        <w:tab w:val="center" w:pos="4680"/>
        <w:tab w:val="right" w:pos="9360"/>
      </w:tabs>
      <w:spacing w:after="0" w:line="216" w:lineRule="auto"/>
      <w:rPr>
        <w:rFonts w:ascii="Arial" w:eastAsia="Times New Roman" w:hAnsi="Arial" w:cs="Arial"/>
        <w:color w:val="3B3838"/>
        <w:sz w:val="28"/>
        <w:szCs w:val="28"/>
        <w:lang w:val="es-ES"/>
      </w:rPr>
    </w:pPr>
  </w:p>
  <w:p w14:paraId="6ACC6BD4" w14:textId="77777777" w:rsidR="00805A9A" w:rsidRPr="00B9218F" w:rsidRDefault="00805A9A" w:rsidP="00805A9A">
    <w:pPr>
      <w:tabs>
        <w:tab w:val="center" w:pos="4680"/>
        <w:tab w:val="right" w:pos="9360"/>
      </w:tabs>
      <w:spacing w:after="0" w:line="216" w:lineRule="auto"/>
      <w:rPr>
        <w:rFonts w:ascii="Arial" w:eastAsia="Times New Roman" w:hAnsi="Arial" w:cs="Arial"/>
        <w:color w:val="3B3838"/>
        <w:sz w:val="28"/>
        <w:szCs w:val="28"/>
        <w:lang w:val="es-ES"/>
      </w:rPr>
    </w:pPr>
  </w:p>
  <w:p w14:paraId="27706C69" w14:textId="71149058" w:rsidR="00805A9A" w:rsidRPr="00805A9A" w:rsidRDefault="00805A9A" w:rsidP="00805A9A">
    <w:pPr>
      <w:tabs>
        <w:tab w:val="center" w:pos="4680"/>
        <w:tab w:val="right" w:pos="9360"/>
      </w:tabs>
      <w:spacing w:after="0" w:line="216" w:lineRule="auto"/>
      <w:rPr>
        <w:rFonts w:ascii="Arial" w:eastAsia="Times New Roman" w:hAnsi="Arial" w:cs="Arial"/>
        <w:b/>
        <w:bCs/>
        <w:color w:val="404040"/>
        <w:sz w:val="44"/>
        <w:szCs w:val="44"/>
        <w:lang w:val="es-ES"/>
      </w:rPr>
    </w:pPr>
    <w:r w:rsidRPr="00B9218F">
      <w:rPr>
        <w:rFonts w:eastAsia="Times New Roman"/>
        <w:noProof/>
        <w:sz w:val="24"/>
        <w:szCs w:val="24"/>
      </w:rPr>
      <mc:AlternateContent>
        <mc:Choice Requires="wps">
          <w:drawing>
            <wp:anchor distT="4294967295" distB="4294967295" distL="114300" distR="114300" simplePos="0" relativeHeight="251662336" behindDoc="0" locked="0" layoutInCell="1" allowOverlap="1" wp14:anchorId="5EE780F7" wp14:editId="3E06EA18">
              <wp:simplePos x="0" y="0"/>
              <wp:positionH relativeFrom="margin">
                <wp:align>right</wp:align>
              </wp:positionH>
              <wp:positionV relativeFrom="paragraph">
                <wp:posOffset>157623</wp:posOffset>
              </wp:positionV>
              <wp:extent cx="5597059" cy="5824"/>
              <wp:effectExtent l="0" t="0" r="22860" b="323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97059" cy="5824"/>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5BC62FF">
            <v:line id="Straight Connector 5" style="position:absolute;flip:y;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o:spid="_x0000_s1026" strokecolor="#262626" strokeweight="1.25pt" from="389.5pt,12.4pt" to="830.2pt,12.85pt" w14:anchorId="6F6B1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UD5QEAALsDAAAOAAAAZHJzL2Uyb0RvYy54bWysU01vGyEQvVfqf0Dc67WtbuOsvM4hVnpJ&#10;20hJe5+w4EXhSwzx2v++AzhO2t6qcEDMB2/mDY/11cEatpcRtXc9X8zmnEkn/KDdruc/H24+rTjD&#10;BG4A453s+VEiv9p8/LCeQieXfvRmkJERiMNuCj0fUwpd06AYpQWc+SAdBZWPFhKZcdcMESZCt6ZZ&#10;zudfmsnHIUQvJCJ5tzXINwVfKSnSD6VQJmZ6Tr2lsseyP+a92ayh20UIoxanNuA/urCgHRU9Q20h&#10;AXuO+h8oq0X06FWaCW8br5QWsnAgNov5X2zuRwiycKHhYDiPCd8PVnzfX7u7mFsXB3cfbr14QhpK&#10;MwXszsFsYKhpBxUtU0aHX/TehTOxYIcy0uN5pPKQmCBn215ezNtLzgTF2tXyc554A11GyUVDxPRV&#10;esvyoedGu0wYOtjfYqqpLynZ7fyNNqY8mnFsog7a1UVL6EDaUQYSHW0Yeo5uxxmYHYlSpFgg0Rs9&#10;5OsZCI94bSLbA+mC5DT46YFa5swAJgoQj7LKRfNsv/mh5q5a8lfVkJu0Vd2LFzdRq9CF5R8lM48t&#10;4FhvlFAFsjrRHzDa9nxVq1bixuVOZVHxaRqvD5FPj3443sWcnC1SSCl6UnOW4Fu7ZL3+uc1vAAAA&#10;//8DAFBLAwQUAAYACAAAACEAB/04290AAAAGAQAADwAAAGRycy9kb3ducmV2LnhtbEyPS0/DMBCE&#10;70j8B2uRuCDq9AENIU6FkBDihNqi9uraSxIRr0PsPPrvWU5w3JnRzLf5ZnKNGLALtScF81kCAsl4&#10;W1Op4GP/cpuCCFGT1Y0nVHDGAJvi8iLXmfUjbXHYxVJwCYVMK6hibDMpg6nQ6TDzLRJ7n75zOvLZ&#10;ldJ2euRy18hFktxLp2vihUq3+Fyh+dr1TsFxfNuvv43cvh7M+WbZPiz794GUur6anh5BRJziXxh+&#10;8RkdCmY6+Z5sEI0CfiQqWKyYn900na9AnFi4W4Mscvkfv/gBAAD//wMAUEsBAi0AFAAGAAgAAAAh&#10;ALaDOJL+AAAA4QEAABMAAAAAAAAAAAAAAAAAAAAAAFtDb250ZW50X1R5cGVzXS54bWxQSwECLQAU&#10;AAYACAAAACEAOP0h/9YAAACUAQAACwAAAAAAAAAAAAAAAAAvAQAAX3JlbHMvLnJlbHNQSwECLQAU&#10;AAYACAAAACEA5X2FA+UBAAC7AwAADgAAAAAAAAAAAAAAAAAuAgAAZHJzL2Uyb0RvYy54bWxQSwEC&#10;LQAUAAYACAAAACEAB/04290AAAAGAQAADwAAAAAAAAAAAAAAAAA/BAAAZHJzL2Rvd25yZXYueG1s&#10;UEsFBgAAAAAEAAQA8wAAAEkFAAAAAA==&#10;">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50A"/>
    <w:multiLevelType w:val="hybridMultilevel"/>
    <w:tmpl w:val="924C0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AC7473"/>
    <w:multiLevelType w:val="hybridMultilevel"/>
    <w:tmpl w:val="CC8A7120"/>
    <w:lvl w:ilvl="0" w:tplc="553C625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09F82F79"/>
    <w:multiLevelType w:val="hybridMultilevel"/>
    <w:tmpl w:val="63682B8E"/>
    <w:lvl w:ilvl="0" w:tplc="FFFFFFFF">
      <w:start w:val="5"/>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2F2034"/>
    <w:multiLevelType w:val="hybridMultilevel"/>
    <w:tmpl w:val="E38E4B5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7B53EF"/>
    <w:multiLevelType w:val="hybridMultilevel"/>
    <w:tmpl w:val="81F88746"/>
    <w:lvl w:ilvl="0" w:tplc="1E3E8F00">
      <w:start w:val="9"/>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F5A73"/>
    <w:multiLevelType w:val="hybridMultilevel"/>
    <w:tmpl w:val="95822EFE"/>
    <w:lvl w:ilvl="0" w:tplc="FFFFFFFF">
      <w:start w:val="1"/>
      <w:numFmt w:val="decimal"/>
      <w:lvlText w:val="%1."/>
      <w:lvlJc w:val="left"/>
      <w:pPr>
        <w:ind w:left="720" w:hanging="360"/>
      </w:pPr>
      <w:rPr>
        <w:rFonts w:ascii="Cambria" w:hAnsi="Cambria"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C27967"/>
    <w:multiLevelType w:val="hybridMultilevel"/>
    <w:tmpl w:val="3C1674AC"/>
    <w:lvl w:ilvl="0" w:tplc="44FE52B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907538E"/>
    <w:multiLevelType w:val="hybridMultilevel"/>
    <w:tmpl w:val="A622F4D0"/>
    <w:lvl w:ilvl="0" w:tplc="7092FCE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F2018"/>
    <w:multiLevelType w:val="hybridMultilevel"/>
    <w:tmpl w:val="E392EA40"/>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FA30B2"/>
    <w:multiLevelType w:val="hybridMultilevel"/>
    <w:tmpl w:val="E392EA40"/>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554D21"/>
    <w:multiLevelType w:val="hybridMultilevel"/>
    <w:tmpl w:val="AE043D64"/>
    <w:lvl w:ilvl="0" w:tplc="FFFFFFFF">
      <w:start w:val="1"/>
      <w:numFmt w:val="decimal"/>
      <w:lvlText w:val="%1."/>
      <w:lvlJc w:val="left"/>
      <w:pPr>
        <w:ind w:left="2149" w:hanging="360"/>
      </w:pPr>
      <w:rPr>
        <w:rFonts w:hint="default"/>
        <w:color w:val="auto"/>
      </w:rPr>
    </w:lvl>
    <w:lvl w:ilvl="1" w:tplc="FFFFFFFF">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1" w15:restartNumberingAfterBreak="0">
    <w:nsid w:val="2A251A15"/>
    <w:multiLevelType w:val="multilevel"/>
    <w:tmpl w:val="7C4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B10CB6"/>
    <w:multiLevelType w:val="hybridMultilevel"/>
    <w:tmpl w:val="5198CE06"/>
    <w:lvl w:ilvl="0" w:tplc="36DC0F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162BC"/>
    <w:multiLevelType w:val="hybridMultilevel"/>
    <w:tmpl w:val="40847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0164DC"/>
    <w:multiLevelType w:val="hybridMultilevel"/>
    <w:tmpl w:val="63682B8E"/>
    <w:lvl w:ilvl="0" w:tplc="4A1ECD20">
      <w:start w:val="5"/>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36121"/>
    <w:multiLevelType w:val="multilevel"/>
    <w:tmpl w:val="045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B20AC1"/>
    <w:multiLevelType w:val="multilevel"/>
    <w:tmpl w:val="6804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527CFF"/>
    <w:multiLevelType w:val="hybridMultilevel"/>
    <w:tmpl w:val="BDB43EA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E130BA"/>
    <w:multiLevelType w:val="hybridMultilevel"/>
    <w:tmpl w:val="A158164C"/>
    <w:lvl w:ilvl="0" w:tplc="FFFFFFFF">
      <w:start w:val="1"/>
      <w:numFmt w:val="decimal"/>
      <w:lvlText w:val="%1."/>
      <w:lvlJc w:val="left"/>
      <w:pPr>
        <w:ind w:left="720" w:hanging="360"/>
      </w:pPr>
      <w:rPr>
        <w:rFonts w:ascii="Cambria" w:hAnsi="Cambria" w:hint="default"/>
        <w:b w:val="0"/>
        <w:bCs/>
        <w:color w:val="FF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DA4D82"/>
    <w:multiLevelType w:val="hybridMultilevel"/>
    <w:tmpl w:val="3612E320"/>
    <w:lvl w:ilvl="0" w:tplc="E22C2DC2">
      <w:start w:val="1"/>
      <w:numFmt w:val="decimal"/>
      <w:lvlText w:val="%1."/>
      <w:lvlJc w:val="left"/>
      <w:pPr>
        <w:ind w:left="720" w:hanging="360"/>
      </w:pPr>
      <w:rPr>
        <w:rFonts w:ascii="Cambria" w:hAnsi="Cambria" w:hint="default"/>
        <w:b w:val="0"/>
        <w:bCs/>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B0330"/>
    <w:multiLevelType w:val="hybridMultilevel"/>
    <w:tmpl w:val="36EAFB74"/>
    <w:lvl w:ilvl="0" w:tplc="32987236">
      <w:start w:val="1"/>
      <w:numFmt w:val="decimal"/>
      <w:lvlText w:val="%1."/>
      <w:lvlJc w:val="left"/>
      <w:pPr>
        <w:ind w:left="1079" w:hanging="372"/>
      </w:pPr>
      <w:rPr>
        <w:rFonts w:ascii="Cambria" w:eastAsia="Calibri" w:hAnsi="Cambria" w:cs="Times New Roman"/>
      </w:rPr>
    </w:lvl>
    <w:lvl w:ilvl="1" w:tplc="240A0019" w:tentative="1">
      <w:start w:val="1"/>
      <w:numFmt w:val="lowerLetter"/>
      <w:lvlText w:val="%2."/>
      <w:lvlJc w:val="left"/>
      <w:pPr>
        <w:ind w:left="1787" w:hanging="360"/>
      </w:pPr>
    </w:lvl>
    <w:lvl w:ilvl="2" w:tplc="240A001B" w:tentative="1">
      <w:start w:val="1"/>
      <w:numFmt w:val="lowerRoman"/>
      <w:lvlText w:val="%3."/>
      <w:lvlJc w:val="right"/>
      <w:pPr>
        <w:ind w:left="2507" w:hanging="180"/>
      </w:pPr>
    </w:lvl>
    <w:lvl w:ilvl="3" w:tplc="240A000F" w:tentative="1">
      <w:start w:val="1"/>
      <w:numFmt w:val="decimal"/>
      <w:lvlText w:val="%4."/>
      <w:lvlJc w:val="left"/>
      <w:pPr>
        <w:ind w:left="3227" w:hanging="360"/>
      </w:pPr>
    </w:lvl>
    <w:lvl w:ilvl="4" w:tplc="240A0019" w:tentative="1">
      <w:start w:val="1"/>
      <w:numFmt w:val="lowerLetter"/>
      <w:lvlText w:val="%5."/>
      <w:lvlJc w:val="left"/>
      <w:pPr>
        <w:ind w:left="3947" w:hanging="360"/>
      </w:pPr>
    </w:lvl>
    <w:lvl w:ilvl="5" w:tplc="240A001B" w:tentative="1">
      <w:start w:val="1"/>
      <w:numFmt w:val="lowerRoman"/>
      <w:lvlText w:val="%6."/>
      <w:lvlJc w:val="right"/>
      <w:pPr>
        <w:ind w:left="4667" w:hanging="180"/>
      </w:pPr>
    </w:lvl>
    <w:lvl w:ilvl="6" w:tplc="240A000F" w:tentative="1">
      <w:start w:val="1"/>
      <w:numFmt w:val="decimal"/>
      <w:lvlText w:val="%7."/>
      <w:lvlJc w:val="left"/>
      <w:pPr>
        <w:ind w:left="5387" w:hanging="360"/>
      </w:pPr>
    </w:lvl>
    <w:lvl w:ilvl="7" w:tplc="240A0019" w:tentative="1">
      <w:start w:val="1"/>
      <w:numFmt w:val="lowerLetter"/>
      <w:lvlText w:val="%8."/>
      <w:lvlJc w:val="left"/>
      <w:pPr>
        <w:ind w:left="6107" w:hanging="360"/>
      </w:pPr>
    </w:lvl>
    <w:lvl w:ilvl="8" w:tplc="240A001B" w:tentative="1">
      <w:start w:val="1"/>
      <w:numFmt w:val="lowerRoman"/>
      <w:lvlText w:val="%9."/>
      <w:lvlJc w:val="right"/>
      <w:pPr>
        <w:ind w:left="6827" w:hanging="180"/>
      </w:pPr>
    </w:lvl>
  </w:abstractNum>
  <w:abstractNum w:abstractNumId="21" w15:restartNumberingAfterBreak="0">
    <w:nsid w:val="46851888"/>
    <w:multiLevelType w:val="hybridMultilevel"/>
    <w:tmpl w:val="937ED2F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ED07B8"/>
    <w:multiLevelType w:val="hybridMultilevel"/>
    <w:tmpl w:val="63682B8E"/>
    <w:lvl w:ilvl="0" w:tplc="FFFFFFFF">
      <w:start w:val="5"/>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A97BBC"/>
    <w:multiLevelType w:val="hybridMultilevel"/>
    <w:tmpl w:val="63682B8E"/>
    <w:lvl w:ilvl="0" w:tplc="FFFFFFFF">
      <w:start w:val="5"/>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5A6B35"/>
    <w:multiLevelType w:val="hybridMultilevel"/>
    <w:tmpl w:val="ABBA8D1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B506C3"/>
    <w:multiLevelType w:val="hybridMultilevel"/>
    <w:tmpl w:val="4A7C03E2"/>
    <w:lvl w:ilvl="0" w:tplc="66F8A922">
      <w:start w:val="1"/>
      <w:numFmt w:val="decimal"/>
      <w:lvlText w:val="%1."/>
      <w:lvlJc w:val="left"/>
      <w:pPr>
        <w:ind w:left="720" w:hanging="360"/>
      </w:pPr>
    </w:lvl>
    <w:lvl w:ilvl="1" w:tplc="2A3212DE">
      <w:start w:val="1"/>
      <w:numFmt w:val="lowerLetter"/>
      <w:lvlText w:val="%2."/>
      <w:lvlJc w:val="left"/>
      <w:pPr>
        <w:ind w:left="1440" w:hanging="360"/>
      </w:pPr>
    </w:lvl>
    <w:lvl w:ilvl="2" w:tplc="5692A408">
      <w:start w:val="1"/>
      <w:numFmt w:val="lowerRoman"/>
      <w:lvlText w:val="%3."/>
      <w:lvlJc w:val="right"/>
      <w:pPr>
        <w:ind w:left="2160" w:hanging="180"/>
      </w:pPr>
    </w:lvl>
    <w:lvl w:ilvl="3" w:tplc="35B6127E">
      <w:start w:val="1"/>
      <w:numFmt w:val="decimal"/>
      <w:lvlText w:val="%4."/>
      <w:lvlJc w:val="left"/>
      <w:pPr>
        <w:ind w:left="2880" w:hanging="360"/>
      </w:pPr>
    </w:lvl>
    <w:lvl w:ilvl="4" w:tplc="C2222A22">
      <w:start w:val="1"/>
      <w:numFmt w:val="lowerLetter"/>
      <w:lvlText w:val="%5."/>
      <w:lvlJc w:val="left"/>
      <w:pPr>
        <w:ind w:left="3600" w:hanging="360"/>
      </w:pPr>
    </w:lvl>
    <w:lvl w:ilvl="5" w:tplc="B92C4C26">
      <w:start w:val="1"/>
      <w:numFmt w:val="lowerRoman"/>
      <w:lvlText w:val="%6."/>
      <w:lvlJc w:val="right"/>
      <w:pPr>
        <w:ind w:left="4320" w:hanging="180"/>
      </w:pPr>
    </w:lvl>
    <w:lvl w:ilvl="6" w:tplc="B08698D2">
      <w:start w:val="1"/>
      <w:numFmt w:val="decimal"/>
      <w:lvlText w:val="%7."/>
      <w:lvlJc w:val="left"/>
      <w:pPr>
        <w:ind w:left="5040" w:hanging="360"/>
      </w:pPr>
    </w:lvl>
    <w:lvl w:ilvl="7" w:tplc="6038C2AE">
      <w:start w:val="1"/>
      <w:numFmt w:val="lowerLetter"/>
      <w:lvlText w:val="%8."/>
      <w:lvlJc w:val="left"/>
      <w:pPr>
        <w:ind w:left="5760" w:hanging="360"/>
      </w:pPr>
    </w:lvl>
    <w:lvl w:ilvl="8" w:tplc="01FC6BC4">
      <w:start w:val="1"/>
      <w:numFmt w:val="lowerRoman"/>
      <w:lvlText w:val="%9."/>
      <w:lvlJc w:val="right"/>
      <w:pPr>
        <w:ind w:left="6480" w:hanging="180"/>
      </w:pPr>
    </w:lvl>
  </w:abstractNum>
  <w:abstractNum w:abstractNumId="26"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B65C6"/>
    <w:multiLevelType w:val="hybridMultilevel"/>
    <w:tmpl w:val="C9F8A6B6"/>
    <w:lvl w:ilvl="0" w:tplc="3266B84E">
      <w:start w:val="5"/>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9E43C1"/>
    <w:multiLevelType w:val="hybridMultilevel"/>
    <w:tmpl w:val="ABBA8D1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AC7B77"/>
    <w:multiLevelType w:val="hybridMultilevel"/>
    <w:tmpl w:val="40A6B33E"/>
    <w:lvl w:ilvl="0" w:tplc="FF60A66E">
      <w:start w:val="1"/>
      <w:numFmt w:val="decimal"/>
      <w:lvlText w:val="%1."/>
      <w:lvlJc w:val="left"/>
      <w:pPr>
        <w:ind w:left="1079" w:hanging="360"/>
      </w:pPr>
      <w:rPr>
        <w:b/>
        <w:bCs/>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0" w15:restartNumberingAfterBreak="0">
    <w:nsid w:val="66FC2321"/>
    <w:multiLevelType w:val="hybridMultilevel"/>
    <w:tmpl w:val="DB689D3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F333C9"/>
    <w:multiLevelType w:val="hybridMultilevel"/>
    <w:tmpl w:val="35E4F444"/>
    <w:lvl w:ilvl="0" w:tplc="AA4A8BF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62F6F"/>
    <w:multiLevelType w:val="hybridMultilevel"/>
    <w:tmpl w:val="AE043D64"/>
    <w:lvl w:ilvl="0" w:tplc="83FAA4BE">
      <w:start w:val="1"/>
      <w:numFmt w:val="decimal"/>
      <w:lvlText w:val="%1."/>
      <w:lvlJc w:val="left"/>
      <w:pPr>
        <w:ind w:left="2149" w:hanging="360"/>
      </w:pPr>
      <w:rPr>
        <w:rFonts w:hint="default"/>
        <w:color w:val="auto"/>
      </w:rPr>
    </w:lvl>
    <w:lvl w:ilvl="1" w:tplc="240A0019">
      <w:start w:val="1"/>
      <w:numFmt w:val="lowerLetter"/>
      <w:lvlText w:val="%2."/>
      <w:lvlJc w:val="left"/>
      <w:pPr>
        <w:ind w:left="2869" w:hanging="360"/>
      </w:pPr>
    </w:lvl>
    <w:lvl w:ilvl="2" w:tplc="240A001B" w:tentative="1">
      <w:start w:val="1"/>
      <w:numFmt w:val="lowerRoman"/>
      <w:lvlText w:val="%3."/>
      <w:lvlJc w:val="right"/>
      <w:pPr>
        <w:ind w:left="3589" w:hanging="180"/>
      </w:pPr>
    </w:lvl>
    <w:lvl w:ilvl="3" w:tplc="240A000F">
      <w:start w:val="1"/>
      <w:numFmt w:val="decimal"/>
      <w:lvlText w:val="%4."/>
      <w:lvlJc w:val="left"/>
      <w:pPr>
        <w:ind w:left="4309" w:hanging="360"/>
      </w:pPr>
    </w:lvl>
    <w:lvl w:ilvl="4" w:tplc="240A0019" w:tentative="1">
      <w:start w:val="1"/>
      <w:numFmt w:val="lowerLetter"/>
      <w:lvlText w:val="%5."/>
      <w:lvlJc w:val="left"/>
      <w:pPr>
        <w:ind w:left="5029" w:hanging="360"/>
      </w:pPr>
    </w:lvl>
    <w:lvl w:ilvl="5" w:tplc="240A001B" w:tentative="1">
      <w:start w:val="1"/>
      <w:numFmt w:val="lowerRoman"/>
      <w:lvlText w:val="%6."/>
      <w:lvlJc w:val="right"/>
      <w:pPr>
        <w:ind w:left="5749" w:hanging="180"/>
      </w:pPr>
    </w:lvl>
    <w:lvl w:ilvl="6" w:tplc="240A000F" w:tentative="1">
      <w:start w:val="1"/>
      <w:numFmt w:val="decimal"/>
      <w:lvlText w:val="%7."/>
      <w:lvlJc w:val="left"/>
      <w:pPr>
        <w:ind w:left="6469" w:hanging="360"/>
      </w:pPr>
    </w:lvl>
    <w:lvl w:ilvl="7" w:tplc="240A0019" w:tentative="1">
      <w:start w:val="1"/>
      <w:numFmt w:val="lowerLetter"/>
      <w:lvlText w:val="%8."/>
      <w:lvlJc w:val="left"/>
      <w:pPr>
        <w:ind w:left="7189" w:hanging="360"/>
      </w:pPr>
    </w:lvl>
    <w:lvl w:ilvl="8" w:tplc="240A001B" w:tentative="1">
      <w:start w:val="1"/>
      <w:numFmt w:val="lowerRoman"/>
      <w:lvlText w:val="%9."/>
      <w:lvlJc w:val="right"/>
      <w:pPr>
        <w:ind w:left="7909" w:hanging="180"/>
      </w:pPr>
    </w:lvl>
  </w:abstractNum>
  <w:abstractNum w:abstractNumId="33" w15:restartNumberingAfterBreak="0">
    <w:nsid w:val="6E9651C8"/>
    <w:multiLevelType w:val="hybridMultilevel"/>
    <w:tmpl w:val="8AD0F97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2355A5"/>
    <w:multiLevelType w:val="hybridMultilevel"/>
    <w:tmpl w:val="6B366106"/>
    <w:lvl w:ilvl="0" w:tplc="1E3E8F00">
      <w:start w:val="9"/>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43BBF"/>
    <w:multiLevelType w:val="hybridMultilevel"/>
    <w:tmpl w:val="9D626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B33CB"/>
    <w:multiLevelType w:val="multilevel"/>
    <w:tmpl w:val="73DA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DA0E8E"/>
    <w:multiLevelType w:val="hybridMultilevel"/>
    <w:tmpl w:val="63682B8E"/>
    <w:lvl w:ilvl="0" w:tplc="FFFFFFFF">
      <w:start w:val="5"/>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3C4C20"/>
    <w:multiLevelType w:val="hybridMultilevel"/>
    <w:tmpl w:val="95822EFE"/>
    <w:lvl w:ilvl="0" w:tplc="FFFFFFFF">
      <w:start w:val="1"/>
      <w:numFmt w:val="decimal"/>
      <w:lvlText w:val="%1."/>
      <w:lvlJc w:val="left"/>
      <w:pPr>
        <w:ind w:left="720" w:hanging="360"/>
      </w:pPr>
      <w:rPr>
        <w:rFonts w:ascii="Cambria" w:hAnsi="Cambria"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5E304A"/>
    <w:multiLevelType w:val="hybridMultilevel"/>
    <w:tmpl w:val="7DD8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F5978"/>
    <w:multiLevelType w:val="multilevel"/>
    <w:tmpl w:val="47C26634"/>
    <w:lvl w:ilvl="0">
      <w:start w:val="1"/>
      <w:numFmt w:val="decimal"/>
      <w:lvlText w:val="%1."/>
      <w:lvlJc w:val="left"/>
      <w:pPr>
        <w:ind w:left="720" w:hanging="360"/>
      </w:pPr>
      <w:rPr>
        <w:rFonts w:cs="Times New Roman"/>
        <w:b/>
        <w:color w:val="000000" w:themeColor="text1"/>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D591712"/>
    <w:multiLevelType w:val="multilevel"/>
    <w:tmpl w:val="47C26634"/>
    <w:lvl w:ilvl="0">
      <w:start w:val="1"/>
      <w:numFmt w:val="decimal"/>
      <w:lvlText w:val="%1."/>
      <w:lvlJc w:val="left"/>
      <w:pPr>
        <w:ind w:left="720" w:hanging="360"/>
      </w:pPr>
      <w:rPr>
        <w:rFonts w:cs="Times New Roman"/>
        <w:b/>
        <w:color w:val="000000" w:themeColor="text1"/>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438867116">
    <w:abstractNumId w:val="25"/>
  </w:num>
  <w:num w:numId="2" w16cid:durableId="1573662760">
    <w:abstractNumId w:val="26"/>
  </w:num>
  <w:num w:numId="3" w16cid:durableId="1811481219">
    <w:abstractNumId w:val="7"/>
  </w:num>
  <w:num w:numId="4" w16cid:durableId="87773820">
    <w:abstractNumId w:val="35"/>
  </w:num>
  <w:num w:numId="5" w16cid:durableId="1674643038">
    <w:abstractNumId w:val="34"/>
  </w:num>
  <w:num w:numId="6" w16cid:durableId="1274286904">
    <w:abstractNumId w:val="1"/>
  </w:num>
  <w:num w:numId="7" w16cid:durableId="1846241027">
    <w:abstractNumId w:val="20"/>
  </w:num>
  <w:num w:numId="8" w16cid:durableId="637299169">
    <w:abstractNumId w:val="6"/>
  </w:num>
  <w:num w:numId="9" w16cid:durableId="1960601453">
    <w:abstractNumId w:val="0"/>
  </w:num>
  <w:num w:numId="10" w16cid:durableId="2010595669">
    <w:abstractNumId w:val="33"/>
  </w:num>
  <w:num w:numId="11" w16cid:durableId="1504734480">
    <w:abstractNumId w:val="30"/>
  </w:num>
  <w:num w:numId="12" w16cid:durableId="1763798806">
    <w:abstractNumId w:val="17"/>
  </w:num>
  <w:num w:numId="13" w16cid:durableId="277181739">
    <w:abstractNumId w:val="3"/>
  </w:num>
  <w:num w:numId="14" w16cid:durableId="1814328507">
    <w:abstractNumId w:val="21"/>
  </w:num>
  <w:num w:numId="15" w16cid:durableId="1780223436">
    <w:abstractNumId w:val="32"/>
  </w:num>
  <w:num w:numId="16" w16cid:durableId="442725463">
    <w:abstractNumId w:val="19"/>
  </w:num>
  <w:num w:numId="17" w16cid:durableId="1896235014">
    <w:abstractNumId w:val="11"/>
  </w:num>
  <w:num w:numId="18" w16cid:durableId="1750613374">
    <w:abstractNumId w:val="16"/>
  </w:num>
  <w:num w:numId="19" w16cid:durableId="1107508845">
    <w:abstractNumId w:val="36"/>
  </w:num>
  <w:num w:numId="20" w16cid:durableId="1451163754">
    <w:abstractNumId w:val="15"/>
  </w:num>
  <w:num w:numId="21" w16cid:durableId="1585459432">
    <w:abstractNumId w:val="31"/>
  </w:num>
  <w:num w:numId="22" w16cid:durableId="813639932">
    <w:abstractNumId w:val="28"/>
  </w:num>
  <w:num w:numId="23" w16cid:durableId="1670786409">
    <w:abstractNumId w:val="24"/>
  </w:num>
  <w:num w:numId="24" w16cid:durableId="730923650">
    <w:abstractNumId w:val="12"/>
  </w:num>
  <w:num w:numId="25" w16cid:durableId="1309632298">
    <w:abstractNumId w:val="14"/>
  </w:num>
  <w:num w:numId="26" w16cid:durableId="441148323">
    <w:abstractNumId w:val="9"/>
  </w:num>
  <w:num w:numId="27" w16cid:durableId="1508789375">
    <w:abstractNumId w:val="27"/>
  </w:num>
  <w:num w:numId="28" w16cid:durableId="2118871266">
    <w:abstractNumId w:val="8"/>
  </w:num>
  <w:num w:numId="29" w16cid:durableId="725180563">
    <w:abstractNumId w:val="2"/>
  </w:num>
  <w:num w:numId="30" w16cid:durableId="17003600">
    <w:abstractNumId w:val="23"/>
  </w:num>
  <w:num w:numId="31" w16cid:durableId="91172780">
    <w:abstractNumId w:val="37"/>
  </w:num>
  <w:num w:numId="32" w16cid:durableId="384380533">
    <w:abstractNumId w:val="22"/>
  </w:num>
  <w:num w:numId="33" w16cid:durableId="483471024">
    <w:abstractNumId w:val="10"/>
  </w:num>
  <w:num w:numId="34" w16cid:durableId="1169760287">
    <w:abstractNumId w:val="4"/>
  </w:num>
  <w:num w:numId="35" w16cid:durableId="308365014">
    <w:abstractNumId w:val="5"/>
  </w:num>
  <w:num w:numId="36" w16cid:durableId="1167358930">
    <w:abstractNumId w:val="38"/>
  </w:num>
  <w:num w:numId="37" w16cid:durableId="1647316387">
    <w:abstractNumId w:val="18"/>
  </w:num>
  <w:num w:numId="38" w16cid:durableId="394012840">
    <w:abstractNumId w:val="40"/>
  </w:num>
  <w:num w:numId="39" w16cid:durableId="2064867040">
    <w:abstractNumId w:val="41"/>
  </w:num>
  <w:num w:numId="40" w16cid:durableId="1948272140">
    <w:abstractNumId w:val="39"/>
  </w:num>
  <w:num w:numId="41" w16cid:durableId="949706868">
    <w:abstractNumId w:val="29"/>
  </w:num>
  <w:num w:numId="42" w16cid:durableId="1824467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44"/>
    <w:rsid w:val="000028DE"/>
    <w:rsid w:val="000037DB"/>
    <w:rsid w:val="00003E0C"/>
    <w:rsid w:val="000049D8"/>
    <w:rsid w:val="000055D5"/>
    <w:rsid w:val="00006179"/>
    <w:rsid w:val="000211D9"/>
    <w:rsid w:val="00023502"/>
    <w:rsid w:val="00024511"/>
    <w:rsid w:val="00027B03"/>
    <w:rsid w:val="000329F1"/>
    <w:rsid w:val="000431C1"/>
    <w:rsid w:val="0004425B"/>
    <w:rsid w:val="00047A67"/>
    <w:rsid w:val="00054682"/>
    <w:rsid w:val="00055027"/>
    <w:rsid w:val="000610DC"/>
    <w:rsid w:val="0007493E"/>
    <w:rsid w:val="000763F9"/>
    <w:rsid w:val="00080AEB"/>
    <w:rsid w:val="000830BC"/>
    <w:rsid w:val="000865BB"/>
    <w:rsid w:val="00087A3B"/>
    <w:rsid w:val="00092317"/>
    <w:rsid w:val="00093CC2"/>
    <w:rsid w:val="000A1C7A"/>
    <w:rsid w:val="000A5924"/>
    <w:rsid w:val="000A6CB1"/>
    <w:rsid w:val="000B1987"/>
    <w:rsid w:val="000B5584"/>
    <w:rsid w:val="000C0A23"/>
    <w:rsid w:val="000C2489"/>
    <w:rsid w:val="000C4098"/>
    <w:rsid w:val="000D15B3"/>
    <w:rsid w:val="000E35C1"/>
    <w:rsid w:val="000E6732"/>
    <w:rsid w:val="000F0213"/>
    <w:rsid w:val="000F5A4F"/>
    <w:rsid w:val="001035C4"/>
    <w:rsid w:val="00114A3C"/>
    <w:rsid w:val="001226BE"/>
    <w:rsid w:val="001261EE"/>
    <w:rsid w:val="001420B9"/>
    <w:rsid w:val="00146B52"/>
    <w:rsid w:val="00147E45"/>
    <w:rsid w:val="00162278"/>
    <w:rsid w:val="00162CB2"/>
    <w:rsid w:val="00170838"/>
    <w:rsid w:val="00170B3D"/>
    <w:rsid w:val="001751C7"/>
    <w:rsid w:val="001761B6"/>
    <w:rsid w:val="00181E37"/>
    <w:rsid w:val="00194574"/>
    <w:rsid w:val="001974BD"/>
    <w:rsid w:val="001A171B"/>
    <w:rsid w:val="001B0C93"/>
    <w:rsid w:val="001B1468"/>
    <w:rsid w:val="001B4F5C"/>
    <w:rsid w:val="001B604C"/>
    <w:rsid w:val="001C2DBB"/>
    <w:rsid w:val="001C7EA7"/>
    <w:rsid w:val="001D2E33"/>
    <w:rsid w:val="001D512D"/>
    <w:rsid w:val="001F283C"/>
    <w:rsid w:val="001F6BAB"/>
    <w:rsid w:val="001F6BB8"/>
    <w:rsid w:val="00205443"/>
    <w:rsid w:val="00221EE0"/>
    <w:rsid w:val="00224109"/>
    <w:rsid w:val="0024172C"/>
    <w:rsid w:val="00247DA7"/>
    <w:rsid w:val="00251E66"/>
    <w:rsid w:val="00252438"/>
    <w:rsid w:val="00264CFF"/>
    <w:rsid w:val="00266155"/>
    <w:rsid w:val="00270A8D"/>
    <w:rsid w:val="002727D9"/>
    <w:rsid w:val="00280FDB"/>
    <w:rsid w:val="002810BE"/>
    <w:rsid w:val="002825A7"/>
    <w:rsid w:val="002877B8"/>
    <w:rsid w:val="002906EA"/>
    <w:rsid w:val="00294410"/>
    <w:rsid w:val="0029560E"/>
    <w:rsid w:val="002A08F5"/>
    <w:rsid w:val="002A1E4A"/>
    <w:rsid w:val="002A30CF"/>
    <w:rsid w:val="002A3962"/>
    <w:rsid w:val="002A4A72"/>
    <w:rsid w:val="002A4EB3"/>
    <w:rsid w:val="002A7D24"/>
    <w:rsid w:val="002B00C1"/>
    <w:rsid w:val="002B3394"/>
    <w:rsid w:val="002B5A44"/>
    <w:rsid w:val="002D1101"/>
    <w:rsid w:val="002E34FF"/>
    <w:rsid w:val="002E4A29"/>
    <w:rsid w:val="002E7198"/>
    <w:rsid w:val="002E7383"/>
    <w:rsid w:val="002F045E"/>
    <w:rsid w:val="002F77FB"/>
    <w:rsid w:val="003000A2"/>
    <w:rsid w:val="00304FEE"/>
    <w:rsid w:val="00315437"/>
    <w:rsid w:val="00317502"/>
    <w:rsid w:val="003205F0"/>
    <w:rsid w:val="003212C8"/>
    <w:rsid w:val="00321770"/>
    <w:rsid w:val="0032663D"/>
    <w:rsid w:val="00331125"/>
    <w:rsid w:val="003320E8"/>
    <w:rsid w:val="003326DA"/>
    <w:rsid w:val="003511A4"/>
    <w:rsid w:val="00354BA2"/>
    <w:rsid w:val="00355300"/>
    <w:rsid w:val="0035630C"/>
    <w:rsid w:val="003623A8"/>
    <w:rsid w:val="00365D95"/>
    <w:rsid w:val="00367CD9"/>
    <w:rsid w:val="003707C9"/>
    <w:rsid w:val="00370DF0"/>
    <w:rsid w:val="003738E8"/>
    <w:rsid w:val="003914E4"/>
    <w:rsid w:val="00392F25"/>
    <w:rsid w:val="003A5102"/>
    <w:rsid w:val="003B0EB8"/>
    <w:rsid w:val="003B1BF9"/>
    <w:rsid w:val="003B36CC"/>
    <w:rsid w:val="003B6256"/>
    <w:rsid w:val="003B67BD"/>
    <w:rsid w:val="003B6E55"/>
    <w:rsid w:val="003C1C1E"/>
    <w:rsid w:val="003C350D"/>
    <w:rsid w:val="003E0A4D"/>
    <w:rsid w:val="003E0CB3"/>
    <w:rsid w:val="003E18E7"/>
    <w:rsid w:val="003E577E"/>
    <w:rsid w:val="003E5F6D"/>
    <w:rsid w:val="003F1DA7"/>
    <w:rsid w:val="003F60A3"/>
    <w:rsid w:val="00407C78"/>
    <w:rsid w:val="0041166C"/>
    <w:rsid w:val="0041685E"/>
    <w:rsid w:val="00420AAE"/>
    <w:rsid w:val="00421BA7"/>
    <w:rsid w:val="00436450"/>
    <w:rsid w:val="00454CA5"/>
    <w:rsid w:val="00460068"/>
    <w:rsid w:val="00466B60"/>
    <w:rsid w:val="00473E13"/>
    <w:rsid w:val="00481FF3"/>
    <w:rsid w:val="00487EE7"/>
    <w:rsid w:val="00491517"/>
    <w:rsid w:val="004960F0"/>
    <w:rsid w:val="004971AD"/>
    <w:rsid w:val="004A0D61"/>
    <w:rsid w:val="004B07EB"/>
    <w:rsid w:val="004B1518"/>
    <w:rsid w:val="004B6D02"/>
    <w:rsid w:val="004C5864"/>
    <w:rsid w:val="004D0425"/>
    <w:rsid w:val="004D54A4"/>
    <w:rsid w:val="004E644A"/>
    <w:rsid w:val="004E7BB6"/>
    <w:rsid w:val="004E7F4A"/>
    <w:rsid w:val="004F11FB"/>
    <w:rsid w:val="004F1B13"/>
    <w:rsid w:val="004F6428"/>
    <w:rsid w:val="005219DD"/>
    <w:rsid w:val="005352AF"/>
    <w:rsid w:val="005406FF"/>
    <w:rsid w:val="005414D1"/>
    <w:rsid w:val="00542926"/>
    <w:rsid w:val="005451FC"/>
    <w:rsid w:val="00547646"/>
    <w:rsid w:val="005535E1"/>
    <w:rsid w:val="005551C2"/>
    <w:rsid w:val="005567A4"/>
    <w:rsid w:val="005615AE"/>
    <w:rsid w:val="0056434A"/>
    <w:rsid w:val="005712F7"/>
    <w:rsid w:val="00581E35"/>
    <w:rsid w:val="00583A43"/>
    <w:rsid w:val="00583A50"/>
    <w:rsid w:val="00595AD4"/>
    <w:rsid w:val="00597BFD"/>
    <w:rsid w:val="005A08B9"/>
    <w:rsid w:val="005A55D9"/>
    <w:rsid w:val="005A673F"/>
    <w:rsid w:val="005B67C6"/>
    <w:rsid w:val="005B7080"/>
    <w:rsid w:val="005B79E9"/>
    <w:rsid w:val="005C3EED"/>
    <w:rsid w:val="005C6E69"/>
    <w:rsid w:val="005C72BD"/>
    <w:rsid w:val="005D0395"/>
    <w:rsid w:val="005D51B7"/>
    <w:rsid w:val="005D7255"/>
    <w:rsid w:val="005E0B5D"/>
    <w:rsid w:val="005E143C"/>
    <w:rsid w:val="005E1A20"/>
    <w:rsid w:val="005E2239"/>
    <w:rsid w:val="005E3C85"/>
    <w:rsid w:val="005F4183"/>
    <w:rsid w:val="005F41D2"/>
    <w:rsid w:val="005F4DBB"/>
    <w:rsid w:val="005F6705"/>
    <w:rsid w:val="00601D88"/>
    <w:rsid w:val="0060257F"/>
    <w:rsid w:val="006070FB"/>
    <w:rsid w:val="00614DE7"/>
    <w:rsid w:val="00621644"/>
    <w:rsid w:val="006268D3"/>
    <w:rsid w:val="006328D8"/>
    <w:rsid w:val="00634FD1"/>
    <w:rsid w:val="0063606D"/>
    <w:rsid w:val="00642EFF"/>
    <w:rsid w:val="00645E03"/>
    <w:rsid w:val="00645ED7"/>
    <w:rsid w:val="00651307"/>
    <w:rsid w:val="00651B83"/>
    <w:rsid w:val="00654738"/>
    <w:rsid w:val="006547BC"/>
    <w:rsid w:val="006567D0"/>
    <w:rsid w:val="00660515"/>
    <w:rsid w:val="00665901"/>
    <w:rsid w:val="00670391"/>
    <w:rsid w:val="00670C4D"/>
    <w:rsid w:val="00683344"/>
    <w:rsid w:val="00685477"/>
    <w:rsid w:val="00696B0B"/>
    <w:rsid w:val="006A4362"/>
    <w:rsid w:val="006A7837"/>
    <w:rsid w:val="006B00A4"/>
    <w:rsid w:val="006B245B"/>
    <w:rsid w:val="006B2718"/>
    <w:rsid w:val="006B71B3"/>
    <w:rsid w:val="006B776D"/>
    <w:rsid w:val="006C10E7"/>
    <w:rsid w:val="006C5849"/>
    <w:rsid w:val="006D1BAB"/>
    <w:rsid w:val="006D5140"/>
    <w:rsid w:val="006D5856"/>
    <w:rsid w:val="006E36AF"/>
    <w:rsid w:val="006E7E89"/>
    <w:rsid w:val="006F0720"/>
    <w:rsid w:val="006F2AD6"/>
    <w:rsid w:val="006F656B"/>
    <w:rsid w:val="00707DFA"/>
    <w:rsid w:val="00713826"/>
    <w:rsid w:val="00715D47"/>
    <w:rsid w:val="007169D3"/>
    <w:rsid w:val="00716BAA"/>
    <w:rsid w:val="00722DF6"/>
    <w:rsid w:val="00726E18"/>
    <w:rsid w:val="0072754E"/>
    <w:rsid w:val="00731CC2"/>
    <w:rsid w:val="00733225"/>
    <w:rsid w:val="00737251"/>
    <w:rsid w:val="007509BE"/>
    <w:rsid w:val="0075495A"/>
    <w:rsid w:val="007555E6"/>
    <w:rsid w:val="00760724"/>
    <w:rsid w:val="00762176"/>
    <w:rsid w:val="00762A1B"/>
    <w:rsid w:val="007665B9"/>
    <w:rsid w:val="00767180"/>
    <w:rsid w:val="007721F2"/>
    <w:rsid w:val="007757F5"/>
    <w:rsid w:val="007851E0"/>
    <w:rsid w:val="00790F67"/>
    <w:rsid w:val="00794318"/>
    <w:rsid w:val="007A1E21"/>
    <w:rsid w:val="007A5476"/>
    <w:rsid w:val="007A6F10"/>
    <w:rsid w:val="007C0552"/>
    <w:rsid w:val="007C114C"/>
    <w:rsid w:val="007C3FDA"/>
    <w:rsid w:val="007D0FAB"/>
    <w:rsid w:val="007D7B0D"/>
    <w:rsid w:val="007E6763"/>
    <w:rsid w:val="007F4E1C"/>
    <w:rsid w:val="007F6931"/>
    <w:rsid w:val="00804DF6"/>
    <w:rsid w:val="008058AB"/>
    <w:rsid w:val="00805A9A"/>
    <w:rsid w:val="008106AB"/>
    <w:rsid w:val="00811BC4"/>
    <w:rsid w:val="008126E7"/>
    <w:rsid w:val="008140D1"/>
    <w:rsid w:val="0081744E"/>
    <w:rsid w:val="00823AB3"/>
    <w:rsid w:val="00825D4A"/>
    <w:rsid w:val="00833F46"/>
    <w:rsid w:val="008401CC"/>
    <w:rsid w:val="00842B44"/>
    <w:rsid w:val="00844F69"/>
    <w:rsid w:val="00846A62"/>
    <w:rsid w:val="00871732"/>
    <w:rsid w:val="00876FFF"/>
    <w:rsid w:val="00881826"/>
    <w:rsid w:val="00884A84"/>
    <w:rsid w:val="00890F4D"/>
    <w:rsid w:val="00892602"/>
    <w:rsid w:val="008958EB"/>
    <w:rsid w:val="008A062B"/>
    <w:rsid w:val="008A3ADB"/>
    <w:rsid w:val="008A3C98"/>
    <w:rsid w:val="008A4B19"/>
    <w:rsid w:val="008A5EB3"/>
    <w:rsid w:val="008A6C65"/>
    <w:rsid w:val="008B2960"/>
    <w:rsid w:val="008B4839"/>
    <w:rsid w:val="008B6C28"/>
    <w:rsid w:val="008C04BF"/>
    <w:rsid w:val="008C31C7"/>
    <w:rsid w:val="008C456D"/>
    <w:rsid w:val="008C4634"/>
    <w:rsid w:val="008E77A9"/>
    <w:rsid w:val="008F0990"/>
    <w:rsid w:val="008F4337"/>
    <w:rsid w:val="0090095F"/>
    <w:rsid w:val="009019E6"/>
    <w:rsid w:val="00902097"/>
    <w:rsid w:val="00904459"/>
    <w:rsid w:val="00907641"/>
    <w:rsid w:val="0091034C"/>
    <w:rsid w:val="00914DDC"/>
    <w:rsid w:val="00915153"/>
    <w:rsid w:val="00921A23"/>
    <w:rsid w:val="00921AD6"/>
    <w:rsid w:val="00926162"/>
    <w:rsid w:val="009469FB"/>
    <w:rsid w:val="00963C65"/>
    <w:rsid w:val="0096514A"/>
    <w:rsid w:val="00975E60"/>
    <w:rsid w:val="009801EB"/>
    <w:rsid w:val="0098720A"/>
    <w:rsid w:val="00992B30"/>
    <w:rsid w:val="0099346C"/>
    <w:rsid w:val="00994CD9"/>
    <w:rsid w:val="00997590"/>
    <w:rsid w:val="009A4243"/>
    <w:rsid w:val="009A65B9"/>
    <w:rsid w:val="009A7994"/>
    <w:rsid w:val="009B0F63"/>
    <w:rsid w:val="009B22C8"/>
    <w:rsid w:val="009B2B04"/>
    <w:rsid w:val="009C135B"/>
    <w:rsid w:val="009C1BFE"/>
    <w:rsid w:val="009C4BB8"/>
    <w:rsid w:val="009C718C"/>
    <w:rsid w:val="009D1967"/>
    <w:rsid w:val="009D1E6B"/>
    <w:rsid w:val="009D4345"/>
    <w:rsid w:val="009E29CC"/>
    <w:rsid w:val="009E3F5A"/>
    <w:rsid w:val="009E7DA9"/>
    <w:rsid w:val="00A01FB6"/>
    <w:rsid w:val="00A02029"/>
    <w:rsid w:val="00A021BB"/>
    <w:rsid w:val="00A0334D"/>
    <w:rsid w:val="00A042A4"/>
    <w:rsid w:val="00A113F8"/>
    <w:rsid w:val="00A1182D"/>
    <w:rsid w:val="00A163C2"/>
    <w:rsid w:val="00A36B92"/>
    <w:rsid w:val="00A36C6E"/>
    <w:rsid w:val="00A51CE3"/>
    <w:rsid w:val="00A54BC1"/>
    <w:rsid w:val="00A6787B"/>
    <w:rsid w:val="00A729CB"/>
    <w:rsid w:val="00A77342"/>
    <w:rsid w:val="00A80879"/>
    <w:rsid w:val="00A90FD3"/>
    <w:rsid w:val="00A913FB"/>
    <w:rsid w:val="00A930CC"/>
    <w:rsid w:val="00A93225"/>
    <w:rsid w:val="00A942A2"/>
    <w:rsid w:val="00AB1500"/>
    <w:rsid w:val="00AB2024"/>
    <w:rsid w:val="00AB4A9B"/>
    <w:rsid w:val="00AB6665"/>
    <w:rsid w:val="00AB7331"/>
    <w:rsid w:val="00AC3225"/>
    <w:rsid w:val="00AC5121"/>
    <w:rsid w:val="00AC763F"/>
    <w:rsid w:val="00AD3840"/>
    <w:rsid w:val="00AD62B1"/>
    <w:rsid w:val="00AE7DC8"/>
    <w:rsid w:val="00AF5AE1"/>
    <w:rsid w:val="00AF6FE1"/>
    <w:rsid w:val="00B0250C"/>
    <w:rsid w:val="00B102BD"/>
    <w:rsid w:val="00B10565"/>
    <w:rsid w:val="00B1106F"/>
    <w:rsid w:val="00B12C51"/>
    <w:rsid w:val="00B26D2B"/>
    <w:rsid w:val="00B32EFF"/>
    <w:rsid w:val="00B34FCD"/>
    <w:rsid w:val="00B537A7"/>
    <w:rsid w:val="00B5399A"/>
    <w:rsid w:val="00B542F1"/>
    <w:rsid w:val="00B611DA"/>
    <w:rsid w:val="00B622CA"/>
    <w:rsid w:val="00B63367"/>
    <w:rsid w:val="00B641EE"/>
    <w:rsid w:val="00B647E9"/>
    <w:rsid w:val="00B770FD"/>
    <w:rsid w:val="00B77ADE"/>
    <w:rsid w:val="00B77BD5"/>
    <w:rsid w:val="00B95653"/>
    <w:rsid w:val="00BA220F"/>
    <w:rsid w:val="00BA35B2"/>
    <w:rsid w:val="00BA463B"/>
    <w:rsid w:val="00BA50FD"/>
    <w:rsid w:val="00BB518D"/>
    <w:rsid w:val="00BB51B7"/>
    <w:rsid w:val="00BB56B4"/>
    <w:rsid w:val="00BB6A69"/>
    <w:rsid w:val="00BB6B38"/>
    <w:rsid w:val="00BC2D99"/>
    <w:rsid w:val="00BD202F"/>
    <w:rsid w:val="00BE3CBC"/>
    <w:rsid w:val="00BE554D"/>
    <w:rsid w:val="00BF2EAE"/>
    <w:rsid w:val="00C048A6"/>
    <w:rsid w:val="00C11336"/>
    <w:rsid w:val="00C152EB"/>
    <w:rsid w:val="00C17CE5"/>
    <w:rsid w:val="00C30558"/>
    <w:rsid w:val="00C3194D"/>
    <w:rsid w:val="00C36B46"/>
    <w:rsid w:val="00C41B06"/>
    <w:rsid w:val="00C46F86"/>
    <w:rsid w:val="00C47C6D"/>
    <w:rsid w:val="00C64585"/>
    <w:rsid w:val="00C645A4"/>
    <w:rsid w:val="00C67A5D"/>
    <w:rsid w:val="00C813D3"/>
    <w:rsid w:val="00C86ED7"/>
    <w:rsid w:val="00CA51FA"/>
    <w:rsid w:val="00CA571A"/>
    <w:rsid w:val="00CC1301"/>
    <w:rsid w:val="00CC6C49"/>
    <w:rsid w:val="00CC6C52"/>
    <w:rsid w:val="00CE4764"/>
    <w:rsid w:val="00CF4785"/>
    <w:rsid w:val="00CF51B4"/>
    <w:rsid w:val="00CF787F"/>
    <w:rsid w:val="00D03FAF"/>
    <w:rsid w:val="00D152F4"/>
    <w:rsid w:val="00D16219"/>
    <w:rsid w:val="00D227D0"/>
    <w:rsid w:val="00D22C69"/>
    <w:rsid w:val="00D36A41"/>
    <w:rsid w:val="00D42E72"/>
    <w:rsid w:val="00D46CF1"/>
    <w:rsid w:val="00D62D5B"/>
    <w:rsid w:val="00D667ED"/>
    <w:rsid w:val="00D67925"/>
    <w:rsid w:val="00D74AD3"/>
    <w:rsid w:val="00D8095E"/>
    <w:rsid w:val="00D80A03"/>
    <w:rsid w:val="00D81F2D"/>
    <w:rsid w:val="00D93039"/>
    <w:rsid w:val="00D93D3F"/>
    <w:rsid w:val="00D97DB2"/>
    <w:rsid w:val="00DA1C0C"/>
    <w:rsid w:val="00DA1D45"/>
    <w:rsid w:val="00DA35F6"/>
    <w:rsid w:val="00DA3A3C"/>
    <w:rsid w:val="00DB0296"/>
    <w:rsid w:val="00DB1C63"/>
    <w:rsid w:val="00DB1D4B"/>
    <w:rsid w:val="00DC150F"/>
    <w:rsid w:val="00DD1729"/>
    <w:rsid w:val="00DD1CE3"/>
    <w:rsid w:val="00DD280A"/>
    <w:rsid w:val="00DE3873"/>
    <w:rsid w:val="00DE3906"/>
    <w:rsid w:val="00DE3BAF"/>
    <w:rsid w:val="00DF418A"/>
    <w:rsid w:val="00DF4426"/>
    <w:rsid w:val="00DF680F"/>
    <w:rsid w:val="00E030AC"/>
    <w:rsid w:val="00E07F34"/>
    <w:rsid w:val="00E11724"/>
    <w:rsid w:val="00E157CB"/>
    <w:rsid w:val="00E265DA"/>
    <w:rsid w:val="00E27EE1"/>
    <w:rsid w:val="00E32312"/>
    <w:rsid w:val="00E35CE4"/>
    <w:rsid w:val="00E36C4E"/>
    <w:rsid w:val="00E40916"/>
    <w:rsid w:val="00E46667"/>
    <w:rsid w:val="00E46DC3"/>
    <w:rsid w:val="00E52087"/>
    <w:rsid w:val="00E52BB2"/>
    <w:rsid w:val="00E62E01"/>
    <w:rsid w:val="00E62FF3"/>
    <w:rsid w:val="00E70975"/>
    <w:rsid w:val="00E716CE"/>
    <w:rsid w:val="00E72774"/>
    <w:rsid w:val="00E73F3C"/>
    <w:rsid w:val="00E91544"/>
    <w:rsid w:val="00E96F11"/>
    <w:rsid w:val="00EA2D01"/>
    <w:rsid w:val="00EA452C"/>
    <w:rsid w:val="00EA6553"/>
    <w:rsid w:val="00EB062B"/>
    <w:rsid w:val="00EB2E93"/>
    <w:rsid w:val="00EB4B88"/>
    <w:rsid w:val="00EB529C"/>
    <w:rsid w:val="00EB7082"/>
    <w:rsid w:val="00EC1312"/>
    <w:rsid w:val="00EC2DCC"/>
    <w:rsid w:val="00EC71D0"/>
    <w:rsid w:val="00ED4E52"/>
    <w:rsid w:val="00EE113E"/>
    <w:rsid w:val="00EF08B2"/>
    <w:rsid w:val="00EF5350"/>
    <w:rsid w:val="00EF6117"/>
    <w:rsid w:val="00F01285"/>
    <w:rsid w:val="00F12861"/>
    <w:rsid w:val="00F16431"/>
    <w:rsid w:val="00F1745D"/>
    <w:rsid w:val="00F17FE5"/>
    <w:rsid w:val="00F20180"/>
    <w:rsid w:val="00F23A1E"/>
    <w:rsid w:val="00F25965"/>
    <w:rsid w:val="00F27FB9"/>
    <w:rsid w:val="00F32718"/>
    <w:rsid w:val="00F4461C"/>
    <w:rsid w:val="00F468DA"/>
    <w:rsid w:val="00F47725"/>
    <w:rsid w:val="00F54D41"/>
    <w:rsid w:val="00F5534B"/>
    <w:rsid w:val="00F65D9F"/>
    <w:rsid w:val="00F70BE3"/>
    <w:rsid w:val="00F8063E"/>
    <w:rsid w:val="00F85198"/>
    <w:rsid w:val="00F90A68"/>
    <w:rsid w:val="00F911EC"/>
    <w:rsid w:val="00F9648A"/>
    <w:rsid w:val="00F97848"/>
    <w:rsid w:val="00FA1F63"/>
    <w:rsid w:val="00FA32AE"/>
    <w:rsid w:val="00FB12E3"/>
    <w:rsid w:val="00FC069E"/>
    <w:rsid w:val="00FC4E10"/>
    <w:rsid w:val="00FD4DC5"/>
    <w:rsid w:val="00FD5B10"/>
    <w:rsid w:val="00FE0C1F"/>
    <w:rsid w:val="00FE15F0"/>
    <w:rsid w:val="00FE3036"/>
    <w:rsid w:val="00FE4513"/>
    <w:rsid w:val="00FE7BDD"/>
    <w:rsid w:val="00FE7E6C"/>
    <w:rsid w:val="00FF1854"/>
    <w:rsid w:val="14EA57FE"/>
    <w:rsid w:val="1686285F"/>
    <w:rsid w:val="3E931EA4"/>
    <w:rsid w:val="6C4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34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List Paragraph11,List Paragraph2"/>
    <w:basedOn w:val="Normal"/>
    <w:link w:val="ListParagraphChar"/>
    <w:uiPriority w:val="34"/>
    <w:qFormat/>
    <w:rsid w:val="00842B44"/>
    <w:pPr>
      <w:ind w:left="720"/>
      <w:contextualSpacing/>
    </w:pPr>
  </w:style>
  <w:style w:type="character" w:styleId="Hyperlink">
    <w:name w:val="Hyperlink"/>
    <w:uiPriority w:val="99"/>
    <w:unhideWhenUsed/>
    <w:rsid w:val="00842B44"/>
    <w:rPr>
      <w:color w:val="0563C1"/>
      <w:u w:val="single"/>
    </w:rPr>
  </w:style>
  <w:style w:type="paragraph" w:styleId="NoSpacing">
    <w:name w:val="No Spacing"/>
    <w:link w:val="NoSpacingChar"/>
    <w:uiPriority w:val="1"/>
    <w:qFormat/>
    <w:rsid w:val="00842B44"/>
    <w:pPr>
      <w:spacing w:after="0" w:line="240" w:lineRule="auto"/>
    </w:pPr>
    <w:rPr>
      <w:rFonts w:ascii="Calibri" w:eastAsia="Calibri" w:hAnsi="Calibri" w:cs="Times New Roman"/>
      <w:lang w:val="pt-BR"/>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842B44"/>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842B44"/>
    <w:rPr>
      <w:sz w:val="20"/>
      <w:szCs w:val="20"/>
      <w:lang w:val="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842B44"/>
    <w:rPr>
      <w:vertAlign w:val="superscript"/>
    </w:rPr>
  </w:style>
  <w:style w:type="paragraph" w:customStyle="1" w:styleId="Appelnotedebasde">
    <w:name w:val="Appel note de bas de..."/>
    <w:basedOn w:val="Normal"/>
    <w:link w:val="FootnoteReference"/>
    <w:uiPriority w:val="99"/>
    <w:rsid w:val="00842B44"/>
    <w:pPr>
      <w:spacing w:line="240" w:lineRule="exact"/>
    </w:pPr>
    <w:rPr>
      <w:vertAlign w:val="superscript"/>
      <w:lang w:val="es-CO"/>
    </w:rPr>
  </w:style>
  <w:style w:type="character" w:customStyle="1" w:styleId="ListParagraphChar">
    <w:name w:val="List Paragraph Char"/>
    <w:aliases w:val="Párrafo de lista1 Char,List Paragraph1 Char,List Paragraph11 Char,List Paragraph2 Char"/>
    <w:link w:val="ListParagraph"/>
    <w:uiPriority w:val="34"/>
    <w:locked/>
    <w:rsid w:val="00842B44"/>
    <w:rPr>
      <w:lang w:val="en-US"/>
    </w:rPr>
  </w:style>
  <w:style w:type="paragraph" w:styleId="Header">
    <w:name w:val="header"/>
    <w:basedOn w:val="Normal"/>
    <w:link w:val="HeaderChar"/>
    <w:uiPriority w:val="99"/>
    <w:unhideWhenUsed/>
    <w:rsid w:val="00842B44"/>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2B44"/>
    <w:rPr>
      <w:lang w:val="en-US"/>
    </w:rPr>
  </w:style>
  <w:style w:type="paragraph" w:styleId="Footer">
    <w:name w:val="footer"/>
    <w:basedOn w:val="Normal"/>
    <w:link w:val="FooterChar"/>
    <w:uiPriority w:val="99"/>
    <w:unhideWhenUsed/>
    <w:rsid w:val="00842B44"/>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2B44"/>
    <w:rPr>
      <w:lang w:val="en-US"/>
    </w:rPr>
  </w:style>
  <w:style w:type="character" w:customStyle="1" w:styleId="normaltextrun">
    <w:name w:val="normaltextrun"/>
    <w:basedOn w:val="DefaultParagraphFont"/>
    <w:rsid w:val="00FE0C1F"/>
  </w:style>
  <w:style w:type="paragraph" w:customStyle="1" w:styleId="paragraph">
    <w:name w:val="paragraph"/>
    <w:basedOn w:val="Normal"/>
    <w:rsid w:val="002524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52438"/>
  </w:style>
  <w:style w:type="character" w:customStyle="1" w:styleId="superscript">
    <w:name w:val="superscript"/>
    <w:basedOn w:val="DefaultParagraphFont"/>
    <w:rsid w:val="00B537A7"/>
  </w:style>
  <w:style w:type="character" w:styleId="CommentReference">
    <w:name w:val="annotation reference"/>
    <w:basedOn w:val="DefaultParagraphFont"/>
    <w:uiPriority w:val="99"/>
    <w:semiHidden/>
    <w:unhideWhenUsed/>
    <w:rsid w:val="009C1BFE"/>
    <w:rPr>
      <w:sz w:val="16"/>
      <w:szCs w:val="16"/>
    </w:rPr>
  </w:style>
  <w:style w:type="paragraph" w:styleId="CommentText">
    <w:name w:val="annotation text"/>
    <w:basedOn w:val="Normal"/>
    <w:link w:val="CommentTextChar"/>
    <w:uiPriority w:val="99"/>
    <w:unhideWhenUsed/>
    <w:rsid w:val="009C1BFE"/>
    <w:pPr>
      <w:spacing w:line="240" w:lineRule="auto"/>
    </w:pPr>
    <w:rPr>
      <w:sz w:val="20"/>
      <w:szCs w:val="20"/>
    </w:rPr>
  </w:style>
  <w:style w:type="character" w:customStyle="1" w:styleId="CommentTextChar">
    <w:name w:val="Comment Text Char"/>
    <w:basedOn w:val="DefaultParagraphFont"/>
    <w:link w:val="CommentText"/>
    <w:uiPriority w:val="99"/>
    <w:rsid w:val="009C1BFE"/>
    <w:rPr>
      <w:sz w:val="20"/>
      <w:szCs w:val="20"/>
      <w:lang w:val="en-US"/>
    </w:rPr>
  </w:style>
  <w:style w:type="paragraph" w:styleId="CommentSubject">
    <w:name w:val="annotation subject"/>
    <w:basedOn w:val="CommentText"/>
    <w:next w:val="CommentText"/>
    <w:link w:val="CommentSubjectChar"/>
    <w:uiPriority w:val="99"/>
    <w:semiHidden/>
    <w:unhideWhenUsed/>
    <w:rsid w:val="009C1BFE"/>
    <w:rPr>
      <w:b/>
      <w:bCs/>
    </w:rPr>
  </w:style>
  <w:style w:type="character" w:customStyle="1" w:styleId="CommentSubjectChar">
    <w:name w:val="Comment Subject Char"/>
    <w:basedOn w:val="CommentTextChar"/>
    <w:link w:val="CommentSubject"/>
    <w:uiPriority w:val="99"/>
    <w:semiHidden/>
    <w:rsid w:val="009C1BFE"/>
    <w:rPr>
      <w:b/>
      <w:bCs/>
      <w:sz w:val="20"/>
      <w:szCs w:val="20"/>
      <w:lang w:val="en-US"/>
    </w:rPr>
  </w:style>
  <w:style w:type="paragraph" w:customStyle="1" w:styleId="Default">
    <w:name w:val="Default"/>
    <w:rsid w:val="006D5140"/>
    <w:pPr>
      <w:autoSpaceDE w:val="0"/>
      <w:autoSpaceDN w:val="0"/>
      <w:adjustRightInd w:val="0"/>
      <w:spacing w:after="0" w:line="240" w:lineRule="auto"/>
    </w:pPr>
    <w:rPr>
      <w:rFonts w:ascii="Arial" w:hAnsi="Arial" w:cs="Arial"/>
      <w:color w:val="000000"/>
      <w:sz w:val="24"/>
      <w:szCs w:val="24"/>
      <w:lang w:val="en-US"/>
    </w:rPr>
  </w:style>
  <w:style w:type="character" w:customStyle="1" w:styleId="NoSpacingChar">
    <w:name w:val="No Spacing Char"/>
    <w:link w:val="NoSpacing"/>
    <w:uiPriority w:val="1"/>
    <w:rsid w:val="00491517"/>
    <w:rPr>
      <w:rFonts w:ascii="Calibri" w:eastAsia="Calibri" w:hAnsi="Calibri" w:cs="Times New Roman"/>
      <w:lang w:val="pt-BR"/>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06089">
      <w:bodyDiv w:val="1"/>
      <w:marLeft w:val="0"/>
      <w:marRight w:val="0"/>
      <w:marTop w:val="0"/>
      <w:marBottom w:val="0"/>
      <w:divBdr>
        <w:top w:val="none" w:sz="0" w:space="0" w:color="auto"/>
        <w:left w:val="none" w:sz="0" w:space="0" w:color="auto"/>
        <w:bottom w:val="none" w:sz="0" w:space="0" w:color="auto"/>
        <w:right w:val="none" w:sz="0" w:space="0" w:color="auto"/>
      </w:divBdr>
      <w:divsChild>
        <w:div w:id="501237094">
          <w:marLeft w:val="0"/>
          <w:marRight w:val="0"/>
          <w:marTop w:val="0"/>
          <w:marBottom w:val="0"/>
          <w:divBdr>
            <w:top w:val="none" w:sz="0" w:space="0" w:color="auto"/>
            <w:left w:val="none" w:sz="0" w:space="0" w:color="auto"/>
            <w:bottom w:val="none" w:sz="0" w:space="0" w:color="auto"/>
            <w:right w:val="none" w:sz="0" w:space="0" w:color="auto"/>
          </w:divBdr>
        </w:div>
        <w:div w:id="1673755824">
          <w:marLeft w:val="0"/>
          <w:marRight w:val="0"/>
          <w:marTop w:val="0"/>
          <w:marBottom w:val="0"/>
          <w:divBdr>
            <w:top w:val="none" w:sz="0" w:space="0" w:color="auto"/>
            <w:left w:val="none" w:sz="0" w:space="0" w:color="auto"/>
            <w:bottom w:val="none" w:sz="0" w:space="0" w:color="auto"/>
            <w:right w:val="none" w:sz="0" w:space="0" w:color="auto"/>
          </w:divBdr>
        </w:div>
        <w:div w:id="258951156">
          <w:marLeft w:val="0"/>
          <w:marRight w:val="0"/>
          <w:marTop w:val="0"/>
          <w:marBottom w:val="0"/>
          <w:divBdr>
            <w:top w:val="none" w:sz="0" w:space="0" w:color="auto"/>
            <w:left w:val="none" w:sz="0" w:space="0" w:color="auto"/>
            <w:bottom w:val="none" w:sz="0" w:space="0" w:color="auto"/>
            <w:right w:val="none" w:sz="0" w:space="0" w:color="auto"/>
          </w:divBdr>
        </w:div>
        <w:div w:id="104347943">
          <w:marLeft w:val="0"/>
          <w:marRight w:val="0"/>
          <w:marTop w:val="0"/>
          <w:marBottom w:val="0"/>
          <w:divBdr>
            <w:top w:val="none" w:sz="0" w:space="0" w:color="auto"/>
            <w:left w:val="none" w:sz="0" w:space="0" w:color="auto"/>
            <w:bottom w:val="none" w:sz="0" w:space="0" w:color="auto"/>
            <w:right w:val="none" w:sz="0" w:space="0" w:color="auto"/>
          </w:divBdr>
        </w:div>
        <w:div w:id="177501224">
          <w:marLeft w:val="0"/>
          <w:marRight w:val="0"/>
          <w:marTop w:val="0"/>
          <w:marBottom w:val="0"/>
          <w:divBdr>
            <w:top w:val="none" w:sz="0" w:space="0" w:color="auto"/>
            <w:left w:val="none" w:sz="0" w:space="0" w:color="auto"/>
            <w:bottom w:val="none" w:sz="0" w:space="0" w:color="auto"/>
            <w:right w:val="none" w:sz="0" w:space="0" w:color="auto"/>
          </w:divBdr>
        </w:div>
        <w:div w:id="1283852432">
          <w:marLeft w:val="0"/>
          <w:marRight w:val="0"/>
          <w:marTop w:val="0"/>
          <w:marBottom w:val="0"/>
          <w:divBdr>
            <w:top w:val="none" w:sz="0" w:space="0" w:color="auto"/>
            <w:left w:val="none" w:sz="0" w:space="0" w:color="auto"/>
            <w:bottom w:val="none" w:sz="0" w:space="0" w:color="auto"/>
            <w:right w:val="none" w:sz="0" w:space="0" w:color="auto"/>
          </w:divBdr>
        </w:div>
        <w:div w:id="188106993">
          <w:marLeft w:val="0"/>
          <w:marRight w:val="0"/>
          <w:marTop w:val="0"/>
          <w:marBottom w:val="0"/>
          <w:divBdr>
            <w:top w:val="none" w:sz="0" w:space="0" w:color="auto"/>
            <w:left w:val="none" w:sz="0" w:space="0" w:color="auto"/>
            <w:bottom w:val="none" w:sz="0" w:space="0" w:color="auto"/>
            <w:right w:val="none" w:sz="0" w:space="0" w:color="auto"/>
          </w:divBdr>
        </w:div>
        <w:div w:id="1532836646">
          <w:marLeft w:val="0"/>
          <w:marRight w:val="0"/>
          <w:marTop w:val="0"/>
          <w:marBottom w:val="0"/>
          <w:divBdr>
            <w:top w:val="none" w:sz="0" w:space="0" w:color="auto"/>
            <w:left w:val="none" w:sz="0" w:space="0" w:color="auto"/>
            <w:bottom w:val="none" w:sz="0" w:space="0" w:color="auto"/>
            <w:right w:val="none" w:sz="0" w:space="0" w:color="auto"/>
          </w:divBdr>
        </w:div>
        <w:div w:id="862284613">
          <w:marLeft w:val="0"/>
          <w:marRight w:val="0"/>
          <w:marTop w:val="0"/>
          <w:marBottom w:val="0"/>
          <w:divBdr>
            <w:top w:val="none" w:sz="0" w:space="0" w:color="auto"/>
            <w:left w:val="none" w:sz="0" w:space="0" w:color="auto"/>
            <w:bottom w:val="none" w:sz="0" w:space="0" w:color="auto"/>
            <w:right w:val="none" w:sz="0" w:space="0" w:color="auto"/>
          </w:divBdr>
        </w:div>
      </w:divsChild>
    </w:div>
    <w:div w:id="1436512631">
      <w:bodyDiv w:val="1"/>
      <w:marLeft w:val="0"/>
      <w:marRight w:val="0"/>
      <w:marTop w:val="0"/>
      <w:marBottom w:val="0"/>
      <w:divBdr>
        <w:top w:val="none" w:sz="0" w:space="0" w:color="auto"/>
        <w:left w:val="none" w:sz="0" w:space="0" w:color="auto"/>
        <w:bottom w:val="none" w:sz="0" w:space="0" w:color="auto"/>
        <w:right w:val="none" w:sz="0" w:space="0" w:color="auto"/>
      </w:divBdr>
      <w:divsChild>
        <w:div w:id="33389105">
          <w:marLeft w:val="0"/>
          <w:marRight w:val="0"/>
          <w:marTop w:val="0"/>
          <w:marBottom w:val="0"/>
          <w:divBdr>
            <w:top w:val="none" w:sz="0" w:space="0" w:color="auto"/>
            <w:left w:val="none" w:sz="0" w:space="0" w:color="auto"/>
            <w:bottom w:val="none" w:sz="0" w:space="0" w:color="auto"/>
            <w:right w:val="none" w:sz="0" w:space="0" w:color="auto"/>
          </w:divBdr>
        </w:div>
        <w:div w:id="1614510611">
          <w:marLeft w:val="0"/>
          <w:marRight w:val="0"/>
          <w:marTop w:val="0"/>
          <w:marBottom w:val="0"/>
          <w:divBdr>
            <w:top w:val="none" w:sz="0" w:space="0" w:color="auto"/>
            <w:left w:val="none" w:sz="0" w:space="0" w:color="auto"/>
            <w:bottom w:val="none" w:sz="0" w:space="0" w:color="auto"/>
            <w:right w:val="none" w:sz="0" w:space="0" w:color="auto"/>
          </w:divBdr>
        </w:div>
        <w:div w:id="1203011316">
          <w:marLeft w:val="0"/>
          <w:marRight w:val="0"/>
          <w:marTop w:val="0"/>
          <w:marBottom w:val="0"/>
          <w:divBdr>
            <w:top w:val="none" w:sz="0" w:space="0" w:color="auto"/>
            <w:left w:val="none" w:sz="0" w:space="0" w:color="auto"/>
            <w:bottom w:val="none" w:sz="0" w:space="0" w:color="auto"/>
            <w:right w:val="none" w:sz="0" w:space="0" w:color="auto"/>
          </w:divBdr>
        </w:div>
        <w:div w:id="290328289">
          <w:marLeft w:val="0"/>
          <w:marRight w:val="0"/>
          <w:marTop w:val="0"/>
          <w:marBottom w:val="0"/>
          <w:divBdr>
            <w:top w:val="none" w:sz="0" w:space="0" w:color="auto"/>
            <w:left w:val="none" w:sz="0" w:space="0" w:color="auto"/>
            <w:bottom w:val="none" w:sz="0" w:space="0" w:color="auto"/>
            <w:right w:val="none" w:sz="0" w:space="0" w:color="auto"/>
          </w:divBdr>
        </w:div>
        <w:div w:id="1594822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1sp/Peru10247.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10sp/CAP.III.D.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33FB-1E09-4A9B-B8DD-D8B63623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21283</Words>
  <Characters>121314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2022-04-20T20:26:00Z</dcterms:created>
  <dcterms:modified xsi:type="dcterms:W3CDTF">2022-04-20T20:26:00Z</dcterms:modified>
</cp:coreProperties>
</file>