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7AA1" w14:textId="77777777" w:rsidR="00CA0A9E" w:rsidRPr="008244C7" w:rsidRDefault="00CA0A9E" w:rsidP="00CA0A9E">
      <w:pPr>
        <w:pStyle w:val="NoSpacing"/>
        <w:ind w:left="1440" w:hanging="720"/>
        <w:jc w:val="center"/>
        <w:rPr>
          <w:rFonts w:ascii="Cambria" w:hAnsi="Cambria"/>
          <w:b/>
          <w:color w:val="000000"/>
          <w:szCs w:val="20"/>
          <w:lang w:val="es-ES"/>
        </w:rPr>
      </w:pPr>
      <w:r w:rsidRPr="008244C7">
        <w:rPr>
          <w:rFonts w:ascii="Cambria" w:hAnsi="Cambria"/>
          <w:b/>
          <w:color w:val="000000"/>
          <w:szCs w:val="20"/>
          <w:lang w:val="es-ES"/>
        </w:rPr>
        <w:t xml:space="preserve">FICHA DE SEGUIMIENTO DEL INFORME </w:t>
      </w:r>
      <w:proofErr w:type="spellStart"/>
      <w:r w:rsidRPr="008244C7">
        <w:rPr>
          <w:rFonts w:ascii="Cambria" w:hAnsi="Cambria"/>
          <w:b/>
          <w:color w:val="000000"/>
          <w:szCs w:val="20"/>
          <w:lang w:val="es-ES"/>
        </w:rPr>
        <w:t>Nº</w:t>
      </w:r>
      <w:proofErr w:type="spellEnd"/>
      <w:r w:rsidRPr="008244C7">
        <w:rPr>
          <w:rFonts w:ascii="Cambria" w:hAnsi="Cambria"/>
          <w:b/>
          <w:color w:val="000000"/>
          <w:szCs w:val="20"/>
          <w:lang w:val="es-ES"/>
        </w:rPr>
        <w:t xml:space="preserve"> 66/12</w:t>
      </w:r>
    </w:p>
    <w:p w14:paraId="6E503CD1" w14:textId="77777777" w:rsidR="00CA0A9E" w:rsidRPr="008244C7" w:rsidRDefault="00CA0A9E" w:rsidP="00CA0A9E">
      <w:pPr>
        <w:pStyle w:val="NoSpacing"/>
        <w:ind w:left="1440" w:hanging="720"/>
        <w:jc w:val="center"/>
        <w:rPr>
          <w:rFonts w:ascii="Cambria" w:hAnsi="Cambria"/>
          <w:b/>
          <w:color w:val="000000"/>
          <w:szCs w:val="20"/>
          <w:lang w:val="es-ES"/>
        </w:rPr>
      </w:pPr>
      <w:r w:rsidRPr="008244C7">
        <w:rPr>
          <w:rFonts w:ascii="Cambria" w:hAnsi="Cambria"/>
          <w:b/>
          <w:color w:val="000000"/>
          <w:szCs w:val="20"/>
          <w:lang w:val="es-ES"/>
        </w:rPr>
        <w:t>CASO 12.324</w:t>
      </w:r>
    </w:p>
    <w:p w14:paraId="1739FEF6" w14:textId="77777777" w:rsidR="00CA0A9E" w:rsidRPr="008244C7" w:rsidRDefault="00CA0A9E" w:rsidP="00CA0A9E">
      <w:pPr>
        <w:pStyle w:val="NoSpacing"/>
        <w:ind w:left="1440" w:hanging="720"/>
        <w:jc w:val="center"/>
        <w:rPr>
          <w:rFonts w:ascii="Cambria" w:hAnsi="Cambria"/>
          <w:b/>
          <w:color w:val="000000"/>
          <w:szCs w:val="20"/>
          <w:lang w:val="es-ES"/>
        </w:rPr>
      </w:pPr>
      <w:r w:rsidRPr="008244C7">
        <w:rPr>
          <w:rFonts w:ascii="Cambria" w:hAnsi="Cambria"/>
          <w:b/>
          <w:color w:val="000000"/>
          <w:szCs w:val="20"/>
          <w:lang w:val="es-ES"/>
        </w:rPr>
        <w:t>RUBÉN LUIS GODOY</w:t>
      </w:r>
    </w:p>
    <w:p w14:paraId="26F6DF89" w14:textId="77777777" w:rsidR="00CA0A9E" w:rsidRPr="008244C7" w:rsidRDefault="00CA0A9E" w:rsidP="00CA0A9E">
      <w:pPr>
        <w:pStyle w:val="NoSpacing"/>
        <w:ind w:left="1440" w:hanging="720"/>
        <w:jc w:val="center"/>
        <w:rPr>
          <w:rFonts w:ascii="Cambria" w:hAnsi="Cambria"/>
          <w:b/>
          <w:color w:val="000000"/>
          <w:szCs w:val="20"/>
          <w:lang w:val="es-ES"/>
        </w:rPr>
      </w:pPr>
      <w:r w:rsidRPr="008244C7">
        <w:rPr>
          <w:rFonts w:ascii="Cambria" w:hAnsi="Cambria"/>
          <w:b/>
          <w:color w:val="000000"/>
          <w:szCs w:val="20"/>
          <w:lang w:val="es-ES"/>
        </w:rPr>
        <w:t>(Argentina)</w:t>
      </w:r>
    </w:p>
    <w:p w14:paraId="67EA5F23" w14:textId="77777777" w:rsidR="00CA0A9E" w:rsidRPr="008244C7" w:rsidRDefault="00CA0A9E" w:rsidP="00CA0A9E">
      <w:pPr>
        <w:pStyle w:val="NoSpacing"/>
        <w:jc w:val="both"/>
        <w:rPr>
          <w:rFonts w:ascii="Cambria" w:hAnsi="Cambria"/>
          <w:color w:val="000000"/>
          <w:sz w:val="20"/>
          <w:szCs w:val="20"/>
          <w:lang w:val="es-ES"/>
        </w:rPr>
      </w:pPr>
    </w:p>
    <w:p w14:paraId="2550AFC9" w14:textId="77777777" w:rsidR="00CA0A9E" w:rsidRPr="008244C7" w:rsidRDefault="00CA0A9E" w:rsidP="00C410E9">
      <w:pPr>
        <w:pStyle w:val="NoSpacing"/>
        <w:numPr>
          <w:ilvl w:val="0"/>
          <w:numId w:val="3"/>
        </w:numPr>
        <w:ind w:left="1440" w:hanging="720"/>
        <w:rPr>
          <w:rFonts w:ascii="Cambria" w:hAnsi="Cambria" w:cs="Calibri Light"/>
          <w:b/>
          <w:color w:val="000000"/>
          <w:sz w:val="20"/>
          <w:szCs w:val="20"/>
          <w:lang w:val="es-US"/>
        </w:rPr>
      </w:pPr>
      <w:r w:rsidRPr="008244C7">
        <w:rPr>
          <w:rFonts w:ascii="Cambria" w:hAnsi="Cambria" w:cs="Calibri Light"/>
          <w:b/>
          <w:color w:val="000000"/>
          <w:sz w:val="20"/>
          <w:szCs w:val="20"/>
          <w:lang w:val="es-US"/>
        </w:rPr>
        <w:t xml:space="preserve">Resumen del caso </w:t>
      </w:r>
    </w:p>
    <w:p w14:paraId="23748558" w14:textId="77777777" w:rsidR="00CA0A9E" w:rsidRPr="008244C7" w:rsidRDefault="00CA0A9E" w:rsidP="00CA0A9E">
      <w:pPr>
        <w:pStyle w:val="NoSpacing"/>
        <w:jc w:val="both"/>
        <w:rPr>
          <w:rFonts w:ascii="Cambria" w:hAnsi="Cambria" w:cs="Calibri Light"/>
          <w:color w:val="000000"/>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CA0A9E" w:rsidRPr="00F9764E" w14:paraId="64D5A19B" w14:textId="77777777" w:rsidTr="007C28B0">
        <w:trPr>
          <w:jc w:val="center"/>
        </w:trPr>
        <w:tc>
          <w:tcPr>
            <w:tcW w:w="9576" w:type="dxa"/>
            <w:shd w:val="clear" w:color="auto" w:fill="F2F2F2"/>
          </w:tcPr>
          <w:p w14:paraId="482C33D8" w14:textId="77777777" w:rsidR="00CA0A9E" w:rsidRPr="008244C7" w:rsidRDefault="00CA0A9E" w:rsidP="007C28B0">
            <w:pPr>
              <w:pStyle w:val="NoSpacing"/>
              <w:spacing w:before="120"/>
              <w:jc w:val="both"/>
              <w:rPr>
                <w:rFonts w:ascii="Cambria" w:hAnsi="Cambria"/>
                <w:color w:val="000000"/>
                <w:sz w:val="20"/>
                <w:szCs w:val="20"/>
                <w:lang w:val="es-ES"/>
              </w:rPr>
            </w:pPr>
            <w:r w:rsidRPr="008244C7">
              <w:rPr>
                <w:rFonts w:ascii="Cambria" w:hAnsi="Cambria"/>
                <w:b/>
                <w:color w:val="000000"/>
                <w:sz w:val="20"/>
                <w:szCs w:val="20"/>
                <w:lang w:val="es-ES"/>
              </w:rPr>
              <w:t>Víctima (s):</w:t>
            </w:r>
            <w:r w:rsidRPr="008244C7">
              <w:rPr>
                <w:rFonts w:ascii="Cambria" w:hAnsi="Cambria"/>
                <w:color w:val="000000"/>
                <w:sz w:val="20"/>
                <w:szCs w:val="20"/>
                <w:lang w:val="es-ES"/>
              </w:rPr>
              <w:t xml:space="preserve"> Rubén Luis Godoy</w:t>
            </w:r>
          </w:p>
          <w:p w14:paraId="62CDCC1E" w14:textId="77777777" w:rsidR="00CA0A9E" w:rsidRPr="008244C7" w:rsidRDefault="00CA0A9E" w:rsidP="007C28B0">
            <w:pPr>
              <w:pStyle w:val="NoSpacing"/>
              <w:jc w:val="both"/>
              <w:rPr>
                <w:rFonts w:ascii="Cambria" w:hAnsi="Cambria"/>
                <w:color w:val="000000"/>
                <w:sz w:val="20"/>
                <w:szCs w:val="20"/>
                <w:lang w:val="es-VE"/>
              </w:rPr>
            </w:pPr>
            <w:r w:rsidRPr="008244C7">
              <w:rPr>
                <w:rFonts w:ascii="Cambria" w:hAnsi="Cambria"/>
                <w:b/>
                <w:color w:val="000000"/>
                <w:sz w:val="20"/>
                <w:szCs w:val="20"/>
                <w:lang w:val="es-ES"/>
              </w:rPr>
              <w:t xml:space="preserve">Peticionario </w:t>
            </w:r>
            <w:r w:rsidRPr="008244C7">
              <w:rPr>
                <w:rFonts w:ascii="Cambria" w:hAnsi="Cambria"/>
                <w:b/>
                <w:color w:val="000000"/>
                <w:sz w:val="20"/>
                <w:szCs w:val="20"/>
                <w:lang w:val="es-VE"/>
              </w:rPr>
              <w:t>(s):</w:t>
            </w:r>
            <w:r w:rsidRPr="008244C7">
              <w:rPr>
                <w:rFonts w:ascii="Cambria" w:hAnsi="Cambria"/>
                <w:color w:val="000000"/>
                <w:sz w:val="20"/>
                <w:szCs w:val="20"/>
                <w:lang w:val="es-VE"/>
              </w:rPr>
              <w:t xml:space="preserve"> Guido Laman, Marcela J. de Luca, Sergio Di </w:t>
            </w:r>
            <w:proofErr w:type="spellStart"/>
            <w:r w:rsidRPr="008244C7">
              <w:rPr>
                <w:rFonts w:ascii="Cambria" w:hAnsi="Cambria"/>
                <w:color w:val="000000"/>
                <w:sz w:val="20"/>
                <w:szCs w:val="20"/>
                <w:lang w:val="es-VE"/>
              </w:rPr>
              <w:t>Gioia</w:t>
            </w:r>
            <w:proofErr w:type="spellEnd"/>
            <w:r w:rsidRPr="008244C7">
              <w:rPr>
                <w:rFonts w:ascii="Cambria" w:hAnsi="Cambria"/>
                <w:color w:val="000000"/>
                <w:sz w:val="20"/>
                <w:szCs w:val="20"/>
                <w:lang w:val="es-VE"/>
              </w:rPr>
              <w:t xml:space="preserve"> </w:t>
            </w:r>
          </w:p>
          <w:p w14:paraId="0C1C9543" w14:textId="77777777" w:rsidR="00CA0A9E" w:rsidRPr="008244C7" w:rsidRDefault="00CA0A9E" w:rsidP="007C28B0">
            <w:pPr>
              <w:pStyle w:val="NoSpacing"/>
              <w:jc w:val="both"/>
              <w:rPr>
                <w:rFonts w:ascii="Cambria" w:hAnsi="Cambria"/>
                <w:color w:val="000000"/>
                <w:sz w:val="20"/>
                <w:szCs w:val="20"/>
                <w:lang w:val="es-VE"/>
              </w:rPr>
            </w:pPr>
            <w:r w:rsidRPr="008244C7">
              <w:rPr>
                <w:rFonts w:ascii="Cambria" w:hAnsi="Cambria"/>
                <w:b/>
                <w:color w:val="000000"/>
                <w:sz w:val="20"/>
                <w:szCs w:val="20"/>
                <w:lang w:val="es-VE"/>
              </w:rPr>
              <w:t>Estado:</w:t>
            </w:r>
            <w:r w:rsidRPr="008244C7">
              <w:rPr>
                <w:rFonts w:ascii="Cambria" w:hAnsi="Cambria"/>
                <w:color w:val="000000"/>
                <w:sz w:val="20"/>
                <w:szCs w:val="20"/>
                <w:lang w:val="es-VE"/>
              </w:rPr>
              <w:t xml:space="preserve"> Argentina</w:t>
            </w:r>
          </w:p>
          <w:p w14:paraId="3F96D034" w14:textId="77777777" w:rsidR="00CA0A9E" w:rsidRPr="008244C7" w:rsidRDefault="00CA0A9E" w:rsidP="007C28B0">
            <w:pPr>
              <w:pStyle w:val="NoSpacing"/>
              <w:jc w:val="both"/>
              <w:rPr>
                <w:rFonts w:ascii="Cambria" w:hAnsi="Cambria"/>
                <w:color w:val="000000"/>
                <w:sz w:val="20"/>
                <w:szCs w:val="20"/>
                <w:lang w:val="es-VE"/>
              </w:rPr>
            </w:pPr>
            <w:r w:rsidRPr="008244C7">
              <w:rPr>
                <w:rFonts w:ascii="Cambria" w:hAnsi="Cambria"/>
                <w:b/>
                <w:color w:val="000000"/>
                <w:sz w:val="20"/>
                <w:szCs w:val="20"/>
                <w:lang w:val="es-VE"/>
              </w:rPr>
              <w:t xml:space="preserve">Informe de Fondo </w:t>
            </w:r>
            <w:proofErr w:type="spellStart"/>
            <w:r w:rsidRPr="008244C7">
              <w:rPr>
                <w:rFonts w:ascii="Cambria" w:hAnsi="Cambria"/>
                <w:b/>
                <w:color w:val="000000"/>
                <w:sz w:val="20"/>
                <w:szCs w:val="20"/>
                <w:lang w:val="es-VE"/>
              </w:rPr>
              <w:t>Nº</w:t>
            </w:r>
            <w:proofErr w:type="spellEnd"/>
            <w:r w:rsidRPr="008244C7">
              <w:rPr>
                <w:rFonts w:ascii="Cambria" w:hAnsi="Cambria"/>
                <w:b/>
                <w:color w:val="000000"/>
                <w:sz w:val="20"/>
                <w:szCs w:val="20"/>
                <w:lang w:val="es-VE"/>
              </w:rPr>
              <w:t xml:space="preserve">: </w:t>
            </w:r>
            <w:hyperlink r:id="rId8" w:history="1">
              <w:r w:rsidRPr="008244C7">
                <w:rPr>
                  <w:rStyle w:val="Hyperlink"/>
                  <w:rFonts w:ascii="Cambria" w:hAnsi="Cambria"/>
                  <w:color w:val="000000"/>
                  <w:sz w:val="20"/>
                  <w:szCs w:val="20"/>
                  <w:lang w:val="es-VE"/>
                </w:rPr>
                <w:t>66/12</w:t>
              </w:r>
            </w:hyperlink>
            <w:r w:rsidRPr="008244C7">
              <w:rPr>
                <w:rFonts w:ascii="Cambria" w:hAnsi="Cambria"/>
                <w:color w:val="000000"/>
                <w:sz w:val="20"/>
                <w:szCs w:val="20"/>
                <w:lang w:val="es-VE"/>
              </w:rPr>
              <w:t>, publicado el 29 de marzo de 2012</w:t>
            </w:r>
          </w:p>
          <w:p w14:paraId="17BE42D2" w14:textId="77777777" w:rsidR="00CA0A9E" w:rsidRPr="008244C7" w:rsidRDefault="00CA0A9E" w:rsidP="007C28B0">
            <w:pPr>
              <w:pStyle w:val="NoSpacing"/>
              <w:jc w:val="both"/>
              <w:rPr>
                <w:rFonts w:ascii="Cambria" w:hAnsi="Cambria"/>
                <w:color w:val="000000"/>
                <w:sz w:val="20"/>
                <w:szCs w:val="20"/>
                <w:lang w:val="es-VE"/>
              </w:rPr>
            </w:pPr>
            <w:r w:rsidRPr="008244C7">
              <w:rPr>
                <w:rFonts w:ascii="Cambria" w:hAnsi="Cambria"/>
                <w:b/>
                <w:color w:val="000000"/>
                <w:sz w:val="20"/>
                <w:szCs w:val="20"/>
                <w:lang w:val="es-VE"/>
              </w:rPr>
              <w:t xml:space="preserve">Informe de Admisibilidad </w:t>
            </w:r>
            <w:proofErr w:type="spellStart"/>
            <w:r w:rsidRPr="008244C7">
              <w:rPr>
                <w:rFonts w:ascii="Cambria" w:hAnsi="Cambria"/>
                <w:b/>
                <w:color w:val="000000"/>
                <w:sz w:val="20"/>
                <w:szCs w:val="20"/>
                <w:lang w:val="es-VE"/>
              </w:rPr>
              <w:t>Nº</w:t>
            </w:r>
            <w:proofErr w:type="spellEnd"/>
            <w:r w:rsidRPr="008244C7">
              <w:rPr>
                <w:rFonts w:ascii="Cambria" w:hAnsi="Cambria"/>
                <w:b/>
                <w:color w:val="000000"/>
                <w:sz w:val="20"/>
                <w:szCs w:val="20"/>
                <w:lang w:val="es-VE"/>
              </w:rPr>
              <w:t xml:space="preserve">: </w:t>
            </w:r>
            <w:hyperlink r:id="rId9" w:history="1">
              <w:r w:rsidRPr="008244C7">
                <w:rPr>
                  <w:rStyle w:val="Hyperlink"/>
                  <w:rFonts w:ascii="Cambria" w:hAnsi="Cambria"/>
                  <w:color w:val="000000"/>
                  <w:sz w:val="20"/>
                  <w:szCs w:val="20"/>
                  <w:lang w:val="es-VE"/>
                </w:rPr>
                <w:t>04/04</w:t>
              </w:r>
            </w:hyperlink>
            <w:r w:rsidRPr="008244C7">
              <w:rPr>
                <w:rFonts w:ascii="Cambria" w:hAnsi="Cambria"/>
                <w:color w:val="000000"/>
                <w:sz w:val="20"/>
                <w:szCs w:val="20"/>
                <w:lang w:val="es-VE"/>
              </w:rPr>
              <w:t xml:space="preserve">, </w:t>
            </w:r>
            <w:r w:rsidRPr="008244C7">
              <w:rPr>
                <w:rFonts w:ascii="Cambria" w:hAnsi="Cambria"/>
                <w:sz w:val="20"/>
                <w:szCs w:val="20"/>
                <w:lang w:val="es-VE"/>
              </w:rPr>
              <w:t xml:space="preserve">Publicada </w:t>
            </w:r>
            <w:r w:rsidRPr="008244C7">
              <w:rPr>
                <w:rFonts w:ascii="Cambria" w:hAnsi="Cambria"/>
                <w:color w:val="000000"/>
                <w:sz w:val="20"/>
                <w:szCs w:val="20"/>
                <w:lang w:val="es-VE"/>
              </w:rPr>
              <w:t xml:space="preserve">el </w:t>
            </w:r>
            <w:r w:rsidRPr="008244C7">
              <w:rPr>
                <w:rFonts w:ascii="Cambria" w:hAnsi="Cambria"/>
                <w:color w:val="000000"/>
                <w:sz w:val="20"/>
                <w:szCs w:val="20"/>
                <w:lang w:val="es-EC"/>
              </w:rPr>
              <w:t>24 de febrero de 2004</w:t>
            </w:r>
          </w:p>
          <w:p w14:paraId="7916234A" w14:textId="77777777" w:rsidR="00CA0A9E" w:rsidRPr="008244C7" w:rsidRDefault="00CA0A9E" w:rsidP="007C28B0">
            <w:pPr>
              <w:pStyle w:val="NoSpacing"/>
              <w:spacing w:after="120"/>
              <w:jc w:val="both"/>
              <w:rPr>
                <w:rFonts w:ascii="Cambria" w:hAnsi="Cambria"/>
                <w:color w:val="000000"/>
                <w:sz w:val="20"/>
                <w:szCs w:val="20"/>
                <w:lang w:val="es-CO"/>
              </w:rPr>
            </w:pPr>
            <w:r w:rsidRPr="008244C7">
              <w:rPr>
                <w:rFonts w:ascii="Cambria" w:hAnsi="Cambria"/>
                <w:b/>
                <w:color w:val="000000"/>
                <w:sz w:val="20"/>
                <w:szCs w:val="20"/>
                <w:lang w:val="es-VE"/>
              </w:rPr>
              <w:t>Temas:</w:t>
            </w:r>
            <w:r w:rsidRPr="008244C7">
              <w:rPr>
                <w:rFonts w:ascii="Cambria" w:hAnsi="Cambria"/>
                <w:color w:val="000000"/>
                <w:sz w:val="20"/>
                <w:szCs w:val="20"/>
                <w:lang w:val="es-VE"/>
              </w:rPr>
              <w:t xml:space="preserve"> </w:t>
            </w:r>
            <w:r w:rsidRPr="008244C7">
              <w:rPr>
                <w:rFonts w:ascii="Cambria" w:eastAsia="Times New Roman" w:hAnsi="Cambria" w:cs="Arial"/>
                <w:color w:val="000000"/>
                <w:sz w:val="20"/>
                <w:szCs w:val="20"/>
                <w:lang w:val="es-CO"/>
              </w:rPr>
              <w:t>Deber de Adoptar Medidas y Disposiciones de Derecho Interno</w:t>
            </w:r>
            <w:r w:rsidRPr="008244C7">
              <w:rPr>
                <w:rFonts w:ascii="Cambria" w:hAnsi="Cambria"/>
                <w:color w:val="000000"/>
                <w:sz w:val="20"/>
                <w:szCs w:val="20"/>
                <w:lang w:val="es-VE"/>
              </w:rPr>
              <w:t xml:space="preserve"> / </w:t>
            </w:r>
            <w:r w:rsidRPr="008244C7">
              <w:rPr>
                <w:rFonts w:ascii="Cambria" w:eastAsia="Times New Roman" w:hAnsi="Cambria" w:cs="Arial"/>
                <w:color w:val="000000"/>
                <w:sz w:val="20"/>
                <w:szCs w:val="20"/>
                <w:lang w:val="es-CO"/>
              </w:rPr>
              <w:t xml:space="preserve">Derecho a la Integridad Personal / </w:t>
            </w:r>
            <w:r w:rsidRPr="008244C7">
              <w:rPr>
                <w:rFonts w:ascii="Cambria" w:hAnsi="Cambria"/>
                <w:color w:val="000000"/>
                <w:sz w:val="20"/>
                <w:szCs w:val="20"/>
                <w:lang w:val="es-VE"/>
              </w:rPr>
              <w:t xml:space="preserve">Garantías judiciales / </w:t>
            </w:r>
            <w:r w:rsidRPr="008244C7">
              <w:rPr>
                <w:rFonts w:ascii="Cambria" w:eastAsia="Times New Roman" w:hAnsi="Cambria" w:cs="Arial"/>
                <w:color w:val="000000"/>
                <w:sz w:val="20"/>
                <w:szCs w:val="20"/>
                <w:lang w:val="es-CO"/>
              </w:rPr>
              <w:t>Presunción de Inocencia / Protección Judicial</w:t>
            </w:r>
            <w:r w:rsidRPr="008244C7">
              <w:rPr>
                <w:rFonts w:ascii="Cambria" w:hAnsi="Cambria"/>
                <w:color w:val="000000"/>
                <w:sz w:val="20"/>
                <w:szCs w:val="20"/>
                <w:lang w:val="es-VE"/>
              </w:rPr>
              <w:t xml:space="preserve"> / </w:t>
            </w:r>
            <w:r w:rsidRPr="008244C7">
              <w:rPr>
                <w:rFonts w:ascii="Cambria" w:eastAsia="Times New Roman" w:hAnsi="Cambria" w:cs="Arial"/>
                <w:color w:val="000000"/>
                <w:sz w:val="20"/>
                <w:szCs w:val="20"/>
                <w:lang w:val="es-CO"/>
              </w:rPr>
              <w:t xml:space="preserve">Tortura, Tratos Crueles, Inhumanos y/o Degradantes </w:t>
            </w:r>
          </w:p>
          <w:p w14:paraId="6154C624" w14:textId="77777777" w:rsidR="00CA0A9E" w:rsidRPr="008244C7" w:rsidRDefault="00CA0A9E" w:rsidP="007C28B0">
            <w:pPr>
              <w:pStyle w:val="NoSpacing"/>
              <w:spacing w:after="120"/>
              <w:jc w:val="both"/>
              <w:rPr>
                <w:rFonts w:ascii="Cambria" w:hAnsi="Cambria"/>
                <w:color w:val="000000"/>
                <w:sz w:val="20"/>
                <w:szCs w:val="20"/>
                <w:lang w:val="es-ES"/>
              </w:rPr>
            </w:pPr>
            <w:r w:rsidRPr="008244C7">
              <w:rPr>
                <w:rFonts w:ascii="Cambria" w:hAnsi="Cambria"/>
                <w:b/>
                <w:color w:val="000000"/>
                <w:sz w:val="20"/>
                <w:szCs w:val="20"/>
                <w:lang w:val="es-ES"/>
              </w:rPr>
              <w:t>Hechos:</w:t>
            </w:r>
            <w:r w:rsidRPr="008244C7">
              <w:rPr>
                <w:rFonts w:ascii="Cambria" w:hAnsi="Cambria"/>
                <w:color w:val="000000"/>
                <w:sz w:val="20"/>
                <w:szCs w:val="20"/>
                <w:lang w:val="es-ES"/>
              </w:rPr>
              <w:t xml:space="preserve"> El caso se refiere a la condena del señor Rubén Luis Godoy a la pena de prisión perpetua y al pago de una indemnización de noventa mil pesos el 22 de diciembre de 1994, como autor de los delitos de tentativa de violación y homicidio calificado en concurso real, en un proceso en que se habían violado sus garantías judiciales. En particular, el señor Godoy fue coaccionado para extraer una confesión falsa, la cual fue determinante en la sentencia condenatoria. Pese a que estos hechos fueron denunciados al tribunal, éste no inició una investigación, y el señor Godoy no tuvo acceso a un recurso que revisara su sentencia condenatoria. </w:t>
            </w:r>
          </w:p>
          <w:p w14:paraId="0C424173" w14:textId="77777777" w:rsidR="00CA0A9E" w:rsidRPr="008244C7" w:rsidRDefault="00CA0A9E" w:rsidP="007C28B0">
            <w:pPr>
              <w:pStyle w:val="NoSpacing"/>
              <w:spacing w:after="120"/>
              <w:jc w:val="both"/>
              <w:rPr>
                <w:rFonts w:ascii="Cambria" w:hAnsi="Cambria"/>
                <w:color w:val="000000"/>
                <w:sz w:val="20"/>
                <w:szCs w:val="20"/>
                <w:lang w:val="es-ES"/>
              </w:rPr>
            </w:pPr>
            <w:r w:rsidRPr="008244C7">
              <w:rPr>
                <w:rFonts w:ascii="Cambria" w:hAnsi="Cambria"/>
                <w:b/>
                <w:color w:val="000000"/>
                <w:sz w:val="20"/>
                <w:szCs w:val="20"/>
                <w:lang w:val="es-ES"/>
              </w:rPr>
              <w:t>Derechos violados:</w:t>
            </w:r>
            <w:r w:rsidRPr="008244C7">
              <w:rPr>
                <w:rFonts w:ascii="Cambria" w:hAnsi="Cambria"/>
                <w:color w:val="000000"/>
                <w:sz w:val="20"/>
                <w:szCs w:val="20"/>
                <w:lang w:val="es-ES"/>
              </w:rPr>
              <w:t xml:space="preserve"> </w:t>
            </w:r>
            <w:r w:rsidRPr="008244C7">
              <w:rPr>
                <w:rFonts w:ascii="Cambria" w:eastAsia="Times New Roman" w:hAnsi="Cambria"/>
                <w:color w:val="000000"/>
                <w:sz w:val="20"/>
                <w:szCs w:val="20"/>
                <w:lang w:val="es-AR" w:eastAsia="pt-BR"/>
              </w:rPr>
              <w:t xml:space="preserve">La Comisión concluyó que el Estado </w:t>
            </w:r>
            <w:r w:rsidRPr="008244C7">
              <w:rPr>
                <w:rFonts w:ascii="Cambria" w:hAnsi="Cambria"/>
                <w:color w:val="000000"/>
                <w:sz w:val="20"/>
                <w:szCs w:val="20"/>
                <w:lang w:val="es-ES_tradnl"/>
              </w:rPr>
              <w:t xml:space="preserve">de Argentina no investigó debidamente la denuncia de tortura, tratos crueles inhumanos y degradantes que hizo el señor Godoy, en violación de los derechos consagrados en los artículos 8.1 y 25.1 en relación con el artículo 5.1 de la Convención Americana. Asimismo, concluyó que la confesión que el señor Godoy hizo bajo alegatos de haber sido obtenida bajo tortura, tratos crueles, inhumanos o degradantes, fue utilizada por los tribunales de justicia en su proceso penal, en violación del artículo 8.3 de la Convención. En adición, la CIDH concluyó que el señor Godoy no tuvo acceso a un recurso judicial que hiciera una revisión de los elementos de hecho, de derecho y valoración y recepción de la prueba que ponderó el tribunal de única instancia, en violación de lo dispuesto por el artículo 8.2.h) y artículo 2 de la Convención, todos en relación con el artículo 1.1 del mismo instrumento. Asimismo, concluye </w:t>
            </w:r>
            <w:proofErr w:type="spellStart"/>
            <w:r w:rsidRPr="008244C7">
              <w:rPr>
                <w:rFonts w:ascii="Cambria" w:hAnsi="Cambria"/>
                <w:i/>
                <w:color w:val="000000"/>
                <w:sz w:val="20"/>
                <w:szCs w:val="20"/>
                <w:lang w:val="es-ES_tradnl"/>
              </w:rPr>
              <w:t>iura</w:t>
            </w:r>
            <w:proofErr w:type="spellEnd"/>
            <w:r w:rsidRPr="008244C7">
              <w:rPr>
                <w:rFonts w:ascii="Cambria" w:hAnsi="Cambria"/>
                <w:i/>
                <w:color w:val="000000"/>
                <w:sz w:val="20"/>
                <w:szCs w:val="20"/>
                <w:lang w:val="es-ES_tradnl"/>
              </w:rPr>
              <w:t xml:space="preserve"> </w:t>
            </w:r>
            <w:proofErr w:type="spellStart"/>
            <w:r w:rsidRPr="008244C7">
              <w:rPr>
                <w:rFonts w:ascii="Cambria" w:hAnsi="Cambria"/>
                <w:i/>
                <w:color w:val="000000"/>
                <w:sz w:val="20"/>
                <w:szCs w:val="20"/>
                <w:lang w:val="es-ES_tradnl"/>
              </w:rPr>
              <w:t>novit</w:t>
            </w:r>
            <w:proofErr w:type="spellEnd"/>
            <w:r w:rsidRPr="008244C7">
              <w:rPr>
                <w:rFonts w:ascii="Cambria" w:hAnsi="Cambria"/>
                <w:i/>
                <w:color w:val="000000"/>
                <w:sz w:val="20"/>
                <w:szCs w:val="20"/>
                <w:lang w:val="es-ES_tradnl"/>
              </w:rPr>
              <w:t xml:space="preserve"> </w:t>
            </w:r>
            <w:proofErr w:type="spellStart"/>
            <w:r w:rsidRPr="008244C7">
              <w:rPr>
                <w:rFonts w:ascii="Cambria" w:hAnsi="Cambria"/>
                <w:i/>
                <w:color w:val="000000"/>
                <w:sz w:val="20"/>
                <w:szCs w:val="20"/>
                <w:lang w:val="es-ES_tradnl"/>
              </w:rPr>
              <w:t>curiae</w:t>
            </w:r>
            <w:proofErr w:type="spellEnd"/>
            <w:r w:rsidRPr="008244C7">
              <w:rPr>
                <w:rFonts w:ascii="Cambria" w:hAnsi="Cambria"/>
                <w:color w:val="000000"/>
                <w:sz w:val="20"/>
                <w:szCs w:val="20"/>
                <w:lang w:val="es-ES_tradnl"/>
              </w:rPr>
              <w:t>, que el Estado violó los artículos 1, 6 y 8 de la Convención Interamericana para Prevenir y Sancionar la Tortura en perjuicio de Rubén Luis Godoy</w:t>
            </w:r>
            <w:r w:rsidRPr="008244C7">
              <w:rPr>
                <w:rFonts w:ascii="Cambria" w:hAnsi="Cambria"/>
                <w:color w:val="000000"/>
                <w:sz w:val="20"/>
                <w:szCs w:val="20"/>
                <w:lang w:val="es-ES"/>
              </w:rPr>
              <w:t xml:space="preserve">.  </w:t>
            </w:r>
          </w:p>
        </w:tc>
      </w:tr>
    </w:tbl>
    <w:p w14:paraId="72A5A66D" w14:textId="77777777" w:rsidR="00CA0A9E" w:rsidRPr="008244C7" w:rsidRDefault="00CA0A9E" w:rsidP="00CA0A9E">
      <w:pPr>
        <w:pStyle w:val="NoSpacing"/>
        <w:jc w:val="both"/>
        <w:rPr>
          <w:rFonts w:ascii="Cambria" w:hAnsi="Cambria"/>
          <w:color w:val="000000"/>
          <w:sz w:val="20"/>
          <w:szCs w:val="20"/>
          <w:lang w:val="es-ES"/>
        </w:rPr>
      </w:pPr>
    </w:p>
    <w:p w14:paraId="57EE8BBF" w14:textId="77777777" w:rsidR="00CA0A9E" w:rsidRPr="008244C7" w:rsidRDefault="00CA0A9E" w:rsidP="00C410E9">
      <w:pPr>
        <w:pStyle w:val="NoSpacing"/>
        <w:numPr>
          <w:ilvl w:val="0"/>
          <w:numId w:val="3"/>
        </w:numPr>
        <w:ind w:firstLine="0"/>
        <w:jc w:val="both"/>
        <w:rPr>
          <w:rFonts w:ascii="Cambria" w:hAnsi="Cambria" w:cs="Calibri Light"/>
          <w:b/>
          <w:color w:val="000000"/>
          <w:sz w:val="20"/>
          <w:szCs w:val="20"/>
          <w:lang w:val="es-US"/>
        </w:rPr>
      </w:pPr>
      <w:r w:rsidRPr="008244C7">
        <w:rPr>
          <w:rFonts w:ascii="Cambria" w:hAnsi="Cambria" w:cs="Calibri Light"/>
          <w:b/>
          <w:color w:val="000000"/>
          <w:sz w:val="20"/>
          <w:szCs w:val="20"/>
          <w:lang w:val="es-US"/>
        </w:rPr>
        <w:t xml:space="preserve">Recomendaciones </w:t>
      </w:r>
    </w:p>
    <w:p w14:paraId="75740ACE" w14:textId="77777777" w:rsidR="00CA0A9E" w:rsidRPr="008244C7" w:rsidRDefault="00CA0A9E" w:rsidP="00CA0A9E">
      <w:pPr>
        <w:ind w:left="1080"/>
        <w:jc w:val="both"/>
        <w:rPr>
          <w:rFonts w:ascii="Cambria" w:hAnsi="Cambria" w:cs="Calibri Light"/>
          <w:color w:val="000000"/>
          <w:sz w:val="20"/>
          <w:szCs w:val="20"/>
          <w:lang w:val="es-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520"/>
      </w:tblGrid>
      <w:tr w:rsidR="00CA0A9E" w:rsidRPr="00F9764E" w14:paraId="3D1FD6D6" w14:textId="77777777" w:rsidTr="007C28B0">
        <w:tc>
          <w:tcPr>
            <w:tcW w:w="7020" w:type="dxa"/>
            <w:shd w:val="clear" w:color="auto" w:fill="auto"/>
            <w:vAlign w:val="center"/>
          </w:tcPr>
          <w:p w14:paraId="7FCF7AAA" w14:textId="77777777" w:rsidR="00CA0A9E" w:rsidRPr="008244C7" w:rsidRDefault="00CA0A9E" w:rsidP="007C28B0">
            <w:pPr>
              <w:jc w:val="center"/>
              <w:rPr>
                <w:rFonts w:ascii="Cambria" w:hAnsi="Cambria" w:cs="Calibri Light"/>
                <w:b/>
                <w:color w:val="000000"/>
                <w:sz w:val="18"/>
                <w:szCs w:val="18"/>
                <w:lang w:val="es-US"/>
              </w:rPr>
            </w:pPr>
            <w:r w:rsidRPr="008244C7">
              <w:rPr>
                <w:rFonts w:ascii="Cambria" w:hAnsi="Cambria" w:cs="Calibri Light"/>
                <w:b/>
                <w:color w:val="000000"/>
                <w:sz w:val="18"/>
                <w:szCs w:val="18"/>
                <w:lang w:val="es-US"/>
              </w:rPr>
              <w:t>Recomendaciones</w:t>
            </w:r>
          </w:p>
        </w:tc>
        <w:tc>
          <w:tcPr>
            <w:tcW w:w="2520" w:type="dxa"/>
            <w:shd w:val="clear" w:color="auto" w:fill="auto"/>
            <w:vAlign w:val="center"/>
          </w:tcPr>
          <w:p w14:paraId="55A1D972" w14:textId="14BA0919" w:rsidR="00CA0A9E" w:rsidRPr="008244C7" w:rsidRDefault="00CA0A9E" w:rsidP="007C28B0">
            <w:pPr>
              <w:jc w:val="center"/>
              <w:rPr>
                <w:rFonts w:ascii="Cambria" w:hAnsi="Cambria" w:cs="Calibri Light"/>
                <w:b/>
                <w:color w:val="000000"/>
                <w:sz w:val="18"/>
                <w:szCs w:val="18"/>
                <w:lang w:val="es-US"/>
              </w:rPr>
            </w:pPr>
            <w:r w:rsidRPr="008244C7">
              <w:rPr>
                <w:rFonts w:ascii="Cambria" w:hAnsi="Cambria" w:cs="Calibri Light"/>
                <w:b/>
                <w:color w:val="000000"/>
                <w:sz w:val="18"/>
                <w:szCs w:val="18"/>
                <w:lang w:val="es-US"/>
              </w:rPr>
              <w:t xml:space="preserve">Estado de cumplimiento en el </w:t>
            </w:r>
            <w:r w:rsidRPr="008244C7">
              <w:rPr>
                <w:rFonts w:ascii="Cambria" w:hAnsi="Cambria" w:cs="Calibri Light"/>
                <w:b/>
                <w:color w:val="000000" w:themeColor="text1"/>
                <w:sz w:val="18"/>
                <w:szCs w:val="18"/>
                <w:lang w:val="es-US"/>
              </w:rPr>
              <w:t>202</w:t>
            </w:r>
            <w:r w:rsidR="00521F2D" w:rsidRPr="008244C7">
              <w:rPr>
                <w:rFonts w:ascii="Cambria" w:hAnsi="Cambria" w:cs="Calibri Light"/>
                <w:b/>
                <w:color w:val="000000" w:themeColor="text1"/>
                <w:sz w:val="18"/>
                <w:szCs w:val="18"/>
                <w:lang w:val="es-US"/>
              </w:rPr>
              <w:t>1</w:t>
            </w:r>
          </w:p>
        </w:tc>
      </w:tr>
      <w:tr w:rsidR="00CA0A9E" w:rsidRPr="008244C7" w14:paraId="589F8B28" w14:textId="77777777" w:rsidTr="007C28B0">
        <w:tc>
          <w:tcPr>
            <w:tcW w:w="7020" w:type="dxa"/>
            <w:shd w:val="clear" w:color="auto" w:fill="auto"/>
            <w:vAlign w:val="center"/>
          </w:tcPr>
          <w:p w14:paraId="0981A337" w14:textId="77777777" w:rsidR="00CA0A9E" w:rsidRPr="008244C7" w:rsidRDefault="00CA0A9E" w:rsidP="007C28B0">
            <w:pPr>
              <w:jc w:val="both"/>
              <w:outlineLvl w:val="0"/>
              <w:rPr>
                <w:rFonts w:ascii="Cambria" w:eastAsia="MS Mincho" w:hAnsi="Cambria"/>
                <w:b/>
                <w:bCs/>
                <w:color w:val="000000"/>
                <w:sz w:val="18"/>
                <w:szCs w:val="18"/>
                <w:lang w:val="es-US" w:eastAsia="es-ES_tradnl"/>
              </w:rPr>
            </w:pPr>
            <w:r w:rsidRPr="008244C7">
              <w:rPr>
                <w:rFonts w:ascii="Cambria" w:hAnsi="Cambria"/>
                <w:color w:val="000000"/>
                <w:sz w:val="18"/>
                <w:szCs w:val="18"/>
                <w:lang w:val="es-US"/>
              </w:rPr>
              <w:t>1.</w:t>
            </w:r>
            <w:r w:rsidRPr="008244C7">
              <w:rPr>
                <w:rFonts w:ascii="Cambria" w:eastAsia="Cambria" w:hAnsi="Cambria" w:cs="Cambria"/>
                <w:color w:val="000000"/>
                <w:sz w:val="18"/>
                <w:szCs w:val="18"/>
                <w:lang w:val="es-ES_tradnl" w:eastAsia="es-ES_tradnl"/>
              </w:rPr>
              <w:t xml:space="preserve"> </w:t>
            </w:r>
            <w:r w:rsidRPr="008244C7">
              <w:rPr>
                <w:rFonts w:ascii="Cambria" w:hAnsi="Cambria"/>
                <w:color w:val="000000"/>
                <w:sz w:val="18"/>
                <w:szCs w:val="18"/>
                <w:lang w:val="es-ES_tradnl"/>
              </w:rPr>
              <w:t xml:space="preserve">Disponer las medidas necesarias para que el recurso interpuesto por la defensa de Rubén Luis Godoy con el fin de obtener una revisión amplia de la sentencia condenatoria se resuelva en cumplimiento del artículo 8.2.h) de la Convención Americana, con exclusión de cualquier prueba obtenida bajo coacción, en los términos del artículo 8.3 de dicho instrumento. </w:t>
            </w:r>
          </w:p>
        </w:tc>
        <w:tc>
          <w:tcPr>
            <w:tcW w:w="2520" w:type="dxa"/>
            <w:shd w:val="clear" w:color="auto" w:fill="auto"/>
            <w:vAlign w:val="center"/>
          </w:tcPr>
          <w:p w14:paraId="4D5F35CB" w14:textId="77777777" w:rsidR="00CA0A9E" w:rsidRPr="008244C7" w:rsidRDefault="00CA0A9E" w:rsidP="007C28B0">
            <w:pPr>
              <w:jc w:val="center"/>
              <w:outlineLvl w:val="0"/>
              <w:rPr>
                <w:rFonts w:ascii="Cambria" w:eastAsia="MS Mincho" w:hAnsi="Cambria"/>
                <w:b/>
                <w:bCs/>
                <w:color w:val="000000"/>
                <w:sz w:val="18"/>
                <w:szCs w:val="18"/>
                <w:lang w:val="es-US" w:eastAsia="es-ES_tradnl"/>
              </w:rPr>
            </w:pPr>
            <w:r w:rsidRPr="008244C7">
              <w:rPr>
                <w:rFonts w:ascii="Cambria" w:hAnsi="Cambria"/>
                <w:color w:val="000000"/>
                <w:sz w:val="18"/>
                <w:szCs w:val="18"/>
                <w:lang w:val="es-US"/>
              </w:rPr>
              <w:t>Cumplimiento total</w:t>
            </w:r>
            <w:r w:rsidRPr="008244C7">
              <w:rPr>
                <w:rStyle w:val="FootnoteReference"/>
                <w:rFonts w:ascii="Cambria" w:hAnsi="Cambria"/>
                <w:color w:val="000000"/>
                <w:sz w:val="20"/>
                <w:szCs w:val="20"/>
                <w:lang w:val="es-ES"/>
              </w:rPr>
              <w:footnoteReference w:id="1"/>
            </w:r>
          </w:p>
        </w:tc>
      </w:tr>
      <w:tr w:rsidR="00CA0A9E" w:rsidRPr="008244C7" w14:paraId="7141290C" w14:textId="77777777" w:rsidTr="007C28B0">
        <w:tc>
          <w:tcPr>
            <w:tcW w:w="7020" w:type="dxa"/>
            <w:shd w:val="clear" w:color="auto" w:fill="auto"/>
          </w:tcPr>
          <w:p w14:paraId="7BAA5246" w14:textId="77777777" w:rsidR="00CA0A9E" w:rsidRPr="008244C7" w:rsidRDefault="00CA0A9E" w:rsidP="007C28B0">
            <w:pPr>
              <w:jc w:val="both"/>
              <w:outlineLvl w:val="0"/>
              <w:rPr>
                <w:rFonts w:ascii="Cambria" w:eastAsia="MS Mincho" w:hAnsi="Cambria"/>
                <w:b/>
                <w:bCs/>
                <w:color w:val="000000"/>
                <w:sz w:val="18"/>
                <w:szCs w:val="18"/>
                <w:lang w:val="es-US" w:eastAsia="es-ES_tradnl"/>
              </w:rPr>
            </w:pPr>
            <w:r w:rsidRPr="008244C7">
              <w:rPr>
                <w:rFonts w:ascii="Cambria" w:hAnsi="Cambria"/>
                <w:color w:val="000000"/>
                <w:sz w:val="18"/>
                <w:szCs w:val="18"/>
                <w:lang w:val="es-US"/>
              </w:rPr>
              <w:t xml:space="preserve">2. Completar la investigación penal dirigida a esclarecer la denuncia de tortura, tratos crueles, inhumanos o degradantes hecha por Rubén Luis Godoy, a la mayor brevedad y de manera efectiva e imparcial. </w:t>
            </w:r>
          </w:p>
        </w:tc>
        <w:tc>
          <w:tcPr>
            <w:tcW w:w="2520" w:type="dxa"/>
            <w:shd w:val="clear" w:color="auto" w:fill="auto"/>
            <w:vAlign w:val="center"/>
          </w:tcPr>
          <w:p w14:paraId="502331FA" w14:textId="77777777" w:rsidR="00CA0A9E" w:rsidRPr="008244C7" w:rsidRDefault="00CA0A9E" w:rsidP="007C28B0">
            <w:pPr>
              <w:jc w:val="center"/>
              <w:outlineLvl w:val="0"/>
              <w:rPr>
                <w:rFonts w:ascii="Cambria" w:eastAsia="MS Mincho" w:hAnsi="Cambria"/>
                <w:b/>
                <w:bCs/>
                <w:color w:val="000000"/>
                <w:sz w:val="18"/>
                <w:szCs w:val="18"/>
                <w:lang w:val="es-US" w:eastAsia="es-ES_tradnl"/>
              </w:rPr>
            </w:pPr>
            <w:r w:rsidRPr="008244C7">
              <w:rPr>
                <w:rFonts w:ascii="Cambria" w:hAnsi="Cambria"/>
                <w:color w:val="000000"/>
                <w:sz w:val="18"/>
                <w:szCs w:val="18"/>
                <w:lang w:val="es-US"/>
              </w:rPr>
              <w:t>Cumplimiento parcial</w:t>
            </w:r>
          </w:p>
        </w:tc>
      </w:tr>
      <w:tr w:rsidR="00CA0A9E" w:rsidRPr="008244C7" w14:paraId="3F3F368A" w14:textId="77777777" w:rsidTr="007C28B0">
        <w:tc>
          <w:tcPr>
            <w:tcW w:w="7020" w:type="dxa"/>
            <w:shd w:val="clear" w:color="auto" w:fill="auto"/>
          </w:tcPr>
          <w:p w14:paraId="6BD09A68" w14:textId="70BA0DCC" w:rsidR="00CA0A9E" w:rsidRPr="008244C7" w:rsidRDefault="00CA0A9E" w:rsidP="007C28B0">
            <w:pPr>
              <w:jc w:val="both"/>
              <w:outlineLvl w:val="0"/>
              <w:rPr>
                <w:rFonts w:ascii="Cambria" w:hAnsi="Cambria"/>
                <w:color w:val="000000"/>
                <w:sz w:val="18"/>
                <w:szCs w:val="18"/>
                <w:lang w:val="es-US"/>
              </w:rPr>
            </w:pPr>
            <w:r w:rsidRPr="008244C7">
              <w:rPr>
                <w:rFonts w:ascii="Cambria" w:hAnsi="Cambria"/>
                <w:color w:val="000000"/>
                <w:sz w:val="18"/>
                <w:szCs w:val="18"/>
                <w:lang w:val="es-CO"/>
              </w:rPr>
              <w:t xml:space="preserve">3. </w:t>
            </w:r>
            <w:r w:rsidRPr="008244C7">
              <w:rPr>
                <w:rFonts w:ascii="Cambria" w:hAnsi="Cambria"/>
                <w:color w:val="000000"/>
                <w:sz w:val="18"/>
                <w:szCs w:val="18"/>
                <w:lang w:val="es-MX"/>
              </w:rPr>
              <w:t>Disponer las medidas legislativas y de otra índole para asegurar el cumplimiento efectivo del derecho consagrado en el artículo 8.2.h de la Convención Americana de conformidad con los estándares descritos en el presente informe</w:t>
            </w:r>
            <w:r w:rsidR="008244C7">
              <w:rPr>
                <w:rFonts w:ascii="Cambria" w:hAnsi="Cambria"/>
                <w:color w:val="000000"/>
                <w:sz w:val="18"/>
                <w:szCs w:val="18"/>
                <w:lang w:val="es-MX"/>
              </w:rPr>
              <w:t>.</w:t>
            </w:r>
          </w:p>
        </w:tc>
        <w:tc>
          <w:tcPr>
            <w:tcW w:w="2520" w:type="dxa"/>
            <w:shd w:val="clear" w:color="auto" w:fill="auto"/>
            <w:vAlign w:val="center"/>
          </w:tcPr>
          <w:p w14:paraId="3CC07B19" w14:textId="703F2369" w:rsidR="00CA0A9E" w:rsidRPr="008244C7" w:rsidRDefault="00CA0A9E" w:rsidP="007C28B0">
            <w:pPr>
              <w:jc w:val="center"/>
              <w:rPr>
                <w:rFonts w:ascii="Cambria" w:hAnsi="Cambria"/>
                <w:color w:val="000000"/>
                <w:sz w:val="18"/>
                <w:szCs w:val="18"/>
                <w:lang w:val="es-ES"/>
              </w:rPr>
            </w:pPr>
            <w:r w:rsidRPr="002250A3">
              <w:rPr>
                <w:rFonts w:ascii="Cambria" w:hAnsi="Cambria"/>
                <w:color w:val="000000" w:themeColor="text1"/>
                <w:sz w:val="18"/>
                <w:szCs w:val="18"/>
                <w:lang w:val="es-ES"/>
              </w:rPr>
              <w:t xml:space="preserve">Cumplimiento </w:t>
            </w:r>
            <w:r w:rsidR="0013222A" w:rsidRPr="002250A3">
              <w:rPr>
                <w:rFonts w:ascii="Cambria" w:hAnsi="Cambria"/>
                <w:color w:val="000000" w:themeColor="text1"/>
                <w:sz w:val="18"/>
                <w:szCs w:val="18"/>
                <w:lang w:val="es-ES"/>
              </w:rPr>
              <w:t>total</w:t>
            </w:r>
          </w:p>
        </w:tc>
      </w:tr>
      <w:tr w:rsidR="00CA0A9E" w:rsidRPr="008244C7" w14:paraId="5CF5543E" w14:textId="77777777" w:rsidTr="007C28B0">
        <w:tc>
          <w:tcPr>
            <w:tcW w:w="7020" w:type="dxa"/>
            <w:shd w:val="clear" w:color="auto" w:fill="auto"/>
          </w:tcPr>
          <w:p w14:paraId="771C1868" w14:textId="77777777" w:rsidR="00CA0A9E" w:rsidRPr="008244C7" w:rsidRDefault="00CA0A9E" w:rsidP="007C28B0">
            <w:pPr>
              <w:jc w:val="both"/>
              <w:outlineLvl w:val="0"/>
              <w:rPr>
                <w:rFonts w:ascii="Cambria" w:eastAsia="MS Mincho" w:hAnsi="Cambria"/>
                <w:b/>
                <w:bCs/>
                <w:color w:val="000000"/>
                <w:sz w:val="18"/>
                <w:szCs w:val="18"/>
                <w:lang w:val="es-US" w:eastAsia="es-ES_tradnl"/>
              </w:rPr>
            </w:pPr>
            <w:r w:rsidRPr="008244C7">
              <w:rPr>
                <w:rFonts w:ascii="Cambria" w:hAnsi="Cambria"/>
                <w:color w:val="000000"/>
                <w:sz w:val="18"/>
                <w:szCs w:val="18"/>
                <w:lang w:val="es-CO"/>
              </w:rPr>
              <w:lastRenderedPageBreak/>
              <w:t xml:space="preserve">4. </w:t>
            </w:r>
            <w:r w:rsidRPr="008244C7">
              <w:rPr>
                <w:rFonts w:ascii="Cambria" w:hAnsi="Cambria"/>
                <w:color w:val="000000"/>
                <w:sz w:val="18"/>
                <w:szCs w:val="18"/>
                <w:lang w:val="es-ES_tradnl"/>
              </w:rPr>
              <w:t>Reparar adecuadamente las violaciones de derechos humanos declaradas en el presente informe tanto en el aspecto material como moral.</w:t>
            </w:r>
          </w:p>
        </w:tc>
        <w:tc>
          <w:tcPr>
            <w:tcW w:w="2520" w:type="dxa"/>
            <w:shd w:val="clear" w:color="auto" w:fill="auto"/>
            <w:vAlign w:val="center"/>
          </w:tcPr>
          <w:p w14:paraId="0BE14A8A" w14:textId="77777777" w:rsidR="00CA0A9E" w:rsidRPr="008244C7" w:rsidRDefault="00CA0A9E" w:rsidP="007C28B0">
            <w:pPr>
              <w:jc w:val="center"/>
              <w:outlineLvl w:val="0"/>
              <w:rPr>
                <w:rFonts w:ascii="Cambria" w:eastAsia="MS Mincho" w:hAnsi="Cambria"/>
                <w:b/>
                <w:bCs/>
                <w:color w:val="000000"/>
                <w:sz w:val="18"/>
                <w:szCs w:val="18"/>
                <w:lang w:val="es-US" w:eastAsia="es-ES_tradnl"/>
              </w:rPr>
            </w:pPr>
            <w:r w:rsidRPr="008244C7">
              <w:rPr>
                <w:rFonts w:ascii="Cambria" w:hAnsi="Cambria"/>
                <w:color w:val="000000"/>
                <w:sz w:val="18"/>
                <w:szCs w:val="18"/>
                <w:lang w:val="es-US"/>
              </w:rPr>
              <w:t>Cumplimiento total</w:t>
            </w:r>
            <w:r w:rsidRPr="008244C7">
              <w:rPr>
                <w:rStyle w:val="FootnoteReference"/>
                <w:rFonts w:ascii="Cambria" w:hAnsi="Cambria"/>
                <w:color w:val="000000"/>
                <w:sz w:val="18"/>
                <w:szCs w:val="18"/>
                <w:lang w:val="es-US"/>
              </w:rPr>
              <w:footnoteReference w:id="2"/>
            </w:r>
            <w:r w:rsidRPr="008244C7">
              <w:rPr>
                <w:rFonts w:ascii="Cambria" w:hAnsi="Cambria"/>
                <w:color w:val="000000"/>
                <w:sz w:val="18"/>
                <w:szCs w:val="18"/>
                <w:lang w:val="es-US"/>
              </w:rPr>
              <w:t xml:space="preserve"> </w:t>
            </w:r>
          </w:p>
        </w:tc>
      </w:tr>
    </w:tbl>
    <w:p w14:paraId="4AADACA2" w14:textId="77777777" w:rsidR="00CA0A9E" w:rsidRPr="008244C7" w:rsidRDefault="00CA0A9E" w:rsidP="00CA0A9E">
      <w:pPr>
        <w:jc w:val="both"/>
        <w:rPr>
          <w:rFonts w:ascii="Cambria" w:hAnsi="Cambria" w:cs="Calibri Light"/>
          <w:b/>
          <w:color w:val="000000"/>
          <w:sz w:val="20"/>
          <w:szCs w:val="20"/>
          <w:lang w:val="es-US"/>
        </w:rPr>
      </w:pPr>
    </w:p>
    <w:p w14:paraId="03C4A217" w14:textId="77777777" w:rsidR="00CA0A9E" w:rsidRPr="008244C7" w:rsidRDefault="00CA0A9E" w:rsidP="00C410E9">
      <w:pPr>
        <w:pStyle w:val="ListParagraph"/>
        <w:numPr>
          <w:ilvl w:val="0"/>
          <w:numId w:val="3"/>
        </w:numPr>
        <w:ind w:firstLine="0"/>
        <w:jc w:val="both"/>
        <w:rPr>
          <w:rFonts w:ascii="Cambria" w:hAnsi="Cambria" w:cs="Calibri Light"/>
          <w:b/>
          <w:color w:val="000000"/>
          <w:sz w:val="20"/>
          <w:szCs w:val="20"/>
          <w:lang w:val="es-ES_tradnl"/>
        </w:rPr>
      </w:pPr>
      <w:r w:rsidRPr="008244C7">
        <w:rPr>
          <w:rFonts w:ascii="Cambria" w:hAnsi="Cambria"/>
          <w:b/>
          <w:color w:val="000000"/>
          <w:sz w:val="20"/>
          <w:szCs w:val="20"/>
          <w:lang w:val="es-VE"/>
        </w:rPr>
        <w:t>Actividad Procesal</w:t>
      </w:r>
    </w:p>
    <w:p w14:paraId="298AFAAA" w14:textId="77777777" w:rsidR="00CA0A9E" w:rsidRPr="008244C7" w:rsidRDefault="00CA0A9E" w:rsidP="00CA0A9E">
      <w:pPr>
        <w:jc w:val="both"/>
        <w:rPr>
          <w:rFonts w:ascii="Cambria" w:hAnsi="Cambria" w:cs="Calibri Light"/>
          <w:color w:val="000000"/>
          <w:sz w:val="20"/>
          <w:szCs w:val="20"/>
          <w:lang w:val="es-ES_tradnl"/>
        </w:rPr>
      </w:pPr>
    </w:p>
    <w:p w14:paraId="53BF08F9" w14:textId="77777777" w:rsidR="00CA0A9E" w:rsidRPr="008244C7" w:rsidRDefault="00CA0A9E" w:rsidP="00C410E9">
      <w:pPr>
        <w:numPr>
          <w:ilvl w:val="0"/>
          <w:numId w:val="5"/>
        </w:numPr>
        <w:ind w:left="0" w:firstLine="720"/>
        <w:jc w:val="both"/>
        <w:rPr>
          <w:rFonts w:ascii="Cambria" w:hAnsi="Cambria" w:cs="Calibri Light"/>
          <w:color w:val="000000"/>
          <w:sz w:val="20"/>
          <w:szCs w:val="20"/>
          <w:lang w:val="es-ES_tradnl"/>
        </w:rPr>
      </w:pPr>
      <w:r w:rsidRPr="008244C7">
        <w:rPr>
          <w:rFonts w:ascii="Cambria" w:hAnsi="Cambria" w:cs="Calibri Light"/>
          <w:color w:val="000000"/>
          <w:sz w:val="20"/>
          <w:szCs w:val="20"/>
          <w:lang w:val="es-ES_tradnl"/>
        </w:rPr>
        <w:t xml:space="preserve">El 27 de agosto de 2015, la Comisión sostuvo una reunión de trabajo con las partes en la ciudad de Buenos Aires, durante una visita de trabajo de la CIDH realizada a Argentina del 24 al 27 de agosto. </w:t>
      </w:r>
    </w:p>
    <w:p w14:paraId="62C821A8" w14:textId="77777777" w:rsidR="00CA0A9E" w:rsidRPr="008244C7" w:rsidRDefault="00CA0A9E" w:rsidP="00CA0A9E">
      <w:pPr>
        <w:ind w:left="720"/>
        <w:jc w:val="both"/>
        <w:rPr>
          <w:rFonts w:ascii="Cambria" w:hAnsi="Cambria" w:cs="Calibri Light"/>
          <w:color w:val="000000"/>
          <w:sz w:val="20"/>
          <w:szCs w:val="20"/>
          <w:lang w:val="es-ES_tradnl"/>
        </w:rPr>
      </w:pPr>
    </w:p>
    <w:p w14:paraId="32C004C5" w14:textId="5A15F6A6" w:rsidR="00CA0A9E" w:rsidRPr="002250A3" w:rsidRDefault="00CA0A9E" w:rsidP="00C410E9">
      <w:pPr>
        <w:numPr>
          <w:ilvl w:val="0"/>
          <w:numId w:val="5"/>
        </w:numPr>
        <w:ind w:left="0" w:firstLine="720"/>
        <w:jc w:val="both"/>
        <w:rPr>
          <w:rFonts w:ascii="Cambria" w:hAnsi="Cambria" w:cs="Calibri Light"/>
          <w:color w:val="000000" w:themeColor="text1"/>
          <w:sz w:val="20"/>
          <w:szCs w:val="20"/>
          <w:lang w:val="es-ES_tradnl"/>
        </w:rPr>
      </w:pPr>
      <w:r w:rsidRPr="002250A3">
        <w:rPr>
          <w:rFonts w:ascii="Cambria" w:hAnsi="Cambria" w:cs="Calibri Light"/>
          <w:color w:val="000000" w:themeColor="text1"/>
          <w:sz w:val="20"/>
          <w:szCs w:val="20"/>
          <w:lang w:val="es-ES_tradnl"/>
        </w:rPr>
        <w:t>En 202</w:t>
      </w:r>
      <w:r w:rsidR="008244C7" w:rsidRPr="002250A3">
        <w:rPr>
          <w:rFonts w:ascii="Cambria" w:hAnsi="Cambria" w:cs="Calibri Light"/>
          <w:color w:val="000000" w:themeColor="text1"/>
          <w:sz w:val="20"/>
          <w:szCs w:val="20"/>
          <w:lang w:val="es-ES_tradnl"/>
        </w:rPr>
        <w:t>1</w:t>
      </w:r>
      <w:r w:rsidRPr="002250A3">
        <w:rPr>
          <w:rFonts w:ascii="Cambria" w:hAnsi="Cambria" w:cs="Calibri Light"/>
          <w:color w:val="000000" w:themeColor="text1"/>
          <w:sz w:val="20"/>
          <w:szCs w:val="20"/>
          <w:lang w:val="es-ES_tradnl"/>
        </w:rPr>
        <w:t xml:space="preserve">, la CIDH solicitó al Estado información actualizada sobre el cumplimiento de recomendaciones el </w:t>
      </w:r>
      <w:r w:rsidR="008244C7" w:rsidRPr="002250A3">
        <w:rPr>
          <w:rFonts w:ascii="Cambria" w:hAnsi="Cambria" w:cs="Calibri Light"/>
          <w:color w:val="000000" w:themeColor="text1"/>
          <w:sz w:val="20"/>
          <w:szCs w:val="20"/>
          <w:lang w:val="es-ES_tradnl"/>
        </w:rPr>
        <w:t>1</w:t>
      </w:r>
      <w:r w:rsidRPr="002250A3">
        <w:rPr>
          <w:rFonts w:ascii="Cambria" w:hAnsi="Cambria" w:cs="Calibri Light"/>
          <w:color w:val="000000" w:themeColor="text1"/>
          <w:sz w:val="20"/>
          <w:szCs w:val="20"/>
          <w:lang w:val="es-ES_tradnl"/>
        </w:rPr>
        <w:t xml:space="preserve">6 de agosto. El Estado </w:t>
      </w:r>
      <w:r w:rsidR="008244C7" w:rsidRPr="002250A3">
        <w:rPr>
          <w:rFonts w:ascii="Cambria" w:hAnsi="Cambria" w:cs="Calibri Light"/>
          <w:color w:val="000000" w:themeColor="text1"/>
          <w:sz w:val="20"/>
          <w:szCs w:val="20"/>
          <w:lang w:val="es-ES_tradnl"/>
        </w:rPr>
        <w:t xml:space="preserve">solicitó una prórroga el 18 de octubre de 2021. A la fecha del cierre de este informe, el Estado no había proporcionado la información solicitada. </w:t>
      </w:r>
    </w:p>
    <w:p w14:paraId="0B83D223" w14:textId="77777777" w:rsidR="00CA0A9E" w:rsidRPr="002250A3" w:rsidRDefault="00CA0A9E" w:rsidP="00CA0A9E">
      <w:pPr>
        <w:ind w:left="720"/>
        <w:jc w:val="both"/>
        <w:rPr>
          <w:rFonts w:ascii="Cambria" w:hAnsi="Cambria" w:cs="Calibri Light"/>
          <w:color w:val="000000" w:themeColor="text1"/>
          <w:sz w:val="20"/>
          <w:szCs w:val="20"/>
          <w:lang w:val="es-ES_tradnl"/>
        </w:rPr>
      </w:pPr>
    </w:p>
    <w:p w14:paraId="5B2130A6" w14:textId="15701508" w:rsidR="00CA0A9E" w:rsidRPr="002250A3" w:rsidRDefault="00CA0A9E" w:rsidP="00C410E9">
      <w:pPr>
        <w:numPr>
          <w:ilvl w:val="0"/>
          <w:numId w:val="5"/>
        </w:numPr>
        <w:ind w:left="0" w:firstLine="720"/>
        <w:jc w:val="both"/>
        <w:rPr>
          <w:rFonts w:ascii="Cambria" w:hAnsi="Cambria" w:cs="Calibri Light"/>
          <w:color w:val="000000" w:themeColor="text1"/>
          <w:sz w:val="20"/>
          <w:szCs w:val="20"/>
          <w:lang w:val="es-ES_tradnl"/>
        </w:rPr>
      </w:pPr>
      <w:r w:rsidRPr="002250A3">
        <w:rPr>
          <w:rFonts w:ascii="Cambria" w:hAnsi="Cambria" w:cs="Calibri Light"/>
          <w:color w:val="000000" w:themeColor="text1"/>
          <w:sz w:val="20"/>
          <w:szCs w:val="20"/>
          <w:lang w:val="es-ES_tradnl"/>
        </w:rPr>
        <w:t xml:space="preserve">La CIDH solicitó a los peticionarios información actualizada sobre el cumplimiento de recomendaciones el </w:t>
      </w:r>
      <w:r w:rsidR="008244C7" w:rsidRPr="002250A3">
        <w:rPr>
          <w:rFonts w:ascii="Cambria" w:hAnsi="Cambria" w:cs="Calibri Light"/>
          <w:color w:val="000000" w:themeColor="text1"/>
          <w:sz w:val="20"/>
          <w:szCs w:val="20"/>
          <w:lang w:val="es-ES_tradnl"/>
        </w:rPr>
        <w:t>1</w:t>
      </w:r>
      <w:r w:rsidRPr="002250A3">
        <w:rPr>
          <w:rFonts w:ascii="Cambria" w:hAnsi="Cambria" w:cs="Calibri Light"/>
          <w:color w:val="000000" w:themeColor="text1"/>
          <w:sz w:val="20"/>
          <w:szCs w:val="20"/>
          <w:lang w:val="es-ES_tradnl"/>
        </w:rPr>
        <w:t xml:space="preserve">6 de agosto de </w:t>
      </w:r>
      <w:r w:rsidR="008244C7" w:rsidRPr="002250A3">
        <w:rPr>
          <w:rFonts w:ascii="Cambria" w:hAnsi="Cambria" w:cs="Calibri Light"/>
          <w:color w:val="000000" w:themeColor="text1"/>
          <w:sz w:val="20"/>
          <w:szCs w:val="20"/>
          <w:lang w:val="es-ES_tradnl"/>
        </w:rPr>
        <w:t>2021</w:t>
      </w:r>
      <w:r w:rsidRPr="002250A3">
        <w:rPr>
          <w:rFonts w:ascii="Cambria" w:hAnsi="Cambria" w:cs="Calibri Light"/>
          <w:color w:val="000000" w:themeColor="text1"/>
          <w:sz w:val="20"/>
          <w:szCs w:val="20"/>
          <w:lang w:val="es-ES_tradnl"/>
        </w:rPr>
        <w:t xml:space="preserve">.  </w:t>
      </w:r>
      <w:r w:rsidR="008244C7" w:rsidRPr="002250A3">
        <w:rPr>
          <w:rFonts w:ascii="Cambria" w:hAnsi="Cambria" w:cs="Calibri Light"/>
          <w:color w:val="000000" w:themeColor="text1"/>
          <w:sz w:val="20"/>
          <w:szCs w:val="20"/>
          <w:lang w:val="es-ES_tradnl"/>
        </w:rPr>
        <w:t xml:space="preserve">El 26 de octubre de 2021, la parte peticionaria proporcionó esta información. </w:t>
      </w:r>
    </w:p>
    <w:p w14:paraId="23544964" w14:textId="77777777" w:rsidR="00CA0A9E" w:rsidRPr="008244C7" w:rsidRDefault="00CA0A9E" w:rsidP="00CA0A9E">
      <w:pPr>
        <w:jc w:val="both"/>
        <w:rPr>
          <w:rFonts w:ascii="Cambria" w:hAnsi="Cambria" w:cs="Calibri Light"/>
          <w:color w:val="000000"/>
          <w:sz w:val="20"/>
          <w:szCs w:val="20"/>
          <w:lang w:val="es-ES_tradnl"/>
        </w:rPr>
      </w:pPr>
    </w:p>
    <w:p w14:paraId="7390492E" w14:textId="77777777" w:rsidR="00CA0A9E" w:rsidRPr="008244C7" w:rsidRDefault="00CA0A9E" w:rsidP="00C410E9">
      <w:pPr>
        <w:pStyle w:val="ListParagraph"/>
        <w:numPr>
          <w:ilvl w:val="0"/>
          <w:numId w:val="3"/>
        </w:numPr>
        <w:ind w:firstLine="0"/>
        <w:jc w:val="both"/>
        <w:rPr>
          <w:rFonts w:ascii="Cambria" w:hAnsi="Cambria" w:cs="Calibri Light"/>
          <w:b/>
          <w:color w:val="000000"/>
          <w:sz w:val="20"/>
          <w:szCs w:val="20"/>
          <w:lang w:val="es-ES_tradnl"/>
        </w:rPr>
      </w:pPr>
      <w:r w:rsidRPr="008244C7">
        <w:rPr>
          <w:rFonts w:ascii="Cambria" w:hAnsi="Cambria" w:cs="Calibri Light"/>
          <w:b/>
          <w:color w:val="000000"/>
          <w:sz w:val="20"/>
          <w:szCs w:val="20"/>
          <w:lang w:val="es-ES_tradnl"/>
        </w:rPr>
        <w:t>Análisis relativo a la información proporcionada</w:t>
      </w:r>
    </w:p>
    <w:p w14:paraId="01547156" w14:textId="77777777" w:rsidR="00CA0A9E" w:rsidRPr="00BE5D8A" w:rsidRDefault="00CA0A9E" w:rsidP="00CA0A9E">
      <w:pPr>
        <w:jc w:val="both"/>
        <w:rPr>
          <w:rFonts w:ascii="Cambria" w:hAnsi="Cambria" w:cs="Calibri Light"/>
          <w:color w:val="000000" w:themeColor="text1"/>
          <w:sz w:val="20"/>
          <w:szCs w:val="20"/>
          <w:lang w:val="es-ES_tradnl"/>
        </w:rPr>
      </w:pPr>
    </w:p>
    <w:p w14:paraId="1F8C9B07" w14:textId="6212F772" w:rsidR="00CA0A9E" w:rsidRPr="00BE5D8A" w:rsidRDefault="00CA0A9E" w:rsidP="00C410E9">
      <w:pPr>
        <w:pStyle w:val="ListParagraph"/>
        <w:numPr>
          <w:ilvl w:val="0"/>
          <w:numId w:val="5"/>
        </w:numPr>
        <w:tabs>
          <w:tab w:val="left" w:pos="720"/>
        </w:tabs>
        <w:ind w:left="0" w:firstLine="720"/>
        <w:jc w:val="both"/>
        <w:rPr>
          <w:rFonts w:ascii="Cambria" w:hAnsi="Cambria" w:cs="Calibri Light"/>
          <w:color w:val="000000" w:themeColor="text1"/>
          <w:sz w:val="20"/>
          <w:szCs w:val="20"/>
          <w:lang w:val="es-ES_tradnl"/>
        </w:rPr>
      </w:pPr>
      <w:r w:rsidRPr="00BE5D8A">
        <w:rPr>
          <w:rFonts w:ascii="Cambria" w:hAnsi="Cambria" w:cs="Calibri Light"/>
          <w:color w:val="000000" w:themeColor="text1"/>
          <w:sz w:val="20"/>
          <w:szCs w:val="20"/>
          <w:lang w:val="es-ES_tradnl"/>
        </w:rPr>
        <w:t xml:space="preserve"> </w:t>
      </w:r>
      <w:r w:rsidRPr="00BE5D8A">
        <w:rPr>
          <w:rFonts w:ascii="Cambria" w:hAnsi="Cambria" w:cs="Calibri Light"/>
          <w:color w:val="000000" w:themeColor="text1"/>
          <w:sz w:val="20"/>
          <w:szCs w:val="20"/>
          <w:lang w:val="es-ES"/>
        </w:rPr>
        <w:t xml:space="preserve">La Comisión considera que la información proporcionada por </w:t>
      </w:r>
      <w:r w:rsidR="003007DA" w:rsidRPr="00BE5D8A">
        <w:rPr>
          <w:rFonts w:ascii="Cambria" w:hAnsi="Cambria" w:cs="Calibri Light"/>
          <w:color w:val="000000" w:themeColor="text1"/>
          <w:sz w:val="20"/>
          <w:szCs w:val="20"/>
          <w:lang w:val="es-ES"/>
        </w:rPr>
        <w:t>la parte peticionaria en 2021</w:t>
      </w:r>
      <w:r w:rsidRPr="00BE5D8A">
        <w:rPr>
          <w:rFonts w:ascii="Cambria" w:hAnsi="Cambria" w:cs="Calibri Light"/>
          <w:color w:val="000000" w:themeColor="text1"/>
          <w:sz w:val="20"/>
          <w:szCs w:val="20"/>
          <w:lang w:val="es-ES"/>
        </w:rPr>
        <w:t xml:space="preserve"> es relevante para actualizar el seguimiento del caso</w:t>
      </w:r>
      <w:r w:rsidR="003202B4" w:rsidRPr="00BE5D8A">
        <w:rPr>
          <w:rFonts w:ascii="Cambria" w:hAnsi="Cambria" w:cs="Calibri Light"/>
          <w:color w:val="000000" w:themeColor="text1"/>
          <w:sz w:val="20"/>
          <w:szCs w:val="20"/>
          <w:lang w:val="es-ES"/>
        </w:rPr>
        <w:t xml:space="preserve"> </w:t>
      </w:r>
      <w:r w:rsidRPr="00BE5D8A">
        <w:rPr>
          <w:rFonts w:ascii="Cambria" w:hAnsi="Cambria" w:cs="Calibri Light"/>
          <w:color w:val="000000" w:themeColor="text1"/>
          <w:sz w:val="20"/>
          <w:szCs w:val="20"/>
          <w:lang w:val="es-ES"/>
        </w:rPr>
        <w:t xml:space="preserve">puesto que </w:t>
      </w:r>
      <w:r w:rsidR="003007DA" w:rsidRPr="00BE5D8A">
        <w:rPr>
          <w:rFonts w:ascii="Cambria" w:hAnsi="Cambria" w:cs="Calibri Light"/>
          <w:color w:val="000000" w:themeColor="text1"/>
          <w:sz w:val="20"/>
          <w:szCs w:val="20"/>
          <w:lang w:val="es-ES"/>
        </w:rPr>
        <w:t>se refiere a</w:t>
      </w:r>
      <w:r w:rsidRPr="00BE5D8A">
        <w:rPr>
          <w:rFonts w:ascii="Cambria" w:hAnsi="Cambria" w:cs="Calibri Light"/>
          <w:color w:val="000000" w:themeColor="text1"/>
          <w:sz w:val="20"/>
          <w:szCs w:val="20"/>
          <w:lang w:val="es-ES"/>
        </w:rPr>
        <w:t xml:space="preserve"> medidas </w:t>
      </w:r>
      <w:r w:rsidR="003202B4" w:rsidRPr="00BE5D8A">
        <w:rPr>
          <w:rFonts w:ascii="Cambria" w:hAnsi="Cambria" w:cs="Calibri Light"/>
          <w:color w:val="000000" w:themeColor="text1"/>
          <w:sz w:val="20"/>
          <w:szCs w:val="20"/>
          <w:lang w:val="es-ES"/>
        </w:rPr>
        <w:t>de cumplimiento de</w:t>
      </w:r>
      <w:r w:rsidRPr="00BE5D8A">
        <w:rPr>
          <w:rFonts w:ascii="Cambria" w:hAnsi="Cambria" w:cs="Calibri Light"/>
          <w:color w:val="000000" w:themeColor="text1"/>
          <w:sz w:val="20"/>
          <w:szCs w:val="20"/>
          <w:lang w:val="es-ES"/>
        </w:rPr>
        <w:t xml:space="preserve"> al menos una de las recomendaciones incluidas en el Informe de Fondo </w:t>
      </w:r>
      <w:proofErr w:type="spellStart"/>
      <w:r w:rsidRPr="00BE5D8A">
        <w:rPr>
          <w:rFonts w:ascii="Cambria" w:hAnsi="Cambria" w:cs="Calibri Light"/>
          <w:color w:val="000000" w:themeColor="text1"/>
          <w:sz w:val="20"/>
          <w:szCs w:val="20"/>
          <w:lang w:val="es-ES"/>
        </w:rPr>
        <w:t>Nº</w:t>
      </w:r>
      <w:proofErr w:type="spellEnd"/>
      <w:r w:rsidRPr="00BE5D8A">
        <w:rPr>
          <w:rFonts w:ascii="Cambria" w:hAnsi="Cambria" w:cs="Calibri Light"/>
          <w:color w:val="000000" w:themeColor="text1"/>
          <w:sz w:val="20"/>
          <w:szCs w:val="20"/>
          <w:lang w:val="es-ES"/>
        </w:rPr>
        <w:t xml:space="preserve"> 66/12. </w:t>
      </w:r>
    </w:p>
    <w:p w14:paraId="269F9E04" w14:textId="77777777" w:rsidR="00081B1D" w:rsidRPr="00081B1D" w:rsidRDefault="00081B1D" w:rsidP="00081B1D">
      <w:pPr>
        <w:pStyle w:val="ListParagraph"/>
        <w:tabs>
          <w:tab w:val="left" w:pos="720"/>
        </w:tabs>
        <w:jc w:val="both"/>
        <w:rPr>
          <w:rFonts w:ascii="Cambria" w:hAnsi="Cambria" w:cs="Calibri Light"/>
          <w:color w:val="000000" w:themeColor="text1"/>
          <w:sz w:val="20"/>
          <w:szCs w:val="20"/>
          <w:lang w:val="es-ES_tradnl"/>
        </w:rPr>
      </w:pPr>
    </w:p>
    <w:p w14:paraId="79F123AE" w14:textId="29EF3471" w:rsidR="00081B1D" w:rsidRPr="008244C7" w:rsidRDefault="00081B1D" w:rsidP="00C410E9">
      <w:pPr>
        <w:pStyle w:val="ListParagraph"/>
        <w:numPr>
          <w:ilvl w:val="0"/>
          <w:numId w:val="5"/>
        </w:numPr>
        <w:tabs>
          <w:tab w:val="left" w:pos="720"/>
        </w:tabs>
        <w:ind w:left="0" w:firstLine="720"/>
        <w:jc w:val="both"/>
        <w:rPr>
          <w:rFonts w:ascii="Cambria" w:hAnsi="Cambria" w:cs="Calibri Light"/>
          <w:color w:val="000000" w:themeColor="text1"/>
          <w:sz w:val="20"/>
          <w:szCs w:val="20"/>
          <w:lang w:val="es-ES_tradnl"/>
        </w:rPr>
      </w:pPr>
      <w:r>
        <w:rPr>
          <w:rFonts w:ascii="Cambria" w:hAnsi="Cambria" w:cs="Calibri Light"/>
          <w:color w:val="000000" w:themeColor="text1"/>
          <w:sz w:val="20"/>
          <w:szCs w:val="20"/>
          <w:lang w:val="es-ES_tradnl"/>
        </w:rPr>
        <w:t xml:space="preserve">En </w:t>
      </w:r>
      <w:r w:rsidRPr="00BE5D8A">
        <w:rPr>
          <w:rFonts w:ascii="Cambria" w:hAnsi="Cambria" w:cs="Calibri Light"/>
          <w:color w:val="000000" w:themeColor="text1"/>
          <w:sz w:val="20"/>
          <w:szCs w:val="20"/>
          <w:lang w:val="es-ES_tradnl"/>
        </w:rPr>
        <w:t>2021</w:t>
      </w:r>
      <w:r>
        <w:rPr>
          <w:rFonts w:ascii="Cambria" w:hAnsi="Cambria" w:cs="Calibri Light"/>
          <w:color w:val="000000" w:themeColor="text1"/>
          <w:sz w:val="20"/>
          <w:szCs w:val="20"/>
          <w:lang w:val="es-ES_tradnl"/>
        </w:rPr>
        <w:t>, el Estado no proporcionó información a la Comisión</w:t>
      </w:r>
      <w:r w:rsidR="001360C7">
        <w:rPr>
          <w:rFonts w:ascii="Cambria" w:hAnsi="Cambria" w:cs="Calibri Light"/>
          <w:color w:val="000000" w:themeColor="text1"/>
          <w:sz w:val="20"/>
          <w:szCs w:val="20"/>
          <w:lang w:val="es-ES_tradnl"/>
        </w:rPr>
        <w:t xml:space="preserve"> sobre el cumplimiento de las recomendaciones del</w:t>
      </w:r>
      <w:r w:rsidR="001360C7" w:rsidRPr="001360C7">
        <w:rPr>
          <w:rFonts w:ascii="Cambria" w:hAnsi="Cambria" w:cs="Calibri Light"/>
          <w:color w:val="000000" w:themeColor="text1"/>
          <w:sz w:val="20"/>
          <w:szCs w:val="20"/>
          <w:lang w:val="es-ES"/>
        </w:rPr>
        <w:t xml:space="preserve"> </w:t>
      </w:r>
      <w:r w:rsidR="001360C7" w:rsidRPr="008244C7">
        <w:rPr>
          <w:rFonts w:ascii="Cambria" w:hAnsi="Cambria" w:cs="Calibri Light"/>
          <w:color w:val="000000" w:themeColor="text1"/>
          <w:sz w:val="20"/>
          <w:szCs w:val="20"/>
          <w:lang w:val="es-ES"/>
        </w:rPr>
        <w:t xml:space="preserve">Informe de Fondo </w:t>
      </w:r>
      <w:proofErr w:type="spellStart"/>
      <w:r w:rsidR="001360C7" w:rsidRPr="008244C7">
        <w:rPr>
          <w:rFonts w:ascii="Cambria" w:hAnsi="Cambria" w:cs="Calibri Light"/>
          <w:color w:val="000000" w:themeColor="text1"/>
          <w:sz w:val="20"/>
          <w:szCs w:val="20"/>
          <w:lang w:val="es-ES"/>
        </w:rPr>
        <w:t>Nº</w:t>
      </w:r>
      <w:proofErr w:type="spellEnd"/>
      <w:r w:rsidR="001360C7" w:rsidRPr="008244C7">
        <w:rPr>
          <w:rFonts w:ascii="Cambria" w:hAnsi="Cambria" w:cs="Calibri Light"/>
          <w:color w:val="000000" w:themeColor="text1"/>
          <w:sz w:val="20"/>
          <w:szCs w:val="20"/>
          <w:lang w:val="es-ES"/>
        </w:rPr>
        <w:t xml:space="preserve"> 66/12</w:t>
      </w:r>
      <w:r>
        <w:rPr>
          <w:rFonts w:ascii="Cambria" w:hAnsi="Cambria" w:cs="Calibri Light"/>
          <w:color w:val="000000" w:themeColor="text1"/>
          <w:sz w:val="20"/>
          <w:szCs w:val="20"/>
          <w:lang w:val="es-ES_tradnl"/>
        </w:rPr>
        <w:t xml:space="preserve">. </w:t>
      </w:r>
    </w:p>
    <w:p w14:paraId="67A112EF" w14:textId="77777777" w:rsidR="00CA0A9E" w:rsidRPr="008244C7" w:rsidRDefault="00CA0A9E" w:rsidP="00CA0A9E">
      <w:pPr>
        <w:jc w:val="both"/>
        <w:rPr>
          <w:rFonts w:ascii="Cambria" w:hAnsi="Cambria" w:cs="Calibri Light"/>
          <w:color w:val="000000"/>
          <w:sz w:val="20"/>
          <w:szCs w:val="20"/>
          <w:lang w:val="es-ES_tradnl"/>
        </w:rPr>
      </w:pPr>
    </w:p>
    <w:p w14:paraId="29603723" w14:textId="77777777" w:rsidR="00CA0A9E" w:rsidRPr="008244C7" w:rsidRDefault="00CA0A9E" w:rsidP="00C410E9">
      <w:pPr>
        <w:pStyle w:val="ListParagraph"/>
        <w:numPr>
          <w:ilvl w:val="0"/>
          <w:numId w:val="3"/>
        </w:numPr>
        <w:ind w:firstLine="0"/>
        <w:jc w:val="both"/>
        <w:rPr>
          <w:rFonts w:ascii="Cambria" w:hAnsi="Cambria" w:cs="Calibri Light"/>
          <w:b/>
          <w:color w:val="000000"/>
          <w:sz w:val="20"/>
          <w:szCs w:val="20"/>
          <w:lang w:val="es-ES_tradnl"/>
        </w:rPr>
      </w:pPr>
      <w:r w:rsidRPr="008244C7">
        <w:rPr>
          <w:rFonts w:ascii="Cambria" w:hAnsi="Cambria" w:cs="Calibri Light"/>
          <w:b/>
          <w:color w:val="000000"/>
          <w:sz w:val="20"/>
          <w:szCs w:val="20"/>
          <w:lang w:val="es-US"/>
        </w:rPr>
        <w:t>Análisis del cumplimiento de las recomendaciones</w:t>
      </w:r>
    </w:p>
    <w:p w14:paraId="6B300B29" w14:textId="77777777" w:rsidR="00CA0A9E" w:rsidRPr="008244C7" w:rsidRDefault="00CA0A9E" w:rsidP="00CA0A9E">
      <w:pPr>
        <w:jc w:val="both"/>
        <w:rPr>
          <w:rFonts w:ascii="Cambria" w:hAnsi="Cambria" w:cs="Calibri Light"/>
          <w:color w:val="000000"/>
          <w:sz w:val="20"/>
          <w:szCs w:val="20"/>
          <w:lang w:val="es-US"/>
        </w:rPr>
      </w:pPr>
    </w:p>
    <w:p w14:paraId="2D290EBE" w14:textId="26AA4887" w:rsidR="00CA0A9E" w:rsidRPr="008244C7" w:rsidRDefault="00CA0A9E" w:rsidP="00C410E9">
      <w:pPr>
        <w:numPr>
          <w:ilvl w:val="0"/>
          <w:numId w:val="5"/>
        </w:numPr>
        <w:ind w:left="0" w:firstLine="720"/>
        <w:jc w:val="both"/>
        <w:rPr>
          <w:rFonts w:ascii="Cambria" w:hAnsi="Cambria" w:cs="Calibri Light"/>
          <w:color w:val="000000"/>
          <w:sz w:val="20"/>
          <w:szCs w:val="20"/>
          <w:lang w:val="es-ES_tradnl"/>
        </w:rPr>
      </w:pPr>
      <w:r w:rsidRPr="008244C7">
        <w:rPr>
          <w:rFonts w:ascii="Cambria" w:hAnsi="Cambria" w:cs="Calibri Light"/>
          <w:b/>
          <w:color w:val="000000"/>
          <w:sz w:val="20"/>
          <w:szCs w:val="20"/>
          <w:lang w:val="es-US"/>
        </w:rPr>
        <w:t>Respecto de la segunda recomendación</w:t>
      </w:r>
      <w:r w:rsidRPr="008244C7">
        <w:rPr>
          <w:rFonts w:ascii="Cambria" w:hAnsi="Cambria" w:cs="Calibri Light"/>
          <w:color w:val="000000"/>
          <w:sz w:val="20"/>
          <w:szCs w:val="20"/>
          <w:lang w:val="es-US"/>
        </w:rPr>
        <w:t xml:space="preserve">, el </w:t>
      </w:r>
      <w:r w:rsidRPr="008244C7">
        <w:rPr>
          <w:rFonts w:ascii="Cambria" w:hAnsi="Cambria" w:cs="Calibri Light"/>
          <w:color w:val="000000"/>
          <w:sz w:val="20"/>
          <w:szCs w:val="20"/>
          <w:lang w:val="es-ES_tradnl"/>
        </w:rPr>
        <w:t xml:space="preserve">6 de abril de 2011, el fiscal a cargo de la Fiscalía </w:t>
      </w:r>
      <w:proofErr w:type="spellStart"/>
      <w:r w:rsidRPr="008244C7">
        <w:rPr>
          <w:rFonts w:ascii="Cambria" w:hAnsi="Cambria" w:cs="Calibri Light"/>
          <w:color w:val="000000"/>
          <w:sz w:val="20"/>
          <w:szCs w:val="20"/>
          <w:lang w:val="es-ES_tradnl"/>
        </w:rPr>
        <w:t>Nº</w:t>
      </w:r>
      <w:proofErr w:type="spellEnd"/>
      <w:r w:rsidRPr="008244C7">
        <w:rPr>
          <w:rFonts w:ascii="Cambria" w:hAnsi="Cambria" w:cs="Calibri Light"/>
          <w:color w:val="000000"/>
          <w:sz w:val="20"/>
          <w:szCs w:val="20"/>
          <w:lang w:val="es-ES_tradnl"/>
        </w:rPr>
        <w:t xml:space="preserve"> 8 de la Ciudad de Rosario solicitó el desarchivo de la causa y la realización de una serie de diligencias probatorias. A consecuencia de ello, el 15 de abril de 2011, el Juzgado en lo Penal de Instrucción correspondiente dispuso revocar la resolución de archivo de la causa, y ordenó la producción de prueba testimonial y documental. Durante la reunión de trabajo sostenida entre las partes el 27 de agosto de 2015, el Estado explicó que debido al trascurso del tiempo la resolución de la causa se había hecho dificultosa. Informó que el personal policial que trasladó a la víctima había sido identificado y que el médico forense no pudo constatar si la víctima había sido golpeada. El Estado informó en 2018 que el Juzgado en lo Penal de Instrucción </w:t>
      </w:r>
      <w:proofErr w:type="spellStart"/>
      <w:r w:rsidRPr="008244C7">
        <w:rPr>
          <w:rFonts w:ascii="Cambria" w:hAnsi="Cambria" w:cs="Calibri Light"/>
          <w:color w:val="000000"/>
          <w:sz w:val="20"/>
          <w:szCs w:val="20"/>
          <w:lang w:val="es-ES_tradnl"/>
        </w:rPr>
        <w:t>Nº</w:t>
      </w:r>
      <w:proofErr w:type="spellEnd"/>
      <w:r w:rsidRPr="008244C7">
        <w:rPr>
          <w:rFonts w:ascii="Cambria" w:hAnsi="Cambria" w:cs="Calibri Light"/>
          <w:color w:val="000000"/>
          <w:sz w:val="20"/>
          <w:szCs w:val="20"/>
          <w:lang w:val="es-ES_tradnl"/>
        </w:rPr>
        <w:t xml:space="preserve">. 2 de la Ciudad de Rosario arbitró los mecanismos necesarios a fin de obtener la declaración testimonial del testigo principal sobre los hechos alegados. El Estado expresó que dichas medidas se han visto dificultadas debido al delicado estado de salud del nombrado y puesto que éste reside en la ciudad de Piriápolis, Uruguay. </w:t>
      </w:r>
    </w:p>
    <w:p w14:paraId="1B2769C4" w14:textId="77777777" w:rsidR="00CA0A9E" w:rsidRPr="008244C7" w:rsidRDefault="00CA0A9E" w:rsidP="00CA0A9E">
      <w:pPr>
        <w:ind w:left="720"/>
        <w:jc w:val="both"/>
        <w:rPr>
          <w:rFonts w:ascii="Cambria" w:hAnsi="Cambria" w:cs="Calibri Light"/>
          <w:color w:val="000000"/>
          <w:sz w:val="20"/>
          <w:szCs w:val="20"/>
          <w:lang w:val="es-ES_tradnl"/>
        </w:rPr>
      </w:pPr>
    </w:p>
    <w:p w14:paraId="52113668" w14:textId="0FC44606" w:rsidR="00CA0A9E" w:rsidRPr="008244C7" w:rsidRDefault="00CE23E1" w:rsidP="00C410E9">
      <w:pPr>
        <w:numPr>
          <w:ilvl w:val="0"/>
          <w:numId w:val="5"/>
        </w:numPr>
        <w:ind w:left="0" w:firstLine="720"/>
        <w:jc w:val="both"/>
        <w:rPr>
          <w:rFonts w:ascii="Cambria" w:hAnsi="Cambria" w:cs="Calibri Light"/>
          <w:color w:val="000000"/>
          <w:sz w:val="20"/>
          <w:szCs w:val="20"/>
          <w:lang w:val="es-US"/>
        </w:rPr>
      </w:pPr>
      <w:r>
        <w:rPr>
          <w:rFonts w:ascii="Cambria" w:hAnsi="Cambria" w:cs="Calibri Light"/>
          <w:color w:val="000000"/>
          <w:sz w:val="20"/>
          <w:szCs w:val="20"/>
          <w:lang w:val="es-US"/>
        </w:rPr>
        <w:t xml:space="preserve">En 2015, durante la </w:t>
      </w:r>
      <w:r w:rsidR="00CA0A9E" w:rsidRPr="008244C7">
        <w:rPr>
          <w:rFonts w:ascii="Cambria" w:hAnsi="Cambria" w:cs="Calibri Light"/>
          <w:color w:val="000000"/>
          <w:sz w:val="20"/>
          <w:szCs w:val="20"/>
          <w:lang w:val="es-US"/>
        </w:rPr>
        <w:t>reunión de trabajo realizada el 27 de agosto</w:t>
      </w:r>
      <w:r>
        <w:rPr>
          <w:rFonts w:ascii="Cambria" w:hAnsi="Cambria" w:cs="Calibri Light"/>
          <w:color w:val="000000"/>
          <w:sz w:val="20"/>
          <w:szCs w:val="20"/>
          <w:lang w:val="es-US"/>
        </w:rPr>
        <w:t xml:space="preserve">, la parte peticionaria indicó </w:t>
      </w:r>
      <w:r w:rsidR="00CA0A9E" w:rsidRPr="008244C7">
        <w:rPr>
          <w:rFonts w:ascii="Cambria" w:hAnsi="Cambria"/>
          <w:color w:val="000000"/>
          <w:sz w:val="20"/>
          <w:szCs w:val="20"/>
          <w:lang w:val="es-ES"/>
        </w:rPr>
        <w:t>que la Defensoría General se constituyó en querellante en la causa de apremios ilegales y que pidió una serie de medidas provisionales, las cuales fueron diferidas</w:t>
      </w:r>
      <w:r w:rsidR="00CA0A9E" w:rsidRPr="008244C7">
        <w:rPr>
          <w:rStyle w:val="FootnoteReference"/>
          <w:rFonts w:ascii="Cambria" w:hAnsi="Cambria"/>
          <w:color w:val="000000"/>
          <w:sz w:val="20"/>
          <w:szCs w:val="20"/>
          <w:lang w:val="es-ES"/>
        </w:rPr>
        <w:footnoteReference w:id="3"/>
      </w:r>
      <w:r w:rsidR="00CA0A9E" w:rsidRPr="008244C7">
        <w:rPr>
          <w:rFonts w:ascii="Cambria" w:hAnsi="Cambria"/>
          <w:color w:val="000000"/>
          <w:sz w:val="20"/>
          <w:szCs w:val="20"/>
          <w:lang w:val="es-ES"/>
        </w:rPr>
        <w:t xml:space="preserve">.  </w:t>
      </w:r>
    </w:p>
    <w:p w14:paraId="79610214" w14:textId="77777777" w:rsidR="00CA0A9E" w:rsidRPr="008244C7" w:rsidRDefault="00CA0A9E" w:rsidP="00CA0A9E">
      <w:pPr>
        <w:jc w:val="both"/>
        <w:rPr>
          <w:rFonts w:ascii="Cambria" w:hAnsi="Cambria" w:cs="Calibri Light"/>
          <w:color w:val="000000"/>
          <w:sz w:val="20"/>
          <w:szCs w:val="20"/>
          <w:lang w:val="es-ES_tradnl"/>
        </w:rPr>
      </w:pPr>
    </w:p>
    <w:p w14:paraId="7B0E6E48" w14:textId="3AE1BDEC" w:rsidR="00F33C6F" w:rsidRPr="000D58E4" w:rsidRDefault="00CA0A9E" w:rsidP="00F33C6F">
      <w:pPr>
        <w:numPr>
          <w:ilvl w:val="0"/>
          <w:numId w:val="5"/>
        </w:numPr>
        <w:ind w:left="0" w:firstLine="720"/>
        <w:jc w:val="both"/>
        <w:rPr>
          <w:rFonts w:ascii="Cambria" w:hAnsi="Cambria" w:cs="Calibri Light"/>
          <w:color w:val="000000"/>
          <w:sz w:val="20"/>
          <w:szCs w:val="20"/>
          <w:lang w:val="es-ES_tradnl"/>
        </w:rPr>
      </w:pPr>
      <w:r w:rsidRPr="008244C7">
        <w:rPr>
          <w:rFonts w:ascii="Cambria" w:hAnsi="Cambria" w:cs="Calibri Light"/>
          <w:color w:val="000000"/>
          <w:sz w:val="20"/>
          <w:szCs w:val="20"/>
          <w:lang w:val="es-ES_tradnl"/>
        </w:rPr>
        <w:t xml:space="preserve">En 2019, los peticionarios indicaron que en informe publicado el 22 de abril de 2019, el Juez Letrado del Departamento de Maldonado Darwin </w:t>
      </w:r>
      <w:proofErr w:type="spellStart"/>
      <w:r w:rsidRPr="008244C7">
        <w:rPr>
          <w:rFonts w:ascii="Cambria" w:hAnsi="Cambria" w:cs="Calibri Light"/>
          <w:color w:val="000000"/>
          <w:sz w:val="20"/>
          <w:szCs w:val="20"/>
          <w:lang w:val="es-ES_tradnl"/>
        </w:rPr>
        <w:t>Rampoldi</w:t>
      </w:r>
      <w:proofErr w:type="spellEnd"/>
      <w:r w:rsidRPr="008244C7">
        <w:rPr>
          <w:rFonts w:ascii="Cambria" w:hAnsi="Cambria" w:cs="Calibri Light"/>
          <w:color w:val="000000"/>
          <w:sz w:val="20"/>
          <w:szCs w:val="20"/>
          <w:lang w:val="es-ES_tradnl"/>
        </w:rPr>
        <w:t xml:space="preserve"> Robaina informó que el Señor Mario Alberto </w:t>
      </w:r>
      <w:proofErr w:type="spellStart"/>
      <w:r w:rsidRPr="008244C7">
        <w:rPr>
          <w:rFonts w:ascii="Cambria" w:hAnsi="Cambria" w:cs="Calibri Light"/>
          <w:color w:val="000000"/>
          <w:sz w:val="20"/>
          <w:szCs w:val="20"/>
          <w:lang w:val="es-ES_tradnl"/>
        </w:rPr>
        <w:t>Duera</w:t>
      </w:r>
      <w:proofErr w:type="spellEnd"/>
      <w:r w:rsidRPr="008244C7">
        <w:rPr>
          <w:rFonts w:ascii="Cambria" w:hAnsi="Cambria" w:cs="Calibri Light"/>
          <w:color w:val="000000"/>
          <w:sz w:val="20"/>
          <w:szCs w:val="20"/>
          <w:lang w:val="es-ES_tradnl"/>
        </w:rPr>
        <w:t xml:space="preserve"> no había comparecido a la audiencia para dar su testi</w:t>
      </w:r>
      <w:r w:rsidR="00B63B01">
        <w:rPr>
          <w:rFonts w:ascii="Cambria" w:hAnsi="Cambria" w:cs="Calibri Light"/>
          <w:color w:val="000000"/>
          <w:sz w:val="20"/>
          <w:szCs w:val="20"/>
          <w:lang w:val="es-ES_tradnl"/>
        </w:rPr>
        <w:t>monio</w:t>
      </w:r>
      <w:r w:rsidRPr="008244C7">
        <w:rPr>
          <w:rFonts w:ascii="Cambria" w:hAnsi="Cambria" w:cs="Calibri Light"/>
          <w:color w:val="000000"/>
          <w:sz w:val="20"/>
          <w:szCs w:val="20"/>
          <w:lang w:val="es-ES_tradnl"/>
        </w:rPr>
        <w:t xml:space="preserve"> y</w:t>
      </w:r>
      <w:r w:rsidR="00B63B01">
        <w:rPr>
          <w:rFonts w:ascii="Cambria" w:hAnsi="Cambria" w:cs="Calibri Light"/>
          <w:color w:val="000000"/>
          <w:sz w:val="20"/>
          <w:szCs w:val="20"/>
          <w:lang w:val="es-ES_tradnl"/>
        </w:rPr>
        <w:t xml:space="preserve"> que</w:t>
      </w:r>
      <w:r w:rsidRPr="008244C7">
        <w:rPr>
          <w:rFonts w:ascii="Cambria" w:hAnsi="Cambria" w:cs="Calibri Light"/>
          <w:color w:val="000000"/>
          <w:sz w:val="20"/>
          <w:szCs w:val="20"/>
          <w:lang w:val="es-ES_tradnl"/>
        </w:rPr>
        <w:t xml:space="preserve"> la autoridad requirente no había autorizado la conducción de la persona. Para los peticionarios, es de extrema importancia llevar a cabo la declaración testimonial</w:t>
      </w:r>
      <w:r w:rsidR="002F7FE8">
        <w:rPr>
          <w:rFonts w:ascii="Cambria" w:hAnsi="Cambria" w:cs="Calibri Light"/>
          <w:color w:val="000000"/>
          <w:sz w:val="20"/>
          <w:szCs w:val="20"/>
          <w:lang w:val="es-ES_tradnl"/>
        </w:rPr>
        <w:t xml:space="preserve">, </w:t>
      </w:r>
      <w:r w:rsidRPr="008244C7">
        <w:rPr>
          <w:rFonts w:ascii="Cambria" w:hAnsi="Cambria" w:cs="Calibri Light"/>
          <w:color w:val="000000"/>
          <w:sz w:val="20"/>
          <w:szCs w:val="20"/>
          <w:lang w:val="es-ES_tradnl"/>
        </w:rPr>
        <w:t>como última medida a producir</w:t>
      </w:r>
      <w:r w:rsidR="002F7FE8">
        <w:rPr>
          <w:rFonts w:ascii="Cambria" w:hAnsi="Cambria" w:cs="Calibri Light"/>
          <w:color w:val="000000"/>
          <w:sz w:val="20"/>
          <w:szCs w:val="20"/>
          <w:lang w:val="es-ES_tradnl"/>
        </w:rPr>
        <w:t>,</w:t>
      </w:r>
      <w:r w:rsidRPr="008244C7">
        <w:rPr>
          <w:rFonts w:ascii="Cambria" w:hAnsi="Cambria" w:cs="Calibri Light"/>
          <w:color w:val="000000"/>
          <w:sz w:val="20"/>
          <w:szCs w:val="20"/>
          <w:lang w:val="es-ES_tradnl"/>
        </w:rPr>
        <w:t xml:space="preserve"> a los fines de encausar la investigación penal, puesto que el Ministerio Público hizo saber que es su intención dar fin a la investigación</w:t>
      </w:r>
      <w:r w:rsidR="002F7FE8">
        <w:rPr>
          <w:rFonts w:ascii="Cambria" w:hAnsi="Cambria" w:cs="Calibri Light"/>
          <w:color w:val="000000"/>
          <w:sz w:val="20"/>
          <w:szCs w:val="20"/>
          <w:lang w:val="es-ES_tradnl"/>
        </w:rPr>
        <w:t xml:space="preserve"> ante</w:t>
      </w:r>
      <w:r w:rsidRPr="008244C7">
        <w:rPr>
          <w:rFonts w:ascii="Cambria" w:hAnsi="Cambria" w:cs="Calibri Light"/>
          <w:color w:val="000000"/>
          <w:sz w:val="20"/>
          <w:szCs w:val="20"/>
          <w:lang w:val="es-ES_tradnl"/>
        </w:rPr>
        <w:t xml:space="preserve"> la eventual posibilidad de haber operado la extinción de la acción penal por prescripción.  </w:t>
      </w:r>
    </w:p>
    <w:p w14:paraId="1BB0EC2F" w14:textId="2E0B7C90" w:rsidR="00F33C6F" w:rsidRPr="00BE5D8A" w:rsidRDefault="00F33C6F" w:rsidP="00F33C6F">
      <w:pPr>
        <w:numPr>
          <w:ilvl w:val="0"/>
          <w:numId w:val="5"/>
        </w:numPr>
        <w:ind w:left="0" w:firstLine="720"/>
        <w:jc w:val="both"/>
        <w:rPr>
          <w:rFonts w:ascii="Cambria" w:hAnsi="Cambria" w:cs="Calibri Light"/>
          <w:color w:val="000000" w:themeColor="text1"/>
          <w:sz w:val="20"/>
          <w:szCs w:val="20"/>
          <w:lang w:val="es-ES_tradnl"/>
        </w:rPr>
      </w:pPr>
      <w:r w:rsidRPr="00BE5D8A">
        <w:rPr>
          <w:rFonts w:ascii="Cambria" w:hAnsi="Cambria" w:cs="Calibri Light"/>
          <w:color w:val="000000" w:themeColor="text1"/>
          <w:sz w:val="20"/>
          <w:szCs w:val="20"/>
          <w:lang w:val="es-ES_tradnl"/>
        </w:rPr>
        <w:lastRenderedPageBreak/>
        <w:t>En 2021</w:t>
      </w:r>
      <w:r w:rsidR="004B7C53" w:rsidRPr="00BE5D8A">
        <w:rPr>
          <w:rFonts w:ascii="Cambria" w:hAnsi="Cambria" w:cs="Calibri Light"/>
          <w:color w:val="000000" w:themeColor="text1"/>
          <w:sz w:val="20"/>
          <w:szCs w:val="20"/>
          <w:lang w:val="es-ES_tradnl"/>
        </w:rPr>
        <w:t>,</w:t>
      </w:r>
      <w:r w:rsidRPr="00BE5D8A">
        <w:rPr>
          <w:rFonts w:ascii="Cambria" w:hAnsi="Cambria" w:cs="Calibri Light"/>
          <w:color w:val="000000" w:themeColor="text1"/>
          <w:sz w:val="20"/>
          <w:szCs w:val="20"/>
          <w:lang w:val="es-ES_tradnl"/>
        </w:rPr>
        <w:t xml:space="preserve"> </w:t>
      </w:r>
      <w:r w:rsidR="001F04E8" w:rsidRPr="00BE5D8A">
        <w:rPr>
          <w:rFonts w:ascii="Cambria" w:hAnsi="Cambria" w:cs="Calibri Light"/>
          <w:color w:val="000000" w:themeColor="text1"/>
          <w:sz w:val="20"/>
          <w:szCs w:val="20"/>
          <w:lang w:val="es-ES_tradnl"/>
        </w:rPr>
        <w:t>la parte peticionaria informó</w:t>
      </w:r>
      <w:r w:rsidRPr="00BE5D8A">
        <w:rPr>
          <w:rFonts w:ascii="Cambria" w:hAnsi="Cambria" w:cs="Calibri Light"/>
          <w:color w:val="000000" w:themeColor="text1"/>
          <w:sz w:val="20"/>
          <w:szCs w:val="20"/>
          <w:lang w:val="es-ES_tradnl"/>
        </w:rPr>
        <w:t xml:space="preserve"> que </w:t>
      </w:r>
      <w:r w:rsidR="000D58E4" w:rsidRPr="00BE5D8A">
        <w:rPr>
          <w:rFonts w:ascii="Cambria" w:hAnsi="Cambria" w:cs="Calibri Light"/>
          <w:color w:val="000000" w:themeColor="text1"/>
          <w:sz w:val="20"/>
          <w:szCs w:val="20"/>
          <w:lang w:val="es-ES_tradnl"/>
        </w:rPr>
        <w:t xml:space="preserve">el Estado </w:t>
      </w:r>
      <w:r w:rsidR="00E226C5" w:rsidRPr="00BE5D8A">
        <w:rPr>
          <w:rFonts w:ascii="Cambria" w:hAnsi="Cambria" w:cs="Calibri Light"/>
          <w:color w:val="000000" w:themeColor="text1"/>
          <w:sz w:val="20"/>
          <w:szCs w:val="20"/>
          <w:lang w:val="es-ES_tradnl"/>
        </w:rPr>
        <w:t>todavía no ha practicado</w:t>
      </w:r>
      <w:r w:rsidRPr="00BE5D8A">
        <w:rPr>
          <w:rFonts w:ascii="Cambria" w:hAnsi="Cambria" w:cs="Calibri Light"/>
          <w:color w:val="000000" w:themeColor="text1"/>
          <w:sz w:val="20"/>
          <w:szCs w:val="20"/>
          <w:lang w:val="es-ES_tradnl"/>
        </w:rPr>
        <w:t xml:space="preserve"> la declaración del testigo principal </w:t>
      </w:r>
      <w:r w:rsidR="001F04E8" w:rsidRPr="00BE5D8A">
        <w:rPr>
          <w:rFonts w:ascii="Cambria" w:hAnsi="Cambria" w:cs="Calibri Light"/>
          <w:color w:val="000000" w:themeColor="text1"/>
          <w:sz w:val="20"/>
          <w:szCs w:val="20"/>
          <w:lang w:val="es-ES_tradnl"/>
        </w:rPr>
        <w:t>de</w:t>
      </w:r>
      <w:r w:rsidRPr="00BE5D8A">
        <w:rPr>
          <w:rFonts w:ascii="Cambria" w:hAnsi="Cambria" w:cs="Calibri Light"/>
          <w:color w:val="000000" w:themeColor="text1"/>
          <w:sz w:val="20"/>
          <w:szCs w:val="20"/>
          <w:lang w:val="es-ES_tradnl"/>
        </w:rPr>
        <w:t xml:space="preserve"> los hechos, </w:t>
      </w:r>
      <w:r w:rsidR="00E226C5" w:rsidRPr="00BE5D8A">
        <w:rPr>
          <w:rFonts w:ascii="Cambria" w:hAnsi="Cambria" w:cs="Calibri Light"/>
          <w:color w:val="000000" w:themeColor="text1"/>
          <w:sz w:val="20"/>
          <w:szCs w:val="20"/>
          <w:lang w:val="es-ES_tradnl"/>
        </w:rPr>
        <w:t>a pesar de que esto</w:t>
      </w:r>
      <w:r w:rsidR="001F04E8" w:rsidRPr="00BE5D8A">
        <w:rPr>
          <w:rFonts w:ascii="Cambria" w:hAnsi="Cambria" w:cs="Calibri Light"/>
          <w:color w:val="000000" w:themeColor="text1"/>
          <w:sz w:val="20"/>
          <w:szCs w:val="20"/>
          <w:lang w:val="es-ES_tradnl"/>
        </w:rPr>
        <w:t xml:space="preserve"> </w:t>
      </w:r>
      <w:r w:rsidRPr="00BE5D8A">
        <w:rPr>
          <w:rFonts w:ascii="Cambria" w:hAnsi="Cambria" w:cs="Calibri Light"/>
          <w:color w:val="000000" w:themeColor="text1"/>
          <w:sz w:val="20"/>
          <w:szCs w:val="20"/>
          <w:lang w:val="es-ES_tradnl"/>
        </w:rPr>
        <w:t>fue solicitad</w:t>
      </w:r>
      <w:r w:rsidR="001F04E8" w:rsidRPr="00BE5D8A">
        <w:rPr>
          <w:rFonts w:ascii="Cambria" w:hAnsi="Cambria" w:cs="Calibri Light"/>
          <w:color w:val="000000" w:themeColor="text1"/>
          <w:sz w:val="20"/>
          <w:szCs w:val="20"/>
          <w:lang w:val="es-ES_tradnl"/>
        </w:rPr>
        <w:t>o</w:t>
      </w:r>
      <w:r w:rsidRPr="00BE5D8A">
        <w:rPr>
          <w:rFonts w:ascii="Cambria" w:hAnsi="Cambria" w:cs="Calibri Light"/>
          <w:color w:val="000000" w:themeColor="text1"/>
          <w:sz w:val="20"/>
          <w:szCs w:val="20"/>
          <w:lang w:val="es-ES_tradnl"/>
        </w:rPr>
        <w:t xml:space="preserve"> </w:t>
      </w:r>
      <w:r w:rsidR="00E226C5" w:rsidRPr="00BE5D8A">
        <w:rPr>
          <w:rFonts w:ascii="Cambria" w:hAnsi="Cambria" w:cs="Calibri Light"/>
          <w:color w:val="000000" w:themeColor="text1"/>
          <w:sz w:val="20"/>
          <w:szCs w:val="20"/>
          <w:lang w:val="es-ES_tradnl"/>
        </w:rPr>
        <w:t xml:space="preserve">desde </w:t>
      </w:r>
      <w:r w:rsidRPr="00BE5D8A">
        <w:rPr>
          <w:rFonts w:ascii="Cambria" w:hAnsi="Cambria" w:cs="Calibri Light"/>
          <w:color w:val="000000" w:themeColor="text1"/>
          <w:sz w:val="20"/>
          <w:szCs w:val="20"/>
          <w:lang w:val="es-ES_tradnl"/>
        </w:rPr>
        <w:t xml:space="preserve">hace 7 años. </w:t>
      </w:r>
      <w:r w:rsidR="001F04E8" w:rsidRPr="00BE5D8A">
        <w:rPr>
          <w:rFonts w:ascii="Cambria" w:hAnsi="Cambria" w:cs="Calibri Light"/>
          <w:color w:val="000000" w:themeColor="text1"/>
          <w:sz w:val="20"/>
          <w:szCs w:val="20"/>
          <w:lang w:val="es-ES_tradnl"/>
        </w:rPr>
        <w:t>La parte peticionaria indicó que</w:t>
      </w:r>
      <w:r w:rsidR="00BE5D8A">
        <w:rPr>
          <w:rFonts w:ascii="Cambria" w:hAnsi="Cambria" w:cs="Calibri Light"/>
          <w:color w:val="000000" w:themeColor="text1"/>
          <w:sz w:val="20"/>
          <w:szCs w:val="20"/>
          <w:lang w:val="es-ES_tradnl"/>
        </w:rPr>
        <w:t>,</w:t>
      </w:r>
      <w:r w:rsidRPr="00BE5D8A">
        <w:rPr>
          <w:rFonts w:ascii="Cambria" w:hAnsi="Cambria" w:cs="Calibri Light"/>
          <w:color w:val="000000" w:themeColor="text1"/>
          <w:sz w:val="20"/>
          <w:szCs w:val="20"/>
          <w:lang w:val="es-ES_tradnl"/>
        </w:rPr>
        <w:t xml:space="preserve"> </w:t>
      </w:r>
      <w:r w:rsidR="001F04E8" w:rsidRPr="00BE5D8A">
        <w:rPr>
          <w:rFonts w:ascii="Cambria" w:hAnsi="Cambria" w:cs="Calibri Light"/>
          <w:color w:val="000000" w:themeColor="text1"/>
          <w:sz w:val="20"/>
          <w:szCs w:val="20"/>
          <w:lang w:val="es-ES_tradnl"/>
        </w:rPr>
        <w:t>aunque</w:t>
      </w:r>
      <w:r w:rsidRPr="00BE5D8A">
        <w:rPr>
          <w:rFonts w:ascii="Cambria" w:hAnsi="Cambria" w:cs="Calibri Light"/>
          <w:color w:val="000000" w:themeColor="text1"/>
          <w:sz w:val="20"/>
          <w:szCs w:val="20"/>
          <w:lang w:val="es-ES_tradnl"/>
        </w:rPr>
        <w:t xml:space="preserve"> en 2019 hubo posibilidad de materializar </w:t>
      </w:r>
      <w:r w:rsidR="001F04E8" w:rsidRPr="00BE5D8A">
        <w:rPr>
          <w:rFonts w:ascii="Cambria" w:hAnsi="Cambria" w:cs="Calibri Light"/>
          <w:color w:val="000000" w:themeColor="text1"/>
          <w:sz w:val="20"/>
          <w:szCs w:val="20"/>
          <w:lang w:val="es-ES_tradnl"/>
        </w:rPr>
        <w:t>esta</w:t>
      </w:r>
      <w:r w:rsidRPr="00BE5D8A">
        <w:rPr>
          <w:rFonts w:ascii="Cambria" w:hAnsi="Cambria" w:cs="Calibri Light"/>
          <w:color w:val="000000" w:themeColor="text1"/>
          <w:sz w:val="20"/>
          <w:szCs w:val="20"/>
          <w:lang w:val="es-ES_tradnl"/>
        </w:rPr>
        <w:t xml:space="preserve"> medida, la pandemia por el Covid-19 </w:t>
      </w:r>
      <w:r w:rsidR="001F04E8" w:rsidRPr="00BE5D8A">
        <w:rPr>
          <w:rFonts w:ascii="Cambria" w:hAnsi="Cambria" w:cs="Calibri Light"/>
          <w:color w:val="000000" w:themeColor="text1"/>
          <w:sz w:val="20"/>
          <w:szCs w:val="20"/>
          <w:lang w:val="es-ES_tradnl"/>
        </w:rPr>
        <w:t xml:space="preserve">dilató el cumplimiento de </w:t>
      </w:r>
      <w:r w:rsidR="00E226C5" w:rsidRPr="00BE5D8A">
        <w:rPr>
          <w:rFonts w:ascii="Cambria" w:hAnsi="Cambria" w:cs="Calibri Light"/>
          <w:color w:val="000000" w:themeColor="text1"/>
          <w:sz w:val="20"/>
          <w:szCs w:val="20"/>
          <w:lang w:val="es-ES_tradnl"/>
        </w:rPr>
        <w:t>la</w:t>
      </w:r>
      <w:r w:rsidRPr="00BE5D8A">
        <w:rPr>
          <w:rFonts w:ascii="Cambria" w:hAnsi="Cambria" w:cs="Calibri Light"/>
          <w:color w:val="000000" w:themeColor="text1"/>
          <w:sz w:val="20"/>
          <w:szCs w:val="20"/>
          <w:lang w:val="es-ES_tradnl"/>
        </w:rPr>
        <w:t xml:space="preserve"> solicitud.</w:t>
      </w:r>
    </w:p>
    <w:p w14:paraId="385BEE8D" w14:textId="77777777" w:rsidR="00CA0A9E" w:rsidRPr="008244C7" w:rsidRDefault="00CA0A9E" w:rsidP="00F33C6F">
      <w:pPr>
        <w:rPr>
          <w:rFonts w:ascii="Cambria" w:hAnsi="Cambria" w:cs="Calibri Light"/>
          <w:color w:val="000000"/>
          <w:sz w:val="20"/>
          <w:szCs w:val="20"/>
          <w:lang w:val="es-ES_tradnl"/>
        </w:rPr>
      </w:pPr>
    </w:p>
    <w:p w14:paraId="5033CD7A" w14:textId="7941F9C7" w:rsidR="00CF0270" w:rsidRPr="008244C7" w:rsidRDefault="00CA0A9E" w:rsidP="00C410E9">
      <w:pPr>
        <w:numPr>
          <w:ilvl w:val="0"/>
          <w:numId w:val="5"/>
        </w:numPr>
        <w:ind w:left="0" w:firstLine="720"/>
        <w:jc w:val="both"/>
        <w:rPr>
          <w:rFonts w:ascii="Cambria" w:hAnsi="Cambria" w:cs="Calibri Light"/>
          <w:color w:val="000000" w:themeColor="text1"/>
          <w:sz w:val="20"/>
          <w:szCs w:val="20"/>
          <w:lang w:val="es-ES_tradnl"/>
        </w:rPr>
      </w:pPr>
      <w:r w:rsidRPr="008244C7">
        <w:rPr>
          <w:rFonts w:ascii="Cambria" w:hAnsi="Cambria" w:cs="Calibri Light"/>
          <w:color w:val="000000" w:themeColor="text1"/>
          <w:sz w:val="20"/>
          <w:szCs w:val="20"/>
          <w:lang w:val="es-ES_tradnl"/>
        </w:rPr>
        <w:t>En 2020, el Estado presentó información que reitera datos y argumentos</w:t>
      </w:r>
      <w:r w:rsidRPr="008244C7">
        <w:rPr>
          <w:rFonts w:ascii="Cambria" w:hAnsi="Cambria" w:cs="Calibri Light"/>
          <w:color w:val="000000" w:themeColor="text1"/>
          <w:sz w:val="20"/>
          <w:szCs w:val="20"/>
          <w:lang w:val="es-ES"/>
        </w:rPr>
        <w:t xml:space="preserve"> presentados en años anteriores. </w:t>
      </w:r>
    </w:p>
    <w:p w14:paraId="6E5E9C5B" w14:textId="77777777" w:rsidR="00CF0270" w:rsidRPr="008244C7" w:rsidRDefault="00CF0270" w:rsidP="00CF0270">
      <w:pPr>
        <w:pStyle w:val="ListParagraph"/>
        <w:rPr>
          <w:rFonts w:ascii="Cambria" w:hAnsi="Cambria" w:cs="Calibri Light"/>
          <w:color w:val="000000" w:themeColor="text1"/>
          <w:sz w:val="20"/>
          <w:szCs w:val="20"/>
          <w:lang w:val="es-ES"/>
        </w:rPr>
      </w:pPr>
    </w:p>
    <w:p w14:paraId="39DB787B" w14:textId="077F4A08" w:rsidR="00CA0A9E" w:rsidRPr="00526D29" w:rsidRDefault="00CF0270" w:rsidP="00C410E9">
      <w:pPr>
        <w:numPr>
          <w:ilvl w:val="0"/>
          <w:numId w:val="5"/>
        </w:numPr>
        <w:ind w:left="0" w:firstLine="720"/>
        <w:jc w:val="both"/>
        <w:rPr>
          <w:rFonts w:ascii="Cambria" w:hAnsi="Cambria" w:cs="Calibri Light"/>
          <w:color w:val="000000" w:themeColor="text1"/>
          <w:sz w:val="20"/>
          <w:szCs w:val="20"/>
          <w:lang w:val="es-ES_tradnl"/>
        </w:rPr>
      </w:pPr>
      <w:r w:rsidRPr="00526D29">
        <w:rPr>
          <w:rFonts w:ascii="Cambria" w:hAnsi="Cambria" w:cs="Calibri Light"/>
          <w:color w:val="000000" w:themeColor="text1"/>
          <w:sz w:val="20"/>
          <w:szCs w:val="20"/>
          <w:lang w:val="es-ES"/>
        </w:rPr>
        <w:t>La</w:t>
      </w:r>
      <w:r w:rsidR="00CA0A9E" w:rsidRPr="00526D29">
        <w:rPr>
          <w:rFonts w:ascii="Cambria" w:hAnsi="Cambria" w:cs="Calibri Light"/>
          <w:color w:val="000000" w:themeColor="text1"/>
          <w:sz w:val="20"/>
          <w:szCs w:val="20"/>
          <w:lang w:val="es-ES"/>
        </w:rPr>
        <w:t xml:space="preserve"> CIDH </w:t>
      </w:r>
      <w:r w:rsidRPr="00526D29">
        <w:rPr>
          <w:rFonts w:ascii="Cambria" w:hAnsi="Cambria" w:cs="Calibri Light"/>
          <w:color w:val="000000" w:themeColor="text1"/>
          <w:sz w:val="20"/>
          <w:szCs w:val="20"/>
          <w:lang w:val="es-ES"/>
        </w:rPr>
        <w:t xml:space="preserve">agradece la información presentada por </w:t>
      </w:r>
      <w:r w:rsidR="001F04E8" w:rsidRPr="00526D29">
        <w:rPr>
          <w:rFonts w:ascii="Cambria" w:hAnsi="Cambria" w:cs="Calibri Light"/>
          <w:color w:val="000000" w:themeColor="text1"/>
          <w:sz w:val="20"/>
          <w:szCs w:val="20"/>
          <w:lang w:val="es-ES"/>
        </w:rPr>
        <w:t>la parte peticionaria</w:t>
      </w:r>
      <w:r w:rsidR="00C8698F" w:rsidRPr="00526D29">
        <w:rPr>
          <w:rFonts w:ascii="Cambria" w:hAnsi="Cambria" w:cs="Calibri Light"/>
          <w:color w:val="000000" w:themeColor="text1"/>
          <w:sz w:val="20"/>
          <w:szCs w:val="20"/>
          <w:lang w:val="es-ES"/>
        </w:rPr>
        <w:t xml:space="preserve">. </w:t>
      </w:r>
      <w:r w:rsidR="001F04E8" w:rsidRPr="00526D29">
        <w:rPr>
          <w:rFonts w:ascii="Cambria" w:hAnsi="Cambria" w:cs="Calibri Light"/>
          <w:color w:val="000000" w:themeColor="text1"/>
          <w:sz w:val="20"/>
          <w:szCs w:val="20"/>
          <w:lang w:val="es-ES"/>
        </w:rPr>
        <w:t>Sin embargo, a</w:t>
      </w:r>
      <w:r w:rsidR="00C8698F" w:rsidRPr="00526D29">
        <w:rPr>
          <w:rFonts w:ascii="Cambria" w:hAnsi="Cambria" w:cs="Calibri Light"/>
          <w:color w:val="000000" w:themeColor="text1"/>
          <w:sz w:val="20"/>
          <w:szCs w:val="20"/>
          <w:lang w:val="es-ES"/>
        </w:rPr>
        <w:t xml:space="preserve">nte la ausencia de información proporcionada </w:t>
      </w:r>
      <w:r w:rsidR="001F04E8" w:rsidRPr="00526D29">
        <w:rPr>
          <w:rFonts w:ascii="Cambria" w:hAnsi="Cambria" w:cs="Calibri Light"/>
          <w:color w:val="000000" w:themeColor="text1"/>
          <w:sz w:val="20"/>
          <w:szCs w:val="20"/>
          <w:lang w:val="es-ES"/>
        </w:rPr>
        <w:t xml:space="preserve">que indique algún avance en el cumplimiento de </w:t>
      </w:r>
      <w:r w:rsidR="00C8698F" w:rsidRPr="00526D29">
        <w:rPr>
          <w:rFonts w:ascii="Cambria" w:hAnsi="Cambria" w:cs="Calibri Light"/>
          <w:color w:val="000000" w:themeColor="text1"/>
          <w:sz w:val="20"/>
          <w:szCs w:val="20"/>
          <w:lang w:val="es-ES"/>
        </w:rPr>
        <w:t>esta recomendación, la CIDH invita a</w:t>
      </w:r>
      <w:r w:rsidR="001F04E8" w:rsidRPr="00526D29">
        <w:rPr>
          <w:rFonts w:ascii="Cambria" w:hAnsi="Cambria" w:cs="Calibri Light"/>
          <w:color w:val="000000" w:themeColor="text1"/>
          <w:sz w:val="20"/>
          <w:szCs w:val="20"/>
          <w:lang w:val="es-ES"/>
        </w:rPr>
        <w:t>l Estado a</w:t>
      </w:r>
      <w:r w:rsidR="00C8698F" w:rsidRPr="00526D29">
        <w:rPr>
          <w:rFonts w:ascii="Cambria" w:hAnsi="Cambria" w:cs="Calibri Light"/>
          <w:color w:val="000000" w:themeColor="text1"/>
          <w:sz w:val="20"/>
          <w:szCs w:val="20"/>
          <w:lang w:val="es-ES"/>
        </w:rPr>
        <w:t xml:space="preserve"> proporcionar información que dé cuenta del</w:t>
      </w:r>
      <w:r w:rsidRPr="00526D29">
        <w:rPr>
          <w:rFonts w:ascii="Cambria" w:hAnsi="Cambria" w:cs="Calibri Light"/>
          <w:color w:val="000000" w:themeColor="text1"/>
          <w:sz w:val="20"/>
          <w:szCs w:val="20"/>
          <w:lang w:val="es-ES"/>
        </w:rPr>
        <w:t xml:space="preserve"> desarrollo de</w:t>
      </w:r>
      <w:r w:rsidR="00526D29">
        <w:rPr>
          <w:rFonts w:ascii="Cambria" w:hAnsi="Cambria" w:cs="Calibri Light"/>
          <w:color w:val="000000" w:themeColor="text1"/>
          <w:sz w:val="20"/>
          <w:szCs w:val="20"/>
          <w:lang w:val="es-ES"/>
        </w:rPr>
        <w:t xml:space="preserve"> la </w:t>
      </w:r>
      <w:proofErr w:type="gramStart"/>
      <w:r w:rsidR="00526D29">
        <w:rPr>
          <w:rFonts w:ascii="Cambria" w:hAnsi="Cambria" w:cs="Calibri Light"/>
          <w:color w:val="000000" w:themeColor="text1"/>
          <w:sz w:val="20"/>
          <w:szCs w:val="20"/>
          <w:lang w:val="es-ES"/>
        </w:rPr>
        <w:t>investigación</w:t>
      </w:r>
      <w:r w:rsidRPr="00526D29">
        <w:rPr>
          <w:rFonts w:ascii="Cambria" w:hAnsi="Cambria" w:cs="Calibri Light"/>
          <w:color w:val="000000" w:themeColor="text1"/>
          <w:sz w:val="20"/>
          <w:szCs w:val="20"/>
          <w:lang w:val="es-ES"/>
        </w:rPr>
        <w:t xml:space="preserve"> </w:t>
      </w:r>
      <w:r w:rsidR="00E226C5" w:rsidRPr="00526D29">
        <w:rPr>
          <w:rFonts w:ascii="Cambria" w:hAnsi="Cambria" w:cs="Calibri Light"/>
          <w:color w:val="000000" w:themeColor="text1"/>
          <w:sz w:val="20"/>
          <w:szCs w:val="20"/>
          <w:lang w:val="es-ES"/>
        </w:rPr>
        <w:t xml:space="preserve"> penal</w:t>
      </w:r>
      <w:proofErr w:type="gramEnd"/>
      <w:r w:rsidR="00E226C5" w:rsidRPr="00526D29">
        <w:rPr>
          <w:rFonts w:ascii="Cambria" w:hAnsi="Cambria" w:cs="Calibri Light"/>
          <w:color w:val="000000" w:themeColor="text1"/>
          <w:sz w:val="20"/>
          <w:szCs w:val="20"/>
          <w:lang w:val="es-ES"/>
        </w:rPr>
        <w:t xml:space="preserve"> por los hechos de este caso. </w:t>
      </w:r>
      <w:r w:rsidR="001F04E8" w:rsidRPr="00526D29">
        <w:rPr>
          <w:rFonts w:ascii="Cambria" w:hAnsi="Cambria" w:cs="Calibri Light"/>
          <w:color w:val="000000" w:themeColor="text1"/>
          <w:sz w:val="20"/>
          <w:szCs w:val="20"/>
          <w:lang w:val="es-ES"/>
        </w:rPr>
        <w:t>A la espera de esta información</w:t>
      </w:r>
      <w:r w:rsidRPr="00526D29">
        <w:rPr>
          <w:rFonts w:ascii="Cambria" w:hAnsi="Cambria" w:cs="Calibri Light"/>
          <w:color w:val="000000" w:themeColor="text1"/>
          <w:sz w:val="20"/>
          <w:szCs w:val="20"/>
          <w:lang w:val="es-ES"/>
        </w:rPr>
        <w:t xml:space="preserve">, la Comisión </w:t>
      </w:r>
      <w:r w:rsidR="00CA0A9E" w:rsidRPr="00526D29">
        <w:rPr>
          <w:rFonts w:ascii="Cambria" w:hAnsi="Cambria" w:cs="Calibri Light"/>
          <w:color w:val="000000" w:themeColor="text1"/>
          <w:sz w:val="20"/>
          <w:szCs w:val="20"/>
          <w:lang w:val="es-ES"/>
        </w:rPr>
        <w:t xml:space="preserve">considera que la segunda recomendación </w:t>
      </w:r>
      <w:r w:rsidR="00A415D6" w:rsidRPr="00526D29">
        <w:rPr>
          <w:rFonts w:ascii="Cambria" w:hAnsi="Cambria" w:cs="Calibri Light"/>
          <w:color w:val="000000" w:themeColor="text1"/>
          <w:sz w:val="20"/>
          <w:szCs w:val="20"/>
          <w:lang w:val="es-ES"/>
        </w:rPr>
        <w:t>continúa</w:t>
      </w:r>
      <w:r w:rsidR="00CA0A9E" w:rsidRPr="00526D29">
        <w:rPr>
          <w:rFonts w:ascii="Cambria" w:hAnsi="Cambria" w:cs="Calibri Light"/>
          <w:color w:val="000000" w:themeColor="text1"/>
          <w:sz w:val="20"/>
          <w:szCs w:val="20"/>
          <w:lang w:val="es-ES"/>
        </w:rPr>
        <w:t xml:space="preserve"> parcialmente cumplida.  </w:t>
      </w:r>
    </w:p>
    <w:p w14:paraId="33A9D7AF" w14:textId="77777777" w:rsidR="00CA0A9E" w:rsidRPr="008244C7" w:rsidRDefault="00CA0A9E" w:rsidP="00CA0A9E">
      <w:pPr>
        <w:pStyle w:val="ListParagraph"/>
        <w:rPr>
          <w:rFonts w:ascii="Cambria" w:hAnsi="Cambria" w:cs="Calibri Light"/>
          <w:b/>
          <w:color w:val="000000"/>
          <w:sz w:val="20"/>
          <w:szCs w:val="20"/>
          <w:lang w:val="es-US"/>
        </w:rPr>
      </w:pPr>
    </w:p>
    <w:p w14:paraId="15C4159D" w14:textId="3B8A2A02" w:rsidR="00CA0A9E" w:rsidRPr="008244C7" w:rsidRDefault="00CA0A9E" w:rsidP="00C410E9">
      <w:pPr>
        <w:numPr>
          <w:ilvl w:val="0"/>
          <w:numId w:val="5"/>
        </w:numPr>
        <w:ind w:left="0" w:firstLine="720"/>
        <w:jc w:val="both"/>
        <w:rPr>
          <w:rFonts w:ascii="Cambria" w:hAnsi="Cambria" w:cs="Calibri Light"/>
          <w:color w:val="FF0000"/>
          <w:sz w:val="20"/>
          <w:szCs w:val="20"/>
          <w:lang w:val="es-ES_tradnl"/>
        </w:rPr>
      </w:pPr>
      <w:r w:rsidRPr="008244C7">
        <w:rPr>
          <w:rFonts w:ascii="Cambria" w:hAnsi="Cambria" w:cs="Calibri Light"/>
          <w:b/>
          <w:color w:val="000000"/>
          <w:sz w:val="20"/>
          <w:szCs w:val="20"/>
          <w:lang w:val="es-US"/>
        </w:rPr>
        <w:t xml:space="preserve">Respecto de la tercera recomendación, </w:t>
      </w:r>
      <w:r w:rsidRPr="008244C7">
        <w:rPr>
          <w:rFonts w:ascii="Cambria" w:hAnsi="Cambria" w:cs="Calibri Light"/>
          <w:color w:val="000000"/>
          <w:sz w:val="20"/>
          <w:szCs w:val="20"/>
          <w:lang w:val="es-US"/>
        </w:rPr>
        <w:t xml:space="preserve">en su comunicación de 2019, los peticionarios informaron que en el caso de las medidas legislativas ordenadas por la Comisión en el Informe </w:t>
      </w:r>
      <w:proofErr w:type="spellStart"/>
      <w:r w:rsidRPr="008244C7">
        <w:rPr>
          <w:rFonts w:ascii="Cambria" w:hAnsi="Cambria" w:cs="Calibri Light"/>
          <w:color w:val="000000"/>
          <w:sz w:val="20"/>
          <w:szCs w:val="20"/>
          <w:lang w:val="es-ES_tradnl"/>
        </w:rPr>
        <w:t>Nº</w:t>
      </w:r>
      <w:proofErr w:type="spellEnd"/>
      <w:r w:rsidRPr="008244C7">
        <w:rPr>
          <w:rFonts w:ascii="Cambria" w:hAnsi="Cambria" w:cs="Calibri Light"/>
          <w:color w:val="000000"/>
          <w:sz w:val="20"/>
          <w:szCs w:val="20"/>
          <w:lang w:val="es-ES_tradnl"/>
        </w:rPr>
        <w:t xml:space="preserve"> 66/12</w:t>
      </w:r>
      <w:r w:rsidR="007E2C8B">
        <w:rPr>
          <w:rFonts w:ascii="Cambria" w:hAnsi="Cambria" w:cs="Calibri Light"/>
          <w:color w:val="000000"/>
          <w:sz w:val="20"/>
          <w:szCs w:val="20"/>
          <w:lang w:val="es-ES_tradnl"/>
        </w:rPr>
        <w:t>,</w:t>
      </w:r>
      <w:r w:rsidRPr="008244C7">
        <w:rPr>
          <w:rFonts w:ascii="Cambria" w:hAnsi="Cambria" w:cs="Calibri Light"/>
          <w:color w:val="000000"/>
          <w:sz w:val="20"/>
          <w:szCs w:val="20"/>
          <w:lang w:val="es-ES_tradnl"/>
        </w:rPr>
        <w:t xml:space="preserve"> éstas se habrían ejecutado de forma sustancial por lo que resultó innecesario habilitar la jurisdicción contenciosa de la Corte Interamericana de Derechos Humanos. Los peticionarios no aportaron información adicional o detallada sobre las medidas adoptadas por el Estado para avanzar en el cumplimiento de esta recomendación.</w:t>
      </w:r>
    </w:p>
    <w:p w14:paraId="020F0E81" w14:textId="77777777" w:rsidR="00F33C6F" w:rsidRPr="008244C7" w:rsidRDefault="00F33C6F" w:rsidP="00F33C6F">
      <w:pPr>
        <w:pStyle w:val="ListParagraph"/>
        <w:rPr>
          <w:rFonts w:ascii="Cambria" w:hAnsi="Cambria" w:cs="Calibri Light"/>
          <w:color w:val="FF0000"/>
          <w:sz w:val="20"/>
          <w:szCs w:val="20"/>
          <w:lang w:val="es-ES_tradnl"/>
        </w:rPr>
      </w:pPr>
    </w:p>
    <w:p w14:paraId="1B28ABFC" w14:textId="5215BCDD" w:rsidR="00CF0270" w:rsidRPr="00BB166E" w:rsidRDefault="00F33C6F" w:rsidP="009B2178">
      <w:pPr>
        <w:numPr>
          <w:ilvl w:val="0"/>
          <w:numId w:val="5"/>
        </w:numPr>
        <w:ind w:left="0" w:firstLine="720"/>
        <w:jc w:val="both"/>
        <w:rPr>
          <w:rFonts w:ascii="Cambria" w:hAnsi="Cambria" w:cs="Calibri Light"/>
          <w:color w:val="000000" w:themeColor="text1"/>
          <w:sz w:val="20"/>
          <w:szCs w:val="20"/>
          <w:lang w:val="es-ES_tradnl"/>
        </w:rPr>
      </w:pPr>
      <w:r w:rsidRPr="00BB166E">
        <w:rPr>
          <w:rFonts w:ascii="Cambria" w:hAnsi="Cambria" w:cs="Calibri Light"/>
          <w:color w:val="000000" w:themeColor="text1"/>
          <w:sz w:val="20"/>
          <w:szCs w:val="20"/>
          <w:lang w:val="es-ES_tradnl"/>
        </w:rPr>
        <w:t>En 2021</w:t>
      </w:r>
      <w:r w:rsidR="009B2178" w:rsidRPr="00BB166E">
        <w:rPr>
          <w:rFonts w:ascii="Cambria" w:hAnsi="Cambria" w:cs="Calibri Light"/>
          <w:color w:val="000000" w:themeColor="text1"/>
          <w:sz w:val="20"/>
          <w:szCs w:val="20"/>
          <w:lang w:val="es-ES_tradnl"/>
        </w:rPr>
        <w:t>,</w:t>
      </w:r>
      <w:r w:rsidRPr="00BB166E">
        <w:rPr>
          <w:rFonts w:ascii="Cambria" w:hAnsi="Cambria" w:cs="Calibri Light"/>
          <w:color w:val="000000" w:themeColor="text1"/>
          <w:sz w:val="20"/>
          <w:szCs w:val="20"/>
          <w:lang w:val="es-ES_tradnl"/>
        </w:rPr>
        <w:t xml:space="preserve"> </w:t>
      </w:r>
      <w:r w:rsidR="00D817A5" w:rsidRPr="00BB166E">
        <w:rPr>
          <w:rFonts w:ascii="Cambria" w:hAnsi="Cambria" w:cs="Calibri Light"/>
          <w:color w:val="000000" w:themeColor="text1"/>
          <w:sz w:val="20"/>
          <w:szCs w:val="20"/>
          <w:lang w:val="es-ES_tradnl"/>
        </w:rPr>
        <w:t xml:space="preserve">la parte peticionaria </w:t>
      </w:r>
      <w:r w:rsidR="000A7805" w:rsidRPr="00BB166E">
        <w:rPr>
          <w:rFonts w:ascii="Cambria" w:hAnsi="Cambria" w:cs="Calibri Light"/>
          <w:color w:val="000000" w:themeColor="text1"/>
          <w:sz w:val="20"/>
          <w:szCs w:val="20"/>
          <w:lang w:val="es-ES_tradnl"/>
        </w:rPr>
        <w:t>consideró</w:t>
      </w:r>
      <w:r w:rsidRPr="00BB166E">
        <w:rPr>
          <w:rFonts w:ascii="Cambria" w:hAnsi="Cambria" w:cs="Calibri Light"/>
          <w:color w:val="000000" w:themeColor="text1"/>
          <w:sz w:val="20"/>
          <w:szCs w:val="20"/>
          <w:lang w:val="es-ES_tradnl"/>
        </w:rPr>
        <w:t xml:space="preserve"> que</w:t>
      </w:r>
      <w:r w:rsidR="00D817A5" w:rsidRPr="00BB166E">
        <w:rPr>
          <w:rFonts w:ascii="Cambria" w:hAnsi="Cambria" w:cs="Calibri Light"/>
          <w:color w:val="000000" w:themeColor="text1"/>
          <w:sz w:val="20"/>
          <w:szCs w:val="20"/>
          <w:lang w:val="es-ES_tradnl"/>
        </w:rPr>
        <w:t xml:space="preserve"> fue positiva</w:t>
      </w:r>
      <w:r w:rsidRPr="00BB166E">
        <w:rPr>
          <w:rFonts w:ascii="Cambria" w:hAnsi="Cambria" w:cs="Calibri Light"/>
          <w:color w:val="000000" w:themeColor="text1"/>
          <w:sz w:val="20"/>
          <w:szCs w:val="20"/>
          <w:lang w:val="es-ES_tradnl"/>
        </w:rPr>
        <w:t xml:space="preserve"> la modificación </w:t>
      </w:r>
      <w:r w:rsidR="000A7805" w:rsidRPr="00BB166E">
        <w:rPr>
          <w:rFonts w:ascii="Cambria" w:hAnsi="Cambria" w:cs="Calibri Light"/>
          <w:color w:val="000000" w:themeColor="text1"/>
          <w:sz w:val="20"/>
          <w:szCs w:val="20"/>
          <w:lang w:val="es-ES_tradnl"/>
        </w:rPr>
        <w:t>realizada a</w:t>
      </w:r>
      <w:r w:rsidRPr="00BB166E">
        <w:rPr>
          <w:rFonts w:ascii="Cambria" w:hAnsi="Cambria" w:cs="Calibri Light"/>
          <w:color w:val="000000" w:themeColor="text1"/>
          <w:sz w:val="20"/>
          <w:szCs w:val="20"/>
          <w:lang w:val="es-ES_tradnl"/>
        </w:rPr>
        <w:t>l Código Procesal Penal</w:t>
      </w:r>
      <w:r w:rsidR="00FE0E7B" w:rsidRPr="00BB166E">
        <w:rPr>
          <w:rFonts w:ascii="Cambria" w:hAnsi="Cambria" w:cs="Calibri Light"/>
          <w:color w:val="000000" w:themeColor="text1"/>
          <w:sz w:val="20"/>
          <w:szCs w:val="20"/>
          <w:lang w:val="es-ES_tradnl"/>
        </w:rPr>
        <w:t xml:space="preserve"> </w:t>
      </w:r>
      <w:r w:rsidR="000A7805" w:rsidRPr="00BB166E">
        <w:rPr>
          <w:rFonts w:ascii="Cambria" w:hAnsi="Cambria" w:cs="Calibri Light"/>
          <w:color w:val="000000" w:themeColor="text1"/>
          <w:sz w:val="20"/>
          <w:szCs w:val="20"/>
          <w:lang w:val="es-ES_tradnl"/>
        </w:rPr>
        <w:t>de</w:t>
      </w:r>
      <w:r w:rsidR="00FE0E7B" w:rsidRPr="00BB166E">
        <w:rPr>
          <w:rFonts w:ascii="Cambria" w:hAnsi="Cambria" w:cs="Calibri Light"/>
          <w:color w:val="000000" w:themeColor="text1"/>
          <w:sz w:val="20"/>
          <w:szCs w:val="20"/>
          <w:lang w:val="es-ES_tradnl"/>
        </w:rPr>
        <w:t xml:space="preserve"> la provincia de Santa F</w:t>
      </w:r>
      <w:r w:rsidR="00FF0906" w:rsidRPr="00BB166E">
        <w:rPr>
          <w:rFonts w:ascii="Cambria" w:hAnsi="Cambria" w:cs="Calibri Light"/>
          <w:color w:val="000000" w:themeColor="text1"/>
          <w:sz w:val="20"/>
          <w:szCs w:val="20"/>
          <w:lang w:val="es-ES_tradnl"/>
        </w:rPr>
        <w:t>e</w:t>
      </w:r>
      <w:r w:rsidR="00D817A5" w:rsidRPr="00BB166E">
        <w:rPr>
          <w:rFonts w:ascii="Cambria" w:hAnsi="Cambria" w:cs="Calibri Light"/>
          <w:color w:val="000000" w:themeColor="text1"/>
          <w:sz w:val="20"/>
          <w:szCs w:val="20"/>
          <w:lang w:val="es-ES_tradnl"/>
        </w:rPr>
        <w:t xml:space="preserve"> </w:t>
      </w:r>
      <w:r w:rsidR="000A7805" w:rsidRPr="00BB166E">
        <w:rPr>
          <w:rFonts w:ascii="Cambria" w:hAnsi="Cambria" w:cs="Calibri Light"/>
          <w:color w:val="000000" w:themeColor="text1"/>
          <w:sz w:val="20"/>
          <w:szCs w:val="20"/>
          <w:lang w:val="es-ES_tradnl"/>
        </w:rPr>
        <w:t xml:space="preserve">considerando que </w:t>
      </w:r>
      <w:r w:rsidRPr="00BB166E">
        <w:rPr>
          <w:rFonts w:ascii="Cambria" w:hAnsi="Cambria" w:cs="Calibri Light"/>
          <w:color w:val="000000" w:themeColor="text1"/>
          <w:sz w:val="20"/>
          <w:szCs w:val="20"/>
          <w:lang w:val="es-ES_tradnl"/>
        </w:rPr>
        <w:t xml:space="preserve">respeta los estándares fijados </w:t>
      </w:r>
      <w:r w:rsidR="00D817A5" w:rsidRPr="00BB166E">
        <w:rPr>
          <w:rFonts w:ascii="Cambria" w:hAnsi="Cambria" w:cs="Calibri Light"/>
          <w:color w:val="000000" w:themeColor="text1"/>
          <w:sz w:val="20"/>
          <w:szCs w:val="20"/>
          <w:lang w:val="es-ES_tradnl"/>
        </w:rPr>
        <w:t>en</w:t>
      </w:r>
      <w:r w:rsidRPr="00BB166E">
        <w:rPr>
          <w:rFonts w:ascii="Cambria" w:hAnsi="Cambria" w:cs="Calibri Light"/>
          <w:color w:val="000000" w:themeColor="text1"/>
          <w:sz w:val="20"/>
          <w:szCs w:val="20"/>
          <w:lang w:val="es-ES_tradnl"/>
        </w:rPr>
        <w:t xml:space="preserve"> el Informe</w:t>
      </w:r>
      <w:r w:rsidR="00D817A5" w:rsidRPr="00BB166E">
        <w:rPr>
          <w:rFonts w:ascii="Cambria" w:hAnsi="Cambria" w:cs="Calibri Light"/>
          <w:color w:val="000000" w:themeColor="text1"/>
          <w:sz w:val="20"/>
          <w:szCs w:val="20"/>
          <w:lang w:val="es-ES_tradnl"/>
        </w:rPr>
        <w:t xml:space="preserve"> de Fondo</w:t>
      </w:r>
      <w:r w:rsidRPr="00BB166E">
        <w:rPr>
          <w:rFonts w:ascii="Cambria" w:hAnsi="Cambria" w:cs="Calibri Light"/>
          <w:color w:val="000000" w:themeColor="text1"/>
          <w:sz w:val="20"/>
          <w:szCs w:val="20"/>
          <w:lang w:val="es-ES_tradnl"/>
        </w:rPr>
        <w:t xml:space="preserve"> </w:t>
      </w:r>
      <w:proofErr w:type="spellStart"/>
      <w:r w:rsidR="00D817A5" w:rsidRPr="00BB166E">
        <w:rPr>
          <w:rFonts w:ascii="Cambria" w:hAnsi="Cambria" w:cs="Calibri Light"/>
          <w:color w:val="000000" w:themeColor="text1"/>
          <w:sz w:val="20"/>
          <w:szCs w:val="20"/>
          <w:lang w:val="es-ES_tradnl"/>
        </w:rPr>
        <w:t>Nº</w:t>
      </w:r>
      <w:proofErr w:type="spellEnd"/>
      <w:r w:rsidRPr="00BB166E">
        <w:rPr>
          <w:rFonts w:ascii="Cambria" w:hAnsi="Cambria" w:cs="Calibri Light"/>
          <w:color w:val="000000" w:themeColor="text1"/>
          <w:sz w:val="20"/>
          <w:szCs w:val="20"/>
          <w:lang w:val="es-ES_tradnl"/>
        </w:rPr>
        <w:t xml:space="preserve"> 66/12</w:t>
      </w:r>
      <w:r w:rsidR="000A7805" w:rsidRPr="00BB166E">
        <w:rPr>
          <w:rFonts w:ascii="Cambria" w:hAnsi="Cambria" w:cs="Calibri Light"/>
          <w:color w:val="000000" w:themeColor="text1"/>
          <w:sz w:val="20"/>
          <w:szCs w:val="20"/>
          <w:lang w:val="es-ES_tradnl"/>
        </w:rPr>
        <w:t xml:space="preserve"> e introduce los principios de oralidad, contradicción, publicidad, inmediatez, simplificación y celeridad en las investigaciones y procesos penales</w:t>
      </w:r>
      <w:r w:rsidRPr="00BB166E">
        <w:rPr>
          <w:rFonts w:ascii="Cambria" w:hAnsi="Cambria" w:cs="Calibri Light"/>
          <w:color w:val="000000" w:themeColor="text1"/>
          <w:sz w:val="20"/>
          <w:szCs w:val="20"/>
          <w:lang w:val="es-ES_tradnl"/>
        </w:rPr>
        <w:t>.</w:t>
      </w:r>
      <w:r w:rsidR="00C37D8E" w:rsidRPr="00BB166E">
        <w:rPr>
          <w:rFonts w:ascii="Cambria" w:hAnsi="Cambria" w:cs="Calibri Light"/>
          <w:color w:val="000000" w:themeColor="text1"/>
          <w:sz w:val="20"/>
          <w:szCs w:val="20"/>
          <w:lang w:val="es-ES_tradnl"/>
        </w:rPr>
        <w:t xml:space="preserve"> </w:t>
      </w:r>
      <w:r w:rsidR="00350CF6" w:rsidRPr="00BB166E">
        <w:rPr>
          <w:rFonts w:ascii="Cambria" w:hAnsi="Cambria" w:cs="Calibri Light"/>
          <w:color w:val="000000" w:themeColor="text1"/>
          <w:sz w:val="20"/>
          <w:szCs w:val="20"/>
          <w:lang w:val="es-ES_tradnl"/>
        </w:rPr>
        <w:t>Según</w:t>
      </w:r>
      <w:r w:rsidR="00FE0E7B" w:rsidRPr="00BB166E">
        <w:rPr>
          <w:rFonts w:ascii="Cambria" w:hAnsi="Cambria" w:cs="Calibri Light"/>
          <w:color w:val="000000" w:themeColor="text1"/>
          <w:sz w:val="20"/>
          <w:szCs w:val="20"/>
          <w:lang w:val="es-ES_tradnl"/>
        </w:rPr>
        <w:t xml:space="preserve"> la parte peticionaria, </w:t>
      </w:r>
      <w:r w:rsidR="00350CF6" w:rsidRPr="00BB166E">
        <w:rPr>
          <w:rFonts w:ascii="Cambria" w:hAnsi="Cambria" w:cs="Calibri Light"/>
          <w:color w:val="000000" w:themeColor="text1"/>
          <w:sz w:val="20"/>
          <w:szCs w:val="20"/>
          <w:lang w:val="es-ES_tradnl"/>
        </w:rPr>
        <w:t xml:space="preserve">esta </w:t>
      </w:r>
      <w:r w:rsidR="00C37D8E" w:rsidRPr="00BB166E">
        <w:rPr>
          <w:rFonts w:ascii="Cambria" w:hAnsi="Cambria" w:cs="Calibri Light"/>
          <w:color w:val="000000" w:themeColor="text1"/>
          <w:sz w:val="20"/>
          <w:szCs w:val="20"/>
          <w:lang w:val="es-ES_tradnl"/>
        </w:rPr>
        <w:t xml:space="preserve">reforma introdujo </w:t>
      </w:r>
      <w:r w:rsidR="000A7805" w:rsidRPr="00BB166E">
        <w:rPr>
          <w:rFonts w:ascii="Cambria" w:hAnsi="Cambria" w:cs="Calibri Light"/>
          <w:color w:val="000000" w:themeColor="text1"/>
          <w:sz w:val="20"/>
          <w:szCs w:val="20"/>
          <w:lang w:val="es-ES_tradnl"/>
        </w:rPr>
        <w:t xml:space="preserve">un sistema acusatorio material similar a los diseños anglosajones que introdujo </w:t>
      </w:r>
      <w:r w:rsidR="00C37D8E" w:rsidRPr="00BB166E">
        <w:rPr>
          <w:rFonts w:ascii="Cambria" w:hAnsi="Cambria" w:cs="Calibri Light"/>
          <w:color w:val="000000" w:themeColor="text1"/>
          <w:sz w:val="20"/>
          <w:szCs w:val="20"/>
          <w:lang w:val="es-ES_tradnl"/>
        </w:rPr>
        <w:t xml:space="preserve">cambios que </w:t>
      </w:r>
      <w:r w:rsidR="00350CF6" w:rsidRPr="00BB166E">
        <w:rPr>
          <w:rFonts w:ascii="Cambria" w:hAnsi="Cambria" w:cs="Calibri Light"/>
          <w:color w:val="000000" w:themeColor="text1"/>
          <w:sz w:val="20"/>
          <w:szCs w:val="20"/>
          <w:lang w:val="es-ES_tradnl"/>
        </w:rPr>
        <w:t>impactaron</w:t>
      </w:r>
      <w:r w:rsidR="00C37D8E" w:rsidRPr="00BB166E">
        <w:rPr>
          <w:rFonts w:ascii="Cambria" w:hAnsi="Cambria" w:cs="Calibri Light"/>
          <w:color w:val="000000" w:themeColor="text1"/>
          <w:sz w:val="20"/>
          <w:szCs w:val="20"/>
          <w:lang w:val="es-ES_tradnl"/>
        </w:rPr>
        <w:t xml:space="preserve"> todas las etapas del proceso penal</w:t>
      </w:r>
      <w:r w:rsidR="00083992" w:rsidRPr="00BB166E">
        <w:rPr>
          <w:rFonts w:ascii="Cambria" w:hAnsi="Cambria" w:cs="Calibri Light"/>
          <w:color w:val="000000" w:themeColor="text1"/>
          <w:sz w:val="20"/>
          <w:szCs w:val="20"/>
          <w:lang w:val="es-ES_tradnl"/>
        </w:rPr>
        <w:t xml:space="preserve"> y</w:t>
      </w:r>
      <w:r w:rsidR="000A7805" w:rsidRPr="00BB166E">
        <w:rPr>
          <w:rFonts w:ascii="Cambria" w:hAnsi="Cambria" w:cs="Calibri Light"/>
          <w:color w:val="000000" w:themeColor="text1"/>
          <w:sz w:val="20"/>
          <w:szCs w:val="20"/>
          <w:lang w:val="es-ES_tradnl"/>
        </w:rPr>
        <w:t xml:space="preserve"> que</w:t>
      </w:r>
      <w:r w:rsidR="00C37D8E" w:rsidRPr="00BB166E">
        <w:rPr>
          <w:rFonts w:ascii="Cambria" w:hAnsi="Cambria" w:cs="Calibri Light"/>
          <w:color w:val="000000" w:themeColor="text1"/>
          <w:sz w:val="20"/>
          <w:szCs w:val="20"/>
          <w:lang w:val="es-ES_tradnl"/>
        </w:rPr>
        <w:t xml:space="preserve"> desarroll</w:t>
      </w:r>
      <w:r w:rsidR="009B2178" w:rsidRPr="00BB166E">
        <w:rPr>
          <w:rFonts w:ascii="Cambria" w:hAnsi="Cambria" w:cs="Calibri Light"/>
          <w:color w:val="000000" w:themeColor="text1"/>
          <w:sz w:val="20"/>
          <w:szCs w:val="20"/>
          <w:lang w:val="es-ES_tradnl"/>
        </w:rPr>
        <w:t>ó</w:t>
      </w:r>
      <w:r w:rsidR="00C37D8E" w:rsidRPr="00BB166E">
        <w:rPr>
          <w:rFonts w:ascii="Cambria" w:hAnsi="Cambria" w:cs="Calibri Light"/>
          <w:color w:val="000000" w:themeColor="text1"/>
          <w:sz w:val="20"/>
          <w:szCs w:val="20"/>
          <w:lang w:val="es-ES_tradnl"/>
        </w:rPr>
        <w:t xml:space="preserve"> </w:t>
      </w:r>
      <w:r w:rsidR="000A7805" w:rsidRPr="00BB166E">
        <w:rPr>
          <w:rFonts w:ascii="Cambria" w:hAnsi="Cambria" w:cs="Calibri Light"/>
          <w:color w:val="000000" w:themeColor="text1"/>
          <w:sz w:val="20"/>
          <w:szCs w:val="20"/>
          <w:lang w:val="es-ES_tradnl"/>
        </w:rPr>
        <w:t xml:space="preserve">los </w:t>
      </w:r>
      <w:r w:rsidR="00C37D8E" w:rsidRPr="00BB166E">
        <w:rPr>
          <w:rFonts w:ascii="Cambria" w:hAnsi="Cambria" w:cs="Calibri Light"/>
          <w:color w:val="000000" w:themeColor="text1"/>
          <w:sz w:val="20"/>
          <w:szCs w:val="20"/>
          <w:lang w:val="es-ES_tradnl"/>
        </w:rPr>
        <w:t xml:space="preserve">medios de impugnación </w:t>
      </w:r>
      <w:r w:rsidR="000A7805" w:rsidRPr="00BB166E">
        <w:rPr>
          <w:rFonts w:ascii="Cambria" w:hAnsi="Cambria" w:cs="Calibri Light"/>
          <w:color w:val="000000" w:themeColor="text1"/>
          <w:sz w:val="20"/>
          <w:szCs w:val="20"/>
          <w:lang w:val="es-ES_tradnl"/>
        </w:rPr>
        <w:t xml:space="preserve">propios </w:t>
      </w:r>
      <w:r w:rsidR="00C37D8E" w:rsidRPr="00BB166E">
        <w:rPr>
          <w:rFonts w:ascii="Cambria" w:hAnsi="Cambria" w:cs="Calibri Light"/>
          <w:color w:val="000000" w:themeColor="text1"/>
          <w:sz w:val="20"/>
          <w:szCs w:val="20"/>
          <w:lang w:val="es-ES_tradnl"/>
        </w:rPr>
        <w:t>de los sistemas adversariales orales</w:t>
      </w:r>
      <w:r w:rsidR="00CF0270" w:rsidRPr="00BB166E">
        <w:rPr>
          <w:rFonts w:ascii="Cambria" w:hAnsi="Cambria" w:cs="Calibri Light"/>
          <w:color w:val="000000" w:themeColor="text1"/>
          <w:sz w:val="20"/>
          <w:szCs w:val="20"/>
          <w:lang w:val="es-ES_tradnl"/>
        </w:rPr>
        <w:t>. Además,</w:t>
      </w:r>
      <w:r w:rsidR="000A7805" w:rsidRPr="00BB166E">
        <w:rPr>
          <w:rFonts w:ascii="Cambria" w:hAnsi="Cambria" w:cs="Calibri Light"/>
          <w:color w:val="000000" w:themeColor="text1"/>
          <w:sz w:val="20"/>
          <w:szCs w:val="20"/>
          <w:lang w:val="es-ES_tradnl"/>
        </w:rPr>
        <w:t xml:space="preserve"> la parte peticionaria manifestó que</w:t>
      </w:r>
      <w:r w:rsidR="00CF0270" w:rsidRPr="00BB166E">
        <w:rPr>
          <w:rFonts w:ascii="Cambria" w:hAnsi="Cambria" w:cs="Calibri Light"/>
          <w:color w:val="000000" w:themeColor="text1"/>
          <w:sz w:val="20"/>
          <w:szCs w:val="20"/>
          <w:lang w:val="es-ES_tradnl"/>
        </w:rPr>
        <w:t xml:space="preserve"> c</w:t>
      </w:r>
      <w:r w:rsidR="00C37D8E" w:rsidRPr="00BB166E">
        <w:rPr>
          <w:rFonts w:ascii="Cambria" w:hAnsi="Cambria" w:cs="Calibri Light"/>
          <w:color w:val="000000" w:themeColor="text1"/>
          <w:sz w:val="20"/>
          <w:szCs w:val="20"/>
          <w:lang w:val="es-ES_tradnl"/>
        </w:rPr>
        <w:t xml:space="preserve">on esta reforma se instauró una doctrina de recursos </w:t>
      </w:r>
      <w:r w:rsidR="00083992" w:rsidRPr="00BB166E">
        <w:rPr>
          <w:rFonts w:ascii="Cambria" w:hAnsi="Cambria" w:cs="Calibri Light"/>
          <w:color w:val="000000" w:themeColor="text1"/>
          <w:sz w:val="20"/>
          <w:szCs w:val="20"/>
          <w:lang w:val="es-ES_tradnl"/>
        </w:rPr>
        <w:t>respecto</w:t>
      </w:r>
      <w:r w:rsidR="009B2178" w:rsidRPr="00BB166E">
        <w:rPr>
          <w:rFonts w:ascii="Cambria" w:hAnsi="Cambria" w:cs="Calibri Light"/>
          <w:color w:val="000000" w:themeColor="text1"/>
          <w:sz w:val="20"/>
          <w:szCs w:val="20"/>
          <w:lang w:val="es-ES_tradnl"/>
        </w:rPr>
        <w:t xml:space="preserve"> </w:t>
      </w:r>
      <w:r w:rsidR="00083992" w:rsidRPr="00BB166E">
        <w:rPr>
          <w:rFonts w:ascii="Cambria" w:hAnsi="Cambria" w:cs="Calibri Light"/>
          <w:color w:val="000000" w:themeColor="text1"/>
          <w:sz w:val="20"/>
          <w:szCs w:val="20"/>
          <w:lang w:val="es-ES_tradnl"/>
        </w:rPr>
        <w:t>d</w:t>
      </w:r>
      <w:r w:rsidR="009B2178" w:rsidRPr="00BB166E">
        <w:rPr>
          <w:rFonts w:ascii="Cambria" w:hAnsi="Cambria" w:cs="Calibri Light"/>
          <w:color w:val="000000" w:themeColor="text1"/>
          <w:sz w:val="20"/>
          <w:szCs w:val="20"/>
          <w:lang w:val="es-ES_tradnl"/>
        </w:rPr>
        <w:t>e</w:t>
      </w:r>
      <w:r w:rsidR="00C37D8E" w:rsidRPr="00BB166E">
        <w:rPr>
          <w:rFonts w:ascii="Cambria" w:hAnsi="Cambria" w:cs="Calibri Light"/>
          <w:color w:val="000000" w:themeColor="text1"/>
          <w:sz w:val="20"/>
          <w:szCs w:val="20"/>
          <w:lang w:val="es-ES_tradnl"/>
        </w:rPr>
        <w:t>l imputado</w:t>
      </w:r>
      <w:r w:rsidR="000A7805" w:rsidRPr="00BB166E">
        <w:rPr>
          <w:rFonts w:ascii="Cambria" w:hAnsi="Cambria" w:cs="Calibri Light"/>
          <w:color w:val="000000" w:themeColor="text1"/>
          <w:sz w:val="20"/>
          <w:szCs w:val="20"/>
          <w:lang w:val="es-ES_tradnl"/>
        </w:rPr>
        <w:t xml:space="preserve"> e implementó</w:t>
      </w:r>
      <w:r w:rsidR="00C37D8E" w:rsidRPr="00BB166E">
        <w:rPr>
          <w:rFonts w:ascii="Cambria" w:hAnsi="Cambria" w:cs="Calibri Light"/>
          <w:color w:val="000000" w:themeColor="text1"/>
          <w:sz w:val="20"/>
          <w:szCs w:val="20"/>
          <w:lang w:val="es-ES_tradnl"/>
        </w:rPr>
        <w:t xml:space="preserve"> las disposiciones internacionales incorporadas por el </w:t>
      </w:r>
      <w:r w:rsidR="00CF0270" w:rsidRPr="00BB166E">
        <w:rPr>
          <w:rFonts w:ascii="Cambria" w:hAnsi="Cambria" w:cs="Calibri Light"/>
          <w:color w:val="000000" w:themeColor="text1"/>
          <w:sz w:val="20"/>
          <w:szCs w:val="20"/>
          <w:lang w:val="es-ES_tradnl"/>
        </w:rPr>
        <w:t>artículo</w:t>
      </w:r>
      <w:r w:rsidR="00C37D8E" w:rsidRPr="00BB166E">
        <w:rPr>
          <w:rFonts w:ascii="Cambria" w:hAnsi="Cambria" w:cs="Calibri Light"/>
          <w:color w:val="000000" w:themeColor="text1"/>
          <w:sz w:val="20"/>
          <w:szCs w:val="20"/>
          <w:lang w:val="es-ES_tradnl"/>
        </w:rPr>
        <w:t xml:space="preserve"> 75, inciso 22 de la </w:t>
      </w:r>
      <w:r w:rsidR="009B2178" w:rsidRPr="00BB166E">
        <w:rPr>
          <w:rFonts w:ascii="Cambria" w:hAnsi="Cambria" w:cs="Calibri Light"/>
          <w:color w:val="000000" w:themeColor="text1"/>
          <w:sz w:val="20"/>
          <w:szCs w:val="20"/>
          <w:lang w:val="es-ES_tradnl"/>
        </w:rPr>
        <w:t>Constitución</w:t>
      </w:r>
      <w:r w:rsidR="00C37D8E" w:rsidRPr="00BB166E">
        <w:rPr>
          <w:rFonts w:ascii="Cambria" w:hAnsi="Cambria" w:cs="Calibri Light"/>
          <w:color w:val="000000" w:themeColor="text1"/>
          <w:sz w:val="20"/>
          <w:szCs w:val="20"/>
          <w:lang w:val="es-ES_tradnl"/>
        </w:rPr>
        <w:t xml:space="preserve"> Nacional Argentina. </w:t>
      </w:r>
      <w:r w:rsidR="00CF0270" w:rsidRPr="00BB166E">
        <w:rPr>
          <w:rFonts w:ascii="Cambria" w:hAnsi="Cambria" w:cs="Calibri Light"/>
          <w:color w:val="000000" w:themeColor="text1"/>
          <w:sz w:val="20"/>
          <w:szCs w:val="20"/>
          <w:lang w:val="es-ES_tradnl"/>
        </w:rPr>
        <w:t>Con esto</w:t>
      </w:r>
      <w:r w:rsidR="009B2178" w:rsidRPr="00BB166E">
        <w:rPr>
          <w:rFonts w:ascii="Cambria" w:hAnsi="Cambria" w:cs="Calibri Light"/>
          <w:color w:val="000000" w:themeColor="text1"/>
          <w:sz w:val="20"/>
          <w:szCs w:val="20"/>
          <w:lang w:val="es-ES_tradnl"/>
        </w:rPr>
        <w:t>, en criterio de la parte peticionaria,</w:t>
      </w:r>
      <w:r w:rsidR="00CF0270" w:rsidRPr="00BB166E">
        <w:rPr>
          <w:rFonts w:ascii="Cambria" w:hAnsi="Cambria" w:cs="Calibri Light"/>
          <w:color w:val="000000" w:themeColor="text1"/>
          <w:sz w:val="20"/>
          <w:szCs w:val="20"/>
          <w:lang w:val="es-ES_tradnl"/>
        </w:rPr>
        <w:t xml:space="preserve"> se consagró una nueva garantía que implica la facultad del imputado de </w:t>
      </w:r>
      <w:r w:rsidR="009B2178" w:rsidRPr="00BB166E">
        <w:rPr>
          <w:rFonts w:ascii="Cambria" w:hAnsi="Cambria" w:cs="Calibri Light"/>
          <w:color w:val="000000" w:themeColor="text1"/>
          <w:sz w:val="20"/>
          <w:szCs w:val="20"/>
          <w:lang w:val="es-ES_tradnl"/>
        </w:rPr>
        <w:t xml:space="preserve">solicitar la revisión </w:t>
      </w:r>
      <w:r w:rsidR="00CF0270" w:rsidRPr="00BB166E">
        <w:rPr>
          <w:rFonts w:ascii="Cambria" w:hAnsi="Cambria" w:cs="Calibri Light"/>
          <w:color w:val="000000" w:themeColor="text1"/>
          <w:sz w:val="20"/>
          <w:szCs w:val="20"/>
          <w:lang w:val="es-ES_tradnl"/>
        </w:rPr>
        <w:t>de</w:t>
      </w:r>
      <w:r w:rsidR="009B2178" w:rsidRPr="00BB166E">
        <w:rPr>
          <w:rFonts w:ascii="Cambria" w:hAnsi="Cambria" w:cs="Calibri Light"/>
          <w:color w:val="000000" w:themeColor="text1"/>
          <w:sz w:val="20"/>
          <w:szCs w:val="20"/>
          <w:lang w:val="es-ES_tradnl"/>
        </w:rPr>
        <w:t xml:space="preserve"> </w:t>
      </w:r>
      <w:r w:rsidR="000A7805" w:rsidRPr="00BB166E">
        <w:rPr>
          <w:rFonts w:ascii="Cambria" w:hAnsi="Cambria" w:cs="Calibri Light"/>
          <w:color w:val="000000" w:themeColor="text1"/>
          <w:sz w:val="20"/>
          <w:szCs w:val="20"/>
          <w:lang w:val="es-ES_tradnl"/>
        </w:rPr>
        <w:t>una decisión judicial adversa</w:t>
      </w:r>
      <w:r w:rsidR="00CF0270" w:rsidRPr="00BB166E">
        <w:rPr>
          <w:rFonts w:ascii="Cambria" w:hAnsi="Cambria" w:cs="Calibri Light"/>
          <w:color w:val="000000" w:themeColor="text1"/>
          <w:sz w:val="20"/>
          <w:szCs w:val="20"/>
          <w:lang w:val="es-ES_tradnl"/>
        </w:rPr>
        <w:t>.</w:t>
      </w:r>
    </w:p>
    <w:p w14:paraId="1E7DF4FD" w14:textId="77777777" w:rsidR="00CA0A9E" w:rsidRPr="00BB166E" w:rsidRDefault="00CA0A9E" w:rsidP="00CF0270">
      <w:pPr>
        <w:rPr>
          <w:rFonts w:ascii="Cambria" w:hAnsi="Cambria" w:cs="Calibri Light"/>
          <w:color w:val="000000" w:themeColor="text1"/>
          <w:sz w:val="20"/>
          <w:szCs w:val="20"/>
          <w:lang w:val="es-ES_tradnl"/>
        </w:rPr>
      </w:pPr>
    </w:p>
    <w:p w14:paraId="612C564A" w14:textId="5965BC4F" w:rsidR="00CA0A9E" w:rsidRPr="00BB166E" w:rsidRDefault="00CA0A9E" w:rsidP="00C410E9">
      <w:pPr>
        <w:numPr>
          <w:ilvl w:val="0"/>
          <w:numId w:val="5"/>
        </w:numPr>
        <w:ind w:left="0" w:firstLine="720"/>
        <w:jc w:val="both"/>
        <w:rPr>
          <w:rFonts w:ascii="Cambria" w:hAnsi="Cambria" w:cs="Calibri Light"/>
          <w:color w:val="000000" w:themeColor="text1"/>
          <w:sz w:val="20"/>
          <w:szCs w:val="20"/>
          <w:lang w:val="es-ES_tradnl"/>
        </w:rPr>
      </w:pPr>
      <w:r w:rsidRPr="00BB166E">
        <w:rPr>
          <w:rFonts w:ascii="Cambria" w:hAnsi="Cambria" w:cs="Calibri Light"/>
          <w:color w:val="000000" w:themeColor="text1"/>
          <w:sz w:val="20"/>
          <w:szCs w:val="20"/>
          <w:lang w:val="es-US"/>
        </w:rPr>
        <w:t xml:space="preserve">La CIDH </w:t>
      </w:r>
      <w:r w:rsidR="00CF0270" w:rsidRPr="00BB166E">
        <w:rPr>
          <w:rFonts w:ascii="Cambria" w:hAnsi="Cambria" w:cs="Calibri Light"/>
          <w:color w:val="000000" w:themeColor="text1"/>
          <w:sz w:val="20"/>
          <w:szCs w:val="20"/>
          <w:lang w:val="es-US"/>
        </w:rPr>
        <w:t xml:space="preserve">agradece </w:t>
      </w:r>
      <w:r w:rsidR="0013222A" w:rsidRPr="00BB166E">
        <w:rPr>
          <w:rFonts w:ascii="Cambria" w:hAnsi="Cambria" w:cs="Calibri Light"/>
          <w:color w:val="000000" w:themeColor="text1"/>
          <w:sz w:val="20"/>
          <w:szCs w:val="20"/>
          <w:lang w:val="es-US"/>
        </w:rPr>
        <w:t xml:space="preserve">la información presentada por </w:t>
      </w:r>
      <w:r w:rsidR="00084944" w:rsidRPr="00BB166E">
        <w:rPr>
          <w:rFonts w:ascii="Cambria" w:hAnsi="Cambria" w:cs="Calibri Light"/>
          <w:color w:val="000000" w:themeColor="text1"/>
          <w:sz w:val="20"/>
          <w:szCs w:val="20"/>
          <w:lang w:val="es-US"/>
        </w:rPr>
        <w:t>la parte peticionaria</w:t>
      </w:r>
      <w:r w:rsidR="0013222A" w:rsidRPr="00BB166E">
        <w:rPr>
          <w:rFonts w:ascii="Cambria" w:hAnsi="Cambria" w:cs="Calibri Light"/>
          <w:color w:val="000000" w:themeColor="text1"/>
          <w:sz w:val="20"/>
          <w:szCs w:val="20"/>
          <w:lang w:val="es-US"/>
        </w:rPr>
        <w:t xml:space="preserve"> y saluda los avances reportados</w:t>
      </w:r>
      <w:r w:rsidR="009B2178" w:rsidRPr="00BB166E">
        <w:rPr>
          <w:rFonts w:ascii="Cambria" w:hAnsi="Cambria" w:cs="Calibri Light"/>
          <w:color w:val="000000" w:themeColor="text1"/>
          <w:sz w:val="20"/>
          <w:szCs w:val="20"/>
          <w:lang w:val="es-US"/>
        </w:rPr>
        <w:t xml:space="preserve"> en el sentido de que la modificación al Código Procesal Penal</w:t>
      </w:r>
      <w:r w:rsidR="00FE0E7B" w:rsidRPr="00BB166E">
        <w:rPr>
          <w:rFonts w:ascii="Cambria" w:hAnsi="Cambria" w:cs="Calibri Light"/>
          <w:color w:val="000000" w:themeColor="text1"/>
          <w:sz w:val="20"/>
          <w:szCs w:val="20"/>
          <w:lang w:val="es-US"/>
        </w:rPr>
        <w:t xml:space="preserve"> de Santa F</w:t>
      </w:r>
      <w:r w:rsidR="00FF0906" w:rsidRPr="00BB166E">
        <w:rPr>
          <w:rFonts w:ascii="Cambria" w:hAnsi="Cambria" w:cs="Calibri Light"/>
          <w:color w:val="000000" w:themeColor="text1"/>
          <w:sz w:val="20"/>
          <w:szCs w:val="20"/>
          <w:lang w:val="es-US"/>
        </w:rPr>
        <w:t>e</w:t>
      </w:r>
      <w:r w:rsidR="009B2178" w:rsidRPr="00BB166E">
        <w:rPr>
          <w:rFonts w:ascii="Cambria" w:hAnsi="Cambria" w:cs="Calibri Light"/>
          <w:color w:val="000000" w:themeColor="text1"/>
          <w:sz w:val="20"/>
          <w:szCs w:val="20"/>
          <w:lang w:val="es-US"/>
        </w:rPr>
        <w:t xml:space="preserve"> </w:t>
      </w:r>
      <w:r w:rsidR="000A7805" w:rsidRPr="00BB166E">
        <w:rPr>
          <w:rFonts w:ascii="Cambria" w:hAnsi="Cambria" w:cs="Calibri Light"/>
          <w:color w:val="000000" w:themeColor="text1"/>
          <w:sz w:val="20"/>
          <w:szCs w:val="20"/>
          <w:lang w:val="es-US"/>
        </w:rPr>
        <w:t>significó la implementación del contenido del</w:t>
      </w:r>
      <w:r w:rsidR="0013222A" w:rsidRPr="00BB166E">
        <w:rPr>
          <w:rFonts w:ascii="Cambria" w:hAnsi="Cambria" w:cs="Calibri Light"/>
          <w:color w:val="000000" w:themeColor="text1"/>
          <w:sz w:val="20"/>
          <w:szCs w:val="20"/>
          <w:lang w:val="es-US"/>
        </w:rPr>
        <w:t xml:space="preserve"> artículo 8.2 de la Convención Americana</w:t>
      </w:r>
      <w:r w:rsidR="000A7805" w:rsidRPr="00BB166E">
        <w:rPr>
          <w:rFonts w:ascii="Cambria" w:hAnsi="Cambria" w:cs="Calibri Light"/>
          <w:color w:val="000000" w:themeColor="text1"/>
          <w:sz w:val="20"/>
          <w:szCs w:val="20"/>
          <w:lang w:val="es-US"/>
        </w:rPr>
        <w:t xml:space="preserve"> sobre Derechos Humanos</w:t>
      </w:r>
      <w:r w:rsidR="0013222A" w:rsidRPr="00BB166E">
        <w:rPr>
          <w:rFonts w:ascii="Cambria" w:hAnsi="Cambria" w:cs="Calibri Light"/>
          <w:color w:val="000000" w:themeColor="text1"/>
          <w:sz w:val="20"/>
          <w:szCs w:val="20"/>
          <w:lang w:val="es-US"/>
        </w:rPr>
        <w:t xml:space="preserve">. </w:t>
      </w:r>
      <w:r w:rsidR="000A7805" w:rsidRPr="00BB166E">
        <w:rPr>
          <w:rFonts w:ascii="Cambria" w:hAnsi="Cambria" w:cs="Calibri Light"/>
          <w:color w:val="000000" w:themeColor="text1"/>
          <w:sz w:val="20"/>
          <w:szCs w:val="20"/>
          <w:lang w:val="es-US"/>
        </w:rPr>
        <w:t xml:space="preserve">Particularmente, la Comisión considera </w:t>
      </w:r>
      <w:r w:rsidR="00682AAD" w:rsidRPr="00BB166E">
        <w:rPr>
          <w:rFonts w:ascii="Cambria" w:hAnsi="Cambria" w:cs="Calibri Light"/>
          <w:color w:val="000000" w:themeColor="text1"/>
          <w:sz w:val="20"/>
          <w:szCs w:val="20"/>
          <w:lang w:val="es-US"/>
        </w:rPr>
        <w:t>lo afirmado por la parte peticionaria en el sentido de que esta reforma permitió la introducción de un sistema penal que respeta las garantías judiciales frente a procesos penales y decisiones judiciales adversas. E</w:t>
      </w:r>
      <w:r w:rsidR="009B2178" w:rsidRPr="00BB166E">
        <w:rPr>
          <w:rFonts w:ascii="Cambria" w:hAnsi="Cambria"/>
          <w:color w:val="000000" w:themeColor="text1"/>
          <w:sz w:val="20"/>
          <w:szCs w:val="20"/>
          <w:lang w:val="es-CO"/>
        </w:rPr>
        <w:t>n vista de</w:t>
      </w:r>
      <w:r w:rsidR="00084944" w:rsidRPr="00BB166E">
        <w:rPr>
          <w:rFonts w:ascii="Cambria" w:hAnsi="Cambria"/>
          <w:color w:val="000000" w:themeColor="text1"/>
          <w:sz w:val="20"/>
          <w:szCs w:val="20"/>
          <w:lang w:val="es-CO"/>
        </w:rPr>
        <w:t xml:space="preserve"> la información recibida, </w:t>
      </w:r>
      <w:r w:rsidR="009B2178" w:rsidRPr="00BB166E">
        <w:rPr>
          <w:rFonts w:ascii="Cambria" w:hAnsi="Cambria"/>
          <w:color w:val="000000" w:themeColor="text1"/>
          <w:sz w:val="20"/>
          <w:szCs w:val="20"/>
          <w:lang w:val="es-CO"/>
        </w:rPr>
        <w:t xml:space="preserve">la Comisión observa que </w:t>
      </w:r>
      <w:r w:rsidR="007E2C8B" w:rsidRPr="00BB166E">
        <w:rPr>
          <w:rFonts w:ascii="Cambria" w:hAnsi="Cambria"/>
          <w:color w:val="000000" w:themeColor="text1"/>
          <w:sz w:val="20"/>
          <w:szCs w:val="20"/>
          <w:lang w:val="es-CO"/>
        </w:rPr>
        <w:t>se</w:t>
      </w:r>
      <w:r w:rsidR="009B2178" w:rsidRPr="00BB166E">
        <w:rPr>
          <w:rFonts w:ascii="Cambria" w:hAnsi="Cambria"/>
          <w:color w:val="000000" w:themeColor="text1"/>
          <w:sz w:val="20"/>
          <w:szCs w:val="20"/>
          <w:lang w:val="es-CO"/>
        </w:rPr>
        <w:t xml:space="preserve"> ha aportado información relevante para actualizar el estado de cumplimiento de esta recomendación y considera que el nivel de dicha recomendación es total</w:t>
      </w:r>
      <w:r w:rsidRPr="00BB166E">
        <w:rPr>
          <w:rFonts w:ascii="Cambria" w:hAnsi="Cambria" w:cs="Calibri Light"/>
          <w:color w:val="000000" w:themeColor="text1"/>
          <w:sz w:val="20"/>
          <w:szCs w:val="20"/>
          <w:lang w:val="es-US"/>
        </w:rPr>
        <w:t xml:space="preserve">. </w:t>
      </w:r>
    </w:p>
    <w:p w14:paraId="7CF7408D" w14:textId="77777777" w:rsidR="00CA0A9E" w:rsidRPr="009B2178" w:rsidRDefault="00CA0A9E" w:rsidP="00CA0A9E">
      <w:pPr>
        <w:rPr>
          <w:rFonts w:ascii="Cambria" w:hAnsi="Cambria"/>
          <w:color w:val="000000" w:themeColor="text1"/>
          <w:sz w:val="20"/>
          <w:szCs w:val="20"/>
          <w:lang w:val="es-US"/>
        </w:rPr>
      </w:pPr>
    </w:p>
    <w:p w14:paraId="3474621A" w14:textId="77777777" w:rsidR="00CA0A9E" w:rsidRPr="008244C7" w:rsidRDefault="00CA0A9E" w:rsidP="00C410E9">
      <w:pPr>
        <w:pStyle w:val="ListParagraph"/>
        <w:numPr>
          <w:ilvl w:val="0"/>
          <w:numId w:val="3"/>
        </w:numPr>
        <w:ind w:firstLine="0"/>
        <w:jc w:val="both"/>
        <w:rPr>
          <w:rFonts w:ascii="Cambria" w:hAnsi="Cambria" w:cs="Calibri Light"/>
          <w:b/>
          <w:color w:val="000000" w:themeColor="text1"/>
          <w:sz w:val="20"/>
          <w:szCs w:val="20"/>
          <w:lang w:val="es-US"/>
        </w:rPr>
      </w:pPr>
      <w:r w:rsidRPr="008244C7">
        <w:rPr>
          <w:rFonts w:ascii="Cambria" w:hAnsi="Cambria" w:cs="Calibri Light"/>
          <w:b/>
          <w:color w:val="000000" w:themeColor="text1"/>
          <w:sz w:val="20"/>
          <w:szCs w:val="20"/>
          <w:lang w:val="es-US"/>
        </w:rPr>
        <w:t xml:space="preserve">Nivel del cumplimiento del caso </w:t>
      </w:r>
    </w:p>
    <w:p w14:paraId="6FE4431A" w14:textId="77777777" w:rsidR="00CA0A9E" w:rsidRPr="008244C7" w:rsidRDefault="00CA0A9E" w:rsidP="00CA0A9E">
      <w:pPr>
        <w:jc w:val="both"/>
        <w:rPr>
          <w:rFonts w:ascii="Cambria" w:hAnsi="Cambria" w:cs="Calibri Light"/>
          <w:color w:val="000000" w:themeColor="text1"/>
          <w:sz w:val="20"/>
          <w:szCs w:val="20"/>
          <w:lang w:val="es-US"/>
        </w:rPr>
      </w:pPr>
    </w:p>
    <w:p w14:paraId="22EF3D79" w14:textId="2BA9469F" w:rsidR="00CA0A9E" w:rsidRPr="008244C7" w:rsidRDefault="00CA0A9E" w:rsidP="00C410E9">
      <w:pPr>
        <w:numPr>
          <w:ilvl w:val="0"/>
          <w:numId w:val="5"/>
        </w:numPr>
        <w:ind w:left="0" w:firstLine="720"/>
        <w:jc w:val="both"/>
        <w:rPr>
          <w:rFonts w:ascii="Cambria" w:hAnsi="Cambria" w:cs="Calibri Light"/>
          <w:color w:val="000000" w:themeColor="text1"/>
          <w:sz w:val="20"/>
          <w:szCs w:val="20"/>
          <w:lang w:val="es-US"/>
        </w:rPr>
      </w:pPr>
      <w:r w:rsidRPr="008244C7">
        <w:rPr>
          <w:rFonts w:ascii="Cambria" w:hAnsi="Cambria" w:cs="Calibri Light"/>
          <w:color w:val="000000" w:themeColor="text1"/>
          <w:sz w:val="20"/>
          <w:szCs w:val="20"/>
          <w:lang w:val="es-US"/>
        </w:rPr>
        <w:t>Por lo anterior, la Comisión concluye que el nivel de cumplimiento del caso es parcial. En consecuencia, la CIDH seguirá supervisando el cumplimiento de la</w:t>
      </w:r>
      <w:r w:rsidR="00BA161C" w:rsidRPr="008244C7">
        <w:rPr>
          <w:rFonts w:ascii="Cambria" w:hAnsi="Cambria" w:cs="Calibri Light"/>
          <w:color w:val="000000" w:themeColor="text1"/>
          <w:sz w:val="20"/>
          <w:szCs w:val="20"/>
          <w:lang w:val="es-US"/>
        </w:rPr>
        <w:t xml:space="preserve"> </w:t>
      </w:r>
      <w:r w:rsidR="002D2D91">
        <w:rPr>
          <w:rFonts w:ascii="Cambria" w:hAnsi="Cambria" w:cs="Calibri Light"/>
          <w:color w:val="000000" w:themeColor="text1"/>
          <w:sz w:val="20"/>
          <w:szCs w:val="20"/>
          <w:lang w:val="es-US"/>
        </w:rPr>
        <w:t>r</w:t>
      </w:r>
      <w:r w:rsidR="00BA161C" w:rsidRPr="008244C7">
        <w:rPr>
          <w:rFonts w:ascii="Cambria" w:hAnsi="Cambria" w:cs="Calibri Light"/>
          <w:color w:val="000000" w:themeColor="text1"/>
          <w:sz w:val="20"/>
          <w:szCs w:val="20"/>
          <w:lang w:val="es-US"/>
        </w:rPr>
        <w:t>ecomendación 2.</w:t>
      </w:r>
    </w:p>
    <w:p w14:paraId="4F161CB4" w14:textId="77777777" w:rsidR="00CA0A9E" w:rsidRPr="008244C7" w:rsidRDefault="00CA0A9E" w:rsidP="00CA0A9E">
      <w:pPr>
        <w:ind w:left="720"/>
        <w:jc w:val="both"/>
        <w:rPr>
          <w:rFonts w:ascii="Cambria" w:hAnsi="Cambria" w:cs="Calibri Light"/>
          <w:color w:val="000000"/>
          <w:sz w:val="20"/>
          <w:szCs w:val="20"/>
          <w:lang w:val="es-US"/>
        </w:rPr>
      </w:pPr>
    </w:p>
    <w:p w14:paraId="1E5805C0" w14:textId="77777777" w:rsidR="00CA0A9E" w:rsidRPr="008244C7" w:rsidRDefault="00CA0A9E" w:rsidP="00C410E9">
      <w:pPr>
        <w:numPr>
          <w:ilvl w:val="0"/>
          <w:numId w:val="5"/>
        </w:numPr>
        <w:ind w:left="0" w:firstLine="720"/>
        <w:jc w:val="both"/>
        <w:rPr>
          <w:rFonts w:ascii="Cambria" w:hAnsi="Cambria" w:cs="Calibri Light"/>
          <w:color w:val="000000"/>
          <w:sz w:val="20"/>
          <w:szCs w:val="20"/>
          <w:lang w:val="es-US"/>
        </w:rPr>
      </w:pPr>
      <w:r w:rsidRPr="008244C7">
        <w:rPr>
          <w:rFonts w:ascii="Cambria" w:hAnsi="Cambria" w:cs="Calibri Light"/>
          <w:color w:val="000000"/>
          <w:sz w:val="20"/>
          <w:szCs w:val="20"/>
          <w:lang w:val="es-US"/>
        </w:rPr>
        <w:t xml:space="preserve"> </w:t>
      </w:r>
      <w:r w:rsidRPr="008244C7">
        <w:rPr>
          <w:rFonts w:ascii="Cambria" w:hAnsi="Cambria" w:cs="Calibri Light"/>
          <w:color w:val="000000"/>
          <w:sz w:val="20"/>
          <w:szCs w:val="20"/>
          <w:lang w:val="es-ES"/>
        </w:rPr>
        <w:t xml:space="preserve">La Comisión insta al Estado seguir adoptando las acciones necesarias para </w:t>
      </w:r>
      <w:r w:rsidRPr="008244C7">
        <w:rPr>
          <w:rFonts w:ascii="Cambria" w:hAnsi="Cambria"/>
          <w:color w:val="000000"/>
          <w:sz w:val="20"/>
          <w:szCs w:val="20"/>
          <w:lang w:val="es-US"/>
        </w:rPr>
        <w:t xml:space="preserve">completar la investigación penal, y proporcionar </w:t>
      </w:r>
      <w:r w:rsidRPr="008244C7">
        <w:rPr>
          <w:rFonts w:ascii="Cambria" w:hAnsi="Cambria" w:cs="Calibri Light"/>
          <w:color w:val="000000"/>
          <w:sz w:val="20"/>
          <w:szCs w:val="20"/>
          <w:lang w:val="es-ES"/>
        </w:rPr>
        <w:t>información actualizada y detallada sobre dichas acciones a la CIDH.</w:t>
      </w:r>
    </w:p>
    <w:p w14:paraId="31E160DB" w14:textId="77777777" w:rsidR="00CA0A9E" w:rsidRPr="008244C7" w:rsidRDefault="00CA0A9E" w:rsidP="00CA0A9E">
      <w:pPr>
        <w:ind w:left="720"/>
        <w:jc w:val="both"/>
        <w:rPr>
          <w:rFonts w:ascii="Cambria" w:hAnsi="Cambria" w:cs="Calibri Light"/>
          <w:color w:val="000000"/>
          <w:sz w:val="20"/>
          <w:szCs w:val="20"/>
          <w:lang w:val="es-US"/>
        </w:rPr>
      </w:pPr>
    </w:p>
    <w:p w14:paraId="2E4D7DB0" w14:textId="77777777" w:rsidR="00CA0A9E" w:rsidRPr="008244C7" w:rsidRDefault="00CA0A9E" w:rsidP="00C410E9">
      <w:pPr>
        <w:pStyle w:val="ListParagraph"/>
        <w:numPr>
          <w:ilvl w:val="0"/>
          <w:numId w:val="3"/>
        </w:numPr>
        <w:ind w:firstLine="0"/>
        <w:jc w:val="both"/>
        <w:rPr>
          <w:rFonts w:ascii="Cambria" w:hAnsi="Cambria" w:cs="Calibri Light"/>
          <w:b/>
          <w:color w:val="000000"/>
          <w:sz w:val="20"/>
          <w:szCs w:val="20"/>
          <w:lang w:val="es-US"/>
        </w:rPr>
      </w:pPr>
      <w:r w:rsidRPr="008244C7">
        <w:rPr>
          <w:rFonts w:ascii="Cambria" w:hAnsi="Cambria" w:cs="Calibri Light"/>
          <w:b/>
          <w:color w:val="000000"/>
          <w:sz w:val="20"/>
          <w:szCs w:val="20"/>
          <w:lang w:val="es-US"/>
        </w:rPr>
        <w:t xml:space="preserve">Resultados individuales y estructurales del caso </w:t>
      </w:r>
    </w:p>
    <w:p w14:paraId="6DDB9164" w14:textId="77777777" w:rsidR="00CA0A9E" w:rsidRPr="008244C7" w:rsidRDefault="00CA0A9E" w:rsidP="00CA0A9E">
      <w:pPr>
        <w:jc w:val="both"/>
        <w:rPr>
          <w:rFonts w:ascii="Cambria" w:hAnsi="Cambria" w:cs="Calibri Light"/>
          <w:b/>
          <w:color w:val="000000"/>
          <w:sz w:val="20"/>
          <w:szCs w:val="20"/>
          <w:lang w:val="es-US"/>
        </w:rPr>
      </w:pPr>
    </w:p>
    <w:p w14:paraId="1B659BF9" w14:textId="77777777" w:rsidR="00CA0A9E" w:rsidRPr="008244C7" w:rsidRDefault="00CA0A9E" w:rsidP="00C410E9">
      <w:pPr>
        <w:numPr>
          <w:ilvl w:val="0"/>
          <w:numId w:val="5"/>
        </w:numPr>
        <w:ind w:left="0" w:firstLine="720"/>
        <w:jc w:val="both"/>
        <w:rPr>
          <w:rFonts w:ascii="Cambria" w:hAnsi="Cambria" w:cs="Calibri Light"/>
          <w:color w:val="000000"/>
          <w:sz w:val="20"/>
          <w:szCs w:val="20"/>
          <w:lang w:val="es-US"/>
        </w:rPr>
      </w:pPr>
      <w:r w:rsidRPr="008244C7">
        <w:rPr>
          <w:rFonts w:ascii="Cambria" w:hAnsi="Cambria" w:cs="Calibri Light"/>
          <w:color w:val="000000"/>
          <w:sz w:val="20"/>
          <w:szCs w:val="20"/>
          <w:lang w:val="es-US"/>
        </w:rPr>
        <w:t xml:space="preserve">En esta sección se destacan los resultados individuales y estructurales del caso informados por las partes. </w:t>
      </w:r>
    </w:p>
    <w:p w14:paraId="241D4FA3" w14:textId="11C64372" w:rsidR="00CA0A9E" w:rsidRDefault="00CA0A9E" w:rsidP="00CA0A9E">
      <w:pPr>
        <w:ind w:left="720"/>
        <w:jc w:val="both"/>
        <w:rPr>
          <w:rFonts w:ascii="Cambria" w:hAnsi="Cambria" w:cs="Calibri Light"/>
          <w:color w:val="000000"/>
          <w:sz w:val="20"/>
          <w:szCs w:val="20"/>
          <w:lang w:val="es-US"/>
        </w:rPr>
      </w:pPr>
    </w:p>
    <w:p w14:paraId="6A307F5E" w14:textId="77777777" w:rsidR="002D2D91" w:rsidRPr="008244C7" w:rsidRDefault="002D2D91" w:rsidP="00682AAD">
      <w:pPr>
        <w:jc w:val="both"/>
        <w:rPr>
          <w:rFonts w:ascii="Cambria" w:hAnsi="Cambria" w:cs="Calibri Light"/>
          <w:color w:val="000000"/>
          <w:sz w:val="20"/>
          <w:szCs w:val="20"/>
          <w:lang w:val="es-US"/>
        </w:rPr>
      </w:pPr>
    </w:p>
    <w:p w14:paraId="1384F230" w14:textId="77777777" w:rsidR="00CA0A9E" w:rsidRPr="008244C7" w:rsidRDefault="00CA0A9E" w:rsidP="00C410E9">
      <w:pPr>
        <w:pStyle w:val="ListParagraph"/>
        <w:numPr>
          <w:ilvl w:val="0"/>
          <w:numId w:val="4"/>
        </w:numPr>
        <w:ind w:left="1440" w:hanging="720"/>
        <w:jc w:val="both"/>
        <w:rPr>
          <w:rFonts w:ascii="Cambria" w:hAnsi="Cambria" w:cs="Calibri Light"/>
          <w:b/>
          <w:color w:val="000000"/>
          <w:sz w:val="20"/>
          <w:szCs w:val="20"/>
          <w:lang w:val="es-US"/>
        </w:rPr>
      </w:pPr>
      <w:r w:rsidRPr="008244C7">
        <w:rPr>
          <w:rFonts w:ascii="Cambria" w:hAnsi="Cambria" w:cs="Calibri Light"/>
          <w:b/>
          <w:color w:val="000000"/>
          <w:sz w:val="20"/>
          <w:szCs w:val="20"/>
          <w:lang w:val="es-US"/>
        </w:rPr>
        <w:lastRenderedPageBreak/>
        <w:t>Resultados individuales del caso</w:t>
      </w:r>
    </w:p>
    <w:p w14:paraId="6E4BEA56" w14:textId="77777777" w:rsidR="00CA0A9E" w:rsidRPr="008244C7" w:rsidRDefault="00CA0A9E" w:rsidP="00CA0A9E">
      <w:pPr>
        <w:jc w:val="both"/>
        <w:rPr>
          <w:rFonts w:ascii="Cambria" w:hAnsi="Cambria"/>
          <w:color w:val="000000"/>
          <w:sz w:val="20"/>
          <w:szCs w:val="20"/>
          <w:lang w:val="es-US"/>
        </w:rPr>
      </w:pPr>
    </w:p>
    <w:p w14:paraId="7169C958" w14:textId="77777777" w:rsidR="00CA0A9E" w:rsidRPr="008244C7" w:rsidRDefault="00CA0A9E" w:rsidP="00CA0A9E">
      <w:pPr>
        <w:jc w:val="both"/>
        <w:rPr>
          <w:rFonts w:ascii="Cambria" w:hAnsi="Cambria"/>
          <w:i/>
          <w:color w:val="000000"/>
          <w:sz w:val="20"/>
          <w:szCs w:val="20"/>
          <w:lang w:val="es-US"/>
        </w:rPr>
      </w:pPr>
      <w:r w:rsidRPr="008244C7">
        <w:rPr>
          <w:rFonts w:ascii="Cambria" w:hAnsi="Cambria"/>
          <w:i/>
          <w:color w:val="000000"/>
          <w:sz w:val="20"/>
          <w:szCs w:val="20"/>
          <w:lang w:val="es-US"/>
        </w:rPr>
        <w:t>Medidas de restitución en el ejercicio del derecho</w:t>
      </w:r>
    </w:p>
    <w:p w14:paraId="025E2896" w14:textId="77777777" w:rsidR="00CA0A9E" w:rsidRPr="008244C7" w:rsidRDefault="00CA0A9E" w:rsidP="00C410E9">
      <w:pPr>
        <w:pStyle w:val="ListParagraph"/>
        <w:numPr>
          <w:ilvl w:val="0"/>
          <w:numId w:val="1"/>
        </w:numPr>
        <w:jc w:val="both"/>
        <w:rPr>
          <w:rFonts w:ascii="Cambria" w:hAnsi="Cambria" w:cs="Calibri Light"/>
          <w:color w:val="000000"/>
          <w:sz w:val="20"/>
          <w:szCs w:val="20"/>
          <w:lang w:val="es-US"/>
        </w:rPr>
      </w:pPr>
      <w:r w:rsidRPr="008244C7">
        <w:rPr>
          <w:rFonts w:ascii="Cambria" w:hAnsi="Cambria" w:cs="Cambria"/>
          <w:color w:val="000000"/>
          <w:sz w:val="20"/>
          <w:szCs w:val="20"/>
          <w:lang w:val="es-CO"/>
        </w:rPr>
        <w:t xml:space="preserve">Mediante Resolución de 22 de julio de 2011 el Juzgado de Ejecución Penal </w:t>
      </w:r>
      <w:proofErr w:type="spellStart"/>
      <w:r w:rsidRPr="008244C7">
        <w:rPr>
          <w:rFonts w:ascii="Cambria" w:hAnsi="Cambria" w:cs="Cambria"/>
          <w:color w:val="000000"/>
          <w:sz w:val="20"/>
          <w:szCs w:val="20"/>
          <w:lang w:val="es-CO"/>
        </w:rPr>
        <w:t>Nº</w:t>
      </w:r>
      <w:proofErr w:type="spellEnd"/>
      <w:r w:rsidRPr="008244C7">
        <w:rPr>
          <w:rFonts w:ascii="Cambria" w:hAnsi="Cambria" w:cs="Cambria"/>
          <w:color w:val="000000"/>
          <w:sz w:val="20"/>
          <w:szCs w:val="20"/>
          <w:lang w:val="es-CO"/>
        </w:rPr>
        <w:t xml:space="preserve">. 1 de Coronda concedió la libertad condicional a </w:t>
      </w:r>
      <w:r w:rsidRPr="008244C7">
        <w:rPr>
          <w:rFonts w:ascii="Cambria" w:hAnsi="Cambria" w:cs="Calibri Light"/>
          <w:color w:val="000000"/>
          <w:sz w:val="20"/>
          <w:szCs w:val="20"/>
          <w:lang w:val="es-US"/>
        </w:rPr>
        <w:t>Rubén Luis Godoy</w:t>
      </w:r>
      <w:r w:rsidRPr="008244C7">
        <w:rPr>
          <w:rFonts w:ascii="Cambria" w:hAnsi="Cambria" w:cs="Cambria"/>
          <w:color w:val="000000"/>
          <w:sz w:val="20"/>
          <w:szCs w:val="20"/>
          <w:lang w:val="es-CO"/>
        </w:rPr>
        <w:t xml:space="preserve">, </w:t>
      </w:r>
      <w:r w:rsidRPr="008244C7">
        <w:rPr>
          <w:rFonts w:ascii="Cambria" w:hAnsi="Cambria" w:cs="Calibri Light"/>
          <w:color w:val="000000"/>
          <w:sz w:val="20"/>
          <w:szCs w:val="20"/>
          <w:lang w:val="es-US"/>
        </w:rPr>
        <w:t xml:space="preserve">en virtud de un recurso interpuesto por sus representantes, la Defensoría Nacional de Cámaras, por haber cumplido más de 2/3 partes de su pena.  </w:t>
      </w:r>
    </w:p>
    <w:p w14:paraId="7147C075" w14:textId="77777777" w:rsidR="00CA0A9E" w:rsidRPr="008244C7" w:rsidRDefault="00CA0A9E" w:rsidP="00C410E9">
      <w:pPr>
        <w:pStyle w:val="ListParagraph"/>
        <w:numPr>
          <w:ilvl w:val="0"/>
          <w:numId w:val="1"/>
        </w:numPr>
        <w:jc w:val="both"/>
        <w:rPr>
          <w:rFonts w:ascii="Cambria" w:hAnsi="Cambria" w:cs="Calibri Light"/>
          <w:color w:val="000000"/>
          <w:sz w:val="20"/>
          <w:szCs w:val="20"/>
          <w:lang w:val="es-US"/>
        </w:rPr>
      </w:pPr>
      <w:r w:rsidRPr="008244C7">
        <w:rPr>
          <w:rFonts w:ascii="Cambria" w:hAnsi="Cambria" w:cs="Calibri Light"/>
          <w:color w:val="000000"/>
          <w:sz w:val="20"/>
          <w:szCs w:val="20"/>
          <w:lang w:val="es-US"/>
        </w:rPr>
        <w:t xml:space="preserve">Mediante el Decreto No. 2794/11 del Poder Ejecutivo Provincial se conmutó la pena de prisión perpetua a la que fuera condenado Rubén Luis Godoy a una pena equivalente al tiempo de ejecución de la pena que llevaba cumplida al día de la emisión de dicho decreto, que era el 1 de diciembre de 2011.  </w:t>
      </w:r>
    </w:p>
    <w:p w14:paraId="68AF2AA9" w14:textId="77777777" w:rsidR="00CA0A9E" w:rsidRPr="008244C7" w:rsidRDefault="00CA0A9E" w:rsidP="00C410E9">
      <w:pPr>
        <w:pStyle w:val="ListParagraph"/>
        <w:numPr>
          <w:ilvl w:val="0"/>
          <w:numId w:val="1"/>
        </w:numPr>
        <w:jc w:val="both"/>
        <w:rPr>
          <w:rFonts w:ascii="Cambria" w:hAnsi="Cambria" w:cs="Calibri Light"/>
          <w:color w:val="000000"/>
          <w:sz w:val="20"/>
          <w:szCs w:val="20"/>
          <w:lang w:val="es-US"/>
        </w:rPr>
      </w:pPr>
      <w:r w:rsidRPr="008244C7">
        <w:rPr>
          <w:rFonts w:ascii="Cambria" w:hAnsi="Cambria" w:cs="Calibri Light"/>
          <w:color w:val="000000"/>
          <w:sz w:val="20"/>
          <w:szCs w:val="20"/>
          <w:lang w:val="es-US"/>
        </w:rPr>
        <w:t xml:space="preserve">El 24 de septiembre de 2013 la </w:t>
      </w:r>
      <w:r w:rsidRPr="008244C7">
        <w:rPr>
          <w:rFonts w:ascii="Cambria" w:hAnsi="Cambria" w:cs="Calibri Light"/>
          <w:color w:val="000000"/>
          <w:sz w:val="20"/>
          <w:szCs w:val="20"/>
          <w:lang w:val="es-ES_tradnl"/>
        </w:rPr>
        <w:t xml:space="preserve">Cámara de Apelaciones en lo Penal de Rosario declaró el sobreseimiento de </w:t>
      </w:r>
      <w:r w:rsidRPr="008244C7">
        <w:rPr>
          <w:rFonts w:ascii="Cambria" w:hAnsi="Cambria" w:cs="Calibri Light"/>
          <w:color w:val="000000"/>
          <w:sz w:val="20"/>
          <w:szCs w:val="20"/>
          <w:lang w:val="es-US"/>
        </w:rPr>
        <w:t>Rubén Luis Godoy</w:t>
      </w:r>
      <w:r w:rsidRPr="008244C7">
        <w:rPr>
          <w:rFonts w:ascii="Cambria" w:hAnsi="Cambria" w:cs="Calibri Light"/>
          <w:color w:val="000000"/>
          <w:sz w:val="20"/>
          <w:szCs w:val="20"/>
          <w:lang w:val="es-ES_tradnl"/>
        </w:rPr>
        <w:t xml:space="preserve"> por haber operado la prescripción de la acción penal.</w:t>
      </w:r>
    </w:p>
    <w:p w14:paraId="2304845E" w14:textId="77777777" w:rsidR="00CA0A9E" w:rsidRPr="008244C7" w:rsidRDefault="00CA0A9E" w:rsidP="00CA0A9E">
      <w:pPr>
        <w:pStyle w:val="ListParagraph"/>
        <w:ind w:left="0"/>
        <w:jc w:val="both"/>
        <w:rPr>
          <w:rFonts w:ascii="Cambria" w:hAnsi="Cambria" w:cs="Calibri Light"/>
          <w:color w:val="000000"/>
          <w:sz w:val="20"/>
          <w:szCs w:val="20"/>
          <w:lang w:val="es-US"/>
        </w:rPr>
      </w:pPr>
    </w:p>
    <w:p w14:paraId="7F56BDFF" w14:textId="77777777" w:rsidR="00CA0A9E" w:rsidRPr="008244C7" w:rsidRDefault="00CA0A9E" w:rsidP="00CA0A9E">
      <w:pPr>
        <w:jc w:val="both"/>
        <w:rPr>
          <w:rFonts w:ascii="Cambria" w:hAnsi="Cambria"/>
          <w:i/>
          <w:color w:val="000000"/>
          <w:sz w:val="20"/>
          <w:szCs w:val="20"/>
          <w:lang w:val="es-US"/>
        </w:rPr>
      </w:pPr>
      <w:r w:rsidRPr="008244C7">
        <w:rPr>
          <w:rFonts w:ascii="Cambria" w:hAnsi="Cambria"/>
          <w:i/>
          <w:color w:val="000000"/>
          <w:sz w:val="20"/>
          <w:szCs w:val="20"/>
          <w:lang w:val="es-US"/>
        </w:rPr>
        <w:t>Medidas de compensación pecuniaria</w:t>
      </w:r>
    </w:p>
    <w:p w14:paraId="3DC3D427" w14:textId="77777777" w:rsidR="00CA0A9E" w:rsidRPr="008244C7" w:rsidRDefault="00CA0A9E" w:rsidP="00C410E9">
      <w:pPr>
        <w:pStyle w:val="ListParagraph"/>
        <w:numPr>
          <w:ilvl w:val="0"/>
          <w:numId w:val="6"/>
        </w:numPr>
        <w:jc w:val="both"/>
        <w:rPr>
          <w:rFonts w:ascii="Cambria" w:hAnsi="Cambria" w:cs="Calibri Light"/>
          <w:color w:val="000000"/>
          <w:sz w:val="20"/>
          <w:szCs w:val="20"/>
          <w:lang w:val="es-US"/>
        </w:rPr>
      </w:pPr>
      <w:r w:rsidRPr="008244C7">
        <w:rPr>
          <w:rFonts w:ascii="Cambria" w:hAnsi="Cambria" w:cs="Calibri Light"/>
          <w:color w:val="000000"/>
          <w:sz w:val="20"/>
          <w:szCs w:val="20"/>
          <w:lang w:val="es-US"/>
        </w:rPr>
        <w:t xml:space="preserve">Mediante Resolución No. 163-D de fecha 22 de diciembre de 2011 el Procurador general de la Provincia de Santa Fe autorizó el pago de la suma de $40,000 (pesos argentinos) al señor Rubén Luis Godoy como reparación exclusivamente de los daños generados por la conculcación del derecho a acceder oportunamente a un recurso judicial que hiciera revisión con los alcances sentados en el Informe de Fondo </w:t>
      </w:r>
      <w:proofErr w:type="spellStart"/>
      <w:r w:rsidRPr="008244C7">
        <w:rPr>
          <w:rFonts w:ascii="Cambria" w:hAnsi="Cambria" w:cs="Calibri Light"/>
          <w:color w:val="000000"/>
          <w:sz w:val="20"/>
          <w:szCs w:val="20"/>
          <w:lang w:val="es-US"/>
        </w:rPr>
        <w:t>Nº</w:t>
      </w:r>
      <w:proofErr w:type="spellEnd"/>
      <w:r w:rsidRPr="008244C7">
        <w:rPr>
          <w:rFonts w:ascii="Cambria" w:hAnsi="Cambria" w:cs="Calibri Light"/>
          <w:color w:val="000000"/>
          <w:sz w:val="20"/>
          <w:szCs w:val="20"/>
          <w:lang w:val="es-US"/>
        </w:rPr>
        <w:t xml:space="preserve"> 66/12. </w:t>
      </w:r>
    </w:p>
    <w:p w14:paraId="1CAEA108" w14:textId="77777777" w:rsidR="00CA0A9E" w:rsidRPr="008244C7" w:rsidRDefault="00CA0A9E" w:rsidP="00CA0A9E">
      <w:pPr>
        <w:pStyle w:val="ListParagraph"/>
        <w:jc w:val="both"/>
        <w:rPr>
          <w:rFonts w:ascii="Cambria" w:hAnsi="Cambria" w:cs="Calibri Light"/>
          <w:color w:val="000000"/>
          <w:sz w:val="20"/>
          <w:szCs w:val="20"/>
          <w:lang w:val="es-US"/>
        </w:rPr>
      </w:pPr>
    </w:p>
    <w:p w14:paraId="7264609B" w14:textId="77777777" w:rsidR="00CA0A9E" w:rsidRPr="008244C7" w:rsidRDefault="00CA0A9E" w:rsidP="00C410E9">
      <w:pPr>
        <w:pStyle w:val="ListParagraph"/>
        <w:numPr>
          <w:ilvl w:val="0"/>
          <w:numId w:val="4"/>
        </w:numPr>
        <w:ind w:left="1440" w:hanging="720"/>
        <w:jc w:val="both"/>
        <w:rPr>
          <w:rFonts w:ascii="Cambria" w:hAnsi="Cambria" w:cs="Calibri Light"/>
          <w:b/>
          <w:color w:val="000000"/>
          <w:sz w:val="20"/>
          <w:szCs w:val="20"/>
          <w:lang w:val="es-US"/>
        </w:rPr>
      </w:pPr>
      <w:r w:rsidRPr="008244C7">
        <w:rPr>
          <w:rFonts w:ascii="Cambria" w:hAnsi="Cambria" w:cs="Calibri Light"/>
          <w:b/>
          <w:color w:val="000000"/>
          <w:sz w:val="20"/>
          <w:szCs w:val="20"/>
          <w:lang w:val="es-US"/>
        </w:rPr>
        <w:t>Resultados estructurales del caso</w:t>
      </w:r>
    </w:p>
    <w:p w14:paraId="0FDB1D10" w14:textId="77777777" w:rsidR="00CA0A9E" w:rsidRPr="008244C7" w:rsidRDefault="00CA0A9E" w:rsidP="00CA0A9E">
      <w:pPr>
        <w:rPr>
          <w:rFonts w:ascii="Cambria" w:hAnsi="Cambria"/>
          <w:color w:val="000000"/>
          <w:sz w:val="20"/>
          <w:szCs w:val="20"/>
          <w:lang w:val="es-ES"/>
        </w:rPr>
      </w:pPr>
    </w:p>
    <w:p w14:paraId="63F6A0F0" w14:textId="77777777" w:rsidR="00CA0A9E" w:rsidRPr="008244C7" w:rsidRDefault="00CA0A9E" w:rsidP="00CA0A9E">
      <w:pPr>
        <w:rPr>
          <w:rFonts w:ascii="Cambria" w:hAnsi="Cambria"/>
          <w:i/>
          <w:color w:val="000000"/>
          <w:sz w:val="20"/>
          <w:szCs w:val="20"/>
          <w:lang w:val="es-ES"/>
        </w:rPr>
      </w:pPr>
      <w:r w:rsidRPr="008244C7">
        <w:rPr>
          <w:rFonts w:ascii="Cambria" w:hAnsi="Cambria"/>
          <w:i/>
          <w:color w:val="000000"/>
          <w:sz w:val="20"/>
          <w:szCs w:val="20"/>
          <w:lang w:val="es-ES"/>
        </w:rPr>
        <w:t xml:space="preserve">Legislación/Normativa </w:t>
      </w:r>
    </w:p>
    <w:p w14:paraId="078904E3" w14:textId="3319A2E9" w:rsidR="00CA0A9E" w:rsidRPr="00526D29" w:rsidRDefault="00CA0A9E" w:rsidP="00C410E9">
      <w:pPr>
        <w:pStyle w:val="ListParagraph"/>
        <w:numPr>
          <w:ilvl w:val="0"/>
          <w:numId w:val="1"/>
        </w:numPr>
        <w:jc w:val="both"/>
        <w:rPr>
          <w:rFonts w:ascii="Cambria" w:hAnsi="Cambria" w:cs="Calibri Light"/>
          <w:color w:val="000000" w:themeColor="text1"/>
          <w:sz w:val="20"/>
          <w:szCs w:val="20"/>
          <w:lang w:val="es-US"/>
        </w:rPr>
      </w:pPr>
      <w:r w:rsidRPr="00526D29">
        <w:rPr>
          <w:rFonts w:ascii="Cambria" w:hAnsi="Cambria" w:cs="Cambria"/>
          <w:color w:val="000000" w:themeColor="text1"/>
          <w:sz w:val="20"/>
          <w:szCs w:val="20"/>
          <w:lang w:val="es-CO"/>
        </w:rPr>
        <w:t>Adopción</w:t>
      </w:r>
      <w:r w:rsidR="002D2D91" w:rsidRPr="00526D29">
        <w:rPr>
          <w:rFonts w:ascii="Cambria" w:hAnsi="Cambria" w:cs="Cambria"/>
          <w:color w:val="000000" w:themeColor="text1"/>
          <w:sz w:val="20"/>
          <w:szCs w:val="20"/>
          <w:lang w:val="es-CO"/>
        </w:rPr>
        <w:t xml:space="preserve"> e implementación</w:t>
      </w:r>
      <w:r w:rsidRPr="00526D29">
        <w:rPr>
          <w:rFonts w:ascii="Cambria" w:hAnsi="Cambria" w:cs="Cambria"/>
          <w:color w:val="000000" w:themeColor="text1"/>
          <w:sz w:val="20"/>
          <w:szCs w:val="20"/>
          <w:lang w:val="es-CO"/>
        </w:rPr>
        <w:t xml:space="preserve"> del nuevo Código Procesal Penal (Ley 12.912) de la Provincia de Santa Fe aprobado el 7 de octubre de 2008. </w:t>
      </w:r>
      <w:r w:rsidR="00682AAD" w:rsidRPr="00526D29">
        <w:rPr>
          <w:rFonts w:ascii="Cambria" w:hAnsi="Cambria" w:cs="Cambria"/>
          <w:color w:val="000000" w:themeColor="text1"/>
          <w:sz w:val="20"/>
          <w:szCs w:val="20"/>
          <w:lang w:val="es-CO"/>
        </w:rPr>
        <w:t xml:space="preserve">Esta normativa permitió la implementación de un sistema penal acusatorio que se basa en la aplicación de principios de oralidad, celeridad, publicidad, inmediatez y contradicción.  </w:t>
      </w:r>
    </w:p>
    <w:p w14:paraId="2E8D28F2" w14:textId="77777777" w:rsidR="00CA0A9E" w:rsidRPr="008244C7" w:rsidRDefault="00CA0A9E" w:rsidP="00CA0A9E">
      <w:pPr>
        <w:rPr>
          <w:rFonts w:ascii="Cambria" w:hAnsi="Cambria"/>
          <w:color w:val="000000"/>
          <w:sz w:val="20"/>
          <w:szCs w:val="20"/>
          <w:lang w:val="es-US"/>
        </w:rPr>
      </w:pPr>
    </w:p>
    <w:p w14:paraId="78689364" w14:textId="77777777" w:rsidR="00CA0A9E" w:rsidRPr="009E4131" w:rsidRDefault="00CA0A9E" w:rsidP="00CA0A9E">
      <w:pPr>
        <w:rPr>
          <w:lang w:val="es-ES"/>
        </w:rPr>
      </w:pPr>
    </w:p>
    <w:p w14:paraId="5EEB6E78" w14:textId="77777777" w:rsidR="00CA0A9E" w:rsidRDefault="00CA0A9E" w:rsidP="00CA0A9E">
      <w:pPr>
        <w:rPr>
          <w:sz w:val="20"/>
          <w:szCs w:val="20"/>
          <w:lang w:val="es-ES"/>
        </w:rPr>
      </w:pPr>
    </w:p>
    <w:p w14:paraId="31F94368" w14:textId="77777777" w:rsidR="00DA4341" w:rsidRPr="00CA0A9E" w:rsidRDefault="00DA4341" w:rsidP="00CA0A9E">
      <w:pPr>
        <w:rPr>
          <w:lang w:val="es-ES"/>
        </w:rPr>
      </w:pPr>
    </w:p>
    <w:sectPr w:rsidR="00DA4341" w:rsidRPr="00CA0A9E"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9D6C" w14:textId="77777777" w:rsidR="00E963D5" w:rsidRDefault="00E963D5" w:rsidP="00672733">
      <w:pPr>
        <w:ind w:hanging="2"/>
      </w:pPr>
      <w:r>
        <w:separator/>
      </w:r>
    </w:p>
  </w:endnote>
  <w:endnote w:type="continuationSeparator" w:id="0">
    <w:p w14:paraId="5743A074" w14:textId="77777777" w:rsidR="00E963D5" w:rsidRDefault="00E963D5"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125DA8CB" w:rsidR="00E516AB" w:rsidRPr="00E516AB" w:rsidRDefault="00E516AB">
    <w:pPr>
      <w:pStyle w:val="Footer"/>
      <w:tabs>
        <w:tab w:val="clear" w:pos="4680"/>
        <w:tab w:val="clear" w:pos="9360"/>
      </w:tabs>
      <w:ind w:hanging="2"/>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B608E">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69A8" w14:textId="77777777" w:rsidR="00E963D5" w:rsidRDefault="00E963D5" w:rsidP="00672733">
      <w:pPr>
        <w:ind w:hanging="2"/>
      </w:pPr>
      <w:r>
        <w:separator/>
      </w:r>
    </w:p>
  </w:footnote>
  <w:footnote w:type="continuationSeparator" w:id="0">
    <w:p w14:paraId="2B0239E4" w14:textId="77777777" w:rsidR="00E963D5" w:rsidRDefault="00E963D5" w:rsidP="00672733">
      <w:r>
        <w:continuationSeparator/>
      </w:r>
    </w:p>
  </w:footnote>
  <w:footnote w:id="1">
    <w:p w14:paraId="40211D12" w14:textId="77777777" w:rsidR="00CA0A9E" w:rsidRPr="0089077C" w:rsidRDefault="00CA0A9E" w:rsidP="00CA0A9E">
      <w:pPr>
        <w:spacing w:after="120"/>
        <w:ind w:firstLine="720"/>
        <w:jc w:val="both"/>
        <w:rPr>
          <w:rFonts w:ascii="Cambria" w:hAnsi="Cambria"/>
          <w:sz w:val="16"/>
          <w:szCs w:val="16"/>
          <w:lang w:val="es-ES"/>
        </w:rPr>
      </w:pPr>
      <w:r w:rsidRPr="0089077C">
        <w:rPr>
          <w:rStyle w:val="FootnoteReference"/>
          <w:rFonts w:ascii="Cambria" w:hAnsi="Cambria"/>
          <w:sz w:val="16"/>
          <w:szCs w:val="16"/>
        </w:rPr>
        <w:footnoteRef/>
      </w:r>
      <w:r w:rsidRPr="0089077C">
        <w:rPr>
          <w:rFonts w:ascii="Cambria" w:hAnsi="Cambria"/>
          <w:sz w:val="16"/>
          <w:szCs w:val="16"/>
          <w:lang w:val="es-ES"/>
        </w:rPr>
        <w:t xml:space="preserve"> CIDH, Informe Anual 20</w:t>
      </w:r>
      <w:r>
        <w:rPr>
          <w:rFonts w:ascii="Cambria" w:hAnsi="Cambria"/>
          <w:sz w:val="16"/>
          <w:szCs w:val="16"/>
          <w:lang w:val="es-ES"/>
        </w:rPr>
        <w:t>18</w:t>
      </w:r>
      <w:r w:rsidRPr="0089077C">
        <w:rPr>
          <w:rFonts w:ascii="Cambria" w:hAnsi="Cambria"/>
          <w:sz w:val="16"/>
          <w:szCs w:val="16"/>
          <w:lang w:val="es-ES"/>
        </w:rPr>
        <w:t xml:space="preserve">, </w:t>
      </w:r>
      <w:hyperlink r:id="rId1" w:history="1">
        <w:r w:rsidRPr="00621CA2">
          <w:rPr>
            <w:rStyle w:val="Hyperlink"/>
            <w:rFonts w:ascii="Cambria" w:hAnsi="Cambria"/>
            <w:sz w:val="16"/>
            <w:szCs w:val="16"/>
            <w:lang w:val="es-ES"/>
          </w:rPr>
          <w:t>Capítulo II, Sección G: Estado del cumplimiento de las recomendaciones de la CIDH</w:t>
        </w:r>
      </w:hyperlink>
      <w:r w:rsidRPr="0089077C">
        <w:rPr>
          <w:rFonts w:ascii="Cambria" w:hAnsi="Cambria"/>
          <w:sz w:val="16"/>
          <w:szCs w:val="16"/>
          <w:lang w:val="es-ES"/>
        </w:rPr>
        <w:t>, párr. 2</w:t>
      </w:r>
      <w:r>
        <w:rPr>
          <w:rFonts w:ascii="Cambria" w:hAnsi="Cambria"/>
          <w:sz w:val="16"/>
          <w:szCs w:val="16"/>
          <w:lang w:val="es-ES"/>
        </w:rPr>
        <w:t>19</w:t>
      </w:r>
      <w:r w:rsidRPr="0089077C">
        <w:rPr>
          <w:rFonts w:ascii="Cambria" w:hAnsi="Cambria"/>
          <w:sz w:val="16"/>
          <w:szCs w:val="16"/>
          <w:lang w:val="es-ES"/>
        </w:rPr>
        <w:t xml:space="preserve">. </w:t>
      </w:r>
    </w:p>
  </w:footnote>
  <w:footnote w:id="2">
    <w:p w14:paraId="2E22E52D" w14:textId="77777777" w:rsidR="00CA0A9E" w:rsidRPr="00C52788" w:rsidRDefault="00CA0A9E" w:rsidP="00CA0A9E">
      <w:pPr>
        <w:pStyle w:val="FootnoteText"/>
        <w:spacing w:after="120"/>
        <w:ind w:firstLine="720"/>
        <w:jc w:val="both"/>
        <w:rPr>
          <w:rFonts w:ascii="Cambria" w:hAnsi="Cambria"/>
          <w:sz w:val="16"/>
          <w:szCs w:val="16"/>
          <w:lang w:val="es-ES"/>
        </w:rPr>
      </w:pPr>
      <w:r w:rsidRPr="00F353D0">
        <w:rPr>
          <w:rStyle w:val="FootnoteReference"/>
          <w:rFonts w:ascii="Cambria" w:hAnsi="Cambria"/>
          <w:sz w:val="16"/>
          <w:szCs w:val="16"/>
        </w:rPr>
        <w:footnoteRef/>
      </w:r>
      <w:r w:rsidRPr="00F353D0">
        <w:rPr>
          <w:rFonts w:ascii="Cambria" w:hAnsi="Cambria"/>
          <w:sz w:val="16"/>
          <w:szCs w:val="16"/>
          <w:lang w:val="es-ES"/>
        </w:rPr>
        <w:t xml:space="preserve"> CIDH, </w:t>
      </w:r>
      <w:hyperlink r:id="rId2" w:history="1">
        <w:r w:rsidRPr="00F353D0">
          <w:rPr>
            <w:rStyle w:val="Hyperlink"/>
            <w:rFonts w:ascii="Cambria" w:hAnsi="Cambria"/>
            <w:sz w:val="16"/>
            <w:szCs w:val="16"/>
            <w:lang w:val="es-ES"/>
          </w:rPr>
          <w:t>Caso 12.324</w:t>
        </w:r>
        <w:r>
          <w:rPr>
            <w:rStyle w:val="Hyperlink"/>
            <w:rFonts w:ascii="Cambria" w:hAnsi="Cambria"/>
            <w:sz w:val="16"/>
            <w:szCs w:val="16"/>
            <w:lang w:val="es-ES"/>
          </w:rPr>
          <w:t>,</w:t>
        </w:r>
        <w:r w:rsidRPr="00F353D0">
          <w:rPr>
            <w:rStyle w:val="Hyperlink"/>
            <w:rFonts w:ascii="Cambria" w:hAnsi="Cambria"/>
            <w:sz w:val="16"/>
            <w:szCs w:val="16"/>
            <w:lang w:val="es-ES"/>
          </w:rPr>
          <w:t xml:space="preserve"> Rubén Luis Godoy, Informe de Fondo </w:t>
        </w:r>
        <w:proofErr w:type="spellStart"/>
        <w:r w:rsidRPr="00F353D0">
          <w:rPr>
            <w:rStyle w:val="Hyperlink"/>
            <w:rFonts w:ascii="Cambria" w:hAnsi="Cambria"/>
            <w:sz w:val="16"/>
            <w:szCs w:val="16"/>
            <w:lang w:val="es-ES"/>
          </w:rPr>
          <w:t>Nº</w:t>
        </w:r>
        <w:proofErr w:type="spellEnd"/>
        <w:r w:rsidRPr="00F353D0">
          <w:rPr>
            <w:rStyle w:val="Hyperlink"/>
            <w:rFonts w:ascii="Cambria" w:hAnsi="Cambria"/>
            <w:sz w:val="16"/>
            <w:szCs w:val="16"/>
            <w:lang w:val="es-ES"/>
          </w:rPr>
          <w:t>. 66/12</w:t>
        </w:r>
      </w:hyperlink>
      <w:r w:rsidRPr="00F353D0">
        <w:rPr>
          <w:rFonts w:ascii="Cambria" w:hAnsi="Cambria"/>
          <w:sz w:val="16"/>
          <w:szCs w:val="16"/>
          <w:lang w:val="es-ES"/>
        </w:rPr>
        <w:t>, párr. 199.</w:t>
      </w:r>
    </w:p>
  </w:footnote>
  <w:footnote w:id="3">
    <w:p w14:paraId="0BBEC764" w14:textId="77777777" w:rsidR="00CA0A9E" w:rsidRPr="0089077C" w:rsidRDefault="00CA0A9E" w:rsidP="00CA0A9E">
      <w:pPr>
        <w:spacing w:after="120"/>
        <w:ind w:firstLine="720"/>
        <w:jc w:val="both"/>
        <w:rPr>
          <w:rFonts w:ascii="Cambria" w:hAnsi="Cambria"/>
          <w:sz w:val="16"/>
          <w:szCs w:val="16"/>
          <w:lang w:val="es-ES"/>
        </w:rPr>
      </w:pPr>
      <w:r w:rsidRPr="0089077C">
        <w:rPr>
          <w:rStyle w:val="FootnoteReference"/>
          <w:rFonts w:ascii="Cambria" w:hAnsi="Cambria"/>
          <w:sz w:val="16"/>
          <w:szCs w:val="16"/>
        </w:rPr>
        <w:footnoteRef/>
      </w:r>
      <w:r w:rsidRPr="0089077C">
        <w:rPr>
          <w:rFonts w:ascii="Cambria" w:hAnsi="Cambria"/>
          <w:sz w:val="16"/>
          <w:szCs w:val="16"/>
          <w:lang w:val="es-ES"/>
        </w:rPr>
        <w:t xml:space="preserve"> CIDH, Informe Anual 2017, </w:t>
      </w:r>
      <w:hyperlink r:id="rId3" w:history="1">
        <w:r w:rsidRPr="0089077C">
          <w:rPr>
            <w:rStyle w:val="Hyperlink"/>
            <w:rFonts w:ascii="Cambria" w:hAnsi="Cambria"/>
            <w:sz w:val="16"/>
            <w:szCs w:val="16"/>
            <w:lang w:val="es-ES"/>
          </w:rPr>
          <w:t>Capítulo II, Sección F: Estado del cumplimiento de las recomendaciones de la CIDH</w:t>
        </w:r>
      </w:hyperlink>
      <w:r w:rsidRPr="0089077C">
        <w:rPr>
          <w:rFonts w:ascii="Cambria" w:hAnsi="Cambria"/>
          <w:sz w:val="16"/>
          <w:szCs w:val="16"/>
          <w:lang w:val="es-ES"/>
        </w:rPr>
        <w:t xml:space="preserve">, párr. 264.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CFD3" w14:textId="77777777" w:rsidR="00F9764E" w:rsidRPr="00ED1EBA" w:rsidRDefault="00F9764E" w:rsidP="00F9764E">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9504" behindDoc="0" locked="0" layoutInCell="1" allowOverlap="1" wp14:anchorId="6E45A90F" wp14:editId="017395D2">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474605" wp14:editId="2B561884">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3B3838" w:themeColor="background2" w:themeShade="40"/>
        <w:sz w:val="22"/>
        <w:szCs w:val="28"/>
      </w:rPr>
      <w:t xml:space="preserve">                      </w:t>
    </w:r>
  </w:p>
  <w:p w14:paraId="12C6C379" w14:textId="77777777" w:rsidR="00F9764E" w:rsidRPr="00D56DC4" w:rsidRDefault="00F9764E" w:rsidP="00F9764E">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8480" behindDoc="0" locked="0" layoutInCell="1" allowOverlap="1" wp14:anchorId="20F75812" wp14:editId="4BFA7564">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42525"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4143" w14:textId="27C457DF" w:rsidR="00566CD0" w:rsidRPr="006B1F24" w:rsidRDefault="007739DD" w:rsidP="008818B0">
    <w:pPr>
      <w:pStyle w:val="Header"/>
      <w:tabs>
        <w:tab w:val="clear" w:pos="4680"/>
        <w:tab w:val="clear" w:pos="9360"/>
        <w:tab w:val="left" w:pos="1925"/>
      </w:tabs>
      <w:ind w:left="1" w:hanging="3"/>
      <w:rPr>
        <w:rFonts w:ascii="Arial" w:hAnsi="Arial" w:cs="Arial"/>
        <w:b/>
        <w:bCs/>
        <w:color w:val="404040" w:themeColor="text1" w:themeTint="BF"/>
        <w:sz w:val="38"/>
        <w:szCs w:val="38"/>
        <w:lang w:val="es-ES"/>
      </w:rPr>
    </w:pPr>
    <w:r w:rsidRPr="006B1F24">
      <w:rPr>
        <w:noProof/>
        <w:sz w:val="28"/>
        <w:szCs w:val="28"/>
      </w:rPr>
      <w:drawing>
        <wp:anchor distT="0" distB="0" distL="114300" distR="114300" simplePos="0" relativeHeight="251666432" behindDoc="0" locked="0" layoutInCell="1" allowOverlap="1" wp14:anchorId="1B8A2B6D" wp14:editId="715BBA56">
          <wp:simplePos x="0" y="0"/>
          <wp:positionH relativeFrom="column">
            <wp:posOffset>3880884</wp:posOffset>
          </wp:positionH>
          <wp:positionV relativeFrom="paragraph">
            <wp:posOffset>-946</wp:posOffset>
          </wp:positionV>
          <wp:extent cx="2183130" cy="508635"/>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17A589" wp14:editId="1B0F69E5">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3839D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6A6E934C"/>
    <w:lvl w:ilvl="0" w:tplc="6D5CE7FA">
      <w:start w:val="1"/>
      <w:numFmt w:val="decimal"/>
      <w:pStyle w:val="PrrafodeSentencia"/>
      <w:lvlText w:val="%1."/>
      <w:lvlJc w:val="left"/>
      <w:pPr>
        <w:ind w:left="5130" w:hanging="360"/>
      </w:pPr>
      <w:rPr>
        <w:rFonts w:cs="Times New Roman" w:hint="default"/>
        <w:b w:val="0"/>
        <w:i w:val="0"/>
        <w:strike w:val="0"/>
        <w:color w:val="auto"/>
        <w:sz w:val="20"/>
        <w:szCs w:val="20"/>
        <w:vertAlign w:val="baseline"/>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D75D5"/>
    <w:multiLevelType w:val="hybridMultilevel"/>
    <w:tmpl w:val="0E30BE0E"/>
    <w:lvl w:ilvl="0" w:tplc="C1267B0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B7C6B"/>
    <w:multiLevelType w:val="hybridMultilevel"/>
    <w:tmpl w:val="2D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A0779"/>
    <w:multiLevelType w:val="hybridMultilevel"/>
    <w:tmpl w:val="D20A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00A47"/>
    <w:multiLevelType w:val="hybridMultilevel"/>
    <w:tmpl w:val="4D320452"/>
    <w:lvl w:ilvl="0" w:tplc="C348336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VE" w:vendorID="64" w:dllVersion="0" w:nlCheck="1" w:checkStyle="0"/>
  <w:activeWritingStyle w:appName="MSWord" w:lang="es-US" w:vendorID="64" w:dllVersion="0" w:nlCheck="1" w:checkStyle="0"/>
  <w:activeWritingStyle w:appName="MSWord" w:lang="es-CO"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81B1D"/>
    <w:rsid w:val="00083992"/>
    <w:rsid w:val="00084944"/>
    <w:rsid w:val="00093D13"/>
    <w:rsid w:val="000A7805"/>
    <w:rsid w:val="000B5E1D"/>
    <w:rsid w:val="000C5C4A"/>
    <w:rsid w:val="000D58E4"/>
    <w:rsid w:val="0011475D"/>
    <w:rsid w:val="0013222A"/>
    <w:rsid w:val="001360C7"/>
    <w:rsid w:val="001841A2"/>
    <w:rsid w:val="001C7AAF"/>
    <w:rsid w:val="001D4AA3"/>
    <w:rsid w:val="001E3244"/>
    <w:rsid w:val="001F04E8"/>
    <w:rsid w:val="002250A3"/>
    <w:rsid w:val="0027366F"/>
    <w:rsid w:val="002D2D91"/>
    <w:rsid w:val="002D613B"/>
    <w:rsid w:val="002F7FE8"/>
    <w:rsid w:val="003007DA"/>
    <w:rsid w:val="003202B4"/>
    <w:rsid w:val="00322720"/>
    <w:rsid w:val="00336A31"/>
    <w:rsid w:val="00350CF6"/>
    <w:rsid w:val="003B2AC2"/>
    <w:rsid w:val="003F5C15"/>
    <w:rsid w:val="0043001C"/>
    <w:rsid w:val="00453115"/>
    <w:rsid w:val="004532C7"/>
    <w:rsid w:val="0046681D"/>
    <w:rsid w:val="004728A9"/>
    <w:rsid w:val="0048723C"/>
    <w:rsid w:val="004B7C53"/>
    <w:rsid w:val="004C592A"/>
    <w:rsid w:val="00517C6D"/>
    <w:rsid w:val="00521F2D"/>
    <w:rsid w:val="00526D29"/>
    <w:rsid w:val="005275EF"/>
    <w:rsid w:val="0054273E"/>
    <w:rsid w:val="00566CD0"/>
    <w:rsid w:val="00576497"/>
    <w:rsid w:val="006013E8"/>
    <w:rsid w:val="00637ED3"/>
    <w:rsid w:val="006638E5"/>
    <w:rsid w:val="00672733"/>
    <w:rsid w:val="00682AAD"/>
    <w:rsid w:val="006B1F24"/>
    <w:rsid w:val="00735CF7"/>
    <w:rsid w:val="00742645"/>
    <w:rsid w:val="00750246"/>
    <w:rsid w:val="007739DD"/>
    <w:rsid w:val="007E2C8B"/>
    <w:rsid w:val="008244C7"/>
    <w:rsid w:val="008463D3"/>
    <w:rsid w:val="008818B0"/>
    <w:rsid w:val="008A36C4"/>
    <w:rsid w:val="008D1A5E"/>
    <w:rsid w:val="00934EFD"/>
    <w:rsid w:val="009433E7"/>
    <w:rsid w:val="009641CA"/>
    <w:rsid w:val="00985673"/>
    <w:rsid w:val="009A50E2"/>
    <w:rsid w:val="009B1335"/>
    <w:rsid w:val="009B2178"/>
    <w:rsid w:val="009E7B79"/>
    <w:rsid w:val="009F47BF"/>
    <w:rsid w:val="00A1642C"/>
    <w:rsid w:val="00A31E02"/>
    <w:rsid w:val="00A415D6"/>
    <w:rsid w:val="00A52906"/>
    <w:rsid w:val="00B63B01"/>
    <w:rsid w:val="00BA161C"/>
    <w:rsid w:val="00BB0D06"/>
    <w:rsid w:val="00BB166E"/>
    <w:rsid w:val="00BC1769"/>
    <w:rsid w:val="00BC26E7"/>
    <w:rsid w:val="00BE5D8A"/>
    <w:rsid w:val="00C12D7A"/>
    <w:rsid w:val="00C37D8E"/>
    <w:rsid w:val="00C410E9"/>
    <w:rsid w:val="00C41431"/>
    <w:rsid w:val="00C8698F"/>
    <w:rsid w:val="00CA0A9E"/>
    <w:rsid w:val="00CE23E1"/>
    <w:rsid w:val="00CF0270"/>
    <w:rsid w:val="00D03375"/>
    <w:rsid w:val="00D316E5"/>
    <w:rsid w:val="00D334A4"/>
    <w:rsid w:val="00D56DC4"/>
    <w:rsid w:val="00D817A5"/>
    <w:rsid w:val="00DA4341"/>
    <w:rsid w:val="00DA47CF"/>
    <w:rsid w:val="00E042FE"/>
    <w:rsid w:val="00E1104E"/>
    <w:rsid w:val="00E226C5"/>
    <w:rsid w:val="00E516AB"/>
    <w:rsid w:val="00E62510"/>
    <w:rsid w:val="00E629E8"/>
    <w:rsid w:val="00E7021E"/>
    <w:rsid w:val="00E827A7"/>
    <w:rsid w:val="00E90CB3"/>
    <w:rsid w:val="00E963D5"/>
    <w:rsid w:val="00EB608E"/>
    <w:rsid w:val="00EE70D1"/>
    <w:rsid w:val="00EF270C"/>
    <w:rsid w:val="00F33C6F"/>
    <w:rsid w:val="00F46C38"/>
    <w:rsid w:val="00F54C38"/>
    <w:rsid w:val="00F9764E"/>
    <w:rsid w:val="00FE0E7B"/>
    <w:rsid w:val="00FF0906"/>
    <w:rsid w:val="3F62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9E"/>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uiPriority w:val="1"/>
    <w:qFormat/>
    <w:rsid w:val="00F54C38"/>
    <w:rPr>
      <w:rFonts w:ascii="Calibri" w:eastAsia="Calibri" w:hAnsi="Calibri" w:cs="Times New Roman"/>
      <w:sz w:val="22"/>
      <w:szCs w:val="22"/>
      <w:lang w:val="pt-BR"/>
    </w:rPr>
  </w:style>
  <w:style w:type="paragraph" w:styleId="BalloonText">
    <w:name w:val="Balloon Text"/>
    <w:basedOn w:val="Normal"/>
    <w:link w:val="BalloonTextChar"/>
    <w:uiPriority w:val="99"/>
    <w:semiHidden/>
    <w:unhideWhenUsed/>
    <w:rsid w:val="008D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5E"/>
    <w:rPr>
      <w:rFonts w:ascii="Segoe UI" w:hAnsi="Segoe UI" w:cs="Segoe UI"/>
      <w:sz w:val="18"/>
      <w:szCs w:val="18"/>
    </w:rPr>
  </w:style>
  <w:style w:type="character" w:styleId="FollowedHyperlink">
    <w:name w:val="FollowedHyperlink"/>
    <w:uiPriority w:val="99"/>
    <w:semiHidden/>
    <w:unhideWhenUsed/>
    <w:rsid w:val="00DA4341"/>
    <w:rPr>
      <w:color w:val="800080"/>
      <w:u w:val="single"/>
    </w:rPr>
  </w:style>
  <w:style w:type="paragraph" w:customStyle="1" w:styleId="Default">
    <w:name w:val="Default"/>
    <w:rsid w:val="00DA4341"/>
    <w:pPr>
      <w:autoSpaceDE w:val="0"/>
      <w:autoSpaceDN w:val="0"/>
      <w:adjustRightInd w:val="0"/>
    </w:pPr>
    <w:rPr>
      <w:rFonts w:ascii="Cambria" w:eastAsia="Calibri" w:hAnsi="Cambria" w:cs="Cambria"/>
      <w:color w:val="000000"/>
      <w:lang w:val="pt-BR" w:eastAsia="pt-BR"/>
    </w:rPr>
  </w:style>
  <w:style w:type="character" w:styleId="CommentReference">
    <w:name w:val="annotation reference"/>
    <w:uiPriority w:val="99"/>
    <w:semiHidden/>
    <w:unhideWhenUsed/>
    <w:rsid w:val="00DA4341"/>
    <w:rPr>
      <w:sz w:val="16"/>
      <w:szCs w:val="16"/>
    </w:rPr>
  </w:style>
  <w:style w:type="paragraph" w:styleId="CommentText">
    <w:name w:val="annotation text"/>
    <w:basedOn w:val="Normal"/>
    <w:link w:val="CommentTextChar"/>
    <w:uiPriority w:val="99"/>
    <w:unhideWhenUsed/>
    <w:rsid w:val="00DA4341"/>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DA4341"/>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DA4341"/>
    <w:rPr>
      <w:b/>
      <w:bCs/>
    </w:rPr>
  </w:style>
  <w:style w:type="character" w:customStyle="1" w:styleId="CommentSubjectChar">
    <w:name w:val="Comment Subject Char"/>
    <w:basedOn w:val="CommentTextChar"/>
    <w:link w:val="CommentSubject"/>
    <w:uiPriority w:val="99"/>
    <w:semiHidden/>
    <w:rsid w:val="00DA4341"/>
    <w:rPr>
      <w:rFonts w:ascii="Calibri" w:eastAsia="Calibri" w:hAnsi="Calibri" w:cs="Times New Roman"/>
      <w:b/>
      <w:bCs/>
      <w:sz w:val="20"/>
      <w:szCs w:val="20"/>
      <w:lang w:val="pt-BR"/>
    </w:rPr>
  </w:style>
  <w:style w:type="paragraph" w:customStyle="1" w:styleId="PrrafodeSentencia">
    <w:name w:val="*. Párrafo de Sentencia"/>
    <w:basedOn w:val="Normal"/>
    <w:next w:val="Normal"/>
    <w:link w:val="PrrafodeSentenciaChar"/>
    <w:rsid w:val="00DA4341"/>
    <w:pPr>
      <w:numPr>
        <w:numId w:val="2"/>
      </w:numPr>
      <w:tabs>
        <w:tab w:val="left" w:pos="567"/>
      </w:tabs>
      <w:ind w:left="0" w:firstLine="0"/>
      <w:jc w:val="both"/>
    </w:pPr>
    <w:rPr>
      <w:rFonts w:ascii="Verdana" w:eastAsia="Batang" w:hAnsi="Verdana" w:cs="Times New Roman"/>
      <w:spacing w:val="-4"/>
      <w:sz w:val="20"/>
      <w:szCs w:val="22"/>
      <w:lang w:val="es-CR" w:eastAsia="es-MX"/>
    </w:rPr>
  </w:style>
  <w:style w:type="character" w:customStyle="1" w:styleId="PrrafodeSentenciaChar">
    <w:name w:val="*. Párrafo de Sentencia Char"/>
    <w:link w:val="PrrafodeSentencia"/>
    <w:locked/>
    <w:rsid w:val="00DA4341"/>
    <w:rPr>
      <w:rFonts w:ascii="Verdana" w:eastAsia="Batang" w:hAnsi="Verdana" w:cs="Times New Roman"/>
      <w:spacing w:val="-4"/>
      <w:sz w:val="20"/>
      <w:szCs w:val="22"/>
      <w:lang w:val="es-CR" w:eastAsia="es-MX"/>
    </w:rPr>
  </w:style>
  <w:style w:type="character" w:styleId="UnresolvedMention">
    <w:name w:val="Unresolved Mention"/>
    <w:uiPriority w:val="99"/>
    <w:semiHidden/>
    <w:unhideWhenUsed/>
    <w:rsid w:val="00DA4341"/>
    <w:rPr>
      <w:color w:val="605E5C"/>
      <w:shd w:val="clear" w:color="auto" w:fill="E1DFDD"/>
    </w:rPr>
  </w:style>
  <w:style w:type="paragraph" w:styleId="NormalWeb">
    <w:name w:val="Normal (Web)"/>
    <w:basedOn w:val="Normal"/>
    <w:uiPriority w:val="99"/>
    <w:semiHidden/>
    <w:unhideWhenUsed/>
    <w:rsid w:val="00DA47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040">
      <w:bodyDiv w:val="1"/>
      <w:marLeft w:val="0"/>
      <w:marRight w:val="0"/>
      <w:marTop w:val="0"/>
      <w:marBottom w:val="0"/>
      <w:divBdr>
        <w:top w:val="none" w:sz="0" w:space="0" w:color="auto"/>
        <w:left w:val="none" w:sz="0" w:space="0" w:color="auto"/>
        <w:bottom w:val="none" w:sz="0" w:space="0" w:color="auto"/>
        <w:right w:val="none" w:sz="0" w:space="0" w:color="auto"/>
      </w:divBdr>
      <w:divsChild>
        <w:div w:id="1769882141">
          <w:marLeft w:val="0"/>
          <w:marRight w:val="0"/>
          <w:marTop w:val="0"/>
          <w:marBottom w:val="0"/>
          <w:divBdr>
            <w:top w:val="none" w:sz="0" w:space="0" w:color="auto"/>
            <w:left w:val="none" w:sz="0" w:space="0" w:color="auto"/>
            <w:bottom w:val="none" w:sz="0" w:space="0" w:color="auto"/>
            <w:right w:val="none" w:sz="0" w:space="0" w:color="auto"/>
          </w:divBdr>
          <w:divsChild>
            <w:div w:id="1261064594">
              <w:marLeft w:val="0"/>
              <w:marRight w:val="0"/>
              <w:marTop w:val="0"/>
              <w:marBottom w:val="0"/>
              <w:divBdr>
                <w:top w:val="none" w:sz="0" w:space="0" w:color="auto"/>
                <w:left w:val="none" w:sz="0" w:space="0" w:color="auto"/>
                <w:bottom w:val="none" w:sz="0" w:space="0" w:color="auto"/>
                <w:right w:val="none" w:sz="0" w:space="0" w:color="auto"/>
              </w:divBdr>
              <w:divsChild>
                <w:div w:id="19916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670">
      <w:bodyDiv w:val="1"/>
      <w:marLeft w:val="0"/>
      <w:marRight w:val="0"/>
      <w:marTop w:val="0"/>
      <w:marBottom w:val="0"/>
      <w:divBdr>
        <w:top w:val="none" w:sz="0" w:space="0" w:color="auto"/>
        <w:left w:val="none" w:sz="0" w:space="0" w:color="auto"/>
        <w:bottom w:val="none" w:sz="0" w:space="0" w:color="auto"/>
        <w:right w:val="none" w:sz="0" w:space="0" w:color="auto"/>
      </w:divBdr>
      <w:divsChild>
        <w:div w:id="791366438">
          <w:marLeft w:val="0"/>
          <w:marRight w:val="0"/>
          <w:marTop w:val="0"/>
          <w:marBottom w:val="0"/>
          <w:divBdr>
            <w:top w:val="none" w:sz="0" w:space="0" w:color="auto"/>
            <w:left w:val="none" w:sz="0" w:space="0" w:color="auto"/>
            <w:bottom w:val="none" w:sz="0" w:space="0" w:color="auto"/>
            <w:right w:val="none" w:sz="0" w:space="0" w:color="auto"/>
          </w:divBdr>
          <w:divsChild>
            <w:div w:id="1139762378">
              <w:marLeft w:val="0"/>
              <w:marRight w:val="0"/>
              <w:marTop w:val="0"/>
              <w:marBottom w:val="0"/>
              <w:divBdr>
                <w:top w:val="none" w:sz="0" w:space="0" w:color="auto"/>
                <w:left w:val="none" w:sz="0" w:space="0" w:color="auto"/>
                <w:bottom w:val="none" w:sz="0" w:space="0" w:color="auto"/>
                <w:right w:val="none" w:sz="0" w:space="0" w:color="auto"/>
              </w:divBdr>
              <w:divsChild>
                <w:div w:id="13337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713">
      <w:bodyDiv w:val="1"/>
      <w:marLeft w:val="0"/>
      <w:marRight w:val="0"/>
      <w:marTop w:val="0"/>
      <w:marBottom w:val="0"/>
      <w:divBdr>
        <w:top w:val="none" w:sz="0" w:space="0" w:color="auto"/>
        <w:left w:val="none" w:sz="0" w:space="0" w:color="auto"/>
        <w:bottom w:val="none" w:sz="0" w:space="0" w:color="auto"/>
        <w:right w:val="none" w:sz="0" w:space="0" w:color="auto"/>
      </w:divBdr>
      <w:divsChild>
        <w:div w:id="1791893283">
          <w:marLeft w:val="0"/>
          <w:marRight w:val="0"/>
          <w:marTop w:val="0"/>
          <w:marBottom w:val="0"/>
          <w:divBdr>
            <w:top w:val="none" w:sz="0" w:space="0" w:color="auto"/>
            <w:left w:val="none" w:sz="0" w:space="0" w:color="auto"/>
            <w:bottom w:val="none" w:sz="0" w:space="0" w:color="auto"/>
            <w:right w:val="none" w:sz="0" w:space="0" w:color="auto"/>
          </w:divBdr>
          <w:divsChild>
            <w:div w:id="123548234">
              <w:marLeft w:val="0"/>
              <w:marRight w:val="0"/>
              <w:marTop w:val="0"/>
              <w:marBottom w:val="0"/>
              <w:divBdr>
                <w:top w:val="none" w:sz="0" w:space="0" w:color="auto"/>
                <w:left w:val="none" w:sz="0" w:space="0" w:color="auto"/>
                <w:bottom w:val="none" w:sz="0" w:space="0" w:color="auto"/>
                <w:right w:val="none" w:sz="0" w:space="0" w:color="auto"/>
              </w:divBdr>
              <w:divsChild>
                <w:div w:id="5965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3750">
      <w:bodyDiv w:val="1"/>
      <w:marLeft w:val="0"/>
      <w:marRight w:val="0"/>
      <w:marTop w:val="0"/>
      <w:marBottom w:val="0"/>
      <w:divBdr>
        <w:top w:val="none" w:sz="0" w:space="0" w:color="auto"/>
        <w:left w:val="none" w:sz="0" w:space="0" w:color="auto"/>
        <w:bottom w:val="none" w:sz="0" w:space="0" w:color="auto"/>
        <w:right w:val="none" w:sz="0" w:space="0" w:color="auto"/>
      </w:divBdr>
      <w:divsChild>
        <w:div w:id="1027410324">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73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4161">
      <w:bodyDiv w:val="1"/>
      <w:marLeft w:val="0"/>
      <w:marRight w:val="0"/>
      <w:marTop w:val="0"/>
      <w:marBottom w:val="0"/>
      <w:divBdr>
        <w:top w:val="none" w:sz="0" w:space="0" w:color="auto"/>
        <w:left w:val="none" w:sz="0" w:space="0" w:color="auto"/>
        <w:bottom w:val="none" w:sz="0" w:space="0" w:color="auto"/>
        <w:right w:val="none" w:sz="0" w:space="0" w:color="auto"/>
      </w:divBdr>
      <w:divsChild>
        <w:div w:id="1900046444">
          <w:marLeft w:val="0"/>
          <w:marRight w:val="0"/>
          <w:marTop w:val="0"/>
          <w:marBottom w:val="0"/>
          <w:divBdr>
            <w:top w:val="none" w:sz="0" w:space="0" w:color="auto"/>
            <w:left w:val="none" w:sz="0" w:space="0" w:color="auto"/>
            <w:bottom w:val="none" w:sz="0" w:space="0" w:color="auto"/>
            <w:right w:val="none" w:sz="0" w:space="0" w:color="auto"/>
          </w:divBdr>
          <w:divsChild>
            <w:div w:id="1859004929">
              <w:marLeft w:val="0"/>
              <w:marRight w:val="0"/>
              <w:marTop w:val="0"/>
              <w:marBottom w:val="0"/>
              <w:divBdr>
                <w:top w:val="none" w:sz="0" w:space="0" w:color="auto"/>
                <w:left w:val="none" w:sz="0" w:space="0" w:color="auto"/>
                <w:bottom w:val="none" w:sz="0" w:space="0" w:color="auto"/>
                <w:right w:val="none" w:sz="0" w:space="0" w:color="auto"/>
              </w:divBdr>
              <w:divsChild>
                <w:div w:id="585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3869">
      <w:bodyDiv w:val="1"/>
      <w:marLeft w:val="0"/>
      <w:marRight w:val="0"/>
      <w:marTop w:val="0"/>
      <w:marBottom w:val="0"/>
      <w:divBdr>
        <w:top w:val="none" w:sz="0" w:space="0" w:color="auto"/>
        <w:left w:val="none" w:sz="0" w:space="0" w:color="auto"/>
        <w:bottom w:val="none" w:sz="0" w:space="0" w:color="auto"/>
        <w:right w:val="none" w:sz="0" w:space="0" w:color="auto"/>
      </w:divBdr>
      <w:divsChild>
        <w:div w:id="1879080780">
          <w:marLeft w:val="0"/>
          <w:marRight w:val="0"/>
          <w:marTop w:val="0"/>
          <w:marBottom w:val="0"/>
          <w:divBdr>
            <w:top w:val="none" w:sz="0" w:space="0" w:color="auto"/>
            <w:left w:val="none" w:sz="0" w:space="0" w:color="auto"/>
            <w:bottom w:val="none" w:sz="0" w:space="0" w:color="auto"/>
            <w:right w:val="none" w:sz="0" w:space="0" w:color="auto"/>
          </w:divBdr>
          <w:divsChild>
            <w:div w:id="1352339433">
              <w:marLeft w:val="0"/>
              <w:marRight w:val="0"/>
              <w:marTop w:val="0"/>
              <w:marBottom w:val="0"/>
              <w:divBdr>
                <w:top w:val="none" w:sz="0" w:space="0" w:color="auto"/>
                <w:left w:val="none" w:sz="0" w:space="0" w:color="auto"/>
                <w:bottom w:val="none" w:sz="0" w:space="0" w:color="auto"/>
                <w:right w:val="none" w:sz="0" w:space="0" w:color="auto"/>
              </w:divBdr>
              <w:divsChild>
                <w:div w:id="1555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6737">
      <w:bodyDiv w:val="1"/>
      <w:marLeft w:val="0"/>
      <w:marRight w:val="0"/>
      <w:marTop w:val="0"/>
      <w:marBottom w:val="0"/>
      <w:divBdr>
        <w:top w:val="none" w:sz="0" w:space="0" w:color="auto"/>
        <w:left w:val="none" w:sz="0" w:space="0" w:color="auto"/>
        <w:bottom w:val="none" w:sz="0" w:space="0" w:color="auto"/>
        <w:right w:val="none" w:sz="0" w:space="0" w:color="auto"/>
      </w:divBdr>
      <w:divsChild>
        <w:div w:id="1976909786">
          <w:marLeft w:val="0"/>
          <w:marRight w:val="0"/>
          <w:marTop w:val="0"/>
          <w:marBottom w:val="0"/>
          <w:divBdr>
            <w:top w:val="none" w:sz="0" w:space="0" w:color="auto"/>
            <w:left w:val="none" w:sz="0" w:space="0" w:color="auto"/>
            <w:bottom w:val="none" w:sz="0" w:space="0" w:color="auto"/>
            <w:right w:val="none" w:sz="0" w:space="0" w:color="auto"/>
          </w:divBdr>
          <w:divsChild>
            <w:div w:id="1191341634">
              <w:marLeft w:val="0"/>
              <w:marRight w:val="0"/>
              <w:marTop w:val="0"/>
              <w:marBottom w:val="0"/>
              <w:divBdr>
                <w:top w:val="none" w:sz="0" w:space="0" w:color="auto"/>
                <w:left w:val="none" w:sz="0" w:space="0" w:color="auto"/>
                <w:bottom w:val="none" w:sz="0" w:space="0" w:color="auto"/>
                <w:right w:val="none" w:sz="0" w:space="0" w:color="auto"/>
              </w:divBdr>
              <w:divsChild>
                <w:div w:id="1799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7937">
      <w:bodyDiv w:val="1"/>
      <w:marLeft w:val="0"/>
      <w:marRight w:val="0"/>
      <w:marTop w:val="0"/>
      <w:marBottom w:val="0"/>
      <w:divBdr>
        <w:top w:val="none" w:sz="0" w:space="0" w:color="auto"/>
        <w:left w:val="none" w:sz="0" w:space="0" w:color="auto"/>
        <w:bottom w:val="none" w:sz="0" w:space="0" w:color="auto"/>
        <w:right w:val="none" w:sz="0" w:space="0" w:color="auto"/>
      </w:divBdr>
      <w:divsChild>
        <w:div w:id="603148996">
          <w:marLeft w:val="0"/>
          <w:marRight w:val="0"/>
          <w:marTop w:val="0"/>
          <w:marBottom w:val="0"/>
          <w:divBdr>
            <w:top w:val="none" w:sz="0" w:space="0" w:color="auto"/>
            <w:left w:val="none" w:sz="0" w:space="0" w:color="auto"/>
            <w:bottom w:val="none" w:sz="0" w:space="0" w:color="auto"/>
            <w:right w:val="none" w:sz="0" w:space="0" w:color="auto"/>
          </w:divBdr>
          <w:divsChild>
            <w:div w:id="1031303050">
              <w:marLeft w:val="0"/>
              <w:marRight w:val="0"/>
              <w:marTop w:val="0"/>
              <w:marBottom w:val="0"/>
              <w:divBdr>
                <w:top w:val="none" w:sz="0" w:space="0" w:color="auto"/>
                <w:left w:val="none" w:sz="0" w:space="0" w:color="auto"/>
                <w:bottom w:val="none" w:sz="0" w:space="0" w:color="auto"/>
                <w:right w:val="none" w:sz="0" w:space="0" w:color="auto"/>
              </w:divBdr>
              <w:divsChild>
                <w:div w:id="11554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9101">
      <w:bodyDiv w:val="1"/>
      <w:marLeft w:val="0"/>
      <w:marRight w:val="0"/>
      <w:marTop w:val="0"/>
      <w:marBottom w:val="0"/>
      <w:divBdr>
        <w:top w:val="none" w:sz="0" w:space="0" w:color="auto"/>
        <w:left w:val="none" w:sz="0" w:space="0" w:color="auto"/>
        <w:bottom w:val="none" w:sz="0" w:space="0" w:color="auto"/>
        <w:right w:val="none" w:sz="0" w:space="0" w:color="auto"/>
      </w:divBdr>
      <w:divsChild>
        <w:div w:id="877088845">
          <w:marLeft w:val="0"/>
          <w:marRight w:val="0"/>
          <w:marTop w:val="0"/>
          <w:marBottom w:val="0"/>
          <w:divBdr>
            <w:top w:val="none" w:sz="0" w:space="0" w:color="auto"/>
            <w:left w:val="none" w:sz="0" w:space="0" w:color="auto"/>
            <w:bottom w:val="none" w:sz="0" w:space="0" w:color="auto"/>
            <w:right w:val="none" w:sz="0" w:space="0" w:color="auto"/>
          </w:divBdr>
          <w:divsChild>
            <w:div w:id="15039268">
              <w:marLeft w:val="0"/>
              <w:marRight w:val="0"/>
              <w:marTop w:val="0"/>
              <w:marBottom w:val="0"/>
              <w:divBdr>
                <w:top w:val="none" w:sz="0" w:space="0" w:color="auto"/>
                <w:left w:val="none" w:sz="0" w:space="0" w:color="auto"/>
                <w:bottom w:val="none" w:sz="0" w:space="0" w:color="auto"/>
                <w:right w:val="none" w:sz="0" w:space="0" w:color="auto"/>
              </w:divBdr>
              <w:divsChild>
                <w:div w:id="17002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7244">
      <w:bodyDiv w:val="1"/>
      <w:marLeft w:val="0"/>
      <w:marRight w:val="0"/>
      <w:marTop w:val="0"/>
      <w:marBottom w:val="0"/>
      <w:divBdr>
        <w:top w:val="none" w:sz="0" w:space="0" w:color="auto"/>
        <w:left w:val="none" w:sz="0" w:space="0" w:color="auto"/>
        <w:bottom w:val="none" w:sz="0" w:space="0" w:color="auto"/>
        <w:right w:val="none" w:sz="0" w:space="0" w:color="auto"/>
      </w:divBdr>
      <w:divsChild>
        <w:div w:id="2068144274">
          <w:marLeft w:val="0"/>
          <w:marRight w:val="0"/>
          <w:marTop w:val="0"/>
          <w:marBottom w:val="0"/>
          <w:divBdr>
            <w:top w:val="none" w:sz="0" w:space="0" w:color="auto"/>
            <w:left w:val="none" w:sz="0" w:space="0" w:color="auto"/>
            <w:bottom w:val="none" w:sz="0" w:space="0" w:color="auto"/>
            <w:right w:val="none" w:sz="0" w:space="0" w:color="auto"/>
          </w:divBdr>
          <w:divsChild>
            <w:div w:id="924652585">
              <w:marLeft w:val="0"/>
              <w:marRight w:val="0"/>
              <w:marTop w:val="0"/>
              <w:marBottom w:val="0"/>
              <w:divBdr>
                <w:top w:val="none" w:sz="0" w:space="0" w:color="auto"/>
                <w:left w:val="none" w:sz="0" w:space="0" w:color="auto"/>
                <w:bottom w:val="none" w:sz="0" w:space="0" w:color="auto"/>
                <w:right w:val="none" w:sz="0" w:space="0" w:color="auto"/>
              </w:divBdr>
              <w:divsChild>
                <w:div w:id="1078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4661">
      <w:bodyDiv w:val="1"/>
      <w:marLeft w:val="0"/>
      <w:marRight w:val="0"/>
      <w:marTop w:val="0"/>
      <w:marBottom w:val="0"/>
      <w:divBdr>
        <w:top w:val="none" w:sz="0" w:space="0" w:color="auto"/>
        <w:left w:val="none" w:sz="0" w:space="0" w:color="auto"/>
        <w:bottom w:val="none" w:sz="0" w:space="0" w:color="auto"/>
        <w:right w:val="none" w:sz="0" w:space="0" w:color="auto"/>
      </w:divBdr>
      <w:divsChild>
        <w:div w:id="256645435">
          <w:marLeft w:val="0"/>
          <w:marRight w:val="0"/>
          <w:marTop w:val="0"/>
          <w:marBottom w:val="0"/>
          <w:divBdr>
            <w:top w:val="none" w:sz="0" w:space="0" w:color="auto"/>
            <w:left w:val="none" w:sz="0" w:space="0" w:color="auto"/>
            <w:bottom w:val="none" w:sz="0" w:space="0" w:color="auto"/>
            <w:right w:val="none" w:sz="0" w:space="0" w:color="auto"/>
          </w:divBdr>
          <w:divsChild>
            <w:div w:id="287512778">
              <w:marLeft w:val="0"/>
              <w:marRight w:val="0"/>
              <w:marTop w:val="0"/>
              <w:marBottom w:val="0"/>
              <w:divBdr>
                <w:top w:val="none" w:sz="0" w:space="0" w:color="auto"/>
                <w:left w:val="none" w:sz="0" w:space="0" w:color="auto"/>
                <w:bottom w:val="none" w:sz="0" w:space="0" w:color="auto"/>
                <w:right w:val="none" w:sz="0" w:space="0" w:color="auto"/>
              </w:divBdr>
              <w:divsChild>
                <w:div w:id="1762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39184">
      <w:bodyDiv w:val="1"/>
      <w:marLeft w:val="0"/>
      <w:marRight w:val="0"/>
      <w:marTop w:val="0"/>
      <w:marBottom w:val="0"/>
      <w:divBdr>
        <w:top w:val="none" w:sz="0" w:space="0" w:color="auto"/>
        <w:left w:val="none" w:sz="0" w:space="0" w:color="auto"/>
        <w:bottom w:val="none" w:sz="0" w:space="0" w:color="auto"/>
        <w:right w:val="none" w:sz="0" w:space="0" w:color="auto"/>
      </w:divBdr>
      <w:divsChild>
        <w:div w:id="431978197">
          <w:marLeft w:val="0"/>
          <w:marRight w:val="0"/>
          <w:marTop w:val="0"/>
          <w:marBottom w:val="0"/>
          <w:divBdr>
            <w:top w:val="none" w:sz="0" w:space="0" w:color="auto"/>
            <w:left w:val="none" w:sz="0" w:space="0" w:color="auto"/>
            <w:bottom w:val="none" w:sz="0" w:space="0" w:color="auto"/>
            <w:right w:val="none" w:sz="0" w:space="0" w:color="auto"/>
          </w:divBdr>
          <w:divsChild>
            <w:div w:id="1444838673">
              <w:marLeft w:val="0"/>
              <w:marRight w:val="0"/>
              <w:marTop w:val="0"/>
              <w:marBottom w:val="0"/>
              <w:divBdr>
                <w:top w:val="none" w:sz="0" w:space="0" w:color="auto"/>
                <w:left w:val="none" w:sz="0" w:space="0" w:color="auto"/>
                <w:bottom w:val="none" w:sz="0" w:space="0" w:color="auto"/>
                <w:right w:val="none" w:sz="0" w:space="0" w:color="auto"/>
              </w:divBdr>
              <w:divsChild>
                <w:div w:id="5224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2/ARPU12424ES.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4sp/Argentina.12324.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7/docs/IA2017cap.2-es.pdf" TargetMode="External"/><Relationship Id="rId2" Type="http://schemas.openxmlformats.org/officeDocument/2006/relationships/hyperlink" Target="http://www.oas.org/es/cidh/decisiones/2012/ARPU12424ES.doc" TargetMode="External"/><Relationship Id="rId1" Type="http://schemas.openxmlformats.org/officeDocument/2006/relationships/hyperlink" Target="https://www.oas.org/es/cidh/docs/anual/2018/docs/IA2018cap.2-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02A6-483A-4D9C-B268-5519999A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2022-03-28T15:56:00Z</dcterms:created>
  <dcterms:modified xsi:type="dcterms:W3CDTF">2022-03-28T15:56:00Z</dcterms:modified>
</cp:coreProperties>
</file>