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51BF" w14:textId="77777777" w:rsidR="00401EB6" w:rsidRPr="00156477" w:rsidRDefault="00401EB6" w:rsidP="00AC5985">
      <w:pPr>
        <w:spacing w:after="0" w:line="240" w:lineRule="auto"/>
        <w:jc w:val="center"/>
        <w:rPr>
          <w:rFonts w:ascii="Cambria" w:hAnsi="Cambria"/>
          <w:b/>
          <w:color w:val="000000" w:themeColor="text1"/>
          <w:sz w:val="20"/>
          <w:szCs w:val="20"/>
          <w:lang w:val="es-CO"/>
        </w:rPr>
      </w:pPr>
    </w:p>
    <w:p w14:paraId="6B0CC1F5" w14:textId="77777777" w:rsidR="00F1673B" w:rsidRPr="00156477" w:rsidRDefault="000B2DC4" w:rsidP="00AC5985">
      <w:pPr>
        <w:spacing w:after="0" w:line="240" w:lineRule="auto"/>
        <w:jc w:val="center"/>
        <w:rPr>
          <w:rFonts w:ascii="Cambria" w:hAnsi="Cambria"/>
          <w:b/>
          <w:color w:val="000000" w:themeColor="text1"/>
          <w:sz w:val="20"/>
          <w:szCs w:val="20"/>
          <w:lang w:val="es-ES"/>
        </w:rPr>
      </w:pPr>
      <w:r w:rsidRPr="00156477">
        <w:rPr>
          <w:rFonts w:ascii="Cambria" w:hAnsi="Cambria"/>
          <w:b/>
          <w:color w:val="000000" w:themeColor="text1"/>
          <w:sz w:val="20"/>
          <w:szCs w:val="20"/>
          <w:lang w:val="es-ES"/>
        </w:rPr>
        <w:t xml:space="preserve">FICHA DE SEGUIMIENTO DEL INFORME Nº </w:t>
      </w:r>
      <w:r w:rsidR="00173590" w:rsidRPr="00156477">
        <w:rPr>
          <w:rFonts w:ascii="Cambria" w:hAnsi="Cambria"/>
          <w:b/>
          <w:color w:val="000000" w:themeColor="text1"/>
          <w:sz w:val="20"/>
          <w:szCs w:val="20"/>
          <w:lang w:val="es-ES"/>
        </w:rPr>
        <w:t>49/01</w:t>
      </w:r>
    </w:p>
    <w:p w14:paraId="6379CF56" w14:textId="77777777" w:rsidR="00F1673B" w:rsidRPr="00156477" w:rsidRDefault="00173590" w:rsidP="00AC5985">
      <w:pPr>
        <w:spacing w:after="0" w:line="240" w:lineRule="auto"/>
        <w:jc w:val="center"/>
        <w:rPr>
          <w:rFonts w:ascii="Cambria" w:hAnsi="Cambria"/>
          <w:b/>
          <w:color w:val="000000" w:themeColor="text1"/>
          <w:sz w:val="20"/>
          <w:szCs w:val="20"/>
          <w:lang w:val="es-ES"/>
        </w:rPr>
      </w:pPr>
      <w:r w:rsidRPr="00156477">
        <w:rPr>
          <w:rFonts w:ascii="Cambria" w:hAnsi="Cambria"/>
          <w:b/>
          <w:color w:val="000000" w:themeColor="text1"/>
          <w:sz w:val="20"/>
          <w:szCs w:val="20"/>
          <w:lang w:val="es-ES"/>
        </w:rPr>
        <w:t>CAS</w:t>
      </w:r>
      <w:r w:rsidR="000B2DC4" w:rsidRPr="00156477">
        <w:rPr>
          <w:rFonts w:ascii="Cambria" w:hAnsi="Cambria"/>
          <w:b/>
          <w:color w:val="000000" w:themeColor="text1"/>
          <w:sz w:val="20"/>
          <w:szCs w:val="20"/>
          <w:lang w:val="es-ES"/>
        </w:rPr>
        <w:t>O</w:t>
      </w:r>
      <w:r w:rsidRPr="00156477">
        <w:rPr>
          <w:rFonts w:ascii="Cambria" w:hAnsi="Cambria"/>
          <w:b/>
          <w:color w:val="000000" w:themeColor="text1"/>
          <w:sz w:val="20"/>
          <w:szCs w:val="20"/>
          <w:lang w:val="es-ES"/>
        </w:rPr>
        <w:t>S 11.826</w:t>
      </w:r>
      <w:r w:rsidR="007D6EEF" w:rsidRPr="00156477">
        <w:rPr>
          <w:rFonts w:ascii="Cambria" w:hAnsi="Cambria"/>
          <w:b/>
          <w:color w:val="000000" w:themeColor="text1"/>
          <w:sz w:val="20"/>
          <w:szCs w:val="20"/>
          <w:lang w:val="es-ES"/>
        </w:rPr>
        <w:t xml:space="preserve"> </w:t>
      </w:r>
      <w:r w:rsidRPr="00156477">
        <w:rPr>
          <w:rFonts w:ascii="Cambria" w:hAnsi="Cambria"/>
          <w:b/>
          <w:color w:val="000000" w:themeColor="text1"/>
          <w:sz w:val="20"/>
          <w:szCs w:val="20"/>
          <w:lang w:val="es-ES"/>
        </w:rPr>
        <w:t>(LEROY LAMEY), 11.843</w:t>
      </w:r>
      <w:r w:rsidR="007D6EEF" w:rsidRPr="00156477">
        <w:rPr>
          <w:rFonts w:ascii="Cambria" w:hAnsi="Cambria"/>
          <w:b/>
          <w:color w:val="000000" w:themeColor="text1"/>
          <w:sz w:val="20"/>
          <w:szCs w:val="20"/>
          <w:lang w:val="es-ES"/>
        </w:rPr>
        <w:t xml:space="preserve"> </w:t>
      </w:r>
      <w:r w:rsidRPr="00156477">
        <w:rPr>
          <w:rFonts w:ascii="Cambria" w:hAnsi="Cambria"/>
          <w:b/>
          <w:color w:val="000000" w:themeColor="text1"/>
          <w:sz w:val="20"/>
          <w:szCs w:val="20"/>
          <w:lang w:val="es-ES"/>
        </w:rPr>
        <w:t>(KEVIN MYKOO),</w:t>
      </w:r>
    </w:p>
    <w:p w14:paraId="5313EF7B" w14:textId="77777777" w:rsidR="00F1673B" w:rsidRPr="00156477" w:rsidRDefault="00173590" w:rsidP="00AC5985">
      <w:pPr>
        <w:spacing w:after="0" w:line="240" w:lineRule="auto"/>
        <w:jc w:val="center"/>
        <w:rPr>
          <w:rFonts w:ascii="Cambria" w:hAnsi="Cambria"/>
          <w:b/>
          <w:color w:val="000000" w:themeColor="text1"/>
          <w:sz w:val="20"/>
          <w:szCs w:val="20"/>
          <w:lang w:val="es-ES"/>
        </w:rPr>
      </w:pPr>
      <w:r w:rsidRPr="00156477">
        <w:rPr>
          <w:rFonts w:ascii="Cambria" w:hAnsi="Cambria"/>
          <w:b/>
          <w:color w:val="000000" w:themeColor="text1"/>
          <w:sz w:val="20"/>
          <w:szCs w:val="20"/>
          <w:lang w:val="es-ES"/>
        </w:rPr>
        <w:t>11.846</w:t>
      </w:r>
      <w:r w:rsidR="007D6EEF" w:rsidRPr="00156477">
        <w:rPr>
          <w:rFonts w:ascii="Cambria" w:hAnsi="Cambria"/>
          <w:b/>
          <w:color w:val="000000" w:themeColor="text1"/>
          <w:sz w:val="20"/>
          <w:szCs w:val="20"/>
          <w:lang w:val="es-ES"/>
        </w:rPr>
        <w:t xml:space="preserve"> </w:t>
      </w:r>
      <w:r w:rsidRPr="00156477">
        <w:rPr>
          <w:rFonts w:ascii="Cambria" w:hAnsi="Cambria"/>
          <w:b/>
          <w:color w:val="000000" w:themeColor="text1"/>
          <w:sz w:val="20"/>
          <w:szCs w:val="20"/>
          <w:lang w:val="es-ES"/>
        </w:rPr>
        <w:t>(MILTON MONTIQUE), 11.847</w:t>
      </w:r>
      <w:r w:rsidR="007D6EEF" w:rsidRPr="00156477">
        <w:rPr>
          <w:rFonts w:ascii="Cambria" w:hAnsi="Cambria"/>
          <w:b/>
          <w:color w:val="000000" w:themeColor="text1"/>
          <w:sz w:val="20"/>
          <w:szCs w:val="20"/>
          <w:lang w:val="es-ES"/>
        </w:rPr>
        <w:t xml:space="preserve"> </w:t>
      </w:r>
      <w:r w:rsidRPr="00156477">
        <w:rPr>
          <w:rFonts w:ascii="Cambria" w:hAnsi="Cambria"/>
          <w:b/>
          <w:color w:val="000000" w:themeColor="text1"/>
          <w:sz w:val="20"/>
          <w:szCs w:val="20"/>
          <w:lang w:val="es-ES"/>
        </w:rPr>
        <w:t>(DALTON DALEY)</w:t>
      </w:r>
    </w:p>
    <w:p w14:paraId="3ED72856" w14:textId="77777777" w:rsidR="00F1673B" w:rsidRPr="00156477" w:rsidRDefault="00173590" w:rsidP="00AC5985">
      <w:pPr>
        <w:spacing w:after="0" w:line="240" w:lineRule="auto"/>
        <w:jc w:val="center"/>
        <w:rPr>
          <w:rFonts w:ascii="Cambria" w:hAnsi="Cambria"/>
          <w:b/>
          <w:color w:val="000000" w:themeColor="text1"/>
          <w:sz w:val="20"/>
          <w:szCs w:val="20"/>
          <w:lang w:val="es-ES"/>
        </w:rPr>
      </w:pPr>
      <w:r w:rsidRPr="00156477">
        <w:rPr>
          <w:rFonts w:ascii="Cambria" w:hAnsi="Cambria"/>
          <w:b/>
          <w:color w:val="000000" w:themeColor="text1"/>
          <w:sz w:val="20"/>
          <w:szCs w:val="20"/>
          <w:lang w:val="es-ES"/>
        </w:rPr>
        <w:t xml:space="preserve">LEROY LAMEY, KEVIN MYKOO, MILTON MONTIQUE </w:t>
      </w:r>
      <w:r w:rsidR="007D6EEF" w:rsidRPr="00156477">
        <w:rPr>
          <w:rFonts w:ascii="Cambria" w:hAnsi="Cambria"/>
          <w:b/>
          <w:color w:val="000000" w:themeColor="text1"/>
          <w:sz w:val="20"/>
          <w:szCs w:val="20"/>
          <w:lang w:val="es-ES"/>
        </w:rPr>
        <w:t xml:space="preserve">Y </w:t>
      </w:r>
      <w:r w:rsidRPr="00156477">
        <w:rPr>
          <w:rFonts w:ascii="Cambria" w:hAnsi="Cambria"/>
          <w:b/>
          <w:color w:val="000000" w:themeColor="text1"/>
          <w:sz w:val="20"/>
          <w:szCs w:val="20"/>
          <w:lang w:val="es-ES"/>
        </w:rPr>
        <w:t>DALTON DALEY</w:t>
      </w:r>
    </w:p>
    <w:p w14:paraId="5F333F3C" w14:textId="77777777" w:rsidR="00F1673B" w:rsidRPr="00156477" w:rsidRDefault="00173590" w:rsidP="00AC5985">
      <w:pPr>
        <w:spacing w:after="0" w:line="240" w:lineRule="auto"/>
        <w:jc w:val="center"/>
        <w:rPr>
          <w:rFonts w:ascii="Cambria" w:hAnsi="Cambria"/>
          <w:b/>
          <w:color w:val="000000" w:themeColor="text1"/>
          <w:sz w:val="20"/>
          <w:szCs w:val="20"/>
          <w:lang w:val="es-ES"/>
        </w:rPr>
      </w:pPr>
      <w:r w:rsidRPr="00156477">
        <w:rPr>
          <w:rFonts w:ascii="Cambria" w:hAnsi="Cambria"/>
          <w:b/>
          <w:color w:val="000000" w:themeColor="text1"/>
          <w:sz w:val="20"/>
          <w:szCs w:val="20"/>
          <w:lang w:val="es-ES"/>
        </w:rPr>
        <w:t>(</w:t>
      </w:r>
      <w:r w:rsidR="00826CD9" w:rsidRPr="00156477">
        <w:rPr>
          <w:rFonts w:ascii="Cambria" w:hAnsi="Cambria"/>
          <w:b/>
          <w:color w:val="000000" w:themeColor="text1"/>
          <w:sz w:val="20"/>
          <w:szCs w:val="20"/>
          <w:lang w:val="es-ES"/>
        </w:rPr>
        <w:t>Jamaica</w:t>
      </w:r>
      <w:r w:rsidRPr="00156477">
        <w:rPr>
          <w:rFonts w:ascii="Cambria" w:hAnsi="Cambria"/>
          <w:b/>
          <w:color w:val="000000" w:themeColor="text1"/>
          <w:sz w:val="20"/>
          <w:szCs w:val="20"/>
          <w:lang w:val="es-ES"/>
        </w:rPr>
        <w:t>)</w:t>
      </w:r>
    </w:p>
    <w:p w14:paraId="4C0DD263" w14:textId="77777777" w:rsidR="00F1673B" w:rsidRPr="00156477" w:rsidRDefault="00F1673B" w:rsidP="00AC5985">
      <w:pPr>
        <w:spacing w:after="0" w:line="240" w:lineRule="auto"/>
        <w:jc w:val="both"/>
        <w:rPr>
          <w:rFonts w:ascii="Cambria" w:hAnsi="Cambria"/>
          <w:color w:val="000000" w:themeColor="text1"/>
          <w:sz w:val="20"/>
          <w:szCs w:val="20"/>
          <w:lang w:val="es-ES"/>
        </w:rPr>
      </w:pPr>
    </w:p>
    <w:p w14:paraId="494D07E4" w14:textId="77777777" w:rsidR="003D60BF" w:rsidRPr="00156477" w:rsidRDefault="003D60BF" w:rsidP="00AC5985">
      <w:pPr>
        <w:numPr>
          <w:ilvl w:val="0"/>
          <w:numId w:val="1"/>
        </w:numPr>
        <w:spacing w:after="0" w:line="240" w:lineRule="auto"/>
        <w:ind w:left="1440"/>
        <w:rPr>
          <w:rFonts w:ascii="Cambria" w:hAnsi="Cambria" w:cs="Calibri Light"/>
          <w:b/>
          <w:color w:val="000000" w:themeColor="text1"/>
          <w:sz w:val="20"/>
          <w:szCs w:val="20"/>
          <w:lang w:val="es-ES"/>
        </w:rPr>
      </w:pPr>
      <w:r w:rsidRPr="00156477">
        <w:rPr>
          <w:rFonts w:ascii="Cambria" w:hAnsi="Cambria" w:cs="Calibri Light"/>
          <w:b/>
          <w:color w:val="000000" w:themeColor="text1"/>
          <w:sz w:val="20"/>
          <w:szCs w:val="20"/>
          <w:lang w:val="es-ES"/>
        </w:rPr>
        <w:t xml:space="preserve">Resumen del caso </w:t>
      </w:r>
    </w:p>
    <w:p w14:paraId="2B348D32" w14:textId="77777777" w:rsidR="00F1673B" w:rsidRPr="00156477" w:rsidRDefault="00F1673B" w:rsidP="00AC5985">
      <w:pPr>
        <w:spacing w:after="0" w:line="240" w:lineRule="auto"/>
        <w:ind w:left="1080"/>
        <w:jc w:val="both"/>
        <w:rPr>
          <w:rFonts w:ascii="Cambria" w:hAnsi="Cambria" w:cs="Calibri Light"/>
          <w:b/>
          <w:color w:val="000000" w:themeColor="text1"/>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6477" w:rsidRPr="008272BC" w14:paraId="767B0FD8" w14:textId="77777777" w:rsidTr="006564BF">
        <w:trPr>
          <w:jc w:val="center"/>
        </w:trPr>
        <w:tc>
          <w:tcPr>
            <w:tcW w:w="9576" w:type="dxa"/>
            <w:shd w:val="clear" w:color="auto" w:fill="F2F2F2"/>
          </w:tcPr>
          <w:p w14:paraId="1A198910" w14:textId="77777777" w:rsidR="007C6D93" w:rsidRPr="00156477" w:rsidRDefault="003D60BF" w:rsidP="00AC5985">
            <w:pPr>
              <w:pStyle w:val="NoSpacing"/>
              <w:spacing w:before="120"/>
              <w:jc w:val="both"/>
              <w:rPr>
                <w:rFonts w:ascii="Cambria" w:hAnsi="Cambria"/>
                <w:b/>
                <w:color w:val="000000" w:themeColor="text1"/>
                <w:sz w:val="20"/>
                <w:szCs w:val="20"/>
                <w:lang w:val="es-ES"/>
              </w:rPr>
            </w:pPr>
            <w:r w:rsidRPr="00156477">
              <w:rPr>
                <w:rFonts w:ascii="Cambria" w:hAnsi="Cambria"/>
                <w:b/>
                <w:color w:val="000000" w:themeColor="text1"/>
                <w:sz w:val="20"/>
                <w:szCs w:val="20"/>
                <w:lang w:val="es-ES"/>
              </w:rPr>
              <w:t xml:space="preserve">Víctima </w:t>
            </w:r>
            <w:r w:rsidR="00F1673B" w:rsidRPr="00156477">
              <w:rPr>
                <w:rFonts w:ascii="Cambria" w:hAnsi="Cambria"/>
                <w:b/>
                <w:color w:val="000000" w:themeColor="text1"/>
                <w:sz w:val="20"/>
                <w:szCs w:val="20"/>
                <w:lang w:val="es-ES"/>
              </w:rPr>
              <w:t xml:space="preserve">(s):  </w:t>
            </w:r>
            <w:r w:rsidR="007C6D93" w:rsidRPr="00156477">
              <w:rPr>
                <w:rFonts w:ascii="Cambria" w:hAnsi="Cambria"/>
                <w:color w:val="000000" w:themeColor="text1"/>
                <w:sz w:val="20"/>
                <w:szCs w:val="20"/>
                <w:lang w:val="es-ES"/>
              </w:rPr>
              <w:t>Leroy Lamey, Kevin</w:t>
            </w:r>
            <w:r w:rsidR="004A699E" w:rsidRPr="00156477">
              <w:rPr>
                <w:rFonts w:ascii="Cambria" w:hAnsi="Cambria"/>
                <w:color w:val="000000" w:themeColor="text1"/>
                <w:sz w:val="20"/>
                <w:szCs w:val="20"/>
                <w:lang w:val="es-ES"/>
              </w:rPr>
              <w:t xml:space="preserve"> My</w:t>
            </w:r>
            <w:r w:rsidR="007C6D93" w:rsidRPr="00156477">
              <w:rPr>
                <w:rFonts w:ascii="Cambria" w:hAnsi="Cambria"/>
                <w:color w:val="000000" w:themeColor="text1"/>
                <w:sz w:val="20"/>
                <w:szCs w:val="20"/>
                <w:lang w:val="es-ES"/>
              </w:rPr>
              <w:t xml:space="preserve">koo, Milton Montique </w:t>
            </w:r>
            <w:r w:rsidRPr="00156477">
              <w:rPr>
                <w:rFonts w:ascii="Cambria" w:hAnsi="Cambria"/>
                <w:color w:val="000000" w:themeColor="text1"/>
                <w:sz w:val="20"/>
                <w:szCs w:val="20"/>
                <w:lang w:val="es-ES"/>
              </w:rPr>
              <w:t xml:space="preserve">y </w:t>
            </w:r>
            <w:r w:rsidR="007C6D93" w:rsidRPr="00156477">
              <w:rPr>
                <w:rFonts w:ascii="Cambria" w:hAnsi="Cambria"/>
                <w:color w:val="000000" w:themeColor="text1"/>
                <w:sz w:val="20"/>
                <w:szCs w:val="20"/>
                <w:lang w:val="es-ES"/>
              </w:rPr>
              <w:t>Dalton Daley</w:t>
            </w:r>
          </w:p>
          <w:p w14:paraId="60ABF2BE" w14:textId="77777777" w:rsidR="007C6D93" w:rsidRPr="00156477" w:rsidRDefault="00221892" w:rsidP="00AC5985">
            <w:pPr>
              <w:pStyle w:val="NoSpacing"/>
              <w:jc w:val="both"/>
              <w:rPr>
                <w:rFonts w:ascii="Cambria" w:hAnsi="Cambria"/>
                <w:b/>
                <w:color w:val="000000" w:themeColor="text1"/>
                <w:sz w:val="20"/>
                <w:szCs w:val="20"/>
              </w:rPr>
            </w:pPr>
            <w:r w:rsidRPr="00156477">
              <w:rPr>
                <w:rFonts w:ascii="Cambria" w:hAnsi="Cambria"/>
                <w:b/>
                <w:color w:val="000000" w:themeColor="text1"/>
                <w:sz w:val="20"/>
                <w:szCs w:val="20"/>
              </w:rPr>
              <w:t xml:space="preserve">Peticionario </w:t>
            </w:r>
            <w:r w:rsidR="00F1673B" w:rsidRPr="00156477">
              <w:rPr>
                <w:rFonts w:ascii="Cambria" w:hAnsi="Cambria"/>
                <w:b/>
                <w:color w:val="000000" w:themeColor="text1"/>
                <w:sz w:val="20"/>
                <w:szCs w:val="20"/>
              </w:rPr>
              <w:t>(s):</w:t>
            </w:r>
            <w:r w:rsidR="00F1673B" w:rsidRPr="00156477">
              <w:rPr>
                <w:rFonts w:ascii="Cambria" w:hAnsi="Cambria"/>
                <w:color w:val="000000" w:themeColor="text1"/>
                <w:sz w:val="20"/>
                <w:szCs w:val="20"/>
              </w:rPr>
              <w:t xml:space="preserve"> </w:t>
            </w:r>
            <w:r w:rsidR="00AD0974" w:rsidRPr="00156477">
              <w:rPr>
                <w:rFonts w:ascii="Cambria" w:hAnsi="Cambria"/>
                <w:color w:val="000000" w:themeColor="text1"/>
                <w:sz w:val="20"/>
                <w:szCs w:val="20"/>
              </w:rPr>
              <w:t>Barlow Lyde &amp; Gilbert LLP, Saul Lehrfreund (The Death Penalty Project)</w:t>
            </w:r>
          </w:p>
          <w:p w14:paraId="3F8C4B40" w14:textId="77777777" w:rsidR="00F1673B" w:rsidRPr="00156477" w:rsidRDefault="00221892" w:rsidP="00AC5985">
            <w:pPr>
              <w:pStyle w:val="NoSpacing"/>
              <w:jc w:val="both"/>
              <w:rPr>
                <w:rFonts w:ascii="Cambria" w:hAnsi="Cambria"/>
                <w:color w:val="000000" w:themeColor="text1"/>
                <w:sz w:val="20"/>
                <w:szCs w:val="20"/>
                <w:lang w:val="es-ES"/>
              </w:rPr>
            </w:pPr>
            <w:r w:rsidRPr="00156477">
              <w:rPr>
                <w:rFonts w:ascii="Cambria" w:hAnsi="Cambria"/>
                <w:b/>
                <w:color w:val="000000" w:themeColor="text1"/>
                <w:sz w:val="20"/>
                <w:szCs w:val="20"/>
                <w:lang w:val="es-ES"/>
              </w:rPr>
              <w:t>Estado</w:t>
            </w:r>
            <w:r w:rsidR="00F1673B" w:rsidRPr="00156477">
              <w:rPr>
                <w:rFonts w:ascii="Cambria" w:hAnsi="Cambria"/>
                <w:b/>
                <w:color w:val="000000" w:themeColor="text1"/>
                <w:sz w:val="20"/>
                <w:szCs w:val="20"/>
                <w:lang w:val="es-ES"/>
              </w:rPr>
              <w:t xml:space="preserve">: </w:t>
            </w:r>
            <w:r w:rsidR="00F1673B" w:rsidRPr="00156477">
              <w:rPr>
                <w:rFonts w:ascii="Cambria" w:hAnsi="Cambria"/>
                <w:color w:val="000000" w:themeColor="text1"/>
                <w:sz w:val="20"/>
                <w:szCs w:val="20"/>
                <w:lang w:val="es-ES"/>
              </w:rPr>
              <w:t>Jamaica</w:t>
            </w:r>
          </w:p>
          <w:p w14:paraId="042FA321" w14:textId="77777777" w:rsidR="00F1673B" w:rsidRPr="00156477" w:rsidRDefault="00221892" w:rsidP="00AC5985">
            <w:pPr>
              <w:pStyle w:val="NoSpacing"/>
              <w:jc w:val="both"/>
              <w:rPr>
                <w:rFonts w:ascii="Cambria" w:hAnsi="Cambria"/>
                <w:color w:val="000000" w:themeColor="text1"/>
                <w:sz w:val="20"/>
                <w:szCs w:val="20"/>
                <w:lang w:val="es-ES"/>
              </w:rPr>
            </w:pPr>
            <w:r w:rsidRPr="00156477">
              <w:rPr>
                <w:rFonts w:ascii="Cambria" w:hAnsi="Cambria"/>
                <w:b/>
                <w:color w:val="000000" w:themeColor="text1"/>
                <w:sz w:val="20"/>
                <w:szCs w:val="20"/>
                <w:lang w:val="es-ES"/>
              </w:rPr>
              <w:t xml:space="preserve">Informe de Fondo </w:t>
            </w:r>
            <w:proofErr w:type="spellStart"/>
            <w:r w:rsidRPr="00156477">
              <w:rPr>
                <w:rFonts w:ascii="Cambria" w:hAnsi="Cambria"/>
                <w:b/>
                <w:color w:val="000000" w:themeColor="text1"/>
                <w:sz w:val="20"/>
                <w:szCs w:val="20"/>
                <w:lang w:val="es-ES"/>
              </w:rPr>
              <w:t>Nº</w:t>
            </w:r>
            <w:proofErr w:type="spellEnd"/>
            <w:r w:rsidR="00F1673B" w:rsidRPr="00156477">
              <w:rPr>
                <w:rFonts w:ascii="Cambria" w:hAnsi="Cambria"/>
                <w:b/>
                <w:color w:val="000000" w:themeColor="text1"/>
                <w:sz w:val="20"/>
                <w:szCs w:val="20"/>
                <w:lang w:val="es-ES"/>
              </w:rPr>
              <w:t xml:space="preserve">:  </w:t>
            </w:r>
            <w:hyperlink r:id="rId9" w:history="1">
              <w:r w:rsidR="00F1673B" w:rsidRPr="00156477">
                <w:rPr>
                  <w:rStyle w:val="Hyperlink"/>
                  <w:rFonts w:ascii="Cambria" w:hAnsi="Cambria"/>
                  <w:color w:val="000000" w:themeColor="text1"/>
                  <w:sz w:val="20"/>
                  <w:szCs w:val="20"/>
                  <w:lang w:val="es-ES"/>
                </w:rPr>
                <w:t>49/01</w:t>
              </w:r>
            </w:hyperlink>
            <w:r w:rsidR="00F1673B" w:rsidRPr="00156477">
              <w:rPr>
                <w:rFonts w:ascii="Cambria" w:hAnsi="Cambria"/>
                <w:color w:val="000000" w:themeColor="text1"/>
                <w:sz w:val="20"/>
                <w:szCs w:val="20"/>
                <w:lang w:val="es-ES"/>
              </w:rPr>
              <w:t xml:space="preserve">, </w:t>
            </w:r>
            <w:r w:rsidR="00AD0974" w:rsidRPr="00156477">
              <w:rPr>
                <w:rFonts w:ascii="Cambria" w:hAnsi="Cambria"/>
                <w:color w:val="000000" w:themeColor="text1"/>
                <w:sz w:val="20"/>
                <w:szCs w:val="20"/>
                <w:lang w:val="es-ES"/>
              </w:rPr>
              <w:t>pu</w:t>
            </w:r>
            <w:r w:rsidR="000C0EC7" w:rsidRPr="00156477">
              <w:rPr>
                <w:rFonts w:ascii="Cambria" w:hAnsi="Cambria"/>
                <w:color w:val="000000" w:themeColor="text1"/>
                <w:sz w:val="20"/>
                <w:szCs w:val="20"/>
                <w:lang w:val="es-ES"/>
              </w:rPr>
              <w:t>b</w:t>
            </w:r>
            <w:r w:rsidR="00AD0974" w:rsidRPr="00156477">
              <w:rPr>
                <w:rFonts w:ascii="Cambria" w:hAnsi="Cambria"/>
                <w:color w:val="000000" w:themeColor="text1"/>
                <w:sz w:val="20"/>
                <w:szCs w:val="20"/>
                <w:lang w:val="es-ES"/>
              </w:rPr>
              <w:t xml:space="preserve">licado el 4 de abril de </w:t>
            </w:r>
            <w:r w:rsidR="00F1673B" w:rsidRPr="00156477">
              <w:rPr>
                <w:rFonts w:ascii="Cambria" w:hAnsi="Cambria"/>
                <w:color w:val="000000" w:themeColor="text1"/>
                <w:sz w:val="20"/>
                <w:szCs w:val="20"/>
                <w:lang w:val="es-ES"/>
              </w:rPr>
              <w:t>2001</w:t>
            </w:r>
          </w:p>
          <w:p w14:paraId="3291EA67" w14:textId="77777777" w:rsidR="00685EAD" w:rsidRPr="00156477" w:rsidRDefault="00221892" w:rsidP="00AC5985">
            <w:pPr>
              <w:pStyle w:val="NoSpacing"/>
              <w:jc w:val="both"/>
              <w:rPr>
                <w:rFonts w:ascii="Cambria" w:hAnsi="Cambria"/>
                <w:color w:val="000000" w:themeColor="text1"/>
                <w:sz w:val="20"/>
                <w:szCs w:val="20"/>
                <w:lang w:val="es-ES"/>
              </w:rPr>
            </w:pPr>
            <w:r w:rsidRPr="00156477">
              <w:rPr>
                <w:rFonts w:ascii="Cambria" w:hAnsi="Cambria"/>
                <w:b/>
                <w:color w:val="000000" w:themeColor="text1"/>
                <w:sz w:val="20"/>
                <w:szCs w:val="20"/>
                <w:lang w:val="es-ES"/>
              </w:rPr>
              <w:t xml:space="preserve">Informe de Admisibilidad </w:t>
            </w:r>
            <w:proofErr w:type="spellStart"/>
            <w:r w:rsidRPr="00156477">
              <w:rPr>
                <w:rFonts w:ascii="Cambria" w:hAnsi="Cambria"/>
                <w:b/>
                <w:color w:val="000000" w:themeColor="text1"/>
                <w:sz w:val="20"/>
                <w:szCs w:val="20"/>
                <w:lang w:val="es-ES"/>
              </w:rPr>
              <w:t>Nº</w:t>
            </w:r>
            <w:proofErr w:type="spellEnd"/>
            <w:r w:rsidRPr="00156477">
              <w:rPr>
                <w:rFonts w:ascii="Cambria" w:hAnsi="Cambria"/>
                <w:b/>
                <w:color w:val="000000" w:themeColor="text1"/>
                <w:sz w:val="20"/>
                <w:szCs w:val="20"/>
                <w:lang w:val="es-ES"/>
              </w:rPr>
              <w:t>:</w:t>
            </w:r>
            <w:r w:rsidR="00F1673B" w:rsidRPr="00156477">
              <w:rPr>
                <w:rFonts w:ascii="Cambria" w:hAnsi="Cambria"/>
                <w:b/>
                <w:color w:val="000000" w:themeColor="text1"/>
                <w:sz w:val="20"/>
                <w:szCs w:val="20"/>
                <w:lang w:val="es-ES"/>
              </w:rPr>
              <w:t xml:space="preserve"> </w:t>
            </w:r>
            <w:hyperlink r:id="rId10" w:history="1">
              <w:r w:rsidR="00F1673B" w:rsidRPr="00156477">
                <w:rPr>
                  <w:rStyle w:val="Hyperlink"/>
                  <w:rFonts w:ascii="Cambria" w:hAnsi="Cambria"/>
                  <w:color w:val="000000" w:themeColor="text1"/>
                  <w:sz w:val="20"/>
                  <w:szCs w:val="20"/>
                  <w:lang w:val="es-ES"/>
                </w:rPr>
                <w:t>89/98</w:t>
              </w:r>
            </w:hyperlink>
            <w:r w:rsidR="00F1673B" w:rsidRPr="00156477">
              <w:rPr>
                <w:rFonts w:ascii="Cambria" w:hAnsi="Cambria"/>
                <w:color w:val="000000" w:themeColor="text1"/>
                <w:sz w:val="20"/>
                <w:szCs w:val="20"/>
                <w:lang w:val="es-ES"/>
              </w:rPr>
              <w:t xml:space="preserve"> , </w:t>
            </w:r>
            <w:r w:rsidR="00AD0974" w:rsidRPr="00156477">
              <w:rPr>
                <w:rFonts w:ascii="Cambria" w:hAnsi="Cambria"/>
                <w:color w:val="000000" w:themeColor="text1"/>
                <w:sz w:val="20"/>
                <w:szCs w:val="20"/>
                <w:lang w:val="es-ES"/>
              </w:rPr>
              <w:t xml:space="preserve">adoptado el 3 de noviembre de </w:t>
            </w:r>
            <w:r w:rsidR="00F1673B" w:rsidRPr="00156477">
              <w:rPr>
                <w:rFonts w:ascii="Cambria" w:hAnsi="Cambria"/>
                <w:color w:val="000000" w:themeColor="text1"/>
                <w:sz w:val="20"/>
                <w:szCs w:val="20"/>
                <w:lang w:val="es-ES"/>
              </w:rPr>
              <w:t xml:space="preserve">1998 </w:t>
            </w:r>
            <w:r w:rsidR="00DE1F3B" w:rsidRPr="00156477">
              <w:rPr>
                <w:rFonts w:ascii="Cambria" w:hAnsi="Cambria"/>
                <w:color w:val="000000" w:themeColor="text1"/>
                <w:sz w:val="20"/>
                <w:szCs w:val="20"/>
                <w:lang w:val="es-ES"/>
              </w:rPr>
              <w:t>(</w:t>
            </w:r>
            <w:r w:rsidR="00F1673B" w:rsidRPr="00156477">
              <w:rPr>
                <w:rFonts w:ascii="Cambria" w:hAnsi="Cambria"/>
                <w:color w:val="000000" w:themeColor="text1"/>
                <w:sz w:val="20"/>
                <w:szCs w:val="20"/>
                <w:lang w:val="es-ES"/>
              </w:rPr>
              <w:t>Cas</w:t>
            </w:r>
            <w:r w:rsidR="00DE1F3B" w:rsidRPr="00156477">
              <w:rPr>
                <w:rFonts w:ascii="Cambria" w:hAnsi="Cambria"/>
                <w:color w:val="000000" w:themeColor="text1"/>
                <w:sz w:val="20"/>
                <w:szCs w:val="20"/>
                <w:lang w:val="es-ES"/>
              </w:rPr>
              <w:t>o</w:t>
            </w:r>
            <w:r w:rsidR="00F1673B" w:rsidRPr="00156477">
              <w:rPr>
                <w:rFonts w:ascii="Cambria" w:hAnsi="Cambria"/>
                <w:color w:val="000000" w:themeColor="text1"/>
                <w:sz w:val="20"/>
                <w:szCs w:val="20"/>
                <w:lang w:val="es-ES"/>
              </w:rPr>
              <w:t xml:space="preserve"> 11.826</w:t>
            </w:r>
            <w:r w:rsidR="00DE1F3B" w:rsidRPr="00156477">
              <w:rPr>
                <w:rFonts w:ascii="Cambria" w:hAnsi="Cambria"/>
                <w:color w:val="000000" w:themeColor="text1"/>
                <w:sz w:val="20"/>
                <w:szCs w:val="20"/>
                <w:lang w:val="es-ES"/>
              </w:rPr>
              <w:t>);</w:t>
            </w:r>
            <w:r w:rsidR="00EC213A" w:rsidRPr="00156477">
              <w:rPr>
                <w:rFonts w:ascii="Cambria" w:hAnsi="Cambria"/>
                <w:color w:val="000000" w:themeColor="text1"/>
                <w:sz w:val="20"/>
                <w:szCs w:val="20"/>
                <w:lang w:val="es-ES"/>
              </w:rPr>
              <w:t xml:space="preserve"> </w:t>
            </w:r>
            <w:hyperlink r:id="rId11" w:history="1">
              <w:r w:rsidR="00F1673B" w:rsidRPr="00156477">
                <w:rPr>
                  <w:rStyle w:val="Hyperlink"/>
                  <w:rFonts w:ascii="Cambria" w:hAnsi="Cambria"/>
                  <w:color w:val="000000" w:themeColor="text1"/>
                  <w:sz w:val="20"/>
                  <w:szCs w:val="20"/>
                  <w:lang w:val="es-ES"/>
                </w:rPr>
                <w:t>90/98</w:t>
              </w:r>
            </w:hyperlink>
            <w:r w:rsidR="00F1673B" w:rsidRPr="00156477">
              <w:rPr>
                <w:rFonts w:ascii="Cambria" w:hAnsi="Cambria"/>
                <w:color w:val="000000" w:themeColor="text1"/>
                <w:sz w:val="20"/>
                <w:szCs w:val="20"/>
                <w:lang w:val="es-ES"/>
              </w:rPr>
              <w:t>,</w:t>
            </w:r>
            <w:r w:rsidR="00EC213A" w:rsidRPr="00156477">
              <w:rPr>
                <w:rFonts w:ascii="Cambria" w:hAnsi="Cambria"/>
                <w:color w:val="000000" w:themeColor="text1"/>
                <w:sz w:val="20"/>
                <w:szCs w:val="20"/>
                <w:lang w:val="es-ES"/>
              </w:rPr>
              <w:t xml:space="preserve"> adopt</w:t>
            </w:r>
            <w:r w:rsidR="00DE1F3B" w:rsidRPr="00156477">
              <w:rPr>
                <w:rFonts w:ascii="Cambria" w:hAnsi="Cambria"/>
                <w:color w:val="000000" w:themeColor="text1"/>
                <w:sz w:val="20"/>
                <w:szCs w:val="20"/>
                <w:lang w:val="es-ES"/>
              </w:rPr>
              <w:t xml:space="preserve">ado el 3 de noviembre de </w:t>
            </w:r>
            <w:r w:rsidR="00F1673B" w:rsidRPr="00156477">
              <w:rPr>
                <w:rFonts w:ascii="Cambria" w:hAnsi="Cambria"/>
                <w:bCs/>
                <w:color w:val="000000" w:themeColor="text1"/>
                <w:sz w:val="20"/>
                <w:szCs w:val="20"/>
                <w:lang w:val="es-ES"/>
              </w:rPr>
              <w:t xml:space="preserve">1998 </w:t>
            </w:r>
            <w:r w:rsidR="00DE1F3B" w:rsidRPr="00156477">
              <w:rPr>
                <w:rFonts w:ascii="Cambria" w:hAnsi="Cambria"/>
                <w:bCs/>
                <w:color w:val="000000" w:themeColor="text1"/>
                <w:sz w:val="20"/>
                <w:szCs w:val="20"/>
                <w:lang w:val="es-ES"/>
              </w:rPr>
              <w:t>(</w:t>
            </w:r>
            <w:r w:rsidR="00F1673B" w:rsidRPr="00156477">
              <w:rPr>
                <w:rFonts w:ascii="Cambria" w:hAnsi="Cambria"/>
                <w:bCs/>
                <w:color w:val="000000" w:themeColor="text1"/>
                <w:sz w:val="20"/>
                <w:szCs w:val="20"/>
                <w:lang w:val="es-ES"/>
              </w:rPr>
              <w:t>Cas</w:t>
            </w:r>
            <w:r w:rsidR="00DE1F3B" w:rsidRPr="00156477">
              <w:rPr>
                <w:rFonts w:ascii="Cambria" w:hAnsi="Cambria"/>
                <w:bCs/>
                <w:color w:val="000000" w:themeColor="text1"/>
                <w:sz w:val="20"/>
                <w:szCs w:val="20"/>
                <w:lang w:val="es-ES"/>
              </w:rPr>
              <w:t>o</w:t>
            </w:r>
            <w:r w:rsidR="00F1673B" w:rsidRPr="00156477">
              <w:rPr>
                <w:rFonts w:ascii="Cambria" w:hAnsi="Cambria"/>
                <w:bCs/>
                <w:color w:val="000000" w:themeColor="text1"/>
                <w:sz w:val="20"/>
                <w:szCs w:val="20"/>
                <w:lang w:val="es-ES"/>
              </w:rPr>
              <w:t xml:space="preserve"> </w:t>
            </w:r>
            <w:r w:rsidR="00F1673B" w:rsidRPr="00156477">
              <w:rPr>
                <w:rFonts w:ascii="Cambria" w:hAnsi="Cambria"/>
                <w:color w:val="000000" w:themeColor="text1"/>
                <w:sz w:val="20"/>
                <w:szCs w:val="20"/>
                <w:lang w:val="es-ES"/>
              </w:rPr>
              <w:t>11.843</w:t>
            </w:r>
            <w:r w:rsidR="00DE1F3B" w:rsidRPr="00156477">
              <w:rPr>
                <w:rFonts w:ascii="Cambria" w:hAnsi="Cambria"/>
                <w:color w:val="000000" w:themeColor="text1"/>
                <w:sz w:val="20"/>
                <w:szCs w:val="20"/>
                <w:lang w:val="es-ES"/>
              </w:rPr>
              <w:t>)</w:t>
            </w:r>
            <w:r w:rsidR="00F1673B" w:rsidRPr="00156477">
              <w:rPr>
                <w:rFonts w:ascii="Cambria" w:hAnsi="Cambria"/>
                <w:color w:val="000000" w:themeColor="text1"/>
                <w:sz w:val="20"/>
                <w:szCs w:val="20"/>
                <w:lang w:val="es-ES"/>
              </w:rPr>
              <w:t>;</w:t>
            </w:r>
            <w:r w:rsidR="00DE1F3B" w:rsidRPr="00156477">
              <w:rPr>
                <w:rFonts w:ascii="Cambria" w:hAnsi="Cambria"/>
                <w:color w:val="000000" w:themeColor="text1"/>
                <w:sz w:val="20"/>
                <w:szCs w:val="20"/>
                <w:lang w:val="es-ES"/>
              </w:rPr>
              <w:t xml:space="preserve"> </w:t>
            </w:r>
            <w:hyperlink r:id="rId12" w:history="1">
              <w:r w:rsidR="00F1673B" w:rsidRPr="00156477">
                <w:rPr>
                  <w:rStyle w:val="Hyperlink"/>
                  <w:rFonts w:ascii="Cambria" w:hAnsi="Cambria"/>
                  <w:color w:val="000000" w:themeColor="text1"/>
                  <w:sz w:val="20"/>
                  <w:szCs w:val="20"/>
                  <w:lang w:val="es-ES"/>
                </w:rPr>
                <w:t>88/98</w:t>
              </w:r>
            </w:hyperlink>
            <w:r w:rsidR="00F1673B" w:rsidRPr="00156477">
              <w:rPr>
                <w:rFonts w:ascii="Cambria" w:hAnsi="Cambria"/>
                <w:color w:val="000000" w:themeColor="text1"/>
                <w:sz w:val="20"/>
                <w:szCs w:val="20"/>
                <w:lang w:val="es-ES"/>
              </w:rPr>
              <w:t>, adopt</w:t>
            </w:r>
            <w:r w:rsidR="00DE1F3B" w:rsidRPr="00156477">
              <w:rPr>
                <w:rFonts w:ascii="Cambria" w:hAnsi="Cambria"/>
                <w:color w:val="000000" w:themeColor="text1"/>
                <w:sz w:val="20"/>
                <w:szCs w:val="20"/>
                <w:lang w:val="es-ES"/>
              </w:rPr>
              <w:t xml:space="preserve">ado el 3 de noviembre de </w:t>
            </w:r>
            <w:r w:rsidR="00F1673B" w:rsidRPr="00156477">
              <w:rPr>
                <w:rFonts w:ascii="Cambria" w:hAnsi="Cambria"/>
                <w:color w:val="000000" w:themeColor="text1"/>
                <w:sz w:val="20"/>
                <w:szCs w:val="20"/>
                <w:lang w:val="es-ES"/>
              </w:rPr>
              <w:t>1998</w:t>
            </w:r>
            <w:r w:rsidR="00DE1F3B" w:rsidRPr="00156477">
              <w:rPr>
                <w:rFonts w:ascii="Cambria" w:hAnsi="Cambria"/>
                <w:color w:val="000000" w:themeColor="text1"/>
                <w:sz w:val="20"/>
                <w:szCs w:val="20"/>
                <w:lang w:val="es-ES"/>
              </w:rPr>
              <w:t xml:space="preserve"> (Casos </w:t>
            </w:r>
            <w:r w:rsidR="00F1673B" w:rsidRPr="00156477">
              <w:rPr>
                <w:rFonts w:ascii="Cambria" w:hAnsi="Cambria"/>
                <w:color w:val="000000" w:themeColor="text1"/>
                <w:sz w:val="20"/>
                <w:szCs w:val="20"/>
                <w:lang w:val="es-ES"/>
              </w:rPr>
              <w:t>11.846</w:t>
            </w:r>
            <w:r w:rsidR="00EC213A" w:rsidRPr="00156477">
              <w:rPr>
                <w:rFonts w:ascii="Cambria" w:hAnsi="Cambria"/>
                <w:color w:val="000000" w:themeColor="text1"/>
                <w:sz w:val="20"/>
                <w:szCs w:val="20"/>
                <w:lang w:val="es-ES"/>
              </w:rPr>
              <w:t xml:space="preserve"> </w:t>
            </w:r>
            <w:r w:rsidR="00DE1F3B" w:rsidRPr="00156477">
              <w:rPr>
                <w:rFonts w:ascii="Cambria" w:hAnsi="Cambria"/>
                <w:color w:val="000000" w:themeColor="text1"/>
                <w:sz w:val="20"/>
                <w:szCs w:val="20"/>
                <w:lang w:val="es-ES"/>
              </w:rPr>
              <w:t xml:space="preserve">y </w:t>
            </w:r>
            <w:r w:rsidR="00F1673B" w:rsidRPr="00156477">
              <w:rPr>
                <w:rFonts w:ascii="Cambria" w:hAnsi="Cambria"/>
                <w:color w:val="000000" w:themeColor="text1"/>
                <w:sz w:val="20"/>
                <w:szCs w:val="20"/>
                <w:lang w:val="es-ES"/>
              </w:rPr>
              <w:t>11.847)</w:t>
            </w:r>
          </w:p>
          <w:p w14:paraId="22DA3ADA" w14:textId="77777777" w:rsidR="0050403C" w:rsidRPr="00156477" w:rsidRDefault="0088557B" w:rsidP="00AC5985">
            <w:pPr>
              <w:spacing w:after="0" w:line="240" w:lineRule="auto"/>
              <w:jc w:val="both"/>
              <w:rPr>
                <w:rFonts w:ascii="Cambria" w:hAnsi="Cambria"/>
                <w:color w:val="000000" w:themeColor="text1"/>
                <w:sz w:val="20"/>
                <w:szCs w:val="20"/>
                <w:lang w:val="es-ES"/>
              </w:rPr>
            </w:pPr>
            <w:r w:rsidRPr="00156477">
              <w:rPr>
                <w:rFonts w:ascii="Cambria" w:hAnsi="Cambria"/>
                <w:b/>
                <w:color w:val="000000" w:themeColor="text1"/>
                <w:sz w:val="20"/>
                <w:szCs w:val="20"/>
                <w:lang w:val="es-ES"/>
              </w:rPr>
              <w:t>Medidas Cautelares</w:t>
            </w:r>
            <w:r w:rsidR="009C18E2" w:rsidRPr="00156477">
              <w:rPr>
                <w:rFonts w:ascii="Cambria" w:hAnsi="Cambria"/>
                <w:b/>
                <w:color w:val="000000" w:themeColor="text1"/>
                <w:sz w:val="20"/>
                <w:szCs w:val="20"/>
                <w:lang w:val="es-ES"/>
              </w:rPr>
              <w:t>:</w:t>
            </w:r>
            <w:r w:rsidR="009C18E2" w:rsidRPr="00156477">
              <w:rPr>
                <w:rFonts w:ascii="Cambria" w:hAnsi="Cambria"/>
                <w:color w:val="000000" w:themeColor="text1"/>
                <w:sz w:val="20"/>
                <w:szCs w:val="20"/>
                <w:lang w:val="es-ES"/>
              </w:rPr>
              <w:t xml:space="preserve"> </w:t>
            </w:r>
            <w:hyperlink r:id="rId13" w:history="1">
              <w:r w:rsidR="0050403C" w:rsidRPr="00156477">
                <w:rPr>
                  <w:rStyle w:val="Hyperlink"/>
                  <w:rFonts w:ascii="Cambria" w:hAnsi="Cambria"/>
                  <w:color w:val="000000" w:themeColor="text1"/>
                  <w:sz w:val="20"/>
                  <w:szCs w:val="20"/>
                  <w:lang w:val="es-ES"/>
                </w:rPr>
                <w:t>Otorgada el 15 de julio de 1998</w:t>
              </w:r>
            </w:hyperlink>
            <w:r w:rsidR="0050403C" w:rsidRPr="00156477">
              <w:rPr>
                <w:rFonts w:ascii="Cambria" w:hAnsi="Cambria"/>
                <w:color w:val="000000" w:themeColor="text1"/>
                <w:sz w:val="20"/>
                <w:szCs w:val="20"/>
                <w:lang w:val="es-ES"/>
              </w:rPr>
              <w:t xml:space="preserve"> (Leroy </w:t>
            </w:r>
            <w:proofErr w:type="spellStart"/>
            <w:r w:rsidR="0050403C" w:rsidRPr="00156477">
              <w:rPr>
                <w:rFonts w:ascii="Cambria" w:hAnsi="Cambria"/>
                <w:color w:val="000000" w:themeColor="text1"/>
                <w:sz w:val="20"/>
                <w:szCs w:val="20"/>
                <w:lang w:val="es-ES"/>
              </w:rPr>
              <w:t>Lamey</w:t>
            </w:r>
            <w:proofErr w:type="spellEnd"/>
            <w:r w:rsidR="0050403C" w:rsidRPr="00156477">
              <w:rPr>
                <w:rFonts w:ascii="Cambria" w:hAnsi="Cambria"/>
                <w:color w:val="000000" w:themeColor="text1"/>
                <w:sz w:val="20"/>
                <w:szCs w:val="20"/>
                <w:lang w:val="es-ES"/>
              </w:rPr>
              <w:t xml:space="preserve">); </w:t>
            </w:r>
            <w:hyperlink r:id="rId14" w:history="1">
              <w:r w:rsidR="004D4ED0" w:rsidRPr="00156477">
                <w:rPr>
                  <w:rStyle w:val="Hyperlink"/>
                  <w:rFonts w:ascii="Cambria" w:hAnsi="Cambria"/>
                  <w:color w:val="000000" w:themeColor="text1"/>
                  <w:sz w:val="20"/>
                  <w:szCs w:val="20"/>
                  <w:lang w:val="es-ES"/>
                </w:rPr>
                <w:t xml:space="preserve">Otorgada </w:t>
              </w:r>
              <w:r w:rsidR="0050403C" w:rsidRPr="00156477">
                <w:rPr>
                  <w:rStyle w:val="Hyperlink"/>
                  <w:rFonts w:ascii="Cambria" w:hAnsi="Cambria"/>
                  <w:color w:val="000000" w:themeColor="text1"/>
                  <w:sz w:val="20"/>
                  <w:szCs w:val="20"/>
                  <w:lang w:val="es-ES"/>
                </w:rPr>
                <w:t>el 20 de noviembre de 199</w:t>
              </w:r>
              <w:r w:rsidR="00E77406" w:rsidRPr="00156477">
                <w:rPr>
                  <w:rStyle w:val="Hyperlink"/>
                  <w:rFonts w:ascii="Cambria" w:hAnsi="Cambria"/>
                  <w:color w:val="000000" w:themeColor="text1"/>
                  <w:sz w:val="20"/>
                  <w:szCs w:val="20"/>
                  <w:lang w:val="es-ES"/>
                </w:rPr>
                <w:t>8</w:t>
              </w:r>
            </w:hyperlink>
            <w:r w:rsidR="00E77406" w:rsidRPr="00156477">
              <w:rPr>
                <w:rFonts w:ascii="Cambria" w:hAnsi="Cambria"/>
                <w:color w:val="000000" w:themeColor="text1"/>
                <w:sz w:val="20"/>
                <w:szCs w:val="20"/>
                <w:lang w:val="es-ES"/>
              </w:rPr>
              <w:t xml:space="preserve"> (Milton Montique y Dalton </w:t>
            </w:r>
            <w:proofErr w:type="spellStart"/>
            <w:r w:rsidR="00E77406" w:rsidRPr="00156477">
              <w:rPr>
                <w:rFonts w:ascii="Cambria" w:hAnsi="Cambria"/>
                <w:color w:val="000000" w:themeColor="text1"/>
                <w:sz w:val="20"/>
                <w:szCs w:val="20"/>
                <w:lang w:val="es-ES"/>
              </w:rPr>
              <w:t>Daley</w:t>
            </w:r>
            <w:proofErr w:type="spellEnd"/>
            <w:r w:rsidR="00E77406" w:rsidRPr="00156477">
              <w:rPr>
                <w:rFonts w:ascii="Cambria" w:hAnsi="Cambria"/>
                <w:color w:val="000000" w:themeColor="text1"/>
                <w:sz w:val="20"/>
                <w:szCs w:val="20"/>
                <w:lang w:val="es-ES"/>
              </w:rPr>
              <w:t>)</w:t>
            </w:r>
            <w:r w:rsidR="0050403C" w:rsidRPr="00156477">
              <w:rPr>
                <w:rFonts w:ascii="Cambria" w:hAnsi="Cambria"/>
                <w:color w:val="000000" w:themeColor="text1"/>
                <w:sz w:val="20"/>
                <w:szCs w:val="20"/>
                <w:lang w:val="es-ES"/>
              </w:rPr>
              <w:t xml:space="preserve"> </w:t>
            </w:r>
            <w:hyperlink r:id="rId15" w:history="1">
              <w:r w:rsidR="0050403C" w:rsidRPr="00156477">
                <w:rPr>
                  <w:rStyle w:val="Hyperlink"/>
                  <w:rFonts w:ascii="Cambria" w:hAnsi="Cambria"/>
                  <w:color w:val="000000" w:themeColor="text1"/>
                  <w:sz w:val="20"/>
                  <w:szCs w:val="20"/>
                  <w:lang w:val="es-ES"/>
                </w:rPr>
                <w:t>Otorgada el 2 de diciembre de 1998</w:t>
              </w:r>
            </w:hyperlink>
            <w:r w:rsidR="0050403C" w:rsidRPr="00156477">
              <w:rPr>
                <w:rFonts w:ascii="Cambria" w:hAnsi="Cambria"/>
                <w:color w:val="000000" w:themeColor="text1"/>
                <w:sz w:val="20"/>
                <w:szCs w:val="20"/>
                <w:lang w:val="es-ES"/>
              </w:rPr>
              <w:t xml:space="preserve"> (Kevin Mykoo)</w:t>
            </w:r>
          </w:p>
          <w:p w14:paraId="291070F9" w14:textId="77777777" w:rsidR="009D53FC" w:rsidRPr="00156477" w:rsidRDefault="0088557B" w:rsidP="00AC5985">
            <w:pPr>
              <w:pStyle w:val="NoSpacing"/>
              <w:spacing w:after="120"/>
              <w:jc w:val="both"/>
              <w:rPr>
                <w:rFonts w:ascii="Cambria" w:hAnsi="Cambria"/>
                <w:b/>
                <w:color w:val="000000" w:themeColor="text1"/>
                <w:sz w:val="20"/>
                <w:szCs w:val="20"/>
                <w:lang w:val="es-ES"/>
              </w:rPr>
            </w:pPr>
            <w:r w:rsidRPr="00156477">
              <w:rPr>
                <w:rFonts w:ascii="Cambria" w:hAnsi="Cambria"/>
                <w:b/>
                <w:color w:val="000000" w:themeColor="text1"/>
                <w:sz w:val="20"/>
                <w:szCs w:val="20"/>
                <w:lang w:val="es-ES"/>
              </w:rPr>
              <w:t>T</w:t>
            </w:r>
            <w:r w:rsidR="00F1673B" w:rsidRPr="00156477">
              <w:rPr>
                <w:rFonts w:ascii="Cambria" w:hAnsi="Cambria"/>
                <w:b/>
                <w:color w:val="000000" w:themeColor="text1"/>
                <w:sz w:val="20"/>
                <w:szCs w:val="20"/>
                <w:lang w:val="es-ES"/>
              </w:rPr>
              <w:t>em</w:t>
            </w:r>
            <w:r w:rsidRPr="00156477">
              <w:rPr>
                <w:rFonts w:ascii="Cambria" w:hAnsi="Cambria"/>
                <w:b/>
                <w:color w:val="000000" w:themeColor="text1"/>
                <w:sz w:val="20"/>
                <w:szCs w:val="20"/>
                <w:lang w:val="es-ES"/>
              </w:rPr>
              <w:t>a</w:t>
            </w:r>
            <w:r w:rsidR="00F1673B" w:rsidRPr="00156477">
              <w:rPr>
                <w:rFonts w:ascii="Cambria" w:hAnsi="Cambria"/>
                <w:b/>
                <w:color w:val="000000" w:themeColor="text1"/>
                <w:sz w:val="20"/>
                <w:szCs w:val="20"/>
                <w:lang w:val="es-ES"/>
              </w:rPr>
              <w:t xml:space="preserve">s: </w:t>
            </w:r>
            <w:r w:rsidR="00A64C9F" w:rsidRPr="00156477">
              <w:rPr>
                <w:rFonts w:ascii="Cambria" w:hAnsi="Cambria"/>
                <w:color w:val="000000" w:themeColor="text1"/>
                <w:sz w:val="20"/>
                <w:szCs w:val="20"/>
                <w:lang w:val="es-ES"/>
              </w:rPr>
              <w:t>Deber de Adoptar Medidas y Disposiciones de Derecho Interno</w:t>
            </w:r>
            <w:r w:rsidR="00A64C9F" w:rsidRPr="00156477">
              <w:rPr>
                <w:rFonts w:ascii="Cambria" w:hAnsi="Cambria"/>
                <w:b/>
                <w:color w:val="000000" w:themeColor="text1"/>
                <w:sz w:val="20"/>
                <w:szCs w:val="20"/>
                <w:lang w:val="es-ES"/>
              </w:rPr>
              <w:t xml:space="preserve"> / </w:t>
            </w:r>
            <w:r w:rsidR="00E31D27" w:rsidRPr="00156477">
              <w:rPr>
                <w:rFonts w:ascii="Cambria" w:hAnsi="Cambria"/>
                <w:color w:val="000000" w:themeColor="text1"/>
                <w:sz w:val="20"/>
                <w:szCs w:val="20"/>
                <w:lang w:val="es-ES"/>
              </w:rPr>
              <w:t>Derecho a la Vida / Pena de Muerte / Derecho a la Integridad Personal / Garantías Judiciales / Protección Judicial / Condiciones de Detención</w:t>
            </w:r>
            <w:r w:rsidR="00A64C9F" w:rsidRPr="00156477">
              <w:rPr>
                <w:rFonts w:ascii="Cambria" w:hAnsi="Cambria"/>
                <w:color w:val="000000" w:themeColor="text1"/>
                <w:sz w:val="20"/>
                <w:szCs w:val="20"/>
                <w:lang w:val="es-ES"/>
              </w:rPr>
              <w:t xml:space="preserve"> / Tortura, Tratos Crueles, Inhumanos y/o Degradantes</w:t>
            </w:r>
            <w:r w:rsidR="00D86E46" w:rsidRPr="00156477">
              <w:rPr>
                <w:rFonts w:ascii="Cambria" w:hAnsi="Cambria"/>
                <w:color w:val="000000" w:themeColor="text1"/>
                <w:sz w:val="20"/>
                <w:szCs w:val="20"/>
                <w:lang w:val="es-ES"/>
              </w:rPr>
              <w:t xml:space="preserve"> / </w:t>
            </w:r>
            <w:r w:rsidR="00EF4757" w:rsidRPr="00156477">
              <w:rPr>
                <w:rFonts w:ascii="Cambria" w:hAnsi="Cambria"/>
                <w:color w:val="000000" w:themeColor="text1"/>
                <w:sz w:val="20"/>
                <w:szCs w:val="20"/>
                <w:lang w:val="es-ES"/>
              </w:rPr>
              <w:t xml:space="preserve">Derecho a la </w:t>
            </w:r>
            <w:r w:rsidR="00D86E46" w:rsidRPr="00156477">
              <w:rPr>
                <w:rFonts w:ascii="Cambria" w:hAnsi="Cambria"/>
                <w:color w:val="000000" w:themeColor="text1"/>
                <w:sz w:val="20"/>
                <w:szCs w:val="20"/>
                <w:lang w:val="es-ES"/>
              </w:rPr>
              <w:t>Libertad Personal</w:t>
            </w:r>
            <w:r w:rsidR="00E31D27" w:rsidRPr="00156477">
              <w:rPr>
                <w:rFonts w:ascii="Cambria" w:hAnsi="Cambria"/>
                <w:color w:val="000000" w:themeColor="text1"/>
                <w:sz w:val="20"/>
                <w:szCs w:val="20"/>
                <w:lang w:val="es-ES"/>
              </w:rPr>
              <w:t xml:space="preserve">. </w:t>
            </w:r>
          </w:p>
          <w:p w14:paraId="76CAC7A3" w14:textId="77777777" w:rsidR="009D53FC" w:rsidRPr="00156477" w:rsidRDefault="0088557B" w:rsidP="00AC5985">
            <w:pPr>
              <w:pStyle w:val="NoSpacing"/>
              <w:spacing w:after="120"/>
              <w:jc w:val="both"/>
              <w:rPr>
                <w:rFonts w:ascii="Cambria" w:hAnsi="Cambria"/>
                <w:b/>
                <w:color w:val="000000" w:themeColor="text1"/>
                <w:sz w:val="20"/>
                <w:szCs w:val="20"/>
                <w:lang w:val="es-ES"/>
              </w:rPr>
            </w:pPr>
            <w:r w:rsidRPr="00156477">
              <w:rPr>
                <w:rFonts w:ascii="Cambria" w:hAnsi="Cambria"/>
                <w:b/>
                <w:color w:val="000000" w:themeColor="text1"/>
                <w:sz w:val="20"/>
                <w:szCs w:val="20"/>
                <w:lang w:val="es-ES"/>
              </w:rPr>
              <w:t>Hechos</w:t>
            </w:r>
            <w:r w:rsidR="00F1673B" w:rsidRPr="00156477">
              <w:rPr>
                <w:rFonts w:ascii="Cambria" w:hAnsi="Cambria"/>
                <w:b/>
                <w:color w:val="000000" w:themeColor="text1"/>
                <w:sz w:val="20"/>
                <w:szCs w:val="20"/>
                <w:lang w:val="es-ES"/>
              </w:rPr>
              <w:t xml:space="preserve">: </w:t>
            </w:r>
            <w:r w:rsidR="009D53FC" w:rsidRPr="00156477">
              <w:rPr>
                <w:rFonts w:ascii="Cambria" w:hAnsi="Cambria"/>
                <w:color w:val="000000" w:themeColor="text1"/>
                <w:sz w:val="20"/>
                <w:szCs w:val="20"/>
                <w:lang w:val="es-ES"/>
              </w:rPr>
              <w:t>Este cas</w:t>
            </w:r>
            <w:r w:rsidR="00AD7C3A" w:rsidRPr="00156477">
              <w:rPr>
                <w:rFonts w:ascii="Cambria" w:hAnsi="Cambria"/>
                <w:color w:val="000000" w:themeColor="text1"/>
                <w:sz w:val="20"/>
                <w:szCs w:val="20"/>
                <w:lang w:val="es-ES"/>
              </w:rPr>
              <w:t>o</w:t>
            </w:r>
            <w:r w:rsidR="009D53FC" w:rsidRPr="00156477">
              <w:rPr>
                <w:rFonts w:ascii="Cambria" w:hAnsi="Cambria"/>
                <w:color w:val="000000" w:themeColor="text1"/>
                <w:sz w:val="20"/>
                <w:szCs w:val="20"/>
                <w:lang w:val="es-ES"/>
              </w:rPr>
              <w:t xml:space="preserve"> se refiere a Leroy Lamey, Kevin Mykoo, Milton Montique y Dalton Daley, quienes fueron condenados y sentenciados a muerte </w:t>
            </w:r>
            <w:r w:rsidR="009125D0" w:rsidRPr="00156477">
              <w:rPr>
                <w:rFonts w:ascii="Cambria" w:hAnsi="Cambria"/>
                <w:color w:val="000000" w:themeColor="text1"/>
                <w:sz w:val="20"/>
                <w:szCs w:val="20"/>
                <w:lang w:val="es-ES"/>
              </w:rPr>
              <w:t xml:space="preserve">obligatoria </w:t>
            </w:r>
            <w:r w:rsidR="009D53FC" w:rsidRPr="00156477">
              <w:rPr>
                <w:rFonts w:ascii="Cambria" w:hAnsi="Cambria"/>
                <w:color w:val="000000" w:themeColor="text1"/>
                <w:sz w:val="20"/>
                <w:szCs w:val="20"/>
                <w:lang w:val="es-ES"/>
              </w:rPr>
              <w:t xml:space="preserve">por ahorcamiento por </w:t>
            </w:r>
            <w:r w:rsidR="00781B28" w:rsidRPr="00156477">
              <w:rPr>
                <w:rFonts w:ascii="Cambria" w:hAnsi="Cambria"/>
                <w:color w:val="000000" w:themeColor="text1"/>
                <w:sz w:val="20"/>
                <w:szCs w:val="20"/>
                <w:lang w:val="es-ES"/>
              </w:rPr>
              <w:t xml:space="preserve">homicidio punible </w:t>
            </w:r>
            <w:r w:rsidR="009D53FC" w:rsidRPr="00156477">
              <w:rPr>
                <w:rFonts w:ascii="Cambria" w:hAnsi="Cambria"/>
                <w:color w:val="000000" w:themeColor="text1"/>
                <w:sz w:val="20"/>
                <w:szCs w:val="20"/>
                <w:lang w:val="es-ES"/>
              </w:rPr>
              <w:t>en Jamaica, de conformidad con el Artículo 3(1) de la Ley de delitos contra la persona, o por a</w:t>
            </w:r>
            <w:r w:rsidR="00781B28" w:rsidRPr="00156477">
              <w:rPr>
                <w:rFonts w:ascii="Cambria" w:hAnsi="Cambria"/>
                <w:color w:val="000000" w:themeColor="text1"/>
                <w:sz w:val="20"/>
                <w:szCs w:val="20"/>
                <w:lang w:val="es-ES"/>
              </w:rPr>
              <w:t>sesinato múltiple sin capital, de conformidad con el artículo 3</w:t>
            </w:r>
            <w:r w:rsidR="009D53FC" w:rsidRPr="00156477">
              <w:rPr>
                <w:rFonts w:ascii="Cambria" w:hAnsi="Cambria"/>
                <w:color w:val="000000" w:themeColor="text1"/>
                <w:sz w:val="20"/>
                <w:szCs w:val="20"/>
                <w:lang w:val="es-ES"/>
              </w:rPr>
              <w:t>(1A) de</w:t>
            </w:r>
            <w:r w:rsidR="00781B28" w:rsidRPr="00156477">
              <w:rPr>
                <w:rFonts w:ascii="Cambria" w:hAnsi="Cambria"/>
                <w:color w:val="000000" w:themeColor="text1"/>
                <w:sz w:val="20"/>
                <w:szCs w:val="20"/>
                <w:lang w:val="es-ES"/>
              </w:rPr>
              <w:t xml:space="preserve"> la misma l</w:t>
            </w:r>
            <w:r w:rsidR="009D53FC" w:rsidRPr="00156477">
              <w:rPr>
                <w:rFonts w:ascii="Cambria" w:hAnsi="Cambria"/>
                <w:color w:val="000000" w:themeColor="text1"/>
                <w:sz w:val="20"/>
                <w:szCs w:val="20"/>
                <w:lang w:val="es-ES"/>
              </w:rPr>
              <w:t xml:space="preserve">ey. La Ley de delitos contra la persona </w:t>
            </w:r>
            <w:r w:rsidR="00096897" w:rsidRPr="00156477">
              <w:rPr>
                <w:rFonts w:ascii="Cambria" w:hAnsi="Cambria"/>
                <w:color w:val="000000" w:themeColor="text1"/>
                <w:sz w:val="20"/>
                <w:szCs w:val="20"/>
                <w:lang w:val="es-ES"/>
              </w:rPr>
              <w:t>prescribió la pena de muerte como el único castigo posible para personas condenadas de homicidio punible con pena capital, y para las personas condenadas en la misma ocasión o en diferentes ocasiones por más de un homicidio no punible con pena capital</w:t>
            </w:r>
            <w:r w:rsidR="00AD7C3A" w:rsidRPr="00156477">
              <w:rPr>
                <w:rFonts w:ascii="Cambria" w:hAnsi="Cambria"/>
                <w:color w:val="000000" w:themeColor="text1"/>
                <w:sz w:val="20"/>
                <w:szCs w:val="20"/>
                <w:lang w:val="es-ES"/>
              </w:rPr>
              <w:t>.</w:t>
            </w:r>
            <w:r w:rsidR="00096897" w:rsidRPr="00156477">
              <w:rPr>
                <w:rFonts w:ascii="Cambria" w:hAnsi="Cambria"/>
                <w:color w:val="000000" w:themeColor="text1"/>
                <w:sz w:val="20"/>
                <w:szCs w:val="20"/>
                <w:lang w:val="es-ES"/>
              </w:rPr>
              <w:t xml:space="preserve"> </w:t>
            </w:r>
            <w:r w:rsidR="00AD7C3A" w:rsidRPr="00156477">
              <w:rPr>
                <w:rFonts w:ascii="Cambria" w:hAnsi="Cambria"/>
                <w:color w:val="000000" w:themeColor="text1"/>
                <w:sz w:val="20"/>
                <w:szCs w:val="20"/>
                <w:lang w:val="es-ES"/>
              </w:rPr>
              <w:t>P</w:t>
            </w:r>
            <w:r w:rsidR="009D53FC" w:rsidRPr="00156477">
              <w:rPr>
                <w:rFonts w:ascii="Cambria" w:hAnsi="Cambria"/>
                <w:color w:val="000000" w:themeColor="text1"/>
                <w:sz w:val="20"/>
                <w:szCs w:val="20"/>
                <w:lang w:val="es-ES"/>
              </w:rPr>
              <w:t xml:space="preserve">or lo tanto, una vez que el jurado en cada uno de los cuatro </w:t>
            </w:r>
            <w:r w:rsidR="00494A00" w:rsidRPr="00156477">
              <w:rPr>
                <w:rFonts w:ascii="Cambria" w:hAnsi="Cambria"/>
                <w:color w:val="000000" w:themeColor="text1"/>
                <w:sz w:val="20"/>
                <w:szCs w:val="20"/>
                <w:lang w:val="es-ES"/>
              </w:rPr>
              <w:t>juicios</w:t>
            </w:r>
            <w:r w:rsidR="009D53FC" w:rsidRPr="00156477">
              <w:rPr>
                <w:rFonts w:ascii="Cambria" w:hAnsi="Cambria"/>
                <w:color w:val="000000" w:themeColor="text1"/>
                <w:sz w:val="20"/>
                <w:szCs w:val="20"/>
                <w:lang w:val="es-ES"/>
              </w:rPr>
              <w:t xml:space="preserve"> </w:t>
            </w:r>
            <w:r w:rsidR="00096897" w:rsidRPr="00156477">
              <w:rPr>
                <w:rFonts w:ascii="Cambria" w:hAnsi="Cambria"/>
                <w:color w:val="000000" w:themeColor="text1"/>
                <w:sz w:val="20"/>
                <w:szCs w:val="20"/>
                <w:lang w:val="es-ES"/>
              </w:rPr>
              <w:t xml:space="preserve">declaró el </w:t>
            </w:r>
            <w:r w:rsidR="009D53FC" w:rsidRPr="00156477">
              <w:rPr>
                <w:rFonts w:ascii="Cambria" w:hAnsi="Cambria"/>
                <w:color w:val="000000" w:themeColor="text1"/>
                <w:sz w:val="20"/>
                <w:szCs w:val="20"/>
                <w:lang w:val="es-ES"/>
              </w:rPr>
              <w:t xml:space="preserve">acusado culpable de estos delitos, la pena de muerte </w:t>
            </w:r>
            <w:r w:rsidR="001740B6" w:rsidRPr="00156477">
              <w:rPr>
                <w:rFonts w:ascii="Cambria" w:hAnsi="Cambria"/>
                <w:color w:val="000000" w:themeColor="text1"/>
                <w:sz w:val="20"/>
                <w:szCs w:val="20"/>
                <w:lang w:val="es-ES"/>
              </w:rPr>
              <w:t>era</w:t>
            </w:r>
            <w:r w:rsidR="009D53FC" w:rsidRPr="00156477">
              <w:rPr>
                <w:rFonts w:ascii="Cambria" w:hAnsi="Cambria"/>
                <w:color w:val="000000" w:themeColor="text1"/>
                <w:sz w:val="20"/>
                <w:szCs w:val="20"/>
                <w:lang w:val="es-ES"/>
              </w:rPr>
              <w:t xml:space="preserve"> </w:t>
            </w:r>
            <w:r w:rsidR="00096897" w:rsidRPr="00156477">
              <w:rPr>
                <w:rFonts w:ascii="Cambria" w:hAnsi="Cambria"/>
                <w:color w:val="000000" w:themeColor="text1"/>
                <w:sz w:val="20"/>
                <w:szCs w:val="20"/>
                <w:lang w:val="es-ES"/>
              </w:rPr>
              <w:t>e</w:t>
            </w:r>
            <w:r w:rsidR="009D53FC" w:rsidRPr="00156477">
              <w:rPr>
                <w:rFonts w:ascii="Cambria" w:hAnsi="Cambria"/>
                <w:color w:val="000000" w:themeColor="text1"/>
                <w:sz w:val="20"/>
                <w:szCs w:val="20"/>
                <w:lang w:val="es-ES"/>
              </w:rPr>
              <w:t>l único castigo disponible.</w:t>
            </w:r>
          </w:p>
          <w:p w14:paraId="5C59A77B" w14:textId="77777777" w:rsidR="00F1673B" w:rsidRPr="00156477" w:rsidRDefault="0088557B" w:rsidP="00AC5985">
            <w:pPr>
              <w:pStyle w:val="NoSpacing"/>
              <w:spacing w:after="120"/>
              <w:jc w:val="both"/>
              <w:rPr>
                <w:rFonts w:ascii="Cambria" w:hAnsi="Cambria"/>
                <w:b/>
                <w:color w:val="000000" w:themeColor="text1"/>
                <w:sz w:val="20"/>
                <w:szCs w:val="20"/>
                <w:lang w:val="es-ES"/>
              </w:rPr>
            </w:pPr>
            <w:r w:rsidRPr="00156477">
              <w:rPr>
                <w:rFonts w:ascii="Cambria" w:hAnsi="Cambria"/>
                <w:b/>
                <w:color w:val="000000" w:themeColor="text1"/>
                <w:sz w:val="20"/>
                <w:szCs w:val="20"/>
                <w:lang w:val="es-ES"/>
              </w:rPr>
              <w:t>Derechos violados</w:t>
            </w:r>
            <w:r w:rsidR="00F1673B" w:rsidRPr="00156477">
              <w:rPr>
                <w:rFonts w:ascii="Cambria" w:hAnsi="Cambria"/>
                <w:b/>
                <w:color w:val="000000" w:themeColor="text1"/>
                <w:sz w:val="20"/>
                <w:szCs w:val="20"/>
                <w:lang w:val="es-ES"/>
              </w:rPr>
              <w:t xml:space="preserve">: </w:t>
            </w:r>
            <w:r w:rsidR="00105C27" w:rsidRPr="00156477">
              <w:rPr>
                <w:rFonts w:ascii="Cambria" w:hAnsi="Cambria"/>
                <w:color w:val="000000" w:themeColor="text1"/>
                <w:sz w:val="20"/>
                <w:szCs w:val="20"/>
                <w:lang w:val="es-ES"/>
              </w:rPr>
              <w:t xml:space="preserve">La </w:t>
            </w:r>
            <w:r w:rsidR="00BC06B2" w:rsidRPr="00156477">
              <w:rPr>
                <w:rFonts w:ascii="Cambria" w:hAnsi="Cambria"/>
                <w:color w:val="000000" w:themeColor="text1"/>
                <w:sz w:val="20"/>
                <w:szCs w:val="20"/>
                <w:lang w:val="es-ES"/>
              </w:rPr>
              <w:t xml:space="preserve">Comisión concluyó que el Estado era responsable de: a) la violación de los derechos de las víctimas en los Casos Nos. 11.826 (Leroy </w:t>
            </w:r>
            <w:proofErr w:type="spellStart"/>
            <w:r w:rsidR="00BC06B2" w:rsidRPr="00156477">
              <w:rPr>
                <w:rFonts w:ascii="Cambria" w:hAnsi="Cambria"/>
                <w:color w:val="000000" w:themeColor="text1"/>
                <w:sz w:val="20"/>
                <w:szCs w:val="20"/>
                <w:lang w:val="es-ES"/>
              </w:rPr>
              <w:t>Lamey</w:t>
            </w:r>
            <w:proofErr w:type="spellEnd"/>
            <w:r w:rsidR="00BC06B2" w:rsidRPr="00156477">
              <w:rPr>
                <w:rFonts w:ascii="Cambria" w:hAnsi="Cambria"/>
                <w:color w:val="000000" w:themeColor="text1"/>
                <w:sz w:val="20"/>
                <w:szCs w:val="20"/>
                <w:lang w:val="es-ES"/>
              </w:rPr>
              <w:t xml:space="preserve">), 11.843 (Kevin </w:t>
            </w:r>
            <w:proofErr w:type="spellStart"/>
            <w:r w:rsidR="00BC06B2" w:rsidRPr="00156477">
              <w:rPr>
                <w:rFonts w:ascii="Cambria" w:hAnsi="Cambria"/>
                <w:color w:val="000000" w:themeColor="text1"/>
                <w:sz w:val="20"/>
                <w:szCs w:val="20"/>
                <w:lang w:val="es-ES"/>
              </w:rPr>
              <w:t>Mykoo</w:t>
            </w:r>
            <w:proofErr w:type="spellEnd"/>
            <w:r w:rsidR="00BC06B2" w:rsidRPr="00156477">
              <w:rPr>
                <w:rFonts w:ascii="Cambria" w:hAnsi="Cambria"/>
                <w:color w:val="000000" w:themeColor="text1"/>
                <w:sz w:val="20"/>
                <w:szCs w:val="20"/>
                <w:lang w:val="es-ES"/>
              </w:rPr>
              <w:t xml:space="preserve">), 11.846 (Milton Montique) y 11.847 (Dalton Daley), protegidos por los artículos 4(1), 5(1), 5(2) y 8(1), conjuntamente con la violación del artículo 1(1) de la Convención Americana, por sentenciar a estas víctimas a una pena de muerte obligatoria; b) la violación de los derechos de las víctimas en los Casos Nos. 11.826 (Leroy Lamey), 11.843 (Kevin Mykoo), 11.846 (Milton Montique) y 11.847 (Dalton Daley), protegidos por el artículo 4(6) de la Convención, por no otorgarles un derecho efectivo a solicitar la amnistía, el indulto o la conmutación de la sentencia; c) la violación de los derechos de las víctimas en los Casos Nos. 11.843 (Kevin Mykoo), 11.846 (Milton Montique) y 11.847 (Dalton Daley), protegidos por los artículos 7(5) y 7(6) de la Convención, conjuntamente con la violación del artículo 1(1) de la misma, por no llevar sin demora a las víctimas ante un juez después de su arresto, y por no garantizarles un recurso sin demora ante un tribunal competente para determinar la legalidad de su detención, d) La violación de los derechos de las víctimas en los Casos 11.846 (Milton Montique) y 11.847) (Dalton Daley), protegidos por los artículos 7(5) y 8(1) de la Convención, conjuntamente con la violación del artículo 1(1), en razón de la demora en someterlas a juicio, e) la violación de los derechos de las víctimas en los Casos Nos. 11.826 (Leroy Lamey), 11.843 (Kevin Mykoo), 11.846 (Milton Montique) y 11.847 (Dalton Daley), protegidos por los artículos 5(1) y 5(2) de la Convención, conjuntamente con violación del artículo 1(1) de la misma, en razón de sus condiciones de detención, f) La violación de los derechos de las víctimas en los Casos Nos. 11.846 (Milton Montique) y 11.847 (Dalton Daley), protegidos por los artículos 8(2)(d) y 8(2)(c) de la Convención, conjuntamente con la violación del artículo 1(1) de la misma, por negarles el acceso a un abogado durante períodos prolongados después de su arresto, y g) La violación de los derechos de las víctimas en los Casos Nos. 11.826 (Leroy Lamey), 11.843 (Kevin Mykoo), 11.846) Milton Montique) y 11.847 (Dalton Daley), protegidos por los artículos 8 y 25 de la </w:t>
            </w:r>
            <w:r w:rsidR="00BC06B2" w:rsidRPr="00156477">
              <w:rPr>
                <w:rFonts w:ascii="Cambria" w:hAnsi="Cambria"/>
                <w:color w:val="000000" w:themeColor="text1"/>
                <w:sz w:val="20"/>
                <w:szCs w:val="20"/>
                <w:lang w:val="es-ES"/>
              </w:rPr>
              <w:lastRenderedPageBreak/>
              <w:t>Convención, conjuntamente con la violación del artículo 1(1) de la misma, por no poner a su disposición asistencia letrada para una acción constitucional.</w:t>
            </w:r>
          </w:p>
        </w:tc>
      </w:tr>
    </w:tbl>
    <w:p w14:paraId="6A1BBC77" w14:textId="77777777" w:rsidR="00B56912" w:rsidRPr="00156477" w:rsidRDefault="00B56912" w:rsidP="00AC5985">
      <w:pPr>
        <w:spacing w:after="0" w:line="240" w:lineRule="auto"/>
        <w:ind w:left="1440"/>
        <w:jc w:val="both"/>
        <w:rPr>
          <w:rFonts w:ascii="Cambria" w:hAnsi="Cambria" w:cs="Calibri Light"/>
          <w:b/>
          <w:color w:val="000000" w:themeColor="text1"/>
          <w:sz w:val="20"/>
          <w:szCs w:val="20"/>
          <w:lang w:val="es-ES"/>
        </w:rPr>
      </w:pPr>
    </w:p>
    <w:p w14:paraId="451A09C1" w14:textId="77777777" w:rsidR="002C61A1" w:rsidRPr="00156477" w:rsidRDefault="002C61A1" w:rsidP="00AC5985">
      <w:pPr>
        <w:numPr>
          <w:ilvl w:val="0"/>
          <w:numId w:val="1"/>
        </w:numPr>
        <w:spacing w:after="0" w:line="240" w:lineRule="auto"/>
        <w:ind w:left="1440"/>
        <w:jc w:val="both"/>
        <w:rPr>
          <w:rFonts w:ascii="Cambria" w:hAnsi="Cambria" w:cs="Calibri Light"/>
          <w:b/>
          <w:color w:val="000000" w:themeColor="text1"/>
          <w:sz w:val="20"/>
          <w:szCs w:val="20"/>
          <w:lang w:val="es-ES"/>
        </w:rPr>
      </w:pPr>
      <w:r w:rsidRPr="00156477">
        <w:rPr>
          <w:rFonts w:ascii="Cambria" w:hAnsi="Cambria" w:cs="Calibri Light"/>
          <w:b/>
          <w:color w:val="000000" w:themeColor="text1"/>
          <w:sz w:val="20"/>
          <w:szCs w:val="20"/>
          <w:lang w:val="es-ES"/>
        </w:rPr>
        <w:t xml:space="preserve">Recomendaciones </w:t>
      </w:r>
    </w:p>
    <w:p w14:paraId="12F519DE" w14:textId="77777777" w:rsidR="00F1673B" w:rsidRPr="00156477" w:rsidRDefault="00F1673B" w:rsidP="00AC5985">
      <w:pPr>
        <w:spacing w:after="0" w:line="240" w:lineRule="auto"/>
        <w:ind w:left="1080"/>
        <w:jc w:val="both"/>
        <w:rPr>
          <w:rFonts w:ascii="Cambria" w:hAnsi="Cambria" w:cs="Calibri Light"/>
          <w:b/>
          <w:color w:val="000000" w:themeColor="text1"/>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222"/>
      </w:tblGrid>
      <w:tr w:rsidR="00156477" w:rsidRPr="008272BC" w14:paraId="2CF36AB8" w14:textId="77777777" w:rsidTr="00827079">
        <w:tc>
          <w:tcPr>
            <w:tcW w:w="7290" w:type="dxa"/>
            <w:shd w:val="clear" w:color="auto" w:fill="auto"/>
            <w:vAlign w:val="center"/>
          </w:tcPr>
          <w:p w14:paraId="5FEE0A93" w14:textId="77777777" w:rsidR="00F1673B" w:rsidRPr="00156477" w:rsidRDefault="000674CD" w:rsidP="00AC5985">
            <w:pPr>
              <w:spacing w:after="0" w:line="240" w:lineRule="auto"/>
              <w:jc w:val="center"/>
              <w:rPr>
                <w:rFonts w:ascii="Cambria" w:hAnsi="Cambria" w:cs="Calibri Light"/>
                <w:b/>
                <w:color w:val="000000" w:themeColor="text1"/>
                <w:sz w:val="18"/>
                <w:szCs w:val="18"/>
                <w:lang w:val="es-ES"/>
              </w:rPr>
            </w:pPr>
            <w:r w:rsidRPr="00156477">
              <w:rPr>
                <w:rFonts w:ascii="Cambria" w:hAnsi="Cambria" w:cs="Calibri Light"/>
                <w:b/>
                <w:color w:val="000000" w:themeColor="text1"/>
                <w:sz w:val="18"/>
                <w:szCs w:val="18"/>
                <w:lang w:val="es-ES"/>
              </w:rPr>
              <w:t>Recomendaciones</w:t>
            </w:r>
          </w:p>
        </w:tc>
        <w:tc>
          <w:tcPr>
            <w:tcW w:w="2250" w:type="dxa"/>
            <w:shd w:val="clear" w:color="auto" w:fill="auto"/>
            <w:vAlign w:val="center"/>
          </w:tcPr>
          <w:p w14:paraId="4A189AB2" w14:textId="77777777" w:rsidR="00F1673B" w:rsidRPr="00156477" w:rsidRDefault="000674CD" w:rsidP="00AC5985">
            <w:pPr>
              <w:spacing w:after="0" w:line="240" w:lineRule="auto"/>
              <w:jc w:val="center"/>
              <w:rPr>
                <w:rFonts w:ascii="Cambria" w:hAnsi="Cambria" w:cs="Calibri Light"/>
                <w:b/>
                <w:color w:val="000000" w:themeColor="text1"/>
                <w:sz w:val="18"/>
                <w:szCs w:val="18"/>
                <w:lang w:val="es-ES"/>
              </w:rPr>
            </w:pPr>
            <w:r w:rsidRPr="00156477">
              <w:rPr>
                <w:rFonts w:ascii="Cambria" w:hAnsi="Cambria" w:cs="Calibri Light"/>
                <w:b/>
                <w:color w:val="000000" w:themeColor="text1"/>
                <w:sz w:val="18"/>
                <w:szCs w:val="18"/>
                <w:lang w:val="es-ES"/>
              </w:rPr>
              <w:t>E</w:t>
            </w:r>
            <w:r w:rsidR="004858CB" w:rsidRPr="00156477">
              <w:rPr>
                <w:rFonts w:ascii="Cambria" w:hAnsi="Cambria" w:cs="Calibri Light"/>
                <w:b/>
                <w:color w:val="000000" w:themeColor="text1"/>
                <w:sz w:val="18"/>
                <w:szCs w:val="18"/>
                <w:lang w:val="es-ES"/>
              </w:rPr>
              <w:t>stado de cumplimiento en el 20</w:t>
            </w:r>
            <w:r w:rsidR="00E84DAA" w:rsidRPr="00156477">
              <w:rPr>
                <w:rFonts w:ascii="Cambria" w:hAnsi="Cambria" w:cs="Calibri Light"/>
                <w:b/>
                <w:color w:val="000000" w:themeColor="text1"/>
                <w:sz w:val="18"/>
                <w:szCs w:val="18"/>
                <w:lang w:val="es-ES"/>
              </w:rPr>
              <w:t>2</w:t>
            </w:r>
            <w:r w:rsidR="00B56912" w:rsidRPr="00156477">
              <w:rPr>
                <w:rFonts w:ascii="Cambria" w:hAnsi="Cambria" w:cs="Calibri Light"/>
                <w:b/>
                <w:color w:val="000000" w:themeColor="text1"/>
                <w:sz w:val="18"/>
                <w:szCs w:val="18"/>
                <w:lang w:val="es-ES"/>
              </w:rPr>
              <w:t>1</w:t>
            </w:r>
          </w:p>
        </w:tc>
      </w:tr>
      <w:tr w:rsidR="00156477" w:rsidRPr="00156477" w14:paraId="6C8CB8CF" w14:textId="77777777" w:rsidTr="00827079">
        <w:tc>
          <w:tcPr>
            <w:tcW w:w="7290" w:type="dxa"/>
            <w:shd w:val="clear" w:color="auto" w:fill="auto"/>
          </w:tcPr>
          <w:p w14:paraId="1151D656" w14:textId="77777777" w:rsidR="000674CD" w:rsidRPr="00156477" w:rsidRDefault="0070311B" w:rsidP="00AC5985">
            <w:pPr>
              <w:tabs>
                <w:tab w:val="left" w:pos="165"/>
              </w:tabs>
              <w:spacing w:after="0" w:line="240" w:lineRule="auto"/>
              <w:ind w:right="-55"/>
              <w:jc w:val="both"/>
              <w:rPr>
                <w:rFonts w:ascii="Cambria" w:hAnsi="Cambria" w:cs="Calibri Light"/>
                <w:color w:val="000000" w:themeColor="text1"/>
                <w:sz w:val="18"/>
                <w:szCs w:val="18"/>
                <w:lang w:val="es-ES"/>
              </w:rPr>
            </w:pPr>
            <w:r w:rsidRPr="00156477">
              <w:rPr>
                <w:rFonts w:ascii="Cambria" w:hAnsi="Cambria"/>
                <w:color w:val="000000" w:themeColor="text1"/>
                <w:sz w:val="18"/>
                <w:szCs w:val="18"/>
                <w:lang w:val="es-ES"/>
              </w:rPr>
              <w:t xml:space="preserve">1. Otorgue a las víctimas en los casos materia del presente informe una reparación efectiva que incluya la conmutación de la sentencia y una indemnización. </w:t>
            </w:r>
          </w:p>
        </w:tc>
        <w:tc>
          <w:tcPr>
            <w:tcW w:w="2250" w:type="dxa"/>
            <w:shd w:val="clear" w:color="auto" w:fill="auto"/>
            <w:vAlign w:val="center"/>
          </w:tcPr>
          <w:p w14:paraId="0B984B48" w14:textId="77777777" w:rsidR="000674CD" w:rsidRPr="00156477" w:rsidRDefault="007C3213" w:rsidP="00AC5985">
            <w:pPr>
              <w:spacing w:after="0" w:line="240" w:lineRule="auto"/>
              <w:jc w:val="center"/>
              <w:rPr>
                <w:rFonts w:ascii="Cambria" w:hAnsi="Cambria" w:cs="Calibri Light"/>
                <w:b/>
                <w:color w:val="000000" w:themeColor="text1"/>
                <w:sz w:val="18"/>
                <w:szCs w:val="18"/>
                <w:lang w:val="es-ES"/>
              </w:rPr>
            </w:pPr>
            <w:r w:rsidRPr="00156477">
              <w:rPr>
                <w:rFonts w:ascii="Cambria" w:hAnsi="Cambria" w:cs="Calibri"/>
                <w:color w:val="000000" w:themeColor="text1"/>
                <w:sz w:val="18"/>
                <w:szCs w:val="18"/>
                <w:lang w:val="es-ES"/>
              </w:rPr>
              <w:t>Cumplimiento parcial</w:t>
            </w:r>
            <w:r w:rsidR="008D19B5" w:rsidRPr="00156477">
              <w:rPr>
                <w:rFonts w:ascii="Cambria" w:hAnsi="Cambria" w:cs="Calibri"/>
                <w:color w:val="000000" w:themeColor="text1"/>
                <w:sz w:val="18"/>
                <w:szCs w:val="18"/>
                <w:lang w:val="es-ES"/>
              </w:rPr>
              <w:t xml:space="preserve"> sustancial</w:t>
            </w:r>
          </w:p>
        </w:tc>
      </w:tr>
      <w:tr w:rsidR="00156477" w:rsidRPr="00156477" w14:paraId="51A0605E" w14:textId="77777777" w:rsidTr="00827079">
        <w:trPr>
          <w:trHeight w:val="890"/>
        </w:trPr>
        <w:tc>
          <w:tcPr>
            <w:tcW w:w="7290" w:type="dxa"/>
            <w:shd w:val="clear" w:color="auto" w:fill="auto"/>
          </w:tcPr>
          <w:p w14:paraId="6D9ACB1E" w14:textId="77777777" w:rsidR="000674CD" w:rsidRPr="00156477" w:rsidRDefault="007C3213" w:rsidP="00AC5985">
            <w:pPr>
              <w:pStyle w:val="ListParagraph"/>
              <w:tabs>
                <w:tab w:val="left" w:pos="165"/>
              </w:tabs>
              <w:spacing w:after="0" w:line="240" w:lineRule="auto"/>
              <w:ind w:left="0" w:right="-55"/>
              <w:jc w:val="both"/>
              <w:rPr>
                <w:rFonts w:ascii="Cambria" w:hAnsi="Cambria" w:cs="Calibri Light"/>
                <w:color w:val="000000" w:themeColor="text1"/>
                <w:sz w:val="18"/>
                <w:szCs w:val="18"/>
                <w:lang w:val="es-ES"/>
              </w:rPr>
            </w:pPr>
            <w:r w:rsidRPr="00156477">
              <w:rPr>
                <w:rFonts w:ascii="Cambria" w:hAnsi="Cambria"/>
                <w:color w:val="000000" w:themeColor="text1"/>
                <w:sz w:val="18"/>
                <w:szCs w:val="18"/>
                <w:lang w:val="es-ES"/>
              </w:rPr>
              <w:t xml:space="preserve">2. </w:t>
            </w:r>
            <w:r w:rsidR="0070311B" w:rsidRPr="00156477">
              <w:rPr>
                <w:rFonts w:ascii="Cambria" w:hAnsi="Cambria"/>
                <w:color w:val="000000" w:themeColor="text1"/>
                <w:sz w:val="18"/>
                <w:szCs w:val="18"/>
                <w:lang w:val="es-ES"/>
              </w:rPr>
              <w:t>Adopte las medidas legislativas y de otra índole necesarias para garantizar que no se imponga la pena de muerte en violación de los derechos y libertades consagrados por la Convención, incluidos los artículos 4, 5 y 8, y, en particular, garantizar que nadie sea sentenciado a muerte de acuerdo con una ley de sentencia obligatoria.</w:t>
            </w:r>
          </w:p>
        </w:tc>
        <w:tc>
          <w:tcPr>
            <w:tcW w:w="2250" w:type="dxa"/>
            <w:shd w:val="clear" w:color="auto" w:fill="auto"/>
            <w:vAlign w:val="center"/>
          </w:tcPr>
          <w:p w14:paraId="666F29B8" w14:textId="77777777" w:rsidR="000674CD" w:rsidRPr="00156477" w:rsidRDefault="007C3213" w:rsidP="00AC5985">
            <w:pPr>
              <w:spacing w:after="0" w:line="240" w:lineRule="auto"/>
              <w:jc w:val="center"/>
              <w:rPr>
                <w:rFonts w:ascii="Cambria" w:hAnsi="Cambria" w:cs="Calibri Light"/>
                <w:b/>
                <w:color w:val="000000" w:themeColor="text1"/>
                <w:sz w:val="18"/>
                <w:szCs w:val="18"/>
                <w:lang w:val="es-ES"/>
              </w:rPr>
            </w:pPr>
            <w:r w:rsidRPr="00156477">
              <w:rPr>
                <w:rFonts w:ascii="Cambria" w:hAnsi="Cambria" w:cs="Calibri"/>
                <w:color w:val="000000" w:themeColor="text1"/>
                <w:sz w:val="18"/>
                <w:szCs w:val="18"/>
                <w:lang w:val="es-ES"/>
              </w:rPr>
              <w:t>Cumplimiento total</w:t>
            </w:r>
            <w:r w:rsidR="000674CD" w:rsidRPr="00156477">
              <w:rPr>
                <w:rStyle w:val="FootnoteReference"/>
                <w:rFonts w:ascii="Cambria" w:hAnsi="Cambria" w:cs="Calibri"/>
                <w:color w:val="000000" w:themeColor="text1"/>
                <w:sz w:val="18"/>
                <w:szCs w:val="18"/>
                <w:lang w:val="es-ES"/>
              </w:rPr>
              <w:footnoteReference w:id="1"/>
            </w:r>
          </w:p>
        </w:tc>
      </w:tr>
      <w:tr w:rsidR="00156477" w:rsidRPr="00156477" w14:paraId="3BC9F3C3" w14:textId="77777777" w:rsidTr="00827079">
        <w:tc>
          <w:tcPr>
            <w:tcW w:w="7290" w:type="dxa"/>
            <w:shd w:val="clear" w:color="auto" w:fill="auto"/>
          </w:tcPr>
          <w:p w14:paraId="109DDEE7" w14:textId="77777777" w:rsidR="000674CD" w:rsidRPr="00156477" w:rsidRDefault="007C3213" w:rsidP="00AC5985">
            <w:pPr>
              <w:pStyle w:val="ListParagraph"/>
              <w:tabs>
                <w:tab w:val="left" w:pos="165"/>
              </w:tabs>
              <w:spacing w:after="0" w:line="240" w:lineRule="auto"/>
              <w:ind w:left="0" w:right="-55"/>
              <w:jc w:val="both"/>
              <w:rPr>
                <w:rFonts w:ascii="Cambria" w:hAnsi="Cambria" w:cs="Calibri Light"/>
                <w:color w:val="000000" w:themeColor="text1"/>
                <w:sz w:val="18"/>
                <w:szCs w:val="18"/>
                <w:lang w:val="es-ES"/>
              </w:rPr>
            </w:pPr>
            <w:r w:rsidRPr="00156477">
              <w:rPr>
                <w:rFonts w:ascii="Cambria" w:hAnsi="Cambria"/>
                <w:color w:val="000000" w:themeColor="text1"/>
                <w:sz w:val="18"/>
                <w:szCs w:val="18"/>
                <w:lang w:val="es-ES"/>
              </w:rPr>
              <w:t xml:space="preserve">3. </w:t>
            </w:r>
            <w:r w:rsidR="0070311B" w:rsidRPr="00156477">
              <w:rPr>
                <w:rFonts w:ascii="Cambria" w:hAnsi="Cambria"/>
                <w:color w:val="000000" w:themeColor="text1"/>
                <w:sz w:val="18"/>
                <w:szCs w:val="18"/>
                <w:lang w:val="es-ES"/>
              </w:rPr>
              <w:t>Adopte las medidas legislativas y de otra índole necesarias para garantizar la efectividad en Jamaica del derecho a solicitar la amnistía, el indulto o la conmutación de la sentencia, consagrado en el artículo 4(6) de la Convención.</w:t>
            </w:r>
          </w:p>
        </w:tc>
        <w:tc>
          <w:tcPr>
            <w:tcW w:w="2250" w:type="dxa"/>
            <w:shd w:val="clear" w:color="auto" w:fill="auto"/>
            <w:vAlign w:val="center"/>
          </w:tcPr>
          <w:p w14:paraId="137CF4D9" w14:textId="77777777" w:rsidR="000674CD" w:rsidRPr="00156477" w:rsidRDefault="007C3213" w:rsidP="00AC5985">
            <w:pPr>
              <w:spacing w:after="0" w:line="240" w:lineRule="auto"/>
              <w:jc w:val="center"/>
              <w:rPr>
                <w:rFonts w:ascii="Cambria" w:hAnsi="Cambria" w:cs="Calibri Light"/>
                <w:b/>
                <w:color w:val="000000" w:themeColor="text1"/>
                <w:sz w:val="18"/>
                <w:szCs w:val="18"/>
                <w:lang w:val="es-ES"/>
              </w:rPr>
            </w:pPr>
            <w:r w:rsidRPr="00156477">
              <w:rPr>
                <w:rFonts w:ascii="Cambria" w:hAnsi="Cambria" w:cs="Calibri"/>
                <w:color w:val="000000" w:themeColor="text1"/>
                <w:sz w:val="18"/>
                <w:szCs w:val="18"/>
                <w:lang w:val="es-ES"/>
              </w:rPr>
              <w:t xml:space="preserve">Cumplimiento </w:t>
            </w:r>
            <w:r w:rsidR="00C74196" w:rsidRPr="00156477">
              <w:rPr>
                <w:rFonts w:ascii="Cambria" w:hAnsi="Cambria" w:cs="Calibri"/>
                <w:color w:val="000000" w:themeColor="text1"/>
                <w:sz w:val="18"/>
                <w:szCs w:val="18"/>
                <w:lang w:val="es-ES"/>
              </w:rPr>
              <w:t>t</w:t>
            </w:r>
            <w:r w:rsidR="0056563A" w:rsidRPr="00156477">
              <w:rPr>
                <w:rFonts w:ascii="Cambria" w:hAnsi="Cambria" w:cs="Calibri"/>
                <w:color w:val="000000" w:themeColor="text1"/>
                <w:sz w:val="18"/>
                <w:szCs w:val="18"/>
                <w:lang w:val="es-ES"/>
              </w:rPr>
              <w:t>otal</w:t>
            </w:r>
            <w:r w:rsidR="00724A14" w:rsidRPr="00156477">
              <w:rPr>
                <w:rStyle w:val="FootnoteReference"/>
                <w:rFonts w:ascii="Cambria" w:hAnsi="Cambria" w:cs="Calibri"/>
                <w:color w:val="000000" w:themeColor="text1"/>
                <w:sz w:val="18"/>
                <w:szCs w:val="18"/>
                <w:lang w:val="es-ES"/>
              </w:rPr>
              <w:footnoteReference w:id="2"/>
            </w:r>
          </w:p>
        </w:tc>
      </w:tr>
      <w:tr w:rsidR="00156477" w:rsidRPr="00156477" w14:paraId="06A7509D" w14:textId="77777777" w:rsidTr="00827079">
        <w:tc>
          <w:tcPr>
            <w:tcW w:w="7290" w:type="dxa"/>
            <w:shd w:val="clear" w:color="auto" w:fill="auto"/>
          </w:tcPr>
          <w:p w14:paraId="4D994BE4" w14:textId="77777777" w:rsidR="000674CD" w:rsidRPr="00156477" w:rsidRDefault="007C3213" w:rsidP="00AC5985">
            <w:pPr>
              <w:pStyle w:val="ListParagraph"/>
              <w:tabs>
                <w:tab w:val="left" w:pos="165"/>
              </w:tabs>
              <w:spacing w:after="0" w:line="240" w:lineRule="auto"/>
              <w:ind w:left="0" w:right="-55"/>
              <w:jc w:val="both"/>
              <w:rPr>
                <w:rFonts w:ascii="Cambria" w:hAnsi="Cambria" w:cs="Calibri Light"/>
                <w:color w:val="000000" w:themeColor="text1"/>
                <w:sz w:val="18"/>
                <w:szCs w:val="18"/>
                <w:lang w:val="es-ES"/>
              </w:rPr>
            </w:pPr>
            <w:r w:rsidRPr="00156477">
              <w:rPr>
                <w:rFonts w:ascii="Cambria" w:hAnsi="Cambria"/>
                <w:color w:val="000000" w:themeColor="text1"/>
                <w:sz w:val="18"/>
                <w:szCs w:val="18"/>
                <w:lang w:val="es-ES"/>
              </w:rPr>
              <w:t xml:space="preserve">4. </w:t>
            </w:r>
            <w:r w:rsidR="0070311B" w:rsidRPr="00156477">
              <w:rPr>
                <w:rFonts w:ascii="Cambria" w:hAnsi="Cambria"/>
                <w:color w:val="000000" w:themeColor="text1"/>
                <w:sz w:val="18"/>
                <w:szCs w:val="18"/>
                <w:lang w:val="es-ES"/>
              </w:rPr>
              <w:t>Adopte las medidas legislativas y de otra índole necesarias para garantizar la efectividad en Jamaica del derecho de las víctimas a un trato humano, consagrado en los artículos 5(1) y 5(2) de la Convención, particularmente en relación con sus condiciones de detención.</w:t>
            </w:r>
          </w:p>
        </w:tc>
        <w:tc>
          <w:tcPr>
            <w:tcW w:w="2250" w:type="dxa"/>
            <w:shd w:val="clear" w:color="auto" w:fill="auto"/>
            <w:vAlign w:val="center"/>
          </w:tcPr>
          <w:p w14:paraId="0D0151AF" w14:textId="77777777" w:rsidR="000674CD" w:rsidRPr="00156477" w:rsidRDefault="007C3213" w:rsidP="00AC5985">
            <w:pPr>
              <w:spacing w:after="0" w:line="240" w:lineRule="auto"/>
              <w:jc w:val="center"/>
              <w:rPr>
                <w:rFonts w:ascii="Cambria" w:hAnsi="Cambria" w:cs="Calibri Light"/>
                <w:b/>
                <w:color w:val="000000" w:themeColor="text1"/>
                <w:sz w:val="18"/>
                <w:szCs w:val="18"/>
                <w:lang w:val="es-ES"/>
              </w:rPr>
            </w:pPr>
            <w:r w:rsidRPr="00156477">
              <w:rPr>
                <w:rFonts w:ascii="Cambria" w:hAnsi="Cambria" w:cs="Calibri"/>
                <w:color w:val="000000" w:themeColor="text1"/>
                <w:sz w:val="18"/>
                <w:szCs w:val="18"/>
                <w:lang w:val="es-ES"/>
              </w:rPr>
              <w:t xml:space="preserve">Cumplimiento </w:t>
            </w:r>
            <w:r w:rsidR="008037BE" w:rsidRPr="00156477">
              <w:rPr>
                <w:rFonts w:ascii="Cambria" w:hAnsi="Cambria" w:cs="Calibri"/>
                <w:color w:val="000000" w:themeColor="text1"/>
                <w:sz w:val="18"/>
                <w:szCs w:val="18"/>
                <w:lang w:val="es-ES"/>
              </w:rPr>
              <w:t>total</w:t>
            </w:r>
            <w:r w:rsidR="00724A14" w:rsidRPr="00156477">
              <w:rPr>
                <w:rStyle w:val="FootnoteReference"/>
                <w:rFonts w:ascii="Cambria" w:hAnsi="Cambria" w:cs="Calibri"/>
                <w:color w:val="000000" w:themeColor="text1"/>
                <w:sz w:val="18"/>
                <w:szCs w:val="18"/>
                <w:lang w:val="es-ES"/>
              </w:rPr>
              <w:footnoteReference w:id="3"/>
            </w:r>
          </w:p>
        </w:tc>
      </w:tr>
      <w:tr w:rsidR="00156477" w:rsidRPr="00156477" w14:paraId="6AF3AC4E" w14:textId="77777777" w:rsidTr="00827079">
        <w:tc>
          <w:tcPr>
            <w:tcW w:w="7290" w:type="dxa"/>
            <w:shd w:val="clear" w:color="auto" w:fill="auto"/>
          </w:tcPr>
          <w:p w14:paraId="5BCC46B0" w14:textId="77777777" w:rsidR="000674CD" w:rsidRPr="00156477" w:rsidRDefault="007C3213" w:rsidP="00AC5985">
            <w:pPr>
              <w:pStyle w:val="ListParagraph"/>
              <w:tabs>
                <w:tab w:val="left" w:pos="165"/>
              </w:tabs>
              <w:spacing w:after="0" w:line="240" w:lineRule="auto"/>
              <w:ind w:left="0" w:right="-55"/>
              <w:jc w:val="both"/>
              <w:rPr>
                <w:rFonts w:ascii="Cambria" w:hAnsi="Cambria" w:cs="Calibri Light"/>
                <w:color w:val="000000" w:themeColor="text1"/>
                <w:sz w:val="18"/>
                <w:szCs w:val="18"/>
                <w:lang w:val="es-ES"/>
              </w:rPr>
            </w:pPr>
            <w:r w:rsidRPr="00156477">
              <w:rPr>
                <w:rFonts w:ascii="Cambria" w:hAnsi="Cambria"/>
                <w:color w:val="000000" w:themeColor="text1"/>
                <w:sz w:val="18"/>
                <w:szCs w:val="18"/>
                <w:lang w:val="es-ES"/>
              </w:rPr>
              <w:t xml:space="preserve">5. </w:t>
            </w:r>
            <w:bookmarkStart w:id="0" w:name="_Hlk87280072"/>
            <w:r w:rsidR="0070311B" w:rsidRPr="00156477">
              <w:rPr>
                <w:rFonts w:ascii="Cambria" w:hAnsi="Cambria"/>
                <w:color w:val="000000" w:themeColor="text1"/>
                <w:sz w:val="18"/>
                <w:szCs w:val="18"/>
                <w:lang w:val="es-ES"/>
              </w:rPr>
              <w:t>Adopte las medidas legislativas y de otra índole necesarias para garantizar la efectividad en Jamaica del derecho a una audiencia imparcial, consagrado en el artículo 8(1) de la Convención, y del derecho a la protección judicial, consagrado en el artículo 25 de la misma, en relación con las acciones constitucionales.</w:t>
            </w:r>
            <w:bookmarkEnd w:id="0"/>
          </w:p>
        </w:tc>
        <w:tc>
          <w:tcPr>
            <w:tcW w:w="2250" w:type="dxa"/>
            <w:shd w:val="clear" w:color="auto" w:fill="auto"/>
            <w:vAlign w:val="center"/>
          </w:tcPr>
          <w:p w14:paraId="46C0BBDB" w14:textId="77777777" w:rsidR="000674CD" w:rsidRPr="00156477" w:rsidRDefault="007C3213" w:rsidP="00AC5985">
            <w:pPr>
              <w:spacing w:after="0" w:line="240" w:lineRule="auto"/>
              <w:jc w:val="center"/>
              <w:rPr>
                <w:rFonts w:ascii="Cambria" w:hAnsi="Cambria" w:cs="Calibri Light"/>
                <w:b/>
                <w:color w:val="000000" w:themeColor="text1"/>
                <w:sz w:val="18"/>
                <w:szCs w:val="18"/>
                <w:lang w:val="es-ES"/>
              </w:rPr>
            </w:pPr>
            <w:r w:rsidRPr="00156477">
              <w:rPr>
                <w:rFonts w:ascii="Cambria" w:hAnsi="Cambria" w:cs="Calibri"/>
                <w:color w:val="000000" w:themeColor="text1"/>
                <w:sz w:val="18"/>
                <w:szCs w:val="18"/>
                <w:lang w:val="es-ES"/>
              </w:rPr>
              <w:t>Cumplimiento parcial</w:t>
            </w:r>
            <w:r w:rsidR="004B7CD8" w:rsidRPr="00156477">
              <w:rPr>
                <w:rFonts w:ascii="Cambria" w:hAnsi="Cambria" w:cs="Calibri"/>
                <w:color w:val="000000" w:themeColor="text1"/>
                <w:sz w:val="18"/>
                <w:szCs w:val="18"/>
                <w:lang w:val="es-ES"/>
              </w:rPr>
              <w:t xml:space="preserve"> sustancial</w:t>
            </w:r>
          </w:p>
        </w:tc>
      </w:tr>
    </w:tbl>
    <w:p w14:paraId="21260DD2" w14:textId="77777777" w:rsidR="00F1673B" w:rsidRPr="00156477" w:rsidRDefault="00F1673B" w:rsidP="00AC5985">
      <w:pPr>
        <w:spacing w:after="0" w:line="240" w:lineRule="auto"/>
        <w:jc w:val="both"/>
        <w:rPr>
          <w:rFonts w:ascii="Cambria" w:hAnsi="Cambria" w:cs="Calibri Light"/>
          <w:b/>
          <w:color w:val="000000" w:themeColor="text1"/>
          <w:sz w:val="20"/>
          <w:szCs w:val="20"/>
          <w:lang w:val="es-ES"/>
        </w:rPr>
      </w:pPr>
    </w:p>
    <w:p w14:paraId="4BECF0E7" w14:textId="77777777" w:rsidR="00F1673B" w:rsidRPr="00156477" w:rsidRDefault="00182285" w:rsidP="00AC5985">
      <w:pPr>
        <w:pStyle w:val="ListParagraph"/>
        <w:numPr>
          <w:ilvl w:val="0"/>
          <w:numId w:val="1"/>
        </w:numPr>
        <w:spacing w:after="0" w:line="240" w:lineRule="auto"/>
        <w:ind w:left="1440"/>
        <w:jc w:val="both"/>
        <w:rPr>
          <w:rFonts w:ascii="Cambria" w:hAnsi="Cambria" w:cs="Calibri Light"/>
          <w:b/>
          <w:color w:val="000000" w:themeColor="text1"/>
          <w:sz w:val="20"/>
          <w:szCs w:val="20"/>
          <w:lang w:val="es-ES"/>
        </w:rPr>
      </w:pPr>
      <w:r w:rsidRPr="00156477">
        <w:rPr>
          <w:rFonts w:ascii="Cambria" w:hAnsi="Cambria"/>
          <w:b/>
          <w:color w:val="000000" w:themeColor="text1"/>
          <w:sz w:val="20"/>
          <w:szCs w:val="20"/>
          <w:lang w:val="es-ES"/>
        </w:rPr>
        <w:t xml:space="preserve">Actividad Procesal </w:t>
      </w:r>
    </w:p>
    <w:p w14:paraId="5BE2AFEC" w14:textId="77777777" w:rsidR="00D20737" w:rsidRPr="00156477" w:rsidRDefault="00D20737" w:rsidP="00AC5985">
      <w:pPr>
        <w:pStyle w:val="ListParagraph"/>
        <w:spacing w:after="0" w:line="240" w:lineRule="auto"/>
        <w:ind w:left="0"/>
        <w:jc w:val="both"/>
        <w:rPr>
          <w:rFonts w:ascii="Cambria" w:hAnsi="Cambria" w:cs="Calibri Light"/>
          <w:color w:val="000000" w:themeColor="text1"/>
          <w:sz w:val="20"/>
          <w:szCs w:val="20"/>
          <w:lang w:val="es-ES"/>
        </w:rPr>
      </w:pPr>
    </w:p>
    <w:p w14:paraId="2283E10E" w14:textId="77777777" w:rsidR="00E84DAA" w:rsidRPr="00156477" w:rsidRDefault="00E84DAA" w:rsidP="00AC5985">
      <w:pPr>
        <w:numPr>
          <w:ilvl w:val="0"/>
          <w:numId w:val="8"/>
        </w:numPr>
        <w:spacing w:after="0" w:line="240" w:lineRule="auto"/>
        <w:ind w:left="0" w:firstLine="720"/>
        <w:jc w:val="both"/>
        <w:rPr>
          <w:rFonts w:ascii="Cambria" w:hAnsi="Cambria" w:cs="Calibri Light"/>
          <w:color w:val="000000" w:themeColor="text1"/>
          <w:sz w:val="20"/>
          <w:szCs w:val="20"/>
          <w:lang w:val="es-ES"/>
        </w:rPr>
      </w:pPr>
      <w:r w:rsidRPr="00156477">
        <w:rPr>
          <w:rFonts w:ascii="Cambria" w:hAnsi="Cambria" w:cs="Calibri Light"/>
          <w:color w:val="000000" w:themeColor="text1"/>
          <w:sz w:val="20"/>
          <w:szCs w:val="20"/>
          <w:lang w:val="es-ES"/>
        </w:rPr>
        <w:t>El 22 de octubre de 2019, la CIDH convocó a las partes a una reunión de trabajo a celebrarse en el marco de su 174° Per</w:t>
      </w:r>
      <w:r w:rsidR="0081526E" w:rsidRPr="00156477">
        <w:rPr>
          <w:rFonts w:ascii="Cambria" w:hAnsi="Cambria" w:cs="Calibri Light"/>
          <w:color w:val="000000" w:themeColor="text1"/>
          <w:sz w:val="20"/>
          <w:szCs w:val="20"/>
          <w:lang w:val="es-ES"/>
        </w:rPr>
        <w:t>i</w:t>
      </w:r>
      <w:r w:rsidRPr="00156477">
        <w:rPr>
          <w:rFonts w:ascii="Cambria" w:hAnsi="Cambria" w:cs="Calibri Light"/>
          <w:color w:val="000000" w:themeColor="text1"/>
          <w:sz w:val="20"/>
          <w:szCs w:val="20"/>
          <w:lang w:val="es-ES"/>
        </w:rPr>
        <w:t xml:space="preserve">odo de Sesiones. Dicha </w:t>
      </w:r>
      <w:r w:rsidR="0081526E" w:rsidRPr="00156477">
        <w:rPr>
          <w:rFonts w:ascii="Cambria" w:hAnsi="Cambria" w:cs="Calibri Light"/>
          <w:color w:val="000000" w:themeColor="text1"/>
          <w:sz w:val="20"/>
          <w:szCs w:val="20"/>
          <w:lang w:val="es-ES"/>
        </w:rPr>
        <w:t>r</w:t>
      </w:r>
      <w:r w:rsidRPr="00156477">
        <w:rPr>
          <w:rFonts w:ascii="Cambria" w:hAnsi="Cambria" w:cs="Calibri Light"/>
          <w:color w:val="000000" w:themeColor="text1"/>
          <w:sz w:val="20"/>
          <w:szCs w:val="20"/>
          <w:lang w:val="es-ES"/>
        </w:rPr>
        <w:t>eunión tuvo lugar el 13 de noviembre de 2019 en Ecuador y únicamente asistieron los peticionarios. El 12 de noviembre</w:t>
      </w:r>
      <w:r w:rsidR="0081526E" w:rsidRPr="00156477">
        <w:rPr>
          <w:rFonts w:ascii="Cambria" w:hAnsi="Cambria" w:cs="Calibri Light"/>
          <w:color w:val="000000" w:themeColor="text1"/>
          <w:sz w:val="20"/>
          <w:szCs w:val="20"/>
          <w:lang w:val="es-ES"/>
        </w:rPr>
        <w:t xml:space="preserve"> de 2020,</w:t>
      </w:r>
      <w:r w:rsidRPr="00156477">
        <w:rPr>
          <w:rFonts w:ascii="Cambria" w:hAnsi="Cambria" w:cs="Calibri Light"/>
          <w:color w:val="000000" w:themeColor="text1"/>
          <w:sz w:val="20"/>
          <w:szCs w:val="20"/>
          <w:lang w:val="es-ES"/>
        </w:rPr>
        <w:t xml:space="preserve"> el Estado comunicó a la Comisión su imposibilidad de atender la reunión solicitada y presentó información escrita sobre el cumplimiento. </w:t>
      </w:r>
    </w:p>
    <w:p w14:paraId="385D9447" w14:textId="77777777" w:rsidR="00E84DAA" w:rsidRPr="00156477" w:rsidRDefault="00E84DAA" w:rsidP="00AC5985">
      <w:pPr>
        <w:spacing w:after="0" w:line="240" w:lineRule="auto"/>
        <w:ind w:left="720"/>
        <w:jc w:val="both"/>
        <w:rPr>
          <w:rFonts w:ascii="Cambria" w:hAnsi="Cambria" w:cs="Calibri Light"/>
          <w:color w:val="000000" w:themeColor="text1"/>
          <w:sz w:val="20"/>
          <w:szCs w:val="20"/>
          <w:lang w:val="es-ES"/>
        </w:rPr>
      </w:pPr>
    </w:p>
    <w:p w14:paraId="790E387D" w14:textId="77777777" w:rsidR="00616FF3" w:rsidRPr="00156477" w:rsidRDefault="004858CB" w:rsidP="00AC5985">
      <w:pPr>
        <w:numPr>
          <w:ilvl w:val="0"/>
          <w:numId w:val="8"/>
        </w:numPr>
        <w:spacing w:after="0" w:line="240" w:lineRule="auto"/>
        <w:ind w:left="0" w:firstLine="720"/>
        <w:jc w:val="both"/>
        <w:rPr>
          <w:rFonts w:ascii="Cambria" w:hAnsi="Cambria" w:cs="Calibri Light"/>
          <w:color w:val="000000" w:themeColor="text1"/>
          <w:sz w:val="20"/>
          <w:szCs w:val="20"/>
          <w:lang w:val="es-ES"/>
        </w:rPr>
      </w:pPr>
      <w:r w:rsidRPr="00156477">
        <w:rPr>
          <w:rFonts w:ascii="Cambria" w:hAnsi="Cambria" w:cs="Calibri Light"/>
          <w:color w:val="000000" w:themeColor="text1"/>
          <w:sz w:val="20"/>
          <w:szCs w:val="20"/>
          <w:lang w:val="es-ES"/>
        </w:rPr>
        <w:t>En 20</w:t>
      </w:r>
      <w:r w:rsidR="00E84DAA" w:rsidRPr="00156477">
        <w:rPr>
          <w:rFonts w:ascii="Cambria" w:hAnsi="Cambria" w:cs="Calibri Light"/>
          <w:color w:val="000000" w:themeColor="text1"/>
          <w:sz w:val="20"/>
          <w:szCs w:val="20"/>
          <w:lang w:val="es-ES"/>
        </w:rPr>
        <w:t>2</w:t>
      </w:r>
      <w:r w:rsidR="00B56912" w:rsidRPr="00156477">
        <w:rPr>
          <w:rFonts w:ascii="Cambria" w:hAnsi="Cambria" w:cs="Calibri Light"/>
          <w:color w:val="000000" w:themeColor="text1"/>
          <w:sz w:val="20"/>
          <w:szCs w:val="20"/>
          <w:lang w:val="es-ES"/>
        </w:rPr>
        <w:t>1</w:t>
      </w:r>
      <w:r w:rsidR="00B502EB" w:rsidRPr="00156477">
        <w:rPr>
          <w:rFonts w:ascii="Cambria" w:hAnsi="Cambria" w:cs="Calibri Light"/>
          <w:color w:val="000000" w:themeColor="text1"/>
          <w:sz w:val="20"/>
          <w:szCs w:val="20"/>
          <w:lang w:val="es-ES"/>
        </w:rPr>
        <w:t xml:space="preserve">, la CIDH solicitó información actualizada sobre el cumplimiento al Estado el </w:t>
      </w:r>
      <w:r w:rsidR="00B56912" w:rsidRPr="00156477">
        <w:rPr>
          <w:rFonts w:ascii="Cambria" w:hAnsi="Cambria" w:cs="Calibri Light"/>
          <w:color w:val="000000" w:themeColor="text1"/>
          <w:sz w:val="20"/>
          <w:szCs w:val="20"/>
          <w:lang w:val="es-ES"/>
        </w:rPr>
        <w:t>23 de agosto de 2021</w:t>
      </w:r>
      <w:r w:rsidR="00B502EB" w:rsidRPr="00156477">
        <w:rPr>
          <w:rFonts w:ascii="Cambria" w:hAnsi="Cambria" w:cs="Calibri Light"/>
          <w:color w:val="000000" w:themeColor="text1"/>
          <w:sz w:val="20"/>
          <w:szCs w:val="20"/>
          <w:lang w:val="es-ES"/>
        </w:rPr>
        <w:t xml:space="preserve">. </w:t>
      </w:r>
      <w:r w:rsidR="00840888" w:rsidRPr="00156477">
        <w:rPr>
          <w:rFonts w:ascii="Cambria" w:hAnsi="Cambria" w:cs="Calibri Light"/>
          <w:color w:val="000000" w:themeColor="text1"/>
          <w:sz w:val="20"/>
          <w:szCs w:val="20"/>
          <w:lang w:val="es-ES"/>
        </w:rPr>
        <w:t>El Estado presentó</w:t>
      </w:r>
      <w:r w:rsidR="00840888" w:rsidRPr="00156477">
        <w:rPr>
          <w:rFonts w:ascii="Cambria" w:hAnsi="Cambria" w:cs="Calibri Light"/>
          <w:color w:val="000000" w:themeColor="text1"/>
          <w:sz w:val="20"/>
          <w:szCs w:val="20"/>
          <w:lang w:val="es-CO"/>
        </w:rPr>
        <w:t xml:space="preserve"> dicha información el 15 de octubre de 202</w:t>
      </w:r>
      <w:r w:rsidR="001F0942" w:rsidRPr="00156477">
        <w:rPr>
          <w:rFonts w:ascii="Cambria" w:hAnsi="Cambria" w:cs="Calibri Light"/>
          <w:color w:val="000000" w:themeColor="text1"/>
          <w:sz w:val="20"/>
          <w:szCs w:val="20"/>
          <w:lang w:val="es-CO"/>
        </w:rPr>
        <w:t>1</w:t>
      </w:r>
      <w:r w:rsidR="00B502EB" w:rsidRPr="00156477">
        <w:rPr>
          <w:rFonts w:ascii="Cambria" w:hAnsi="Cambria" w:cs="Calibri Light"/>
          <w:color w:val="000000" w:themeColor="text1"/>
          <w:sz w:val="20"/>
          <w:szCs w:val="20"/>
          <w:lang w:val="es-ES"/>
        </w:rPr>
        <w:t>.</w:t>
      </w:r>
    </w:p>
    <w:p w14:paraId="319A054D" w14:textId="77777777" w:rsidR="00616FF3" w:rsidRPr="00156477" w:rsidRDefault="00616FF3" w:rsidP="00AC5985">
      <w:pPr>
        <w:spacing w:after="0" w:line="240" w:lineRule="auto"/>
        <w:ind w:left="720"/>
        <w:jc w:val="both"/>
        <w:rPr>
          <w:rFonts w:ascii="Cambria" w:hAnsi="Cambria" w:cs="Calibri Light"/>
          <w:color w:val="000000" w:themeColor="text1"/>
          <w:sz w:val="20"/>
          <w:szCs w:val="20"/>
          <w:lang w:val="es-ES"/>
        </w:rPr>
      </w:pPr>
    </w:p>
    <w:p w14:paraId="7CCA3868" w14:textId="77777777" w:rsidR="00A341C9" w:rsidRPr="00156477" w:rsidRDefault="004B5514" w:rsidP="00AC5985">
      <w:pPr>
        <w:numPr>
          <w:ilvl w:val="0"/>
          <w:numId w:val="8"/>
        </w:numPr>
        <w:spacing w:after="0" w:line="240" w:lineRule="auto"/>
        <w:ind w:left="0" w:firstLine="720"/>
        <w:jc w:val="both"/>
        <w:rPr>
          <w:rFonts w:ascii="Cambria" w:hAnsi="Cambria" w:cs="Calibri Light"/>
          <w:color w:val="000000" w:themeColor="text1"/>
          <w:sz w:val="20"/>
          <w:szCs w:val="20"/>
          <w:lang w:val="es-ES"/>
        </w:rPr>
      </w:pPr>
      <w:r w:rsidRPr="00156477">
        <w:rPr>
          <w:rFonts w:ascii="Cambria" w:hAnsi="Cambria" w:cs="Calibri Light"/>
          <w:color w:val="000000" w:themeColor="text1"/>
          <w:sz w:val="20"/>
          <w:szCs w:val="20"/>
          <w:lang w:val="es-ES"/>
        </w:rPr>
        <w:t xml:space="preserve">La CIDH solicitó información actualizada sobre el cumplimiento a los peticionarios el </w:t>
      </w:r>
      <w:r w:rsidR="00B56912" w:rsidRPr="00156477">
        <w:rPr>
          <w:rFonts w:ascii="Cambria" w:hAnsi="Cambria" w:cs="Calibri Light"/>
          <w:color w:val="000000" w:themeColor="text1"/>
          <w:sz w:val="20"/>
          <w:szCs w:val="20"/>
          <w:lang w:val="es-ES"/>
        </w:rPr>
        <w:t>23 de agosto de 2021</w:t>
      </w:r>
      <w:r w:rsidR="000578A0" w:rsidRPr="00156477">
        <w:rPr>
          <w:rFonts w:ascii="Cambria" w:hAnsi="Cambria" w:cs="Calibri Light"/>
          <w:color w:val="000000" w:themeColor="text1"/>
          <w:sz w:val="20"/>
          <w:szCs w:val="20"/>
          <w:lang w:val="es-ES"/>
        </w:rPr>
        <w:t>.</w:t>
      </w:r>
      <w:r w:rsidRPr="00156477">
        <w:rPr>
          <w:rFonts w:ascii="Cambria" w:hAnsi="Cambria" w:cs="Calibri Light"/>
          <w:color w:val="000000" w:themeColor="text1"/>
          <w:sz w:val="20"/>
          <w:szCs w:val="20"/>
          <w:lang w:val="es-ES"/>
        </w:rPr>
        <w:t xml:space="preserve"> </w:t>
      </w:r>
      <w:r w:rsidR="00EA4C39" w:rsidRPr="00156477">
        <w:rPr>
          <w:rFonts w:ascii="Cambria" w:hAnsi="Cambria" w:cs="Calibri Light"/>
          <w:color w:val="000000" w:themeColor="text1"/>
          <w:sz w:val="20"/>
          <w:szCs w:val="20"/>
          <w:lang w:val="es-ES"/>
        </w:rPr>
        <w:t>A la fecha de cierre de este informe, la parte peticionaria no había enviado dicha información</w:t>
      </w:r>
      <w:r w:rsidRPr="00156477">
        <w:rPr>
          <w:rFonts w:ascii="Cambria" w:hAnsi="Cambria" w:cs="Calibri Light"/>
          <w:color w:val="000000" w:themeColor="text1"/>
          <w:sz w:val="20"/>
          <w:szCs w:val="20"/>
          <w:lang w:val="es-ES"/>
        </w:rPr>
        <w:t>.</w:t>
      </w:r>
    </w:p>
    <w:p w14:paraId="74E2DB06" w14:textId="77777777" w:rsidR="00F1673B" w:rsidRPr="00156477" w:rsidRDefault="00F1673B" w:rsidP="00AC5985">
      <w:pPr>
        <w:spacing w:after="0" w:line="240" w:lineRule="auto"/>
        <w:jc w:val="both"/>
        <w:rPr>
          <w:rFonts w:ascii="Cambria" w:hAnsi="Cambria" w:cs="Calibri Light"/>
          <w:color w:val="000000" w:themeColor="text1"/>
          <w:sz w:val="20"/>
          <w:szCs w:val="20"/>
          <w:lang w:val="es-ES"/>
        </w:rPr>
      </w:pPr>
    </w:p>
    <w:p w14:paraId="3DF96F17" w14:textId="77777777" w:rsidR="00182285" w:rsidRPr="00156477" w:rsidRDefault="00182285" w:rsidP="00AC5985">
      <w:pPr>
        <w:pStyle w:val="ListParagraph"/>
        <w:numPr>
          <w:ilvl w:val="0"/>
          <w:numId w:val="1"/>
        </w:numPr>
        <w:spacing w:after="0" w:line="240" w:lineRule="auto"/>
        <w:ind w:left="1440"/>
        <w:jc w:val="both"/>
        <w:rPr>
          <w:rFonts w:ascii="Cambria" w:hAnsi="Cambria" w:cs="Calibri Light"/>
          <w:b/>
          <w:color w:val="000000" w:themeColor="text1"/>
          <w:sz w:val="20"/>
          <w:szCs w:val="20"/>
          <w:lang w:val="es-ES"/>
        </w:rPr>
      </w:pPr>
      <w:r w:rsidRPr="00156477">
        <w:rPr>
          <w:rFonts w:ascii="Cambria" w:hAnsi="Cambria" w:cs="Calibri Light"/>
          <w:b/>
          <w:color w:val="000000" w:themeColor="text1"/>
          <w:sz w:val="20"/>
          <w:szCs w:val="20"/>
          <w:lang w:val="es-ES"/>
        </w:rPr>
        <w:t>Análisis relativo a</w:t>
      </w:r>
      <w:r w:rsidR="00CC59C8" w:rsidRPr="00156477">
        <w:rPr>
          <w:rFonts w:ascii="Cambria" w:hAnsi="Cambria" w:cs="Calibri Light"/>
          <w:b/>
          <w:color w:val="000000" w:themeColor="text1"/>
          <w:sz w:val="20"/>
          <w:szCs w:val="20"/>
          <w:lang w:val="es-ES"/>
        </w:rPr>
        <w:t xml:space="preserve"> la</w:t>
      </w:r>
      <w:r w:rsidRPr="00156477">
        <w:rPr>
          <w:rFonts w:ascii="Cambria" w:hAnsi="Cambria" w:cs="Calibri Light"/>
          <w:b/>
          <w:color w:val="000000" w:themeColor="text1"/>
          <w:sz w:val="20"/>
          <w:szCs w:val="20"/>
          <w:lang w:val="es-ES"/>
        </w:rPr>
        <w:t xml:space="preserve"> información proporcionada</w:t>
      </w:r>
    </w:p>
    <w:p w14:paraId="25278D37" w14:textId="77777777" w:rsidR="00F1673B" w:rsidRPr="00156477" w:rsidRDefault="00F1673B" w:rsidP="00AC5985">
      <w:pPr>
        <w:spacing w:after="0" w:line="240" w:lineRule="auto"/>
        <w:jc w:val="both"/>
        <w:rPr>
          <w:rFonts w:ascii="Cambria" w:hAnsi="Cambria" w:cs="Calibri Light"/>
          <w:color w:val="000000" w:themeColor="text1"/>
          <w:sz w:val="20"/>
          <w:szCs w:val="20"/>
          <w:lang w:val="es-ES"/>
        </w:rPr>
      </w:pPr>
    </w:p>
    <w:p w14:paraId="796131DF" w14:textId="77777777" w:rsidR="0049315F" w:rsidRPr="00156477" w:rsidRDefault="00A341C9" w:rsidP="00AC5985">
      <w:pPr>
        <w:pStyle w:val="ListParagraph"/>
        <w:numPr>
          <w:ilvl w:val="0"/>
          <w:numId w:val="8"/>
        </w:numPr>
        <w:spacing w:after="0" w:line="240" w:lineRule="auto"/>
        <w:ind w:left="0" w:firstLine="720"/>
        <w:jc w:val="both"/>
        <w:rPr>
          <w:rFonts w:ascii="Cambria" w:hAnsi="Cambria" w:cs="Calibri Light"/>
          <w:color w:val="000000" w:themeColor="text1"/>
          <w:sz w:val="20"/>
          <w:szCs w:val="20"/>
          <w:lang w:val="es-ES"/>
        </w:rPr>
      </w:pPr>
      <w:r w:rsidRPr="00156477">
        <w:rPr>
          <w:rFonts w:ascii="Cambria" w:hAnsi="Cambria" w:cs="Calibri Light"/>
          <w:color w:val="000000" w:themeColor="text1"/>
          <w:sz w:val="20"/>
          <w:szCs w:val="20"/>
          <w:lang w:val="es-ES"/>
        </w:rPr>
        <w:t xml:space="preserve">La Comisión considera que la información proporcionada por </w:t>
      </w:r>
      <w:r w:rsidR="009F1106" w:rsidRPr="00156477">
        <w:rPr>
          <w:rFonts w:ascii="Cambria" w:hAnsi="Cambria" w:cs="Calibri Light"/>
          <w:color w:val="000000" w:themeColor="text1"/>
          <w:sz w:val="20"/>
          <w:szCs w:val="20"/>
          <w:lang w:val="es-ES"/>
        </w:rPr>
        <w:t>el Estado</w:t>
      </w:r>
      <w:r w:rsidRPr="00156477">
        <w:rPr>
          <w:rFonts w:ascii="Cambria" w:hAnsi="Cambria" w:cs="Calibri Light"/>
          <w:color w:val="000000" w:themeColor="text1"/>
          <w:sz w:val="20"/>
          <w:szCs w:val="20"/>
          <w:lang w:val="es-ES"/>
        </w:rPr>
        <w:t xml:space="preserve"> en 20</w:t>
      </w:r>
      <w:r w:rsidR="00205071" w:rsidRPr="00156477">
        <w:rPr>
          <w:rFonts w:ascii="Cambria" w:hAnsi="Cambria" w:cs="Calibri Light"/>
          <w:color w:val="000000" w:themeColor="text1"/>
          <w:sz w:val="20"/>
          <w:szCs w:val="20"/>
          <w:lang w:val="es-ES"/>
        </w:rPr>
        <w:t>2</w:t>
      </w:r>
      <w:r w:rsidR="009F1106" w:rsidRPr="00156477">
        <w:rPr>
          <w:rFonts w:ascii="Cambria" w:hAnsi="Cambria" w:cs="Calibri Light"/>
          <w:color w:val="000000" w:themeColor="text1"/>
          <w:sz w:val="20"/>
          <w:szCs w:val="20"/>
          <w:lang w:val="es-ES"/>
        </w:rPr>
        <w:t>1</w:t>
      </w:r>
      <w:r w:rsidRPr="00156477">
        <w:rPr>
          <w:rFonts w:ascii="Cambria" w:hAnsi="Cambria" w:cs="Calibri Light"/>
          <w:color w:val="000000" w:themeColor="text1"/>
          <w:sz w:val="20"/>
          <w:szCs w:val="20"/>
          <w:lang w:val="es-ES"/>
        </w:rPr>
        <w:t xml:space="preserve"> es relevante sobre medidas adoptadas relativas al cumplimiento de al menos una de las recomendaciones emitidas en el Informe Nº 49/01</w:t>
      </w:r>
      <w:r w:rsidR="00D26B7A" w:rsidRPr="00156477">
        <w:rPr>
          <w:rFonts w:ascii="Cambria" w:hAnsi="Cambria" w:cs="Calibri Light"/>
          <w:color w:val="000000" w:themeColor="text1"/>
          <w:sz w:val="20"/>
          <w:szCs w:val="20"/>
          <w:lang w:val="es-ES"/>
        </w:rPr>
        <w:t>.</w:t>
      </w:r>
    </w:p>
    <w:p w14:paraId="5056BEA3" w14:textId="77777777" w:rsidR="009F1106" w:rsidRPr="00156477" w:rsidRDefault="009F1106" w:rsidP="00AC5985">
      <w:pPr>
        <w:spacing w:after="0" w:line="240" w:lineRule="auto"/>
        <w:jc w:val="both"/>
        <w:rPr>
          <w:rFonts w:ascii="Cambria" w:hAnsi="Cambria" w:cs="Calibri Light"/>
          <w:color w:val="000000" w:themeColor="text1"/>
          <w:sz w:val="20"/>
          <w:szCs w:val="20"/>
          <w:lang w:val="es-ES"/>
        </w:rPr>
      </w:pPr>
    </w:p>
    <w:p w14:paraId="5CB0C268" w14:textId="77777777" w:rsidR="008272BC" w:rsidRDefault="008272BC">
      <w:pPr>
        <w:spacing w:after="0" w:line="240" w:lineRule="auto"/>
        <w:rPr>
          <w:rFonts w:ascii="Cambria" w:hAnsi="Cambria" w:cs="Calibri Light"/>
          <w:b/>
          <w:color w:val="000000" w:themeColor="text1"/>
          <w:sz w:val="20"/>
          <w:szCs w:val="20"/>
          <w:lang w:val="es-ES"/>
        </w:rPr>
      </w:pPr>
      <w:r>
        <w:rPr>
          <w:rFonts w:ascii="Cambria" w:hAnsi="Cambria" w:cs="Calibri Light"/>
          <w:b/>
          <w:color w:val="000000" w:themeColor="text1"/>
          <w:sz w:val="20"/>
          <w:szCs w:val="20"/>
          <w:lang w:val="es-ES"/>
        </w:rPr>
        <w:br w:type="page"/>
      </w:r>
    </w:p>
    <w:p w14:paraId="2ADC5F43" w14:textId="6E3E0773" w:rsidR="00182285" w:rsidRPr="00156477" w:rsidRDefault="00182285" w:rsidP="00AC5985">
      <w:pPr>
        <w:pStyle w:val="ListParagraph"/>
        <w:numPr>
          <w:ilvl w:val="0"/>
          <w:numId w:val="1"/>
        </w:numPr>
        <w:spacing w:after="0" w:line="240" w:lineRule="auto"/>
        <w:ind w:left="1440"/>
        <w:jc w:val="both"/>
        <w:rPr>
          <w:rFonts w:ascii="Cambria" w:hAnsi="Cambria" w:cs="Calibri Light"/>
          <w:b/>
          <w:color w:val="000000" w:themeColor="text1"/>
          <w:sz w:val="20"/>
          <w:szCs w:val="20"/>
          <w:lang w:val="es-ES"/>
        </w:rPr>
      </w:pPr>
      <w:r w:rsidRPr="00156477">
        <w:rPr>
          <w:rFonts w:ascii="Cambria" w:hAnsi="Cambria" w:cs="Calibri Light"/>
          <w:b/>
          <w:color w:val="000000" w:themeColor="text1"/>
          <w:sz w:val="20"/>
          <w:szCs w:val="20"/>
          <w:lang w:val="es-ES"/>
        </w:rPr>
        <w:lastRenderedPageBreak/>
        <w:t>Análisis del cumplimiento de las recomendaciones</w:t>
      </w:r>
    </w:p>
    <w:p w14:paraId="633F6454" w14:textId="77777777" w:rsidR="00BE3A1B" w:rsidRPr="00156477" w:rsidRDefault="00BE3A1B" w:rsidP="00AC5985">
      <w:pPr>
        <w:spacing w:after="0" w:line="240" w:lineRule="auto"/>
        <w:jc w:val="both"/>
        <w:rPr>
          <w:rFonts w:ascii="Cambria" w:hAnsi="Cambria" w:cs="Calibri Light"/>
          <w:color w:val="000000" w:themeColor="text1"/>
          <w:sz w:val="20"/>
          <w:szCs w:val="20"/>
          <w:lang w:val="es-ES"/>
        </w:rPr>
      </w:pPr>
    </w:p>
    <w:p w14:paraId="11F8E64D" w14:textId="77777777" w:rsidR="00535317" w:rsidRPr="00156477" w:rsidRDefault="00182285" w:rsidP="00AC5985">
      <w:pPr>
        <w:numPr>
          <w:ilvl w:val="0"/>
          <w:numId w:val="8"/>
        </w:numPr>
        <w:spacing w:after="0" w:line="240" w:lineRule="auto"/>
        <w:ind w:left="0" w:firstLine="720"/>
        <w:jc w:val="both"/>
        <w:rPr>
          <w:rFonts w:ascii="Cambria" w:hAnsi="Cambria"/>
          <w:color w:val="000000" w:themeColor="text1"/>
          <w:sz w:val="20"/>
          <w:szCs w:val="20"/>
          <w:lang w:val="es-ES"/>
        </w:rPr>
      </w:pPr>
      <w:r w:rsidRPr="00156477">
        <w:rPr>
          <w:rFonts w:ascii="Cambria" w:hAnsi="Cambria" w:cs="Calibri Light"/>
          <w:b/>
          <w:color w:val="000000" w:themeColor="text1"/>
          <w:sz w:val="20"/>
          <w:szCs w:val="20"/>
          <w:lang w:val="es-ES"/>
        </w:rPr>
        <w:t>En relación con la primera recomendación</w:t>
      </w:r>
      <w:r w:rsidR="00BE3A1B" w:rsidRPr="00156477">
        <w:rPr>
          <w:rFonts w:ascii="Cambria" w:hAnsi="Cambria"/>
          <w:color w:val="000000" w:themeColor="text1"/>
          <w:sz w:val="20"/>
          <w:szCs w:val="20"/>
          <w:lang w:val="es-ES"/>
        </w:rPr>
        <w:t>,</w:t>
      </w:r>
      <w:r w:rsidR="00E42F0E" w:rsidRPr="00156477">
        <w:rPr>
          <w:rFonts w:ascii="Cambria" w:hAnsi="Cambria"/>
          <w:color w:val="000000" w:themeColor="text1"/>
          <w:sz w:val="20"/>
          <w:szCs w:val="20"/>
          <w:lang w:val="es-ES"/>
        </w:rPr>
        <w:t xml:space="preserve"> </w:t>
      </w:r>
      <w:r w:rsidR="008270F6" w:rsidRPr="00156477">
        <w:rPr>
          <w:rFonts w:ascii="Cambria" w:hAnsi="Cambria"/>
          <w:color w:val="000000" w:themeColor="text1"/>
          <w:sz w:val="20"/>
          <w:szCs w:val="20"/>
          <w:lang w:val="es-ES"/>
        </w:rPr>
        <w:t>en 2015, el Estado informó que las sentencias de las víctimas del presente caso fueron conmutadas a cadenas perpetuas. En este sentido</w:t>
      </w:r>
      <w:r w:rsidR="00F460D8" w:rsidRPr="00156477">
        <w:rPr>
          <w:rFonts w:ascii="Cambria" w:hAnsi="Cambria"/>
          <w:color w:val="000000" w:themeColor="text1"/>
          <w:sz w:val="20"/>
          <w:szCs w:val="20"/>
          <w:lang w:val="es-ES"/>
        </w:rPr>
        <w:t>,</w:t>
      </w:r>
      <w:r w:rsidR="008270F6" w:rsidRPr="00156477">
        <w:rPr>
          <w:rFonts w:ascii="Cambria" w:hAnsi="Cambria"/>
          <w:color w:val="000000" w:themeColor="text1"/>
          <w:sz w:val="20"/>
          <w:szCs w:val="20"/>
          <w:lang w:val="es-ES"/>
        </w:rPr>
        <w:t xml:space="preserve"> el Estado indicó que Leroy Lamey podrá solicitar libertad condicional en el 2016, </w:t>
      </w:r>
      <w:r w:rsidR="002E4913" w:rsidRPr="00156477">
        <w:rPr>
          <w:rFonts w:ascii="Cambria" w:hAnsi="Cambria"/>
          <w:color w:val="000000" w:themeColor="text1"/>
          <w:sz w:val="20"/>
          <w:szCs w:val="20"/>
          <w:lang w:val="es-ES"/>
        </w:rPr>
        <w:t xml:space="preserve">y que los señores Mykoo, Montique </w:t>
      </w:r>
      <w:r w:rsidR="008270F6" w:rsidRPr="00156477">
        <w:rPr>
          <w:rFonts w:ascii="Cambria" w:hAnsi="Cambria"/>
          <w:color w:val="000000" w:themeColor="text1"/>
          <w:sz w:val="20"/>
          <w:szCs w:val="20"/>
          <w:lang w:val="es-ES"/>
        </w:rPr>
        <w:t xml:space="preserve">y Daley ya </w:t>
      </w:r>
      <w:r w:rsidR="002E4913" w:rsidRPr="00156477">
        <w:rPr>
          <w:rFonts w:ascii="Cambria" w:hAnsi="Cambria"/>
          <w:color w:val="000000" w:themeColor="text1"/>
          <w:sz w:val="20"/>
          <w:szCs w:val="20"/>
          <w:lang w:val="es-ES"/>
        </w:rPr>
        <w:t xml:space="preserve">solicitaron </w:t>
      </w:r>
      <w:r w:rsidR="008270F6" w:rsidRPr="00156477">
        <w:rPr>
          <w:rFonts w:ascii="Cambria" w:hAnsi="Cambria"/>
          <w:color w:val="000000" w:themeColor="text1"/>
          <w:sz w:val="20"/>
          <w:szCs w:val="20"/>
          <w:lang w:val="es-ES"/>
        </w:rPr>
        <w:t>libertad condicional</w:t>
      </w:r>
      <w:r w:rsidR="00AD7C3A" w:rsidRPr="00156477">
        <w:rPr>
          <w:rFonts w:ascii="Cambria" w:hAnsi="Cambria"/>
          <w:color w:val="000000" w:themeColor="text1"/>
          <w:sz w:val="20"/>
          <w:szCs w:val="20"/>
          <w:lang w:val="es-ES"/>
        </w:rPr>
        <w:t>.</w:t>
      </w:r>
      <w:r w:rsidR="008270F6" w:rsidRPr="00156477">
        <w:rPr>
          <w:rFonts w:ascii="Cambria" w:hAnsi="Cambria"/>
          <w:color w:val="000000" w:themeColor="text1"/>
          <w:sz w:val="20"/>
          <w:szCs w:val="20"/>
          <w:lang w:val="es-ES"/>
        </w:rPr>
        <w:t xml:space="preserve"> </w:t>
      </w:r>
      <w:r w:rsidR="00AD7C3A" w:rsidRPr="00156477">
        <w:rPr>
          <w:rFonts w:ascii="Cambria" w:hAnsi="Cambria"/>
          <w:color w:val="000000" w:themeColor="text1"/>
          <w:sz w:val="20"/>
          <w:szCs w:val="20"/>
          <w:lang w:val="es-ES"/>
        </w:rPr>
        <w:t>S</w:t>
      </w:r>
      <w:r w:rsidR="008270F6" w:rsidRPr="00156477">
        <w:rPr>
          <w:rFonts w:ascii="Cambria" w:hAnsi="Cambria"/>
          <w:color w:val="000000" w:themeColor="text1"/>
          <w:sz w:val="20"/>
          <w:szCs w:val="20"/>
          <w:lang w:val="es-ES"/>
        </w:rPr>
        <w:t>in embargo</w:t>
      </w:r>
      <w:r w:rsidR="00AD7C3A" w:rsidRPr="00156477">
        <w:rPr>
          <w:rFonts w:ascii="Cambria" w:hAnsi="Cambria"/>
          <w:color w:val="000000" w:themeColor="text1"/>
          <w:sz w:val="20"/>
          <w:szCs w:val="20"/>
          <w:lang w:val="es-ES"/>
        </w:rPr>
        <w:t>,</w:t>
      </w:r>
      <w:r w:rsidR="008270F6" w:rsidRPr="00156477">
        <w:rPr>
          <w:rFonts w:ascii="Cambria" w:hAnsi="Cambria"/>
          <w:color w:val="000000" w:themeColor="text1"/>
          <w:sz w:val="20"/>
          <w:szCs w:val="20"/>
          <w:lang w:val="es-ES"/>
        </w:rPr>
        <w:t xml:space="preserve"> las solicitudes de los señores Mykoo y Montique </w:t>
      </w:r>
      <w:r w:rsidR="002E4913" w:rsidRPr="00156477">
        <w:rPr>
          <w:rFonts w:ascii="Cambria" w:hAnsi="Cambria"/>
          <w:color w:val="000000" w:themeColor="text1"/>
          <w:sz w:val="20"/>
          <w:szCs w:val="20"/>
          <w:lang w:val="es-ES"/>
        </w:rPr>
        <w:t xml:space="preserve">fueron </w:t>
      </w:r>
      <w:r w:rsidR="008270F6" w:rsidRPr="00156477">
        <w:rPr>
          <w:rFonts w:ascii="Cambria" w:hAnsi="Cambria"/>
          <w:color w:val="000000" w:themeColor="text1"/>
          <w:sz w:val="20"/>
          <w:szCs w:val="20"/>
          <w:lang w:val="es-ES"/>
        </w:rPr>
        <w:t xml:space="preserve">rechazadas mientras que la del señor Daley </w:t>
      </w:r>
      <w:r w:rsidR="002E4913" w:rsidRPr="00156477">
        <w:rPr>
          <w:rFonts w:ascii="Cambria" w:hAnsi="Cambria"/>
          <w:color w:val="000000" w:themeColor="text1"/>
          <w:sz w:val="20"/>
          <w:szCs w:val="20"/>
          <w:lang w:val="es-ES"/>
        </w:rPr>
        <w:t xml:space="preserve">seguía </w:t>
      </w:r>
      <w:r w:rsidR="008270F6" w:rsidRPr="00156477">
        <w:rPr>
          <w:rFonts w:ascii="Cambria" w:hAnsi="Cambria"/>
          <w:color w:val="000000" w:themeColor="text1"/>
          <w:sz w:val="20"/>
          <w:szCs w:val="20"/>
          <w:lang w:val="es-ES"/>
        </w:rPr>
        <w:t>pendiente</w:t>
      </w:r>
      <w:r w:rsidR="002E4913" w:rsidRPr="00156477">
        <w:rPr>
          <w:rStyle w:val="FootnoteReference"/>
          <w:rFonts w:ascii="Cambria" w:hAnsi="Cambria"/>
          <w:color w:val="000000" w:themeColor="text1"/>
          <w:sz w:val="20"/>
          <w:szCs w:val="20"/>
          <w:lang w:val="es-ES"/>
        </w:rPr>
        <w:footnoteReference w:id="4"/>
      </w:r>
      <w:r w:rsidR="002E4913" w:rsidRPr="00156477">
        <w:rPr>
          <w:rFonts w:ascii="Cambria" w:hAnsi="Cambria"/>
          <w:color w:val="000000" w:themeColor="text1"/>
          <w:sz w:val="20"/>
          <w:szCs w:val="20"/>
          <w:lang w:val="es-ES"/>
        </w:rPr>
        <w:t>.</w:t>
      </w:r>
      <w:r w:rsidR="00602DDE" w:rsidRPr="00156477">
        <w:rPr>
          <w:rFonts w:ascii="Cambria" w:hAnsi="Cambria"/>
          <w:color w:val="000000" w:themeColor="text1"/>
          <w:sz w:val="20"/>
          <w:szCs w:val="20"/>
          <w:lang w:val="es-ES"/>
        </w:rPr>
        <w:t xml:space="preserve"> Asimismo, el Estado indicó que consideró como vaga e incoherente la mención hecha por la CIDH en cuanto a otorgar una indemnización a las víctimas, aclarando que el tipo de compensación dependería del objetivo para el cual se otorga, lo cual no habría sido establecido por la Comisión. El Estado expresó que si bien</w:t>
      </w:r>
      <w:r w:rsidR="00F460D8" w:rsidRPr="00156477">
        <w:rPr>
          <w:rFonts w:ascii="Cambria" w:hAnsi="Cambria"/>
          <w:color w:val="000000" w:themeColor="text1"/>
          <w:sz w:val="20"/>
          <w:szCs w:val="20"/>
          <w:lang w:val="es-ES"/>
        </w:rPr>
        <w:t>,</w:t>
      </w:r>
      <w:r w:rsidR="00602DDE" w:rsidRPr="00156477">
        <w:rPr>
          <w:rFonts w:ascii="Cambria" w:hAnsi="Cambria"/>
          <w:color w:val="000000" w:themeColor="text1"/>
          <w:sz w:val="20"/>
          <w:szCs w:val="20"/>
          <w:lang w:val="es-ES"/>
        </w:rPr>
        <w:t xml:space="preserve"> debido a la sentencia del Consejo Privado en el caso </w:t>
      </w:r>
      <w:r w:rsidR="00602DDE" w:rsidRPr="00156477">
        <w:rPr>
          <w:rFonts w:ascii="Cambria" w:hAnsi="Cambria"/>
          <w:i/>
          <w:color w:val="000000" w:themeColor="text1"/>
          <w:sz w:val="20"/>
          <w:szCs w:val="20"/>
          <w:lang w:val="es-ES"/>
        </w:rPr>
        <w:t>Lambert Watson v. Jamaica (2004)</w:t>
      </w:r>
      <w:r w:rsidR="00855E60" w:rsidRPr="00156477">
        <w:rPr>
          <w:rStyle w:val="FootnoteReference"/>
          <w:rFonts w:ascii="Cambria" w:hAnsi="Cambria"/>
          <w:color w:val="000000" w:themeColor="text1"/>
          <w:sz w:val="20"/>
          <w:szCs w:val="20"/>
          <w:lang w:val="es-ES"/>
        </w:rPr>
        <w:footnoteReference w:id="5"/>
      </w:r>
      <w:r w:rsidR="00602DDE" w:rsidRPr="00156477">
        <w:rPr>
          <w:rFonts w:ascii="Cambria" w:hAnsi="Cambria"/>
          <w:color w:val="000000" w:themeColor="text1"/>
          <w:sz w:val="20"/>
          <w:szCs w:val="20"/>
          <w:lang w:val="es-ES"/>
        </w:rPr>
        <w:t xml:space="preserve"> las leyes fueron reformadas, antes de dicha sentencia la imposición de la pena de muerte en casos como el presente era obligatoria, por lo tanto solo se contemplaría una compensación para las personas sentenciadas a pena de muerte con posterioridad a la mencionada sentencia del Consejo Privado, y que en este caso, la compensación ya había sido cumplida por haber conmutado la</w:t>
      </w:r>
      <w:r w:rsidR="00A0185E" w:rsidRPr="00156477">
        <w:rPr>
          <w:rFonts w:ascii="Cambria" w:hAnsi="Cambria"/>
          <w:color w:val="000000" w:themeColor="text1"/>
          <w:sz w:val="20"/>
          <w:szCs w:val="20"/>
          <w:lang w:val="es-ES"/>
        </w:rPr>
        <w:t>s</w:t>
      </w:r>
      <w:r w:rsidR="00602DDE" w:rsidRPr="00156477">
        <w:rPr>
          <w:rFonts w:ascii="Cambria" w:hAnsi="Cambria"/>
          <w:color w:val="000000" w:themeColor="text1"/>
          <w:sz w:val="20"/>
          <w:szCs w:val="20"/>
          <w:lang w:val="es-ES"/>
        </w:rPr>
        <w:t xml:space="preserve"> pena</w:t>
      </w:r>
      <w:r w:rsidR="00A0185E" w:rsidRPr="00156477">
        <w:rPr>
          <w:rFonts w:ascii="Cambria" w:hAnsi="Cambria"/>
          <w:color w:val="000000" w:themeColor="text1"/>
          <w:sz w:val="20"/>
          <w:szCs w:val="20"/>
          <w:lang w:val="es-ES"/>
        </w:rPr>
        <w:t>s</w:t>
      </w:r>
      <w:r w:rsidR="00602DDE" w:rsidRPr="00156477">
        <w:rPr>
          <w:rStyle w:val="FootnoteReference"/>
          <w:rFonts w:ascii="Cambria" w:hAnsi="Cambria"/>
          <w:color w:val="000000" w:themeColor="text1"/>
          <w:sz w:val="20"/>
          <w:szCs w:val="20"/>
          <w:lang w:val="es-ES"/>
        </w:rPr>
        <w:footnoteReference w:id="6"/>
      </w:r>
      <w:r w:rsidR="00602DDE" w:rsidRPr="00156477">
        <w:rPr>
          <w:rFonts w:ascii="Cambria" w:hAnsi="Cambria"/>
          <w:color w:val="000000" w:themeColor="text1"/>
          <w:sz w:val="20"/>
          <w:szCs w:val="20"/>
          <w:lang w:val="es-ES"/>
        </w:rPr>
        <w:t>.</w:t>
      </w:r>
    </w:p>
    <w:p w14:paraId="14A7CE26" w14:textId="77777777" w:rsidR="006C0045" w:rsidRPr="00156477" w:rsidRDefault="006C0045" w:rsidP="00AC5985">
      <w:pPr>
        <w:spacing w:after="0" w:line="240" w:lineRule="auto"/>
        <w:ind w:left="720"/>
        <w:jc w:val="both"/>
        <w:rPr>
          <w:rFonts w:ascii="Cambria" w:hAnsi="Cambria"/>
          <w:color w:val="000000" w:themeColor="text1"/>
          <w:sz w:val="20"/>
          <w:szCs w:val="20"/>
          <w:lang w:val="es-ES"/>
        </w:rPr>
      </w:pPr>
    </w:p>
    <w:p w14:paraId="049C47CC" w14:textId="77777777" w:rsidR="00A341C9" w:rsidRPr="00156477" w:rsidRDefault="00A341C9" w:rsidP="00AC5985">
      <w:pPr>
        <w:numPr>
          <w:ilvl w:val="0"/>
          <w:numId w:val="8"/>
        </w:numPr>
        <w:spacing w:after="0" w:line="240" w:lineRule="auto"/>
        <w:ind w:left="0" w:firstLine="720"/>
        <w:jc w:val="both"/>
        <w:rPr>
          <w:rFonts w:ascii="Cambria" w:hAnsi="Cambria"/>
          <w:color w:val="000000" w:themeColor="text1"/>
          <w:sz w:val="20"/>
          <w:szCs w:val="20"/>
          <w:lang w:val="es-ES"/>
        </w:rPr>
      </w:pPr>
      <w:r w:rsidRPr="00156477">
        <w:rPr>
          <w:rFonts w:ascii="Cambria" w:hAnsi="Cambria" w:cs="Calibri Light"/>
          <w:color w:val="000000" w:themeColor="text1"/>
          <w:sz w:val="20"/>
          <w:szCs w:val="20"/>
          <w:lang w:val="es-ES"/>
        </w:rPr>
        <w:t>Durante 2019</w:t>
      </w:r>
      <w:r w:rsidR="00AD7C3A" w:rsidRPr="00156477">
        <w:rPr>
          <w:rFonts w:ascii="Cambria" w:hAnsi="Cambria" w:cs="Calibri Light"/>
          <w:color w:val="000000" w:themeColor="text1"/>
          <w:sz w:val="20"/>
          <w:szCs w:val="20"/>
          <w:lang w:val="es-ES"/>
        </w:rPr>
        <w:t>,</w:t>
      </w:r>
      <w:r w:rsidRPr="00156477">
        <w:rPr>
          <w:rFonts w:ascii="Cambria" w:hAnsi="Cambria" w:cs="Calibri Light"/>
          <w:color w:val="000000" w:themeColor="text1"/>
          <w:sz w:val="20"/>
          <w:szCs w:val="20"/>
          <w:lang w:val="es-ES"/>
        </w:rPr>
        <w:t xml:space="preserve"> el Estado reiteró información sobre la conmutación de las penas impuest</w:t>
      </w:r>
      <w:r w:rsidR="006C0045" w:rsidRPr="00156477">
        <w:rPr>
          <w:rFonts w:ascii="Cambria" w:hAnsi="Cambria" w:cs="Calibri Light"/>
          <w:color w:val="000000" w:themeColor="text1"/>
          <w:sz w:val="20"/>
          <w:szCs w:val="20"/>
          <w:lang w:val="es-ES"/>
        </w:rPr>
        <w:t xml:space="preserve">as a las víctimas del presente caso. Informó que los señores </w:t>
      </w:r>
      <w:proofErr w:type="spellStart"/>
      <w:r w:rsidR="006C0045" w:rsidRPr="00156477">
        <w:rPr>
          <w:rFonts w:ascii="Cambria" w:hAnsi="Cambria" w:cs="Calibri Light"/>
          <w:color w:val="000000" w:themeColor="text1"/>
          <w:sz w:val="20"/>
          <w:szCs w:val="20"/>
          <w:lang w:val="es-ES"/>
        </w:rPr>
        <w:t>Lamey</w:t>
      </w:r>
      <w:proofErr w:type="spellEnd"/>
      <w:r w:rsidR="006C0045" w:rsidRPr="00156477">
        <w:rPr>
          <w:rFonts w:ascii="Cambria" w:hAnsi="Cambria" w:cs="Calibri Light"/>
          <w:color w:val="000000" w:themeColor="text1"/>
          <w:sz w:val="20"/>
          <w:szCs w:val="20"/>
          <w:lang w:val="es-ES"/>
        </w:rPr>
        <w:t xml:space="preserve">, </w:t>
      </w:r>
      <w:proofErr w:type="spellStart"/>
      <w:r w:rsidR="006C0045" w:rsidRPr="00156477">
        <w:rPr>
          <w:rFonts w:ascii="Cambria" w:hAnsi="Cambria" w:cs="Calibri Light"/>
          <w:color w:val="000000" w:themeColor="text1"/>
          <w:sz w:val="20"/>
          <w:szCs w:val="20"/>
          <w:lang w:val="es-ES"/>
        </w:rPr>
        <w:t>Mykoo</w:t>
      </w:r>
      <w:proofErr w:type="spellEnd"/>
      <w:r w:rsidR="006C0045" w:rsidRPr="00156477">
        <w:rPr>
          <w:rFonts w:ascii="Cambria" w:hAnsi="Cambria" w:cs="Calibri Light"/>
          <w:color w:val="000000" w:themeColor="text1"/>
          <w:sz w:val="20"/>
          <w:szCs w:val="20"/>
          <w:lang w:val="es-ES"/>
        </w:rPr>
        <w:t xml:space="preserve">, Montique y </w:t>
      </w:r>
      <w:proofErr w:type="spellStart"/>
      <w:r w:rsidR="006C0045" w:rsidRPr="00156477">
        <w:rPr>
          <w:rFonts w:ascii="Cambria" w:hAnsi="Cambria" w:cs="Calibri Light"/>
          <w:color w:val="000000" w:themeColor="text1"/>
          <w:sz w:val="20"/>
          <w:szCs w:val="20"/>
          <w:lang w:val="es-ES"/>
        </w:rPr>
        <w:t>Daley</w:t>
      </w:r>
      <w:proofErr w:type="spellEnd"/>
      <w:r w:rsidR="006C0045" w:rsidRPr="00156477">
        <w:rPr>
          <w:rFonts w:ascii="Cambria" w:hAnsi="Cambria" w:cs="Calibri Light"/>
          <w:color w:val="000000" w:themeColor="text1"/>
          <w:sz w:val="20"/>
          <w:szCs w:val="20"/>
          <w:lang w:val="es-ES"/>
        </w:rPr>
        <w:t xml:space="preserve"> fueron beneficiados con la libertad condicional. Sin embargo, el Estado se refirió ampliamente a la indemnización ordenada por la CIDH. Al respecto, el Estado precisó que</w:t>
      </w:r>
      <w:r w:rsidR="00C03331" w:rsidRPr="00156477">
        <w:rPr>
          <w:rFonts w:ascii="Cambria" w:hAnsi="Cambria" w:cs="Calibri Light"/>
          <w:color w:val="000000" w:themeColor="text1"/>
          <w:sz w:val="20"/>
          <w:szCs w:val="20"/>
          <w:lang w:val="es-ES"/>
        </w:rPr>
        <w:t>,</w:t>
      </w:r>
      <w:r w:rsidR="006C0045" w:rsidRPr="00156477">
        <w:rPr>
          <w:rFonts w:ascii="Cambria" w:hAnsi="Cambria" w:cs="Calibri Light"/>
          <w:color w:val="000000" w:themeColor="text1"/>
          <w:sz w:val="20"/>
          <w:szCs w:val="20"/>
          <w:lang w:val="es-ES"/>
        </w:rPr>
        <w:t xml:space="preserve"> de acuerdo con diversos precedentes emitido</w:t>
      </w:r>
      <w:r w:rsidR="00C03331" w:rsidRPr="00156477">
        <w:rPr>
          <w:rFonts w:ascii="Cambria" w:hAnsi="Cambria" w:cs="Calibri Light"/>
          <w:color w:val="000000" w:themeColor="text1"/>
          <w:sz w:val="20"/>
          <w:szCs w:val="20"/>
          <w:lang w:val="es-ES"/>
        </w:rPr>
        <w:t>s</w:t>
      </w:r>
      <w:r w:rsidR="006C0045" w:rsidRPr="00156477">
        <w:rPr>
          <w:rFonts w:ascii="Cambria" w:hAnsi="Cambria" w:cs="Calibri Light"/>
          <w:color w:val="000000" w:themeColor="text1"/>
          <w:sz w:val="20"/>
          <w:szCs w:val="20"/>
          <w:lang w:val="es-ES"/>
        </w:rPr>
        <w:t xml:space="preserve"> por la Corte Interamericana de Derechos Humanos</w:t>
      </w:r>
      <w:r w:rsidR="00C03331" w:rsidRPr="00156477">
        <w:rPr>
          <w:rFonts w:ascii="Cambria" w:hAnsi="Cambria" w:cs="Calibri Light"/>
          <w:color w:val="000000" w:themeColor="text1"/>
          <w:sz w:val="20"/>
          <w:szCs w:val="20"/>
          <w:lang w:val="es-ES"/>
        </w:rPr>
        <w:t>,</w:t>
      </w:r>
      <w:r w:rsidR="006C0045" w:rsidRPr="00156477">
        <w:rPr>
          <w:rFonts w:ascii="Cambria" w:hAnsi="Cambria" w:cs="Calibri Light"/>
          <w:color w:val="000000" w:themeColor="text1"/>
          <w:sz w:val="20"/>
          <w:szCs w:val="20"/>
          <w:lang w:val="es-ES"/>
        </w:rPr>
        <w:t xml:space="preserve"> una reparación adecuada en el marco de casos vinculados con el establecimiento de la pena de muerte no necesariamente se traduce en el pago de una indemnización monetaria</w:t>
      </w:r>
      <w:r w:rsidR="00803BB1" w:rsidRPr="00156477">
        <w:rPr>
          <w:rFonts w:ascii="Cambria" w:hAnsi="Cambria" w:cs="Calibri Light"/>
          <w:color w:val="000000" w:themeColor="text1"/>
          <w:sz w:val="20"/>
          <w:szCs w:val="20"/>
          <w:lang w:val="es-ES"/>
        </w:rPr>
        <w:t>, sino que puede lograrse mediante formas no pecuniarias de reparación</w:t>
      </w:r>
      <w:r w:rsidR="006C0045" w:rsidRPr="00156477">
        <w:rPr>
          <w:rFonts w:ascii="Cambria" w:hAnsi="Cambria" w:cs="Calibri Light"/>
          <w:color w:val="000000" w:themeColor="text1"/>
          <w:sz w:val="20"/>
          <w:szCs w:val="20"/>
          <w:lang w:val="es-ES"/>
        </w:rPr>
        <w:t xml:space="preserve">. A juicio del Estado, la recomendación emitida por la CIDH </w:t>
      </w:r>
      <w:r w:rsidR="00803BB1" w:rsidRPr="00156477">
        <w:rPr>
          <w:rFonts w:ascii="Cambria" w:hAnsi="Cambria" w:cs="Calibri Light"/>
          <w:color w:val="000000" w:themeColor="text1"/>
          <w:sz w:val="20"/>
          <w:szCs w:val="20"/>
          <w:lang w:val="es-ES"/>
        </w:rPr>
        <w:t>resulta poco clara en la medida en que el Informe No</w:t>
      </w:r>
      <w:r w:rsidR="00F460D8" w:rsidRPr="00156477">
        <w:rPr>
          <w:rFonts w:ascii="Cambria" w:hAnsi="Cambria" w:cs="Calibri Light"/>
          <w:color w:val="000000" w:themeColor="text1"/>
          <w:sz w:val="20"/>
          <w:szCs w:val="20"/>
          <w:lang w:val="es-ES"/>
        </w:rPr>
        <w:t>.</w:t>
      </w:r>
      <w:r w:rsidR="00803BB1" w:rsidRPr="00156477">
        <w:rPr>
          <w:rFonts w:ascii="Cambria" w:hAnsi="Cambria" w:cs="Calibri Light"/>
          <w:color w:val="000000" w:themeColor="text1"/>
          <w:sz w:val="20"/>
          <w:szCs w:val="20"/>
          <w:lang w:val="es-ES"/>
        </w:rPr>
        <w:t xml:space="preserve"> 49/01 no identifica ninguna afectación material a las víctimas derivada de la imposición de la pena muerte. Por lo tanto, de acuerdo con la postura del Estado, la reparación adecuada para las víctimas de este caso consistiría en la conmutación de la pena y en la adopción de reformas legales, acciones que</w:t>
      </w:r>
      <w:r w:rsidR="00F460D8" w:rsidRPr="00156477">
        <w:rPr>
          <w:rFonts w:ascii="Cambria" w:hAnsi="Cambria" w:cs="Calibri Light"/>
          <w:color w:val="000000" w:themeColor="text1"/>
          <w:sz w:val="20"/>
          <w:szCs w:val="20"/>
          <w:lang w:val="es-ES"/>
        </w:rPr>
        <w:t>,</w:t>
      </w:r>
      <w:r w:rsidR="00803BB1" w:rsidRPr="00156477">
        <w:rPr>
          <w:rFonts w:ascii="Cambria" w:hAnsi="Cambria" w:cs="Calibri Light"/>
          <w:color w:val="000000" w:themeColor="text1"/>
          <w:sz w:val="20"/>
          <w:szCs w:val="20"/>
          <w:lang w:val="es-ES"/>
        </w:rPr>
        <w:t xml:space="preserve"> según el Estado</w:t>
      </w:r>
      <w:r w:rsidR="00F460D8" w:rsidRPr="00156477">
        <w:rPr>
          <w:rFonts w:ascii="Cambria" w:hAnsi="Cambria" w:cs="Calibri Light"/>
          <w:color w:val="000000" w:themeColor="text1"/>
          <w:sz w:val="20"/>
          <w:szCs w:val="20"/>
          <w:lang w:val="es-ES"/>
        </w:rPr>
        <w:t>,</w:t>
      </w:r>
      <w:r w:rsidR="00803BB1" w:rsidRPr="00156477">
        <w:rPr>
          <w:rFonts w:ascii="Cambria" w:hAnsi="Cambria" w:cs="Calibri Light"/>
          <w:color w:val="000000" w:themeColor="text1"/>
          <w:sz w:val="20"/>
          <w:szCs w:val="20"/>
          <w:lang w:val="es-ES"/>
        </w:rPr>
        <w:t xml:space="preserve"> ya ha llevado a cabo. </w:t>
      </w:r>
      <w:r w:rsidR="006C0045" w:rsidRPr="00156477">
        <w:rPr>
          <w:rFonts w:ascii="Cambria" w:hAnsi="Cambria" w:cs="Calibri Light"/>
          <w:color w:val="000000" w:themeColor="text1"/>
          <w:sz w:val="20"/>
          <w:szCs w:val="20"/>
          <w:lang w:val="es-ES"/>
        </w:rPr>
        <w:t xml:space="preserve">  </w:t>
      </w:r>
    </w:p>
    <w:p w14:paraId="7A7B153A" w14:textId="77777777" w:rsidR="00B40CAB" w:rsidRPr="00156477" w:rsidRDefault="00B40CAB" w:rsidP="00AC5985">
      <w:pPr>
        <w:spacing w:after="0" w:line="240" w:lineRule="auto"/>
        <w:ind w:left="720"/>
        <w:jc w:val="both"/>
        <w:rPr>
          <w:rFonts w:ascii="Cambria" w:hAnsi="Cambria"/>
          <w:color w:val="000000" w:themeColor="text1"/>
          <w:sz w:val="20"/>
          <w:szCs w:val="20"/>
          <w:lang w:val="es-ES"/>
        </w:rPr>
      </w:pPr>
    </w:p>
    <w:p w14:paraId="5EEA5425" w14:textId="77777777" w:rsidR="00535317" w:rsidRPr="00156477" w:rsidRDefault="00B40CAB" w:rsidP="00AC5985">
      <w:pPr>
        <w:numPr>
          <w:ilvl w:val="0"/>
          <w:numId w:val="8"/>
        </w:numPr>
        <w:spacing w:after="0" w:line="240" w:lineRule="auto"/>
        <w:ind w:left="0" w:firstLine="720"/>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En 2020</w:t>
      </w:r>
      <w:r w:rsidR="00812303" w:rsidRPr="00156477">
        <w:rPr>
          <w:rFonts w:ascii="Cambria" w:hAnsi="Cambria"/>
          <w:color w:val="000000" w:themeColor="text1"/>
          <w:sz w:val="20"/>
          <w:szCs w:val="20"/>
          <w:lang w:val="es-ES"/>
        </w:rPr>
        <w:t xml:space="preserve"> y en 2021</w:t>
      </w:r>
      <w:r w:rsidRPr="00156477">
        <w:rPr>
          <w:rFonts w:ascii="Cambria" w:hAnsi="Cambria"/>
          <w:color w:val="000000" w:themeColor="text1"/>
          <w:sz w:val="20"/>
          <w:szCs w:val="20"/>
          <w:lang w:val="es-ES"/>
        </w:rPr>
        <w:t xml:space="preserve">, el Estado </w:t>
      </w:r>
      <w:r w:rsidR="00C03331" w:rsidRPr="00156477">
        <w:rPr>
          <w:rFonts w:ascii="Cambria" w:hAnsi="Cambria"/>
          <w:color w:val="000000" w:themeColor="text1"/>
          <w:sz w:val="20"/>
          <w:szCs w:val="20"/>
          <w:lang w:val="es-ES"/>
        </w:rPr>
        <w:t xml:space="preserve">reiteró su posición manifestando que </w:t>
      </w:r>
      <w:r w:rsidRPr="00156477">
        <w:rPr>
          <w:rFonts w:ascii="Cambria" w:hAnsi="Cambria"/>
          <w:color w:val="000000" w:themeColor="text1"/>
          <w:sz w:val="20"/>
          <w:szCs w:val="20"/>
          <w:lang w:val="es-ES"/>
        </w:rPr>
        <w:t xml:space="preserve">la indemnización </w:t>
      </w:r>
      <w:r w:rsidR="00D65692" w:rsidRPr="00156477">
        <w:rPr>
          <w:rFonts w:ascii="Cambria" w:hAnsi="Cambria"/>
          <w:color w:val="000000" w:themeColor="text1"/>
          <w:sz w:val="20"/>
          <w:szCs w:val="20"/>
          <w:lang w:val="es-ES"/>
        </w:rPr>
        <w:t>del</w:t>
      </w:r>
      <w:r w:rsidRPr="00156477">
        <w:rPr>
          <w:rFonts w:ascii="Cambria" w:hAnsi="Cambria"/>
          <w:color w:val="000000" w:themeColor="text1"/>
          <w:sz w:val="20"/>
          <w:szCs w:val="20"/>
          <w:lang w:val="es-ES"/>
        </w:rPr>
        <w:t xml:space="preserve"> daño moral no tiene </w:t>
      </w:r>
      <w:r w:rsidR="00C03331" w:rsidRPr="00156477">
        <w:rPr>
          <w:rFonts w:ascii="Cambria" w:hAnsi="Cambria"/>
          <w:color w:val="000000" w:themeColor="text1"/>
          <w:sz w:val="20"/>
          <w:szCs w:val="20"/>
          <w:lang w:val="es-ES"/>
        </w:rPr>
        <w:t xml:space="preserve">que garantizarse necesariamente mediante </w:t>
      </w:r>
      <w:r w:rsidR="00D65692" w:rsidRPr="00156477">
        <w:rPr>
          <w:rFonts w:ascii="Cambria" w:hAnsi="Cambria"/>
          <w:color w:val="000000" w:themeColor="text1"/>
          <w:sz w:val="20"/>
          <w:szCs w:val="20"/>
          <w:lang w:val="es-ES"/>
        </w:rPr>
        <w:t>el</w:t>
      </w:r>
      <w:r w:rsidRPr="00156477">
        <w:rPr>
          <w:rFonts w:ascii="Cambria" w:hAnsi="Cambria"/>
          <w:color w:val="000000" w:themeColor="text1"/>
          <w:sz w:val="20"/>
          <w:szCs w:val="20"/>
          <w:lang w:val="es-ES"/>
        </w:rPr>
        <w:t xml:space="preserve"> pago</w:t>
      </w:r>
      <w:r w:rsidR="00D65692" w:rsidRPr="00156477">
        <w:rPr>
          <w:rFonts w:ascii="Cambria" w:hAnsi="Cambria"/>
          <w:color w:val="000000" w:themeColor="text1"/>
          <w:sz w:val="20"/>
          <w:szCs w:val="20"/>
          <w:lang w:val="es-ES"/>
        </w:rPr>
        <w:t xml:space="preserve"> de una indemnización</w:t>
      </w:r>
      <w:r w:rsidRPr="00156477">
        <w:rPr>
          <w:rFonts w:ascii="Cambria" w:hAnsi="Cambria"/>
          <w:color w:val="000000" w:themeColor="text1"/>
          <w:sz w:val="20"/>
          <w:szCs w:val="20"/>
          <w:lang w:val="es-ES"/>
        </w:rPr>
        <w:t xml:space="preserve"> monetari</w:t>
      </w:r>
      <w:r w:rsidR="00D65692" w:rsidRPr="00156477">
        <w:rPr>
          <w:rFonts w:ascii="Cambria" w:hAnsi="Cambria"/>
          <w:color w:val="000000" w:themeColor="text1"/>
          <w:sz w:val="20"/>
          <w:szCs w:val="20"/>
          <w:lang w:val="es-ES"/>
        </w:rPr>
        <w:t>a, sino</w:t>
      </w:r>
      <w:r w:rsidR="00C03331" w:rsidRPr="00156477">
        <w:rPr>
          <w:rFonts w:ascii="Cambria" w:hAnsi="Cambria"/>
          <w:color w:val="000000" w:themeColor="text1"/>
          <w:sz w:val="20"/>
          <w:szCs w:val="20"/>
          <w:lang w:val="es-ES"/>
        </w:rPr>
        <w:t xml:space="preserve"> que puede</w:t>
      </w:r>
      <w:r w:rsidRPr="00156477">
        <w:rPr>
          <w:rFonts w:ascii="Cambria" w:hAnsi="Cambria"/>
          <w:color w:val="000000" w:themeColor="text1"/>
          <w:sz w:val="20"/>
          <w:szCs w:val="20"/>
          <w:lang w:val="es-ES"/>
        </w:rPr>
        <w:t xml:space="preserve"> </w:t>
      </w:r>
      <w:r w:rsidR="00E64A05" w:rsidRPr="00156477">
        <w:rPr>
          <w:rFonts w:ascii="Cambria" w:hAnsi="Cambria"/>
          <w:color w:val="000000" w:themeColor="text1"/>
          <w:sz w:val="20"/>
          <w:szCs w:val="20"/>
          <w:lang w:val="es-ES"/>
        </w:rPr>
        <w:t>asegurarse</w:t>
      </w:r>
      <w:r w:rsidRPr="00156477">
        <w:rPr>
          <w:rFonts w:ascii="Cambria" w:hAnsi="Cambria"/>
          <w:color w:val="000000" w:themeColor="text1"/>
          <w:sz w:val="20"/>
          <w:szCs w:val="20"/>
          <w:lang w:val="es-ES"/>
        </w:rPr>
        <w:t xml:space="preserve"> </w:t>
      </w:r>
      <w:r w:rsidR="00C03331" w:rsidRPr="00156477">
        <w:rPr>
          <w:rFonts w:ascii="Cambria" w:hAnsi="Cambria"/>
          <w:color w:val="000000" w:themeColor="text1"/>
          <w:sz w:val="20"/>
          <w:szCs w:val="20"/>
          <w:lang w:val="es-ES"/>
        </w:rPr>
        <w:t xml:space="preserve">a través de la </w:t>
      </w:r>
      <w:r w:rsidRPr="00156477">
        <w:rPr>
          <w:rFonts w:ascii="Cambria" w:hAnsi="Cambria"/>
          <w:color w:val="000000" w:themeColor="text1"/>
          <w:sz w:val="20"/>
          <w:szCs w:val="20"/>
          <w:lang w:val="es-ES"/>
        </w:rPr>
        <w:t xml:space="preserve">prestación de servicios apropiados </w:t>
      </w:r>
      <w:r w:rsidR="00D65692" w:rsidRPr="00156477">
        <w:rPr>
          <w:rFonts w:ascii="Cambria" w:hAnsi="Cambria"/>
          <w:color w:val="000000" w:themeColor="text1"/>
          <w:sz w:val="20"/>
          <w:szCs w:val="20"/>
          <w:lang w:val="es-ES"/>
        </w:rPr>
        <w:t>de reparación</w:t>
      </w:r>
      <w:r w:rsidRPr="00156477">
        <w:rPr>
          <w:rFonts w:ascii="Cambria" w:hAnsi="Cambria"/>
          <w:color w:val="000000" w:themeColor="text1"/>
          <w:sz w:val="20"/>
          <w:szCs w:val="20"/>
          <w:lang w:val="es-ES"/>
        </w:rPr>
        <w:t>.</w:t>
      </w:r>
      <w:r w:rsidR="00C03331" w:rsidRPr="00156477">
        <w:rPr>
          <w:rFonts w:ascii="Cambria" w:hAnsi="Cambria"/>
          <w:color w:val="000000" w:themeColor="text1"/>
          <w:sz w:val="20"/>
          <w:szCs w:val="20"/>
          <w:lang w:val="es-ES"/>
        </w:rPr>
        <w:t xml:space="preserve"> Al respecto, indicó que</w:t>
      </w:r>
      <w:r w:rsidR="00615638" w:rsidRPr="00156477">
        <w:rPr>
          <w:rFonts w:ascii="Cambria" w:hAnsi="Cambria"/>
          <w:color w:val="000000" w:themeColor="text1"/>
          <w:sz w:val="20"/>
          <w:szCs w:val="20"/>
          <w:lang w:val="es-ES"/>
        </w:rPr>
        <w:t>,</w:t>
      </w:r>
      <w:r w:rsidR="00D65692" w:rsidRPr="00156477">
        <w:rPr>
          <w:rFonts w:ascii="Cambria" w:hAnsi="Cambria"/>
          <w:color w:val="000000" w:themeColor="text1"/>
          <w:sz w:val="20"/>
          <w:szCs w:val="20"/>
          <w:lang w:val="es-ES"/>
        </w:rPr>
        <w:t xml:space="preserve"> </w:t>
      </w:r>
      <w:bookmarkStart w:id="1" w:name="_Hlk87275781"/>
      <w:r w:rsidR="00D65692" w:rsidRPr="00156477">
        <w:rPr>
          <w:rFonts w:ascii="Cambria" w:hAnsi="Cambria"/>
          <w:color w:val="000000" w:themeColor="text1"/>
          <w:sz w:val="20"/>
          <w:szCs w:val="20"/>
          <w:lang w:val="es-ES"/>
        </w:rPr>
        <w:t xml:space="preserve">mediante la prestación de servicios médicos psicológicos o psiquiátricos adecuados en las instituciones penitenciarias ha proporcionado un sustituto apropiado </w:t>
      </w:r>
      <w:r w:rsidR="00E64A05" w:rsidRPr="00156477">
        <w:rPr>
          <w:rFonts w:ascii="Cambria" w:hAnsi="Cambria"/>
          <w:color w:val="000000" w:themeColor="text1"/>
          <w:sz w:val="20"/>
          <w:szCs w:val="20"/>
          <w:lang w:val="es-ES"/>
        </w:rPr>
        <w:t>a</w:t>
      </w:r>
      <w:r w:rsidR="00D65692" w:rsidRPr="00156477">
        <w:rPr>
          <w:rFonts w:ascii="Cambria" w:hAnsi="Cambria"/>
          <w:color w:val="000000" w:themeColor="text1"/>
          <w:sz w:val="20"/>
          <w:szCs w:val="20"/>
          <w:lang w:val="es-ES"/>
        </w:rPr>
        <w:t xml:space="preserve"> un pago monetario para reparar </w:t>
      </w:r>
      <w:r w:rsidR="00E64A05" w:rsidRPr="00156477">
        <w:rPr>
          <w:rFonts w:ascii="Cambria" w:hAnsi="Cambria"/>
          <w:color w:val="000000" w:themeColor="text1"/>
          <w:sz w:val="20"/>
          <w:szCs w:val="20"/>
          <w:lang w:val="es-ES"/>
        </w:rPr>
        <w:t>los perjuicios</w:t>
      </w:r>
      <w:r w:rsidR="00D65692" w:rsidRPr="00156477">
        <w:rPr>
          <w:rFonts w:ascii="Cambria" w:hAnsi="Cambria"/>
          <w:color w:val="000000" w:themeColor="text1"/>
          <w:sz w:val="20"/>
          <w:szCs w:val="20"/>
          <w:lang w:val="es-ES"/>
        </w:rPr>
        <w:t xml:space="preserve"> psicológicos que </w:t>
      </w:r>
      <w:r w:rsidR="00E64A05" w:rsidRPr="00156477">
        <w:rPr>
          <w:rFonts w:ascii="Cambria" w:hAnsi="Cambria"/>
          <w:color w:val="000000" w:themeColor="text1"/>
          <w:sz w:val="20"/>
          <w:szCs w:val="20"/>
          <w:lang w:val="es-ES"/>
        </w:rPr>
        <w:t>atienden a</w:t>
      </w:r>
      <w:r w:rsidR="00E64A05" w:rsidRPr="00156477">
        <w:rPr>
          <w:rFonts w:ascii="Cambria" w:hAnsi="Cambria"/>
          <w:color w:val="000000" w:themeColor="text1"/>
          <w:sz w:val="20"/>
          <w:szCs w:val="20"/>
          <w:lang w:val="es-CO"/>
        </w:rPr>
        <w:t xml:space="preserve"> daños morales sufridos</w:t>
      </w:r>
      <w:r w:rsidR="00D65692" w:rsidRPr="00156477">
        <w:rPr>
          <w:rFonts w:ascii="Cambria" w:hAnsi="Cambria"/>
          <w:color w:val="000000" w:themeColor="text1"/>
          <w:sz w:val="20"/>
          <w:szCs w:val="20"/>
          <w:lang w:val="es-ES"/>
        </w:rPr>
        <w:t xml:space="preserve"> cuando se está en el </w:t>
      </w:r>
      <w:r w:rsidR="00615638" w:rsidRPr="00156477">
        <w:rPr>
          <w:rFonts w:ascii="Cambria" w:hAnsi="Cambria"/>
          <w:color w:val="000000" w:themeColor="text1"/>
          <w:sz w:val="20"/>
          <w:szCs w:val="20"/>
          <w:lang w:val="es-ES"/>
        </w:rPr>
        <w:t>corredor de la muerte.</w:t>
      </w:r>
      <w:bookmarkEnd w:id="1"/>
      <w:r w:rsidR="00615638" w:rsidRPr="00156477">
        <w:rPr>
          <w:rFonts w:ascii="Cambria" w:hAnsi="Cambria"/>
          <w:color w:val="000000" w:themeColor="text1"/>
          <w:sz w:val="20"/>
          <w:szCs w:val="20"/>
          <w:lang w:val="es-ES"/>
        </w:rPr>
        <w:t xml:space="preserve"> </w:t>
      </w:r>
      <w:r w:rsidR="00D65692" w:rsidRPr="00156477">
        <w:rPr>
          <w:rFonts w:ascii="Cambria" w:hAnsi="Cambria"/>
          <w:color w:val="000000" w:themeColor="text1"/>
          <w:sz w:val="20"/>
          <w:szCs w:val="20"/>
          <w:lang w:val="es-ES"/>
        </w:rPr>
        <w:t xml:space="preserve">Asimismo, el Estado se refirió a la jurisprudencia de la Corte Interamericana de Derechos Humanos para sustentar que el pago monetario de una indemnización no es una forma esencial de reparación en casos similares </w:t>
      </w:r>
      <w:r w:rsidRPr="00156477">
        <w:rPr>
          <w:rFonts w:ascii="Cambria" w:hAnsi="Cambria"/>
          <w:color w:val="000000" w:themeColor="text1"/>
          <w:sz w:val="20"/>
          <w:szCs w:val="20"/>
          <w:lang w:val="es-ES"/>
        </w:rPr>
        <w:t>relacionados con la</w:t>
      </w:r>
      <w:r w:rsidR="00D65692" w:rsidRPr="00156477">
        <w:rPr>
          <w:rFonts w:ascii="Cambria" w:hAnsi="Cambria"/>
          <w:color w:val="000000" w:themeColor="text1"/>
          <w:sz w:val="20"/>
          <w:szCs w:val="20"/>
          <w:lang w:val="es-ES"/>
        </w:rPr>
        <w:t xml:space="preserve"> </w:t>
      </w:r>
      <w:r w:rsidRPr="00156477">
        <w:rPr>
          <w:rFonts w:ascii="Cambria" w:hAnsi="Cambria"/>
          <w:color w:val="000000" w:themeColor="text1"/>
          <w:sz w:val="20"/>
          <w:szCs w:val="20"/>
          <w:lang w:val="es-ES"/>
        </w:rPr>
        <w:t>pena de muerte obligatoria</w:t>
      </w:r>
      <w:r w:rsidR="00615638" w:rsidRPr="00156477">
        <w:rPr>
          <w:rFonts w:ascii="Cambria" w:hAnsi="Cambria"/>
          <w:color w:val="000000" w:themeColor="text1"/>
          <w:sz w:val="20"/>
          <w:szCs w:val="20"/>
          <w:lang w:val="es-ES"/>
        </w:rPr>
        <w:t xml:space="preserve"> y que, en su lugar, la Corte ha considerado la conmutación de la sentencia y las garantías de no repetición como un remedio adecuado </w:t>
      </w:r>
      <w:r w:rsidR="00E64A05" w:rsidRPr="00156477">
        <w:rPr>
          <w:rFonts w:ascii="Cambria" w:hAnsi="Cambria"/>
          <w:color w:val="000000" w:themeColor="text1"/>
          <w:sz w:val="20"/>
          <w:szCs w:val="20"/>
          <w:lang w:val="es-ES"/>
        </w:rPr>
        <w:t>a</w:t>
      </w:r>
      <w:r w:rsidR="00615638" w:rsidRPr="00156477">
        <w:rPr>
          <w:rFonts w:ascii="Cambria" w:hAnsi="Cambria"/>
          <w:color w:val="000000" w:themeColor="text1"/>
          <w:sz w:val="20"/>
          <w:szCs w:val="20"/>
          <w:lang w:val="es-ES"/>
        </w:rPr>
        <w:t xml:space="preserve"> estas circunstancias</w:t>
      </w:r>
      <w:r w:rsidRPr="00156477">
        <w:rPr>
          <w:rFonts w:ascii="Cambria" w:hAnsi="Cambria"/>
          <w:color w:val="000000" w:themeColor="text1"/>
          <w:sz w:val="20"/>
          <w:szCs w:val="20"/>
          <w:lang w:val="es-ES"/>
        </w:rPr>
        <w:t>.</w:t>
      </w:r>
      <w:r w:rsidR="00D65692" w:rsidRPr="00156477">
        <w:rPr>
          <w:rFonts w:ascii="Cambria" w:hAnsi="Cambria"/>
          <w:color w:val="000000" w:themeColor="text1"/>
          <w:sz w:val="20"/>
          <w:szCs w:val="20"/>
          <w:lang w:val="es-ES"/>
        </w:rPr>
        <w:t xml:space="preserve"> A partir de lo anterior, el Estado sostiene que ha garantizado un remedio efectivo en los términos de la recomendación, aunque no ha garantizado el pago de una indemnización. </w:t>
      </w:r>
    </w:p>
    <w:p w14:paraId="5EAAF5DE" w14:textId="77777777" w:rsidR="00D65692" w:rsidRPr="00156477" w:rsidRDefault="00D65692" w:rsidP="00AC5985">
      <w:pPr>
        <w:spacing w:after="0" w:line="240" w:lineRule="auto"/>
        <w:jc w:val="both"/>
        <w:rPr>
          <w:rFonts w:ascii="Cambria" w:hAnsi="Cambria"/>
          <w:color w:val="000000" w:themeColor="text1"/>
          <w:sz w:val="20"/>
          <w:szCs w:val="20"/>
          <w:lang w:val="es-CO"/>
        </w:rPr>
      </w:pPr>
    </w:p>
    <w:p w14:paraId="5FA72B1A" w14:textId="77777777" w:rsidR="00CB07E1" w:rsidRPr="00156477" w:rsidRDefault="00535317" w:rsidP="00AC5985">
      <w:pPr>
        <w:numPr>
          <w:ilvl w:val="0"/>
          <w:numId w:val="8"/>
        </w:numPr>
        <w:spacing w:after="0" w:line="240" w:lineRule="auto"/>
        <w:ind w:left="0" w:firstLine="720"/>
        <w:jc w:val="both"/>
        <w:rPr>
          <w:rFonts w:ascii="Cambria" w:hAnsi="Cambria"/>
          <w:color w:val="000000" w:themeColor="text1"/>
          <w:sz w:val="20"/>
          <w:szCs w:val="20"/>
          <w:lang w:val="es-CO"/>
        </w:rPr>
      </w:pPr>
      <w:r w:rsidRPr="00156477">
        <w:rPr>
          <w:rFonts w:ascii="Cambria" w:hAnsi="Cambria"/>
          <w:color w:val="000000" w:themeColor="text1"/>
          <w:sz w:val="20"/>
          <w:szCs w:val="20"/>
          <w:lang w:val="es-ES"/>
        </w:rPr>
        <w:t>En 2005, los peticionarios</w:t>
      </w:r>
      <w:r w:rsidR="001F5C41" w:rsidRPr="00156477">
        <w:rPr>
          <w:rFonts w:ascii="Cambria" w:hAnsi="Cambria"/>
          <w:color w:val="000000" w:themeColor="text1"/>
          <w:sz w:val="20"/>
          <w:szCs w:val="20"/>
          <w:lang w:val="es-ES"/>
        </w:rPr>
        <w:t>,</w:t>
      </w:r>
      <w:r w:rsidRPr="00156477">
        <w:rPr>
          <w:rFonts w:ascii="Cambria" w:hAnsi="Cambria"/>
          <w:color w:val="000000" w:themeColor="text1"/>
          <w:sz w:val="20"/>
          <w:szCs w:val="20"/>
          <w:lang w:val="es-ES"/>
        </w:rPr>
        <w:t xml:space="preserve"> </w:t>
      </w:r>
      <w:r w:rsidR="001F5C41" w:rsidRPr="00156477">
        <w:rPr>
          <w:rFonts w:ascii="Cambria" w:hAnsi="Cambria"/>
          <w:color w:val="000000" w:themeColor="text1"/>
          <w:sz w:val="20"/>
          <w:szCs w:val="20"/>
          <w:lang w:val="es-ES"/>
        </w:rPr>
        <w:t xml:space="preserve">en representación de </w:t>
      </w:r>
      <w:r w:rsidRPr="00156477">
        <w:rPr>
          <w:rFonts w:ascii="Cambria" w:hAnsi="Cambria"/>
          <w:color w:val="000000" w:themeColor="text1"/>
          <w:sz w:val="20"/>
          <w:szCs w:val="20"/>
          <w:lang w:val="es-ES"/>
        </w:rPr>
        <w:t>Dalton Daley, Milton Montique y Leroy Lamey</w:t>
      </w:r>
      <w:r w:rsidR="001F5C41" w:rsidRPr="00156477">
        <w:rPr>
          <w:rFonts w:ascii="Cambria" w:hAnsi="Cambria"/>
          <w:color w:val="000000" w:themeColor="text1"/>
          <w:sz w:val="20"/>
          <w:szCs w:val="20"/>
          <w:lang w:val="es-ES"/>
        </w:rPr>
        <w:t>,</w:t>
      </w:r>
      <w:r w:rsidRPr="00156477">
        <w:rPr>
          <w:rFonts w:ascii="Cambria" w:hAnsi="Cambria"/>
          <w:color w:val="000000" w:themeColor="text1"/>
          <w:sz w:val="20"/>
          <w:szCs w:val="20"/>
          <w:lang w:val="es-ES"/>
        </w:rPr>
        <w:t xml:space="preserve"> informaron a la Comisión que las sentencias de muerte contra los </w:t>
      </w:r>
      <w:r w:rsidR="00D31F07" w:rsidRPr="00156477">
        <w:rPr>
          <w:rFonts w:ascii="Cambria" w:hAnsi="Cambria"/>
          <w:color w:val="000000" w:themeColor="text1"/>
          <w:sz w:val="20"/>
          <w:szCs w:val="20"/>
          <w:lang w:val="es-ES"/>
        </w:rPr>
        <w:t>señores</w:t>
      </w:r>
      <w:r w:rsidRPr="00156477">
        <w:rPr>
          <w:rFonts w:ascii="Cambria" w:hAnsi="Cambria"/>
          <w:color w:val="000000" w:themeColor="text1"/>
          <w:sz w:val="20"/>
          <w:szCs w:val="20"/>
          <w:lang w:val="es-ES"/>
        </w:rPr>
        <w:t xml:space="preserve"> Daley, Montique y Lamey habían sido conmutadas por el Estado por penas de prisión perpetua en razón de que habían estado en espera de ser ejecutados más de cinco años y que, de acuerdo con la Ley de libertad condicional de Jamaica, estarían calificados para solicitar dicha libertad tras servir una condena de más de siete años pero de menos de diez a partir de la fecha de la conmutación de las sentencias</w:t>
      </w:r>
      <w:r w:rsidRPr="00156477">
        <w:rPr>
          <w:rStyle w:val="FootnoteReference"/>
          <w:rFonts w:ascii="Cambria" w:hAnsi="Cambria"/>
          <w:color w:val="000000" w:themeColor="text1"/>
          <w:sz w:val="20"/>
          <w:szCs w:val="20"/>
          <w:lang w:val="es-ES"/>
        </w:rPr>
        <w:footnoteReference w:id="7"/>
      </w:r>
      <w:r w:rsidRPr="00156477">
        <w:rPr>
          <w:rFonts w:ascii="Cambria" w:hAnsi="Cambria"/>
          <w:color w:val="000000" w:themeColor="text1"/>
          <w:sz w:val="20"/>
          <w:szCs w:val="20"/>
          <w:lang w:val="es-ES"/>
        </w:rPr>
        <w:t>.</w:t>
      </w:r>
      <w:r w:rsidR="006A05BC" w:rsidRPr="00156477">
        <w:rPr>
          <w:rFonts w:ascii="Cambria" w:hAnsi="Cambria"/>
          <w:color w:val="000000" w:themeColor="text1"/>
          <w:sz w:val="20"/>
          <w:szCs w:val="20"/>
          <w:lang w:val="es-ES"/>
        </w:rPr>
        <w:t xml:space="preserve"> </w:t>
      </w:r>
      <w:r w:rsidRPr="00156477">
        <w:rPr>
          <w:rFonts w:ascii="Cambria" w:hAnsi="Cambria"/>
          <w:color w:val="000000" w:themeColor="text1"/>
          <w:sz w:val="20"/>
          <w:szCs w:val="20"/>
          <w:lang w:val="es-ES"/>
        </w:rPr>
        <w:t>E</w:t>
      </w:r>
      <w:r w:rsidR="006A05BC" w:rsidRPr="00156477">
        <w:rPr>
          <w:rFonts w:ascii="Cambria" w:hAnsi="Cambria"/>
          <w:color w:val="000000" w:themeColor="text1"/>
          <w:sz w:val="20"/>
          <w:szCs w:val="20"/>
          <w:lang w:val="es-ES"/>
        </w:rPr>
        <w:t xml:space="preserve">n </w:t>
      </w:r>
      <w:r w:rsidRPr="00156477">
        <w:rPr>
          <w:rFonts w:ascii="Cambria" w:hAnsi="Cambria"/>
          <w:color w:val="000000" w:themeColor="text1"/>
          <w:sz w:val="20"/>
          <w:szCs w:val="20"/>
          <w:lang w:val="es-ES"/>
        </w:rPr>
        <w:t>2015, los peticionarios</w:t>
      </w:r>
      <w:r w:rsidR="001F5C41" w:rsidRPr="00156477">
        <w:rPr>
          <w:rFonts w:ascii="Cambria" w:hAnsi="Cambria"/>
          <w:color w:val="000000" w:themeColor="text1"/>
          <w:sz w:val="20"/>
          <w:szCs w:val="20"/>
          <w:lang w:val="es-ES"/>
        </w:rPr>
        <w:t xml:space="preserve">, en </w:t>
      </w:r>
      <w:r w:rsidR="009F605C" w:rsidRPr="00156477">
        <w:rPr>
          <w:rFonts w:ascii="Cambria" w:hAnsi="Cambria"/>
          <w:color w:val="000000" w:themeColor="text1"/>
          <w:sz w:val="20"/>
          <w:szCs w:val="20"/>
          <w:lang w:val="es-ES"/>
        </w:rPr>
        <w:t>representación</w:t>
      </w:r>
      <w:r w:rsidR="001F5C41" w:rsidRPr="00156477">
        <w:rPr>
          <w:rFonts w:ascii="Cambria" w:hAnsi="Cambria"/>
          <w:color w:val="000000" w:themeColor="text1"/>
          <w:sz w:val="20"/>
          <w:szCs w:val="20"/>
          <w:lang w:val="es-ES"/>
        </w:rPr>
        <w:t xml:space="preserve"> de</w:t>
      </w:r>
      <w:r w:rsidR="006A05BC" w:rsidRPr="00156477">
        <w:rPr>
          <w:rFonts w:ascii="Cambria" w:hAnsi="Cambria"/>
          <w:color w:val="000000" w:themeColor="text1"/>
          <w:sz w:val="20"/>
          <w:szCs w:val="20"/>
          <w:lang w:val="es-ES"/>
        </w:rPr>
        <w:t>l señor Leroy Lamey</w:t>
      </w:r>
      <w:r w:rsidR="001F5C41" w:rsidRPr="00156477">
        <w:rPr>
          <w:rFonts w:ascii="Cambria" w:hAnsi="Cambria"/>
          <w:color w:val="000000" w:themeColor="text1"/>
          <w:sz w:val="20"/>
          <w:szCs w:val="20"/>
          <w:lang w:val="es-ES"/>
        </w:rPr>
        <w:t>,</w:t>
      </w:r>
      <w:r w:rsidR="006A05BC" w:rsidRPr="00156477">
        <w:rPr>
          <w:rFonts w:ascii="Cambria" w:hAnsi="Cambria"/>
          <w:color w:val="000000" w:themeColor="text1"/>
          <w:sz w:val="20"/>
          <w:szCs w:val="20"/>
          <w:lang w:val="es-ES"/>
        </w:rPr>
        <w:t xml:space="preserve"> </w:t>
      </w:r>
      <w:r w:rsidRPr="00156477">
        <w:rPr>
          <w:rFonts w:ascii="Cambria" w:hAnsi="Cambria"/>
          <w:color w:val="000000" w:themeColor="text1"/>
          <w:sz w:val="20"/>
          <w:szCs w:val="20"/>
          <w:lang w:val="es-ES"/>
        </w:rPr>
        <w:t xml:space="preserve">confirmaron que </w:t>
      </w:r>
      <w:r w:rsidR="006A05BC" w:rsidRPr="00156477">
        <w:rPr>
          <w:rFonts w:ascii="Cambria" w:hAnsi="Cambria"/>
          <w:color w:val="000000" w:themeColor="text1"/>
          <w:sz w:val="20"/>
          <w:szCs w:val="20"/>
          <w:lang w:val="es-ES"/>
        </w:rPr>
        <w:t xml:space="preserve">su </w:t>
      </w:r>
      <w:r w:rsidRPr="00156477">
        <w:rPr>
          <w:rFonts w:ascii="Cambria" w:hAnsi="Cambria"/>
          <w:color w:val="000000" w:themeColor="text1"/>
          <w:sz w:val="20"/>
          <w:szCs w:val="20"/>
          <w:lang w:val="es-ES"/>
        </w:rPr>
        <w:t xml:space="preserve">sentencia de pena de muerte fue conmutada a cadena perpetua por el </w:t>
      </w:r>
      <w:r w:rsidRPr="00156477">
        <w:rPr>
          <w:rFonts w:ascii="Cambria" w:hAnsi="Cambria"/>
          <w:color w:val="000000" w:themeColor="text1"/>
          <w:sz w:val="20"/>
          <w:szCs w:val="20"/>
          <w:lang w:val="es-ES"/>
        </w:rPr>
        <w:lastRenderedPageBreak/>
        <w:t xml:space="preserve">Gobernador General de Jamaica, de conformidad con la decisión del Consejo Privado en el caso </w:t>
      </w:r>
      <w:r w:rsidRPr="00156477">
        <w:rPr>
          <w:rFonts w:ascii="Cambria" w:hAnsi="Cambria"/>
          <w:i/>
          <w:color w:val="000000" w:themeColor="text1"/>
          <w:sz w:val="20"/>
          <w:szCs w:val="20"/>
          <w:lang w:val="es-ES"/>
        </w:rPr>
        <w:t>Pratt &amp; Morgan</w:t>
      </w:r>
      <w:r w:rsidR="0035791F" w:rsidRPr="00156477">
        <w:rPr>
          <w:rStyle w:val="FootnoteReference"/>
          <w:rFonts w:ascii="Cambria" w:hAnsi="Cambria"/>
          <w:color w:val="000000" w:themeColor="text1"/>
          <w:sz w:val="20"/>
          <w:szCs w:val="20"/>
          <w:lang w:val="es-ES"/>
        </w:rPr>
        <w:footnoteReference w:id="8"/>
      </w:r>
      <w:r w:rsidRPr="00156477">
        <w:rPr>
          <w:rFonts w:ascii="Cambria" w:hAnsi="Cambria"/>
          <w:color w:val="000000" w:themeColor="text1"/>
          <w:sz w:val="20"/>
          <w:szCs w:val="20"/>
          <w:lang w:val="es-ES"/>
        </w:rPr>
        <w:t xml:space="preserve">. </w:t>
      </w:r>
      <w:r w:rsidR="00CB07E1" w:rsidRPr="00156477">
        <w:rPr>
          <w:rFonts w:ascii="Cambria" w:hAnsi="Cambria"/>
          <w:color w:val="000000" w:themeColor="text1"/>
          <w:sz w:val="20"/>
          <w:szCs w:val="20"/>
          <w:lang w:val="es-ES"/>
        </w:rPr>
        <w:t xml:space="preserve">En 2018, los peticionarios </w:t>
      </w:r>
      <w:r w:rsidR="00BE646F" w:rsidRPr="00156477">
        <w:rPr>
          <w:rFonts w:ascii="Cambria" w:hAnsi="Cambria" w:cs="Calibri Light"/>
          <w:color w:val="000000" w:themeColor="text1"/>
          <w:sz w:val="20"/>
          <w:szCs w:val="20"/>
          <w:lang w:val="es-ES"/>
        </w:rPr>
        <w:t xml:space="preserve">confirmaron que la excarcelación del </w:t>
      </w:r>
      <w:r w:rsidR="00C8246A" w:rsidRPr="00156477">
        <w:rPr>
          <w:rFonts w:ascii="Cambria" w:hAnsi="Cambria" w:cs="Calibri Light"/>
          <w:color w:val="000000" w:themeColor="text1"/>
          <w:sz w:val="20"/>
          <w:szCs w:val="20"/>
          <w:lang w:val="es-ES"/>
        </w:rPr>
        <w:t>señor</w:t>
      </w:r>
      <w:r w:rsidR="00BE646F" w:rsidRPr="00156477">
        <w:rPr>
          <w:rFonts w:ascii="Cambria" w:hAnsi="Cambria" w:cs="Calibri Light"/>
          <w:color w:val="000000" w:themeColor="text1"/>
          <w:sz w:val="20"/>
          <w:szCs w:val="20"/>
          <w:lang w:val="es-ES"/>
        </w:rPr>
        <w:t xml:space="preserve"> Lamey estaba </w:t>
      </w:r>
      <w:r w:rsidR="00C57566" w:rsidRPr="00156477">
        <w:rPr>
          <w:rFonts w:ascii="Cambria" w:hAnsi="Cambria" w:cs="Calibri Light"/>
          <w:color w:val="000000" w:themeColor="text1"/>
          <w:sz w:val="20"/>
          <w:szCs w:val="20"/>
          <w:lang w:val="es-ES"/>
        </w:rPr>
        <w:t>sujeta</w:t>
      </w:r>
      <w:r w:rsidR="00BE646F" w:rsidRPr="00156477">
        <w:rPr>
          <w:rFonts w:ascii="Cambria" w:hAnsi="Cambria" w:cs="Calibri Light"/>
          <w:color w:val="000000" w:themeColor="text1"/>
          <w:sz w:val="20"/>
          <w:szCs w:val="20"/>
          <w:lang w:val="es-ES"/>
        </w:rPr>
        <w:t xml:space="preserve"> a las disposiciones de la Ley de Libertad Condicional de 1978. Indicaron que, en vista de que el</w:t>
      </w:r>
      <w:r w:rsidR="00C8246A" w:rsidRPr="00156477">
        <w:rPr>
          <w:rFonts w:ascii="Cambria" w:hAnsi="Cambria" w:cs="Calibri Light"/>
          <w:color w:val="000000" w:themeColor="text1"/>
          <w:sz w:val="20"/>
          <w:szCs w:val="20"/>
          <w:lang w:val="es-ES"/>
        </w:rPr>
        <w:t xml:space="preserve"> señor</w:t>
      </w:r>
      <w:r w:rsidR="00BE646F" w:rsidRPr="00156477">
        <w:rPr>
          <w:rFonts w:ascii="Cambria" w:hAnsi="Cambria" w:cs="Calibri Light"/>
          <w:color w:val="000000" w:themeColor="text1"/>
          <w:sz w:val="20"/>
          <w:szCs w:val="20"/>
          <w:lang w:val="es-ES"/>
        </w:rPr>
        <w:t xml:space="preserve"> Lamey ya había pasado más de 23 años en la cárcel, tenía derecho a pedir la libertad condicional en cualquier momento. Los peticionarios señalaron que estaban </w:t>
      </w:r>
      <w:r w:rsidR="00BE646F" w:rsidRPr="00156477">
        <w:rPr>
          <w:rFonts w:ascii="Cambria" w:hAnsi="Cambria"/>
          <w:color w:val="000000" w:themeColor="text1"/>
          <w:sz w:val="20"/>
          <w:szCs w:val="20"/>
          <w:lang w:val="es-ES"/>
        </w:rPr>
        <w:t xml:space="preserve">realizando consultas </w:t>
      </w:r>
      <w:r w:rsidR="00BE646F" w:rsidRPr="00156477">
        <w:rPr>
          <w:rFonts w:ascii="Cambria" w:hAnsi="Cambria" w:cs="Calibri Light"/>
          <w:color w:val="000000" w:themeColor="text1"/>
          <w:sz w:val="20"/>
          <w:szCs w:val="20"/>
          <w:lang w:val="es-ES"/>
        </w:rPr>
        <w:t>sobre</w:t>
      </w:r>
      <w:r w:rsidR="00BE646F" w:rsidRPr="00156477">
        <w:rPr>
          <w:rFonts w:ascii="Cambria" w:hAnsi="Cambria"/>
          <w:color w:val="000000" w:themeColor="text1"/>
          <w:sz w:val="20"/>
          <w:szCs w:val="20"/>
          <w:lang w:val="es-ES"/>
        </w:rPr>
        <w:t xml:space="preserve"> la situación actual del </w:t>
      </w:r>
      <w:r w:rsidR="00C8246A" w:rsidRPr="00156477">
        <w:rPr>
          <w:rFonts w:ascii="Cambria" w:hAnsi="Cambria" w:cs="Calibri Light"/>
          <w:color w:val="000000" w:themeColor="text1"/>
          <w:sz w:val="20"/>
          <w:szCs w:val="20"/>
          <w:lang w:val="es-ES"/>
        </w:rPr>
        <w:t>señor</w:t>
      </w:r>
      <w:r w:rsidR="00BE646F" w:rsidRPr="00156477">
        <w:rPr>
          <w:rFonts w:ascii="Cambria" w:hAnsi="Cambria"/>
          <w:color w:val="000000" w:themeColor="text1"/>
          <w:sz w:val="20"/>
          <w:szCs w:val="20"/>
          <w:lang w:val="es-ES"/>
        </w:rPr>
        <w:t xml:space="preserve"> Lamey, incluso si ya había sido puesto en libertad</w:t>
      </w:r>
      <w:r w:rsidR="00BE646F" w:rsidRPr="00156477">
        <w:rPr>
          <w:rFonts w:ascii="Cambria" w:hAnsi="Cambria" w:cs="Calibri Light"/>
          <w:color w:val="000000" w:themeColor="text1"/>
          <w:sz w:val="20"/>
          <w:szCs w:val="20"/>
          <w:lang w:val="es-ES"/>
        </w:rPr>
        <w:t xml:space="preserve">. </w:t>
      </w:r>
      <w:r w:rsidR="00AD68F2" w:rsidRPr="00156477">
        <w:rPr>
          <w:rFonts w:ascii="Cambria" w:hAnsi="Cambria"/>
          <w:color w:val="000000" w:themeColor="text1"/>
          <w:sz w:val="20"/>
          <w:szCs w:val="20"/>
          <w:lang w:val="es-ES"/>
        </w:rPr>
        <w:t xml:space="preserve">Los peticionarios agregaron que, según su conocimiento, el </w:t>
      </w:r>
      <w:r w:rsidR="00C8246A" w:rsidRPr="00156477">
        <w:rPr>
          <w:rFonts w:ascii="Cambria" w:hAnsi="Cambria" w:cs="Calibri Light"/>
          <w:color w:val="000000" w:themeColor="text1"/>
          <w:sz w:val="20"/>
          <w:szCs w:val="20"/>
          <w:lang w:val="es-ES"/>
        </w:rPr>
        <w:t>señor</w:t>
      </w:r>
      <w:r w:rsidR="00AD68F2" w:rsidRPr="00156477">
        <w:rPr>
          <w:rFonts w:ascii="Cambria" w:hAnsi="Cambria"/>
          <w:color w:val="000000" w:themeColor="text1"/>
          <w:sz w:val="20"/>
          <w:szCs w:val="20"/>
          <w:lang w:val="es-ES"/>
        </w:rPr>
        <w:t xml:space="preserve"> Lamey no había recibido ninguna compensación hasta la fecha por las violaciones que sufrió.</w:t>
      </w:r>
      <w:r w:rsidR="00C71EF9" w:rsidRPr="00156477">
        <w:rPr>
          <w:rFonts w:ascii="Cambria" w:hAnsi="Cambria" w:cs="Calibri Light"/>
          <w:color w:val="000000" w:themeColor="text1"/>
          <w:sz w:val="20"/>
          <w:szCs w:val="20"/>
          <w:lang w:val="es-ES"/>
        </w:rPr>
        <w:t xml:space="preserve"> </w:t>
      </w:r>
      <w:r w:rsidR="00CB07E1" w:rsidRPr="00156477">
        <w:rPr>
          <w:rFonts w:ascii="Cambria" w:hAnsi="Cambria"/>
          <w:color w:val="000000" w:themeColor="text1"/>
          <w:sz w:val="20"/>
          <w:szCs w:val="20"/>
          <w:lang w:val="es-ES"/>
        </w:rPr>
        <w:t xml:space="preserve">Los peticionarios no presentaron información sobre Kevin </w:t>
      </w:r>
      <w:proofErr w:type="spellStart"/>
      <w:r w:rsidR="00CB07E1" w:rsidRPr="00156477">
        <w:rPr>
          <w:rFonts w:ascii="Cambria" w:hAnsi="Cambria"/>
          <w:color w:val="000000" w:themeColor="text1"/>
          <w:sz w:val="20"/>
          <w:szCs w:val="20"/>
          <w:lang w:val="es-ES"/>
        </w:rPr>
        <w:t>Mykoo</w:t>
      </w:r>
      <w:proofErr w:type="spellEnd"/>
      <w:r w:rsidR="00CB07E1" w:rsidRPr="00156477">
        <w:rPr>
          <w:rFonts w:ascii="Cambria" w:hAnsi="Cambria"/>
          <w:color w:val="000000" w:themeColor="text1"/>
          <w:sz w:val="20"/>
          <w:szCs w:val="20"/>
          <w:lang w:val="es-ES"/>
        </w:rPr>
        <w:t xml:space="preserve">, Milton Montique o Dalton </w:t>
      </w:r>
      <w:proofErr w:type="spellStart"/>
      <w:r w:rsidR="00CB07E1" w:rsidRPr="00156477">
        <w:rPr>
          <w:rFonts w:ascii="Cambria" w:hAnsi="Cambria"/>
          <w:color w:val="000000" w:themeColor="text1"/>
          <w:sz w:val="20"/>
          <w:szCs w:val="20"/>
          <w:lang w:val="es-ES"/>
        </w:rPr>
        <w:t>Daley</w:t>
      </w:r>
      <w:proofErr w:type="spellEnd"/>
      <w:r w:rsidR="00CB07E1" w:rsidRPr="00156477">
        <w:rPr>
          <w:rFonts w:ascii="Cambria" w:hAnsi="Cambria"/>
          <w:color w:val="000000" w:themeColor="text1"/>
          <w:sz w:val="20"/>
          <w:szCs w:val="20"/>
          <w:lang w:val="es-ES"/>
        </w:rPr>
        <w:t>.</w:t>
      </w:r>
      <w:r w:rsidR="00A00980" w:rsidRPr="00156477">
        <w:rPr>
          <w:rFonts w:ascii="Cambria" w:hAnsi="Cambria"/>
          <w:color w:val="000000" w:themeColor="text1"/>
          <w:sz w:val="20"/>
          <w:szCs w:val="20"/>
          <w:lang w:val="es-ES"/>
        </w:rPr>
        <w:t xml:space="preserve"> En 2019</w:t>
      </w:r>
      <w:r w:rsidR="0055565E" w:rsidRPr="00156477">
        <w:rPr>
          <w:rFonts w:ascii="Cambria" w:hAnsi="Cambria"/>
          <w:color w:val="000000" w:themeColor="text1"/>
          <w:sz w:val="20"/>
          <w:szCs w:val="20"/>
          <w:lang w:val="es-ES"/>
        </w:rPr>
        <w:t xml:space="preserve"> y 2020,</w:t>
      </w:r>
      <w:r w:rsidR="00A00980" w:rsidRPr="00156477">
        <w:rPr>
          <w:rFonts w:ascii="Cambria" w:hAnsi="Cambria"/>
          <w:color w:val="000000" w:themeColor="text1"/>
          <w:sz w:val="20"/>
          <w:szCs w:val="20"/>
          <w:lang w:val="es-ES"/>
        </w:rPr>
        <w:t xml:space="preserve"> los peticionarios reiteraron la información planteada en años anteriores respecto a la conmutación de la pena del señor </w:t>
      </w:r>
      <w:proofErr w:type="spellStart"/>
      <w:r w:rsidR="00A00980" w:rsidRPr="00156477">
        <w:rPr>
          <w:rFonts w:ascii="Cambria" w:hAnsi="Cambria"/>
          <w:color w:val="000000" w:themeColor="text1"/>
          <w:sz w:val="20"/>
          <w:szCs w:val="20"/>
          <w:lang w:val="es-ES"/>
        </w:rPr>
        <w:t>Lamey</w:t>
      </w:r>
      <w:proofErr w:type="spellEnd"/>
      <w:r w:rsidR="00A00980" w:rsidRPr="00156477">
        <w:rPr>
          <w:rFonts w:ascii="Cambria" w:hAnsi="Cambria"/>
          <w:color w:val="000000" w:themeColor="text1"/>
          <w:sz w:val="20"/>
          <w:szCs w:val="20"/>
          <w:lang w:val="es-ES"/>
        </w:rPr>
        <w:t>, e hicieron de conocimiento de la CIDH que en noviembre de 2016 le fue otorgada la libertad condicional</w:t>
      </w:r>
      <w:r w:rsidR="00650542" w:rsidRPr="00156477">
        <w:rPr>
          <w:rFonts w:ascii="Cambria" w:hAnsi="Cambria"/>
          <w:color w:val="000000" w:themeColor="text1"/>
          <w:sz w:val="20"/>
          <w:szCs w:val="20"/>
          <w:lang w:val="es-ES"/>
        </w:rPr>
        <w:t xml:space="preserve"> y fue liberado</w:t>
      </w:r>
      <w:r w:rsidR="00A00980" w:rsidRPr="00156477">
        <w:rPr>
          <w:rFonts w:ascii="Cambria" w:hAnsi="Cambria"/>
          <w:color w:val="000000" w:themeColor="text1"/>
          <w:sz w:val="20"/>
          <w:szCs w:val="20"/>
          <w:lang w:val="es-ES"/>
        </w:rPr>
        <w:t xml:space="preserve">. </w:t>
      </w:r>
      <w:r w:rsidR="008F2D1D" w:rsidRPr="00156477">
        <w:rPr>
          <w:rFonts w:ascii="Cambria" w:hAnsi="Cambria"/>
          <w:color w:val="000000" w:themeColor="text1"/>
          <w:sz w:val="20"/>
          <w:szCs w:val="20"/>
          <w:lang w:val="es-ES"/>
        </w:rPr>
        <w:t>Respecto a las demás víctimas de este caso, e</w:t>
      </w:r>
      <w:r w:rsidR="00E64A05" w:rsidRPr="00156477">
        <w:rPr>
          <w:rFonts w:ascii="Cambria" w:hAnsi="Cambria"/>
          <w:color w:val="000000" w:themeColor="text1"/>
          <w:sz w:val="20"/>
          <w:szCs w:val="20"/>
          <w:lang w:val="es-ES"/>
        </w:rPr>
        <w:t xml:space="preserve">n 2020, la parte peticionaria informó </w:t>
      </w:r>
      <w:r w:rsidR="008F2D1D" w:rsidRPr="00156477">
        <w:rPr>
          <w:rFonts w:ascii="Cambria" w:hAnsi="Cambria"/>
          <w:color w:val="000000" w:themeColor="text1"/>
          <w:sz w:val="20"/>
          <w:szCs w:val="20"/>
          <w:lang w:val="es-ES"/>
        </w:rPr>
        <w:t xml:space="preserve">que </w:t>
      </w:r>
      <w:r w:rsidR="002423FF" w:rsidRPr="00156477">
        <w:rPr>
          <w:rFonts w:ascii="Cambria" w:hAnsi="Cambria"/>
          <w:color w:val="000000" w:themeColor="text1"/>
          <w:sz w:val="20"/>
          <w:szCs w:val="20"/>
          <w:lang w:val="es-ES"/>
        </w:rPr>
        <w:t>sus</w:t>
      </w:r>
      <w:r w:rsidR="008F2D1D" w:rsidRPr="00156477">
        <w:rPr>
          <w:rFonts w:ascii="Cambria" w:hAnsi="Cambria"/>
          <w:color w:val="000000" w:themeColor="text1"/>
          <w:sz w:val="20"/>
          <w:szCs w:val="20"/>
          <w:lang w:val="es-ES"/>
        </w:rPr>
        <w:t xml:space="preserve"> sentencias de pena de muerte fueron conmutadas (</w:t>
      </w:r>
      <w:r w:rsidR="00B745AD" w:rsidRPr="00156477">
        <w:rPr>
          <w:rFonts w:ascii="Cambria" w:hAnsi="Cambria"/>
          <w:color w:val="000000" w:themeColor="text1"/>
          <w:sz w:val="20"/>
          <w:szCs w:val="20"/>
          <w:lang w:val="es-ES"/>
        </w:rPr>
        <w:t>el 15 de febrero de 1996</w:t>
      </w:r>
      <w:r w:rsidR="008F2D1D" w:rsidRPr="00156477">
        <w:rPr>
          <w:rFonts w:ascii="Cambria" w:hAnsi="Cambria"/>
          <w:color w:val="000000" w:themeColor="text1"/>
          <w:sz w:val="20"/>
          <w:szCs w:val="20"/>
          <w:lang w:val="es-ES"/>
        </w:rPr>
        <w:t xml:space="preserve"> para Kevin </w:t>
      </w:r>
      <w:proofErr w:type="spellStart"/>
      <w:r w:rsidR="008F2D1D" w:rsidRPr="00156477">
        <w:rPr>
          <w:rFonts w:ascii="Cambria" w:hAnsi="Cambria"/>
          <w:color w:val="000000" w:themeColor="text1"/>
          <w:sz w:val="20"/>
          <w:szCs w:val="20"/>
          <w:lang w:val="es-ES"/>
        </w:rPr>
        <w:t>Mykoo</w:t>
      </w:r>
      <w:proofErr w:type="spellEnd"/>
      <w:r w:rsidR="008F2D1D" w:rsidRPr="00156477">
        <w:rPr>
          <w:rFonts w:ascii="Cambria" w:hAnsi="Cambria"/>
          <w:color w:val="000000" w:themeColor="text1"/>
          <w:sz w:val="20"/>
          <w:szCs w:val="20"/>
          <w:lang w:val="es-ES"/>
        </w:rPr>
        <w:t xml:space="preserve">; el 7 de noviembre de 1994 para Milton Montique, y el 9 de julio de 2003 para Dalton </w:t>
      </w:r>
      <w:proofErr w:type="spellStart"/>
      <w:r w:rsidR="008F2D1D" w:rsidRPr="00156477">
        <w:rPr>
          <w:rFonts w:ascii="Cambria" w:hAnsi="Cambria"/>
          <w:color w:val="000000" w:themeColor="text1"/>
          <w:sz w:val="20"/>
          <w:szCs w:val="20"/>
          <w:lang w:val="es-ES"/>
        </w:rPr>
        <w:t>Daley</w:t>
      </w:r>
      <w:proofErr w:type="spellEnd"/>
      <w:r w:rsidR="008F2D1D" w:rsidRPr="00156477">
        <w:rPr>
          <w:rFonts w:ascii="Cambria" w:hAnsi="Cambria"/>
          <w:color w:val="000000" w:themeColor="text1"/>
          <w:sz w:val="20"/>
          <w:szCs w:val="20"/>
          <w:lang w:val="es-ES"/>
        </w:rPr>
        <w:t xml:space="preserve">). Asimismo, señaló que todos fueron </w:t>
      </w:r>
      <w:r w:rsidR="00B745AD" w:rsidRPr="00156477">
        <w:rPr>
          <w:rFonts w:ascii="Cambria" w:hAnsi="Cambria"/>
          <w:color w:val="000000" w:themeColor="text1"/>
          <w:sz w:val="20"/>
          <w:szCs w:val="20"/>
          <w:lang w:val="es-ES"/>
        </w:rPr>
        <w:t>beneficiado</w:t>
      </w:r>
      <w:r w:rsidR="008F2D1D" w:rsidRPr="00156477">
        <w:rPr>
          <w:rFonts w:ascii="Cambria" w:hAnsi="Cambria"/>
          <w:color w:val="000000" w:themeColor="text1"/>
          <w:sz w:val="20"/>
          <w:szCs w:val="20"/>
          <w:lang w:val="es-ES"/>
        </w:rPr>
        <w:t>s</w:t>
      </w:r>
      <w:r w:rsidR="00B745AD" w:rsidRPr="00156477">
        <w:rPr>
          <w:rFonts w:ascii="Cambria" w:hAnsi="Cambria"/>
          <w:color w:val="000000" w:themeColor="text1"/>
          <w:sz w:val="20"/>
          <w:szCs w:val="20"/>
          <w:lang w:val="es-ES"/>
        </w:rPr>
        <w:t xml:space="preserve"> con libertad condicional</w:t>
      </w:r>
      <w:r w:rsidR="008F2D1D" w:rsidRPr="00156477">
        <w:rPr>
          <w:rFonts w:ascii="Cambria" w:hAnsi="Cambria"/>
          <w:color w:val="000000" w:themeColor="text1"/>
          <w:sz w:val="20"/>
          <w:szCs w:val="20"/>
          <w:lang w:val="es-ES"/>
        </w:rPr>
        <w:t xml:space="preserve"> (el beneficio se otorgó</w:t>
      </w:r>
      <w:r w:rsidR="00B745AD" w:rsidRPr="00156477">
        <w:rPr>
          <w:rFonts w:ascii="Cambria" w:hAnsi="Cambria"/>
          <w:color w:val="000000" w:themeColor="text1"/>
          <w:sz w:val="20"/>
          <w:szCs w:val="20"/>
          <w:lang w:val="es-ES"/>
        </w:rPr>
        <w:t xml:space="preserve"> en julio de 2015</w:t>
      </w:r>
      <w:r w:rsidR="008F2D1D" w:rsidRPr="00156477">
        <w:rPr>
          <w:rFonts w:ascii="Cambria" w:hAnsi="Cambria"/>
          <w:color w:val="000000" w:themeColor="text1"/>
          <w:sz w:val="20"/>
          <w:szCs w:val="20"/>
          <w:lang w:val="es-ES"/>
        </w:rPr>
        <w:t xml:space="preserve"> para Kevin </w:t>
      </w:r>
      <w:proofErr w:type="spellStart"/>
      <w:r w:rsidR="008F2D1D" w:rsidRPr="00156477">
        <w:rPr>
          <w:rFonts w:ascii="Cambria" w:hAnsi="Cambria"/>
          <w:color w:val="000000" w:themeColor="text1"/>
          <w:sz w:val="20"/>
          <w:szCs w:val="20"/>
          <w:lang w:val="es-ES"/>
        </w:rPr>
        <w:t>Mykoo</w:t>
      </w:r>
      <w:proofErr w:type="spellEnd"/>
      <w:r w:rsidR="00B745AD" w:rsidRPr="00156477">
        <w:rPr>
          <w:rFonts w:ascii="Cambria" w:hAnsi="Cambria"/>
          <w:color w:val="000000" w:themeColor="text1"/>
          <w:sz w:val="20"/>
          <w:szCs w:val="20"/>
          <w:lang w:val="es-ES"/>
        </w:rPr>
        <w:t>; e</w:t>
      </w:r>
      <w:r w:rsidR="008F2D1D" w:rsidRPr="00156477">
        <w:rPr>
          <w:rFonts w:ascii="Cambria" w:hAnsi="Cambria"/>
          <w:color w:val="000000" w:themeColor="text1"/>
          <w:sz w:val="20"/>
          <w:szCs w:val="20"/>
          <w:lang w:val="es-ES"/>
        </w:rPr>
        <w:t>l</w:t>
      </w:r>
      <w:r w:rsidR="00B745AD" w:rsidRPr="00156477">
        <w:rPr>
          <w:rFonts w:ascii="Cambria" w:hAnsi="Cambria"/>
          <w:color w:val="000000" w:themeColor="text1"/>
          <w:sz w:val="20"/>
          <w:szCs w:val="20"/>
          <w:lang w:val="es-ES"/>
        </w:rPr>
        <w:t xml:space="preserve"> 22 de abril de 2016</w:t>
      </w:r>
      <w:r w:rsidR="008F2D1D" w:rsidRPr="00156477">
        <w:rPr>
          <w:rFonts w:ascii="Cambria" w:hAnsi="Cambria"/>
          <w:color w:val="000000" w:themeColor="text1"/>
          <w:sz w:val="20"/>
          <w:szCs w:val="20"/>
          <w:lang w:val="es-ES"/>
        </w:rPr>
        <w:t xml:space="preserve"> para Milton Montique</w:t>
      </w:r>
      <w:r w:rsidR="00B745AD" w:rsidRPr="00156477">
        <w:rPr>
          <w:rFonts w:ascii="Cambria" w:hAnsi="Cambria"/>
          <w:color w:val="000000" w:themeColor="text1"/>
          <w:sz w:val="20"/>
          <w:szCs w:val="20"/>
          <w:lang w:val="es-ES"/>
        </w:rPr>
        <w:t>, y</w:t>
      </w:r>
      <w:r w:rsidR="008F2D1D" w:rsidRPr="00156477">
        <w:rPr>
          <w:rFonts w:ascii="Cambria" w:hAnsi="Cambria"/>
          <w:color w:val="000000" w:themeColor="text1"/>
          <w:sz w:val="20"/>
          <w:szCs w:val="20"/>
          <w:lang w:val="es-ES"/>
        </w:rPr>
        <w:t xml:space="preserve"> el 19 de junio de 2015 para </w:t>
      </w:r>
      <w:r w:rsidR="00B745AD" w:rsidRPr="00156477">
        <w:rPr>
          <w:rFonts w:ascii="Cambria" w:hAnsi="Cambria"/>
          <w:color w:val="000000" w:themeColor="text1"/>
          <w:sz w:val="20"/>
          <w:szCs w:val="20"/>
          <w:lang w:val="es-ES"/>
        </w:rPr>
        <w:t xml:space="preserve">Dalton </w:t>
      </w:r>
      <w:proofErr w:type="spellStart"/>
      <w:r w:rsidR="00B745AD" w:rsidRPr="00156477">
        <w:rPr>
          <w:rFonts w:ascii="Cambria" w:hAnsi="Cambria"/>
          <w:color w:val="000000" w:themeColor="text1"/>
          <w:sz w:val="20"/>
          <w:szCs w:val="20"/>
          <w:lang w:val="es-ES"/>
        </w:rPr>
        <w:t>Daley</w:t>
      </w:r>
      <w:proofErr w:type="spellEnd"/>
      <w:r w:rsidR="008F2D1D" w:rsidRPr="00156477">
        <w:rPr>
          <w:rFonts w:ascii="Cambria" w:hAnsi="Cambria"/>
          <w:color w:val="000000" w:themeColor="text1"/>
          <w:sz w:val="20"/>
          <w:szCs w:val="20"/>
          <w:lang w:val="es-ES"/>
        </w:rPr>
        <w:t>)</w:t>
      </w:r>
      <w:r w:rsidR="00B745AD" w:rsidRPr="00156477">
        <w:rPr>
          <w:rFonts w:ascii="Cambria" w:hAnsi="Cambria"/>
          <w:color w:val="000000" w:themeColor="text1"/>
          <w:sz w:val="20"/>
          <w:szCs w:val="20"/>
          <w:lang w:val="es-ES"/>
        </w:rPr>
        <w:t xml:space="preserve">. Asimismo, </w:t>
      </w:r>
      <w:r w:rsidR="00E64A05" w:rsidRPr="00156477">
        <w:rPr>
          <w:rFonts w:ascii="Cambria" w:hAnsi="Cambria"/>
          <w:color w:val="000000" w:themeColor="text1"/>
          <w:sz w:val="20"/>
          <w:szCs w:val="20"/>
          <w:lang w:val="es-ES"/>
        </w:rPr>
        <w:t>los peticionarios manifestaron</w:t>
      </w:r>
      <w:r w:rsidR="00A00980" w:rsidRPr="00156477">
        <w:rPr>
          <w:rFonts w:ascii="Cambria" w:hAnsi="Cambria"/>
          <w:color w:val="000000" w:themeColor="text1"/>
          <w:sz w:val="20"/>
          <w:szCs w:val="20"/>
          <w:lang w:val="es-ES"/>
        </w:rPr>
        <w:t xml:space="preserve"> que</w:t>
      </w:r>
      <w:r w:rsidR="00E64A05" w:rsidRPr="00156477">
        <w:rPr>
          <w:rFonts w:ascii="Cambria" w:hAnsi="Cambria"/>
          <w:color w:val="000000" w:themeColor="text1"/>
          <w:sz w:val="20"/>
          <w:szCs w:val="20"/>
          <w:lang w:val="es-ES"/>
        </w:rPr>
        <w:t>,</w:t>
      </w:r>
      <w:r w:rsidR="00A00980" w:rsidRPr="00156477">
        <w:rPr>
          <w:rFonts w:ascii="Cambria" w:hAnsi="Cambria"/>
          <w:color w:val="000000" w:themeColor="text1"/>
          <w:sz w:val="20"/>
          <w:szCs w:val="20"/>
          <w:lang w:val="es-ES"/>
        </w:rPr>
        <w:t xml:space="preserve"> a la fecha</w:t>
      </w:r>
      <w:r w:rsidR="00E64A05" w:rsidRPr="00156477">
        <w:rPr>
          <w:rFonts w:ascii="Cambria" w:hAnsi="Cambria"/>
          <w:color w:val="000000" w:themeColor="text1"/>
          <w:sz w:val="20"/>
          <w:szCs w:val="20"/>
          <w:lang w:val="es-ES"/>
        </w:rPr>
        <w:t>,</w:t>
      </w:r>
      <w:r w:rsidR="00A00980" w:rsidRPr="00156477">
        <w:rPr>
          <w:rFonts w:ascii="Cambria" w:hAnsi="Cambria"/>
          <w:color w:val="000000" w:themeColor="text1"/>
          <w:sz w:val="20"/>
          <w:szCs w:val="20"/>
          <w:lang w:val="es-ES"/>
        </w:rPr>
        <w:t xml:space="preserve"> no tiene</w:t>
      </w:r>
      <w:r w:rsidR="002423FF" w:rsidRPr="00156477">
        <w:rPr>
          <w:rFonts w:ascii="Cambria" w:hAnsi="Cambria"/>
          <w:color w:val="000000" w:themeColor="text1"/>
          <w:sz w:val="20"/>
          <w:szCs w:val="20"/>
          <w:lang w:val="es-ES"/>
        </w:rPr>
        <w:t>n</w:t>
      </w:r>
      <w:r w:rsidR="00A00980" w:rsidRPr="00156477">
        <w:rPr>
          <w:rFonts w:ascii="Cambria" w:hAnsi="Cambria"/>
          <w:color w:val="000000" w:themeColor="text1"/>
          <w:sz w:val="20"/>
          <w:szCs w:val="20"/>
          <w:lang w:val="es-ES"/>
        </w:rPr>
        <w:t xml:space="preserve"> conocimiento respecto del otorgamiento de una indemnización por parte del Estado</w:t>
      </w:r>
      <w:r w:rsidR="0055565E" w:rsidRPr="00156477">
        <w:rPr>
          <w:rFonts w:ascii="Cambria" w:hAnsi="Cambria"/>
          <w:color w:val="000000" w:themeColor="text1"/>
          <w:sz w:val="20"/>
          <w:szCs w:val="20"/>
          <w:lang w:val="es-ES"/>
        </w:rPr>
        <w:t xml:space="preserve"> a favor de ninguna de las víctimas de este caso</w:t>
      </w:r>
      <w:r w:rsidR="00A00980" w:rsidRPr="00156477">
        <w:rPr>
          <w:rFonts w:ascii="Cambria" w:hAnsi="Cambria"/>
          <w:color w:val="000000" w:themeColor="text1"/>
          <w:sz w:val="20"/>
          <w:szCs w:val="20"/>
          <w:lang w:val="es-ES"/>
        </w:rPr>
        <w:t xml:space="preserve">. </w:t>
      </w:r>
    </w:p>
    <w:p w14:paraId="2B2D5C0A" w14:textId="77777777" w:rsidR="003D0F33" w:rsidRPr="00156477" w:rsidRDefault="003D0F33" w:rsidP="00AC5985">
      <w:pPr>
        <w:spacing w:after="0" w:line="240" w:lineRule="auto"/>
        <w:ind w:left="720"/>
        <w:jc w:val="both"/>
        <w:rPr>
          <w:rFonts w:ascii="Cambria" w:hAnsi="Cambria"/>
          <w:color w:val="000000" w:themeColor="text1"/>
          <w:sz w:val="20"/>
          <w:szCs w:val="20"/>
          <w:lang w:val="es-ES"/>
        </w:rPr>
      </w:pPr>
    </w:p>
    <w:p w14:paraId="0630AC13" w14:textId="77777777" w:rsidR="000A3ADE" w:rsidRPr="00156477" w:rsidRDefault="001C62B0" w:rsidP="00AC5985">
      <w:pPr>
        <w:numPr>
          <w:ilvl w:val="0"/>
          <w:numId w:val="8"/>
        </w:numPr>
        <w:autoSpaceDE w:val="0"/>
        <w:autoSpaceDN w:val="0"/>
        <w:adjustRightInd w:val="0"/>
        <w:spacing w:after="0" w:line="240" w:lineRule="auto"/>
        <w:ind w:left="0" w:firstLine="720"/>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 xml:space="preserve">En relación con el otorgamiento de una </w:t>
      </w:r>
      <w:r w:rsidR="000A3ADE" w:rsidRPr="00156477">
        <w:rPr>
          <w:rFonts w:ascii="Cambria" w:hAnsi="Cambria"/>
          <w:color w:val="000000" w:themeColor="text1"/>
          <w:sz w:val="20"/>
          <w:szCs w:val="20"/>
          <w:lang w:val="es-ES"/>
        </w:rPr>
        <w:t>reparación integral</w:t>
      </w:r>
      <w:r w:rsidRPr="00156477">
        <w:rPr>
          <w:rFonts w:ascii="Cambria" w:hAnsi="Cambria"/>
          <w:color w:val="000000" w:themeColor="text1"/>
          <w:sz w:val="20"/>
          <w:szCs w:val="20"/>
          <w:lang w:val="es-ES"/>
        </w:rPr>
        <w:t xml:space="preserve"> a las víctimas</w:t>
      </w:r>
      <w:r w:rsidR="000A3ADE" w:rsidRPr="00156477">
        <w:rPr>
          <w:rFonts w:ascii="Cambria" w:hAnsi="Cambria"/>
          <w:color w:val="000000" w:themeColor="text1"/>
          <w:sz w:val="20"/>
          <w:szCs w:val="20"/>
          <w:lang w:val="es-ES"/>
        </w:rPr>
        <w:t xml:space="preserve"> de violaciones a los derechos humanos</w:t>
      </w:r>
      <w:r w:rsidRPr="00156477">
        <w:rPr>
          <w:rFonts w:ascii="Cambria" w:hAnsi="Cambria"/>
          <w:color w:val="000000" w:themeColor="text1"/>
          <w:sz w:val="20"/>
          <w:szCs w:val="20"/>
          <w:lang w:val="es-ES"/>
        </w:rPr>
        <w:t xml:space="preserve">, la CIDH </w:t>
      </w:r>
      <w:r w:rsidR="003D4CAE" w:rsidRPr="00156477">
        <w:rPr>
          <w:rFonts w:ascii="Cambria" w:hAnsi="Cambria"/>
          <w:color w:val="000000" w:themeColor="text1"/>
          <w:sz w:val="20"/>
          <w:szCs w:val="20"/>
          <w:lang w:val="es-ES"/>
        </w:rPr>
        <w:t>reitera</w:t>
      </w:r>
      <w:r w:rsidRPr="00156477">
        <w:rPr>
          <w:rFonts w:ascii="Cambria" w:hAnsi="Cambria"/>
          <w:color w:val="000000" w:themeColor="text1"/>
          <w:sz w:val="20"/>
          <w:szCs w:val="20"/>
          <w:lang w:val="es-ES"/>
        </w:rPr>
        <w:t xml:space="preserve"> que, de acuerdo con los principios del derecho internacional, todo incumplimiento de una obligación internacional que ocasione un perjuicio da lugar al deber de repararlo de manera adecuada</w:t>
      </w:r>
      <w:r w:rsidRPr="00156477">
        <w:rPr>
          <w:rStyle w:val="FootnoteReference"/>
          <w:rFonts w:ascii="Cambria" w:hAnsi="Cambria"/>
          <w:color w:val="000000" w:themeColor="text1"/>
          <w:sz w:val="20"/>
          <w:szCs w:val="20"/>
          <w:lang w:val="es-ES"/>
        </w:rPr>
        <w:footnoteReference w:id="9"/>
      </w:r>
      <w:r w:rsidRPr="00156477">
        <w:rPr>
          <w:rFonts w:ascii="Cambria" w:hAnsi="Cambria"/>
          <w:color w:val="000000" w:themeColor="text1"/>
          <w:sz w:val="20"/>
          <w:szCs w:val="20"/>
          <w:lang w:val="es-ES"/>
        </w:rPr>
        <w:t>. De conformidad con la jurisprudencia del sistema interamericano, las víctimas de violaciones de derechos humanos tienen derecho a percibir una indemnización adecuada por el daño sufrido, la cual debe concretarse en medidas individuales para restituir, indemnizar y rehabilitar a la víctima, así como medidas de satisfacción y garantías de que no se repitan tales actos</w:t>
      </w:r>
      <w:r w:rsidRPr="00156477">
        <w:rPr>
          <w:rStyle w:val="FootnoteReference"/>
          <w:rFonts w:ascii="Cambria" w:hAnsi="Cambria"/>
          <w:color w:val="000000" w:themeColor="text1"/>
          <w:sz w:val="20"/>
          <w:szCs w:val="20"/>
          <w:lang w:val="es-ES"/>
        </w:rPr>
        <w:footnoteReference w:id="10"/>
      </w:r>
      <w:r w:rsidRPr="00156477">
        <w:rPr>
          <w:rFonts w:ascii="Cambria" w:hAnsi="Cambria"/>
          <w:color w:val="000000" w:themeColor="text1"/>
          <w:sz w:val="20"/>
          <w:szCs w:val="20"/>
          <w:lang w:val="es-ES"/>
        </w:rPr>
        <w:t>. Además, un Estado no puede recurrir a su derecho interno para modificar esta obligación o hacer caso omiso de ella</w:t>
      </w:r>
      <w:r w:rsidRPr="00156477">
        <w:rPr>
          <w:rStyle w:val="FootnoteReference"/>
          <w:rFonts w:ascii="Cambria" w:hAnsi="Cambria"/>
          <w:color w:val="000000" w:themeColor="text1"/>
          <w:sz w:val="20"/>
          <w:szCs w:val="20"/>
          <w:lang w:val="es-ES"/>
        </w:rPr>
        <w:footnoteReference w:id="11"/>
      </w:r>
      <w:r w:rsidRPr="00156477">
        <w:rPr>
          <w:rFonts w:ascii="Cambria" w:hAnsi="Cambria"/>
          <w:color w:val="000000" w:themeColor="text1"/>
          <w:sz w:val="20"/>
          <w:szCs w:val="20"/>
          <w:lang w:val="es-ES"/>
        </w:rPr>
        <w:t xml:space="preserve">. </w:t>
      </w:r>
      <w:r w:rsidR="0039667E" w:rsidRPr="00156477">
        <w:rPr>
          <w:rFonts w:ascii="Cambria" w:hAnsi="Cambria"/>
          <w:color w:val="000000" w:themeColor="text1"/>
          <w:sz w:val="20"/>
          <w:szCs w:val="20"/>
          <w:lang w:val="es-ES"/>
        </w:rPr>
        <w:t xml:space="preserve">Respecto a la </w:t>
      </w:r>
      <w:r w:rsidR="00DB55C5" w:rsidRPr="00156477">
        <w:rPr>
          <w:rFonts w:ascii="Cambria" w:hAnsi="Cambria"/>
          <w:color w:val="000000" w:themeColor="text1"/>
          <w:sz w:val="20"/>
          <w:szCs w:val="20"/>
          <w:lang w:val="es-ES"/>
        </w:rPr>
        <w:t>posición expresada</w:t>
      </w:r>
      <w:r w:rsidR="0039667E" w:rsidRPr="00156477">
        <w:rPr>
          <w:rFonts w:ascii="Cambria" w:hAnsi="Cambria"/>
          <w:color w:val="000000" w:themeColor="text1"/>
          <w:sz w:val="20"/>
          <w:szCs w:val="20"/>
          <w:lang w:val="es-ES"/>
        </w:rPr>
        <w:t xml:space="preserve"> por el Estado, la Comisión</w:t>
      </w:r>
      <w:r w:rsidR="00DB55C5" w:rsidRPr="00156477">
        <w:rPr>
          <w:rFonts w:ascii="Cambria" w:hAnsi="Cambria"/>
          <w:color w:val="000000" w:themeColor="text1"/>
          <w:sz w:val="20"/>
          <w:szCs w:val="20"/>
          <w:lang w:val="es-ES"/>
        </w:rPr>
        <w:t xml:space="preserve"> solicita información detallada sobre las medidas que ha implementado, además de la conmutación de la sentencia de pena de muerte de las víctimas, para proveer una reparación efectiva a las víctimas de este caso, lo cual debe incluir una indemnización, de </w:t>
      </w:r>
      <w:r w:rsidR="00690550" w:rsidRPr="00156477">
        <w:rPr>
          <w:rFonts w:ascii="Cambria" w:hAnsi="Cambria"/>
          <w:color w:val="000000" w:themeColor="text1"/>
          <w:sz w:val="20"/>
          <w:szCs w:val="20"/>
          <w:lang w:val="es-ES"/>
        </w:rPr>
        <w:t>acuerdo</w:t>
      </w:r>
      <w:r w:rsidR="00DB55C5" w:rsidRPr="00156477">
        <w:rPr>
          <w:rFonts w:ascii="Cambria" w:hAnsi="Cambria"/>
          <w:color w:val="000000" w:themeColor="text1"/>
          <w:sz w:val="20"/>
          <w:szCs w:val="20"/>
          <w:lang w:val="es-ES"/>
        </w:rPr>
        <w:t xml:space="preserve"> con</w:t>
      </w:r>
      <w:r w:rsidR="00690550" w:rsidRPr="00156477">
        <w:rPr>
          <w:rFonts w:ascii="Cambria" w:hAnsi="Cambria"/>
          <w:color w:val="000000" w:themeColor="text1"/>
          <w:sz w:val="20"/>
          <w:szCs w:val="20"/>
          <w:lang w:val="es-ES"/>
        </w:rPr>
        <w:t xml:space="preserve"> el texto de</w:t>
      </w:r>
      <w:r w:rsidR="00DB55C5" w:rsidRPr="00156477">
        <w:rPr>
          <w:rFonts w:ascii="Cambria" w:hAnsi="Cambria"/>
          <w:color w:val="000000" w:themeColor="text1"/>
          <w:sz w:val="20"/>
          <w:szCs w:val="20"/>
          <w:lang w:val="es-ES"/>
        </w:rPr>
        <w:t xml:space="preserve"> la recomendación formulada por la CIDH. Asimismo, la CIDH invita al Estado a entablar algún diálogo y acercamiento con las víctimas</w:t>
      </w:r>
      <w:r w:rsidR="00690550" w:rsidRPr="00156477">
        <w:rPr>
          <w:rFonts w:ascii="Cambria" w:hAnsi="Cambria"/>
          <w:color w:val="000000" w:themeColor="text1"/>
          <w:sz w:val="20"/>
          <w:szCs w:val="20"/>
          <w:lang w:val="es-ES"/>
        </w:rPr>
        <w:t xml:space="preserve"> de este caso</w:t>
      </w:r>
      <w:r w:rsidR="00DB55C5" w:rsidRPr="00156477">
        <w:rPr>
          <w:rFonts w:ascii="Cambria" w:hAnsi="Cambria"/>
          <w:color w:val="000000" w:themeColor="text1"/>
          <w:sz w:val="20"/>
          <w:szCs w:val="20"/>
          <w:lang w:val="es-ES"/>
        </w:rPr>
        <w:t xml:space="preserve"> que permita determinar los daños que se les ocasionó con la violación de sus derechos humanos y</w:t>
      </w:r>
      <w:r w:rsidR="003D4CAE" w:rsidRPr="00156477">
        <w:rPr>
          <w:rFonts w:ascii="Cambria" w:hAnsi="Cambria"/>
          <w:color w:val="000000" w:themeColor="text1"/>
          <w:sz w:val="20"/>
          <w:szCs w:val="20"/>
          <w:lang w:val="es-ES"/>
        </w:rPr>
        <w:t xml:space="preserve"> para que pueda</w:t>
      </w:r>
      <w:r w:rsidR="00DB55C5" w:rsidRPr="00156477">
        <w:rPr>
          <w:rFonts w:ascii="Cambria" w:hAnsi="Cambria"/>
          <w:color w:val="000000" w:themeColor="text1"/>
          <w:sz w:val="20"/>
          <w:szCs w:val="20"/>
          <w:lang w:val="es-ES"/>
        </w:rPr>
        <w:t xml:space="preserve">, por consiguiente, </w:t>
      </w:r>
      <w:r w:rsidR="003D4CAE" w:rsidRPr="00156477">
        <w:rPr>
          <w:rFonts w:ascii="Cambria" w:hAnsi="Cambria"/>
          <w:color w:val="000000" w:themeColor="text1"/>
          <w:sz w:val="20"/>
          <w:szCs w:val="20"/>
          <w:lang w:val="es-ES"/>
        </w:rPr>
        <w:t xml:space="preserve">determinar </w:t>
      </w:r>
      <w:r w:rsidR="00DB55C5" w:rsidRPr="00156477">
        <w:rPr>
          <w:rFonts w:ascii="Cambria" w:hAnsi="Cambria"/>
          <w:color w:val="000000" w:themeColor="text1"/>
          <w:sz w:val="20"/>
          <w:szCs w:val="20"/>
          <w:lang w:val="es-ES"/>
        </w:rPr>
        <w:t xml:space="preserve">las medidas </w:t>
      </w:r>
      <w:r w:rsidR="002423FF" w:rsidRPr="00156477">
        <w:rPr>
          <w:rFonts w:ascii="Cambria" w:hAnsi="Cambria"/>
          <w:color w:val="000000" w:themeColor="text1"/>
          <w:sz w:val="20"/>
          <w:szCs w:val="20"/>
          <w:lang w:val="es-ES"/>
        </w:rPr>
        <w:t>necesarias</w:t>
      </w:r>
      <w:r w:rsidR="00DB55C5" w:rsidRPr="00156477">
        <w:rPr>
          <w:rFonts w:ascii="Cambria" w:hAnsi="Cambria"/>
          <w:color w:val="000000" w:themeColor="text1"/>
          <w:sz w:val="20"/>
          <w:szCs w:val="20"/>
          <w:lang w:val="es-ES"/>
        </w:rPr>
        <w:t xml:space="preserve"> para asegurarles una reparación efectiva. </w:t>
      </w:r>
      <w:r w:rsidRPr="00156477">
        <w:rPr>
          <w:rFonts w:ascii="Cambria" w:hAnsi="Cambria"/>
          <w:color w:val="000000" w:themeColor="text1"/>
          <w:sz w:val="20"/>
          <w:szCs w:val="20"/>
          <w:lang w:val="es-ES"/>
        </w:rPr>
        <w:t>Por lo anterior, la CIDH considera que la Recomendación 1 se encuentra cumplida</w:t>
      </w:r>
      <w:r w:rsidR="008D19B5" w:rsidRPr="00156477">
        <w:rPr>
          <w:rFonts w:ascii="Cambria" w:hAnsi="Cambria"/>
          <w:color w:val="000000" w:themeColor="text1"/>
          <w:sz w:val="20"/>
          <w:szCs w:val="20"/>
          <w:lang w:val="es-ES"/>
        </w:rPr>
        <w:t xml:space="preserve"> de manera parcial sustancial</w:t>
      </w:r>
      <w:r w:rsidRPr="00156477">
        <w:rPr>
          <w:rFonts w:ascii="Cambria" w:hAnsi="Cambria"/>
          <w:color w:val="000000" w:themeColor="text1"/>
          <w:sz w:val="20"/>
          <w:szCs w:val="20"/>
          <w:lang w:val="es-ES"/>
        </w:rPr>
        <w:t xml:space="preserve">.  </w:t>
      </w:r>
    </w:p>
    <w:p w14:paraId="14461079" w14:textId="77777777" w:rsidR="000A3ADE" w:rsidRPr="00156477" w:rsidRDefault="000A3ADE" w:rsidP="00AC5985">
      <w:pPr>
        <w:autoSpaceDE w:val="0"/>
        <w:autoSpaceDN w:val="0"/>
        <w:adjustRightInd w:val="0"/>
        <w:spacing w:after="0" w:line="240" w:lineRule="auto"/>
        <w:ind w:left="720"/>
        <w:jc w:val="both"/>
        <w:rPr>
          <w:rFonts w:ascii="Cambria" w:hAnsi="Cambria"/>
          <w:color w:val="000000" w:themeColor="text1"/>
          <w:sz w:val="20"/>
          <w:szCs w:val="20"/>
          <w:lang w:val="es-ES"/>
        </w:rPr>
      </w:pPr>
    </w:p>
    <w:p w14:paraId="5EF2B4F1" w14:textId="77777777" w:rsidR="000A3ADE" w:rsidRPr="00156477" w:rsidRDefault="000A3ADE" w:rsidP="00AC5985">
      <w:pPr>
        <w:numPr>
          <w:ilvl w:val="0"/>
          <w:numId w:val="8"/>
        </w:numPr>
        <w:autoSpaceDE w:val="0"/>
        <w:autoSpaceDN w:val="0"/>
        <w:adjustRightInd w:val="0"/>
        <w:spacing w:after="0" w:line="240" w:lineRule="auto"/>
        <w:ind w:left="0" w:firstLine="720"/>
        <w:jc w:val="both"/>
        <w:rPr>
          <w:rFonts w:ascii="Cambria" w:hAnsi="Cambria"/>
          <w:color w:val="000000" w:themeColor="text1"/>
          <w:sz w:val="20"/>
          <w:szCs w:val="20"/>
          <w:lang w:val="es-ES"/>
        </w:rPr>
      </w:pPr>
      <w:r w:rsidRPr="00156477">
        <w:rPr>
          <w:rFonts w:ascii="Cambria" w:hAnsi="Cambria"/>
          <w:color w:val="000000" w:themeColor="text1"/>
          <w:sz w:val="20"/>
          <w:szCs w:val="20"/>
          <w:lang w:val="es-CO"/>
        </w:rPr>
        <w:t xml:space="preserve">La Comisión reitera que </w:t>
      </w:r>
      <w:r w:rsidRPr="00156477">
        <w:rPr>
          <w:rFonts w:ascii="Cambria" w:hAnsi="Cambria"/>
          <w:color w:val="000000" w:themeColor="text1"/>
          <w:sz w:val="20"/>
          <w:szCs w:val="20"/>
          <w:lang w:val="es-ES"/>
        </w:rPr>
        <w:t xml:space="preserve">valora positivamente la conmutación de las sentencias de pena de muerte de los señores Leroy </w:t>
      </w:r>
      <w:proofErr w:type="spellStart"/>
      <w:r w:rsidRPr="00156477">
        <w:rPr>
          <w:rFonts w:ascii="Cambria" w:hAnsi="Cambria"/>
          <w:color w:val="000000" w:themeColor="text1"/>
          <w:sz w:val="20"/>
          <w:szCs w:val="20"/>
          <w:lang w:val="es-ES"/>
        </w:rPr>
        <w:t>Lamey</w:t>
      </w:r>
      <w:proofErr w:type="spellEnd"/>
      <w:r w:rsidRPr="00156477">
        <w:rPr>
          <w:rFonts w:ascii="Cambria" w:hAnsi="Cambria"/>
          <w:color w:val="000000" w:themeColor="text1"/>
          <w:sz w:val="20"/>
          <w:szCs w:val="20"/>
          <w:lang w:val="es-ES"/>
        </w:rPr>
        <w:t xml:space="preserve">, Kevin </w:t>
      </w:r>
      <w:proofErr w:type="spellStart"/>
      <w:r w:rsidRPr="00156477">
        <w:rPr>
          <w:rFonts w:ascii="Cambria" w:hAnsi="Cambria"/>
          <w:color w:val="000000" w:themeColor="text1"/>
          <w:sz w:val="20"/>
          <w:szCs w:val="20"/>
          <w:lang w:val="es-ES"/>
        </w:rPr>
        <w:t>Mykoo</w:t>
      </w:r>
      <w:proofErr w:type="spellEnd"/>
      <w:r w:rsidRPr="00156477">
        <w:rPr>
          <w:rFonts w:ascii="Cambria" w:hAnsi="Cambria"/>
          <w:color w:val="000000" w:themeColor="text1"/>
          <w:sz w:val="20"/>
          <w:szCs w:val="20"/>
          <w:lang w:val="es-ES"/>
        </w:rPr>
        <w:t xml:space="preserve">, Milton Montique y Dalton </w:t>
      </w:r>
      <w:proofErr w:type="spellStart"/>
      <w:r w:rsidRPr="00156477">
        <w:rPr>
          <w:rFonts w:ascii="Cambria" w:hAnsi="Cambria"/>
          <w:color w:val="000000" w:themeColor="text1"/>
          <w:sz w:val="20"/>
          <w:szCs w:val="20"/>
          <w:lang w:val="es-ES"/>
        </w:rPr>
        <w:t>Daley</w:t>
      </w:r>
      <w:proofErr w:type="spellEnd"/>
      <w:r w:rsidRPr="00156477">
        <w:rPr>
          <w:rFonts w:ascii="Cambria" w:hAnsi="Cambria"/>
          <w:color w:val="000000" w:themeColor="text1"/>
          <w:sz w:val="20"/>
          <w:szCs w:val="20"/>
          <w:lang w:val="es-ES"/>
        </w:rPr>
        <w:t xml:space="preserve"> y luego el otorgamiento de su libertad condicional. Al respecto, la CIDH identifica que estas medidas constituyen mecanismos para restituir el ejercicio del derecho de las víctimas. </w:t>
      </w:r>
    </w:p>
    <w:p w14:paraId="20146A3A" w14:textId="77777777" w:rsidR="000A3ADE" w:rsidRPr="00156477" w:rsidRDefault="000A3ADE" w:rsidP="00AC5985">
      <w:pPr>
        <w:autoSpaceDE w:val="0"/>
        <w:autoSpaceDN w:val="0"/>
        <w:adjustRightInd w:val="0"/>
        <w:spacing w:after="0" w:line="240" w:lineRule="auto"/>
        <w:ind w:left="720"/>
        <w:jc w:val="both"/>
        <w:rPr>
          <w:rFonts w:ascii="Cambria" w:hAnsi="Cambria"/>
          <w:color w:val="000000" w:themeColor="text1"/>
          <w:sz w:val="20"/>
          <w:szCs w:val="20"/>
          <w:lang w:val="es-ES"/>
        </w:rPr>
      </w:pPr>
    </w:p>
    <w:p w14:paraId="4A3C0365" w14:textId="77777777" w:rsidR="0053490A" w:rsidRPr="00156477" w:rsidRDefault="000A3ADE" w:rsidP="00AC5985">
      <w:pPr>
        <w:numPr>
          <w:ilvl w:val="0"/>
          <w:numId w:val="8"/>
        </w:numPr>
        <w:autoSpaceDE w:val="0"/>
        <w:autoSpaceDN w:val="0"/>
        <w:adjustRightInd w:val="0"/>
        <w:spacing w:after="0" w:line="240" w:lineRule="auto"/>
        <w:ind w:left="0" w:firstLine="720"/>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 xml:space="preserve">Por su parte, en relación con el otorgamiento de una reparación integral a las víctimas de violaciones a los derechos humanos, la CIDH reitera que, de acuerdo con los principios del derecho internacional, todo incumplimiento de una obligación internacional que ocasione un perjuicio da lugar al deber </w:t>
      </w:r>
      <w:r w:rsidRPr="00156477">
        <w:rPr>
          <w:rFonts w:ascii="Cambria" w:hAnsi="Cambria"/>
          <w:color w:val="000000" w:themeColor="text1"/>
          <w:sz w:val="20"/>
          <w:szCs w:val="20"/>
          <w:lang w:val="es-ES"/>
        </w:rPr>
        <w:lastRenderedPageBreak/>
        <w:t>de repararlo de manera adecuada</w:t>
      </w:r>
      <w:r w:rsidRPr="00156477">
        <w:rPr>
          <w:rStyle w:val="FootnoteReference"/>
          <w:rFonts w:ascii="Cambria" w:hAnsi="Cambria"/>
          <w:color w:val="000000" w:themeColor="text1"/>
          <w:sz w:val="20"/>
          <w:szCs w:val="20"/>
          <w:lang w:val="es-ES"/>
        </w:rPr>
        <w:footnoteReference w:id="12"/>
      </w:r>
      <w:r w:rsidRPr="00156477">
        <w:rPr>
          <w:rFonts w:ascii="Cambria" w:hAnsi="Cambria"/>
          <w:color w:val="000000" w:themeColor="text1"/>
          <w:sz w:val="20"/>
          <w:szCs w:val="20"/>
          <w:lang w:val="es-ES"/>
        </w:rPr>
        <w:t xml:space="preserve">. De conformidad con la jurisprudencia del sistema interamericano, las víctimas de violaciones de derechos humanos tienen derecho a percibir una </w:t>
      </w:r>
      <w:r w:rsidR="001424D3" w:rsidRPr="00156477">
        <w:rPr>
          <w:rFonts w:ascii="Cambria" w:hAnsi="Cambria"/>
          <w:color w:val="000000" w:themeColor="text1"/>
          <w:sz w:val="20"/>
          <w:szCs w:val="20"/>
          <w:lang w:val="es-ES"/>
        </w:rPr>
        <w:t>reparación</w:t>
      </w:r>
      <w:r w:rsidRPr="00156477">
        <w:rPr>
          <w:rFonts w:ascii="Cambria" w:hAnsi="Cambria"/>
          <w:color w:val="000000" w:themeColor="text1"/>
          <w:sz w:val="20"/>
          <w:szCs w:val="20"/>
          <w:lang w:val="es-ES"/>
        </w:rPr>
        <w:t xml:space="preserve"> adecuada por el daño sufrido, la cual debe concretarse en medidas individuales para restituir, indemnizar y rehabilitar a la víctima, así como medidas de satisfacción y garantías de que no se repitan tales actos</w:t>
      </w:r>
      <w:r w:rsidRPr="00156477">
        <w:rPr>
          <w:rStyle w:val="FootnoteReference"/>
          <w:rFonts w:ascii="Cambria" w:hAnsi="Cambria"/>
          <w:color w:val="000000" w:themeColor="text1"/>
          <w:sz w:val="20"/>
          <w:szCs w:val="20"/>
          <w:lang w:val="es-ES"/>
        </w:rPr>
        <w:footnoteReference w:id="13"/>
      </w:r>
      <w:r w:rsidRPr="00156477">
        <w:rPr>
          <w:rFonts w:ascii="Cambria" w:hAnsi="Cambria"/>
          <w:color w:val="000000" w:themeColor="text1"/>
          <w:sz w:val="20"/>
          <w:szCs w:val="20"/>
          <w:lang w:val="es-ES"/>
        </w:rPr>
        <w:t xml:space="preserve">. </w:t>
      </w:r>
    </w:p>
    <w:p w14:paraId="7B5B08BD" w14:textId="77777777" w:rsidR="0053490A" w:rsidRPr="00156477" w:rsidRDefault="0053490A" w:rsidP="00AC5985">
      <w:pPr>
        <w:autoSpaceDE w:val="0"/>
        <w:autoSpaceDN w:val="0"/>
        <w:adjustRightInd w:val="0"/>
        <w:spacing w:after="0" w:line="240" w:lineRule="auto"/>
        <w:ind w:left="720"/>
        <w:jc w:val="both"/>
        <w:rPr>
          <w:rFonts w:ascii="Cambria" w:hAnsi="Cambria"/>
          <w:color w:val="000000" w:themeColor="text1"/>
          <w:sz w:val="20"/>
          <w:szCs w:val="20"/>
          <w:lang w:val="es-ES"/>
        </w:rPr>
      </w:pPr>
    </w:p>
    <w:p w14:paraId="6E6B2CB3" w14:textId="77777777" w:rsidR="0053490A" w:rsidRPr="00156477" w:rsidRDefault="00CD6A28" w:rsidP="00AC5985">
      <w:pPr>
        <w:numPr>
          <w:ilvl w:val="0"/>
          <w:numId w:val="8"/>
        </w:numPr>
        <w:autoSpaceDE w:val="0"/>
        <w:autoSpaceDN w:val="0"/>
        <w:adjustRightInd w:val="0"/>
        <w:spacing w:after="0" w:line="240" w:lineRule="auto"/>
        <w:ind w:left="0" w:firstLine="720"/>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 xml:space="preserve">La Comisión toma nota de que </w:t>
      </w:r>
      <w:r w:rsidR="000A3ADE" w:rsidRPr="00156477">
        <w:rPr>
          <w:rFonts w:ascii="Cambria" w:hAnsi="Cambria"/>
          <w:color w:val="000000" w:themeColor="text1"/>
          <w:sz w:val="20"/>
          <w:szCs w:val="20"/>
          <w:lang w:val="es-ES"/>
        </w:rPr>
        <w:t xml:space="preserve">el Estado </w:t>
      </w:r>
      <w:r w:rsidRPr="00156477">
        <w:rPr>
          <w:rFonts w:ascii="Cambria" w:hAnsi="Cambria"/>
          <w:color w:val="000000" w:themeColor="text1"/>
          <w:sz w:val="20"/>
          <w:szCs w:val="20"/>
          <w:lang w:val="es-ES"/>
        </w:rPr>
        <w:t>indicó</w:t>
      </w:r>
      <w:r w:rsidR="000A3ADE" w:rsidRPr="00156477">
        <w:rPr>
          <w:rFonts w:ascii="Cambria" w:hAnsi="Cambria"/>
          <w:color w:val="000000" w:themeColor="text1"/>
          <w:sz w:val="20"/>
          <w:szCs w:val="20"/>
          <w:lang w:val="es-ES"/>
        </w:rPr>
        <w:t xml:space="preserve"> que </w:t>
      </w:r>
      <w:r w:rsidRPr="00156477">
        <w:rPr>
          <w:rFonts w:ascii="Cambria" w:hAnsi="Cambria"/>
          <w:color w:val="000000" w:themeColor="text1"/>
          <w:sz w:val="20"/>
          <w:szCs w:val="20"/>
          <w:lang w:val="es-ES"/>
        </w:rPr>
        <w:t>ha prestado</w:t>
      </w:r>
      <w:r w:rsidR="000A3ADE" w:rsidRPr="00156477">
        <w:rPr>
          <w:rFonts w:ascii="Cambria" w:hAnsi="Cambria"/>
          <w:color w:val="000000" w:themeColor="text1"/>
          <w:sz w:val="20"/>
          <w:szCs w:val="20"/>
          <w:lang w:val="es-ES"/>
        </w:rPr>
        <w:t xml:space="preserve"> servicios médicos psicológicos o psiquiátricos adecuados en las instituciones penitenciarias</w:t>
      </w:r>
      <w:r w:rsidRPr="00156477">
        <w:rPr>
          <w:rFonts w:ascii="Cambria" w:hAnsi="Cambria"/>
          <w:color w:val="000000" w:themeColor="text1"/>
          <w:sz w:val="20"/>
          <w:szCs w:val="20"/>
          <w:lang w:val="es-ES"/>
        </w:rPr>
        <w:t>, lo que</w:t>
      </w:r>
      <w:r w:rsidR="000A3ADE" w:rsidRPr="00156477">
        <w:rPr>
          <w:rFonts w:ascii="Cambria" w:hAnsi="Cambria"/>
          <w:color w:val="000000" w:themeColor="text1"/>
          <w:sz w:val="20"/>
          <w:szCs w:val="20"/>
          <w:lang w:val="es-ES"/>
        </w:rPr>
        <w:t xml:space="preserve"> constituye un sustituto apropiado a un pago monetario para reparar los </w:t>
      </w:r>
      <w:r w:rsidR="000A3ADE" w:rsidRPr="00156477">
        <w:rPr>
          <w:rFonts w:ascii="Cambria" w:hAnsi="Cambria"/>
          <w:color w:val="000000" w:themeColor="text1"/>
          <w:sz w:val="20"/>
          <w:szCs w:val="20"/>
          <w:lang w:val="es-CO"/>
        </w:rPr>
        <w:t>daños morales sufridos</w:t>
      </w:r>
      <w:r w:rsidR="000A3ADE" w:rsidRPr="00156477">
        <w:rPr>
          <w:rFonts w:ascii="Cambria" w:hAnsi="Cambria"/>
          <w:color w:val="000000" w:themeColor="text1"/>
          <w:sz w:val="20"/>
          <w:szCs w:val="20"/>
          <w:lang w:val="es-ES"/>
        </w:rPr>
        <w:t xml:space="preserve"> por estar en el corredor de la muerte</w:t>
      </w:r>
      <w:r w:rsidRPr="00156477">
        <w:rPr>
          <w:rFonts w:ascii="Cambria" w:hAnsi="Cambria"/>
          <w:color w:val="000000" w:themeColor="text1"/>
          <w:sz w:val="20"/>
          <w:szCs w:val="20"/>
          <w:lang w:val="es-ES"/>
        </w:rPr>
        <w:t>.</w:t>
      </w:r>
      <w:r w:rsidR="000A3ADE" w:rsidRPr="00156477">
        <w:rPr>
          <w:rFonts w:ascii="Cambria" w:hAnsi="Cambria"/>
          <w:color w:val="000000" w:themeColor="text1"/>
          <w:sz w:val="20"/>
          <w:szCs w:val="20"/>
          <w:lang w:val="es-ES"/>
        </w:rPr>
        <w:t xml:space="preserve"> </w:t>
      </w:r>
      <w:r w:rsidRPr="00156477">
        <w:rPr>
          <w:rFonts w:ascii="Cambria" w:hAnsi="Cambria"/>
          <w:color w:val="000000" w:themeColor="text1"/>
          <w:sz w:val="20"/>
          <w:szCs w:val="20"/>
          <w:lang w:val="es-ES"/>
        </w:rPr>
        <w:t>L</w:t>
      </w:r>
      <w:r w:rsidR="000A3ADE" w:rsidRPr="00156477">
        <w:rPr>
          <w:rFonts w:ascii="Cambria" w:hAnsi="Cambria"/>
          <w:color w:val="000000" w:themeColor="text1"/>
          <w:sz w:val="20"/>
          <w:szCs w:val="20"/>
          <w:lang w:val="es-ES"/>
        </w:rPr>
        <w:t xml:space="preserve">a Comisión establece que, aunque el Estado ha afirmado haber garantizado estos servicios, no ha remitido información que describa </w:t>
      </w:r>
      <w:r w:rsidR="0053490A" w:rsidRPr="00156477">
        <w:rPr>
          <w:rFonts w:ascii="Cambria" w:hAnsi="Cambria"/>
          <w:color w:val="000000" w:themeColor="text1"/>
          <w:sz w:val="20"/>
          <w:szCs w:val="20"/>
          <w:lang w:val="es-ES"/>
        </w:rPr>
        <w:t xml:space="preserve">en </w:t>
      </w:r>
      <w:r w:rsidR="000A3ADE" w:rsidRPr="00156477">
        <w:rPr>
          <w:rFonts w:ascii="Cambria" w:hAnsi="Cambria"/>
          <w:color w:val="000000" w:themeColor="text1"/>
          <w:sz w:val="20"/>
          <w:szCs w:val="20"/>
          <w:lang w:val="es-ES"/>
        </w:rPr>
        <w:t xml:space="preserve">qué ha consistido concretamente la implementación de estas medidas de rehabilitación respecto de las víctimas de </w:t>
      </w:r>
      <w:r w:rsidR="0053490A" w:rsidRPr="00156477">
        <w:rPr>
          <w:rFonts w:ascii="Cambria" w:hAnsi="Cambria"/>
          <w:color w:val="000000" w:themeColor="text1"/>
          <w:sz w:val="20"/>
          <w:szCs w:val="20"/>
          <w:lang w:val="es-ES"/>
        </w:rPr>
        <w:t xml:space="preserve">este </w:t>
      </w:r>
      <w:r w:rsidR="000A3ADE" w:rsidRPr="00156477">
        <w:rPr>
          <w:rFonts w:ascii="Cambria" w:hAnsi="Cambria"/>
          <w:color w:val="000000" w:themeColor="text1"/>
          <w:sz w:val="20"/>
          <w:szCs w:val="20"/>
          <w:lang w:val="es-ES"/>
        </w:rPr>
        <w:t xml:space="preserve">caso. Esta información es esencial para que la Comisión evalúe en qué medida se ha garantizado el derecho a la reparación de estas personas.  </w:t>
      </w:r>
    </w:p>
    <w:p w14:paraId="11A18740" w14:textId="77777777" w:rsidR="0053490A" w:rsidRPr="00156477" w:rsidRDefault="0053490A" w:rsidP="006F3E0E">
      <w:pPr>
        <w:autoSpaceDE w:val="0"/>
        <w:autoSpaceDN w:val="0"/>
        <w:adjustRightInd w:val="0"/>
        <w:spacing w:after="0" w:line="240" w:lineRule="auto"/>
        <w:jc w:val="both"/>
        <w:rPr>
          <w:rFonts w:ascii="Cambria" w:hAnsi="Cambria"/>
          <w:color w:val="000000" w:themeColor="text1"/>
          <w:sz w:val="20"/>
          <w:szCs w:val="20"/>
          <w:lang w:val="es-ES"/>
        </w:rPr>
      </w:pPr>
    </w:p>
    <w:p w14:paraId="7CCE51AD" w14:textId="77230256" w:rsidR="000A3ADE" w:rsidRPr="00156477" w:rsidRDefault="0053490A" w:rsidP="00AC5985">
      <w:pPr>
        <w:numPr>
          <w:ilvl w:val="0"/>
          <w:numId w:val="8"/>
        </w:numPr>
        <w:autoSpaceDE w:val="0"/>
        <w:autoSpaceDN w:val="0"/>
        <w:adjustRightInd w:val="0"/>
        <w:spacing w:after="0" w:line="240" w:lineRule="auto"/>
        <w:ind w:left="0" w:firstLine="720"/>
        <w:jc w:val="both"/>
        <w:rPr>
          <w:rFonts w:ascii="Cambria" w:hAnsi="Cambria"/>
          <w:color w:val="000000" w:themeColor="text1"/>
          <w:sz w:val="20"/>
          <w:szCs w:val="20"/>
          <w:lang w:val="es-ES"/>
        </w:rPr>
      </w:pPr>
      <w:r w:rsidRPr="00156477">
        <w:rPr>
          <w:rFonts w:ascii="Cambria" w:eastAsia="Times New Roman" w:hAnsi="Cambria"/>
          <w:color w:val="000000" w:themeColor="text1"/>
          <w:sz w:val="20"/>
          <w:szCs w:val="20"/>
          <w:lang w:val="es-ES"/>
        </w:rPr>
        <w:t>A partir de lo anterior y d</w:t>
      </w:r>
      <w:r w:rsidR="000A3ADE" w:rsidRPr="00156477">
        <w:rPr>
          <w:rFonts w:ascii="Cambria" w:eastAsia="Times New Roman" w:hAnsi="Cambria"/>
          <w:color w:val="000000" w:themeColor="text1"/>
          <w:sz w:val="20"/>
          <w:szCs w:val="20"/>
          <w:lang w:val="es-ES"/>
        </w:rPr>
        <w:t xml:space="preserve">e acuerdo con el principio de participación de las víctimas, la Comisión considera que la evaluación del cumplimiento de esta recomendación </w:t>
      </w:r>
      <w:r w:rsidR="006F3E0E" w:rsidRPr="00156477">
        <w:rPr>
          <w:rFonts w:ascii="Cambria" w:eastAsia="Times New Roman" w:hAnsi="Cambria"/>
          <w:color w:val="000000" w:themeColor="text1"/>
          <w:sz w:val="20"/>
          <w:szCs w:val="20"/>
          <w:lang w:val="es-ES"/>
        </w:rPr>
        <w:t>debe tener</w:t>
      </w:r>
      <w:r w:rsidR="000A3ADE" w:rsidRPr="00156477">
        <w:rPr>
          <w:rFonts w:ascii="Cambria" w:eastAsia="Times New Roman" w:hAnsi="Cambria"/>
          <w:color w:val="000000" w:themeColor="text1"/>
          <w:sz w:val="20"/>
          <w:szCs w:val="20"/>
          <w:lang w:val="es-ES"/>
        </w:rPr>
        <w:t xml:space="preserve"> en cuenta la perspectiva de las víctimas </w:t>
      </w:r>
      <w:r w:rsidR="000A3ADE" w:rsidRPr="00156477">
        <w:rPr>
          <w:rFonts w:ascii="Cambria" w:hAnsi="Cambria"/>
          <w:color w:val="000000" w:themeColor="text1"/>
          <w:sz w:val="20"/>
          <w:szCs w:val="20"/>
          <w:lang w:val="es-CO"/>
        </w:rPr>
        <w:t xml:space="preserve">sobre las acciones adoptadas para cumplir y que, además, esta perspectiva </w:t>
      </w:r>
      <w:r w:rsidR="006F3E0E" w:rsidRPr="00156477">
        <w:rPr>
          <w:rFonts w:ascii="Cambria" w:hAnsi="Cambria"/>
          <w:color w:val="000000" w:themeColor="text1"/>
          <w:sz w:val="20"/>
          <w:szCs w:val="20"/>
          <w:lang w:val="es-CO"/>
        </w:rPr>
        <w:t>debe ser</w:t>
      </w:r>
      <w:r w:rsidR="000A3ADE" w:rsidRPr="00156477">
        <w:rPr>
          <w:rFonts w:ascii="Cambria" w:hAnsi="Cambria"/>
          <w:color w:val="000000" w:themeColor="text1"/>
          <w:sz w:val="20"/>
          <w:szCs w:val="20"/>
          <w:lang w:val="es-CO"/>
        </w:rPr>
        <w:t xml:space="preserve"> tenida en cuenta por el Estado</w:t>
      </w:r>
      <w:r w:rsidR="00A122D3" w:rsidRPr="00156477">
        <w:rPr>
          <w:rFonts w:ascii="Cambria" w:hAnsi="Cambria"/>
          <w:color w:val="000000" w:themeColor="text1"/>
          <w:sz w:val="20"/>
          <w:szCs w:val="20"/>
          <w:lang w:val="es-CO"/>
        </w:rPr>
        <w:t xml:space="preserve"> al momento de determinar si las medidas implementad</w:t>
      </w:r>
      <w:r w:rsidR="006F3E0E" w:rsidRPr="00156477">
        <w:rPr>
          <w:rFonts w:ascii="Cambria" w:hAnsi="Cambria"/>
          <w:color w:val="000000" w:themeColor="text1"/>
          <w:sz w:val="20"/>
          <w:szCs w:val="20"/>
          <w:lang w:val="es-CO"/>
        </w:rPr>
        <w:t>as</w:t>
      </w:r>
      <w:r w:rsidR="00A122D3" w:rsidRPr="00156477">
        <w:rPr>
          <w:rFonts w:ascii="Cambria" w:hAnsi="Cambria"/>
          <w:color w:val="000000" w:themeColor="text1"/>
          <w:sz w:val="20"/>
          <w:szCs w:val="20"/>
          <w:lang w:val="es-CO"/>
        </w:rPr>
        <w:t xml:space="preserve"> constituyen una reparación integral de los daños</w:t>
      </w:r>
      <w:r w:rsidRPr="00156477">
        <w:rPr>
          <w:rStyle w:val="FootnoteReference"/>
          <w:rFonts w:ascii="Cambria" w:hAnsi="Cambria"/>
          <w:color w:val="000000" w:themeColor="text1"/>
          <w:sz w:val="20"/>
          <w:szCs w:val="20"/>
          <w:lang w:val="es-CO"/>
        </w:rPr>
        <w:footnoteReference w:id="14"/>
      </w:r>
      <w:r w:rsidR="000A3ADE" w:rsidRPr="00156477">
        <w:rPr>
          <w:rFonts w:ascii="Cambria" w:hAnsi="Cambria"/>
          <w:color w:val="000000" w:themeColor="text1"/>
          <w:sz w:val="20"/>
          <w:szCs w:val="20"/>
          <w:lang w:val="es-CO"/>
        </w:rPr>
        <w:t xml:space="preserve">. En este sentido, la Comisión hace un llamado a la parte peticionaria del caso a pronunciarse sobre la posición del Estado con miras a </w:t>
      </w:r>
      <w:r w:rsidR="00A122D3" w:rsidRPr="00156477">
        <w:rPr>
          <w:rFonts w:ascii="Cambria" w:hAnsi="Cambria"/>
          <w:color w:val="000000" w:themeColor="text1"/>
          <w:sz w:val="20"/>
          <w:szCs w:val="20"/>
          <w:lang w:val="es-CO"/>
        </w:rPr>
        <w:t>informar</w:t>
      </w:r>
      <w:r w:rsidR="000A3ADE" w:rsidRPr="00156477">
        <w:rPr>
          <w:rFonts w:ascii="Cambria" w:hAnsi="Cambria"/>
          <w:color w:val="000000" w:themeColor="text1"/>
          <w:sz w:val="20"/>
          <w:szCs w:val="20"/>
          <w:lang w:val="es-CO"/>
        </w:rPr>
        <w:t xml:space="preserve"> si, a partir de las medidas implementadas al momento por el Estado, las víctimas han visto garantizado su derecho a la reparación, en los términos de </w:t>
      </w:r>
      <w:r w:rsidR="00C15F79" w:rsidRPr="00156477">
        <w:rPr>
          <w:rFonts w:ascii="Cambria" w:hAnsi="Cambria"/>
          <w:color w:val="000000" w:themeColor="text1"/>
          <w:sz w:val="20"/>
          <w:szCs w:val="20"/>
          <w:lang w:val="es-CO"/>
        </w:rPr>
        <w:t>la</w:t>
      </w:r>
      <w:r w:rsidR="000A3ADE" w:rsidRPr="00156477">
        <w:rPr>
          <w:rFonts w:ascii="Cambria" w:hAnsi="Cambria"/>
          <w:color w:val="000000" w:themeColor="text1"/>
          <w:sz w:val="20"/>
          <w:szCs w:val="20"/>
          <w:lang w:val="es-CO"/>
        </w:rPr>
        <w:t xml:space="preserve"> recomendación. Asimismo, la Comisión pone a disposición de ambas partes la posibilidad de </w:t>
      </w:r>
      <w:r w:rsidR="00A122D3" w:rsidRPr="00156477">
        <w:rPr>
          <w:rFonts w:ascii="Cambria" w:hAnsi="Cambria"/>
          <w:color w:val="000000" w:themeColor="text1"/>
          <w:sz w:val="20"/>
          <w:szCs w:val="20"/>
          <w:lang w:val="es-CO"/>
        </w:rPr>
        <w:t>que este órgano preste</w:t>
      </w:r>
      <w:r w:rsidR="000A3ADE" w:rsidRPr="00156477">
        <w:rPr>
          <w:rFonts w:ascii="Cambria" w:hAnsi="Cambria"/>
          <w:color w:val="000000" w:themeColor="text1"/>
          <w:sz w:val="20"/>
          <w:szCs w:val="20"/>
          <w:lang w:val="es-CO"/>
        </w:rPr>
        <w:t xml:space="preserve"> un apoyo técnico que permita, por un lado, identificar las medidas de cumplimiento</w:t>
      </w:r>
      <w:r w:rsidR="00A122D3" w:rsidRPr="00156477">
        <w:rPr>
          <w:rFonts w:ascii="Cambria" w:hAnsi="Cambria"/>
          <w:color w:val="000000" w:themeColor="text1"/>
          <w:sz w:val="20"/>
          <w:szCs w:val="20"/>
          <w:lang w:val="es-CO"/>
        </w:rPr>
        <w:t xml:space="preserve"> </w:t>
      </w:r>
      <w:r w:rsidR="000A3ADE" w:rsidRPr="00156477">
        <w:rPr>
          <w:rFonts w:ascii="Cambria" w:hAnsi="Cambria"/>
          <w:color w:val="000000" w:themeColor="text1"/>
          <w:sz w:val="20"/>
          <w:szCs w:val="20"/>
          <w:lang w:val="es-CO"/>
        </w:rPr>
        <w:t xml:space="preserve">plenamente implementadas y, por el otro, </w:t>
      </w:r>
      <w:r w:rsidR="00A122D3" w:rsidRPr="00156477">
        <w:rPr>
          <w:rFonts w:ascii="Cambria" w:hAnsi="Cambria"/>
          <w:color w:val="000000" w:themeColor="text1"/>
          <w:sz w:val="20"/>
          <w:szCs w:val="20"/>
          <w:lang w:val="es-CO"/>
        </w:rPr>
        <w:t>verificar</w:t>
      </w:r>
      <w:r w:rsidR="000A3ADE" w:rsidRPr="00156477">
        <w:rPr>
          <w:rFonts w:ascii="Cambria" w:hAnsi="Cambria"/>
          <w:color w:val="000000" w:themeColor="text1"/>
          <w:sz w:val="20"/>
          <w:szCs w:val="20"/>
          <w:lang w:val="es-CO"/>
        </w:rPr>
        <w:t xml:space="preserve"> si, en consonancia con los daños causados, hay medidas </w:t>
      </w:r>
      <w:r w:rsidR="00A122D3" w:rsidRPr="00156477">
        <w:rPr>
          <w:rFonts w:ascii="Cambria" w:hAnsi="Cambria"/>
          <w:color w:val="000000" w:themeColor="text1"/>
          <w:sz w:val="20"/>
          <w:szCs w:val="20"/>
          <w:lang w:val="es-CO"/>
        </w:rPr>
        <w:t>pendientes</w:t>
      </w:r>
      <w:r w:rsidR="000A3ADE" w:rsidRPr="00156477">
        <w:rPr>
          <w:rFonts w:ascii="Cambria" w:hAnsi="Cambria"/>
          <w:color w:val="000000" w:themeColor="text1"/>
          <w:sz w:val="20"/>
          <w:szCs w:val="20"/>
          <w:lang w:val="es-CO"/>
        </w:rPr>
        <w:t xml:space="preserve"> </w:t>
      </w:r>
      <w:r w:rsidR="00A122D3" w:rsidRPr="00156477">
        <w:rPr>
          <w:rFonts w:ascii="Cambria" w:hAnsi="Cambria"/>
          <w:color w:val="000000" w:themeColor="text1"/>
          <w:sz w:val="20"/>
          <w:szCs w:val="20"/>
          <w:lang w:val="es-CO"/>
        </w:rPr>
        <w:t xml:space="preserve">para que </w:t>
      </w:r>
      <w:r w:rsidR="006F3E0E" w:rsidRPr="00156477">
        <w:rPr>
          <w:rFonts w:ascii="Cambria" w:hAnsi="Cambria"/>
          <w:color w:val="000000" w:themeColor="text1"/>
          <w:sz w:val="20"/>
          <w:szCs w:val="20"/>
          <w:lang w:val="es-CO"/>
        </w:rPr>
        <w:t>garantizar</w:t>
      </w:r>
      <w:r w:rsidR="000A3ADE" w:rsidRPr="00156477">
        <w:rPr>
          <w:rFonts w:ascii="Cambria" w:hAnsi="Cambria"/>
          <w:color w:val="000000" w:themeColor="text1"/>
          <w:sz w:val="20"/>
          <w:szCs w:val="20"/>
          <w:lang w:val="es-CO"/>
        </w:rPr>
        <w:t xml:space="preserve"> en debida forma el derecho que tienen las víctimas</w:t>
      </w:r>
      <w:r w:rsidR="00A122D3" w:rsidRPr="00156477">
        <w:rPr>
          <w:rFonts w:ascii="Cambria" w:hAnsi="Cambria"/>
          <w:color w:val="000000" w:themeColor="text1"/>
          <w:sz w:val="20"/>
          <w:szCs w:val="20"/>
          <w:lang w:val="es-CO"/>
        </w:rPr>
        <w:t xml:space="preserve"> de violaciones a los derechos humanos</w:t>
      </w:r>
      <w:r w:rsidR="000A3ADE" w:rsidRPr="00156477">
        <w:rPr>
          <w:rFonts w:ascii="Cambria" w:hAnsi="Cambria"/>
          <w:color w:val="000000" w:themeColor="text1"/>
          <w:sz w:val="20"/>
          <w:szCs w:val="20"/>
          <w:lang w:val="es-CO"/>
        </w:rPr>
        <w:t xml:space="preserve"> a ser plenamente reparadas.</w:t>
      </w:r>
      <w:r w:rsidR="004E5FB6" w:rsidRPr="00156477">
        <w:rPr>
          <w:rFonts w:ascii="Cambria" w:hAnsi="Cambria"/>
          <w:color w:val="000000" w:themeColor="text1"/>
          <w:sz w:val="20"/>
          <w:szCs w:val="20"/>
          <w:lang w:val="es-CO"/>
        </w:rPr>
        <w:t xml:space="preserve"> </w:t>
      </w:r>
      <w:r w:rsidR="004E5FB6" w:rsidRPr="00156477">
        <w:rPr>
          <w:rFonts w:ascii="Cambria" w:hAnsi="Cambria" w:cs="Calibri Light"/>
          <w:color w:val="000000" w:themeColor="text1"/>
          <w:sz w:val="20"/>
          <w:szCs w:val="20"/>
          <w:lang w:val="es-US"/>
        </w:rPr>
        <w:t>En vista de lo anterior, la Comisión observa que el nivel de dicha recomendación es parcial sustancial.</w:t>
      </w:r>
    </w:p>
    <w:p w14:paraId="1220593B" w14:textId="77777777" w:rsidR="00A55729" w:rsidRPr="00156477" w:rsidRDefault="00A55729" w:rsidP="00AC5985">
      <w:pPr>
        <w:autoSpaceDE w:val="0"/>
        <w:autoSpaceDN w:val="0"/>
        <w:adjustRightInd w:val="0"/>
        <w:spacing w:after="0" w:line="240" w:lineRule="auto"/>
        <w:jc w:val="both"/>
        <w:rPr>
          <w:rFonts w:ascii="Cambria" w:hAnsi="Cambria"/>
          <w:color w:val="000000" w:themeColor="text1"/>
          <w:sz w:val="20"/>
          <w:szCs w:val="20"/>
          <w:lang w:val="es-CO"/>
        </w:rPr>
      </w:pPr>
    </w:p>
    <w:p w14:paraId="7E0BD7D0" w14:textId="77777777" w:rsidR="008037BE" w:rsidRPr="00156477" w:rsidRDefault="00775C43" w:rsidP="00AC5985">
      <w:pPr>
        <w:numPr>
          <w:ilvl w:val="0"/>
          <w:numId w:val="8"/>
        </w:numPr>
        <w:spacing w:after="0" w:line="240" w:lineRule="auto"/>
        <w:ind w:left="0" w:firstLine="720"/>
        <w:jc w:val="both"/>
        <w:rPr>
          <w:rFonts w:ascii="Cambria" w:hAnsi="Cambria"/>
          <w:color w:val="000000" w:themeColor="text1"/>
          <w:sz w:val="20"/>
          <w:szCs w:val="20"/>
          <w:lang w:val="es-ES"/>
        </w:rPr>
      </w:pPr>
      <w:r w:rsidRPr="00156477">
        <w:rPr>
          <w:rFonts w:ascii="Cambria" w:hAnsi="Cambria" w:cs="Calibri Light"/>
          <w:b/>
          <w:color w:val="000000" w:themeColor="text1"/>
          <w:sz w:val="20"/>
          <w:szCs w:val="20"/>
          <w:lang w:val="es-ES"/>
        </w:rPr>
        <w:t>Respecto de la quinta recomendación</w:t>
      </w:r>
      <w:r w:rsidR="00B8714F" w:rsidRPr="00156477">
        <w:rPr>
          <w:rFonts w:ascii="Cambria" w:hAnsi="Cambria"/>
          <w:color w:val="000000" w:themeColor="text1"/>
          <w:sz w:val="20"/>
          <w:szCs w:val="20"/>
          <w:lang w:val="es-ES"/>
        </w:rPr>
        <w:t xml:space="preserve">, </w:t>
      </w:r>
      <w:r w:rsidRPr="00156477">
        <w:rPr>
          <w:rFonts w:ascii="Cambria" w:hAnsi="Cambria"/>
          <w:color w:val="000000" w:themeColor="text1"/>
          <w:sz w:val="20"/>
          <w:szCs w:val="20"/>
          <w:lang w:val="es-ES"/>
        </w:rPr>
        <w:t xml:space="preserve">en 2015, el Estado </w:t>
      </w:r>
      <w:r w:rsidR="002C60D2" w:rsidRPr="00156477">
        <w:rPr>
          <w:rFonts w:ascii="Cambria" w:hAnsi="Cambria"/>
          <w:color w:val="000000" w:themeColor="text1"/>
          <w:sz w:val="20"/>
          <w:szCs w:val="20"/>
          <w:lang w:val="es-ES"/>
        </w:rPr>
        <w:t>afirmó</w:t>
      </w:r>
      <w:r w:rsidRPr="00156477">
        <w:rPr>
          <w:rFonts w:ascii="Cambria" w:hAnsi="Cambria"/>
          <w:color w:val="000000" w:themeColor="text1"/>
          <w:sz w:val="20"/>
          <w:szCs w:val="20"/>
          <w:lang w:val="es-ES"/>
        </w:rPr>
        <w:t xml:space="preserve"> que las garantías judiciales y el derecho a la protección judicial están debidamente protegidos de conformidad con las secciones 13 y 16 de la Carta de Derechos y Libertades Fundamentales de Jamaica, los cuales han sido ampliados por la jurisprudencia del Comité Judicial del Consejo Privado de Jamaica y la Corte de </w:t>
      </w:r>
      <w:r w:rsidR="002C60D2" w:rsidRPr="00156477">
        <w:rPr>
          <w:rFonts w:ascii="Cambria" w:hAnsi="Cambria"/>
          <w:color w:val="000000" w:themeColor="text1"/>
          <w:sz w:val="20"/>
          <w:szCs w:val="20"/>
          <w:lang w:val="es-ES"/>
        </w:rPr>
        <w:t>Apelación</w:t>
      </w:r>
      <w:r w:rsidR="008D0738" w:rsidRPr="00156477">
        <w:rPr>
          <w:rStyle w:val="FootnoteReference"/>
          <w:rFonts w:ascii="Cambria" w:hAnsi="Cambria"/>
          <w:color w:val="000000" w:themeColor="text1"/>
          <w:sz w:val="20"/>
          <w:szCs w:val="20"/>
          <w:lang w:val="es-ES"/>
        </w:rPr>
        <w:footnoteReference w:id="15"/>
      </w:r>
      <w:r w:rsidRPr="00156477">
        <w:rPr>
          <w:rFonts w:ascii="Cambria" w:hAnsi="Cambria"/>
          <w:color w:val="000000" w:themeColor="text1"/>
          <w:sz w:val="20"/>
          <w:szCs w:val="20"/>
          <w:lang w:val="es-ES"/>
        </w:rPr>
        <w:t>.</w:t>
      </w:r>
      <w:r w:rsidR="00862DD8" w:rsidRPr="00156477">
        <w:rPr>
          <w:rFonts w:ascii="Cambria" w:hAnsi="Cambria"/>
          <w:color w:val="000000" w:themeColor="text1"/>
          <w:sz w:val="20"/>
          <w:szCs w:val="20"/>
          <w:lang w:val="es-ES"/>
        </w:rPr>
        <w:t xml:space="preserve"> </w:t>
      </w:r>
      <w:r w:rsidR="001E09F8" w:rsidRPr="00156477">
        <w:rPr>
          <w:rFonts w:ascii="Cambria" w:hAnsi="Cambria"/>
          <w:color w:val="000000" w:themeColor="text1"/>
          <w:sz w:val="20"/>
          <w:szCs w:val="20"/>
          <w:lang w:val="es-ES"/>
        </w:rPr>
        <w:t>Además, el Estado indicó que no se opone a considerar la prestación de asistencia legal a las personas que desean presentar mociones constitucionales, pero sostiene que el Estado no tiene la obligación de hacerlo conforme al artículo 8 de la Convención Americana.</w:t>
      </w:r>
    </w:p>
    <w:p w14:paraId="27634D49" w14:textId="77777777" w:rsidR="008F4005" w:rsidRPr="00156477" w:rsidRDefault="008F4005" w:rsidP="00AC5985">
      <w:pPr>
        <w:spacing w:after="0" w:line="240" w:lineRule="auto"/>
        <w:jc w:val="both"/>
        <w:rPr>
          <w:rFonts w:ascii="Cambria" w:hAnsi="Cambria"/>
          <w:color w:val="000000" w:themeColor="text1"/>
          <w:sz w:val="20"/>
          <w:szCs w:val="20"/>
          <w:lang w:val="es-ES"/>
        </w:rPr>
      </w:pPr>
    </w:p>
    <w:p w14:paraId="2798B3C6" w14:textId="77777777" w:rsidR="00A90AE2" w:rsidRPr="00156477" w:rsidRDefault="008037BE" w:rsidP="00AC5985">
      <w:pPr>
        <w:numPr>
          <w:ilvl w:val="0"/>
          <w:numId w:val="8"/>
        </w:numPr>
        <w:spacing w:after="0" w:line="240" w:lineRule="auto"/>
        <w:ind w:left="0" w:firstLine="720"/>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Durante el 2019</w:t>
      </w:r>
      <w:r w:rsidR="00A90AE2" w:rsidRPr="00156477">
        <w:rPr>
          <w:rFonts w:ascii="Cambria" w:hAnsi="Cambria"/>
          <w:color w:val="000000" w:themeColor="text1"/>
          <w:sz w:val="20"/>
          <w:szCs w:val="20"/>
          <w:lang w:val="es-ES"/>
        </w:rPr>
        <w:t>,</w:t>
      </w:r>
      <w:r w:rsidRPr="00156477">
        <w:rPr>
          <w:rFonts w:ascii="Cambria" w:hAnsi="Cambria"/>
          <w:color w:val="000000" w:themeColor="text1"/>
          <w:sz w:val="20"/>
          <w:szCs w:val="20"/>
          <w:lang w:val="es-ES"/>
        </w:rPr>
        <w:t xml:space="preserve"> </w:t>
      </w:r>
      <w:r w:rsidR="008F4005" w:rsidRPr="00156477">
        <w:rPr>
          <w:rFonts w:ascii="Cambria" w:hAnsi="Cambria"/>
          <w:color w:val="000000" w:themeColor="text1"/>
          <w:sz w:val="20"/>
          <w:szCs w:val="20"/>
          <w:lang w:val="es-ES"/>
        </w:rPr>
        <w:t>el Estado reiteró la información proporcionada durante el 2015 y enfatizó que</w:t>
      </w:r>
      <w:r w:rsidR="00A90AE2" w:rsidRPr="00156477">
        <w:rPr>
          <w:rFonts w:ascii="Cambria" w:hAnsi="Cambria"/>
          <w:color w:val="000000" w:themeColor="text1"/>
          <w:sz w:val="20"/>
          <w:szCs w:val="20"/>
          <w:lang w:val="es-ES"/>
        </w:rPr>
        <w:t>,</w:t>
      </w:r>
      <w:r w:rsidR="008F4005" w:rsidRPr="00156477">
        <w:rPr>
          <w:rFonts w:ascii="Cambria" w:hAnsi="Cambria"/>
          <w:color w:val="000000" w:themeColor="text1"/>
          <w:sz w:val="20"/>
          <w:szCs w:val="20"/>
          <w:lang w:val="es-ES"/>
        </w:rPr>
        <w:t xml:space="preserve"> con posterioridad a la emisión del Informe</w:t>
      </w:r>
      <w:r w:rsidR="00897552" w:rsidRPr="00156477">
        <w:rPr>
          <w:rFonts w:ascii="Cambria" w:hAnsi="Cambria"/>
          <w:color w:val="000000" w:themeColor="text1"/>
          <w:sz w:val="20"/>
          <w:szCs w:val="20"/>
          <w:lang w:val="es-ES"/>
        </w:rPr>
        <w:t xml:space="preserve"> de Fondo</w:t>
      </w:r>
      <w:r w:rsidR="008F4005" w:rsidRPr="00156477">
        <w:rPr>
          <w:rFonts w:ascii="Cambria" w:hAnsi="Cambria"/>
          <w:color w:val="000000" w:themeColor="text1"/>
          <w:sz w:val="20"/>
          <w:szCs w:val="20"/>
          <w:lang w:val="es-ES"/>
        </w:rPr>
        <w:t xml:space="preserve"> N</w:t>
      </w:r>
      <w:r w:rsidR="00A90AE2" w:rsidRPr="00156477">
        <w:rPr>
          <w:rFonts w:ascii="Cambria" w:hAnsi="Cambria"/>
          <w:color w:val="000000" w:themeColor="text1"/>
          <w:sz w:val="20"/>
          <w:szCs w:val="20"/>
          <w:lang w:val="es-ES"/>
        </w:rPr>
        <w:t>º</w:t>
      </w:r>
      <w:r w:rsidR="008F4005" w:rsidRPr="00156477">
        <w:rPr>
          <w:rFonts w:ascii="Cambria" w:hAnsi="Cambria"/>
          <w:color w:val="000000" w:themeColor="text1"/>
          <w:sz w:val="20"/>
          <w:szCs w:val="20"/>
          <w:lang w:val="es-ES"/>
        </w:rPr>
        <w:t xml:space="preserve"> 49/01</w:t>
      </w:r>
      <w:r w:rsidR="00A90AE2" w:rsidRPr="00156477">
        <w:rPr>
          <w:rFonts w:ascii="Cambria" w:hAnsi="Cambria"/>
          <w:color w:val="000000" w:themeColor="text1"/>
          <w:sz w:val="20"/>
          <w:szCs w:val="20"/>
          <w:lang w:val="es-ES"/>
        </w:rPr>
        <w:t>,</w:t>
      </w:r>
      <w:r w:rsidR="008F4005" w:rsidRPr="00156477">
        <w:rPr>
          <w:rFonts w:ascii="Cambria" w:hAnsi="Cambria"/>
          <w:color w:val="000000" w:themeColor="text1"/>
          <w:sz w:val="20"/>
          <w:szCs w:val="20"/>
          <w:lang w:val="es-ES"/>
        </w:rPr>
        <w:t xml:space="preserve"> entró en vigor la Ley de Asistencia Legal. Con ello, el Estado sostuvo que desde ese momento todas las personas pueden acceder a asistencia legal en el marco de procesos constitucionales. </w:t>
      </w:r>
      <w:r w:rsidR="00A90AE2" w:rsidRPr="00156477">
        <w:rPr>
          <w:rFonts w:ascii="Cambria" w:hAnsi="Cambria"/>
          <w:color w:val="000000" w:themeColor="text1"/>
          <w:sz w:val="20"/>
          <w:szCs w:val="20"/>
          <w:lang w:val="es-ES"/>
        </w:rPr>
        <w:t>En 2020, el Estado reiteró que la Ley de Asistencia Legal ha estado en vigor desde la publicación del Informe</w:t>
      </w:r>
      <w:r w:rsidR="00897552" w:rsidRPr="00156477">
        <w:rPr>
          <w:rFonts w:ascii="Cambria" w:hAnsi="Cambria"/>
          <w:color w:val="000000" w:themeColor="text1"/>
          <w:sz w:val="20"/>
          <w:szCs w:val="20"/>
          <w:lang w:val="es-ES"/>
        </w:rPr>
        <w:t xml:space="preserve"> de Fondo</w:t>
      </w:r>
      <w:r w:rsidR="00A90AE2" w:rsidRPr="00156477">
        <w:rPr>
          <w:rFonts w:ascii="Cambria" w:hAnsi="Cambria"/>
          <w:color w:val="000000" w:themeColor="text1"/>
          <w:sz w:val="20"/>
          <w:szCs w:val="20"/>
          <w:lang w:val="es-ES"/>
        </w:rPr>
        <w:t xml:space="preserve"> Nº 49/01, </w:t>
      </w:r>
      <w:r w:rsidR="002423FF" w:rsidRPr="00156477">
        <w:rPr>
          <w:rFonts w:ascii="Cambria" w:hAnsi="Cambria"/>
          <w:color w:val="000000" w:themeColor="text1"/>
          <w:sz w:val="20"/>
          <w:szCs w:val="20"/>
          <w:lang w:val="es-ES"/>
        </w:rPr>
        <w:t>aunque</w:t>
      </w:r>
      <w:r w:rsidR="00A90AE2" w:rsidRPr="00156477">
        <w:rPr>
          <w:rFonts w:ascii="Cambria" w:hAnsi="Cambria"/>
          <w:color w:val="000000" w:themeColor="text1"/>
          <w:sz w:val="20"/>
          <w:szCs w:val="20"/>
          <w:lang w:val="es-ES"/>
        </w:rPr>
        <w:t xml:space="preserve"> </w:t>
      </w:r>
      <w:r w:rsidR="00897552" w:rsidRPr="00156477">
        <w:rPr>
          <w:rFonts w:ascii="Cambria" w:hAnsi="Cambria"/>
          <w:color w:val="000000" w:themeColor="text1"/>
          <w:sz w:val="20"/>
          <w:szCs w:val="20"/>
          <w:lang w:val="es-ES"/>
        </w:rPr>
        <w:t xml:space="preserve">aclaró </w:t>
      </w:r>
      <w:r w:rsidR="00A90AE2" w:rsidRPr="00156477">
        <w:rPr>
          <w:rFonts w:ascii="Cambria" w:hAnsi="Cambria"/>
          <w:color w:val="000000" w:themeColor="text1"/>
          <w:sz w:val="20"/>
          <w:szCs w:val="20"/>
          <w:lang w:val="es-ES"/>
        </w:rPr>
        <w:t xml:space="preserve">que la sección que regula </w:t>
      </w:r>
      <w:r w:rsidR="00B745AD" w:rsidRPr="00156477">
        <w:rPr>
          <w:rFonts w:ascii="Cambria" w:hAnsi="Cambria"/>
          <w:color w:val="000000" w:themeColor="text1"/>
          <w:sz w:val="20"/>
          <w:szCs w:val="20"/>
          <w:lang w:val="es-ES"/>
        </w:rPr>
        <w:t>dicha</w:t>
      </w:r>
      <w:r w:rsidR="00A90AE2" w:rsidRPr="00156477">
        <w:rPr>
          <w:rFonts w:ascii="Cambria" w:hAnsi="Cambria"/>
          <w:color w:val="000000" w:themeColor="text1"/>
          <w:sz w:val="20"/>
          <w:szCs w:val="20"/>
          <w:lang w:val="es-ES"/>
        </w:rPr>
        <w:t xml:space="preserve"> asistencia en materia civil todavía no ha entrado en vigor. </w:t>
      </w:r>
      <w:r w:rsidR="002423FF" w:rsidRPr="00156477">
        <w:rPr>
          <w:rFonts w:ascii="Cambria" w:hAnsi="Cambria"/>
          <w:color w:val="000000" w:themeColor="text1"/>
          <w:sz w:val="20"/>
          <w:szCs w:val="20"/>
          <w:lang w:val="es-ES"/>
        </w:rPr>
        <w:t>Asimismo</w:t>
      </w:r>
      <w:r w:rsidR="00A90AE2" w:rsidRPr="00156477">
        <w:rPr>
          <w:rFonts w:ascii="Cambria" w:hAnsi="Cambria"/>
          <w:color w:val="000000" w:themeColor="text1"/>
          <w:sz w:val="20"/>
          <w:szCs w:val="20"/>
          <w:lang w:val="es-ES"/>
        </w:rPr>
        <w:t xml:space="preserve">, el Estado informó que </w:t>
      </w:r>
      <w:r w:rsidR="00897552" w:rsidRPr="00156477">
        <w:rPr>
          <w:rFonts w:ascii="Cambria" w:hAnsi="Cambria"/>
          <w:color w:val="000000" w:themeColor="text1"/>
          <w:sz w:val="20"/>
          <w:szCs w:val="20"/>
          <w:lang w:val="es-ES"/>
        </w:rPr>
        <w:t>ha prestado</w:t>
      </w:r>
      <w:r w:rsidR="00A90AE2" w:rsidRPr="00156477">
        <w:rPr>
          <w:rFonts w:ascii="Cambria" w:hAnsi="Cambria"/>
          <w:color w:val="000000" w:themeColor="text1"/>
          <w:sz w:val="20"/>
          <w:szCs w:val="20"/>
          <w:lang w:val="es-ES"/>
        </w:rPr>
        <w:t xml:space="preserve"> apoyo financiero a los centros de asistencia jurídica, </w:t>
      </w:r>
      <w:r w:rsidR="00897552" w:rsidRPr="00156477">
        <w:rPr>
          <w:rFonts w:ascii="Cambria" w:hAnsi="Cambria"/>
          <w:color w:val="000000" w:themeColor="text1"/>
          <w:sz w:val="20"/>
          <w:szCs w:val="20"/>
          <w:lang w:val="es-ES"/>
        </w:rPr>
        <w:t xml:space="preserve">tal </w:t>
      </w:r>
      <w:r w:rsidR="00A90AE2" w:rsidRPr="00156477">
        <w:rPr>
          <w:rFonts w:ascii="Cambria" w:hAnsi="Cambria"/>
          <w:color w:val="000000" w:themeColor="text1"/>
          <w:sz w:val="20"/>
          <w:szCs w:val="20"/>
          <w:lang w:val="es-ES"/>
        </w:rPr>
        <w:t xml:space="preserve">como lo ha hecho </w:t>
      </w:r>
      <w:r w:rsidR="00B745AD" w:rsidRPr="00156477">
        <w:rPr>
          <w:rFonts w:ascii="Cambria" w:hAnsi="Cambria"/>
          <w:color w:val="000000" w:themeColor="text1"/>
          <w:sz w:val="20"/>
          <w:szCs w:val="20"/>
          <w:lang w:val="es-ES"/>
        </w:rPr>
        <w:t>con</w:t>
      </w:r>
      <w:r w:rsidR="00A90AE2" w:rsidRPr="00156477">
        <w:rPr>
          <w:rFonts w:ascii="Cambria" w:hAnsi="Cambria"/>
          <w:color w:val="000000" w:themeColor="text1"/>
          <w:sz w:val="20"/>
          <w:szCs w:val="20"/>
          <w:lang w:val="es-ES"/>
        </w:rPr>
        <w:t xml:space="preserve"> la Clínica de Asistencia Jurídica de la Escuela de Derecho </w:t>
      </w:r>
      <w:r w:rsidR="00A90AE2" w:rsidRPr="00156477">
        <w:rPr>
          <w:rFonts w:ascii="Cambria" w:hAnsi="Cambria"/>
          <w:color w:val="000000" w:themeColor="text1"/>
          <w:sz w:val="20"/>
          <w:szCs w:val="20"/>
          <w:lang w:val="es-CO"/>
        </w:rPr>
        <w:t xml:space="preserve">Norman </w:t>
      </w:r>
      <w:proofErr w:type="spellStart"/>
      <w:r w:rsidR="00A90AE2" w:rsidRPr="00156477">
        <w:rPr>
          <w:rFonts w:ascii="Cambria" w:hAnsi="Cambria"/>
          <w:color w:val="000000" w:themeColor="text1"/>
          <w:sz w:val="20"/>
          <w:szCs w:val="20"/>
          <w:lang w:val="es-CO"/>
        </w:rPr>
        <w:t>Manley</w:t>
      </w:r>
      <w:proofErr w:type="spellEnd"/>
      <w:r w:rsidR="00A90AE2" w:rsidRPr="00156477">
        <w:rPr>
          <w:rFonts w:ascii="Cambria" w:hAnsi="Cambria"/>
          <w:color w:val="000000" w:themeColor="text1"/>
          <w:sz w:val="20"/>
          <w:szCs w:val="20"/>
          <w:lang w:val="es-CO"/>
        </w:rPr>
        <w:t xml:space="preserve"> </w:t>
      </w:r>
      <w:r w:rsidR="00A90AE2" w:rsidRPr="00156477">
        <w:rPr>
          <w:rFonts w:ascii="Cambria" w:hAnsi="Cambria"/>
          <w:color w:val="000000" w:themeColor="text1"/>
          <w:sz w:val="20"/>
          <w:szCs w:val="20"/>
          <w:lang w:val="es-ES"/>
        </w:rPr>
        <w:t>y</w:t>
      </w:r>
      <w:r w:rsidR="00B745AD" w:rsidRPr="00156477">
        <w:rPr>
          <w:rFonts w:ascii="Cambria" w:hAnsi="Cambria"/>
          <w:color w:val="000000" w:themeColor="text1"/>
          <w:sz w:val="20"/>
          <w:szCs w:val="20"/>
          <w:lang w:val="es-ES"/>
        </w:rPr>
        <w:t xml:space="preserve"> con</w:t>
      </w:r>
      <w:r w:rsidR="00A90AE2" w:rsidRPr="00156477">
        <w:rPr>
          <w:rFonts w:ascii="Cambria" w:hAnsi="Cambria"/>
          <w:color w:val="000000" w:themeColor="text1"/>
          <w:sz w:val="20"/>
          <w:szCs w:val="20"/>
          <w:lang w:val="es-ES"/>
        </w:rPr>
        <w:t xml:space="preserve"> la Clínica de Ayuda Legal de Kingston (que también opera en Mandeville y May </w:t>
      </w:r>
      <w:r w:rsidR="00A90AE2" w:rsidRPr="00156477">
        <w:rPr>
          <w:rFonts w:ascii="Cambria" w:hAnsi="Cambria"/>
          <w:color w:val="000000" w:themeColor="text1"/>
          <w:sz w:val="20"/>
          <w:szCs w:val="20"/>
          <w:lang w:val="es-ES"/>
        </w:rPr>
        <w:lastRenderedPageBreak/>
        <w:t>Pen), l</w:t>
      </w:r>
      <w:r w:rsidR="00B745AD" w:rsidRPr="00156477">
        <w:rPr>
          <w:rFonts w:ascii="Cambria" w:hAnsi="Cambria"/>
          <w:color w:val="000000" w:themeColor="text1"/>
          <w:sz w:val="20"/>
          <w:szCs w:val="20"/>
          <w:lang w:val="es-ES"/>
        </w:rPr>
        <w:t>as</w:t>
      </w:r>
      <w:r w:rsidR="00A90AE2" w:rsidRPr="00156477">
        <w:rPr>
          <w:rFonts w:ascii="Cambria" w:hAnsi="Cambria"/>
          <w:color w:val="000000" w:themeColor="text1"/>
          <w:sz w:val="20"/>
          <w:szCs w:val="20"/>
          <w:lang w:val="es-ES"/>
        </w:rPr>
        <w:t xml:space="preserve"> cuales proporcionan servicios legales gratuitos o con un costo reducido. En consecuencia,</w:t>
      </w:r>
      <w:r w:rsidR="00B745AD" w:rsidRPr="00156477">
        <w:rPr>
          <w:rFonts w:ascii="Cambria" w:hAnsi="Cambria"/>
          <w:color w:val="000000" w:themeColor="text1"/>
          <w:sz w:val="20"/>
          <w:szCs w:val="20"/>
          <w:lang w:val="es-ES"/>
        </w:rPr>
        <w:t xml:space="preserve"> el Estado</w:t>
      </w:r>
      <w:r w:rsidR="00A90AE2" w:rsidRPr="00156477">
        <w:rPr>
          <w:rFonts w:ascii="Cambria" w:hAnsi="Cambria"/>
          <w:color w:val="000000" w:themeColor="text1"/>
          <w:sz w:val="20"/>
          <w:szCs w:val="20"/>
          <w:lang w:val="es-ES"/>
        </w:rPr>
        <w:t xml:space="preserve"> señaló que ha adoptado medidas apropiadas para garantizar la asistencia jurídica para </w:t>
      </w:r>
      <w:r w:rsidR="00897552" w:rsidRPr="00156477">
        <w:rPr>
          <w:rFonts w:ascii="Cambria" w:hAnsi="Cambria"/>
          <w:color w:val="000000" w:themeColor="text1"/>
          <w:sz w:val="20"/>
          <w:szCs w:val="20"/>
          <w:lang w:val="es-ES"/>
        </w:rPr>
        <w:t>reclamos</w:t>
      </w:r>
      <w:r w:rsidR="00A90AE2" w:rsidRPr="00156477">
        <w:rPr>
          <w:rFonts w:ascii="Cambria" w:hAnsi="Cambria"/>
          <w:color w:val="000000" w:themeColor="text1"/>
          <w:sz w:val="20"/>
          <w:szCs w:val="20"/>
          <w:lang w:val="es-ES"/>
        </w:rPr>
        <w:t xml:space="preserve"> constitucionales y otros asuntos civiles</w:t>
      </w:r>
      <w:r w:rsidR="00B745AD" w:rsidRPr="00156477">
        <w:rPr>
          <w:rFonts w:ascii="Cambria" w:hAnsi="Cambria"/>
          <w:color w:val="000000" w:themeColor="text1"/>
          <w:sz w:val="20"/>
          <w:szCs w:val="20"/>
          <w:lang w:val="es-ES"/>
        </w:rPr>
        <w:t xml:space="preserve"> y que</w:t>
      </w:r>
      <w:r w:rsidR="00897552" w:rsidRPr="00156477">
        <w:rPr>
          <w:rFonts w:ascii="Cambria" w:hAnsi="Cambria"/>
          <w:color w:val="000000" w:themeColor="text1"/>
          <w:sz w:val="20"/>
          <w:szCs w:val="20"/>
          <w:lang w:val="es-ES"/>
        </w:rPr>
        <w:t>, por lo tanto,</w:t>
      </w:r>
      <w:r w:rsidR="00B745AD" w:rsidRPr="00156477">
        <w:rPr>
          <w:rFonts w:ascii="Cambria" w:hAnsi="Cambria"/>
          <w:color w:val="000000" w:themeColor="text1"/>
          <w:sz w:val="20"/>
          <w:szCs w:val="20"/>
          <w:lang w:val="es-ES"/>
        </w:rPr>
        <w:t xml:space="preserve"> ha cumplido con esta recomendación</w:t>
      </w:r>
      <w:r w:rsidR="00A90AE2" w:rsidRPr="00156477">
        <w:rPr>
          <w:rFonts w:ascii="Cambria" w:hAnsi="Cambria"/>
          <w:color w:val="000000" w:themeColor="text1"/>
          <w:sz w:val="20"/>
          <w:szCs w:val="20"/>
          <w:lang w:val="es-ES"/>
        </w:rPr>
        <w:t>.</w:t>
      </w:r>
    </w:p>
    <w:p w14:paraId="28358CFF" w14:textId="77777777" w:rsidR="005960BC" w:rsidRPr="00156477" w:rsidRDefault="005960BC" w:rsidP="00AC5985">
      <w:pPr>
        <w:spacing w:after="0" w:line="240" w:lineRule="auto"/>
        <w:ind w:left="720"/>
        <w:jc w:val="both"/>
        <w:rPr>
          <w:rFonts w:ascii="Cambria" w:hAnsi="Cambria"/>
          <w:color w:val="000000" w:themeColor="text1"/>
          <w:sz w:val="20"/>
          <w:szCs w:val="20"/>
          <w:lang w:val="es-ES"/>
        </w:rPr>
      </w:pPr>
    </w:p>
    <w:p w14:paraId="296ED2DA" w14:textId="77777777" w:rsidR="0079416C" w:rsidRPr="00156477" w:rsidRDefault="005960BC" w:rsidP="00AC5985">
      <w:pPr>
        <w:numPr>
          <w:ilvl w:val="0"/>
          <w:numId w:val="8"/>
        </w:numPr>
        <w:spacing w:after="0" w:line="240" w:lineRule="auto"/>
        <w:ind w:left="0" w:firstLine="720"/>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 xml:space="preserve">En 2021, el Estado reiteró </w:t>
      </w:r>
      <w:r w:rsidR="00AB4A9E" w:rsidRPr="00156477">
        <w:rPr>
          <w:rFonts w:ascii="Cambria" w:hAnsi="Cambria"/>
          <w:color w:val="000000" w:themeColor="text1"/>
          <w:sz w:val="20"/>
          <w:szCs w:val="20"/>
          <w:lang w:val="es-ES"/>
        </w:rPr>
        <w:t xml:space="preserve">que cuenta con un marco legal para garantizar </w:t>
      </w:r>
      <w:r w:rsidR="002E1712" w:rsidRPr="00156477">
        <w:rPr>
          <w:rFonts w:ascii="Cambria" w:hAnsi="Cambria"/>
          <w:color w:val="000000" w:themeColor="text1"/>
          <w:sz w:val="20"/>
          <w:szCs w:val="20"/>
          <w:lang w:val="es-ES"/>
        </w:rPr>
        <w:t xml:space="preserve">los derechos </w:t>
      </w:r>
      <w:r w:rsidR="00AB4A9E" w:rsidRPr="00156477">
        <w:rPr>
          <w:rFonts w:ascii="Cambria" w:hAnsi="Cambria"/>
          <w:color w:val="000000" w:themeColor="text1"/>
          <w:sz w:val="20"/>
          <w:szCs w:val="20"/>
          <w:lang w:val="es-ES"/>
        </w:rPr>
        <w:t>a la protección judicial y a una audiencia imparcial.</w:t>
      </w:r>
      <w:r w:rsidR="002D2569" w:rsidRPr="00156477">
        <w:rPr>
          <w:rFonts w:ascii="Cambria" w:hAnsi="Cambria"/>
          <w:color w:val="000000" w:themeColor="text1"/>
          <w:sz w:val="20"/>
          <w:szCs w:val="20"/>
          <w:lang w:val="es-ES"/>
        </w:rPr>
        <w:t xml:space="preserve"> Además de reiterar información reportada respecto a la Ley de Asistencia Jurídica, informó que el Ministerio de Justicia </w:t>
      </w:r>
      <w:r w:rsidR="009A0A05" w:rsidRPr="00156477">
        <w:rPr>
          <w:rFonts w:ascii="Cambria" w:hAnsi="Cambria"/>
          <w:color w:val="000000" w:themeColor="text1"/>
          <w:sz w:val="20"/>
          <w:szCs w:val="20"/>
          <w:lang w:val="es-ES"/>
        </w:rPr>
        <w:t>adoptó</w:t>
      </w:r>
      <w:r w:rsidR="00AB4A9E" w:rsidRPr="00156477">
        <w:rPr>
          <w:rFonts w:ascii="Cambria" w:hAnsi="Cambria"/>
          <w:color w:val="000000" w:themeColor="text1"/>
          <w:sz w:val="20"/>
          <w:szCs w:val="20"/>
          <w:lang w:val="es-ES"/>
        </w:rPr>
        <w:t xml:space="preserve"> medidas recientes para implementar </w:t>
      </w:r>
      <w:r w:rsidR="002D2569" w:rsidRPr="00156477">
        <w:rPr>
          <w:rFonts w:ascii="Cambria" w:hAnsi="Cambria"/>
          <w:color w:val="000000" w:themeColor="text1"/>
          <w:sz w:val="20"/>
          <w:szCs w:val="20"/>
          <w:lang w:val="es-ES"/>
        </w:rPr>
        <w:t>su</w:t>
      </w:r>
      <w:r w:rsidR="00AB4A9E" w:rsidRPr="00156477">
        <w:rPr>
          <w:rFonts w:ascii="Cambria" w:hAnsi="Cambria"/>
          <w:color w:val="000000" w:themeColor="text1"/>
          <w:sz w:val="20"/>
          <w:szCs w:val="20"/>
          <w:lang w:val="es-ES"/>
        </w:rPr>
        <w:t xml:space="preserve"> sección 16</w:t>
      </w:r>
      <w:r w:rsidR="00BC2B1F" w:rsidRPr="00156477">
        <w:rPr>
          <w:rFonts w:ascii="Cambria" w:hAnsi="Cambria"/>
          <w:color w:val="000000" w:themeColor="text1"/>
          <w:sz w:val="20"/>
          <w:szCs w:val="20"/>
          <w:lang w:val="es-ES"/>
        </w:rPr>
        <w:t xml:space="preserve"> </w:t>
      </w:r>
      <w:r w:rsidR="009A0A05" w:rsidRPr="00156477">
        <w:rPr>
          <w:rFonts w:ascii="Cambria" w:hAnsi="Cambria"/>
          <w:color w:val="000000" w:themeColor="text1"/>
          <w:sz w:val="20"/>
          <w:szCs w:val="20"/>
          <w:lang w:val="es-ES"/>
        </w:rPr>
        <w:t xml:space="preserve">de esta ley </w:t>
      </w:r>
      <w:r w:rsidR="00BC2B1F" w:rsidRPr="00156477">
        <w:rPr>
          <w:rFonts w:ascii="Cambria" w:hAnsi="Cambria"/>
          <w:color w:val="000000" w:themeColor="text1"/>
          <w:sz w:val="20"/>
          <w:szCs w:val="20"/>
          <w:lang w:val="es-ES"/>
        </w:rPr>
        <w:t xml:space="preserve">que </w:t>
      </w:r>
      <w:r w:rsidR="00AB4A9E" w:rsidRPr="00156477">
        <w:rPr>
          <w:rFonts w:ascii="Cambria" w:hAnsi="Cambria"/>
          <w:color w:val="000000" w:themeColor="text1"/>
          <w:sz w:val="20"/>
          <w:szCs w:val="20"/>
          <w:lang w:val="es-ES"/>
        </w:rPr>
        <w:t xml:space="preserve">regula la asistencia jurídica en materia civil. </w:t>
      </w:r>
      <w:r w:rsidR="002D2569" w:rsidRPr="00156477">
        <w:rPr>
          <w:rFonts w:ascii="Cambria" w:hAnsi="Cambria"/>
          <w:color w:val="000000" w:themeColor="text1"/>
          <w:sz w:val="20"/>
          <w:szCs w:val="20"/>
          <w:lang w:val="es-ES"/>
        </w:rPr>
        <w:t xml:space="preserve">Al respecto, </w:t>
      </w:r>
      <w:r w:rsidR="00BC2B1F" w:rsidRPr="00156477">
        <w:rPr>
          <w:rFonts w:ascii="Cambria" w:hAnsi="Cambria"/>
          <w:color w:val="000000" w:themeColor="text1"/>
          <w:sz w:val="20"/>
          <w:szCs w:val="20"/>
          <w:lang w:val="es-ES"/>
        </w:rPr>
        <w:t xml:space="preserve">el Ministerio de Justicia </w:t>
      </w:r>
      <w:r w:rsidR="009A0A05" w:rsidRPr="00156477">
        <w:rPr>
          <w:rFonts w:ascii="Cambria" w:hAnsi="Cambria"/>
          <w:color w:val="000000" w:themeColor="text1"/>
          <w:sz w:val="20"/>
          <w:szCs w:val="20"/>
          <w:lang w:val="es-ES"/>
        </w:rPr>
        <w:t>emitió</w:t>
      </w:r>
      <w:r w:rsidR="00AB4A9E" w:rsidRPr="00156477">
        <w:rPr>
          <w:rFonts w:ascii="Cambria" w:hAnsi="Cambria"/>
          <w:color w:val="000000" w:themeColor="text1"/>
          <w:sz w:val="20"/>
          <w:szCs w:val="20"/>
          <w:lang w:val="es-ES"/>
        </w:rPr>
        <w:t xml:space="preserve"> instrucciones a la Oficina del Asesor Parlamentario </w:t>
      </w:r>
      <w:r w:rsidR="00BC2B1F" w:rsidRPr="00156477">
        <w:rPr>
          <w:rFonts w:ascii="Cambria" w:hAnsi="Cambria"/>
          <w:color w:val="000000" w:themeColor="text1"/>
          <w:sz w:val="20"/>
          <w:szCs w:val="20"/>
          <w:lang w:val="es-ES"/>
        </w:rPr>
        <w:t xml:space="preserve">para que </w:t>
      </w:r>
      <w:r w:rsidR="009A0A05" w:rsidRPr="00156477">
        <w:rPr>
          <w:rFonts w:ascii="Cambria" w:hAnsi="Cambria"/>
          <w:color w:val="000000" w:themeColor="text1"/>
          <w:sz w:val="20"/>
          <w:szCs w:val="20"/>
          <w:lang w:val="es-ES"/>
        </w:rPr>
        <w:t>esta sección</w:t>
      </w:r>
      <w:r w:rsidR="00BC2B1F" w:rsidRPr="00156477">
        <w:rPr>
          <w:rFonts w:ascii="Cambria" w:hAnsi="Cambria"/>
          <w:color w:val="000000" w:themeColor="text1"/>
          <w:sz w:val="20"/>
          <w:szCs w:val="20"/>
          <w:lang w:val="es-ES"/>
        </w:rPr>
        <w:t xml:space="preserve"> </w:t>
      </w:r>
      <w:r w:rsidR="009A0A05" w:rsidRPr="00156477">
        <w:rPr>
          <w:rFonts w:ascii="Cambria" w:hAnsi="Cambria"/>
          <w:color w:val="000000" w:themeColor="text1"/>
          <w:sz w:val="20"/>
          <w:szCs w:val="20"/>
          <w:lang w:val="es-ES"/>
        </w:rPr>
        <w:t>empiecen a aplicarse</w:t>
      </w:r>
      <w:r w:rsidR="00BC2B1F" w:rsidRPr="00156477">
        <w:rPr>
          <w:rFonts w:ascii="Cambria" w:hAnsi="Cambria"/>
          <w:color w:val="000000" w:themeColor="text1"/>
          <w:sz w:val="20"/>
          <w:szCs w:val="20"/>
          <w:lang w:val="es-ES"/>
        </w:rPr>
        <w:t xml:space="preserve">, posiblemente, </w:t>
      </w:r>
      <w:r w:rsidR="00AB4A9E" w:rsidRPr="00156477">
        <w:rPr>
          <w:rFonts w:ascii="Cambria" w:hAnsi="Cambria"/>
          <w:color w:val="000000" w:themeColor="text1"/>
          <w:sz w:val="20"/>
          <w:szCs w:val="20"/>
          <w:lang w:val="es-ES"/>
        </w:rPr>
        <w:t xml:space="preserve">a finales </w:t>
      </w:r>
      <w:r w:rsidR="00BC2B1F" w:rsidRPr="00156477">
        <w:rPr>
          <w:rFonts w:ascii="Cambria" w:hAnsi="Cambria"/>
          <w:color w:val="000000" w:themeColor="text1"/>
          <w:sz w:val="20"/>
          <w:szCs w:val="20"/>
          <w:lang w:val="es-ES"/>
        </w:rPr>
        <w:t>de este</w:t>
      </w:r>
      <w:r w:rsidR="00AB4A9E" w:rsidRPr="00156477">
        <w:rPr>
          <w:rFonts w:ascii="Cambria" w:hAnsi="Cambria"/>
          <w:color w:val="000000" w:themeColor="text1"/>
          <w:sz w:val="20"/>
          <w:szCs w:val="20"/>
          <w:lang w:val="es-ES"/>
        </w:rPr>
        <w:t xml:space="preserve"> año. Además, el Estado </w:t>
      </w:r>
      <w:r w:rsidR="00BC2B1F" w:rsidRPr="00156477">
        <w:rPr>
          <w:rFonts w:ascii="Cambria" w:hAnsi="Cambria"/>
          <w:color w:val="000000" w:themeColor="text1"/>
          <w:sz w:val="20"/>
          <w:szCs w:val="20"/>
          <w:lang w:val="es-ES"/>
        </w:rPr>
        <w:t xml:space="preserve">informó haber seguido </w:t>
      </w:r>
      <w:r w:rsidR="00AB4A9E" w:rsidRPr="00156477">
        <w:rPr>
          <w:rFonts w:ascii="Cambria" w:hAnsi="Cambria"/>
          <w:color w:val="000000" w:themeColor="text1"/>
          <w:sz w:val="20"/>
          <w:szCs w:val="20"/>
          <w:lang w:val="es-ES"/>
        </w:rPr>
        <w:t xml:space="preserve">prestando apoyo financiero a la Clínica de Asistencia Jurídica de la Facultad de Derecho Norman </w:t>
      </w:r>
      <w:proofErr w:type="spellStart"/>
      <w:r w:rsidR="00AB4A9E" w:rsidRPr="00156477">
        <w:rPr>
          <w:rFonts w:ascii="Cambria" w:hAnsi="Cambria"/>
          <w:color w:val="000000" w:themeColor="text1"/>
          <w:sz w:val="20"/>
          <w:szCs w:val="20"/>
          <w:lang w:val="es-ES"/>
        </w:rPr>
        <w:t>Manley</w:t>
      </w:r>
      <w:proofErr w:type="spellEnd"/>
      <w:r w:rsidR="00AB4A9E" w:rsidRPr="00156477">
        <w:rPr>
          <w:rFonts w:ascii="Cambria" w:hAnsi="Cambria"/>
          <w:color w:val="000000" w:themeColor="text1"/>
          <w:sz w:val="20"/>
          <w:szCs w:val="20"/>
          <w:lang w:val="es-ES"/>
        </w:rPr>
        <w:t xml:space="preserve"> y </w:t>
      </w:r>
      <w:r w:rsidR="00BC2B1F" w:rsidRPr="00156477">
        <w:rPr>
          <w:rFonts w:ascii="Cambria" w:hAnsi="Cambria"/>
          <w:color w:val="000000" w:themeColor="text1"/>
          <w:sz w:val="20"/>
          <w:szCs w:val="20"/>
          <w:lang w:val="es-ES"/>
        </w:rPr>
        <w:t xml:space="preserve">a </w:t>
      </w:r>
      <w:r w:rsidR="00AB4A9E" w:rsidRPr="00156477">
        <w:rPr>
          <w:rFonts w:ascii="Cambria" w:hAnsi="Cambria"/>
          <w:color w:val="000000" w:themeColor="text1"/>
          <w:sz w:val="20"/>
          <w:szCs w:val="20"/>
          <w:lang w:val="es-ES"/>
        </w:rPr>
        <w:t xml:space="preserve">la de Kingston (que también funciona en Mandeville y May Pen). </w:t>
      </w:r>
      <w:r w:rsidR="00BC2B1F" w:rsidRPr="00156477">
        <w:rPr>
          <w:rFonts w:ascii="Cambria" w:hAnsi="Cambria"/>
          <w:color w:val="000000" w:themeColor="text1"/>
          <w:sz w:val="20"/>
          <w:szCs w:val="20"/>
          <w:lang w:val="es-ES"/>
        </w:rPr>
        <w:t>Informó que ambas</w:t>
      </w:r>
      <w:r w:rsidR="00AB4A9E" w:rsidRPr="00156477">
        <w:rPr>
          <w:rFonts w:ascii="Cambria" w:hAnsi="Cambria"/>
          <w:color w:val="000000" w:themeColor="text1"/>
          <w:sz w:val="20"/>
          <w:szCs w:val="20"/>
          <w:lang w:val="es-ES"/>
        </w:rPr>
        <w:t xml:space="preserve"> ofrecen servicios jurídicos gratuitos o subvencionados</w:t>
      </w:r>
      <w:r w:rsidR="00C861E7" w:rsidRPr="00156477">
        <w:rPr>
          <w:rFonts w:ascii="Cambria" w:hAnsi="Cambria"/>
          <w:color w:val="000000" w:themeColor="text1"/>
          <w:sz w:val="20"/>
          <w:szCs w:val="20"/>
          <w:lang w:val="es-ES"/>
        </w:rPr>
        <w:t xml:space="preserve"> según</w:t>
      </w:r>
      <w:r w:rsidR="00AB4A9E" w:rsidRPr="00156477">
        <w:rPr>
          <w:rFonts w:ascii="Cambria" w:hAnsi="Cambria"/>
          <w:color w:val="000000" w:themeColor="text1"/>
          <w:sz w:val="20"/>
          <w:szCs w:val="20"/>
          <w:lang w:val="es-ES"/>
        </w:rPr>
        <w:t xml:space="preserve"> los medios de</w:t>
      </w:r>
      <w:r w:rsidR="00C861E7" w:rsidRPr="00156477">
        <w:rPr>
          <w:rFonts w:ascii="Cambria" w:hAnsi="Cambria"/>
          <w:color w:val="000000" w:themeColor="text1"/>
          <w:sz w:val="20"/>
          <w:szCs w:val="20"/>
          <w:lang w:val="es-ES"/>
        </w:rPr>
        <w:t xml:space="preserve"> </w:t>
      </w:r>
      <w:r w:rsidR="004B6907" w:rsidRPr="00156477">
        <w:rPr>
          <w:rFonts w:ascii="Cambria" w:hAnsi="Cambria"/>
          <w:color w:val="000000" w:themeColor="text1"/>
          <w:sz w:val="20"/>
          <w:szCs w:val="20"/>
          <w:lang w:val="es-ES"/>
        </w:rPr>
        <w:t>cada</w:t>
      </w:r>
      <w:r w:rsidR="00C861E7" w:rsidRPr="00156477">
        <w:rPr>
          <w:rFonts w:ascii="Cambria" w:hAnsi="Cambria"/>
          <w:color w:val="000000" w:themeColor="text1"/>
          <w:sz w:val="20"/>
          <w:szCs w:val="20"/>
          <w:lang w:val="es-ES"/>
        </w:rPr>
        <w:t xml:space="preserve"> persona</w:t>
      </w:r>
      <w:r w:rsidR="00AB4A9E" w:rsidRPr="00156477">
        <w:rPr>
          <w:rFonts w:ascii="Cambria" w:hAnsi="Cambria"/>
          <w:color w:val="000000" w:themeColor="text1"/>
          <w:sz w:val="20"/>
          <w:szCs w:val="20"/>
          <w:lang w:val="es-ES"/>
        </w:rPr>
        <w:t>.</w:t>
      </w:r>
      <w:r w:rsidR="009A0A05" w:rsidRPr="00156477">
        <w:rPr>
          <w:rFonts w:ascii="Cambria" w:hAnsi="Cambria"/>
          <w:color w:val="000000" w:themeColor="text1"/>
          <w:sz w:val="20"/>
          <w:szCs w:val="20"/>
          <w:lang w:val="es-ES"/>
        </w:rPr>
        <w:t xml:space="preserve"> R</w:t>
      </w:r>
      <w:r w:rsidR="00C861E7" w:rsidRPr="00156477">
        <w:rPr>
          <w:rFonts w:ascii="Cambria" w:hAnsi="Cambria"/>
          <w:color w:val="000000" w:themeColor="text1"/>
          <w:sz w:val="20"/>
          <w:szCs w:val="20"/>
          <w:lang w:val="es-ES"/>
        </w:rPr>
        <w:t xml:space="preserve">eportó que la Clínica </w:t>
      </w:r>
      <w:r w:rsidR="00AB4A9E" w:rsidRPr="00156477">
        <w:rPr>
          <w:rFonts w:ascii="Cambria" w:hAnsi="Cambria"/>
          <w:color w:val="000000" w:themeColor="text1"/>
          <w:sz w:val="20"/>
          <w:szCs w:val="20"/>
          <w:lang w:val="es-ES"/>
        </w:rPr>
        <w:t>de Kingston ofrece representación legal en asuntos constitucionales</w:t>
      </w:r>
      <w:r w:rsidR="00920D5D" w:rsidRPr="00156477">
        <w:rPr>
          <w:rFonts w:ascii="Cambria" w:hAnsi="Cambria"/>
          <w:color w:val="000000" w:themeColor="text1"/>
          <w:sz w:val="20"/>
          <w:szCs w:val="20"/>
          <w:lang w:val="es-ES"/>
        </w:rPr>
        <w:t xml:space="preserve"> y señaló que, en promedio, la Clínica de May Penn atiende a </w:t>
      </w:r>
      <w:r w:rsidR="00AB4A9E" w:rsidRPr="00156477">
        <w:rPr>
          <w:rFonts w:ascii="Cambria" w:hAnsi="Cambria"/>
          <w:color w:val="000000" w:themeColor="text1"/>
          <w:sz w:val="20"/>
          <w:szCs w:val="20"/>
          <w:lang w:val="es-ES"/>
        </w:rPr>
        <w:t>900 personas, la Clínica Mandeville</w:t>
      </w:r>
      <w:r w:rsidR="00920D5D" w:rsidRPr="00156477">
        <w:rPr>
          <w:rFonts w:ascii="Cambria" w:hAnsi="Cambria"/>
          <w:color w:val="000000" w:themeColor="text1"/>
          <w:sz w:val="20"/>
          <w:szCs w:val="20"/>
          <w:lang w:val="es-ES"/>
        </w:rPr>
        <w:t xml:space="preserve"> atiende a 1500 personas</w:t>
      </w:r>
      <w:r w:rsidR="00AB4A9E" w:rsidRPr="00156477">
        <w:rPr>
          <w:rFonts w:ascii="Cambria" w:hAnsi="Cambria"/>
          <w:color w:val="000000" w:themeColor="text1"/>
          <w:sz w:val="20"/>
          <w:szCs w:val="20"/>
          <w:lang w:val="es-ES"/>
        </w:rPr>
        <w:t xml:space="preserve"> y</w:t>
      </w:r>
      <w:r w:rsidR="00920D5D" w:rsidRPr="00156477">
        <w:rPr>
          <w:rFonts w:ascii="Cambria" w:hAnsi="Cambria"/>
          <w:color w:val="000000" w:themeColor="text1"/>
          <w:sz w:val="20"/>
          <w:szCs w:val="20"/>
          <w:lang w:val="es-ES"/>
        </w:rPr>
        <w:t xml:space="preserve"> la oficina de </w:t>
      </w:r>
      <w:proofErr w:type="spellStart"/>
      <w:r w:rsidR="00920D5D" w:rsidRPr="00156477">
        <w:rPr>
          <w:rFonts w:ascii="Cambria" w:hAnsi="Cambria"/>
          <w:color w:val="000000" w:themeColor="text1"/>
          <w:sz w:val="20"/>
          <w:szCs w:val="20"/>
          <w:lang w:val="es-ES"/>
        </w:rPr>
        <w:t>Kinkgston</w:t>
      </w:r>
      <w:proofErr w:type="spellEnd"/>
      <w:r w:rsidR="009A0A05" w:rsidRPr="00156477">
        <w:rPr>
          <w:rFonts w:ascii="Cambria" w:hAnsi="Cambria"/>
          <w:color w:val="000000" w:themeColor="text1"/>
          <w:sz w:val="20"/>
          <w:szCs w:val="20"/>
          <w:lang w:val="es-ES"/>
        </w:rPr>
        <w:t xml:space="preserve">, </w:t>
      </w:r>
      <w:r w:rsidR="00920D5D" w:rsidRPr="00156477">
        <w:rPr>
          <w:rFonts w:ascii="Cambria" w:hAnsi="Cambria"/>
          <w:color w:val="000000" w:themeColor="text1"/>
          <w:sz w:val="20"/>
          <w:szCs w:val="20"/>
          <w:lang w:val="es-ES"/>
        </w:rPr>
        <w:t>a</w:t>
      </w:r>
      <w:r w:rsidR="00AB4A9E" w:rsidRPr="00156477">
        <w:rPr>
          <w:rFonts w:ascii="Cambria" w:hAnsi="Cambria"/>
          <w:color w:val="000000" w:themeColor="text1"/>
          <w:sz w:val="20"/>
          <w:szCs w:val="20"/>
          <w:lang w:val="es-ES"/>
        </w:rPr>
        <w:t xml:space="preserve"> más de 12.000 anualmente.</w:t>
      </w:r>
    </w:p>
    <w:p w14:paraId="1B9BC239" w14:textId="77777777" w:rsidR="0079416C" w:rsidRPr="00156477" w:rsidRDefault="0079416C" w:rsidP="00AC5985">
      <w:pPr>
        <w:spacing w:after="0" w:line="240" w:lineRule="auto"/>
        <w:ind w:left="720"/>
        <w:jc w:val="both"/>
        <w:rPr>
          <w:rFonts w:ascii="Cambria" w:hAnsi="Cambria"/>
          <w:color w:val="000000" w:themeColor="text1"/>
          <w:sz w:val="20"/>
          <w:szCs w:val="20"/>
          <w:lang w:val="es-ES"/>
        </w:rPr>
      </w:pPr>
    </w:p>
    <w:p w14:paraId="4176D40E" w14:textId="77777777" w:rsidR="00AB4A9E" w:rsidRPr="00156477" w:rsidRDefault="009A0A05" w:rsidP="00AC5985">
      <w:pPr>
        <w:numPr>
          <w:ilvl w:val="0"/>
          <w:numId w:val="8"/>
        </w:numPr>
        <w:spacing w:after="0" w:line="240" w:lineRule="auto"/>
        <w:ind w:left="0" w:firstLine="720"/>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También en 2021, e</w:t>
      </w:r>
      <w:r w:rsidR="0079416C" w:rsidRPr="00156477">
        <w:rPr>
          <w:rFonts w:ascii="Cambria" w:hAnsi="Cambria"/>
          <w:color w:val="000000" w:themeColor="text1"/>
          <w:sz w:val="20"/>
          <w:szCs w:val="20"/>
          <w:lang w:val="es-ES"/>
        </w:rPr>
        <w:t xml:space="preserve">l Estado señaló que, </w:t>
      </w:r>
      <w:r w:rsidRPr="00156477">
        <w:rPr>
          <w:rFonts w:ascii="Cambria" w:hAnsi="Cambria"/>
          <w:color w:val="000000" w:themeColor="text1"/>
          <w:sz w:val="20"/>
          <w:szCs w:val="20"/>
          <w:lang w:val="es-ES"/>
        </w:rPr>
        <w:t>para</w:t>
      </w:r>
      <w:r w:rsidR="00AB4A9E" w:rsidRPr="00156477">
        <w:rPr>
          <w:rFonts w:ascii="Cambria" w:hAnsi="Cambria"/>
          <w:color w:val="000000" w:themeColor="text1"/>
          <w:sz w:val="20"/>
          <w:szCs w:val="20"/>
          <w:lang w:val="es-ES"/>
        </w:rPr>
        <w:t xml:space="preserve"> garantizar los derechos de </w:t>
      </w:r>
      <w:r w:rsidRPr="00156477">
        <w:rPr>
          <w:rFonts w:ascii="Cambria" w:hAnsi="Cambria"/>
          <w:color w:val="000000" w:themeColor="text1"/>
          <w:sz w:val="20"/>
          <w:szCs w:val="20"/>
          <w:lang w:val="es-ES"/>
        </w:rPr>
        <w:t xml:space="preserve">las personas </w:t>
      </w:r>
      <w:r w:rsidR="00AB4A9E" w:rsidRPr="00156477">
        <w:rPr>
          <w:rFonts w:ascii="Cambria" w:hAnsi="Cambria"/>
          <w:color w:val="000000" w:themeColor="text1"/>
          <w:sz w:val="20"/>
          <w:szCs w:val="20"/>
          <w:lang w:val="es-ES"/>
        </w:rPr>
        <w:t>acusad</w:t>
      </w:r>
      <w:r w:rsidRPr="00156477">
        <w:rPr>
          <w:rFonts w:ascii="Cambria" w:hAnsi="Cambria"/>
          <w:color w:val="000000" w:themeColor="text1"/>
          <w:sz w:val="20"/>
          <w:szCs w:val="20"/>
          <w:lang w:val="es-ES"/>
        </w:rPr>
        <w:t>a</w:t>
      </w:r>
      <w:r w:rsidR="00AB4A9E" w:rsidRPr="00156477">
        <w:rPr>
          <w:rFonts w:ascii="Cambria" w:hAnsi="Cambria"/>
          <w:color w:val="000000" w:themeColor="text1"/>
          <w:sz w:val="20"/>
          <w:szCs w:val="20"/>
          <w:lang w:val="es-ES"/>
        </w:rPr>
        <w:t xml:space="preserve">s, independientemente de su capacidad para pagar </w:t>
      </w:r>
      <w:r w:rsidR="000A32C8" w:rsidRPr="00156477">
        <w:rPr>
          <w:rFonts w:ascii="Cambria" w:hAnsi="Cambria"/>
          <w:color w:val="000000" w:themeColor="text1"/>
          <w:sz w:val="20"/>
          <w:szCs w:val="20"/>
          <w:lang w:val="es-ES"/>
        </w:rPr>
        <w:t>su</w:t>
      </w:r>
      <w:r w:rsidR="00AB4A9E" w:rsidRPr="00156477">
        <w:rPr>
          <w:rFonts w:ascii="Cambria" w:hAnsi="Cambria"/>
          <w:color w:val="000000" w:themeColor="text1"/>
          <w:sz w:val="20"/>
          <w:szCs w:val="20"/>
          <w:lang w:val="es-ES"/>
        </w:rPr>
        <w:t xml:space="preserve"> representación legal, el Consejo de Ministros </w:t>
      </w:r>
      <w:r w:rsidR="000A32C8" w:rsidRPr="00156477">
        <w:rPr>
          <w:rFonts w:ascii="Cambria" w:hAnsi="Cambria"/>
          <w:color w:val="000000" w:themeColor="text1"/>
          <w:sz w:val="20"/>
          <w:szCs w:val="20"/>
          <w:lang w:val="es-ES"/>
        </w:rPr>
        <w:t>aumentó</w:t>
      </w:r>
      <w:r w:rsidR="00AB4A9E" w:rsidRPr="00156477">
        <w:rPr>
          <w:rFonts w:ascii="Cambria" w:hAnsi="Cambria"/>
          <w:color w:val="000000" w:themeColor="text1"/>
          <w:sz w:val="20"/>
          <w:szCs w:val="20"/>
          <w:lang w:val="es-ES"/>
        </w:rPr>
        <w:t xml:space="preserve"> recientemente los honorarios de los abogados designados por el Consejo de Asistencia Jurídica</w:t>
      </w:r>
      <w:r w:rsidR="000A32C8" w:rsidRPr="00156477">
        <w:rPr>
          <w:rFonts w:ascii="Cambria" w:hAnsi="Cambria"/>
          <w:color w:val="000000" w:themeColor="text1"/>
          <w:sz w:val="20"/>
          <w:szCs w:val="20"/>
          <w:lang w:val="es-ES"/>
        </w:rPr>
        <w:t xml:space="preserve"> (</w:t>
      </w:r>
      <w:r w:rsidR="000A32C8" w:rsidRPr="00156477">
        <w:rPr>
          <w:rFonts w:ascii="Cambria" w:hAnsi="Cambria"/>
          <w:i/>
          <w:iCs/>
          <w:color w:val="000000" w:themeColor="text1"/>
          <w:sz w:val="20"/>
          <w:szCs w:val="20"/>
          <w:lang w:val="es-ES"/>
        </w:rPr>
        <w:t>Legal Aid Council</w:t>
      </w:r>
      <w:r w:rsidR="000A32C8" w:rsidRPr="00156477">
        <w:rPr>
          <w:rFonts w:ascii="Cambria" w:hAnsi="Cambria"/>
          <w:color w:val="000000" w:themeColor="text1"/>
          <w:sz w:val="20"/>
          <w:szCs w:val="20"/>
          <w:lang w:val="es-ES"/>
        </w:rPr>
        <w:t>)</w:t>
      </w:r>
      <w:r w:rsidR="00AB4A9E" w:rsidRPr="00156477">
        <w:rPr>
          <w:rFonts w:ascii="Cambria" w:hAnsi="Cambria"/>
          <w:color w:val="000000" w:themeColor="text1"/>
          <w:sz w:val="20"/>
          <w:szCs w:val="20"/>
          <w:lang w:val="es-ES"/>
        </w:rPr>
        <w:t xml:space="preserve"> para procesos penales complejos. </w:t>
      </w:r>
      <w:r w:rsidR="000A32C8" w:rsidRPr="00156477">
        <w:rPr>
          <w:rFonts w:ascii="Cambria" w:hAnsi="Cambria"/>
          <w:color w:val="000000" w:themeColor="text1"/>
          <w:sz w:val="20"/>
          <w:szCs w:val="20"/>
          <w:lang w:val="es-ES"/>
        </w:rPr>
        <w:t>A</w:t>
      </w:r>
      <w:r w:rsidRPr="00156477">
        <w:rPr>
          <w:rFonts w:ascii="Cambria" w:hAnsi="Cambria"/>
          <w:color w:val="000000" w:themeColor="text1"/>
          <w:sz w:val="20"/>
          <w:szCs w:val="20"/>
          <w:lang w:val="es-ES"/>
        </w:rPr>
        <w:t>l</w:t>
      </w:r>
      <w:r w:rsidR="00AB4A9E" w:rsidRPr="00156477">
        <w:rPr>
          <w:rFonts w:ascii="Cambria" w:hAnsi="Cambria"/>
          <w:color w:val="000000" w:themeColor="text1"/>
          <w:sz w:val="20"/>
          <w:szCs w:val="20"/>
          <w:lang w:val="es-ES"/>
        </w:rPr>
        <w:t xml:space="preserve"> 4 de agosto de 2017, había aproximadamente 646 abogados contratados para prestar servicios de asistencia jurídica.</w:t>
      </w:r>
      <w:r w:rsidR="000A32C8" w:rsidRPr="00156477">
        <w:rPr>
          <w:rFonts w:ascii="Cambria" w:hAnsi="Cambria"/>
          <w:color w:val="000000" w:themeColor="text1"/>
          <w:sz w:val="20"/>
          <w:szCs w:val="20"/>
          <w:lang w:val="es-ES"/>
        </w:rPr>
        <w:t xml:space="preserve"> I</w:t>
      </w:r>
      <w:r w:rsidR="004B6907" w:rsidRPr="00156477">
        <w:rPr>
          <w:rFonts w:ascii="Cambria" w:hAnsi="Cambria"/>
          <w:color w:val="000000" w:themeColor="text1"/>
          <w:sz w:val="20"/>
          <w:szCs w:val="20"/>
          <w:lang w:val="es-ES"/>
        </w:rPr>
        <w:t>nformó que en</w:t>
      </w:r>
      <w:r w:rsidR="00AB4A9E" w:rsidRPr="00156477">
        <w:rPr>
          <w:rFonts w:ascii="Cambria" w:hAnsi="Cambria"/>
          <w:color w:val="000000" w:themeColor="text1"/>
          <w:sz w:val="20"/>
          <w:szCs w:val="20"/>
          <w:lang w:val="es-ES"/>
        </w:rPr>
        <w:t xml:space="preserve"> 2018-2019, 3.331 personas </w:t>
      </w:r>
      <w:r w:rsidR="004B6907" w:rsidRPr="00156477">
        <w:rPr>
          <w:rFonts w:ascii="Cambria" w:hAnsi="Cambria"/>
          <w:color w:val="000000" w:themeColor="text1"/>
          <w:sz w:val="20"/>
          <w:szCs w:val="20"/>
          <w:lang w:val="es-ES"/>
        </w:rPr>
        <w:t>accedier</w:t>
      </w:r>
      <w:r w:rsidR="000A32C8" w:rsidRPr="00156477">
        <w:rPr>
          <w:rFonts w:ascii="Cambria" w:hAnsi="Cambria"/>
          <w:color w:val="000000" w:themeColor="text1"/>
          <w:sz w:val="20"/>
          <w:szCs w:val="20"/>
          <w:lang w:val="es-ES"/>
        </w:rPr>
        <w:t>on</w:t>
      </w:r>
      <w:r w:rsidR="004B6907" w:rsidRPr="00156477">
        <w:rPr>
          <w:rFonts w:ascii="Cambria" w:hAnsi="Cambria"/>
          <w:color w:val="000000" w:themeColor="text1"/>
          <w:sz w:val="20"/>
          <w:szCs w:val="20"/>
          <w:lang w:val="es-ES"/>
        </w:rPr>
        <w:t xml:space="preserve"> a abogados de oficio </w:t>
      </w:r>
      <w:r w:rsidR="00AB4A9E" w:rsidRPr="00156477">
        <w:rPr>
          <w:rFonts w:ascii="Cambria" w:hAnsi="Cambria"/>
          <w:color w:val="000000" w:themeColor="text1"/>
          <w:sz w:val="20"/>
          <w:szCs w:val="20"/>
          <w:lang w:val="es-ES"/>
        </w:rPr>
        <w:t>y 3.648 casos fue</w:t>
      </w:r>
      <w:r w:rsidRPr="00156477">
        <w:rPr>
          <w:rFonts w:ascii="Cambria" w:hAnsi="Cambria"/>
          <w:color w:val="000000" w:themeColor="text1"/>
          <w:sz w:val="20"/>
          <w:szCs w:val="20"/>
          <w:lang w:val="es-ES"/>
        </w:rPr>
        <w:t>r</w:t>
      </w:r>
      <w:r w:rsidR="000A32C8" w:rsidRPr="00156477">
        <w:rPr>
          <w:rFonts w:ascii="Cambria" w:hAnsi="Cambria"/>
          <w:color w:val="000000" w:themeColor="text1"/>
          <w:sz w:val="20"/>
          <w:szCs w:val="20"/>
          <w:lang w:val="es-ES"/>
        </w:rPr>
        <w:t>o</w:t>
      </w:r>
      <w:r w:rsidR="00AB4A9E" w:rsidRPr="00156477">
        <w:rPr>
          <w:rFonts w:ascii="Cambria" w:hAnsi="Cambria"/>
          <w:color w:val="000000" w:themeColor="text1"/>
          <w:sz w:val="20"/>
          <w:szCs w:val="20"/>
          <w:lang w:val="es-ES"/>
        </w:rPr>
        <w:t xml:space="preserve">n </w:t>
      </w:r>
      <w:r w:rsidR="000A32C8" w:rsidRPr="00156477">
        <w:rPr>
          <w:rFonts w:ascii="Cambria" w:hAnsi="Cambria"/>
          <w:color w:val="000000" w:themeColor="text1"/>
          <w:sz w:val="20"/>
          <w:szCs w:val="20"/>
          <w:lang w:val="es-ES"/>
        </w:rPr>
        <w:t>asistidos</w:t>
      </w:r>
      <w:r w:rsidR="00AB4A9E" w:rsidRPr="00156477">
        <w:rPr>
          <w:rFonts w:ascii="Cambria" w:hAnsi="Cambria"/>
          <w:color w:val="000000" w:themeColor="text1"/>
          <w:sz w:val="20"/>
          <w:szCs w:val="20"/>
          <w:lang w:val="es-ES"/>
        </w:rPr>
        <w:t>, incluyendo asuntos relativos a la cancelación de antecedentes penales</w:t>
      </w:r>
      <w:r w:rsidRPr="00156477">
        <w:rPr>
          <w:rFonts w:ascii="Cambria" w:hAnsi="Cambria"/>
          <w:color w:val="000000" w:themeColor="text1"/>
          <w:sz w:val="20"/>
          <w:szCs w:val="20"/>
          <w:lang w:val="es-ES"/>
        </w:rPr>
        <w:t xml:space="preserve"> y apelaciones</w:t>
      </w:r>
      <w:r w:rsidR="00AB4A9E" w:rsidRPr="00156477">
        <w:rPr>
          <w:rFonts w:ascii="Cambria" w:hAnsi="Cambria"/>
          <w:color w:val="000000" w:themeColor="text1"/>
          <w:sz w:val="20"/>
          <w:szCs w:val="20"/>
          <w:lang w:val="es-ES"/>
        </w:rPr>
        <w:t>.</w:t>
      </w:r>
      <w:r w:rsidRPr="00156477">
        <w:rPr>
          <w:rFonts w:ascii="Cambria" w:hAnsi="Cambria"/>
          <w:color w:val="000000" w:themeColor="text1"/>
          <w:sz w:val="20"/>
          <w:szCs w:val="20"/>
          <w:lang w:val="es-ES"/>
        </w:rPr>
        <w:t xml:space="preserve"> </w:t>
      </w:r>
      <w:r w:rsidR="00AB4A9E" w:rsidRPr="00156477">
        <w:rPr>
          <w:rFonts w:ascii="Cambria" w:hAnsi="Cambria"/>
          <w:color w:val="000000" w:themeColor="text1"/>
          <w:sz w:val="20"/>
          <w:szCs w:val="20"/>
          <w:lang w:val="es-ES"/>
        </w:rPr>
        <w:t xml:space="preserve">Además, el Estado </w:t>
      </w:r>
      <w:r w:rsidR="000A32C8" w:rsidRPr="00156477">
        <w:rPr>
          <w:rFonts w:ascii="Cambria" w:hAnsi="Cambria"/>
          <w:color w:val="000000" w:themeColor="text1"/>
          <w:sz w:val="20"/>
          <w:szCs w:val="20"/>
          <w:lang w:val="es-ES"/>
        </w:rPr>
        <w:t>informó</w:t>
      </w:r>
      <w:r w:rsidR="00AB4A9E" w:rsidRPr="00156477">
        <w:rPr>
          <w:rFonts w:ascii="Cambria" w:hAnsi="Cambria"/>
          <w:color w:val="000000" w:themeColor="text1"/>
          <w:sz w:val="20"/>
          <w:szCs w:val="20"/>
          <w:lang w:val="es-ES"/>
        </w:rPr>
        <w:t xml:space="preserve"> </w:t>
      </w:r>
      <w:r w:rsidR="000A32C8" w:rsidRPr="00156477">
        <w:rPr>
          <w:rFonts w:ascii="Cambria" w:hAnsi="Cambria"/>
          <w:color w:val="000000" w:themeColor="text1"/>
          <w:sz w:val="20"/>
          <w:szCs w:val="20"/>
          <w:lang w:val="es-ES"/>
        </w:rPr>
        <w:t xml:space="preserve">que </w:t>
      </w:r>
      <w:r w:rsidR="00AB4A9E" w:rsidRPr="00156477">
        <w:rPr>
          <w:rFonts w:ascii="Cambria" w:hAnsi="Cambria"/>
          <w:color w:val="000000" w:themeColor="text1"/>
          <w:sz w:val="20"/>
          <w:szCs w:val="20"/>
          <w:lang w:val="es-ES"/>
        </w:rPr>
        <w:t>se ha beneficiado de la asistencia de socios internacionales, como el Gobierno de Canadá que, en 2020, donó dos (2) unidades móviles adicionales a Jamaica para mejorar los servicios de extensión del</w:t>
      </w:r>
      <w:r w:rsidR="000A32C8" w:rsidRPr="00156477">
        <w:rPr>
          <w:rFonts w:ascii="Cambria" w:hAnsi="Cambria"/>
          <w:color w:val="000000" w:themeColor="text1"/>
          <w:sz w:val="20"/>
          <w:szCs w:val="20"/>
          <w:lang w:val="es-ES"/>
        </w:rPr>
        <w:t xml:space="preserve"> Consejo de Asistencia Jurídica (</w:t>
      </w:r>
      <w:r w:rsidR="000A32C8" w:rsidRPr="00156477">
        <w:rPr>
          <w:rFonts w:ascii="Cambria" w:hAnsi="Cambria"/>
          <w:i/>
          <w:iCs/>
          <w:color w:val="000000" w:themeColor="text1"/>
          <w:sz w:val="20"/>
          <w:szCs w:val="20"/>
          <w:lang w:val="es-ES"/>
        </w:rPr>
        <w:t>Legal Aid Council</w:t>
      </w:r>
      <w:r w:rsidR="000A32C8" w:rsidRPr="00156477">
        <w:rPr>
          <w:rFonts w:ascii="Cambria" w:hAnsi="Cambria"/>
          <w:color w:val="000000" w:themeColor="text1"/>
          <w:sz w:val="20"/>
          <w:szCs w:val="20"/>
          <w:lang w:val="es-ES"/>
        </w:rPr>
        <w:t>) contribuyendo a</w:t>
      </w:r>
      <w:r w:rsidR="00AB4A9E" w:rsidRPr="00156477">
        <w:rPr>
          <w:rFonts w:ascii="Cambria" w:hAnsi="Cambria"/>
          <w:color w:val="000000" w:themeColor="text1"/>
          <w:sz w:val="20"/>
          <w:szCs w:val="20"/>
          <w:lang w:val="es-ES"/>
        </w:rPr>
        <w:t xml:space="preserve"> la iniciativa de 2017 del Ministerio de Justicia por la que se puso en marcha la primera Unidad de Justicia Móvil. Estas unidades prestan servicios jurídicos en asuntos penales </w:t>
      </w:r>
      <w:r w:rsidR="000A32C8" w:rsidRPr="00156477">
        <w:rPr>
          <w:rFonts w:ascii="Cambria" w:hAnsi="Cambria"/>
          <w:color w:val="000000" w:themeColor="text1"/>
          <w:sz w:val="20"/>
          <w:szCs w:val="20"/>
          <w:lang w:val="es-ES"/>
        </w:rPr>
        <w:t>y</w:t>
      </w:r>
      <w:r w:rsidR="00AB4A9E" w:rsidRPr="00156477">
        <w:rPr>
          <w:rFonts w:ascii="Cambria" w:hAnsi="Cambria"/>
          <w:color w:val="000000" w:themeColor="text1"/>
          <w:sz w:val="20"/>
          <w:szCs w:val="20"/>
          <w:lang w:val="es-ES"/>
        </w:rPr>
        <w:t xml:space="preserve"> civiles y están orientadas a mejorar la representación legal de las personas vulnerables en las comunidades rurales marginadas y profundas. Además, estas unidades ofrecen la oportunidad de que organizaciones, grupos comunitarios, iglesias, etc. soliciten específicamente los servicios de las unidades móviles de justicia.</w:t>
      </w:r>
    </w:p>
    <w:p w14:paraId="06B204A4" w14:textId="77777777" w:rsidR="00C74196" w:rsidRPr="00156477" w:rsidRDefault="00C74196" w:rsidP="00AC5985">
      <w:pPr>
        <w:spacing w:after="0" w:line="240" w:lineRule="auto"/>
        <w:ind w:left="720"/>
        <w:jc w:val="both"/>
        <w:rPr>
          <w:rFonts w:ascii="Cambria" w:hAnsi="Cambria"/>
          <w:color w:val="000000" w:themeColor="text1"/>
          <w:sz w:val="20"/>
          <w:szCs w:val="20"/>
          <w:lang w:val="es-ES"/>
        </w:rPr>
      </w:pPr>
    </w:p>
    <w:p w14:paraId="7668BC1A" w14:textId="77777777" w:rsidR="00862DD8" w:rsidRPr="00156477" w:rsidRDefault="009A3F6E" w:rsidP="00AC5985">
      <w:pPr>
        <w:numPr>
          <w:ilvl w:val="0"/>
          <w:numId w:val="8"/>
        </w:numPr>
        <w:spacing w:after="0" w:line="240" w:lineRule="auto"/>
        <w:ind w:left="0" w:firstLine="720"/>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En 2019</w:t>
      </w:r>
      <w:r w:rsidR="002F6244" w:rsidRPr="00156477">
        <w:rPr>
          <w:rFonts w:ascii="Cambria" w:hAnsi="Cambria"/>
          <w:color w:val="000000" w:themeColor="text1"/>
          <w:sz w:val="20"/>
          <w:szCs w:val="20"/>
          <w:lang w:val="es-ES"/>
        </w:rPr>
        <w:t>,</w:t>
      </w:r>
      <w:r w:rsidR="00B745AD" w:rsidRPr="00156477">
        <w:rPr>
          <w:rFonts w:ascii="Cambria" w:hAnsi="Cambria"/>
          <w:color w:val="000000" w:themeColor="text1"/>
          <w:sz w:val="20"/>
          <w:szCs w:val="20"/>
          <w:lang w:val="es-ES"/>
        </w:rPr>
        <w:t xml:space="preserve"> 2020</w:t>
      </w:r>
      <w:r w:rsidR="002F6244" w:rsidRPr="00156477">
        <w:rPr>
          <w:rFonts w:ascii="Cambria" w:hAnsi="Cambria"/>
          <w:color w:val="000000" w:themeColor="text1"/>
          <w:sz w:val="20"/>
          <w:szCs w:val="20"/>
          <w:lang w:val="es-ES"/>
        </w:rPr>
        <w:t xml:space="preserve"> y 2021</w:t>
      </w:r>
      <w:r w:rsidR="00B745AD" w:rsidRPr="00156477">
        <w:rPr>
          <w:rFonts w:ascii="Cambria" w:hAnsi="Cambria"/>
          <w:color w:val="000000" w:themeColor="text1"/>
          <w:sz w:val="20"/>
          <w:szCs w:val="20"/>
          <w:lang w:val="es-ES"/>
        </w:rPr>
        <w:t>,</w:t>
      </w:r>
      <w:r w:rsidRPr="00156477">
        <w:rPr>
          <w:rFonts w:ascii="Cambria" w:hAnsi="Cambria"/>
          <w:color w:val="000000" w:themeColor="text1"/>
          <w:sz w:val="20"/>
          <w:szCs w:val="20"/>
          <w:lang w:val="es-ES"/>
        </w:rPr>
        <w:t xml:space="preserve"> l</w:t>
      </w:r>
      <w:r w:rsidR="00862DD8" w:rsidRPr="00156477">
        <w:rPr>
          <w:rFonts w:ascii="Cambria" w:hAnsi="Cambria"/>
          <w:color w:val="000000" w:themeColor="text1"/>
          <w:sz w:val="20"/>
          <w:szCs w:val="20"/>
          <w:lang w:val="es-ES"/>
        </w:rPr>
        <w:t xml:space="preserve">os peticionarios no </w:t>
      </w:r>
      <w:r w:rsidRPr="00156477">
        <w:rPr>
          <w:rFonts w:ascii="Cambria" w:hAnsi="Cambria"/>
          <w:color w:val="000000" w:themeColor="text1"/>
          <w:sz w:val="20"/>
          <w:szCs w:val="20"/>
          <w:lang w:val="es-ES"/>
        </w:rPr>
        <w:t>aportaron</w:t>
      </w:r>
      <w:r w:rsidR="00862DD8" w:rsidRPr="00156477">
        <w:rPr>
          <w:rFonts w:ascii="Cambria" w:hAnsi="Cambria"/>
          <w:color w:val="000000" w:themeColor="text1"/>
          <w:sz w:val="20"/>
          <w:szCs w:val="20"/>
          <w:lang w:val="es-ES"/>
        </w:rPr>
        <w:t xml:space="preserve"> información sobre las medidas adoptadas el Estado para cumplir con esta recomendación.</w:t>
      </w:r>
    </w:p>
    <w:p w14:paraId="2B0517F3" w14:textId="77777777" w:rsidR="00862DD8" w:rsidRPr="00156477" w:rsidRDefault="00862DD8" w:rsidP="00AC5985">
      <w:pPr>
        <w:spacing w:after="0" w:line="240" w:lineRule="auto"/>
        <w:ind w:left="720"/>
        <w:jc w:val="both"/>
        <w:rPr>
          <w:rFonts w:ascii="Cambria" w:hAnsi="Cambria"/>
          <w:color w:val="000000" w:themeColor="text1"/>
          <w:sz w:val="20"/>
          <w:szCs w:val="20"/>
          <w:lang w:val="es-ES"/>
        </w:rPr>
      </w:pPr>
    </w:p>
    <w:p w14:paraId="6B6220EC" w14:textId="32CFF767" w:rsidR="008107A9" w:rsidRPr="00156477" w:rsidRDefault="00184445" w:rsidP="008107A9">
      <w:pPr>
        <w:numPr>
          <w:ilvl w:val="0"/>
          <w:numId w:val="8"/>
        </w:numPr>
        <w:spacing w:after="0" w:line="240" w:lineRule="auto"/>
        <w:ind w:left="0" w:firstLine="720"/>
        <w:jc w:val="both"/>
        <w:rPr>
          <w:rFonts w:ascii="Cambria" w:hAnsi="Cambria"/>
          <w:color w:val="000000" w:themeColor="text1"/>
          <w:sz w:val="20"/>
          <w:szCs w:val="20"/>
          <w:lang w:val="es-ES"/>
        </w:rPr>
      </w:pPr>
      <w:bookmarkStart w:id="2" w:name="_Hlk87282126"/>
      <w:r w:rsidRPr="00156477">
        <w:rPr>
          <w:rFonts w:ascii="Cambria" w:hAnsi="Cambria"/>
          <w:color w:val="000000" w:themeColor="text1"/>
          <w:sz w:val="20"/>
          <w:szCs w:val="20"/>
          <w:lang w:val="es-ES"/>
        </w:rPr>
        <w:t xml:space="preserve">La Comisión </w:t>
      </w:r>
      <w:r w:rsidR="002F6244" w:rsidRPr="00156477">
        <w:rPr>
          <w:rFonts w:ascii="Cambria" w:hAnsi="Cambria"/>
          <w:color w:val="000000" w:themeColor="text1"/>
          <w:sz w:val="20"/>
          <w:szCs w:val="20"/>
          <w:lang w:val="es-ES"/>
        </w:rPr>
        <w:t xml:space="preserve">reitera que </w:t>
      </w:r>
      <w:r w:rsidR="00C15F79" w:rsidRPr="00156477">
        <w:rPr>
          <w:rFonts w:ascii="Cambria" w:hAnsi="Cambria"/>
          <w:color w:val="000000" w:themeColor="text1"/>
          <w:sz w:val="20"/>
          <w:szCs w:val="20"/>
          <w:lang w:val="es-ES"/>
        </w:rPr>
        <w:t>tomó</w:t>
      </w:r>
      <w:r w:rsidR="002F6244" w:rsidRPr="00156477">
        <w:rPr>
          <w:rFonts w:ascii="Cambria" w:hAnsi="Cambria"/>
          <w:color w:val="000000" w:themeColor="text1"/>
          <w:sz w:val="20"/>
          <w:szCs w:val="20"/>
          <w:lang w:val="es-ES"/>
        </w:rPr>
        <w:t xml:space="preserve"> nota de</w:t>
      </w:r>
      <w:r w:rsidR="00862DD8" w:rsidRPr="00156477">
        <w:rPr>
          <w:rFonts w:ascii="Cambria" w:hAnsi="Cambria"/>
          <w:color w:val="000000" w:themeColor="text1"/>
          <w:sz w:val="20"/>
          <w:szCs w:val="20"/>
          <w:lang w:val="es-ES"/>
        </w:rPr>
        <w:t xml:space="preserve"> que la jurisprudencia del Comité Judicial del Consejo Privado y de la Corte de Apelaci</w:t>
      </w:r>
      <w:r w:rsidR="00330A0F" w:rsidRPr="00156477">
        <w:rPr>
          <w:rFonts w:ascii="Cambria" w:hAnsi="Cambria"/>
          <w:color w:val="000000" w:themeColor="text1"/>
          <w:sz w:val="20"/>
          <w:szCs w:val="20"/>
          <w:lang w:val="es-ES"/>
        </w:rPr>
        <w:t xml:space="preserve">ón </w:t>
      </w:r>
      <w:r w:rsidR="00862DD8" w:rsidRPr="00156477">
        <w:rPr>
          <w:rFonts w:ascii="Cambria" w:hAnsi="Cambria"/>
          <w:color w:val="000000" w:themeColor="text1"/>
          <w:sz w:val="20"/>
          <w:szCs w:val="20"/>
          <w:lang w:val="es-ES"/>
        </w:rPr>
        <w:t xml:space="preserve">de Jamaica </w:t>
      </w:r>
      <w:r w:rsidR="00C15F79" w:rsidRPr="00156477">
        <w:rPr>
          <w:rFonts w:ascii="Cambria" w:hAnsi="Cambria"/>
          <w:color w:val="000000" w:themeColor="text1"/>
          <w:sz w:val="20"/>
          <w:szCs w:val="20"/>
          <w:lang w:val="es-ES"/>
        </w:rPr>
        <w:t>amplió</w:t>
      </w:r>
      <w:r w:rsidR="00862DD8" w:rsidRPr="00156477">
        <w:rPr>
          <w:rFonts w:ascii="Cambria" w:hAnsi="Cambria"/>
          <w:color w:val="000000" w:themeColor="text1"/>
          <w:sz w:val="20"/>
          <w:szCs w:val="20"/>
          <w:lang w:val="es-ES"/>
        </w:rPr>
        <w:t xml:space="preserve"> el alcance de los derechos a las </w:t>
      </w:r>
      <w:r w:rsidR="00897552" w:rsidRPr="00156477">
        <w:rPr>
          <w:rFonts w:ascii="Cambria" w:hAnsi="Cambria"/>
          <w:color w:val="000000" w:themeColor="text1"/>
          <w:sz w:val="20"/>
          <w:szCs w:val="20"/>
          <w:lang w:val="es-ES"/>
        </w:rPr>
        <w:t>garantías y protección judiciales</w:t>
      </w:r>
      <w:r w:rsidR="00862DD8" w:rsidRPr="00156477">
        <w:rPr>
          <w:rFonts w:ascii="Cambria" w:hAnsi="Cambria"/>
          <w:color w:val="000000" w:themeColor="text1"/>
          <w:sz w:val="20"/>
          <w:szCs w:val="20"/>
          <w:lang w:val="es-ES"/>
        </w:rPr>
        <w:t xml:space="preserve"> establecidos en la Carta de Derechos y Liber</w:t>
      </w:r>
      <w:r w:rsidR="00F42828" w:rsidRPr="00156477">
        <w:rPr>
          <w:rFonts w:ascii="Cambria" w:hAnsi="Cambria"/>
          <w:color w:val="000000" w:themeColor="text1"/>
          <w:sz w:val="20"/>
          <w:szCs w:val="20"/>
          <w:lang w:val="es-ES"/>
        </w:rPr>
        <w:t xml:space="preserve">tades Fundamentales de Jamaica. </w:t>
      </w:r>
      <w:r w:rsidR="00092650" w:rsidRPr="00156477">
        <w:rPr>
          <w:rFonts w:ascii="Cambria" w:hAnsi="Cambria"/>
          <w:color w:val="000000" w:themeColor="text1"/>
          <w:sz w:val="20"/>
          <w:szCs w:val="20"/>
          <w:lang w:val="es-ES"/>
        </w:rPr>
        <w:t xml:space="preserve">Asimismo, valora positivamente la información remitida en cuanto a </w:t>
      </w:r>
      <w:r w:rsidR="002F6244" w:rsidRPr="00156477">
        <w:rPr>
          <w:rFonts w:ascii="Cambria" w:hAnsi="Cambria"/>
          <w:color w:val="000000" w:themeColor="text1"/>
          <w:sz w:val="20"/>
          <w:szCs w:val="20"/>
          <w:lang w:val="es-ES"/>
        </w:rPr>
        <w:t>la implementación de</w:t>
      </w:r>
      <w:r w:rsidR="00092650" w:rsidRPr="00156477">
        <w:rPr>
          <w:rFonts w:ascii="Cambria" w:hAnsi="Cambria"/>
          <w:color w:val="000000" w:themeColor="text1"/>
          <w:sz w:val="20"/>
          <w:szCs w:val="20"/>
          <w:lang w:val="es-ES"/>
        </w:rPr>
        <w:t xml:space="preserve"> </w:t>
      </w:r>
      <w:r w:rsidR="00BB30C6" w:rsidRPr="00156477">
        <w:rPr>
          <w:rFonts w:ascii="Cambria" w:hAnsi="Cambria"/>
          <w:color w:val="000000" w:themeColor="text1"/>
          <w:sz w:val="20"/>
          <w:szCs w:val="20"/>
          <w:lang w:val="es-ES"/>
        </w:rPr>
        <w:t>la Ley de Asistencia Legal</w:t>
      </w:r>
      <w:r w:rsidR="00546123" w:rsidRPr="00156477">
        <w:rPr>
          <w:rFonts w:ascii="Cambria" w:hAnsi="Cambria"/>
          <w:color w:val="000000" w:themeColor="text1"/>
          <w:sz w:val="20"/>
          <w:szCs w:val="20"/>
          <w:lang w:val="es-ES"/>
        </w:rPr>
        <w:t xml:space="preserve"> (</w:t>
      </w:r>
      <w:r w:rsidR="00546123" w:rsidRPr="00156477">
        <w:rPr>
          <w:rFonts w:ascii="Cambria" w:hAnsi="Cambria"/>
          <w:i/>
          <w:iCs/>
          <w:color w:val="000000" w:themeColor="text1"/>
          <w:sz w:val="20"/>
          <w:szCs w:val="20"/>
          <w:lang w:val="es-ES"/>
        </w:rPr>
        <w:t xml:space="preserve">Legal Aid </w:t>
      </w:r>
      <w:proofErr w:type="spellStart"/>
      <w:r w:rsidR="00546123" w:rsidRPr="00156477">
        <w:rPr>
          <w:rFonts w:ascii="Cambria" w:hAnsi="Cambria"/>
          <w:i/>
          <w:iCs/>
          <w:color w:val="000000" w:themeColor="text1"/>
          <w:sz w:val="20"/>
          <w:szCs w:val="20"/>
          <w:lang w:val="es-ES"/>
        </w:rPr>
        <w:t>Act</w:t>
      </w:r>
      <w:proofErr w:type="spellEnd"/>
      <w:r w:rsidR="00546123" w:rsidRPr="00156477">
        <w:rPr>
          <w:rFonts w:ascii="Cambria" w:hAnsi="Cambria"/>
          <w:color w:val="000000" w:themeColor="text1"/>
          <w:sz w:val="20"/>
          <w:szCs w:val="20"/>
          <w:lang w:val="es-ES"/>
        </w:rPr>
        <w:t>)</w:t>
      </w:r>
      <w:r w:rsidR="002F6244" w:rsidRPr="00156477">
        <w:rPr>
          <w:rFonts w:ascii="Cambria" w:hAnsi="Cambria"/>
          <w:color w:val="000000" w:themeColor="text1"/>
          <w:sz w:val="20"/>
          <w:szCs w:val="20"/>
          <w:lang w:val="es-ES"/>
        </w:rPr>
        <w:t xml:space="preserve"> y </w:t>
      </w:r>
      <w:r w:rsidR="0063646E" w:rsidRPr="00156477">
        <w:rPr>
          <w:rFonts w:ascii="Cambria" w:hAnsi="Cambria"/>
          <w:color w:val="000000" w:themeColor="text1"/>
          <w:sz w:val="20"/>
          <w:szCs w:val="20"/>
          <w:lang w:val="es-ES"/>
        </w:rPr>
        <w:t xml:space="preserve">a </w:t>
      </w:r>
      <w:r w:rsidR="002F6244" w:rsidRPr="00156477">
        <w:rPr>
          <w:rFonts w:ascii="Cambria" w:hAnsi="Cambria"/>
          <w:color w:val="000000" w:themeColor="text1"/>
          <w:sz w:val="20"/>
          <w:szCs w:val="20"/>
          <w:lang w:val="es-ES"/>
        </w:rPr>
        <w:t xml:space="preserve">que </w:t>
      </w:r>
      <w:r w:rsidR="002423FF" w:rsidRPr="00156477">
        <w:rPr>
          <w:rFonts w:ascii="Cambria" w:hAnsi="Cambria"/>
          <w:color w:val="000000" w:themeColor="text1"/>
          <w:sz w:val="20"/>
          <w:szCs w:val="20"/>
          <w:lang w:val="es-ES"/>
        </w:rPr>
        <w:t>la sección</w:t>
      </w:r>
      <w:r w:rsidR="00C33E22" w:rsidRPr="00156477">
        <w:rPr>
          <w:rFonts w:ascii="Cambria" w:hAnsi="Cambria"/>
          <w:color w:val="000000" w:themeColor="text1"/>
          <w:sz w:val="20"/>
          <w:szCs w:val="20"/>
          <w:lang w:val="es-ES"/>
        </w:rPr>
        <w:t xml:space="preserve"> de esta ley</w:t>
      </w:r>
      <w:r w:rsidR="002423FF" w:rsidRPr="00156477">
        <w:rPr>
          <w:rFonts w:ascii="Cambria" w:hAnsi="Cambria"/>
          <w:color w:val="000000" w:themeColor="text1"/>
          <w:sz w:val="20"/>
          <w:szCs w:val="20"/>
          <w:lang w:val="es-ES"/>
        </w:rPr>
        <w:t xml:space="preserve"> que regula la asistencia en materia civil</w:t>
      </w:r>
      <w:r w:rsidR="002F6244" w:rsidRPr="00156477">
        <w:rPr>
          <w:rFonts w:ascii="Cambria" w:hAnsi="Cambria"/>
          <w:color w:val="000000" w:themeColor="text1"/>
          <w:sz w:val="20"/>
          <w:szCs w:val="20"/>
          <w:lang w:val="es-ES"/>
        </w:rPr>
        <w:t xml:space="preserve"> entrará a regir</w:t>
      </w:r>
      <w:r w:rsidR="00D32B9D" w:rsidRPr="00156477">
        <w:rPr>
          <w:rFonts w:ascii="Cambria" w:hAnsi="Cambria"/>
          <w:color w:val="000000" w:themeColor="text1"/>
          <w:sz w:val="20"/>
          <w:szCs w:val="20"/>
          <w:lang w:val="es-ES"/>
        </w:rPr>
        <w:t xml:space="preserve">, posiblemente, </w:t>
      </w:r>
      <w:r w:rsidR="002F6244" w:rsidRPr="00156477">
        <w:rPr>
          <w:rFonts w:ascii="Cambria" w:hAnsi="Cambria"/>
          <w:color w:val="000000" w:themeColor="text1"/>
          <w:sz w:val="20"/>
          <w:szCs w:val="20"/>
          <w:lang w:val="es-ES"/>
        </w:rPr>
        <w:t>desde diciembre</w:t>
      </w:r>
      <w:r w:rsidR="00D32B9D" w:rsidRPr="00156477">
        <w:rPr>
          <w:rFonts w:ascii="Cambria" w:hAnsi="Cambria"/>
          <w:color w:val="000000" w:themeColor="text1"/>
          <w:sz w:val="20"/>
          <w:szCs w:val="20"/>
          <w:lang w:val="es-ES"/>
        </w:rPr>
        <w:t>, lo cual garantizará su aplicación total</w:t>
      </w:r>
      <w:r w:rsidR="002F6244" w:rsidRPr="00156477">
        <w:rPr>
          <w:rFonts w:ascii="Cambria" w:hAnsi="Cambria"/>
          <w:color w:val="000000" w:themeColor="text1"/>
          <w:sz w:val="20"/>
          <w:szCs w:val="20"/>
          <w:lang w:val="es-ES"/>
        </w:rPr>
        <w:t xml:space="preserve">. </w:t>
      </w:r>
      <w:r w:rsidR="00C15F79" w:rsidRPr="00156477">
        <w:rPr>
          <w:rFonts w:ascii="Cambria" w:hAnsi="Cambria"/>
          <w:color w:val="000000" w:themeColor="text1"/>
          <w:sz w:val="20"/>
          <w:szCs w:val="20"/>
          <w:lang w:val="es-ES"/>
        </w:rPr>
        <w:t>Además</w:t>
      </w:r>
      <w:r w:rsidR="002F6244" w:rsidRPr="00156477">
        <w:rPr>
          <w:rFonts w:ascii="Cambria" w:hAnsi="Cambria"/>
          <w:color w:val="000000" w:themeColor="text1"/>
          <w:sz w:val="20"/>
          <w:szCs w:val="20"/>
          <w:lang w:val="es-ES"/>
        </w:rPr>
        <w:t xml:space="preserve">, la Comisión </w:t>
      </w:r>
      <w:r w:rsidR="00D32B9D" w:rsidRPr="00156477">
        <w:rPr>
          <w:rFonts w:ascii="Cambria" w:hAnsi="Cambria"/>
          <w:color w:val="000000" w:themeColor="text1"/>
          <w:sz w:val="20"/>
          <w:szCs w:val="20"/>
          <w:lang w:val="es-ES"/>
        </w:rPr>
        <w:t>valora positivamente</w:t>
      </w:r>
      <w:r w:rsidR="002F6244" w:rsidRPr="00156477">
        <w:rPr>
          <w:rFonts w:ascii="Cambria" w:hAnsi="Cambria"/>
          <w:color w:val="000000" w:themeColor="text1"/>
          <w:sz w:val="20"/>
          <w:szCs w:val="20"/>
          <w:lang w:val="es-ES"/>
        </w:rPr>
        <w:t xml:space="preserve"> la información</w:t>
      </w:r>
      <w:r w:rsidR="0063646E" w:rsidRPr="00156477">
        <w:rPr>
          <w:rFonts w:ascii="Cambria" w:hAnsi="Cambria"/>
          <w:color w:val="000000" w:themeColor="text1"/>
          <w:sz w:val="20"/>
          <w:szCs w:val="20"/>
          <w:lang w:val="es-ES"/>
        </w:rPr>
        <w:t xml:space="preserve"> adicional</w:t>
      </w:r>
      <w:r w:rsidR="002F6244" w:rsidRPr="00156477">
        <w:rPr>
          <w:rFonts w:ascii="Cambria" w:hAnsi="Cambria"/>
          <w:color w:val="000000" w:themeColor="text1"/>
          <w:sz w:val="20"/>
          <w:szCs w:val="20"/>
          <w:lang w:val="es-ES"/>
        </w:rPr>
        <w:t xml:space="preserve"> proporcionada por el Estado en cuanto al funcionamiento de las Clínicas de Asistencia Jurídica</w:t>
      </w:r>
      <w:r w:rsidR="004B7CD8" w:rsidRPr="00156477">
        <w:rPr>
          <w:rFonts w:ascii="Cambria" w:hAnsi="Cambria"/>
          <w:color w:val="000000" w:themeColor="text1"/>
          <w:sz w:val="20"/>
          <w:szCs w:val="20"/>
          <w:lang w:val="es-ES"/>
        </w:rPr>
        <w:t xml:space="preserve"> </w:t>
      </w:r>
      <w:r w:rsidR="002F6244" w:rsidRPr="00156477">
        <w:rPr>
          <w:rFonts w:ascii="Cambria" w:hAnsi="Cambria"/>
          <w:color w:val="000000" w:themeColor="text1"/>
          <w:sz w:val="20"/>
          <w:szCs w:val="20"/>
          <w:lang w:val="es-ES"/>
        </w:rPr>
        <w:t>para</w:t>
      </w:r>
      <w:r w:rsidR="004B7CD8" w:rsidRPr="00156477">
        <w:rPr>
          <w:rFonts w:ascii="Cambria" w:hAnsi="Cambria"/>
          <w:color w:val="000000" w:themeColor="text1"/>
          <w:sz w:val="20"/>
          <w:szCs w:val="20"/>
          <w:lang w:val="es-ES"/>
        </w:rPr>
        <w:t xml:space="preserve"> proporciona</w:t>
      </w:r>
      <w:r w:rsidR="00D32B9D" w:rsidRPr="00156477">
        <w:rPr>
          <w:rFonts w:ascii="Cambria" w:hAnsi="Cambria"/>
          <w:color w:val="000000" w:themeColor="text1"/>
          <w:sz w:val="20"/>
          <w:szCs w:val="20"/>
          <w:lang w:val="es-ES"/>
        </w:rPr>
        <w:t>r</w:t>
      </w:r>
      <w:r w:rsidR="004B7CD8" w:rsidRPr="00156477">
        <w:rPr>
          <w:rFonts w:ascii="Cambria" w:hAnsi="Cambria"/>
          <w:color w:val="000000" w:themeColor="text1"/>
          <w:sz w:val="20"/>
          <w:szCs w:val="20"/>
          <w:lang w:val="es-ES"/>
        </w:rPr>
        <w:t xml:space="preserve"> servicios legales gratuitos o con costo reducido</w:t>
      </w:r>
      <w:r w:rsidR="00C04090" w:rsidRPr="00156477">
        <w:rPr>
          <w:rFonts w:ascii="Cambria" w:hAnsi="Cambria"/>
          <w:color w:val="000000" w:themeColor="text1"/>
          <w:sz w:val="20"/>
          <w:szCs w:val="20"/>
          <w:lang w:val="es-ES"/>
        </w:rPr>
        <w:t xml:space="preserve"> y en cuanto a los avances del Consejo de Asistencia Jurídica (</w:t>
      </w:r>
      <w:r w:rsidR="00C04090" w:rsidRPr="00156477">
        <w:rPr>
          <w:rFonts w:ascii="Cambria" w:hAnsi="Cambria"/>
          <w:i/>
          <w:iCs/>
          <w:color w:val="000000" w:themeColor="text1"/>
          <w:sz w:val="20"/>
          <w:szCs w:val="20"/>
          <w:lang w:val="es-ES"/>
        </w:rPr>
        <w:t>Legal Aid Council</w:t>
      </w:r>
      <w:r w:rsidR="00C04090" w:rsidRPr="00156477">
        <w:rPr>
          <w:rFonts w:ascii="Cambria" w:hAnsi="Cambria"/>
          <w:color w:val="000000" w:themeColor="text1"/>
          <w:sz w:val="20"/>
          <w:szCs w:val="20"/>
          <w:lang w:val="es-ES"/>
        </w:rPr>
        <w:t>) en la efectividad de la prestación de sus servicios</w:t>
      </w:r>
      <w:r w:rsidR="00092650" w:rsidRPr="00156477">
        <w:rPr>
          <w:rFonts w:ascii="Cambria" w:hAnsi="Cambria"/>
          <w:color w:val="000000" w:themeColor="text1"/>
          <w:sz w:val="20"/>
          <w:szCs w:val="20"/>
          <w:lang w:val="es-ES"/>
        </w:rPr>
        <w:t>.</w:t>
      </w:r>
      <w:r w:rsidR="004B7CD8" w:rsidRPr="00156477">
        <w:rPr>
          <w:rFonts w:ascii="Cambria" w:hAnsi="Cambria"/>
          <w:color w:val="000000" w:themeColor="text1"/>
          <w:sz w:val="20"/>
          <w:szCs w:val="20"/>
          <w:lang w:val="es-ES"/>
        </w:rPr>
        <w:t xml:space="preserve"> </w:t>
      </w:r>
    </w:p>
    <w:p w14:paraId="6F52EA2E" w14:textId="77777777" w:rsidR="008107A9" w:rsidRPr="00156477" w:rsidRDefault="008107A9" w:rsidP="008107A9">
      <w:pPr>
        <w:spacing w:after="0" w:line="240" w:lineRule="auto"/>
        <w:jc w:val="both"/>
        <w:rPr>
          <w:rFonts w:ascii="Cambria" w:hAnsi="Cambria"/>
          <w:color w:val="000000" w:themeColor="text1"/>
          <w:sz w:val="20"/>
          <w:szCs w:val="20"/>
          <w:lang w:val="es-ES"/>
        </w:rPr>
      </w:pPr>
    </w:p>
    <w:p w14:paraId="7D748B55" w14:textId="320F1437" w:rsidR="00CE4146" w:rsidRPr="00156477" w:rsidRDefault="002F6244" w:rsidP="00AC5985">
      <w:pPr>
        <w:numPr>
          <w:ilvl w:val="0"/>
          <w:numId w:val="8"/>
        </w:numPr>
        <w:spacing w:after="0" w:line="240" w:lineRule="auto"/>
        <w:ind w:left="0" w:firstLine="720"/>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L</w:t>
      </w:r>
      <w:r w:rsidR="004B7CD8" w:rsidRPr="00156477">
        <w:rPr>
          <w:rFonts w:ascii="Cambria" w:hAnsi="Cambria"/>
          <w:color w:val="000000" w:themeColor="text1"/>
          <w:sz w:val="20"/>
          <w:szCs w:val="20"/>
          <w:lang w:val="es-ES"/>
        </w:rPr>
        <w:t xml:space="preserve">a CIDH considera que </w:t>
      </w:r>
      <w:r w:rsidR="00F231E6" w:rsidRPr="00156477">
        <w:rPr>
          <w:rFonts w:ascii="Cambria" w:hAnsi="Cambria"/>
          <w:color w:val="000000" w:themeColor="text1"/>
          <w:sz w:val="20"/>
          <w:szCs w:val="20"/>
          <w:lang w:val="es-ES"/>
        </w:rPr>
        <w:t>las</w:t>
      </w:r>
      <w:r w:rsidR="004B7CD8" w:rsidRPr="00156477">
        <w:rPr>
          <w:rFonts w:ascii="Cambria" w:hAnsi="Cambria"/>
          <w:color w:val="000000" w:themeColor="text1"/>
          <w:sz w:val="20"/>
          <w:szCs w:val="20"/>
          <w:lang w:val="es-ES"/>
        </w:rPr>
        <w:t xml:space="preserve"> medidas reportadas están encaminadas a garantizar en Jamaica el derecho a una audiencia imparcial y </w:t>
      </w:r>
      <w:r w:rsidR="00F231E6" w:rsidRPr="00156477">
        <w:rPr>
          <w:rFonts w:ascii="Cambria" w:hAnsi="Cambria"/>
          <w:color w:val="000000" w:themeColor="text1"/>
          <w:sz w:val="20"/>
          <w:szCs w:val="20"/>
          <w:lang w:val="es-ES"/>
        </w:rPr>
        <w:t>e</w:t>
      </w:r>
      <w:r w:rsidR="004B7CD8" w:rsidRPr="00156477">
        <w:rPr>
          <w:rFonts w:ascii="Cambria" w:hAnsi="Cambria"/>
          <w:color w:val="000000" w:themeColor="text1"/>
          <w:sz w:val="20"/>
          <w:szCs w:val="20"/>
          <w:lang w:val="es-ES"/>
        </w:rPr>
        <w:t>l derecho a la protección judicial, en los términos del Informe de Fondo Nº 49/01</w:t>
      </w:r>
      <w:r w:rsidR="00F231E6" w:rsidRPr="00156477">
        <w:rPr>
          <w:rFonts w:ascii="Cambria" w:hAnsi="Cambria"/>
          <w:color w:val="000000" w:themeColor="text1"/>
          <w:sz w:val="20"/>
          <w:szCs w:val="20"/>
          <w:lang w:val="es-ES"/>
        </w:rPr>
        <w:t>, bajo el entendido de que el objetivo de la Ley de Asistencia Legal (</w:t>
      </w:r>
      <w:r w:rsidR="00F231E6" w:rsidRPr="00156477">
        <w:rPr>
          <w:rFonts w:ascii="Cambria" w:hAnsi="Cambria"/>
          <w:i/>
          <w:iCs/>
          <w:color w:val="000000" w:themeColor="text1"/>
          <w:sz w:val="20"/>
          <w:szCs w:val="20"/>
          <w:lang w:val="es-ES"/>
        </w:rPr>
        <w:t xml:space="preserve">Legal Aid </w:t>
      </w:r>
      <w:proofErr w:type="spellStart"/>
      <w:r w:rsidR="00F231E6" w:rsidRPr="00156477">
        <w:rPr>
          <w:rFonts w:ascii="Cambria" w:hAnsi="Cambria"/>
          <w:i/>
          <w:iCs/>
          <w:color w:val="000000" w:themeColor="text1"/>
          <w:sz w:val="20"/>
          <w:szCs w:val="20"/>
          <w:lang w:val="es-ES"/>
        </w:rPr>
        <w:t>Act</w:t>
      </w:r>
      <w:proofErr w:type="spellEnd"/>
      <w:r w:rsidR="00F231E6" w:rsidRPr="00156477">
        <w:rPr>
          <w:rFonts w:ascii="Cambria" w:hAnsi="Cambria"/>
          <w:color w:val="000000" w:themeColor="text1"/>
          <w:sz w:val="20"/>
          <w:szCs w:val="20"/>
          <w:lang w:val="es-ES"/>
        </w:rPr>
        <w:t>)</w:t>
      </w:r>
      <w:r w:rsidR="00C04090" w:rsidRPr="00156477">
        <w:rPr>
          <w:rFonts w:ascii="Cambria" w:hAnsi="Cambria"/>
          <w:color w:val="000000" w:themeColor="text1"/>
          <w:sz w:val="20"/>
          <w:szCs w:val="20"/>
          <w:lang w:val="es-ES"/>
        </w:rPr>
        <w:t>,</w:t>
      </w:r>
      <w:r w:rsidR="00F231E6" w:rsidRPr="00156477">
        <w:rPr>
          <w:rFonts w:ascii="Cambria" w:hAnsi="Cambria"/>
          <w:color w:val="000000" w:themeColor="text1"/>
          <w:sz w:val="20"/>
          <w:szCs w:val="20"/>
          <w:lang w:val="es-ES"/>
        </w:rPr>
        <w:t xml:space="preserve"> </w:t>
      </w:r>
      <w:r w:rsidR="00E7739D" w:rsidRPr="00156477">
        <w:rPr>
          <w:rFonts w:ascii="Cambria" w:hAnsi="Cambria"/>
          <w:color w:val="000000" w:themeColor="text1"/>
          <w:sz w:val="20"/>
          <w:szCs w:val="20"/>
          <w:lang w:val="es-ES"/>
        </w:rPr>
        <w:t>d</w:t>
      </w:r>
      <w:r w:rsidR="00F231E6" w:rsidRPr="00156477">
        <w:rPr>
          <w:rFonts w:ascii="Cambria" w:hAnsi="Cambria"/>
          <w:color w:val="000000" w:themeColor="text1"/>
          <w:sz w:val="20"/>
          <w:szCs w:val="20"/>
          <w:lang w:val="es-ES"/>
        </w:rPr>
        <w:t>e</w:t>
      </w:r>
      <w:r w:rsidR="00721C27" w:rsidRPr="00156477">
        <w:rPr>
          <w:rFonts w:ascii="Cambria" w:hAnsi="Cambria"/>
          <w:color w:val="000000" w:themeColor="text1"/>
          <w:sz w:val="20"/>
          <w:szCs w:val="20"/>
          <w:lang w:val="es-ES"/>
        </w:rPr>
        <w:t>l apoyo financiero que se presta</w:t>
      </w:r>
      <w:r w:rsidR="00F231E6" w:rsidRPr="00156477">
        <w:rPr>
          <w:rFonts w:ascii="Cambria" w:hAnsi="Cambria"/>
          <w:color w:val="000000" w:themeColor="text1"/>
          <w:sz w:val="20"/>
          <w:szCs w:val="20"/>
          <w:lang w:val="es-ES"/>
        </w:rPr>
        <w:t xml:space="preserve"> </w:t>
      </w:r>
      <w:r w:rsidR="005C4F7E" w:rsidRPr="00156477">
        <w:rPr>
          <w:rFonts w:ascii="Cambria" w:hAnsi="Cambria"/>
          <w:color w:val="000000" w:themeColor="text1"/>
          <w:sz w:val="20"/>
          <w:szCs w:val="20"/>
          <w:lang w:val="es-ES"/>
        </w:rPr>
        <w:t>en</w:t>
      </w:r>
      <w:r w:rsidR="00F231E6" w:rsidRPr="00156477">
        <w:rPr>
          <w:rFonts w:ascii="Cambria" w:hAnsi="Cambria"/>
          <w:color w:val="000000" w:themeColor="text1"/>
          <w:sz w:val="20"/>
          <w:szCs w:val="20"/>
          <w:lang w:val="es-ES"/>
        </w:rPr>
        <w:t xml:space="preserve"> centros de asistencia jurídica</w:t>
      </w:r>
      <w:r w:rsidR="00C04090" w:rsidRPr="00156477">
        <w:rPr>
          <w:rFonts w:ascii="Cambria" w:hAnsi="Cambria"/>
          <w:color w:val="000000" w:themeColor="text1"/>
          <w:sz w:val="20"/>
          <w:szCs w:val="20"/>
          <w:lang w:val="es-ES"/>
        </w:rPr>
        <w:t xml:space="preserve"> y de</w:t>
      </w:r>
      <w:r w:rsidR="005C4F7E" w:rsidRPr="00156477">
        <w:rPr>
          <w:rFonts w:ascii="Cambria" w:hAnsi="Cambria"/>
          <w:color w:val="000000" w:themeColor="text1"/>
          <w:sz w:val="20"/>
          <w:szCs w:val="20"/>
          <w:lang w:val="es-ES"/>
        </w:rPr>
        <w:t xml:space="preserve">l </w:t>
      </w:r>
      <w:r w:rsidR="00C04090" w:rsidRPr="00156477">
        <w:rPr>
          <w:rFonts w:ascii="Cambria" w:hAnsi="Cambria"/>
          <w:color w:val="000000" w:themeColor="text1"/>
          <w:sz w:val="20"/>
          <w:szCs w:val="20"/>
          <w:lang w:val="es-ES"/>
        </w:rPr>
        <w:t>Consejo de Asistencia Jurídica (</w:t>
      </w:r>
      <w:r w:rsidR="00C04090" w:rsidRPr="00156477">
        <w:rPr>
          <w:rFonts w:ascii="Cambria" w:hAnsi="Cambria"/>
          <w:i/>
          <w:iCs/>
          <w:color w:val="000000" w:themeColor="text1"/>
          <w:sz w:val="20"/>
          <w:szCs w:val="20"/>
          <w:lang w:val="es-ES"/>
        </w:rPr>
        <w:t>Legal Aid Council</w:t>
      </w:r>
      <w:r w:rsidR="00C04090" w:rsidRPr="00156477">
        <w:rPr>
          <w:rFonts w:ascii="Cambria" w:hAnsi="Cambria"/>
          <w:color w:val="000000" w:themeColor="text1"/>
          <w:sz w:val="20"/>
          <w:szCs w:val="20"/>
          <w:lang w:val="es-ES"/>
        </w:rPr>
        <w:t>)</w:t>
      </w:r>
      <w:r w:rsidR="00F231E6" w:rsidRPr="00156477">
        <w:rPr>
          <w:rFonts w:ascii="Cambria" w:hAnsi="Cambria"/>
          <w:color w:val="000000" w:themeColor="text1"/>
          <w:sz w:val="20"/>
          <w:szCs w:val="20"/>
          <w:lang w:val="es-ES"/>
        </w:rPr>
        <w:t xml:space="preserve"> </w:t>
      </w:r>
      <w:r w:rsidR="00721C27" w:rsidRPr="00156477">
        <w:rPr>
          <w:rFonts w:ascii="Cambria" w:hAnsi="Cambria"/>
          <w:color w:val="000000" w:themeColor="text1"/>
          <w:sz w:val="20"/>
          <w:szCs w:val="20"/>
          <w:lang w:val="es-ES"/>
        </w:rPr>
        <w:t>es</w:t>
      </w:r>
      <w:r w:rsidR="00F231E6" w:rsidRPr="00156477">
        <w:rPr>
          <w:rFonts w:ascii="Cambria" w:hAnsi="Cambria"/>
          <w:color w:val="000000" w:themeColor="text1"/>
          <w:sz w:val="20"/>
          <w:szCs w:val="20"/>
          <w:lang w:val="es-ES"/>
        </w:rPr>
        <w:t xml:space="preserve"> que las personas acced</w:t>
      </w:r>
      <w:r w:rsidR="002423FF" w:rsidRPr="00156477">
        <w:rPr>
          <w:rFonts w:ascii="Cambria" w:hAnsi="Cambria"/>
          <w:color w:val="000000" w:themeColor="text1"/>
          <w:sz w:val="20"/>
          <w:szCs w:val="20"/>
          <w:lang w:val="es-ES"/>
        </w:rPr>
        <w:t>an</w:t>
      </w:r>
      <w:r w:rsidR="00F231E6" w:rsidRPr="00156477">
        <w:rPr>
          <w:rFonts w:ascii="Cambria" w:hAnsi="Cambria"/>
          <w:color w:val="000000" w:themeColor="text1"/>
          <w:sz w:val="20"/>
          <w:szCs w:val="20"/>
          <w:lang w:val="es-ES"/>
        </w:rPr>
        <w:t xml:space="preserve"> a asistencia letrada para acciones constitucionales ante tribunales nacionales</w:t>
      </w:r>
      <w:r w:rsidR="004B7CD8" w:rsidRPr="00156477">
        <w:rPr>
          <w:rFonts w:ascii="Cambria" w:hAnsi="Cambria"/>
          <w:color w:val="000000" w:themeColor="text1"/>
          <w:sz w:val="20"/>
          <w:szCs w:val="20"/>
          <w:lang w:val="es-ES"/>
        </w:rPr>
        <w:t>.</w:t>
      </w:r>
      <w:r w:rsidR="00092650" w:rsidRPr="00156477">
        <w:rPr>
          <w:rFonts w:ascii="Cambria" w:hAnsi="Cambria"/>
          <w:color w:val="000000" w:themeColor="text1"/>
          <w:sz w:val="20"/>
          <w:szCs w:val="20"/>
          <w:lang w:val="es-ES"/>
        </w:rPr>
        <w:t xml:space="preserve"> </w:t>
      </w:r>
      <w:r w:rsidR="00287D16" w:rsidRPr="00156477">
        <w:rPr>
          <w:rFonts w:ascii="Cambria" w:hAnsi="Cambria"/>
          <w:color w:val="000000" w:themeColor="text1"/>
          <w:sz w:val="20"/>
          <w:szCs w:val="20"/>
          <w:lang w:val="es-ES"/>
        </w:rPr>
        <w:t xml:space="preserve">Con miras a dar por </w:t>
      </w:r>
      <w:r w:rsidR="00D32B9D" w:rsidRPr="00156477">
        <w:rPr>
          <w:rFonts w:ascii="Cambria" w:hAnsi="Cambria"/>
          <w:color w:val="000000" w:themeColor="text1"/>
          <w:sz w:val="20"/>
          <w:szCs w:val="20"/>
          <w:lang w:val="es-ES"/>
        </w:rPr>
        <w:t xml:space="preserve">totalmente </w:t>
      </w:r>
      <w:r w:rsidR="00287D16" w:rsidRPr="00156477">
        <w:rPr>
          <w:rFonts w:ascii="Cambria" w:hAnsi="Cambria"/>
          <w:color w:val="000000" w:themeColor="text1"/>
          <w:sz w:val="20"/>
          <w:szCs w:val="20"/>
          <w:lang w:val="es-ES"/>
        </w:rPr>
        <w:t>cumplida esta recomendación, l</w:t>
      </w:r>
      <w:r w:rsidR="003D691A" w:rsidRPr="00156477">
        <w:rPr>
          <w:rFonts w:ascii="Cambria" w:hAnsi="Cambria"/>
          <w:color w:val="000000" w:themeColor="text1"/>
          <w:sz w:val="20"/>
          <w:szCs w:val="20"/>
          <w:lang w:val="es-ES"/>
        </w:rPr>
        <w:t xml:space="preserve">a Comisión invita al Estado a </w:t>
      </w:r>
      <w:r w:rsidR="00692B14" w:rsidRPr="00156477">
        <w:rPr>
          <w:rFonts w:ascii="Cambria" w:hAnsi="Cambria"/>
          <w:color w:val="000000" w:themeColor="text1"/>
          <w:sz w:val="20"/>
          <w:szCs w:val="20"/>
          <w:lang w:val="es-ES"/>
        </w:rPr>
        <w:t xml:space="preserve">informar </w:t>
      </w:r>
      <w:r w:rsidR="00D32B9D" w:rsidRPr="00156477">
        <w:rPr>
          <w:rFonts w:ascii="Cambria" w:hAnsi="Cambria"/>
          <w:color w:val="000000" w:themeColor="text1"/>
          <w:sz w:val="20"/>
          <w:szCs w:val="20"/>
          <w:lang w:val="es-ES"/>
        </w:rPr>
        <w:t>cuando</w:t>
      </w:r>
      <w:r w:rsidR="0063646E" w:rsidRPr="00156477">
        <w:rPr>
          <w:rFonts w:ascii="Cambria" w:hAnsi="Cambria"/>
          <w:color w:val="000000" w:themeColor="text1"/>
          <w:sz w:val="20"/>
          <w:szCs w:val="20"/>
          <w:lang w:val="es-ES"/>
        </w:rPr>
        <w:t xml:space="preserve"> todas las secciones de la</w:t>
      </w:r>
      <w:r w:rsidR="003D691A" w:rsidRPr="00156477">
        <w:rPr>
          <w:rFonts w:ascii="Cambria" w:hAnsi="Cambria"/>
          <w:color w:val="000000" w:themeColor="text1"/>
          <w:sz w:val="20"/>
          <w:szCs w:val="20"/>
          <w:lang w:val="es-ES"/>
        </w:rPr>
        <w:t xml:space="preserve"> Ley de Asistencia Legal </w:t>
      </w:r>
      <w:r w:rsidR="002423FF" w:rsidRPr="00156477">
        <w:rPr>
          <w:rFonts w:ascii="Cambria" w:hAnsi="Cambria"/>
          <w:color w:val="000000" w:themeColor="text1"/>
          <w:sz w:val="20"/>
          <w:szCs w:val="20"/>
          <w:lang w:val="es-ES"/>
        </w:rPr>
        <w:t>(</w:t>
      </w:r>
      <w:r w:rsidR="002423FF" w:rsidRPr="00156477">
        <w:rPr>
          <w:rFonts w:ascii="Cambria" w:hAnsi="Cambria"/>
          <w:i/>
          <w:iCs/>
          <w:color w:val="000000" w:themeColor="text1"/>
          <w:sz w:val="20"/>
          <w:szCs w:val="20"/>
          <w:lang w:val="es-ES"/>
        </w:rPr>
        <w:t xml:space="preserve">Legal Aid </w:t>
      </w:r>
      <w:proofErr w:type="spellStart"/>
      <w:r w:rsidR="002423FF" w:rsidRPr="00156477">
        <w:rPr>
          <w:rFonts w:ascii="Cambria" w:hAnsi="Cambria"/>
          <w:i/>
          <w:iCs/>
          <w:color w:val="000000" w:themeColor="text1"/>
          <w:sz w:val="20"/>
          <w:szCs w:val="20"/>
          <w:lang w:val="es-ES"/>
        </w:rPr>
        <w:t>Act</w:t>
      </w:r>
      <w:proofErr w:type="spellEnd"/>
      <w:r w:rsidR="002423FF" w:rsidRPr="00156477">
        <w:rPr>
          <w:rFonts w:ascii="Cambria" w:hAnsi="Cambria"/>
          <w:color w:val="000000" w:themeColor="text1"/>
          <w:sz w:val="20"/>
          <w:szCs w:val="20"/>
          <w:lang w:val="es-ES"/>
        </w:rPr>
        <w:t>)</w:t>
      </w:r>
      <w:r w:rsidR="0063646E" w:rsidRPr="00156477">
        <w:rPr>
          <w:rFonts w:ascii="Cambria" w:hAnsi="Cambria"/>
          <w:color w:val="000000" w:themeColor="text1"/>
          <w:sz w:val="20"/>
          <w:szCs w:val="20"/>
          <w:lang w:val="es-ES"/>
        </w:rPr>
        <w:t>, incluida la que regula los asuntos civiles,</w:t>
      </w:r>
      <w:r w:rsidR="002423FF" w:rsidRPr="00156477">
        <w:rPr>
          <w:rFonts w:ascii="Cambria" w:hAnsi="Cambria"/>
          <w:color w:val="000000" w:themeColor="text1"/>
          <w:sz w:val="20"/>
          <w:szCs w:val="20"/>
          <w:lang w:val="es-ES"/>
        </w:rPr>
        <w:t xml:space="preserve"> </w:t>
      </w:r>
      <w:r w:rsidR="001C1406" w:rsidRPr="00156477">
        <w:rPr>
          <w:rFonts w:ascii="Cambria" w:hAnsi="Cambria"/>
          <w:color w:val="000000" w:themeColor="text1"/>
          <w:sz w:val="20"/>
          <w:szCs w:val="20"/>
          <w:lang w:val="es-ES"/>
        </w:rPr>
        <w:t>estén</w:t>
      </w:r>
      <w:r w:rsidR="0063646E" w:rsidRPr="00156477">
        <w:rPr>
          <w:rFonts w:ascii="Cambria" w:hAnsi="Cambria"/>
          <w:color w:val="000000" w:themeColor="text1"/>
          <w:sz w:val="20"/>
          <w:szCs w:val="20"/>
          <w:lang w:val="es-ES"/>
        </w:rPr>
        <w:t xml:space="preserve"> totalmente </w:t>
      </w:r>
      <w:r w:rsidR="005C4F7E" w:rsidRPr="00156477">
        <w:rPr>
          <w:rFonts w:ascii="Cambria" w:hAnsi="Cambria"/>
          <w:color w:val="000000" w:themeColor="text1"/>
          <w:sz w:val="20"/>
          <w:szCs w:val="20"/>
          <w:lang w:val="es-ES"/>
        </w:rPr>
        <w:t>vigentes</w:t>
      </w:r>
      <w:r w:rsidR="0063646E" w:rsidRPr="00156477">
        <w:rPr>
          <w:rFonts w:ascii="Cambria" w:hAnsi="Cambria"/>
          <w:color w:val="000000" w:themeColor="text1"/>
          <w:sz w:val="20"/>
          <w:szCs w:val="20"/>
          <w:lang w:val="es-ES"/>
        </w:rPr>
        <w:t xml:space="preserve">. </w:t>
      </w:r>
      <w:r w:rsidR="00D32B9D" w:rsidRPr="00156477">
        <w:rPr>
          <w:rFonts w:ascii="Cambria" w:hAnsi="Cambria"/>
          <w:color w:val="000000" w:themeColor="text1"/>
          <w:sz w:val="20"/>
          <w:szCs w:val="20"/>
          <w:lang w:val="es-ES"/>
        </w:rPr>
        <w:t>Por su parte</w:t>
      </w:r>
      <w:r w:rsidR="00287D16" w:rsidRPr="00156477">
        <w:rPr>
          <w:rFonts w:ascii="Cambria" w:hAnsi="Cambria"/>
          <w:color w:val="000000" w:themeColor="text1"/>
          <w:sz w:val="20"/>
          <w:szCs w:val="20"/>
          <w:lang w:val="es-ES"/>
        </w:rPr>
        <w:t xml:space="preserve">, </w:t>
      </w:r>
      <w:r w:rsidR="0063646E" w:rsidRPr="00156477">
        <w:rPr>
          <w:rFonts w:ascii="Cambria" w:hAnsi="Cambria"/>
          <w:color w:val="000000" w:themeColor="text1"/>
          <w:sz w:val="20"/>
          <w:szCs w:val="20"/>
          <w:lang w:val="es-ES"/>
        </w:rPr>
        <w:t>la Comisión hace un llamado</w:t>
      </w:r>
      <w:r w:rsidR="00287D16" w:rsidRPr="00156477">
        <w:rPr>
          <w:rFonts w:ascii="Cambria" w:hAnsi="Cambria"/>
          <w:color w:val="000000" w:themeColor="text1"/>
          <w:sz w:val="20"/>
          <w:szCs w:val="20"/>
          <w:lang w:val="es-ES"/>
        </w:rPr>
        <w:t xml:space="preserve"> a </w:t>
      </w:r>
      <w:r w:rsidR="005D3FD1" w:rsidRPr="00156477">
        <w:rPr>
          <w:rFonts w:ascii="Cambria" w:hAnsi="Cambria"/>
          <w:color w:val="000000" w:themeColor="text1"/>
          <w:sz w:val="20"/>
          <w:szCs w:val="20"/>
          <w:lang w:val="es-ES"/>
        </w:rPr>
        <w:t>la parte peticionaria a manifestar su posición respecto a las medidas reportadas por el Estado para cumplir con esta recomendación.</w:t>
      </w:r>
      <w:r w:rsidR="0063646E" w:rsidRPr="00156477">
        <w:rPr>
          <w:rFonts w:ascii="Cambria" w:hAnsi="Cambria"/>
          <w:color w:val="000000" w:themeColor="text1"/>
          <w:sz w:val="20"/>
          <w:szCs w:val="20"/>
          <w:lang w:val="es-ES"/>
        </w:rPr>
        <w:t xml:space="preserve"> </w:t>
      </w:r>
      <w:r w:rsidR="00CE4146" w:rsidRPr="00156477">
        <w:rPr>
          <w:rFonts w:ascii="Cambria" w:hAnsi="Cambria" w:cs="Calibri Light"/>
          <w:color w:val="000000" w:themeColor="text1"/>
          <w:sz w:val="20"/>
          <w:szCs w:val="20"/>
          <w:lang w:val="es-US"/>
        </w:rPr>
        <w:t xml:space="preserve">En vista de lo anterior, la Comisión observa que el nivel de </w:t>
      </w:r>
      <w:r w:rsidR="006D16B0" w:rsidRPr="00156477">
        <w:rPr>
          <w:rFonts w:ascii="Cambria" w:hAnsi="Cambria" w:cs="Calibri Light"/>
          <w:color w:val="000000" w:themeColor="text1"/>
          <w:sz w:val="20"/>
          <w:szCs w:val="20"/>
          <w:lang w:val="es-US"/>
        </w:rPr>
        <w:t>dicha recomendación es</w:t>
      </w:r>
      <w:r w:rsidR="00CE4146" w:rsidRPr="00156477">
        <w:rPr>
          <w:rFonts w:ascii="Cambria" w:hAnsi="Cambria" w:cs="Calibri Light"/>
          <w:color w:val="000000" w:themeColor="text1"/>
          <w:sz w:val="20"/>
          <w:szCs w:val="20"/>
          <w:lang w:val="es-US"/>
        </w:rPr>
        <w:t xml:space="preserve"> parcial sustancial.</w:t>
      </w:r>
    </w:p>
    <w:bookmarkEnd w:id="2"/>
    <w:p w14:paraId="04A36E72" w14:textId="77777777" w:rsidR="00182285" w:rsidRPr="00156477" w:rsidRDefault="00182285" w:rsidP="00AC5985">
      <w:pPr>
        <w:pStyle w:val="ListParagraph"/>
        <w:numPr>
          <w:ilvl w:val="0"/>
          <w:numId w:val="1"/>
        </w:numPr>
        <w:spacing w:after="0" w:line="240" w:lineRule="auto"/>
        <w:ind w:left="1440"/>
        <w:jc w:val="both"/>
        <w:rPr>
          <w:rFonts w:ascii="Cambria" w:hAnsi="Cambria" w:cs="Calibri Light"/>
          <w:b/>
          <w:color w:val="000000" w:themeColor="text1"/>
          <w:sz w:val="20"/>
          <w:szCs w:val="20"/>
          <w:lang w:val="es-ES"/>
        </w:rPr>
      </w:pPr>
      <w:r w:rsidRPr="00156477">
        <w:rPr>
          <w:rFonts w:ascii="Cambria" w:hAnsi="Cambria" w:cs="Calibri Light"/>
          <w:b/>
          <w:color w:val="000000" w:themeColor="text1"/>
          <w:sz w:val="20"/>
          <w:szCs w:val="20"/>
          <w:lang w:val="es-ES"/>
        </w:rPr>
        <w:lastRenderedPageBreak/>
        <w:t xml:space="preserve">Nivel del cumplimiento del caso </w:t>
      </w:r>
    </w:p>
    <w:p w14:paraId="0CD0D17A" w14:textId="77777777" w:rsidR="00F1673B" w:rsidRPr="00156477" w:rsidRDefault="00F1673B" w:rsidP="00AC5985">
      <w:pPr>
        <w:spacing w:after="0" w:line="240" w:lineRule="auto"/>
        <w:jc w:val="both"/>
        <w:rPr>
          <w:rFonts w:ascii="Cambria" w:hAnsi="Cambria" w:cs="Calibri Light"/>
          <w:color w:val="000000" w:themeColor="text1"/>
          <w:sz w:val="20"/>
          <w:szCs w:val="20"/>
          <w:lang w:val="es-ES"/>
        </w:rPr>
      </w:pPr>
    </w:p>
    <w:p w14:paraId="4200E26D" w14:textId="77777777" w:rsidR="0007181A" w:rsidRPr="00156477" w:rsidRDefault="0007181A" w:rsidP="00AC5985">
      <w:pPr>
        <w:numPr>
          <w:ilvl w:val="0"/>
          <w:numId w:val="8"/>
        </w:numPr>
        <w:spacing w:after="0" w:line="240" w:lineRule="auto"/>
        <w:ind w:left="0" w:firstLine="720"/>
        <w:jc w:val="both"/>
        <w:rPr>
          <w:rFonts w:ascii="Cambria" w:hAnsi="Cambria" w:cs="Calibri Light"/>
          <w:color w:val="000000" w:themeColor="text1"/>
          <w:sz w:val="20"/>
          <w:szCs w:val="20"/>
          <w:lang w:val="es-ES"/>
        </w:rPr>
      </w:pPr>
      <w:r w:rsidRPr="00156477">
        <w:rPr>
          <w:rFonts w:ascii="Cambria" w:hAnsi="Cambria" w:cs="Calibri Light"/>
          <w:color w:val="000000" w:themeColor="text1"/>
          <w:sz w:val="20"/>
          <w:szCs w:val="20"/>
          <w:lang w:val="es-ES"/>
        </w:rPr>
        <w:t>Por lo anterior, la Comisión concluye que el nivel de cumplimiento del caso es parcial. En consecuencia, la CIDH seguirá supervisando el cumplimie</w:t>
      </w:r>
      <w:r w:rsidR="00C74196" w:rsidRPr="00156477">
        <w:rPr>
          <w:rFonts w:ascii="Cambria" w:hAnsi="Cambria" w:cs="Calibri Light"/>
          <w:color w:val="000000" w:themeColor="text1"/>
          <w:sz w:val="20"/>
          <w:szCs w:val="20"/>
          <w:lang w:val="es-ES"/>
        </w:rPr>
        <w:t>nto de las Recomendaciones 1</w:t>
      </w:r>
      <w:r w:rsidRPr="00156477">
        <w:rPr>
          <w:rFonts w:ascii="Cambria" w:hAnsi="Cambria" w:cs="Calibri Light"/>
          <w:color w:val="000000" w:themeColor="text1"/>
          <w:sz w:val="20"/>
          <w:szCs w:val="20"/>
          <w:lang w:val="es-ES"/>
        </w:rPr>
        <w:t xml:space="preserve"> y 5. </w:t>
      </w:r>
    </w:p>
    <w:p w14:paraId="36FB56C6" w14:textId="77777777" w:rsidR="00F1673B" w:rsidRPr="00156477" w:rsidRDefault="00F1673B" w:rsidP="00AC5985">
      <w:pPr>
        <w:spacing w:after="0" w:line="240" w:lineRule="auto"/>
        <w:jc w:val="both"/>
        <w:rPr>
          <w:rFonts w:ascii="Cambria" w:hAnsi="Cambria"/>
          <w:color w:val="000000" w:themeColor="text1"/>
          <w:sz w:val="20"/>
          <w:szCs w:val="20"/>
          <w:lang w:val="es-ES"/>
        </w:rPr>
      </w:pPr>
    </w:p>
    <w:p w14:paraId="633CC856" w14:textId="77777777" w:rsidR="00182285" w:rsidRPr="00156477" w:rsidRDefault="00182285" w:rsidP="00AC5985">
      <w:pPr>
        <w:pStyle w:val="ListParagraph"/>
        <w:numPr>
          <w:ilvl w:val="0"/>
          <w:numId w:val="1"/>
        </w:numPr>
        <w:spacing w:after="0" w:line="240" w:lineRule="auto"/>
        <w:ind w:left="1440"/>
        <w:jc w:val="both"/>
        <w:rPr>
          <w:rFonts w:ascii="Cambria" w:hAnsi="Cambria" w:cs="Calibri Light"/>
          <w:b/>
          <w:color w:val="000000" w:themeColor="text1"/>
          <w:sz w:val="20"/>
          <w:szCs w:val="20"/>
          <w:lang w:val="es-ES"/>
        </w:rPr>
      </w:pPr>
      <w:r w:rsidRPr="00156477">
        <w:rPr>
          <w:rFonts w:ascii="Cambria" w:hAnsi="Cambria" w:cs="Calibri Light"/>
          <w:b/>
          <w:color w:val="000000" w:themeColor="text1"/>
          <w:sz w:val="20"/>
          <w:szCs w:val="20"/>
          <w:lang w:val="es-ES"/>
        </w:rPr>
        <w:t xml:space="preserve">Resultados individuales y estructurales del caso </w:t>
      </w:r>
    </w:p>
    <w:p w14:paraId="2DDE865A" w14:textId="77777777" w:rsidR="00F1673B" w:rsidRPr="00156477" w:rsidRDefault="00F1673B" w:rsidP="00AC5985">
      <w:pPr>
        <w:spacing w:after="0" w:line="240" w:lineRule="auto"/>
        <w:jc w:val="both"/>
        <w:rPr>
          <w:rFonts w:ascii="Cambria" w:hAnsi="Cambria"/>
          <w:b/>
          <w:color w:val="000000" w:themeColor="text1"/>
          <w:sz w:val="20"/>
          <w:szCs w:val="20"/>
          <w:lang w:val="es-ES"/>
        </w:rPr>
      </w:pPr>
    </w:p>
    <w:p w14:paraId="4CD4EEE1" w14:textId="77777777" w:rsidR="00182285" w:rsidRPr="00156477" w:rsidRDefault="00182285" w:rsidP="00AC5985">
      <w:pPr>
        <w:numPr>
          <w:ilvl w:val="0"/>
          <w:numId w:val="8"/>
        </w:numPr>
        <w:spacing w:after="0" w:line="240" w:lineRule="auto"/>
        <w:ind w:left="0" w:firstLine="720"/>
        <w:jc w:val="both"/>
        <w:rPr>
          <w:rFonts w:ascii="Cambria" w:hAnsi="Cambria" w:cs="Calibri Light"/>
          <w:color w:val="000000" w:themeColor="text1"/>
          <w:sz w:val="20"/>
          <w:szCs w:val="20"/>
          <w:lang w:val="es-ES"/>
        </w:rPr>
      </w:pPr>
      <w:r w:rsidRPr="00156477">
        <w:rPr>
          <w:rFonts w:ascii="Cambria" w:hAnsi="Cambria" w:cs="Calibri Light"/>
          <w:color w:val="000000" w:themeColor="text1"/>
          <w:sz w:val="20"/>
          <w:szCs w:val="20"/>
          <w:lang w:val="es-ES"/>
        </w:rPr>
        <w:t>En esta sección se destaca</w:t>
      </w:r>
      <w:r w:rsidR="007A470C" w:rsidRPr="00156477">
        <w:rPr>
          <w:rFonts w:ascii="Cambria" w:hAnsi="Cambria" w:cs="Calibri Light"/>
          <w:color w:val="000000" w:themeColor="text1"/>
          <w:sz w:val="20"/>
          <w:szCs w:val="20"/>
          <w:lang w:val="es-ES"/>
        </w:rPr>
        <w:t>n</w:t>
      </w:r>
      <w:r w:rsidRPr="00156477">
        <w:rPr>
          <w:rFonts w:ascii="Cambria" w:hAnsi="Cambria" w:cs="Calibri Light"/>
          <w:color w:val="000000" w:themeColor="text1"/>
          <w:sz w:val="20"/>
          <w:szCs w:val="20"/>
          <w:lang w:val="es-ES"/>
        </w:rPr>
        <w:t xml:space="preserve"> los resultados individuales y estructurales del caso informados por las partes. </w:t>
      </w:r>
    </w:p>
    <w:p w14:paraId="1FDD12D2" w14:textId="77777777" w:rsidR="00182285" w:rsidRPr="00156477" w:rsidRDefault="00182285" w:rsidP="00AC5985">
      <w:pPr>
        <w:spacing w:after="0" w:line="240" w:lineRule="auto"/>
        <w:jc w:val="both"/>
        <w:rPr>
          <w:rFonts w:ascii="Cambria" w:hAnsi="Cambria"/>
          <w:b/>
          <w:color w:val="000000" w:themeColor="text1"/>
          <w:sz w:val="20"/>
          <w:szCs w:val="20"/>
          <w:lang w:val="es-ES"/>
        </w:rPr>
      </w:pPr>
    </w:p>
    <w:p w14:paraId="7F27B709" w14:textId="77777777" w:rsidR="00182285" w:rsidRPr="00156477" w:rsidRDefault="00182285" w:rsidP="00AC5985">
      <w:pPr>
        <w:pStyle w:val="ListParagraph"/>
        <w:numPr>
          <w:ilvl w:val="0"/>
          <w:numId w:val="22"/>
        </w:numPr>
        <w:spacing w:after="0" w:line="240" w:lineRule="auto"/>
        <w:ind w:left="1440" w:hanging="720"/>
        <w:jc w:val="both"/>
        <w:rPr>
          <w:rFonts w:ascii="Cambria" w:hAnsi="Cambria" w:cs="Calibri Light"/>
          <w:b/>
          <w:color w:val="000000" w:themeColor="text1"/>
          <w:sz w:val="20"/>
          <w:szCs w:val="20"/>
          <w:lang w:val="es-ES"/>
        </w:rPr>
      </w:pPr>
      <w:r w:rsidRPr="00156477">
        <w:rPr>
          <w:rFonts w:ascii="Cambria" w:hAnsi="Cambria" w:cs="Calibri Light"/>
          <w:b/>
          <w:color w:val="000000" w:themeColor="text1"/>
          <w:sz w:val="20"/>
          <w:szCs w:val="20"/>
          <w:lang w:val="es-ES"/>
        </w:rPr>
        <w:t>Resultados individuales del caso</w:t>
      </w:r>
    </w:p>
    <w:p w14:paraId="31A5CFAD" w14:textId="77777777" w:rsidR="000F44AD" w:rsidRPr="00156477" w:rsidRDefault="000F44AD" w:rsidP="00AC5985">
      <w:pPr>
        <w:spacing w:after="0" w:line="240" w:lineRule="auto"/>
        <w:jc w:val="both"/>
        <w:rPr>
          <w:rFonts w:ascii="Cambria" w:hAnsi="Cambria"/>
          <w:i/>
          <w:color w:val="000000" w:themeColor="text1"/>
          <w:sz w:val="20"/>
          <w:szCs w:val="20"/>
          <w:lang w:val="es-ES"/>
        </w:rPr>
      </w:pPr>
    </w:p>
    <w:p w14:paraId="411CFFFB" w14:textId="77777777" w:rsidR="00073001" w:rsidRPr="00156477" w:rsidRDefault="00073001" w:rsidP="00AC5985">
      <w:pPr>
        <w:spacing w:after="0" w:line="240" w:lineRule="auto"/>
        <w:jc w:val="both"/>
        <w:rPr>
          <w:rFonts w:ascii="Cambria" w:hAnsi="Cambria"/>
          <w:i/>
          <w:color w:val="000000" w:themeColor="text1"/>
          <w:sz w:val="20"/>
          <w:szCs w:val="20"/>
          <w:lang w:val="es-ES"/>
        </w:rPr>
      </w:pPr>
      <w:r w:rsidRPr="00156477">
        <w:rPr>
          <w:rFonts w:ascii="Cambria" w:hAnsi="Cambria"/>
          <w:i/>
          <w:color w:val="000000" w:themeColor="text1"/>
          <w:sz w:val="20"/>
          <w:szCs w:val="20"/>
          <w:lang w:val="es-ES"/>
        </w:rPr>
        <w:t>Medidas de restitución en el ejercicio del derecho</w:t>
      </w:r>
    </w:p>
    <w:p w14:paraId="10951BC0" w14:textId="77777777" w:rsidR="00F1673B" w:rsidRPr="00156477" w:rsidRDefault="000F44AD" w:rsidP="00AC5985">
      <w:pPr>
        <w:numPr>
          <w:ilvl w:val="0"/>
          <w:numId w:val="31"/>
        </w:numPr>
        <w:spacing w:after="0" w:line="240" w:lineRule="auto"/>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 xml:space="preserve">Las sentencias de pena de muerte de los </w:t>
      </w:r>
      <w:r w:rsidR="005E5CAD" w:rsidRPr="00156477">
        <w:rPr>
          <w:rFonts w:ascii="Cambria" w:hAnsi="Cambria"/>
          <w:color w:val="000000" w:themeColor="text1"/>
          <w:sz w:val="20"/>
          <w:szCs w:val="20"/>
          <w:lang w:val="es-ES"/>
        </w:rPr>
        <w:t>señores</w:t>
      </w:r>
      <w:r w:rsidRPr="00156477">
        <w:rPr>
          <w:rFonts w:ascii="Cambria" w:hAnsi="Cambria"/>
          <w:color w:val="000000" w:themeColor="text1"/>
          <w:sz w:val="20"/>
          <w:szCs w:val="20"/>
          <w:lang w:val="es-ES"/>
        </w:rPr>
        <w:t xml:space="preserve"> Leroy Lamey, Kevin Mykoo, Milton Montique y Dalton Daley fueron conmutadas a cadenas perpetuas.</w:t>
      </w:r>
    </w:p>
    <w:p w14:paraId="435646E1" w14:textId="77777777" w:rsidR="009A3F6E" w:rsidRPr="00156477" w:rsidRDefault="008F4005" w:rsidP="00AC5985">
      <w:pPr>
        <w:numPr>
          <w:ilvl w:val="0"/>
          <w:numId w:val="31"/>
        </w:numPr>
        <w:spacing w:after="0" w:line="240" w:lineRule="auto"/>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 xml:space="preserve">Los señores Leroy </w:t>
      </w:r>
      <w:proofErr w:type="spellStart"/>
      <w:r w:rsidRPr="00156477">
        <w:rPr>
          <w:rFonts w:ascii="Cambria" w:hAnsi="Cambria"/>
          <w:color w:val="000000" w:themeColor="text1"/>
          <w:sz w:val="20"/>
          <w:szCs w:val="20"/>
          <w:lang w:val="es-ES"/>
        </w:rPr>
        <w:t>Lamey</w:t>
      </w:r>
      <w:proofErr w:type="spellEnd"/>
      <w:r w:rsidRPr="00156477">
        <w:rPr>
          <w:rFonts w:ascii="Cambria" w:hAnsi="Cambria"/>
          <w:color w:val="000000" w:themeColor="text1"/>
          <w:sz w:val="20"/>
          <w:szCs w:val="20"/>
          <w:lang w:val="es-ES"/>
        </w:rPr>
        <w:t xml:space="preserve">, Kevin </w:t>
      </w:r>
      <w:proofErr w:type="spellStart"/>
      <w:r w:rsidRPr="00156477">
        <w:rPr>
          <w:rFonts w:ascii="Cambria" w:hAnsi="Cambria"/>
          <w:color w:val="000000" w:themeColor="text1"/>
          <w:sz w:val="20"/>
          <w:szCs w:val="20"/>
          <w:lang w:val="es-ES"/>
        </w:rPr>
        <w:t>Mykoo</w:t>
      </w:r>
      <w:proofErr w:type="spellEnd"/>
      <w:r w:rsidRPr="00156477">
        <w:rPr>
          <w:rFonts w:ascii="Cambria" w:hAnsi="Cambria"/>
          <w:color w:val="000000" w:themeColor="text1"/>
          <w:sz w:val="20"/>
          <w:szCs w:val="20"/>
          <w:lang w:val="es-ES"/>
        </w:rPr>
        <w:t xml:space="preserve">, Milton Montique y Dalton </w:t>
      </w:r>
      <w:proofErr w:type="spellStart"/>
      <w:r w:rsidRPr="00156477">
        <w:rPr>
          <w:rFonts w:ascii="Cambria" w:hAnsi="Cambria"/>
          <w:color w:val="000000" w:themeColor="text1"/>
          <w:sz w:val="20"/>
          <w:szCs w:val="20"/>
          <w:lang w:val="es-ES"/>
        </w:rPr>
        <w:t>Daley</w:t>
      </w:r>
      <w:proofErr w:type="spellEnd"/>
      <w:r w:rsidRPr="00156477">
        <w:rPr>
          <w:rFonts w:ascii="Cambria" w:hAnsi="Cambria"/>
          <w:color w:val="000000" w:themeColor="text1"/>
          <w:sz w:val="20"/>
          <w:szCs w:val="20"/>
          <w:lang w:val="es-ES"/>
        </w:rPr>
        <w:t xml:space="preserve"> fueron beneficiados en distintas fechas con la figura de libertad condicional y se encuentran fuera de prisión</w:t>
      </w:r>
      <w:r w:rsidR="009A3F6E" w:rsidRPr="00156477">
        <w:rPr>
          <w:rFonts w:ascii="Cambria" w:hAnsi="Cambria"/>
          <w:color w:val="000000" w:themeColor="text1"/>
          <w:sz w:val="20"/>
          <w:szCs w:val="20"/>
          <w:lang w:val="es-ES"/>
        </w:rPr>
        <w:t>.</w:t>
      </w:r>
    </w:p>
    <w:p w14:paraId="5FE9ED12" w14:textId="77777777" w:rsidR="000F44AD" w:rsidRPr="00156477" w:rsidRDefault="000F44AD" w:rsidP="00AC5985">
      <w:pPr>
        <w:spacing w:after="0" w:line="240" w:lineRule="auto"/>
        <w:ind w:left="720"/>
        <w:jc w:val="both"/>
        <w:rPr>
          <w:rFonts w:ascii="Cambria" w:hAnsi="Cambria"/>
          <w:color w:val="000000" w:themeColor="text1"/>
          <w:sz w:val="20"/>
          <w:szCs w:val="20"/>
          <w:lang w:val="es-ES"/>
        </w:rPr>
      </w:pPr>
    </w:p>
    <w:p w14:paraId="2C38A262" w14:textId="77777777" w:rsidR="00182285" w:rsidRPr="00156477" w:rsidRDefault="00182285" w:rsidP="00AC5985">
      <w:pPr>
        <w:pStyle w:val="ListParagraph"/>
        <w:numPr>
          <w:ilvl w:val="0"/>
          <w:numId w:val="22"/>
        </w:numPr>
        <w:spacing w:after="0" w:line="240" w:lineRule="auto"/>
        <w:ind w:left="1440" w:hanging="720"/>
        <w:jc w:val="both"/>
        <w:rPr>
          <w:rFonts w:ascii="Cambria" w:hAnsi="Cambria" w:cs="Calibri Light"/>
          <w:b/>
          <w:color w:val="000000" w:themeColor="text1"/>
          <w:sz w:val="20"/>
          <w:szCs w:val="20"/>
          <w:lang w:val="es-ES"/>
        </w:rPr>
      </w:pPr>
      <w:r w:rsidRPr="00156477">
        <w:rPr>
          <w:rFonts w:ascii="Cambria" w:hAnsi="Cambria" w:cs="Calibri Light"/>
          <w:b/>
          <w:color w:val="000000" w:themeColor="text1"/>
          <w:sz w:val="20"/>
          <w:szCs w:val="20"/>
          <w:lang w:val="es-ES"/>
        </w:rPr>
        <w:t>Resultados estructurales del caso</w:t>
      </w:r>
    </w:p>
    <w:p w14:paraId="13BA5116" w14:textId="77777777" w:rsidR="000D4F09" w:rsidRPr="00156477" w:rsidRDefault="000D4F09" w:rsidP="00AC5985">
      <w:pPr>
        <w:pStyle w:val="ListParagraph"/>
        <w:spacing w:after="0" w:line="240" w:lineRule="auto"/>
        <w:ind w:left="360"/>
        <w:jc w:val="both"/>
        <w:rPr>
          <w:rFonts w:ascii="Cambria" w:hAnsi="Cambria"/>
          <w:b/>
          <w:color w:val="000000" w:themeColor="text1"/>
          <w:sz w:val="20"/>
          <w:szCs w:val="20"/>
          <w:lang w:val="es-ES"/>
        </w:rPr>
      </w:pPr>
    </w:p>
    <w:p w14:paraId="6DC57768" w14:textId="77777777" w:rsidR="000C6EFE" w:rsidRPr="00156477" w:rsidRDefault="000C6EFE" w:rsidP="00AC5985">
      <w:pPr>
        <w:spacing w:after="0" w:line="240" w:lineRule="auto"/>
        <w:jc w:val="both"/>
        <w:rPr>
          <w:rFonts w:ascii="Cambria" w:hAnsi="Cambria"/>
          <w:i/>
          <w:color w:val="000000" w:themeColor="text1"/>
          <w:sz w:val="20"/>
          <w:szCs w:val="20"/>
          <w:lang w:val="es-ES"/>
        </w:rPr>
      </w:pPr>
      <w:r w:rsidRPr="00156477">
        <w:rPr>
          <w:rFonts w:ascii="Cambria" w:hAnsi="Cambria"/>
          <w:i/>
          <w:color w:val="000000" w:themeColor="text1"/>
          <w:sz w:val="20"/>
          <w:szCs w:val="20"/>
          <w:lang w:val="es-ES"/>
        </w:rPr>
        <w:t xml:space="preserve">Medidas de No </w:t>
      </w:r>
      <w:r w:rsidR="002115E1" w:rsidRPr="00156477">
        <w:rPr>
          <w:rFonts w:ascii="Cambria" w:hAnsi="Cambria"/>
          <w:i/>
          <w:color w:val="000000" w:themeColor="text1"/>
          <w:sz w:val="20"/>
          <w:szCs w:val="20"/>
          <w:lang w:val="es-ES"/>
        </w:rPr>
        <w:t>Repetición</w:t>
      </w:r>
      <w:r w:rsidRPr="00156477">
        <w:rPr>
          <w:rFonts w:ascii="Cambria" w:hAnsi="Cambria"/>
          <w:i/>
          <w:color w:val="000000" w:themeColor="text1"/>
          <w:sz w:val="20"/>
          <w:szCs w:val="20"/>
          <w:lang w:val="es-ES"/>
        </w:rPr>
        <w:t xml:space="preserve"> </w:t>
      </w:r>
    </w:p>
    <w:p w14:paraId="4B82B662" w14:textId="77777777" w:rsidR="002115E1" w:rsidRPr="00156477" w:rsidRDefault="007D0323" w:rsidP="00AC5985">
      <w:pPr>
        <w:numPr>
          <w:ilvl w:val="0"/>
          <w:numId w:val="30"/>
        </w:numPr>
        <w:spacing w:after="0" w:line="240" w:lineRule="auto"/>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 xml:space="preserve">Todas las sentencias de muerte impuestas obligatoriamente en virtud de la </w:t>
      </w:r>
      <w:r w:rsidR="00A31C14" w:rsidRPr="00156477">
        <w:rPr>
          <w:rFonts w:ascii="Cambria" w:eastAsia="Times New Roman" w:hAnsi="Cambria"/>
          <w:color w:val="000000" w:themeColor="text1"/>
          <w:sz w:val="20"/>
          <w:szCs w:val="20"/>
          <w:lang w:val="es-ES"/>
        </w:rPr>
        <w:t xml:space="preserve">Ley de delitos contra las personas </w:t>
      </w:r>
      <w:r w:rsidR="00A31C14" w:rsidRPr="00156477">
        <w:rPr>
          <w:rFonts w:ascii="Cambria" w:hAnsi="Cambria"/>
          <w:color w:val="000000" w:themeColor="text1"/>
          <w:sz w:val="20"/>
          <w:szCs w:val="20"/>
          <w:lang w:val="es-ES"/>
        </w:rPr>
        <w:t xml:space="preserve">(enmienda) </w:t>
      </w:r>
      <w:r w:rsidR="00A31C14" w:rsidRPr="00156477">
        <w:rPr>
          <w:rFonts w:ascii="Cambria" w:eastAsia="Times New Roman" w:hAnsi="Cambria"/>
          <w:color w:val="000000" w:themeColor="text1"/>
          <w:sz w:val="20"/>
          <w:szCs w:val="20"/>
          <w:lang w:val="es-ES"/>
        </w:rPr>
        <w:t>de 1992</w:t>
      </w:r>
      <w:r w:rsidRPr="00156477">
        <w:rPr>
          <w:rFonts w:ascii="Cambria" w:hAnsi="Cambria"/>
          <w:color w:val="000000" w:themeColor="text1"/>
          <w:sz w:val="20"/>
          <w:szCs w:val="20"/>
          <w:lang w:val="es-ES"/>
        </w:rPr>
        <w:t xml:space="preserve"> se anularon y cada caso </w:t>
      </w:r>
      <w:r w:rsidR="00A31C14" w:rsidRPr="00156477">
        <w:rPr>
          <w:rFonts w:ascii="Cambria" w:hAnsi="Cambria"/>
          <w:color w:val="000000" w:themeColor="text1"/>
          <w:sz w:val="20"/>
          <w:szCs w:val="20"/>
          <w:lang w:val="es-ES"/>
        </w:rPr>
        <w:t>t</w:t>
      </w:r>
      <w:r w:rsidR="005E5CAD" w:rsidRPr="00156477">
        <w:rPr>
          <w:rFonts w:ascii="Cambria" w:hAnsi="Cambria"/>
          <w:color w:val="000000" w:themeColor="text1"/>
          <w:sz w:val="20"/>
          <w:szCs w:val="20"/>
          <w:lang w:val="es-ES"/>
        </w:rPr>
        <w:t>uvo</w:t>
      </w:r>
      <w:r w:rsidR="00A31C14" w:rsidRPr="00156477">
        <w:rPr>
          <w:rFonts w:ascii="Cambria" w:hAnsi="Cambria"/>
          <w:color w:val="000000" w:themeColor="text1"/>
          <w:sz w:val="20"/>
          <w:szCs w:val="20"/>
          <w:lang w:val="es-ES"/>
        </w:rPr>
        <w:t xml:space="preserve"> que ser revisado </w:t>
      </w:r>
      <w:r w:rsidRPr="00156477">
        <w:rPr>
          <w:rFonts w:ascii="Cambria" w:hAnsi="Cambria"/>
          <w:color w:val="000000" w:themeColor="text1"/>
          <w:sz w:val="20"/>
          <w:szCs w:val="20"/>
          <w:lang w:val="es-ES"/>
        </w:rPr>
        <w:t>para determinar la sentencia apropiada que debía imponerse a cada individuo.</w:t>
      </w:r>
    </w:p>
    <w:p w14:paraId="709BB320" w14:textId="77777777" w:rsidR="00A31C14" w:rsidRPr="00156477" w:rsidRDefault="00A31C14" w:rsidP="00AC5985">
      <w:pPr>
        <w:numPr>
          <w:ilvl w:val="0"/>
          <w:numId w:val="30"/>
        </w:numPr>
        <w:spacing w:after="0" w:line="240" w:lineRule="auto"/>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 xml:space="preserve">La decisión de 2004 del Comité Judicial del Consejo Privado en </w:t>
      </w:r>
      <w:r w:rsidRPr="00156477">
        <w:rPr>
          <w:rFonts w:ascii="Cambria" w:hAnsi="Cambria"/>
          <w:i/>
          <w:color w:val="000000" w:themeColor="text1"/>
          <w:sz w:val="20"/>
          <w:szCs w:val="20"/>
          <w:lang w:val="es-ES"/>
        </w:rPr>
        <w:t>Lambert Watson v. Jamaica</w:t>
      </w:r>
      <w:r w:rsidRPr="00156477">
        <w:rPr>
          <w:rFonts w:ascii="Cambria" w:hAnsi="Cambria"/>
          <w:color w:val="000000" w:themeColor="text1"/>
          <w:sz w:val="20"/>
          <w:szCs w:val="20"/>
          <w:lang w:val="es-ES"/>
        </w:rPr>
        <w:t xml:space="preserve"> </w:t>
      </w:r>
      <w:r w:rsidR="005E5CAD" w:rsidRPr="00156477">
        <w:rPr>
          <w:rFonts w:ascii="Cambria" w:hAnsi="Cambria"/>
          <w:color w:val="000000" w:themeColor="text1"/>
          <w:sz w:val="20"/>
          <w:szCs w:val="20"/>
          <w:lang w:val="es-ES"/>
        </w:rPr>
        <w:t>condujo a que toda</w:t>
      </w:r>
      <w:r w:rsidRPr="00156477">
        <w:rPr>
          <w:rFonts w:ascii="Cambria" w:hAnsi="Cambria"/>
          <w:color w:val="000000" w:themeColor="text1"/>
          <w:sz w:val="20"/>
          <w:szCs w:val="20"/>
          <w:lang w:val="es-ES"/>
        </w:rPr>
        <w:t xml:space="preserve">s las personas en el corredor </w:t>
      </w:r>
      <w:r w:rsidR="005E5CAD" w:rsidRPr="00156477">
        <w:rPr>
          <w:rFonts w:ascii="Cambria" w:hAnsi="Cambria"/>
          <w:color w:val="000000" w:themeColor="text1"/>
          <w:sz w:val="20"/>
          <w:szCs w:val="20"/>
          <w:lang w:val="es-ES"/>
        </w:rPr>
        <w:t>de la muerte fueran reubicada</w:t>
      </w:r>
      <w:r w:rsidRPr="00156477">
        <w:rPr>
          <w:rFonts w:ascii="Cambria" w:hAnsi="Cambria"/>
          <w:color w:val="000000" w:themeColor="text1"/>
          <w:sz w:val="20"/>
          <w:szCs w:val="20"/>
          <w:lang w:val="es-ES"/>
        </w:rPr>
        <w:t xml:space="preserve">s a la población general de la prisión, en espera del resultado de los juicios sobre la </w:t>
      </w:r>
      <w:r w:rsidR="002C0B05" w:rsidRPr="00156477">
        <w:rPr>
          <w:rFonts w:ascii="Cambria" w:hAnsi="Cambria"/>
          <w:color w:val="000000" w:themeColor="text1"/>
          <w:sz w:val="20"/>
          <w:szCs w:val="20"/>
          <w:lang w:val="es-ES"/>
        </w:rPr>
        <w:t>adecuación</w:t>
      </w:r>
      <w:r w:rsidRPr="00156477">
        <w:rPr>
          <w:rFonts w:ascii="Cambria" w:hAnsi="Cambria"/>
          <w:color w:val="000000" w:themeColor="text1"/>
          <w:sz w:val="20"/>
          <w:szCs w:val="20"/>
          <w:lang w:val="es-ES"/>
        </w:rPr>
        <w:t xml:space="preserve"> de la sentencia de pena de muerte impuesta previamente de manera obligatoria.</w:t>
      </w:r>
    </w:p>
    <w:p w14:paraId="2033D78D" w14:textId="77777777" w:rsidR="00330A0F" w:rsidRPr="00156477" w:rsidRDefault="00330A0F" w:rsidP="00AC5985">
      <w:pPr>
        <w:numPr>
          <w:ilvl w:val="0"/>
          <w:numId w:val="30"/>
        </w:numPr>
        <w:spacing w:after="0" w:line="240" w:lineRule="auto"/>
        <w:jc w:val="both"/>
        <w:rPr>
          <w:rFonts w:ascii="Cambria" w:hAnsi="Cambria"/>
          <w:color w:val="000000" w:themeColor="text1"/>
          <w:sz w:val="20"/>
          <w:szCs w:val="20"/>
          <w:lang w:val="es-ES"/>
        </w:rPr>
      </w:pPr>
      <w:r w:rsidRPr="00156477">
        <w:rPr>
          <w:rFonts w:ascii="Cambria" w:hAnsi="Cambria"/>
          <w:color w:val="000000" w:themeColor="text1"/>
          <w:sz w:val="20"/>
          <w:szCs w:val="20"/>
          <w:lang w:val="es-ES"/>
        </w:rPr>
        <w:t xml:space="preserve">La jurisprudencia del Comité Judicial del Consejo Privado y la Corte de Apelación de Jamaica ha ampliado el alcance de los derechos a las </w:t>
      </w:r>
      <w:proofErr w:type="gramStart"/>
      <w:r w:rsidRPr="00156477">
        <w:rPr>
          <w:rFonts w:ascii="Cambria" w:hAnsi="Cambria"/>
          <w:color w:val="000000" w:themeColor="text1"/>
          <w:sz w:val="20"/>
          <w:szCs w:val="20"/>
          <w:lang w:val="es-ES"/>
        </w:rPr>
        <w:t>garantías judiciales y la protección judicial</w:t>
      </w:r>
      <w:proofErr w:type="gramEnd"/>
      <w:r w:rsidRPr="00156477">
        <w:rPr>
          <w:rFonts w:ascii="Cambria" w:hAnsi="Cambria"/>
          <w:color w:val="000000" w:themeColor="text1"/>
          <w:sz w:val="20"/>
          <w:szCs w:val="20"/>
          <w:lang w:val="es-ES"/>
        </w:rPr>
        <w:t xml:space="preserve"> establecidos en la Carta de Derechos y Libertades Fundamentales de Jamaica.</w:t>
      </w:r>
    </w:p>
    <w:p w14:paraId="7FE0F8B0" w14:textId="77777777" w:rsidR="00BC182B" w:rsidRPr="00156477" w:rsidRDefault="00BC182B" w:rsidP="00AC5985">
      <w:pPr>
        <w:numPr>
          <w:ilvl w:val="0"/>
          <w:numId w:val="30"/>
        </w:numPr>
        <w:spacing w:after="0" w:line="240" w:lineRule="auto"/>
        <w:jc w:val="both"/>
        <w:rPr>
          <w:rFonts w:ascii="Cambria" w:hAnsi="Cambria"/>
          <w:i/>
          <w:color w:val="000000" w:themeColor="text1"/>
          <w:sz w:val="20"/>
          <w:szCs w:val="20"/>
          <w:lang w:val="es-ES"/>
        </w:rPr>
      </w:pPr>
      <w:r w:rsidRPr="00156477">
        <w:rPr>
          <w:rFonts w:ascii="Cambria" w:hAnsi="Cambria"/>
          <w:color w:val="000000" w:themeColor="text1"/>
          <w:sz w:val="20"/>
          <w:szCs w:val="20"/>
          <w:lang w:val="es-ES"/>
        </w:rPr>
        <w:t xml:space="preserve">Apoyo financiero proporcionado por el Estado a centros de asistencia jurídica que proporcionan servicios legales gratuitos o con costo reducido, tales como la Clínica de Asistencia Jurídica de la Escuela de Derecho </w:t>
      </w:r>
      <w:r w:rsidRPr="00156477">
        <w:rPr>
          <w:rFonts w:ascii="Cambria" w:hAnsi="Cambria"/>
          <w:color w:val="000000" w:themeColor="text1"/>
          <w:sz w:val="20"/>
          <w:szCs w:val="20"/>
          <w:lang w:val="es-CO"/>
        </w:rPr>
        <w:t xml:space="preserve">Norman </w:t>
      </w:r>
      <w:proofErr w:type="spellStart"/>
      <w:r w:rsidRPr="00156477">
        <w:rPr>
          <w:rFonts w:ascii="Cambria" w:hAnsi="Cambria"/>
          <w:color w:val="000000" w:themeColor="text1"/>
          <w:sz w:val="20"/>
          <w:szCs w:val="20"/>
          <w:lang w:val="es-CO"/>
        </w:rPr>
        <w:t>Manley</w:t>
      </w:r>
      <w:proofErr w:type="spellEnd"/>
      <w:r w:rsidRPr="00156477">
        <w:rPr>
          <w:rFonts w:ascii="Cambria" w:hAnsi="Cambria"/>
          <w:color w:val="000000" w:themeColor="text1"/>
          <w:sz w:val="20"/>
          <w:szCs w:val="20"/>
          <w:lang w:val="es-CO"/>
        </w:rPr>
        <w:t xml:space="preserve"> </w:t>
      </w:r>
      <w:r w:rsidRPr="00156477">
        <w:rPr>
          <w:rFonts w:ascii="Cambria" w:hAnsi="Cambria"/>
          <w:color w:val="000000" w:themeColor="text1"/>
          <w:sz w:val="20"/>
          <w:szCs w:val="20"/>
          <w:lang w:val="es-ES"/>
        </w:rPr>
        <w:t>y la Clínica de Ayuda Legal de Kingston (que también opera en Mandeville y May Pen).</w:t>
      </w:r>
      <w:r w:rsidR="002B747C" w:rsidRPr="00156477">
        <w:rPr>
          <w:rFonts w:ascii="Cambria" w:hAnsi="Cambria"/>
          <w:color w:val="000000" w:themeColor="text1"/>
          <w:sz w:val="20"/>
          <w:szCs w:val="20"/>
          <w:lang w:val="es-ES"/>
        </w:rPr>
        <w:t xml:space="preserve"> En promedio, la Clínica de May Penn atiende a 900 personas, la Clínica Mandeville atiende a 1500 personas y la oficina de </w:t>
      </w:r>
      <w:proofErr w:type="spellStart"/>
      <w:r w:rsidR="002B747C" w:rsidRPr="00156477">
        <w:rPr>
          <w:rFonts w:ascii="Cambria" w:hAnsi="Cambria"/>
          <w:color w:val="000000" w:themeColor="text1"/>
          <w:sz w:val="20"/>
          <w:szCs w:val="20"/>
          <w:lang w:val="es-ES"/>
        </w:rPr>
        <w:t>Kinkgston</w:t>
      </w:r>
      <w:proofErr w:type="spellEnd"/>
      <w:r w:rsidR="002B747C" w:rsidRPr="00156477">
        <w:rPr>
          <w:rFonts w:ascii="Cambria" w:hAnsi="Cambria"/>
          <w:color w:val="000000" w:themeColor="text1"/>
          <w:sz w:val="20"/>
          <w:szCs w:val="20"/>
          <w:lang w:val="es-ES"/>
        </w:rPr>
        <w:t xml:space="preserve">, a más de 12.000 anualmente. </w:t>
      </w:r>
    </w:p>
    <w:p w14:paraId="74B1682D" w14:textId="77777777" w:rsidR="002B747C" w:rsidRPr="00156477" w:rsidRDefault="002B747C" w:rsidP="00AC5985">
      <w:pPr>
        <w:numPr>
          <w:ilvl w:val="0"/>
          <w:numId w:val="30"/>
        </w:numPr>
        <w:spacing w:after="0" w:line="240" w:lineRule="auto"/>
        <w:jc w:val="both"/>
        <w:rPr>
          <w:rFonts w:ascii="Cambria" w:hAnsi="Cambria"/>
          <w:i/>
          <w:color w:val="000000" w:themeColor="text1"/>
          <w:sz w:val="20"/>
          <w:szCs w:val="20"/>
          <w:lang w:val="es-ES"/>
        </w:rPr>
      </w:pPr>
      <w:r w:rsidRPr="00156477">
        <w:rPr>
          <w:rFonts w:ascii="Cambria" w:hAnsi="Cambria"/>
          <w:color w:val="000000" w:themeColor="text1"/>
          <w:sz w:val="20"/>
          <w:szCs w:val="20"/>
          <w:lang w:val="es-ES"/>
        </w:rPr>
        <w:t>Medidas de fortalecimiento institucional para el Consejo de Asistencia Jurídica (</w:t>
      </w:r>
      <w:r w:rsidRPr="00156477">
        <w:rPr>
          <w:rFonts w:ascii="Cambria" w:hAnsi="Cambria"/>
          <w:i/>
          <w:iCs/>
          <w:color w:val="000000" w:themeColor="text1"/>
          <w:sz w:val="20"/>
          <w:szCs w:val="20"/>
          <w:lang w:val="es-ES"/>
        </w:rPr>
        <w:t>Legal Aid Council</w:t>
      </w:r>
      <w:r w:rsidRPr="00156477">
        <w:rPr>
          <w:rFonts w:ascii="Cambria" w:hAnsi="Cambria"/>
          <w:color w:val="000000" w:themeColor="text1"/>
          <w:sz w:val="20"/>
          <w:szCs w:val="20"/>
          <w:lang w:val="es-ES"/>
        </w:rPr>
        <w:t xml:space="preserve">) con la finalidad de </w:t>
      </w:r>
      <w:r w:rsidR="00D32B9D" w:rsidRPr="00156477">
        <w:rPr>
          <w:rFonts w:ascii="Cambria" w:hAnsi="Cambria"/>
          <w:color w:val="000000" w:themeColor="text1"/>
          <w:sz w:val="20"/>
          <w:szCs w:val="20"/>
          <w:lang w:val="es-ES"/>
        </w:rPr>
        <w:t xml:space="preserve">mejorar los servicios de representación legal de las personas. </w:t>
      </w:r>
    </w:p>
    <w:p w14:paraId="54F68A72" w14:textId="77777777" w:rsidR="00BC182B" w:rsidRPr="00156477" w:rsidRDefault="00BC182B" w:rsidP="00AC5985">
      <w:pPr>
        <w:spacing w:after="0" w:line="240" w:lineRule="auto"/>
        <w:ind w:left="720"/>
        <w:jc w:val="both"/>
        <w:rPr>
          <w:rFonts w:ascii="Cambria" w:hAnsi="Cambria"/>
          <w:i/>
          <w:color w:val="000000" w:themeColor="text1"/>
          <w:sz w:val="20"/>
          <w:szCs w:val="20"/>
          <w:lang w:val="es-ES"/>
        </w:rPr>
      </w:pPr>
    </w:p>
    <w:p w14:paraId="112A1A3F" w14:textId="77777777" w:rsidR="000D4F09" w:rsidRPr="00156477" w:rsidRDefault="009F605C" w:rsidP="00AC5985">
      <w:pPr>
        <w:spacing w:after="0" w:line="240" w:lineRule="auto"/>
        <w:jc w:val="both"/>
        <w:rPr>
          <w:rFonts w:ascii="Cambria" w:hAnsi="Cambria"/>
          <w:i/>
          <w:color w:val="000000" w:themeColor="text1"/>
          <w:sz w:val="20"/>
          <w:szCs w:val="20"/>
          <w:lang w:val="es-ES"/>
        </w:rPr>
      </w:pPr>
      <w:r w:rsidRPr="00156477">
        <w:rPr>
          <w:rFonts w:ascii="Cambria" w:hAnsi="Cambria"/>
          <w:i/>
          <w:color w:val="000000" w:themeColor="text1"/>
          <w:sz w:val="20"/>
          <w:szCs w:val="20"/>
          <w:lang w:val="es-ES"/>
        </w:rPr>
        <w:t>Legislación</w:t>
      </w:r>
      <w:r w:rsidR="000D4F09" w:rsidRPr="00156477">
        <w:rPr>
          <w:rFonts w:ascii="Cambria" w:hAnsi="Cambria"/>
          <w:i/>
          <w:color w:val="000000" w:themeColor="text1"/>
          <w:sz w:val="20"/>
          <w:szCs w:val="20"/>
          <w:lang w:val="es-ES"/>
        </w:rPr>
        <w:t>/</w:t>
      </w:r>
      <w:r w:rsidRPr="00156477">
        <w:rPr>
          <w:rFonts w:ascii="Cambria" w:hAnsi="Cambria"/>
          <w:i/>
          <w:color w:val="000000" w:themeColor="text1"/>
          <w:sz w:val="20"/>
          <w:szCs w:val="20"/>
          <w:lang w:val="es-ES"/>
        </w:rPr>
        <w:t>Normativa</w:t>
      </w:r>
      <w:r w:rsidR="000D4F09" w:rsidRPr="00156477">
        <w:rPr>
          <w:rFonts w:ascii="Cambria" w:hAnsi="Cambria"/>
          <w:i/>
          <w:color w:val="000000" w:themeColor="text1"/>
          <w:sz w:val="20"/>
          <w:szCs w:val="20"/>
          <w:lang w:val="es-ES"/>
        </w:rPr>
        <w:t xml:space="preserve"> </w:t>
      </w:r>
    </w:p>
    <w:p w14:paraId="173DACC5" w14:textId="77777777" w:rsidR="002115E1" w:rsidRPr="00156477" w:rsidRDefault="002115E1" w:rsidP="00AC5985">
      <w:pPr>
        <w:pStyle w:val="ListParagraph"/>
        <w:numPr>
          <w:ilvl w:val="0"/>
          <w:numId w:val="30"/>
        </w:numPr>
        <w:spacing w:after="0" w:line="240" w:lineRule="auto"/>
        <w:jc w:val="both"/>
        <w:rPr>
          <w:rFonts w:ascii="Cambria" w:eastAsia="Times New Roman" w:hAnsi="Cambria"/>
          <w:color w:val="000000" w:themeColor="text1"/>
          <w:sz w:val="20"/>
          <w:szCs w:val="20"/>
          <w:lang w:val="es-ES"/>
        </w:rPr>
      </w:pPr>
      <w:r w:rsidRPr="00156477">
        <w:rPr>
          <w:rFonts w:ascii="Cambria" w:eastAsia="Times New Roman" w:hAnsi="Cambria"/>
          <w:color w:val="000000" w:themeColor="text1"/>
          <w:sz w:val="20"/>
          <w:szCs w:val="20"/>
          <w:lang w:val="es-ES"/>
        </w:rPr>
        <w:t>Enmiendas legislativas a la Ley de delitos contra las personas de 1992, la Ley de libertad condicional de 1978, la Ley [de reforma] de la justicia penal de 1978, y la Ley de tribunales para las armas de fuego de 1974, conforme a la Ley (de enmienda) de los delitos contra las personas de 2005 y la Ley (de enmienda) de los delitos contra las personas de 2006,</w:t>
      </w:r>
      <w:r w:rsidR="00E7208A" w:rsidRPr="00156477">
        <w:rPr>
          <w:rFonts w:ascii="Cambria" w:eastAsia="Times New Roman" w:hAnsi="Cambria"/>
          <w:color w:val="000000" w:themeColor="text1"/>
          <w:sz w:val="20"/>
          <w:szCs w:val="20"/>
          <w:lang w:val="es-ES"/>
        </w:rPr>
        <w:t xml:space="preserve"> las cuales</w:t>
      </w:r>
      <w:r w:rsidRPr="00156477">
        <w:rPr>
          <w:rFonts w:ascii="Cambria" w:eastAsia="Times New Roman" w:hAnsi="Cambria"/>
          <w:color w:val="000000" w:themeColor="text1"/>
          <w:sz w:val="20"/>
          <w:szCs w:val="20"/>
          <w:lang w:val="es-ES"/>
        </w:rPr>
        <w:t xml:space="preserve"> resultaron en la eliminación de la aplicación obligatoria de la pena de muerte a personas condenadas por homicidio de la legislación jamaicana.</w:t>
      </w:r>
    </w:p>
    <w:p w14:paraId="3419B8CA" w14:textId="77777777" w:rsidR="00546123" w:rsidRPr="00156477" w:rsidRDefault="00546123" w:rsidP="00AC5985">
      <w:pPr>
        <w:pStyle w:val="ListParagraph"/>
        <w:numPr>
          <w:ilvl w:val="0"/>
          <w:numId w:val="30"/>
        </w:numPr>
        <w:spacing w:after="0" w:line="240" w:lineRule="auto"/>
        <w:jc w:val="both"/>
        <w:rPr>
          <w:rFonts w:ascii="Cambria" w:eastAsia="Times New Roman" w:hAnsi="Cambria"/>
          <w:color w:val="000000" w:themeColor="text1"/>
          <w:sz w:val="20"/>
          <w:szCs w:val="20"/>
          <w:lang w:val="es-ES"/>
        </w:rPr>
      </w:pPr>
      <w:r w:rsidRPr="00156477">
        <w:rPr>
          <w:rFonts w:ascii="Cambria" w:eastAsia="Times New Roman" w:hAnsi="Cambria"/>
          <w:color w:val="000000" w:themeColor="text1"/>
          <w:sz w:val="20"/>
          <w:szCs w:val="20"/>
          <w:lang w:val="es-ES"/>
        </w:rPr>
        <w:t>La Ley de Asistencia Legal (</w:t>
      </w:r>
      <w:r w:rsidRPr="00156477">
        <w:rPr>
          <w:rFonts w:ascii="Cambria" w:eastAsia="Times New Roman" w:hAnsi="Cambria"/>
          <w:i/>
          <w:iCs/>
          <w:color w:val="000000" w:themeColor="text1"/>
          <w:sz w:val="20"/>
          <w:szCs w:val="20"/>
          <w:lang w:val="es-ES"/>
        </w:rPr>
        <w:t xml:space="preserve">Legal Aid </w:t>
      </w:r>
      <w:proofErr w:type="spellStart"/>
      <w:r w:rsidRPr="00156477">
        <w:rPr>
          <w:rFonts w:ascii="Cambria" w:eastAsia="Times New Roman" w:hAnsi="Cambria"/>
          <w:i/>
          <w:iCs/>
          <w:color w:val="000000" w:themeColor="text1"/>
          <w:sz w:val="20"/>
          <w:szCs w:val="20"/>
          <w:lang w:val="es-ES"/>
        </w:rPr>
        <w:t>Act</w:t>
      </w:r>
      <w:proofErr w:type="spellEnd"/>
      <w:r w:rsidRPr="00156477">
        <w:rPr>
          <w:rFonts w:ascii="Cambria" w:eastAsia="Times New Roman" w:hAnsi="Cambria"/>
          <w:color w:val="000000" w:themeColor="text1"/>
          <w:sz w:val="20"/>
          <w:szCs w:val="20"/>
          <w:lang w:val="es-ES"/>
        </w:rPr>
        <w:t>)</w:t>
      </w:r>
      <w:r w:rsidR="002423FF" w:rsidRPr="00156477">
        <w:rPr>
          <w:rFonts w:ascii="Cambria" w:eastAsia="Times New Roman" w:hAnsi="Cambria"/>
          <w:color w:val="000000" w:themeColor="text1"/>
          <w:sz w:val="20"/>
          <w:szCs w:val="20"/>
          <w:lang w:val="es-ES"/>
        </w:rPr>
        <w:t>.</w:t>
      </w:r>
    </w:p>
    <w:p w14:paraId="59D2F233" w14:textId="77777777" w:rsidR="004B3074" w:rsidRPr="00156477" w:rsidRDefault="00692B14" w:rsidP="00AC5985">
      <w:pPr>
        <w:pStyle w:val="ListParagraph"/>
        <w:numPr>
          <w:ilvl w:val="0"/>
          <w:numId w:val="30"/>
        </w:numPr>
        <w:spacing w:after="0" w:line="240" w:lineRule="auto"/>
        <w:jc w:val="both"/>
        <w:rPr>
          <w:rFonts w:ascii="Cambria" w:hAnsi="Cambria"/>
          <w:color w:val="000000" w:themeColor="text1"/>
          <w:sz w:val="20"/>
          <w:szCs w:val="20"/>
          <w:lang w:val="es-ES"/>
        </w:rPr>
      </w:pPr>
      <w:r w:rsidRPr="00156477">
        <w:rPr>
          <w:rFonts w:ascii="Cambria" w:eastAsia="Times New Roman" w:hAnsi="Cambria"/>
          <w:color w:val="000000" w:themeColor="text1"/>
          <w:sz w:val="20"/>
          <w:szCs w:val="20"/>
          <w:lang w:val="es-ES"/>
        </w:rPr>
        <w:t xml:space="preserve">Secciones 13 y 16 de la </w:t>
      </w:r>
      <w:r w:rsidR="009D2022" w:rsidRPr="00156477">
        <w:rPr>
          <w:rFonts w:ascii="Cambria" w:eastAsia="Times New Roman" w:hAnsi="Cambria"/>
          <w:color w:val="000000" w:themeColor="text1"/>
          <w:sz w:val="20"/>
          <w:szCs w:val="20"/>
          <w:lang w:val="es-ES"/>
        </w:rPr>
        <w:t>Carta de los Derechos Fundamentales y de las Libertades de la Constitución de Jamaica</w:t>
      </w:r>
      <w:r w:rsidRPr="00156477">
        <w:rPr>
          <w:rFonts w:ascii="Cambria" w:eastAsia="Times New Roman" w:hAnsi="Cambria"/>
          <w:color w:val="000000" w:themeColor="text1"/>
          <w:sz w:val="20"/>
          <w:szCs w:val="20"/>
          <w:lang w:val="es-ES"/>
        </w:rPr>
        <w:t>.</w:t>
      </w:r>
    </w:p>
    <w:sectPr w:rsidR="004B3074" w:rsidRPr="00156477" w:rsidSect="00156477">
      <w:headerReference w:type="default" r:id="rId16"/>
      <w:footerReference w:type="default" r:id="rId17"/>
      <w:headerReference w:type="first" r:id="rId18"/>
      <w:footerReference w:type="first" r:id="rId19"/>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4FF5" w14:textId="77777777" w:rsidR="002B136E" w:rsidRDefault="002B136E" w:rsidP="00A343FF">
      <w:pPr>
        <w:spacing w:after="0" w:line="240" w:lineRule="auto"/>
      </w:pPr>
      <w:r>
        <w:separator/>
      </w:r>
    </w:p>
  </w:endnote>
  <w:endnote w:type="continuationSeparator" w:id="0">
    <w:p w14:paraId="43EE532F" w14:textId="77777777" w:rsidR="002B136E" w:rsidRDefault="002B136E"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A373" w14:textId="77777777" w:rsidR="007D0323" w:rsidRPr="00156477" w:rsidRDefault="007D0323">
    <w:pPr>
      <w:pStyle w:val="Footer"/>
      <w:jc w:val="center"/>
      <w:rPr>
        <w:rFonts w:ascii="Cambria" w:hAnsi="Cambria"/>
        <w:color w:val="404040"/>
        <w:sz w:val="20"/>
        <w:szCs w:val="20"/>
      </w:rPr>
    </w:pPr>
    <w:r w:rsidRPr="00156477">
      <w:rPr>
        <w:rFonts w:ascii="Cambria" w:hAnsi="Cambria"/>
        <w:color w:val="404040"/>
        <w:sz w:val="20"/>
        <w:szCs w:val="20"/>
      </w:rPr>
      <w:fldChar w:fldCharType="begin"/>
    </w:r>
    <w:r w:rsidRPr="00156477">
      <w:rPr>
        <w:rFonts w:ascii="Cambria" w:hAnsi="Cambria"/>
        <w:color w:val="404040"/>
        <w:sz w:val="20"/>
        <w:szCs w:val="20"/>
      </w:rPr>
      <w:instrText xml:space="preserve"> PAGE   \* MERGEFORMAT </w:instrText>
    </w:r>
    <w:r w:rsidRPr="00156477">
      <w:rPr>
        <w:rFonts w:ascii="Cambria" w:hAnsi="Cambria"/>
        <w:color w:val="404040"/>
        <w:sz w:val="20"/>
        <w:szCs w:val="20"/>
      </w:rPr>
      <w:fldChar w:fldCharType="separate"/>
    </w:r>
    <w:r w:rsidR="00AD737E" w:rsidRPr="00156477">
      <w:rPr>
        <w:rFonts w:ascii="Cambria" w:hAnsi="Cambria"/>
        <w:noProof/>
        <w:color w:val="404040"/>
        <w:sz w:val="20"/>
        <w:szCs w:val="20"/>
      </w:rPr>
      <w:t>6</w:t>
    </w:r>
    <w:r w:rsidRPr="00156477">
      <w:rPr>
        <w:rFonts w:ascii="Cambria" w:hAnsi="Cambria"/>
        <w:noProof/>
        <w:color w:val="404040"/>
        <w:sz w:val="20"/>
        <w:szCs w:val="20"/>
      </w:rPr>
      <w:fldChar w:fldCharType="end"/>
    </w:r>
  </w:p>
  <w:p w14:paraId="66FD34A3" w14:textId="77777777" w:rsidR="007D0323" w:rsidRDefault="007D0323"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110D" w14:textId="77777777" w:rsidR="007D0323" w:rsidRPr="007942FF" w:rsidRDefault="007D0323" w:rsidP="008F2248">
    <w:pPr>
      <w:pStyle w:val="Footer"/>
      <w:spacing w:line="360" w:lineRule="auto"/>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8192" w14:textId="77777777" w:rsidR="002B136E" w:rsidRDefault="002B136E" w:rsidP="00A343FF">
      <w:pPr>
        <w:spacing w:after="0" w:line="240" w:lineRule="auto"/>
      </w:pPr>
      <w:r>
        <w:separator/>
      </w:r>
    </w:p>
  </w:footnote>
  <w:footnote w:type="continuationSeparator" w:id="0">
    <w:p w14:paraId="74FBBE79" w14:textId="77777777" w:rsidR="002B136E" w:rsidRDefault="002B136E" w:rsidP="00A343FF">
      <w:pPr>
        <w:spacing w:after="0" w:line="240" w:lineRule="auto"/>
      </w:pPr>
      <w:r>
        <w:continuationSeparator/>
      </w:r>
    </w:p>
  </w:footnote>
  <w:footnote w:id="1">
    <w:p w14:paraId="3E919D4D" w14:textId="77777777" w:rsidR="007D0323" w:rsidRPr="00156477" w:rsidRDefault="007D0323" w:rsidP="00156477">
      <w:pPr>
        <w:pStyle w:val="FootnoteText"/>
        <w:spacing w:after="120" w:line="240" w:lineRule="auto"/>
        <w:ind w:firstLine="720"/>
        <w:jc w:val="both"/>
        <w:rPr>
          <w:rFonts w:ascii="Cambria" w:hAnsi="Cambria"/>
          <w:color w:val="000000" w:themeColor="text1"/>
          <w:sz w:val="16"/>
          <w:szCs w:val="16"/>
          <w:lang w:val="es-CO"/>
        </w:rPr>
      </w:pPr>
      <w:r w:rsidRPr="00156477">
        <w:rPr>
          <w:rStyle w:val="FootnoteReference"/>
          <w:rFonts w:ascii="Cambria" w:hAnsi="Cambria"/>
          <w:color w:val="000000" w:themeColor="text1"/>
          <w:sz w:val="16"/>
          <w:szCs w:val="16"/>
        </w:rPr>
        <w:footnoteRef/>
      </w:r>
      <w:r w:rsidRPr="00156477">
        <w:rPr>
          <w:rFonts w:ascii="Cambria" w:hAnsi="Cambria"/>
          <w:color w:val="000000" w:themeColor="text1"/>
          <w:sz w:val="16"/>
          <w:szCs w:val="16"/>
          <w:lang w:val="es-ES"/>
        </w:rPr>
        <w:t xml:space="preserve"> CIDH, Informe Anual 2006, </w:t>
      </w:r>
      <w:hyperlink r:id="rId1" w:history="1">
        <w:r w:rsidRPr="00156477">
          <w:rPr>
            <w:rStyle w:val="Hyperlink"/>
            <w:rFonts w:ascii="Cambria" w:hAnsi="Cambria"/>
            <w:color w:val="000000" w:themeColor="text1"/>
            <w:sz w:val="16"/>
            <w:szCs w:val="16"/>
            <w:lang w:val="es-ES"/>
          </w:rPr>
          <w:t>Capítulo III, Sección D: Estado del cumplimiento de las recomendaciones de la CIDH</w:t>
        </w:r>
      </w:hyperlink>
      <w:r w:rsidRPr="00156477">
        <w:rPr>
          <w:rFonts w:ascii="Cambria" w:hAnsi="Cambria"/>
          <w:color w:val="000000" w:themeColor="text1"/>
          <w:sz w:val="16"/>
          <w:szCs w:val="16"/>
          <w:lang w:val="es-ES"/>
        </w:rPr>
        <w:t xml:space="preserve">, para. </w:t>
      </w:r>
      <w:r w:rsidRPr="00156477">
        <w:rPr>
          <w:rFonts w:ascii="Cambria" w:hAnsi="Cambria"/>
          <w:color w:val="000000" w:themeColor="text1"/>
          <w:sz w:val="16"/>
          <w:szCs w:val="16"/>
          <w:lang w:val="es-CO"/>
        </w:rPr>
        <w:t xml:space="preserve">332. </w:t>
      </w:r>
    </w:p>
  </w:footnote>
  <w:footnote w:id="2">
    <w:p w14:paraId="734C5E93" w14:textId="77777777" w:rsidR="00724A14" w:rsidRPr="00156477" w:rsidRDefault="00724A14" w:rsidP="00156477">
      <w:pPr>
        <w:pStyle w:val="ListParagraph"/>
        <w:spacing w:after="0" w:line="240" w:lineRule="auto"/>
        <w:ind w:left="0" w:firstLine="720"/>
        <w:jc w:val="both"/>
        <w:rPr>
          <w:rFonts w:ascii="Cambria" w:hAnsi="Cambria"/>
          <w:color w:val="000000" w:themeColor="text1"/>
          <w:sz w:val="16"/>
          <w:szCs w:val="16"/>
          <w:lang w:val="es-CO"/>
        </w:rPr>
      </w:pPr>
      <w:r w:rsidRPr="00156477">
        <w:rPr>
          <w:rStyle w:val="FootnoteReference"/>
          <w:rFonts w:ascii="Cambria" w:hAnsi="Cambria"/>
          <w:color w:val="000000" w:themeColor="text1"/>
          <w:sz w:val="16"/>
          <w:szCs w:val="16"/>
        </w:rPr>
        <w:footnoteRef/>
      </w:r>
      <w:r w:rsidRPr="00156477">
        <w:rPr>
          <w:rFonts w:ascii="Cambria" w:hAnsi="Cambria"/>
          <w:color w:val="000000" w:themeColor="text1"/>
          <w:sz w:val="16"/>
          <w:szCs w:val="16"/>
          <w:lang w:val="es-ES"/>
        </w:rPr>
        <w:t xml:space="preserve"> CIDH, Informe Anual 2019, Capítulo II, Sección E: Estado del cumplimiento de las recomendaciones de la CIDH emitidas en informes de fondo, </w:t>
      </w:r>
      <w:hyperlink r:id="rId2" w:history="1">
        <w:r w:rsidRPr="00156477">
          <w:rPr>
            <w:rStyle w:val="Hyperlink"/>
            <w:rFonts w:ascii="Cambria" w:hAnsi="Cambria"/>
            <w:color w:val="000000" w:themeColor="text1"/>
            <w:sz w:val="16"/>
            <w:szCs w:val="16"/>
            <w:lang w:val="es-ES"/>
          </w:rPr>
          <w:t>Ficha de Seguimiento del Informe de Fondo No. 49/01, Caso No. 11.826</w:t>
        </w:r>
      </w:hyperlink>
      <w:r w:rsidRPr="00156477">
        <w:rPr>
          <w:rFonts w:ascii="Cambria" w:hAnsi="Cambria"/>
          <w:color w:val="000000" w:themeColor="text1"/>
          <w:sz w:val="16"/>
          <w:szCs w:val="16"/>
          <w:lang w:val="es-ES"/>
        </w:rPr>
        <w:t xml:space="preserve">, Leroy </w:t>
      </w:r>
      <w:proofErr w:type="spellStart"/>
      <w:r w:rsidRPr="00156477">
        <w:rPr>
          <w:rFonts w:ascii="Cambria" w:hAnsi="Cambria"/>
          <w:color w:val="000000" w:themeColor="text1"/>
          <w:sz w:val="16"/>
          <w:szCs w:val="16"/>
          <w:lang w:val="es-ES"/>
        </w:rPr>
        <w:t>Lamey</w:t>
      </w:r>
      <w:proofErr w:type="spellEnd"/>
      <w:r w:rsidRPr="00156477">
        <w:rPr>
          <w:rFonts w:ascii="Cambria" w:hAnsi="Cambria"/>
          <w:color w:val="000000" w:themeColor="text1"/>
          <w:sz w:val="16"/>
          <w:szCs w:val="16"/>
          <w:lang w:val="es-ES"/>
        </w:rPr>
        <w:t xml:space="preserve">, Kevin </w:t>
      </w:r>
      <w:proofErr w:type="spellStart"/>
      <w:r w:rsidRPr="00156477">
        <w:rPr>
          <w:rFonts w:ascii="Cambria" w:hAnsi="Cambria"/>
          <w:color w:val="000000" w:themeColor="text1"/>
          <w:sz w:val="16"/>
          <w:szCs w:val="16"/>
          <w:lang w:val="es-ES"/>
        </w:rPr>
        <w:t>Mykoo</w:t>
      </w:r>
      <w:proofErr w:type="spellEnd"/>
      <w:r w:rsidRPr="00156477">
        <w:rPr>
          <w:rFonts w:ascii="Cambria" w:hAnsi="Cambria"/>
          <w:color w:val="000000" w:themeColor="text1"/>
          <w:sz w:val="16"/>
          <w:szCs w:val="16"/>
          <w:lang w:val="es-ES"/>
        </w:rPr>
        <w:t xml:space="preserve">, Milton Montique y Dalton </w:t>
      </w:r>
      <w:proofErr w:type="spellStart"/>
      <w:r w:rsidRPr="00156477">
        <w:rPr>
          <w:rFonts w:ascii="Cambria" w:hAnsi="Cambria"/>
          <w:color w:val="000000" w:themeColor="text1"/>
          <w:sz w:val="16"/>
          <w:szCs w:val="16"/>
          <w:lang w:val="es-ES"/>
        </w:rPr>
        <w:t>Daley</w:t>
      </w:r>
      <w:proofErr w:type="spellEnd"/>
      <w:r w:rsidRPr="00156477">
        <w:rPr>
          <w:rFonts w:ascii="Cambria" w:hAnsi="Cambria"/>
          <w:color w:val="000000" w:themeColor="text1"/>
          <w:sz w:val="16"/>
          <w:szCs w:val="16"/>
          <w:lang w:val="es-ES"/>
        </w:rPr>
        <w:t xml:space="preserve"> (Jamaica), para. </w:t>
      </w:r>
      <w:r w:rsidRPr="00156477">
        <w:rPr>
          <w:rFonts w:ascii="Cambria" w:hAnsi="Cambria"/>
          <w:color w:val="000000" w:themeColor="text1"/>
          <w:sz w:val="16"/>
          <w:szCs w:val="16"/>
          <w:lang w:val="es-CO"/>
        </w:rPr>
        <w:t xml:space="preserve">13. </w:t>
      </w:r>
    </w:p>
    <w:p w14:paraId="53D511CE" w14:textId="77777777" w:rsidR="00724A14" w:rsidRPr="00156477" w:rsidRDefault="00724A14" w:rsidP="00156477">
      <w:pPr>
        <w:pStyle w:val="ListParagraph"/>
        <w:spacing w:after="120" w:line="240" w:lineRule="auto"/>
        <w:ind w:left="0" w:firstLine="720"/>
        <w:jc w:val="both"/>
        <w:rPr>
          <w:rFonts w:ascii="Cambria" w:hAnsi="Cambria"/>
          <w:color w:val="000000" w:themeColor="text1"/>
          <w:sz w:val="16"/>
          <w:szCs w:val="16"/>
          <w:lang w:val="es-CO"/>
        </w:rPr>
      </w:pPr>
    </w:p>
  </w:footnote>
  <w:footnote w:id="3">
    <w:p w14:paraId="3018F4F6" w14:textId="77777777" w:rsidR="00724A14" w:rsidRPr="00156477" w:rsidRDefault="00724A14" w:rsidP="00156477">
      <w:pPr>
        <w:pStyle w:val="ListParagraph"/>
        <w:spacing w:after="120" w:line="240" w:lineRule="auto"/>
        <w:ind w:left="0" w:firstLine="720"/>
        <w:jc w:val="both"/>
        <w:rPr>
          <w:rFonts w:ascii="Cambria" w:hAnsi="Cambria"/>
          <w:color w:val="000000" w:themeColor="text1"/>
          <w:sz w:val="16"/>
          <w:szCs w:val="16"/>
          <w:lang w:val="es-CO"/>
        </w:rPr>
      </w:pPr>
      <w:r w:rsidRPr="00156477">
        <w:rPr>
          <w:rStyle w:val="FootnoteReference"/>
          <w:rFonts w:ascii="Cambria" w:hAnsi="Cambria"/>
          <w:color w:val="000000" w:themeColor="text1"/>
          <w:sz w:val="16"/>
          <w:szCs w:val="16"/>
        </w:rPr>
        <w:footnoteRef/>
      </w:r>
      <w:r w:rsidRPr="00156477">
        <w:rPr>
          <w:rFonts w:ascii="Cambria" w:hAnsi="Cambria"/>
          <w:color w:val="000000" w:themeColor="text1"/>
          <w:sz w:val="16"/>
          <w:szCs w:val="16"/>
          <w:lang w:val="es-ES"/>
        </w:rPr>
        <w:t xml:space="preserve"> CIDH, Informe Anual 2019, Capítulo II, Sección E: Estado del cumplimiento de las recomendaciones de la CIDH emitidas en informes de fondo, </w:t>
      </w:r>
      <w:hyperlink r:id="rId3" w:history="1">
        <w:r w:rsidRPr="00156477">
          <w:rPr>
            <w:rStyle w:val="Hyperlink"/>
            <w:rFonts w:ascii="Cambria" w:hAnsi="Cambria"/>
            <w:color w:val="000000" w:themeColor="text1"/>
            <w:sz w:val="16"/>
            <w:szCs w:val="16"/>
            <w:lang w:val="es-ES"/>
          </w:rPr>
          <w:t>Ficha de Seguimiento del Informe de Fondo No. 49/01, Caso No. 11.826</w:t>
        </w:r>
      </w:hyperlink>
      <w:r w:rsidRPr="00156477">
        <w:rPr>
          <w:rFonts w:ascii="Cambria" w:hAnsi="Cambria"/>
          <w:color w:val="000000" w:themeColor="text1"/>
          <w:sz w:val="16"/>
          <w:szCs w:val="16"/>
          <w:lang w:val="es-ES"/>
        </w:rPr>
        <w:t xml:space="preserve">, Leroy </w:t>
      </w:r>
      <w:proofErr w:type="spellStart"/>
      <w:r w:rsidRPr="00156477">
        <w:rPr>
          <w:rFonts w:ascii="Cambria" w:hAnsi="Cambria"/>
          <w:color w:val="000000" w:themeColor="text1"/>
          <w:sz w:val="16"/>
          <w:szCs w:val="16"/>
          <w:lang w:val="es-ES"/>
        </w:rPr>
        <w:t>Lamey</w:t>
      </w:r>
      <w:proofErr w:type="spellEnd"/>
      <w:r w:rsidRPr="00156477">
        <w:rPr>
          <w:rFonts w:ascii="Cambria" w:hAnsi="Cambria"/>
          <w:color w:val="000000" w:themeColor="text1"/>
          <w:sz w:val="16"/>
          <w:szCs w:val="16"/>
          <w:lang w:val="es-ES"/>
        </w:rPr>
        <w:t xml:space="preserve">, Kevin </w:t>
      </w:r>
      <w:proofErr w:type="spellStart"/>
      <w:r w:rsidRPr="00156477">
        <w:rPr>
          <w:rFonts w:ascii="Cambria" w:hAnsi="Cambria"/>
          <w:color w:val="000000" w:themeColor="text1"/>
          <w:sz w:val="16"/>
          <w:szCs w:val="16"/>
          <w:lang w:val="es-ES"/>
        </w:rPr>
        <w:t>Mykoo</w:t>
      </w:r>
      <w:proofErr w:type="spellEnd"/>
      <w:r w:rsidRPr="00156477">
        <w:rPr>
          <w:rFonts w:ascii="Cambria" w:hAnsi="Cambria"/>
          <w:color w:val="000000" w:themeColor="text1"/>
          <w:sz w:val="16"/>
          <w:szCs w:val="16"/>
          <w:lang w:val="es-ES"/>
        </w:rPr>
        <w:t xml:space="preserve">, Milton Montique y Dalton </w:t>
      </w:r>
      <w:proofErr w:type="spellStart"/>
      <w:r w:rsidRPr="00156477">
        <w:rPr>
          <w:rFonts w:ascii="Cambria" w:hAnsi="Cambria"/>
          <w:color w:val="000000" w:themeColor="text1"/>
          <w:sz w:val="16"/>
          <w:szCs w:val="16"/>
          <w:lang w:val="es-ES"/>
        </w:rPr>
        <w:t>Daley</w:t>
      </w:r>
      <w:proofErr w:type="spellEnd"/>
      <w:r w:rsidRPr="00156477">
        <w:rPr>
          <w:rFonts w:ascii="Cambria" w:hAnsi="Cambria"/>
          <w:color w:val="000000" w:themeColor="text1"/>
          <w:sz w:val="16"/>
          <w:szCs w:val="16"/>
          <w:lang w:val="es-ES"/>
        </w:rPr>
        <w:t xml:space="preserve"> (Jamaica), para. </w:t>
      </w:r>
      <w:r w:rsidRPr="00156477">
        <w:rPr>
          <w:rFonts w:ascii="Cambria" w:hAnsi="Cambria"/>
          <w:color w:val="000000" w:themeColor="text1"/>
          <w:sz w:val="16"/>
          <w:szCs w:val="16"/>
          <w:lang w:val="es-CO"/>
        </w:rPr>
        <w:t xml:space="preserve">18. </w:t>
      </w:r>
    </w:p>
  </w:footnote>
  <w:footnote w:id="4">
    <w:p w14:paraId="487A5523" w14:textId="77777777" w:rsidR="007D0323" w:rsidRPr="00156477" w:rsidRDefault="007D0323" w:rsidP="00156477">
      <w:pPr>
        <w:pStyle w:val="FootnoteText"/>
        <w:spacing w:after="120" w:line="240" w:lineRule="auto"/>
        <w:ind w:firstLine="720"/>
        <w:jc w:val="both"/>
        <w:rPr>
          <w:rFonts w:ascii="Cambria" w:hAnsi="Cambria"/>
          <w:color w:val="000000" w:themeColor="text1"/>
          <w:sz w:val="16"/>
          <w:szCs w:val="16"/>
          <w:lang w:val="es-ES"/>
        </w:rPr>
      </w:pPr>
      <w:r w:rsidRPr="00156477">
        <w:rPr>
          <w:rStyle w:val="FootnoteReference"/>
          <w:rFonts w:ascii="Cambria" w:hAnsi="Cambria"/>
          <w:color w:val="000000" w:themeColor="text1"/>
          <w:sz w:val="16"/>
          <w:szCs w:val="16"/>
        </w:rPr>
        <w:footnoteRef/>
      </w:r>
      <w:r w:rsidRPr="00156477">
        <w:rPr>
          <w:rFonts w:ascii="Cambria" w:hAnsi="Cambria"/>
          <w:color w:val="000000" w:themeColor="text1"/>
          <w:sz w:val="16"/>
          <w:szCs w:val="16"/>
          <w:lang w:val="es-ES"/>
        </w:rPr>
        <w:t xml:space="preserve"> CIDH, Informe Anual 2017, </w:t>
      </w:r>
      <w:hyperlink r:id="rId4" w:history="1">
        <w:r w:rsidRPr="00156477">
          <w:rPr>
            <w:rStyle w:val="Hyperlink"/>
            <w:rFonts w:ascii="Cambria" w:hAnsi="Cambria"/>
            <w:color w:val="000000" w:themeColor="text1"/>
            <w:sz w:val="16"/>
            <w:szCs w:val="16"/>
            <w:lang w:val="es-ES"/>
          </w:rPr>
          <w:t>Capítulo II, Sección F: Estado del cumplimiento de las recomendaciones de la CIDH</w:t>
        </w:r>
      </w:hyperlink>
      <w:r w:rsidRPr="00156477">
        <w:rPr>
          <w:rFonts w:ascii="Cambria" w:hAnsi="Cambria"/>
          <w:color w:val="000000" w:themeColor="text1"/>
          <w:sz w:val="16"/>
          <w:szCs w:val="16"/>
          <w:lang w:val="es-ES"/>
        </w:rPr>
        <w:t xml:space="preserve">, párr. 1684. </w:t>
      </w:r>
    </w:p>
  </w:footnote>
  <w:footnote w:id="5">
    <w:p w14:paraId="1820FC67" w14:textId="77777777" w:rsidR="007D0323" w:rsidRPr="00156477" w:rsidRDefault="007D0323" w:rsidP="00156477">
      <w:pPr>
        <w:pStyle w:val="FootnoteText"/>
        <w:spacing w:after="120" w:line="240" w:lineRule="auto"/>
        <w:ind w:firstLine="720"/>
        <w:jc w:val="both"/>
        <w:rPr>
          <w:rFonts w:ascii="Cambria" w:hAnsi="Cambria"/>
          <w:color w:val="000000" w:themeColor="text1"/>
          <w:sz w:val="16"/>
          <w:szCs w:val="16"/>
          <w:lang w:val="es-ES"/>
        </w:rPr>
      </w:pPr>
      <w:r w:rsidRPr="00156477">
        <w:rPr>
          <w:rStyle w:val="FootnoteReference"/>
          <w:rFonts w:ascii="Cambria" w:hAnsi="Cambria"/>
          <w:color w:val="000000" w:themeColor="text1"/>
          <w:sz w:val="16"/>
          <w:szCs w:val="16"/>
        </w:rPr>
        <w:footnoteRef/>
      </w:r>
      <w:r w:rsidRPr="00156477">
        <w:rPr>
          <w:rFonts w:ascii="Cambria" w:hAnsi="Cambria"/>
          <w:color w:val="000000" w:themeColor="text1"/>
          <w:sz w:val="16"/>
          <w:szCs w:val="16"/>
          <w:lang w:val="es-ES"/>
        </w:rPr>
        <w:t xml:space="preserve"> Comité Judicial del Consejo Privado, </w:t>
      </w:r>
      <w:hyperlink r:id="rId5" w:history="1">
        <w:r w:rsidRPr="00156477">
          <w:rPr>
            <w:rStyle w:val="Hyperlink"/>
            <w:rFonts w:ascii="Cambria" w:hAnsi="Cambria"/>
            <w:color w:val="000000" w:themeColor="text1"/>
            <w:sz w:val="16"/>
            <w:szCs w:val="16"/>
            <w:lang w:val="es-ES"/>
          </w:rPr>
          <w:t>Watson v. R (Jamaica)</w:t>
        </w:r>
      </w:hyperlink>
      <w:r w:rsidRPr="00156477">
        <w:rPr>
          <w:rFonts w:ascii="Cambria" w:hAnsi="Cambria"/>
          <w:color w:val="000000" w:themeColor="text1"/>
          <w:sz w:val="16"/>
          <w:szCs w:val="16"/>
          <w:lang w:val="es-ES"/>
        </w:rPr>
        <w:t xml:space="preserve"> [2004] UKPC 34 (7 de julio de 2004) (Reino Unido).</w:t>
      </w:r>
    </w:p>
  </w:footnote>
  <w:footnote w:id="6">
    <w:p w14:paraId="447FC958" w14:textId="77777777" w:rsidR="007D0323" w:rsidRPr="00156477" w:rsidRDefault="007D0323" w:rsidP="00156477">
      <w:pPr>
        <w:pStyle w:val="FootnoteText"/>
        <w:spacing w:after="120" w:line="240" w:lineRule="auto"/>
        <w:ind w:firstLine="720"/>
        <w:jc w:val="both"/>
        <w:rPr>
          <w:rFonts w:ascii="Cambria" w:hAnsi="Cambria"/>
          <w:color w:val="000000" w:themeColor="text1"/>
          <w:sz w:val="16"/>
          <w:szCs w:val="16"/>
          <w:lang w:val="es-ES"/>
        </w:rPr>
      </w:pPr>
      <w:r w:rsidRPr="00156477">
        <w:rPr>
          <w:rStyle w:val="FootnoteReference"/>
          <w:rFonts w:ascii="Cambria" w:hAnsi="Cambria"/>
          <w:color w:val="000000" w:themeColor="text1"/>
          <w:sz w:val="16"/>
          <w:szCs w:val="16"/>
        </w:rPr>
        <w:footnoteRef/>
      </w:r>
      <w:r w:rsidRPr="00156477">
        <w:rPr>
          <w:rFonts w:ascii="Cambria" w:hAnsi="Cambria"/>
          <w:color w:val="000000" w:themeColor="text1"/>
          <w:sz w:val="16"/>
          <w:szCs w:val="16"/>
          <w:lang w:val="es-ES"/>
        </w:rPr>
        <w:t xml:space="preserve"> CIDH, Informe Anual 2017, </w:t>
      </w:r>
      <w:hyperlink r:id="rId6" w:history="1">
        <w:r w:rsidRPr="00156477">
          <w:rPr>
            <w:rStyle w:val="Hyperlink"/>
            <w:rFonts w:ascii="Cambria" w:hAnsi="Cambria"/>
            <w:color w:val="000000" w:themeColor="text1"/>
            <w:sz w:val="16"/>
            <w:szCs w:val="16"/>
            <w:lang w:val="es-ES"/>
          </w:rPr>
          <w:t>Capítulo II, Sección F: Estado del cumplimiento de las recomendaciones de la CIDH</w:t>
        </w:r>
      </w:hyperlink>
      <w:r w:rsidRPr="00156477">
        <w:rPr>
          <w:rFonts w:ascii="Cambria" w:hAnsi="Cambria"/>
          <w:color w:val="000000" w:themeColor="text1"/>
          <w:sz w:val="16"/>
          <w:szCs w:val="16"/>
          <w:lang w:val="es-ES"/>
        </w:rPr>
        <w:t>, párr. 1683.</w:t>
      </w:r>
    </w:p>
  </w:footnote>
  <w:footnote w:id="7">
    <w:p w14:paraId="755C0B35" w14:textId="77777777" w:rsidR="007D0323" w:rsidRPr="00156477" w:rsidRDefault="007D0323" w:rsidP="00156477">
      <w:pPr>
        <w:pStyle w:val="FootnoteText"/>
        <w:spacing w:after="120" w:line="240" w:lineRule="auto"/>
        <w:ind w:firstLine="720"/>
        <w:jc w:val="both"/>
        <w:rPr>
          <w:rFonts w:ascii="Cambria" w:hAnsi="Cambria"/>
          <w:color w:val="000000" w:themeColor="text1"/>
          <w:sz w:val="16"/>
          <w:szCs w:val="16"/>
          <w:lang w:val="es-ES"/>
        </w:rPr>
      </w:pPr>
      <w:r w:rsidRPr="00156477">
        <w:rPr>
          <w:rStyle w:val="FootnoteReference"/>
          <w:rFonts w:ascii="Cambria" w:hAnsi="Cambria"/>
          <w:color w:val="000000" w:themeColor="text1"/>
          <w:sz w:val="16"/>
          <w:szCs w:val="16"/>
        </w:rPr>
        <w:footnoteRef/>
      </w:r>
      <w:r w:rsidRPr="00156477">
        <w:rPr>
          <w:rFonts w:ascii="Cambria" w:hAnsi="Cambria"/>
          <w:color w:val="000000" w:themeColor="text1"/>
          <w:sz w:val="16"/>
          <w:szCs w:val="16"/>
          <w:lang w:val="es-ES"/>
        </w:rPr>
        <w:t xml:space="preserve"> CIDH, Informe Anual 2005, </w:t>
      </w:r>
      <w:hyperlink r:id="rId7" w:history="1">
        <w:r w:rsidRPr="00156477">
          <w:rPr>
            <w:rStyle w:val="Hyperlink"/>
            <w:rFonts w:ascii="Cambria" w:hAnsi="Cambria"/>
            <w:color w:val="000000" w:themeColor="text1"/>
            <w:sz w:val="16"/>
            <w:szCs w:val="16"/>
            <w:lang w:val="es-ES"/>
          </w:rPr>
          <w:t>Capítulo III, Sección D: Estado del cumplimiento de las recomendaciones de la CIDH</w:t>
        </w:r>
      </w:hyperlink>
      <w:r w:rsidRPr="00156477">
        <w:rPr>
          <w:rFonts w:ascii="Cambria" w:hAnsi="Cambria"/>
          <w:color w:val="000000" w:themeColor="text1"/>
          <w:sz w:val="16"/>
          <w:szCs w:val="16"/>
          <w:lang w:val="es-ES"/>
        </w:rPr>
        <w:t xml:space="preserve">, párr. 269. </w:t>
      </w:r>
    </w:p>
  </w:footnote>
  <w:footnote w:id="8">
    <w:p w14:paraId="6726F314" w14:textId="77777777" w:rsidR="007D0323" w:rsidRPr="00156477" w:rsidRDefault="007D0323" w:rsidP="00156477">
      <w:pPr>
        <w:pStyle w:val="FootnoteText"/>
        <w:spacing w:after="120" w:line="240" w:lineRule="auto"/>
        <w:ind w:firstLine="720"/>
        <w:jc w:val="both"/>
        <w:rPr>
          <w:rFonts w:ascii="Cambria" w:hAnsi="Cambria"/>
          <w:color w:val="000000" w:themeColor="text1"/>
          <w:sz w:val="16"/>
          <w:szCs w:val="16"/>
          <w:lang w:val="es-ES"/>
        </w:rPr>
      </w:pPr>
      <w:r w:rsidRPr="00156477">
        <w:rPr>
          <w:rStyle w:val="FootnoteReference"/>
          <w:rFonts w:ascii="Cambria" w:hAnsi="Cambria"/>
          <w:color w:val="000000" w:themeColor="text1"/>
          <w:sz w:val="16"/>
          <w:szCs w:val="16"/>
        </w:rPr>
        <w:footnoteRef/>
      </w:r>
      <w:r w:rsidRPr="00156477">
        <w:rPr>
          <w:rFonts w:ascii="Cambria" w:hAnsi="Cambria"/>
          <w:color w:val="000000" w:themeColor="text1"/>
          <w:sz w:val="16"/>
          <w:szCs w:val="16"/>
          <w:lang w:val="es-ES"/>
        </w:rPr>
        <w:t xml:space="preserve"> CIDH, Informe Anual 2017, </w:t>
      </w:r>
      <w:hyperlink r:id="rId8" w:history="1">
        <w:r w:rsidRPr="00156477">
          <w:rPr>
            <w:rStyle w:val="Hyperlink"/>
            <w:rFonts w:ascii="Cambria" w:hAnsi="Cambria"/>
            <w:color w:val="000000" w:themeColor="text1"/>
            <w:sz w:val="16"/>
            <w:szCs w:val="16"/>
            <w:lang w:val="es-ES"/>
          </w:rPr>
          <w:t>Capítulo II, Sección F: Estado del cumplimiento de las recomendaciones de la CIDH</w:t>
        </w:r>
      </w:hyperlink>
      <w:r w:rsidRPr="00156477">
        <w:rPr>
          <w:rFonts w:ascii="Cambria" w:hAnsi="Cambria"/>
          <w:color w:val="000000" w:themeColor="text1"/>
          <w:sz w:val="16"/>
          <w:szCs w:val="16"/>
          <w:lang w:val="es-ES"/>
        </w:rPr>
        <w:t xml:space="preserve">, párr. </w:t>
      </w:r>
      <w:r w:rsidR="00075902" w:rsidRPr="00156477">
        <w:rPr>
          <w:rFonts w:ascii="Cambria" w:hAnsi="Cambria"/>
          <w:color w:val="000000" w:themeColor="text1"/>
          <w:sz w:val="16"/>
          <w:szCs w:val="16"/>
          <w:lang w:val="es-ES"/>
        </w:rPr>
        <w:t xml:space="preserve">1682; Comité Judicial del Consejo Privado, </w:t>
      </w:r>
      <w:hyperlink r:id="rId9" w:history="1">
        <w:r w:rsidR="00075902" w:rsidRPr="00156477">
          <w:rPr>
            <w:rStyle w:val="Hyperlink"/>
            <w:rFonts w:ascii="Cambria" w:hAnsi="Cambria"/>
            <w:color w:val="000000" w:themeColor="text1"/>
            <w:sz w:val="16"/>
            <w:szCs w:val="16"/>
            <w:lang w:val="es-ES"/>
          </w:rPr>
          <w:t xml:space="preserve">Pratt and Morgan v. </w:t>
        </w:r>
        <w:proofErr w:type="spellStart"/>
        <w:r w:rsidR="00075902" w:rsidRPr="00156477">
          <w:rPr>
            <w:rStyle w:val="Hyperlink"/>
            <w:rFonts w:ascii="Cambria" w:hAnsi="Cambria"/>
            <w:color w:val="000000" w:themeColor="text1"/>
            <w:sz w:val="16"/>
            <w:szCs w:val="16"/>
            <w:lang w:val="es-ES"/>
          </w:rPr>
          <w:t>The</w:t>
        </w:r>
        <w:proofErr w:type="spellEnd"/>
        <w:r w:rsidR="00075902" w:rsidRPr="00156477">
          <w:rPr>
            <w:rStyle w:val="Hyperlink"/>
            <w:rFonts w:ascii="Cambria" w:hAnsi="Cambria"/>
            <w:color w:val="000000" w:themeColor="text1"/>
            <w:sz w:val="16"/>
            <w:szCs w:val="16"/>
            <w:lang w:val="es-ES"/>
          </w:rPr>
          <w:t xml:space="preserve"> </w:t>
        </w:r>
        <w:proofErr w:type="spellStart"/>
        <w:r w:rsidR="00075902" w:rsidRPr="00156477">
          <w:rPr>
            <w:rStyle w:val="Hyperlink"/>
            <w:rFonts w:ascii="Cambria" w:hAnsi="Cambria"/>
            <w:color w:val="000000" w:themeColor="text1"/>
            <w:sz w:val="16"/>
            <w:szCs w:val="16"/>
            <w:lang w:val="es-ES"/>
          </w:rPr>
          <w:t>Attorney</w:t>
        </w:r>
        <w:proofErr w:type="spellEnd"/>
        <w:r w:rsidR="00075902" w:rsidRPr="00156477">
          <w:rPr>
            <w:rStyle w:val="Hyperlink"/>
            <w:rFonts w:ascii="Cambria" w:hAnsi="Cambria"/>
            <w:color w:val="000000" w:themeColor="text1"/>
            <w:sz w:val="16"/>
            <w:szCs w:val="16"/>
            <w:lang w:val="es-ES"/>
          </w:rPr>
          <w:t xml:space="preserve"> General </w:t>
        </w:r>
        <w:proofErr w:type="spellStart"/>
        <w:r w:rsidR="00075902" w:rsidRPr="00156477">
          <w:rPr>
            <w:rStyle w:val="Hyperlink"/>
            <w:rFonts w:ascii="Cambria" w:hAnsi="Cambria"/>
            <w:color w:val="000000" w:themeColor="text1"/>
            <w:sz w:val="16"/>
            <w:szCs w:val="16"/>
            <w:lang w:val="es-ES"/>
          </w:rPr>
          <w:t>for</w:t>
        </w:r>
        <w:proofErr w:type="spellEnd"/>
        <w:r w:rsidR="00075902" w:rsidRPr="00156477">
          <w:rPr>
            <w:rStyle w:val="Hyperlink"/>
            <w:rFonts w:ascii="Cambria" w:hAnsi="Cambria"/>
            <w:color w:val="000000" w:themeColor="text1"/>
            <w:sz w:val="16"/>
            <w:szCs w:val="16"/>
            <w:lang w:val="es-ES"/>
          </w:rPr>
          <w:t xml:space="preserve"> Jamaica and </w:t>
        </w:r>
        <w:proofErr w:type="spellStart"/>
        <w:r w:rsidR="00075902" w:rsidRPr="00156477">
          <w:rPr>
            <w:rStyle w:val="Hyperlink"/>
            <w:rFonts w:ascii="Cambria" w:hAnsi="Cambria"/>
            <w:color w:val="000000" w:themeColor="text1"/>
            <w:sz w:val="16"/>
            <w:szCs w:val="16"/>
            <w:lang w:val="es-ES"/>
          </w:rPr>
          <w:t>another</w:t>
        </w:r>
        <w:proofErr w:type="spellEnd"/>
        <w:r w:rsidR="00075902" w:rsidRPr="00156477">
          <w:rPr>
            <w:rStyle w:val="Hyperlink"/>
            <w:rFonts w:ascii="Cambria" w:hAnsi="Cambria"/>
            <w:color w:val="000000" w:themeColor="text1"/>
            <w:sz w:val="16"/>
            <w:szCs w:val="16"/>
            <w:lang w:val="es-ES"/>
          </w:rPr>
          <w:t xml:space="preserve"> (Jamaica)</w:t>
        </w:r>
      </w:hyperlink>
      <w:r w:rsidR="00075902" w:rsidRPr="00156477">
        <w:rPr>
          <w:rFonts w:ascii="Cambria" w:hAnsi="Cambria"/>
          <w:color w:val="000000" w:themeColor="text1"/>
          <w:sz w:val="16"/>
          <w:szCs w:val="16"/>
          <w:lang w:val="es-ES"/>
        </w:rPr>
        <w:t xml:space="preserve"> [1993] UKPC 1 (2 de noviembre de 1993) (Reino Unido).</w:t>
      </w:r>
    </w:p>
  </w:footnote>
  <w:footnote w:id="9">
    <w:p w14:paraId="5C4825CC" w14:textId="77777777" w:rsidR="007D0323" w:rsidRPr="00156477" w:rsidRDefault="007D0323" w:rsidP="00156477">
      <w:pPr>
        <w:pStyle w:val="FootnoteText"/>
        <w:spacing w:after="120" w:line="240" w:lineRule="auto"/>
        <w:ind w:firstLine="720"/>
        <w:jc w:val="both"/>
        <w:rPr>
          <w:rFonts w:ascii="Cambria" w:hAnsi="Cambria"/>
          <w:color w:val="000000" w:themeColor="text1"/>
          <w:sz w:val="16"/>
          <w:szCs w:val="16"/>
          <w:lang w:val="es-CO"/>
        </w:rPr>
      </w:pPr>
      <w:r w:rsidRPr="00156477">
        <w:rPr>
          <w:rStyle w:val="FootnoteReference"/>
          <w:rFonts w:ascii="Cambria" w:hAnsi="Cambria"/>
          <w:color w:val="000000" w:themeColor="text1"/>
          <w:sz w:val="16"/>
          <w:szCs w:val="16"/>
          <w:lang w:val="es-ES"/>
        </w:rPr>
        <w:footnoteRef/>
      </w:r>
      <w:r w:rsidRPr="00156477">
        <w:rPr>
          <w:rFonts w:ascii="Cambria" w:hAnsi="Cambria"/>
          <w:color w:val="000000" w:themeColor="text1"/>
          <w:sz w:val="16"/>
          <w:szCs w:val="16"/>
          <w:lang w:val="es-CO"/>
        </w:rPr>
        <w:t xml:space="preserve"> Corte IDH, </w:t>
      </w:r>
      <w:hyperlink r:id="rId10" w:history="1">
        <w:r w:rsidRPr="00156477">
          <w:rPr>
            <w:rStyle w:val="Hyperlink"/>
            <w:rFonts w:ascii="Cambria" w:hAnsi="Cambria"/>
            <w:color w:val="000000" w:themeColor="text1"/>
            <w:sz w:val="16"/>
            <w:szCs w:val="16"/>
            <w:lang w:val="es-CO"/>
          </w:rPr>
          <w:t>Caso La Cantuta Vs. Perú, Sentencia de 29 de noviembre de 2006</w:t>
        </w:r>
      </w:hyperlink>
      <w:r w:rsidRPr="00156477">
        <w:rPr>
          <w:rFonts w:ascii="Cambria" w:hAnsi="Cambria"/>
          <w:color w:val="000000" w:themeColor="text1"/>
          <w:sz w:val="16"/>
          <w:szCs w:val="16"/>
          <w:lang w:val="es-CO"/>
        </w:rPr>
        <w:t xml:space="preserve">. Serie C No. 162, párrs. 199-200. </w:t>
      </w:r>
    </w:p>
  </w:footnote>
  <w:footnote w:id="10">
    <w:p w14:paraId="56DEF3A7" w14:textId="77777777" w:rsidR="007D0323" w:rsidRPr="00156477" w:rsidRDefault="007D0323" w:rsidP="00156477">
      <w:pPr>
        <w:pStyle w:val="FootnoteText"/>
        <w:spacing w:after="120" w:line="240" w:lineRule="auto"/>
        <w:ind w:firstLine="720"/>
        <w:jc w:val="both"/>
        <w:rPr>
          <w:rFonts w:ascii="Cambria" w:hAnsi="Cambria"/>
          <w:color w:val="000000" w:themeColor="text1"/>
          <w:sz w:val="16"/>
          <w:szCs w:val="16"/>
          <w:lang w:val="es-ES"/>
        </w:rPr>
      </w:pPr>
      <w:r w:rsidRPr="00156477">
        <w:rPr>
          <w:rStyle w:val="FootnoteReference"/>
          <w:rFonts w:ascii="Cambria" w:hAnsi="Cambria"/>
          <w:color w:val="000000" w:themeColor="text1"/>
          <w:sz w:val="16"/>
          <w:szCs w:val="16"/>
          <w:lang w:val="es-ES"/>
        </w:rPr>
        <w:footnoteRef/>
      </w:r>
      <w:r w:rsidRPr="00156477">
        <w:rPr>
          <w:rFonts w:ascii="Cambria" w:hAnsi="Cambria"/>
          <w:color w:val="000000" w:themeColor="text1"/>
          <w:sz w:val="16"/>
          <w:szCs w:val="16"/>
          <w:lang w:val="es-CO"/>
        </w:rPr>
        <w:t xml:space="preserve"> CIDH</w:t>
      </w:r>
      <w:hyperlink r:id="rId11" w:history="1">
        <w:r w:rsidRPr="00156477">
          <w:rPr>
            <w:rStyle w:val="Hyperlink"/>
            <w:rFonts w:ascii="Cambria" w:hAnsi="Cambria"/>
            <w:color w:val="000000" w:themeColor="text1"/>
            <w:sz w:val="16"/>
            <w:szCs w:val="16"/>
            <w:lang w:val="es-CO"/>
          </w:rPr>
          <w:t>, Lineamientos principales para una política integral de reparaciones</w:t>
        </w:r>
      </w:hyperlink>
      <w:r w:rsidRPr="00156477">
        <w:rPr>
          <w:rFonts w:ascii="Cambria" w:hAnsi="Cambria"/>
          <w:color w:val="000000" w:themeColor="text1"/>
          <w:sz w:val="16"/>
          <w:szCs w:val="16"/>
          <w:lang w:val="es-CO"/>
        </w:rPr>
        <w:t xml:space="preserve">, 19 de febrero de 2008, OEA/Ser/L/V/II.131, doc. 1, párr. </w:t>
      </w:r>
      <w:r w:rsidRPr="00156477">
        <w:rPr>
          <w:rFonts w:ascii="Cambria" w:hAnsi="Cambria"/>
          <w:color w:val="000000" w:themeColor="text1"/>
          <w:sz w:val="16"/>
          <w:szCs w:val="16"/>
          <w:lang w:val="es-ES"/>
        </w:rPr>
        <w:t xml:space="preserve">1; Asamblea General de las Naciones Unidas, </w:t>
      </w:r>
      <w:hyperlink r:id="rId12" w:history="1">
        <w:r w:rsidRPr="00156477">
          <w:rPr>
            <w:rStyle w:val="Hyperlink"/>
            <w:rFonts w:ascii="Cambria" w:hAnsi="Cambria"/>
            <w:color w:val="000000" w:themeColor="text1"/>
            <w:sz w:val="16"/>
            <w:szCs w:val="16"/>
            <w:lang w:val="es-ES"/>
          </w:rPr>
          <w:t>Resolución 60/147. Principios y directrices básicos sobre el derecho de las víctimas de violaciones manifiestas de las normas internacionales de derechos humanos y de violaciones graves del derecho internacional humanitario a interponer recursos y obtener reparaciones</w:t>
        </w:r>
      </w:hyperlink>
      <w:r w:rsidRPr="00156477">
        <w:rPr>
          <w:rFonts w:ascii="Cambria" w:hAnsi="Cambria"/>
          <w:color w:val="000000" w:themeColor="text1"/>
          <w:sz w:val="16"/>
          <w:szCs w:val="16"/>
          <w:lang w:val="es-ES"/>
        </w:rPr>
        <w:t xml:space="preserve">, 16 de diciembre de 2005. A/RES/60/147. </w:t>
      </w:r>
    </w:p>
  </w:footnote>
  <w:footnote w:id="11">
    <w:p w14:paraId="423620C3" w14:textId="77777777" w:rsidR="007D0323" w:rsidRPr="00156477" w:rsidRDefault="007D0323" w:rsidP="00156477">
      <w:pPr>
        <w:pStyle w:val="FootnoteText"/>
        <w:spacing w:after="120" w:line="240" w:lineRule="auto"/>
        <w:ind w:firstLine="720"/>
        <w:jc w:val="both"/>
        <w:rPr>
          <w:rFonts w:ascii="Cambria" w:hAnsi="Cambria"/>
          <w:color w:val="000000" w:themeColor="text1"/>
          <w:sz w:val="16"/>
          <w:szCs w:val="16"/>
          <w:lang w:val="es-ES"/>
        </w:rPr>
      </w:pPr>
      <w:r w:rsidRPr="00156477">
        <w:rPr>
          <w:rStyle w:val="FootnoteReference"/>
          <w:rFonts w:ascii="Cambria" w:hAnsi="Cambria"/>
          <w:color w:val="000000" w:themeColor="text1"/>
          <w:sz w:val="16"/>
          <w:szCs w:val="16"/>
          <w:lang w:val="es-ES"/>
        </w:rPr>
        <w:footnoteRef/>
      </w:r>
      <w:r w:rsidRPr="00156477">
        <w:rPr>
          <w:rFonts w:ascii="Cambria" w:hAnsi="Cambria"/>
          <w:color w:val="000000" w:themeColor="text1"/>
          <w:sz w:val="16"/>
          <w:szCs w:val="16"/>
          <w:lang w:val="es-ES"/>
        </w:rPr>
        <w:t xml:space="preserve"> Corte IDH, </w:t>
      </w:r>
      <w:hyperlink r:id="rId13" w:history="1">
        <w:r w:rsidRPr="00156477">
          <w:rPr>
            <w:rStyle w:val="Hyperlink"/>
            <w:rFonts w:ascii="Cambria" w:hAnsi="Cambria"/>
            <w:color w:val="000000" w:themeColor="text1"/>
            <w:sz w:val="16"/>
            <w:szCs w:val="16"/>
            <w:lang w:val="es-ES"/>
          </w:rPr>
          <w:t>Caso La Cantuta Vs. Perú, Sentencia de 29 de noviembre de 2006</w:t>
        </w:r>
      </w:hyperlink>
      <w:r w:rsidRPr="00156477">
        <w:rPr>
          <w:rFonts w:ascii="Cambria" w:hAnsi="Cambria"/>
          <w:color w:val="000000" w:themeColor="text1"/>
          <w:sz w:val="16"/>
          <w:szCs w:val="16"/>
          <w:lang w:val="es-ES"/>
        </w:rPr>
        <w:t>. Serie C No. 162, párr. 200.</w:t>
      </w:r>
    </w:p>
  </w:footnote>
  <w:footnote w:id="12">
    <w:p w14:paraId="3193C38A" w14:textId="77777777" w:rsidR="000A3ADE" w:rsidRPr="00156477" w:rsidRDefault="000A3ADE" w:rsidP="00156477">
      <w:pPr>
        <w:pStyle w:val="FootnoteText"/>
        <w:spacing w:after="120" w:line="240" w:lineRule="auto"/>
        <w:ind w:firstLine="720"/>
        <w:jc w:val="both"/>
        <w:rPr>
          <w:rFonts w:ascii="Cambria" w:hAnsi="Cambria"/>
          <w:color w:val="000000" w:themeColor="text1"/>
          <w:sz w:val="16"/>
          <w:szCs w:val="16"/>
          <w:lang w:val="es-CO"/>
        </w:rPr>
      </w:pPr>
      <w:r w:rsidRPr="00156477">
        <w:rPr>
          <w:rStyle w:val="FootnoteReference"/>
          <w:rFonts w:ascii="Cambria" w:hAnsi="Cambria"/>
          <w:color w:val="000000" w:themeColor="text1"/>
          <w:sz w:val="16"/>
          <w:szCs w:val="16"/>
          <w:lang w:val="es-ES"/>
        </w:rPr>
        <w:footnoteRef/>
      </w:r>
      <w:r w:rsidRPr="00156477">
        <w:rPr>
          <w:rFonts w:ascii="Cambria" w:hAnsi="Cambria"/>
          <w:color w:val="000000" w:themeColor="text1"/>
          <w:sz w:val="16"/>
          <w:szCs w:val="16"/>
          <w:lang w:val="es-CO"/>
        </w:rPr>
        <w:t xml:space="preserve"> Corte IDH, </w:t>
      </w:r>
      <w:hyperlink r:id="rId14" w:history="1">
        <w:r w:rsidRPr="00156477">
          <w:rPr>
            <w:rStyle w:val="Hyperlink"/>
            <w:rFonts w:ascii="Cambria" w:hAnsi="Cambria"/>
            <w:color w:val="000000" w:themeColor="text1"/>
            <w:sz w:val="16"/>
            <w:szCs w:val="16"/>
            <w:lang w:val="es-CO"/>
          </w:rPr>
          <w:t>Caso La Cantuta Vs. Perú, Sentencia de 29 de noviembre de 2006</w:t>
        </w:r>
      </w:hyperlink>
      <w:r w:rsidRPr="00156477">
        <w:rPr>
          <w:rFonts w:ascii="Cambria" w:hAnsi="Cambria"/>
          <w:color w:val="000000" w:themeColor="text1"/>
          <w:sz w:val="16"/>
          <w:szCs w:val="16"/>
          <w:lang w:val="es-CO"/>
        </w:rPr>
        <w:t xml:space="preserve">. Serie C No. 162, </w:t>
      </w:r>
      <w:proofErr w:type="spellStart"/>
      <w:r w:rsidRPr="00156477">
        <w:rPr>
          <w:rFonts w:ascii="Cambria" w:hAnsi="Cambria"/>
          <w:color w:val="000000" w:themeColor="text1"/>
          <w:sz w:val="16"/>
          <w:szCs w:val="16"/>
          <w:lang w:val="es-CO"/>
        </w:rPr>
        <w:t>párrs</w:t>
      </w:r>
      <w:proofErr w:type="spellEnd"/>
      <w:r w:rsidRPr="00156477">
        <w:rPr>
          <w:rFonts w:ascii="Cambria" w:hAnsi="Cambria"/>
          <w:color w:val="000000" w:themeColor="text1"/>
          <w:sz w:val="16"/>
          <w:szCs w:val="16"/>
          <w:lang w:val="es-CO"/>
        </w:rPr>
        <w:t xml:space="preserve">. 199-200. </w:t>
      </w:r>
    </w:p>
  </w:footnote>
  <w:footnote w:id="13">
    <w:p w14:paraId="0CC151CA" w14:textId="77777777" w:rsidR="000A3ADE" w:rsidRPr="00156477" w:rsidRDefault="000A3ADE" w:rsidP="00156477">
      <w:pPr>
        <w:pStyle w:val="FootnoteText"/>
        <w:spacing w:after="120" w:line="240" w:lineRule="auto"/>
        <w:ind w:firstLine="720"/>
        <w:jc w:val="both"/>
        <w:rPr>
          <w:rFonts w:ascii="Cambria" w:hAnsi="Cambria"/>
          <w:color w:val="000000" w:themeColor="text1"/>
          <w:sz w:val="16"/>
          <w:szCs w:val="16"/>
          <w:lang w:val="es-ES"/>
        </w:rPr>
      </w:pPr>
      <w:r w:rsidRPr="00156477">
        <w:rPr>
          <w:rStyle w:val="FootnoteReference"/>
          <w:rFonts w:ascii="Cambria" w:hAnsi="Cambria"/>
          <w:color w:val="000000" w:themeColor="text1"/>
          <w:sz w:val="16"/>
          <w:szCs w:val="16"/>
          <w:lang w:val="es-ES"/>
        </w:rPr>
        <w:footnoteRef/>
      </w:r>
      <w:r w:rsidRPr="00156477">
        <w:rPr>
          <w:rFonts w:ascii="Cambria" w:hAnsi="Cambria"/>
          <w:color w:val="000000" w:themeColor="text1"/>
          <w:sz w:val="16"/>
          <w:szCs w:val="16"/>
          <w:lang w:val="es-CO"/>
        </w:rPr>
        <w:t xml:space="preserve"> CIDH</w:t>
      </w:r>
      <w:hyperlink r:id="rId15" w:history="1">
        <w:r w:rsidRPr="00156477">
          <w:rPr>
            <w:rStyle w:val="Hyperlink"/>
            <w:rFonts w:ascii="Cambria" w:hAnsi="Cambria"/>
            <w:color w:val="000000" w:themeColor="text1"/>
            <w:sz w:val="16"/>
            <w:szCs w:val="16"/>
            <w:lang w:val="es-CO"/>
          </w:rPr>
          <w:t>, Lineamientos principales para una política integral de reparaciones</w:t>
        </w:r>
      </w:hyperlink>
      <w:r w:rsidRPr="00156477">
        <w:rPr>
          <w:rFonts w:ascii="Cambria" w:hAnsi="Cambria"/>
          <w:color w:val="000000" w:themeColor="text1"/>
          <w:sz w:val="16"/>
          <w:szCs w:val="16"/>
          <w:lang w:val="es-CO"/>
        </w:rPr>
        <w:t xml:space="preserve">, 19 de febrero de 2008, OEA/Ser/L/V/II.131, doc. 1, párr. </w:t>
      </w:r>
      <w:r w:rsidRPr="00156477">
        <w:rPr>
          <w:rFonts w:ascii="Cambria" w:hAnsi="Cambria"/>
          <w:color w:val="000000" w:themeColor="text1"/>
          <w:sz w:val="16"/>
          <w:szCs w:val="16"/>
          <w:lang w:val="es-ES"/>
        </w:rPr>
        <w:t xml:space="preserve">1; Asamblea General de las Naciones Unidas, </w:t>
      </w:r>
      <w:hyperlink r:id="rId16" w:history="1">
        <w:r w:rsidRPr="00156477">
          <w:rPr>
            <w:rStyle w:val="Hyperlink"/>
            <w:rFonts w:ascii="Cambria" w:hAnsi="Cambria"/>
            <w:color w:val="000000" w:themeColor="text1"/>
            <w:sz w:val="16"/>
            <w:szCs w:val="16"/>
            <w:lang w:val="es-ES"/>
          </w:rPr>
          <w:t>Resolución 60/147. Principios y directrices básicos sobre el derecho de las víctimas de violaciones manifiestas de las normas internacionales de derechos humanos y de violaciones graves del derecho internacional humanitario a interponer recursos y obtener reparaciones</w:t>
        </w:r>
      </w:hyperlink>
      <w:r w:rsidRPr="00156477">
        <w:rPr>
          <w:rFonts w:ascii="Cambria" w:hAnsi="Cambria"/>
          <w:color w:val="000000" w:themeColor="text1"/>
          <w:sz w:val="16"/>
          <w:szCs w:val="16"/>
          <w:lang w:val="es-ES"/>
        </w:rPr>
        <w:t xml:space="preserve">, 16 de diciembre de 2005. A/RES/60/147. </w:t>
      </w:r>
    </w:p>
  </w:footnote>
  <w:footnote w:id="14">
    <w:p w14:paraId="6F6B5EE3" w14:textId="77777777" w:rsidR="0053490A" w:rsidRPr="00156477" w:rsidRDefault="0053490A" w:rsidP="00156477">
      <w:pPr>
        <w:pStyle w:val="FootnoteText"/>
        <w:ind w:firstLine="720"/>
        <w:jc w:val="both"/>
        <w:rPr>
          <w:rFonts w:ascii="Cambria" w:hAnsi="Cambria"/>
          <w:color w:val="000000" w:themeColor="text1"/>
          <w:sz w:val="16"/>
          <w:szCs w:val="16"/>
          <w:lang w:val="es-CO"/>
        </w:rPr>
      </w:pPr>
      <w:r w:rsidRPr="00156477">
        <w:rPr>
          <w:rStyle w:val="FootnoteReference"/>
          <w:rFonts w:ascii="Cambria" w:hAnsi="Cambria"/>
          <w:color w:val="000000" w:themeColor="text1"/>
          <w:sz w:val="16"/>
          <w:szCs w:val="16"/>
        </w:rPr>
        <w:footnoteRef/>
      </w:r>
      <w:r w:rsidRPr="00156477">
        <w:rPr>
          <w:rFonts w:ascii="Cambria" w:hAnsi="Cambria"/>
          <w:color w:val="000000" w:themeColor="text1"/>
          <w:sz w:val="16"/>
          <w:szCs w:val="16"/>
          <w:lang w:val="es-CO"/>
        </w:rPr>
        <w:t xml:space="preserve"> CIDH, </w:t>
      </w:r>
      <w:hyperlink r:id="rId17" w:history="1">
        <w:r w:rsidRPr="00156477">
          <w:rPr>
            <w:rStyle w:val="Hyperlink"/>
            <w:rFonts w:ascii="Cambria" w:hAnsi="Cambria"/>
            <w:color w:val="000000" w:themeColor="text1"/>
            <w:sz w:val="16"/>
            <w:szCs w:val="16"/>
            <w:lang w:val="es-CO"/>
          </w:rPr>
          <w:t>Directrices Generales de Seguimiento de Recomendaciones y Decisiones de la CIDH</w:t>
        </w:r>
      </w:hyperlink>
      <w:r w:rsidRPr="00156477">
        <w:rPr>
          <w:rFonts w:ascii="Cambria" w:hAnsi="Cambria"/>
          <w:color w:val="000000" w:themeColor="text1"/>
          <w:sz w:val="16"/>
          <w:szCs w:val="16"/>
          <w:lang w:val="es-CO"/>
        </w:rPr>
        <w:t>, OEA/</w:t>
      </w:r>
      <w:proofErr w:type="spellStart"/>
      <w:r w:rsidRPr="00156477">
        <w:rPr>
          <w:rFonts w:ascii="Cambria" w:hAnsi="Cambria"/>
          <w:color w:val="000000" w:themeColor="text1"/>
          <w:sz w:val="16"/>
          <w:szCs w:val="16"/>
          <w:lang w:val="es-CO"/>
        </w:rPr>
        <w:t>Ser.L</w:t>
      </w:r>
      <w:proofErr w:type="spellEnd"/>
      <w:r w:rsidRPr="00156477">
        <w:rPr>
          <w:rFonts w:ascii="Cambria" w:hAnsi="Cambria"/>
          <w:color w:val="000000" w:themeColor="text1"/>
          <w:sz w:val="16"/>
          <w:szCs w:val="16"/>
          <w:lang w:val="es-CO"/>
        </w:rPr>
        <w:t xml:space="preserve">/V/II.173 Doc. 177, 30 de septiembre de 2019, </w:t>
      </w:r>
      <w:proofErr w:type="spellStart"/>
      <w:r w:rsidRPr="00156477">
        <w:rPr>
          <w:rFonts w:ascii="Cambria" w:hAnsi="Cambria"/>
          <w:color w:val="000000" w:themeColor="text1"/>
          <w:sz w:val="16"/>
          <w:szCs w:val="16"/>
          <w:lang w:val="es-CO"/>
        </w:rPr>
        <w:t>párrs</w:t>
      </w:r>
      <w:proofErr w:type="spellEnd"/>
      <w:r w:rsidRPr="00156477">
        <w:rPr>
          <w:rFonts w:ascii="Cambria" w:hAnsi="Cambria"/>
          <w:color w:val="000000" w:themeColor="text1"/>
          <w:sz w:val="16"/>
          <w:szCs w:val="16"/>
          <w:lang w:val="es-CO"/>
        </w:rPr>
        <w:t xml:space="preserve">. 64 y 65. </w:t>
      </w:r>
      <w:r w:rsidRPr="00156477">
        <w:rPr>
          <w:rFonts w:ascii="Cambria" w:hAnsi="Cambria"/>
          <w:color w:val="000000" w:themeColor="text1"/>
          <w:sz w:val="16"/>
          <w:szCs w:val="16"/>
          <w:lang w:val="es-CO"/>
        </w:rPr>
        <w:tab/>
      </w:r>
    </w:p>
  </w:footnote>
  <w:footnote w:id="15">
    <w:p w14:paraId="052426A0" w14:textId="77777777" w:rsidR="007D0323" w:rsidRPr="00156477" w:rsidRDefault="007D0323" w:rsidP="00156477">
      <w:pPr>
        <w:pStyle w:val="FootnoteText"/>
        <w:spacing w:after="120" w:line="240" w:lineRule="auto"/>
        <w:ind w:firstLine="720"/>
        <w:jc w:val="both"/>
        <w:rPr>
          <w:rFonts w:ascii="Cambria" w:hAnsi="Cambria"/>
          <w:color w:val="000000" w:themeColor="text1"/>
          <w:sz w:val="16"/>
          <w:szCs w:val="16"/>
          <w:lang w:val="es-ES"/>
        </w:rPr>
      </w:pPr>
      <w:r w:rsidRPr="00156477">
        <w:rPr>
          <w:rStyle w:val="FootnoteReference"/>
          <w:rFonts w:ascii="Cambria" w:hAnsi="Cambria"/>
          <w:color w:val="000000" w:themeColor="text1"/>
          <w:sz w:val="16"/>
          <w:szCs w:val="16"/>
        </w:rPr>
        <w:footnoteRef/>
      </w:r>
      <w:r w:rsidRPr="00156477">
        <w:rPr>
          <w:rFonts w:ascii="Cambria" w:hAnsi="Cambria"/>
          <w:color w:val="000000" w:themeColor="text1"/>
          <w:sz w:val="16"/>
          <w:szCs w:val="16"/>
          <w:lang w:val="es-ES"/>
        </w:rPr>
        <w:t xml:space="preserve"> CIDH, Informe Anual 2017, </w:t>
      </w:r>
      <w:hyperlink r:id="rId18" w:history="1">
        <w:r w:rsidRPr="00156477">
          <w:rPr>
            <w:rStyle w:val="Hyperlink"/>
            <w:rFonts w:ascii="Cambria" w:hAnsi="Cambria"/>
            <w:color w:val="000000" w:themeColor="text1"/>
            <w:sz w:val="16"/>
            <w:szCs w:val="16"/>
            <w:lang w:val="es-ES"/>
          </w:rPr>
          <w:t>Capítulo II, Sección F: Estado del cumplimiento de las recomendaciones de la CIDH</w:t>
        </w:r>
      </w:hyperlink>
      <w:r w:rsidRPr="00156477">
        <w:rPr>
          <w:rFonts w:ascii="Cambria" w:hAnsi="Cambria"/>
          <w:color w:val="000000" w:themeColor="text1"/>
          <w:sz w:val="16"/>
          <w:szCs w:val="16"/>
          <w:lang w:val="es-ES"/>
        </w:rPr>
        <w:t>, párr. 1685.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FA3F" w14:textId="1F6D5FEA" w:rsidR="008272BC" w:rsidRDefault="008272BC" w:rsidP="008272BC">
    <w:pPr>
      <w:pStyle w:val="Header"/>
      <w:rPr>
        <w:rFonts w:ascii="Arial" w:hAnsi="Arial" w:cs="Arial"/>
        <w:color w:val="3B3838" w:themeColor="background2" w:themeShade="40"/>
        <w:szCs w:val="28"/>
      </w:rPr>
    </w:pPr>
    <w:r>
      <w:rPr>
        <w:noProof/>
        <w:sz w:val="24"/>
        <w:szCs w:val="24"/>
      </w:rPr>
      <w:drawing>
        <wp:anchor distT="0" distB="0" distL="114300" distR="114300" simplePos="0" relativeHeight="251662336" behindDoc="0" locked="0" layoutInCell="1" allowOverlap="1" wp14:anchorId="6D037302" wp14:editId="2330BA72">
          <wp:simplePos x="0" y="0"/>
          <wp:positionH relativeFrom="column">
            <wp:posOffset>4658995</wp:posOffset>
          </wp:positionH>
          <wp:positionV relativeFrom="paragraph">
            <wp:posOffset>-3175</wp:posOffset>
          </wp:positionV>
          <wp:extent cx="1485900" cy="346075"/>
          <wp:effectExtent l="0" t="0" r="0" b="0"/>
          <wp:wrapSquare wrapText="bothSides"/>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7F5EF0" wp14:editId="2A5F6CD9">
          <wp:extent cx="1333500" cy="314325"/>
          <wp:effectExtent l="0" t="0" r="0" b="9525"/>
          <wp:docPr id="1" name="Picture 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r>
      <w:rPr>
        <w:rFonts w:ascii="Arial" w:hAnsi="Arial" w:cs="Arial"/>
        <w:color w:val="3B3838" w:themeColor="background2" w:themeShade="40"/>
        <w:szCs w:val="28"/>
      </w:rPr>
      <w:softHyphen/>
    </w:r>
    <w:r>
      <w:rPr>
        <w:rFonts w:ascii="Arial" w:hAnsi="Arial" w:cs="Arial"/>
        <w:color w:val="3B3838" w:themeColor="background2" w:themeShade="40"/>
        <w:szCs w:val="28"/>
      </w:rPr>
      <w:softHyphen/>
      <w:t xml:space="preserve">                       </w:t>
    </w:r>
  </w:p>
  <w:p w14:paraId="4FB233A7" w14:textId="76D76E64" w:rsidR="008272BC" w:rsidRDefault="008272BC" w:rsidP="008272BC">
    <w:pPr>
      <w:pStyle w:val="Header"/>
      <w:rPr>
        <w:rFonts w:ascii="Arial" w:hAnsi="Arial" w:cs="Arial"/>
        <w:b/>
        <w:bCs/>
        <w:color w:val="404040" w:themeColor="text1" w:themeTint="BF"/>
        <w:sz w:val="44"/>
        <w:szCs w:val="44"/>
        <w:lang w:val="es-ES"/>
      </w:rPr>
    </w:pPr>
    <w:r>
      <w:rPr>
        <w:rFonts w:asciiTheme="minorHAnsi" w:hAnsiTheme="minorHAnsi" w:cstheme="minorBidi"/>
        <w:noProof/>
        <w:sz w:val="24"/>
        <w:szCs w:val="24"/>
      </w:rPr>
      <mc:AlternateContent>
        <mc:Choice Requires="wps">
          <w:drawing>
            <wp:anchor distT="0" distB="0" distL="114300" distR="114300" simplePos="0" relativeHeight="251661312" behindDoc="0" locked="0" layoutInCell="1" allowOverlap="1" wp14:anchorId="386003D2" wp14:editId="7364A33E">
              <wp:simplePos x="0" y="0"/>
              <wp:positionH relativeFrom="column">
                <wp:posOffset>-5080</wp:posOffset>
              </wp:positionH>
              <wp:positionV relativeFrom="paragraph">
                <wp:posOffset>173990</wp:posOffset>
              </wp:positionV>
              <wp:extent cx="61480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99F5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FDEB" w14:textId="77777777" w:rsidR="00B9218F" w:rsidRPr="00B9218F" w:rsidRDefault="00AF406D" w:rsidP="00B9218F">
    <w:pPr>
      <w:tabs>
        <w:tab w:val="center" w:pos="4680"/>
        <w:tab w:val="right" w:pos="9360"/>
      </w:tabs>
      <w:spacing w:after="0" w:line="216" w:lineRule="auto"/>
      <w:rPr>
        <w:rFonts w:ascii="Arial" w:eastAsia="Times New Roman" w:hAnsi="Arial" w:cs="Arial"/>
        <w:color w:val="3B3838"/>
        <w:sz w:val="28"/>
        <w:szCs w:val="28"/>
        <w:lang w:val="es-ES"/>
      </w:rPr>
    </w:pPr>
    <w:r w:rsidRPr="00B9218F">
      <w:rPr>
        <w:rFonts w:eastAsia="Times New Roman"/>
        <w:noProof/>
        <w:sz w:val="24"/>
        <w:szCs w:val="24"/>
      </w:rPr>
      <w:drawing>
        <wp:anchor distT="0" distB="0" distL="114300" distR="114300" simplePos="0" relativeHeight="251658240" behindDoc="0" locked="0" layoutInCell="1" allowOverlap="1" wp14:anchorId="4F15A8AA" wp14:editId="0CF4657E">
          <wp:simplePos x="0" y="0"/>
          <wp:positionH relativeFrom="column">
            <wp:posOffset>4088765</wp:posOffset>
          </wp:positionH>
          <wp:positionV relativeFrom="paragraph">
            <wp:posOffset>72390</wp:posOffset>
          </wp:positionV>
          <wp:extent cx="2183130" cy="508635"/>
          <wp:effectExtent l="0" t="0" r="0" b="0"/>
          <wp:wrapSquare wrapText="bothSides"/>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18F">
      <w:rPr>
        <w:rFonts w:eastAsia="Times New Roman"/>
        <w:noProof/>
        <w:sz w:val="24"/>
        <w:szCs w:val="24"/>
      </w:rPr>
      <mc:AlternateContent>
        <mc:Choice Requires="wps">
          <w:drawing>
            <wp:anchor distT="0" distB="0" distL="114300" distR="114300" simplePos="0" relativeHeight="251659264" behindDoc="0" locked="0" layoutInCell="1" allowOverlap="1" wp14:anchorId="16E63D30" wp14:editId="19C60693">
              <wp:simplePos x="0" y="0"/>
              <wp:positionH relativeFrom="column">
                <wp:posOffset>-166370</wp:posOffset>
              </wp:positionH>
              <wp:positionV relativeFrom="paragraph">
                <wp:posOffset>48895</wp:posOffset>
              </wp:positionV>
              <wp:extent cx="2936875" cy="664845"/>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664845"/>
                      </a:xfrm>
                      <a:prstGeom prst="rect">
                        <a:avLst/>
                      </a:prstGeom>
                      <a:noFill/>
                      <a:ln w="6350">
                        <a:noFill/>
                      </a:ln>
                    </wps:spPr>
                    <wps:txbx>
                      <w:txbxContent>
                        <w:p w14:paraId="7C77D5E8" w14:textId="77777777" w:rsidR="00B9218F" w:rsidRDefault="00AF406D" w:rsidP="00B9218F">
                          <w:r w:rsidRPr="00F658D8">
                            <w:rPr>
                              <w:noProof/>
                            </w:rPr>
                            <w:drawing>
                              <wp:inline distT="0" distB="0" distL="0" distR="0" wp14:anchorId="5B78A39B" wp14:editId="3E294767">
                                <wp:extent cx="2009775" cy="466725"/>
                                <wp:effectExtent l="0" t="0" r="0" b="0"/>
                                <wp:docPr id="2" name="Imagem 11" descr="Uma imagem contendo placa, desenho, comida, placar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6E63D30"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" filled="f" stroked="f" strokeweight=".5pt">
              <v:textbox>
                <w:txbxContent>
                  <w:p w14:paraId="7C77D5E8" w14:textId="77777777" w:rsidR="00B9218F" w:rsidRDefault="00AF406D" w:rsidP="00B9218F">
                    <w:r w:rsidRPr="00F658D8">
                      <w:rPr>
                        <w:noProof/>
                      </w:rPr>
                      <w:drawing>
                        <wp:inline distT="0" distB="0" distL="0" distR="0" wp14:anchorId="5B78A39B" wp14:editId="3E294767">
                          <wp:extent cx="2009775" cy="466725"/>
                          <wp:effectExtent l="0" t="0" r="0" b="0"/>
                          <wp:docPr id="2" name="Imagem 11" descr="Uma imagem contendo placa, desenho, comida, placar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txbxContent>
              </v:textbox>
            </v:shape>
          </w:pict>
        </mc:Fallback>
      </mc:AlternateContent>
    </w:r>
    <w:r w:rsidR="00B9218F" w:rsidRPr="00B9218F">
      <w:rPr>
        <w:rFonts w:ascii="Arial" w:eastAsia="Times New Roman" w:hAnsi="Arial" w:cs="Arial"/>
        <w:color w:val="3B3838"/>
        <w:sz w:val="28"/>
        <w:szCs w:val="28"/>
        <w:lang w:val="es-ES"/>
      </w:rPr>
      <w:softHyphen/>
    </w:r>
    <w:r w:rsidR="00B9218F" w:rsidRPr="00B9218F">
      <w:rPr>
        <w:rFonts w:ascii="Arial" w:eastAsia="Times New Roman" w:hAnsi="Arial" w:cs="Arial"/>
        <w:color w:val="3B3838"/>
        <w:sz w:val="28"/>
        <w:szCs w:val="28"/>
        <w:lang w:val="es-ES"/>
      </w:rPr>
      <w:softHyphen/>
    </w:r>
    <w:r w:rsidR="00B9218F" w:rsidRPr="00B9218F">
      <w:rPr>
        <w:rFonts w:ascii="Arial" w:eastAsia="Times New Roman" w:hAnsi="Arial" w:cs="Arial"/>
        <w:color w:val="3B3838"/>
        <w:sz w:val="28"/>
        <w:szCs w:val="28"/>
        <w:lang w:val="es-ES"/>
      </w:rPr>
      <w:softHyphen/>
    </w:r>
  </w:p>
  <w:p w14:paraId="2BD0E9CD" w14:textId="77777777" w:rsidR="00B9218F" w:rsidRPr="00B9218F" w:rsidRDefault="00B9218F" w:rsidP="00B9218F">
    <w:pPr>
      <w:tabs>
        <w:tab w:val="center" w:pos="4680"/>
        <w:tab w:val="right" w:pos="9360"/>
      </w:tabs>
      <w:spacing w:after="0" w:line="216" w:lineRule="auto"/>
      <w:rPr>
        <w:rFonts w:ascii="Arial" w:eastAsia="Times New Roman" w:hAnsi="Arial" w:cs="Arial"/>
        <w:color w:val="3B3838"/>
        <w:sz w:val="28"/>
        <w:szCs w:val="28"/>
        <w:lang w:val="es-ES"/>
      </w:rPr>
    </w:pPr>
  </w:p>
  <w:p w14:paraId="08A6379D" w14:textId="77777777" w:rsidR="00B9218F" w:rsidRPr="00B9218F" w:rsidRDefault="00B9218F" w:rsidP="00B9218F">
    <w:pPr>
      <w:tabs>
        <w:tab w:val="center" w:pos="4680"/>
        <w:tab w:val="right" w:pos="9360"/>
      </w:tabs>
      <w:spacing w:after="0" w:line="216" w:lineRule="auto"/>
      <w:rPr>
        <w:rFonts w:ascii="Arial" w:eastAsia="Times New Roman" w:hAnsi="Arial" w:cs="Arial"/>
        <w:color w:val="3B3838"/>
        <w:sz w:val="28"/>
        <w:szCs w:val="28"/>
        <w:lang w:val="es-ES"/>
      </w:rPr>
    </w:pPr>
  </w:p>
  <w:p w14:paraId="6BB04937" w14:textId="77777777" w:rsidR="007D0323" w:rsidRPr="00B9218F" w:rsidRDefault="00AF406D" w:rsidP="00B9218F">
    <w:pPr>
      <w:tabs>
        <w:tab w:val="center" w:pos="4680"/>
        <w:tab w:val="right" w:pos="9360"/>
      </w:tabs>
      <w:spacing w:after="0" w:line="216" w:lineRule="auto"/>
      <w:rPr>
        <w:rFonts w:ascii="Arial" w:eastAsia="Times New Roman" w:hAnsi="Arial" w:cs="Arial"/>
        <w:b/>
        <w:bCs/>
        <w:color w:val="404040"/>
        <w:sz w:val="44"/>
        <w:szCs w:val="44"/>
        <w:lang w:val="es-ES"/>
      </w:rPr>
    </w:pPr>
    <w:r w:rsidRPr="00B9218F">
      <w:rPr>
        <w:rFonts w:eastAsia="Times New Roman"/>
        <w:noProof/>
        <w:sz w:val="24"/>
        <w:szCs w:val="24"/>
      </w:rPr>
      <mc:AlternateContent>
        <mc:Choice Requires="wps">
          <w:drawing>
            <wp:anchor distT="4294967295" distB="4294967295" distL="114300" distR="114300" simplePos="0" relativeHeight="251657216" behindDoc="0" locked="0" layoutInCell="1" allowOverlap="1" wp14:anchorId="5CF6E85A" wp14:editId="073CB252">
              <wp:simplePos x="0" y="0"/>
              <wp:positionH relativeFrom="column">
                <wp:posOffset>-5715</wp:posOffset>
              </wp:positionH>
              <wp:positionV relativeFrom="paragraph">
                <wp:posOffset>167639</wp:posOffset>
              </wp:positionV>
              <wp:extent cx="614807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8070"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E86BAB"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" strokecolor="#262626" strokeweight="1.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27"/>
    <w:multiLevelType w:val="hybridMultilevel"/>
    <w:tmpl w:val="0322A2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24F55"/>
    <w:multiLevelType w:val="hybridMultilevel"/>
    <w:tmpl w:val="95FC8FE6"/>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1234"/>
    <w:multiLevelType w:val="hybridMultilevel"/>
    <w:tmpl w:val="1E04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12FE8"/>
    <w:multiLevelType w:val="hybridMultilevel"/>
    <w:tmpl w:val="8354A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01F10"/>
    <w:multiLevelType w:val="hybridMultilevel"/>
    <w:tmpl w:val="A600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E7A87"/>
    <w:multiLevelType w:val="hybridMultilevel"/>
    <w:tmpl w:val="654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259BF"/>
    <w:multiLevelType w:val="hybridMultilevel"/>
    <w:tmpl w:val="AADE83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843AE"/>
    <w:multiLevelType w:val="hybridMultilevel"/>
    <w:tmpl w:val="CCFC76AA"/>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E5103"/>
    <w:multiLevelType w:val="hybridMultilevel"/>
    <w:tmpl w:val="5A62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5432"/>
    <w:multiLevelType w:val="hybridMultilevel"/>
    <w:tmpl w:val="EDB2787E"/>
    <w:lvl w:ilvl="0" w:tplc="FDCAF20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4775A5"/>
    <w:multiLevelType w:val="hybridMultilevel"/>
    <w:tmpl w:val="A7FA8D76"/>
    <w:lvl w:ilvl="0" w:tplc="3F203992">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D2EAC"/>
    <w:multiLevelType w:val="hybridMultilevel"/>
    <w:tmpl w:val="B9045BF2"/>
    <w:lvl w:ilvl="0" w:tplc="C5083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749E3"/>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A2AED"/>
    <w:multiLevelType w:val="hybridMultilevel"/>
    <w:tmpl w:val="1164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555EC"/>
    <w:multiLevelType w:val="hybridMultilevel"/>
    <w:tmpl w:val="EAEC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662E5"/>
    <w:multiLevelType w:val="hybridMultilevel"/>
    <w:tmpl w:val="CAE0B2CC"/>
    <w:lvl w:ilvl="0" w:tplc="ACA83A3E">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C5B82"/>
    <w:multiLevelType w:val="hybridMultilevel"/>
    <w:tmpl w:val="3E663DB0"/>
    <w:lvl w:ilvl="0" w:tplc="20327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BC0713"/>
    <w:multiLevelType w:val="hybridMultilevel"/>
    <w:tmpl w:val="908A6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06FF9"/>
    <w:multiLevelType w:val="hybridMultilevel"/>
    <w:tmpl w:val="2682CB5C"/>
    <w:lvl w:ilvl="0" w:tplc="BA2A6F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5EC78F2">
      <w:start w:val="1"/>
      <w:numFmt w:val="lowerRoman"/>
      <w:lvlText w:val="%3."/>
      <w:lvlJc w:val="right"/>
      <w:pPr>
        <w:ind w:left="2160" w:hanging="180"/>
      </w:pPr>
      <w:rPr>
        <w:i w:val="0"/>
      </w:rPr>
    </w:lvl>
    <w:lvl w:ilvl="3" w:tplc="7C622A94">
      <w:start w:val="1"/>
      <w:numFmt w:val="bullet"/>
      <w:lvlText w:val="-"/>
      <w:lvlJc w:val="left"/>
      <w:pPr>
        <w:ind w:left="2880" w:hanging="360"/>
      </w:pPr>
      <w:rPr>
        <w:rFonts w:ascii="Calibri Light" w:eastAsia="Calibri" w:hAnsi="Calibri Light" w:cs="Calibri Light" w:hint="default"/>
      </w:rPr>
    </w:lvl>
    <w:lvl w:ilvl="4" w:tplc="3CAE6CA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16337"/>
    <w:multiLevelType w:val="hybridMultilevel"/>
    <w:tmpl w:val="8196C2FA"/>
    <w:lvl w:ilvl="0" w:tplc="8ADC943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73172"/>
    <w:multiLevelType w:val="hybridMultilevel"/>
    <w:tmpl w:val="E37EFCB8"/>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933AB"/>
    <w:multiLevelType w:val="hybridMultilevel"/>
    <w:tmpl w:val="67C4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31F4E"/>
    <w:multiLevelType w:val="hybridMultilevel"/>
    <w:tmpl w:val="F60A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2294D"/>
    <w:multiLevelType w:val="hybridMultilevel"/>
    <w:tmpl w:val="8A5A035E"/>
    <w:lvl w:ilvl="0" w:tplc="662AC064">
      <w:start w:val="1"/>
      <w:numFmt w:val="decimal"/>
      <w:lvlText w:val="%1."/>
      <w:lvlJc w:val="left"/>
      <w:pPr>
        <w:ind w:left="0" w:firstLine="720"/>
      </w:pPr>
      <w:rPr>
        <w:rFonts w:ascii="Cambria" w:hAnsi="Cambria"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F5446"/>
    <w:multiLevelType w:val="hybridMultilevel"/>
    <w:tmpl w:val="0DF6D884"/>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766E8"/>
    <w:multiLevelType w:val="hybridMultilevel"/>
    <w:tmpl w:val="1C4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7672C"/>
    <w:multiLevelType w:val="hybridMultilevel"/>
    <w:tmpl w:val="CC845EF4"/>
    <w:lvl w:ilvl="0" w:tplc="269202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262483">
    <w:abstractNumId w:val="24"/>
  </w:num>
  <w:num w:numId="2" w16cid:durableId="1809202881">
    <w:abstractNumId w:val="13"/>
  </w:num>
  <w:num w:numId="3" w16cid:durableId="373971531">
    <w:abstractNumId w:val="2"/>
  </w:num>
  <w:num w:numId="4" w16cid:durableId="1907645797">
    <w:abstractNumId w:val="30"/>
  </w:num>
  <w:num w:numId="5" w16cid:durableId="300354537">
    <w:abstractNumId w:val="26"/>
  </w:num>
  <w:num w:numId="6" w16cid:durableId="1755777724">
    <w:abstractNumId w:val="29"/>
  </w:num>
  <w:num w:numId="7" w16cid:durableId="1748653852">
    <w:abstractNumId w:val="6"/>
  </w:num>
  <w:num w:numId="8" w16cid:durableId="351955628">
    <w:abstractNumId w:val="21"/>
  </w:num>
  <w:num w:numId="9" w16cid:durableId="292297415">
    <w:abstractNumId w:val="9"/>
  </w:num>
  <w:num w:numId="10" w16cid:durableId="1913654839">
    <w:abstractNumId w:val="20"/>
  </w:num>
  <w:num w:numId="11" w16cid:durableId="1928229750">
    <w:abstractNumId w:val="25"/>
  </w:num>
  <w:num w:numId="12" w16cid:durableId="1933508748">
    <w:abstractNumId w:val="10"/>
  </w:num>
  <w:num w:numId="13" w16cid:durableId="1731535618">
    <w:abstractNumId w:val="18"/>
  </w:num>
  <w:num w:numId="14" w16cid:durableId="1342200971">
    <w:abstractNumId w:val="17"/>
  </w:num>
  <w:num w:numId="15" w16cid:durableId="528185688">
    <w:abstractNumId w:val="12"/>
  </w:num>
  <w:num w:numId="16" w16cid:durableId="1095325904">
    <w:abstractNumId w:val="4"/>
  </w:num>
  <w:num w:numId="17" w16cid:durableId="1980645735">
    <w:abstractNumId w:val="15"/>
  </w:num>
  <w:num w:numId="18" w16cid:durableId="132599353">
    <w:abstractNumId w:val="16"/>
  </w:num>
  <w:num w:numId="19" w16cid:durableId="1405371438">
    <w:abstractNumId w:val="3"/>
  </w:num>
  <w:num w:numId="20" w16cid:durableId="1024597762">
    <w:abstractNumId w:val="5"/>
  </w:num>
  <w:num w:numId="21" w16cid:durableId="1997341839">
    <w:abstractNumId w:val="14"/>
  </w:num>
  <w:num w:numId="22" w16cid:durableId="352070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3195044">
    <w:abstractNumId w:val="19"/>
  </w:num>
  <w:num w:numId="24" w16cid:durableId="1794253637">
    <w:abstractNumId w:val="7"/>
  </w:num>
  <w:num w:numId="25" w16cid:durableId="1949776278">
    <w:abstractNumId w:val="0"/>
  </w:num>
  <w:num w:numId="26" w16cid:durableId="1830171429">
    <w:abstractNumId w:val="8"/>
  </w:num>
  <w:num w:numId="27" w16cid:durableId="1405105317">
    <w:abstractNumId w:val="22"/>
  </w:num>
  <w:num w:numId="28" w16cid:durableId="605776202">
    <w:abstractNumId w:val="1"/>
  </w:num>
  <w:num w:numId="29" w16cid:durableId="2076852646">
    <w:abstractNumId w:val="27"/>
  </w:num>
  <w:num w:numId="30" w16cid:durableId="1724863272">
    <w:abstractNumId w:val="23"/>
  </w:num>
  <w:num w:numId="31" w16cid:durableId="14239165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US" w:vendorID="64" w:dllVersion="6" w:nlCheck="1" w:checkStyle="0"/>
  <w:activeWritingStyle w:appName="MSWord" w:lang="es-ES" w:vendorID="64" w:dllVersion="6" w:nlCheck="1" w:checkStyle="0"/>
  <w:activeWritingStyle w:appName="MSWord" w:lang="es-VE" w:vendorID="64" w:dllVersion="6" w:nlCheck="1" w:checkStyle="1"/>
  <w:activeWritingStyle w:appName="MSWord" w:lang="es-ES_tradnl" w:vendorID="64" w:dllVersion="6" w:nlCheck="1" w:checkStyle="1"/>
  <w:activeWritingStyle w:appName="MSWord" w:lang="es-CO" w:vendorID="64" w:dllVersion="6" w:nlCheck="1" w:checkStyle="0"/>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14CE3"/>
    <w:rsid w:val="00014FBF"/>
    <w:rsid w:val="00016431"/>
    <w:rsid w:val="00024D04"/>
    <w:rsid w:val="00025997"/>
    <w:rsid w:val="000271B3"/>
    <w:rsid w:val="00030D97"/>
    <w:rsid w:val="00035D3C"/>
    <w:rsid w:val="000422E9"/>
    <w:rsid w:val="00046124"/>
    <w:rsid w:val="000468DD"/>
    <w:rsid w:val="00047B56"/>
    <w:rsid w:val="00053EDA"/>
    <w:rsid w:val="00056926"/>
    <w:rsid w:val="00056D2D"/>
    <w:rsid w:val="000578A0"/>
    <w:rsid w:val="00057C73"/>
    <w:rsid w:val="00065A91"/>
    <w:rsid w:val="0006625E"/>
    <w:rsid w:val="000674CD"/>
    <w:rsid w:val="0007181A"/>
    <w:rsid w:val="00073001"/>
    <w:rsid w:val="00075902"/>
    <w:rsid w:val="00080D77"/>
    <w:rsid w:val="00092650"/>
    <w:rsid w:val="000948F3"/>
    <w:rsid w:val="00096897"/>
    <w:rsid w:val="000A0A49"/>
    <w:rsid w:val="000A207A"/>
    <w:rsid w:val="000A32C8"/>
    <w:rsid w:val="000A3ADE"/>
    <w:rsid w:val="000A4686"/>
    <w:rsid w:val="000A4CCA"/>
    <w:rsid w:val="000B1997"/>
    <w:rsid w:val="000B2DC4"/>
    <w:rsid w:val="000B5A27"/>
    <w:rsid w:val="000C0EC7"/>
    <w:rsid w:val="000C4C38"/>
    <w:rsid w:val="000C6EFE"/>
    <w:rsid w:val="000D4183"/>
    <w:rsid w:val="000D4F09"/>
    <w:rsid w:val="000E445F"/>
    <w:rsid w:val="000F4331"/>
    <w:rsid w:val="000F44AD"/>
    <w:rsid w:val="000F75DC"/>
    <w:rsid w:val="000F7E2F"/>
    <w:rsid w:val="00100A29"/>
    <w:rsid w:val="001028C1"/>
    <w:rsid w:val="00105C27"/>
    <w:rsid w:val="00107353"/>
    <w:rsid w:val="00123312"/>
    <w:rsid w:val="00124305"/>
    <w:rsid w:val="0012586C"/>
    <w:rsid w:val="001276E9"/>
    <w:rsid w:val="001303D7"/>
    <w:rsid w:val="001313E1"/>
    <w:rsid w:val="00132E7C"/>
    <w:rsid w:val="00137F5B"/>
    <w:rsid w:val="001424D3"/>
    <w:rsid w:val="001447EA"/>
    <w:rsid w:val="00145052"/>
    <w:rsid w:val="00152001"/>
    <w:rsid w:val="00156477"/>
    <w:rsid w:val="001568E3"/>
    <w:rsid w:val="00156C6E"/>
    <w:rsid w:val="00163F30"/>
    <w:rsid w:val="00172525"/>
    <w:rsid w:val="00173590"/>
    <w:rsid w:val="00173F4F"/>
    <w:rsid w:val="001740B6"/>
    <w:rsid w:val="0017747F"/>
    <w:rsid w:val="001809C1"/>
    <w:rsid w:val="0018142C"/>
    <w:rsid w:val="00182285"/>
    <w:rsid w:val="00184445"/>
    <w:rsid w:val="001A1A27"/>
    <w:rsid w:val="001A214A"/>
    <w:rsid w:val="001A5C03"/>
    <w:rsid w:val="001C1406"/>
    <w:rsid w:val="001C4B28"/>
    <w:rsid w:val="001C62B0"/>
    <w:rsid w:val="001C7659"/>
    <w:rsid w:val="001E09F8"/>
    <w:rsid w:val="001F0942"/>
    <w:rsid w:val="001F3708"/>
    <w:rsid w:val="001F5C41"/>
    <w:rsid w:val="001F7889"/>
    <w:rsid w:val="00203339"/>
    <w:rsid w:val="00205071"/>
    <w:rsid w:val="0020678C"/>
    <w:rsid w:val="00211030"/>
    <w:rsid w:val="002115E1"/>
    <w:rsid w:val="0021669C"/>
    <w:rsid w:val="002203C6"/>
    <w:rsid w:val="00220F63"/>
    <w:rsid w:val="00221892"/>
    <w:rsid w:val="00221C1D"/>
    <w:rsid w:val="00224E0D"/>
    <w:rsid w:val="0022574C"/>
    <w:rsid w:val="00230A6A"/>
    <w:rsid w:val="0023360E"/>
    <w:rsid w:val="0023428B"/>
    <w:rsid w:val="00235EE9"/>
    <w:rsid w:val="00237A82"/>
    <w:rsid w:val="00240E8E"/>
    <w:rsid w:val="002423FF"/>
    <w:rsid w:val="002465B6"/>
    <w:rsid w:val="00252AD1"/>
    <w:rsid w:val="00257941"/>
    <w:rsid w:val="00261869"/>
    <w:rsid w:val="0027733F"/>
    <w:rsid w:val="00282C37"/>
    <w:rsid w:val="00282F9B"/>
    <w:rsid w:val="002835DB"/>
    <w:rsid w:val="002859A9"/>
    <w:rsid w:val="00287D16"/>
    <w:rsid w:val="002917A2"/>
    <w:rsid w:val="0029371A"/>
    <w:rsid w:val="00294B17"/>
    <w:rsid w:val="00296041"/>
    <w:rsid w:val="002964B5"/>
    <w:rsid w:val="00296A93"/>
    <w:rsid w:val="002A39B2"/>
    <w:rsid w:val="002A3C3A"/>
    <w:rsid w:val="002A58B3"/>
    <w:rsid w:val="002A5E36"/>
    <w:rsid w:val="002B136E"/>
    <w:rsid w:val="002B747C"/>
    <w:rsid w:val="002C0B05"/>
    <w:rsid w:val="002C1452"/>
    <w:rsid w:val="002C2DB4"/>
    <w:rsid w:val="002C4783"/>
    <w:rsid w:val="002C60D2"/>
    <w:rsid w:val="002C61A1"/>
    <w:rsid w:val="002C70B0"/>
    <w:rsid w:val="002C7AD4"/>
    <w:rsid w:val="002D21B0"/>
    <w:rsid w:val="002D2569"/>
    <w:rsid w:val="002D2F07"/>
    <w:rsid w:val="002D3803"/>
    <w:rsid w:val="002D4B17"/>
    <w:rsid w:val="002E1712"/>
    <w:rsid w:val="002E46B9"/>
    <w:rsid w:val="002E4913"/>
    <w:rsid w:val="002F1192"/>
    <w:rsid w:val="002F6244"/>
    <w:rsid w:val="00314972"/>
    <w:rsid w:val="00322E66"/>
    <w:rsid w:val="00324693"/>
    <w:rsid w:val="00327E8E"/>
    <w:rsid w:val="00330A0F"/>
    <w:rsid w:val="00333DC5"/>
    <w:rsid w:val="00335B75"/>
    <w:rsid w:val="00335CC4"/>
    <w:rsid w:val="00341EE7"/>
    <w:rsid w:val="00343CED"/>
    <w:rsid w:val="00354F29"/>
    <w:rsid w:val="00355877"/>
    <w:rsid w:val="0035791F"/>
    <w:rsid w:val="0037028C"/>
    <w:rsid w:val="0037203D"/>
    <w:rsid w:val="0037516A"/>
    <w:rsid w:val="00376C98"/>
    <w:rsid w:val="003802DA"/>
    <w:rsid w:val="00393310"/>
    <w:rsid w:val="0039422B"/>
    <w:rsid w:val="0039616F"/>
    <w:rsid w:val="0039667E"/>
    <w:rsid w:val="00396C20"/>
    <w:rsid w:val="00397725"/>
    <w:rsid w:val="003A4F55"/>
    <w:rsid w:val="003A6747"/>
    <w:rsid w:val="003B7B05"/>
    <w:rsid w:val="003C4836"/>
    <w:rsid w:val="003C4D8E"/>
    <w:rsid w:val="003C70F6"/>
    <w:rsid w:val="003D0F33"/>
    <w:rsid w:val="003D4CAE"/>
    <w:rsid w:val="003D60BF"/>
    <w:rsid w:val="003D6636"/>
    <w:rsid w:val="003D691A"/>
    <w:rsid w:val="003D762F"/>
    <w:rsid w:val="003E14CB"/>
    <w:rsid w:val="003F0CFD"/>
    <w:rsid w:val="003F6889"/>
    <w:rsid w:val="003F6D90"/>
    <w:rsid w:val="003F7A99"/>
    <w:rsid w:val="00401B79"/>
    <w:rsid w:val="00401EB6"/>
    <w:rsid w:val="004048B7"/>
    <w:rsid w:val="00422407"/>
    <w:rsid w:val="0042247E"/>
    <w:rsid w:val="00430950"/>
    <w:rsid w:val="00430BA1"/>
    <w:rsid w:val="00433072"/>
    <w:rsid w:val="00440073"/>
    <w:rsid w:val="00461EC4"/>
    <w:rsid w:val="0047146A"/>
    <w:rsid w:val="004722BC"/>
    <w:rsid w:val="00476699"/>
    <w:rsid w:val="00484E24"/>
    <w:rsid w:val="004858CB"/>
    <w:rsid w:val="0049315F"/>
    <w:rsid w:val="00494A00"/>
    <w:rsid w:val="004A1E39"/>
    <w:rsid w:val="004A5D8B"/>
    <w:rsid w:val="004A699E"/>
    <w:rsid w:val="004B0DEF"/>
    <w:rsid w:val="004B3074"/>
    <w:rsid w:val="004B3F3B"/>
    <w:rsid w:val="004B5514"/>
    <w:rsid w:val="004B6907"/>
    <w:rsid w:val="004B7CD8"/>
    <w:rsid w:val="004C74E6"/>
    <w:rsid w:val="004C77A0"/>
    <w:rsid w:val="004D46EB"/>
    <w:rsid w:val="004D4ED0"/>
    <w:rsid w:val="004E3579"/>
    <w:rsid w:val="004E5FB6"/>
    <w:rsid w:val="004F190F"/>
    <w:rsid w:val="004F4BEA"/>
    <w:rsid w:val="0050403C"/>
    <w:rsid w:val="00507E45"/>
    <w:rsid w:val="00517622"/>
    <w:rsid w:val="005239D9"/>
    <w:rsid w:val="005242E6"/>
    <w:rsid w:val="00526234"/>
    <w:rsid w:val="0053490A"/>
    <w:rsid w:val="00534F2B"/>
    <w:rsid w:val="00535317"/>
    <w:rsid w:val="005356C7"/>
    <w:rsid w:val="005410BD"/>
    <w:rsid w:val="00542AA9"/>
    <w:rsid w:val="00546123"/>
    <w:rsid w:val="00546789"/>
    <w:rsid w:val="0055565E"/>
    <w:rsid w:val="005566F5"/>
    <w:rsid w:val="0056563A"/>
    <w:rsid w:val="00575A9D"/>
    <w:rsid w:val="00586C44"/>
    <w:rsid w:val="00590C1C"/>
    <w:rsid w:val="00591925"/>
    <w:rsid w:val="00592C5C"/>
    <w:rsid w:val="005960BC"/>
    <w:rsid w:val="00596CC9"/>
    <w:rsid w:val="005A328E"/>
    <w:rsid w:val="005A5E14"/>
    <w:rsid w:val="005B5F43"/>
    <w:rsid w:val="005B6286"/>
    <w:rsid w:val="005B7B95"/>
    <w:rsid w:val="005C4F7E"/>
    <w:rsid w:val="005C6E8D"/>
    <w:rsid w:val="005D0645"/>
    <w:rsid w:val="005D0AA3"/>
    <w:rsid w:val="005D2B8D"/>
    <w:rsid w:val="005D3FD1"/>
    <w:rsid w:val="005D6910"/>
    <w:rsid w:val="005E5CAD"/>
    <w:rsid w:val="005F0772"/>
    <w:rsid w:val="005F0A9E"/>
    <w:rsid w:val="005F0DA7"/>
    <w:rsid w:val="005F11FF"/>
    <w:rsid w:val="005F4AAA"/>
    <w:rsid w:val="00602DDE"/>
    <w:rsid w:val="00604132"/>
    <w:rsid w:val="0060712A"/>
    <w:rsid w:val="006074B9"/>
    <w:rsid w:val="00610D91"/>
    <w:rsid w:val="00615638"/>
    <w:rsid w:val="00615EE5"/>
    <w:rsid w:val="00616FF3"/>
    <w:rsid w:val="0062269A"/>
    <w:rsid w:val="006236D7"/>
    <w:rsid w:val="00626495"/>
    <w:rsid w:val="00633243"/>
    <w:rsid w:val="00634C43"/>
    <w:rsid w:val="0063646E"/>
    <w:rsid w:val="006469F3"/>
    <w:rsid w:val="00650542"/>
    <w:rsid w:val="00650F9F"/>
    <w:rsid w:val="006564BF"/>
    <w:rsid w:val="00663D68"/>
    <w:rsid w:val="00665E0C"/>
    <w:rsid w:val="00667B16"/>
    <w:rsid w:val="00671335"/>
    <w:rsid w:val="006813AE"/>
    <w:rsid w:val="00685EAD"/>
    <w:rsid w:val="00690550"/>
    <w:rsid w:val="00692B14"/>
    <w:rsid w:val="00696A87"/>
    <w:rsid w:val="006A05BC"/>
    <w:rsid w:val="006A6CBE"/>
    <w:rsid w:val="006B5F08"/>
    <w:rsid w:val="006C0045"/>
    <w:rsid w:val="006C45AC"/>
    <w:rsid w:val="006C4FD2"/>
    <w:rsid w:val="006C7DE8"/>
    <w:rsid w:val="006D04B4"/>
    <w:rsid w:val="006D16B0"/>
    <w:rsid w:val="006D2C54"/>
    <w:rsid w:val="006D7FA9"/>
    <w:rsid w:val="006E2BD8"/>
    <w:rsid w:val="006E4CE4"/>
    <w:rsid w:val="006F0429"/>
    <w:rsid w:val="006F3E0E"/>
    <w:rsid w:val="006F7B54"/>
    <w:rsid w:val="0070311B"/>
    <w:rsid w:val="00721BDC"/>
    <w:rsid w:val="00721C27"/>
    <w:rsid w:val="007249A9"/>
    <w:rsid w:val="00724A14"/>
    <w:rsid w:val="00724E8D"/>
    <w:rsid w:val="007323C6"/>
    <w:rsid w:val="0073384F"/>
    <w:rsid w:val="00762CBA"/>
    <w:rsid w:val="007660A1"/>
    <w:rsid w:val="00775C43"/>
    <w:rsid w:val="00781575"/>
    <w:rsid w:val="00781B28"/>
    <w:rsid w:val="0079416C"/>
    <w:rsid w:val="007942FF"/>
    <w:rsid w:val="007A0AA5"/>
    <w:rsid w:val="007A0B1E"/>
    <w:rsid w:val="007A1F6C"/>
    <w:rsid w:val="007A2520"/>
    <w:rsid w:val="007A470C"/>
    <w:rsid w:val="007B0327"/>
    <w:rsid w:val="007B3E0E"/>
    <w:rsid w:val="007C2CC3"/>
    <w:rsid w:val="007C3213"/>
    <w:rsid w:val="007C351D"/>
    <w:rsid w:val="007C6D93"/>
    <w:rsid w:val="007D0323"/>
    <w:rsid w:val="007D6EEF"/>
    <w:rsid w:val="007E0C62"/>
    <w:rsid w:val="007E2AF4"/>
    <w:rsid w:val="007E446B"/>
    <w:rsid w:val="007E755F"/>
    <w:rsid w:val="007F115E"/>
    <w:rsid w:val="007F4D6C"/>
    <w:rsid w:val="007F5F4E"/>
    <w:rsid w:val="008037BE"/>
    <w:rsid w:val="00803BB1"/>
    <w:rsid w:val="00803D69"/>
    <w:rsid w:val="00806CE5"/>
    <w:rsid w:val="00807BAA"/>
    <w:rsid w:val="008107A9"/>
    <w:rsid w:val="00812303"/>
    <w:rsid w:val="0081526E"/>
    <w:rsid w:val="00817D72"/>
    <w:rsid w:val="0082413A"/>
    <w:rsid w:val="00826CD9"/>
    <w:rsid w:val="00827079"/>
    <w:rsid w:val="008270F6"/>
    <w:rsid w:val="008272BC"/>
    <w:rsid w:val="0083397E"/>
    <w:rsid w:val="00840888"/>
    <w:rsid w:val="008550EF"/>
    <w:rsid w:val="00855E60"/>
    <w:rsid w:val="008601E2"/>
    <w:rsid w:val="00861206"/>
    <w:rsid w:val="00862DD8"/>
    <w:rsid w:val="00864155"/>
    <w:rsid w:val="008721D8"/>
    <w:rsid w:val="00872944"/>
    <w:rsid w:val="00883850"/>
    <w:rsid w:val="00884012"/>
    <w:rsid w:val="0088557B"/>
    <w:rsid w:val="00897552"/>
    <w:rsid w:val="008A4974"/>
    <w:rsid w:val="008B3D56"/>
    <w:rsid w:val="008C7C7F"/>
    <w:rsid w:val="008D0738"/>
    <w:rsid w:val="008D10A0"/>
    <w:rsid w:val="008D17AE"/>
    <w:rsid w:val="008D19B5"/>
    <w:rsid w:val="008D6E63"/>
    <w:rsid w:val="008E0A29"/>
    <w:rsid w:val="008E42E1"/>
    <w:rsid w:val="008E71DC"/>
    <w:rsid w:val="008F2248"/>
    <w:rsid w:val="008F2D1D"/>
    <w:rsid w:val="008F4005"/>
    <w:rsid w:val="008F4BDC"/>
    <w:rsid w:val="008F7A3C"/>
    <w:rsid w:val="009125D0"/>
    <w:rsid w:val="00920D5D"/>
    <w:rsid w:val="00935CE2"/>
    <w:rsid w:val="009362D5"/>
    <w:rsid w:val="00937909"/>
    <w:rsid w:val="009413A1"/>
    <w:rsid w:val="00961E4F"/>
    <w:rsid w:val="00963D1B"/>
    <w:rsid w:val="00985134"/>
    <w:rsid w:val="00987FD2"/>
    <w:rsid w:val="00994694"/>
    <w:rsid w:val="009A0A05"/>
    <w:rsid w:val="009A39F7"/>
    <w:rsid w:val="009A3F6E"/>
    <w:rsid w:val="009A6413"/>
    <w:rsid w:val="009B178C"/>
    <w:rsid w:val="009B219C"/>
    <w:rsid w:val="009C18E2"/>
    <w:rsid w:val="009C227B"/>
    <w:rsid w:val="009C3C8C"/>
    <w:rsid w:val="009C4D87"/>
    <w:rsid w:val="009D2022"/>
    <w:rsid w:val="009D2FB2"/>
    <w:rsid w:val="009D53FC"/>
    <w:rsid w:val="009E73F0"/>
    <w:rsid w:val="009F030C"/>
    <w:rsid w:val="009F0F9B"/>
    <w:rsid w:val="009F1106"/>
    <w:rsid w:val="009F605C"/>
    <w:rsid w:val="009F64CA"/>
    <w:rsid w:val="009F687D"/>
    <w:rsid w:val="00A00980"/>
    <w:rsid w:val="00A0185E"/>
    <w:rsid w:val="00A10319"/>
    <w:rsid w:val="00A115B6"/>
    <w:rsid w:val="00A122D3"/>
    <w:rsid w:val="00A143FC"/>
    <w:rsid w:val="00A15C7C"/>
    <w:rsid w:val="00A17D21"/>
    <w:rsid w:val="00A23717"/>
    <w:rsid w:val="00A2502C"/>
    <w:rsid w:val="00A25CA7"/>
    <w:rsid w:val="00A310F0"/>
    <w:rsid w:val="00A31C14"/>
    <w:rsid w:val="00A341C9"/>
    <w:rsid w:val="00A343FF"/>
    <w:rsid w:val="00A404E4"/>
    <w:rsid w:val="00A53ADC"/>
    <w:rsid w:val="00A5528C"/>
    <w:rsid w:val="00A553B9"/>
    <w:rsid w:val="00A55729"/>
    <w:rsid w:val="00A61B5E"/>
    <w:rsid w:val="00A64C9F"/>
    <w:rsid w:val="00A6700B"/>
    <w:rsid w:val="00A7781B"/>
    <w:rsid w:val="00A90AE2"/>
    <w:rsid w:val="00AB035D"/>
    <w:rsid w:val="00AB4A9E"/>
    <w:rsid w:val="00AB6075"/>
    <w:rsid w:val="00AB74E9"/>
    <w:rsid w:val="00AC5985"/>
    <w:rsid w:val="00AD0974"/>
    <w:rsid w:val="00AD5A1C"/>
    <w:rsid w:val="00AD68F2"/>
    <w:rsid w:val="00AD737E"/>
    <w:rsid w:val="00AD7C3A"/>
    <w:rsid w:val="00AE1B0F"/>
    <w:rsid w:val="00AE5BB3"/>
    <w:rsid w:val="00AE786B"/>
    <w:rsid w:val="00AF406D"/>
    <w:rsid w:val="00AF7331"/>
    <w:rsid w:val="00B011F0"/>
    <w:rsid w:val="00B056D9"/>
    <w:rsid w:val="00B06C78"/>
    <w:rsid w:val="00B117C1"/>
    <w:rsid w:val="00B11B77"/>
    <w:rsid w:val="00B13A40"/>
    <w:rsid w:val="00B14604"/>
    <w:rsid w:val="00B205A7"/>
    <w:rsid w:val="00B2578C"/>
    <w:rsid w:val="00B25E3B"/>
    <w:rsid w:val="00B40CAB"/>
    <w:rsid w:val="00B40CF4"/>
    <w:rsid w:val="00B437E0"/>
    <w:rsid w:val="00B502EB"/>
    <w:rsid w:val="00B53658"/>
    <w:rsid w:val="00B55522"/>
    <w:rsid w:val="00B56912"/>
    <w:rsid w:val="00B635E7"/>
    <w:rsid w:val="00B725E3"/>
    <w:rsid w:val="00B745AD"/>
    <w:rsid w:val="00B806AC"/>
    <w:rsid w:val="00B86C82"/>
    <w:rsid w:val="00B8714F"/>
    <w:rsid w:val="00B9218F"/>
    <w:rsid w:val="00B93993"/>
    <w:rsid w:val="00BA2B9F"/>
    <w:rsid w:val="00BB03A0"/>
    <w:rsid w:val="00BB30C6"/>
    <w:rsid w:val="00BB64B4"/>
    <w:rsid w:val="00BB76E3"/>
    <w:rsid w:val="00BB7FD7"/>
    <w:rsid w:val="00BC06B2"/>
    <w:rsid w:val="00BC182B"/>
    <w:rsid w:val="00BC2B1F"/>
    <w:rsid w:val="00BD42D3"/>
    <w:rsid w:val="00BD654A"/>
    <w:rsid w:val="00BD6968"/>
    <w:rsid w:val="00BE3A1B"/>
    <w:rsid w:val="00BE646F"/>
    <w:rsid w:val="00BF3A80"/>
    <w:rsid w:val="00BF6FAE"/>
    <w:rsid w:val="00C0235F"/>
    <w:rsid w:val="00C03331"/>
    <w:rsid w:val="00C04090"/>
    <w:rsid w:val="00C15F79"/>
    <w:rsid w:val="00C17F04"/>
    <w:rsid w:val="00C26B1C"/>
    <w:rsid w:val="00C33E22"/>
    <w:rsid w:val="00C402CB"/>
    <w:rsid w:val="00C45C25"/>
    <w:rsid w:val="00C55FDD"/>
    <w:rsid w:val="00C57566"/>
    <w:rsid w:val="00C60183"/>
    <w:rsid w:val="00C60248"/>
    <w:rsid w:val="00C71EF9"/>
    <w:rsid w:val="00C74196"/>
    <w:rsid w:val="00C770E9"/>
    <w:rsid w:val="00C8246A"/>
    <w:rsid w:val="00C829A1"/>
    <w:rsid w:val="00C850CA"/>
    <w:rsid w:val="00C861E7"/>
    <w:rsid w:val="00C95C50"/>
    <w:rsid w:val="00CB07E1"/>
    <w:rsid w:val="00CB4C1E"/>
    <w:rsid w:val="00CB6344"/>
    <w:rsid w:val="00CC4BBD"/>
    <w:rsid w:val="00CC59C8"/>
    <w:rsid w:val="00CC69BF"/>
    <w:rsid w:val="00CD0D88"/>
    <w:rsid w:val="00CD6A28"/>
    <w:rsid w:val="00CE4146"/>
    <w:rsid w:val="00CE5842"/>
    <w:rsid w:val="00D05BCC"/>
    <w:rsid w:val="00D14742"/>
    <w:rsid w:val="00D157D9"/>
    <w:rsid w:val="00D20737"/>
    <w:rsid w:val="00D20971"/>
    <w:rsid w:val="00D26B7A"/>
    <w:rsid w:val="00D27355"/>
    <w:rsid w:val="00D31F07"/>
    <w:rsid w:val="00D32B9D"/>
    <w:rsid w:val="00D50232"/>
    <w:rsid w:val="00D50670"/>
    <w:rsid w:val="00D54485"/>
    <w:rsid w:val="00D54EDE"/>
    <w:rsid w:val="00D622D0"/>
    <w:rsid w:val="00D64117"/>
    <w:rsid w:val="00D65692"/>
    <w:rsid w:val="00D72B0E"/>
    <w:rsid w:val="00D736FF"/>
    <w:rsid w:val="00D73CCB"/>
    <w:rsid w:val="00D76420"/>
    <w:rsid w:val="00D76834"/>
    <w:rsid w:val="00D822C4"/>
    <w:rsid w:val="00D86E46"/>
    <w:rsid w:val="00D87B94"/>
    <w:rsid w:val="00DA3B77"/>
    <w:rsid w:val="00DB49F1"/>
    <w:rsid w:val="00DB55C5"/>
    <w:rsid w:val="00DB5FA6"/>
    <w:rsid w:val="00DC2EBE"/>
    <w:rsid w:val="00DC5A37"/>
    <w:rsid w:val="00DC7C8F"/>
    <w:rsid w:val="00DD3ED5"/>
    <w:rsid w:val="00DE1F3B"/>
    <w:rsid w:val="00DE3BED"/>
    <w:rsid w:val="00DF0FE5"/>
    <w:rsid w:val="00E00441"/>
    <w:rsid w:val="00E004F0"/>
    <w:rsid w:val="00E075EA"/>
    <w:rsid w:val="00E07E59"/>
    <w:rsid w:val="00E13DE5"/>
    <w:rsid w:val="00E174E4"/>
    <w:rsid w:val="00E21ACA"/>
    <w:rsid w:val="00E256DD"/>
    <w:rsid w:val="00E3040C"/>
    <w:rsid w:val="00E31D27"/>
    <w:rsid w:val="00E338AC"/>
    <w:rsid w:val="00E42F0E"/>
    <w:rsid w:val="00E45EF1"/>
    <w:rsid w:val="00E518B2"/>
    <w:rsid w:val="00E60889"/>
    <w:rsid w:val="00E6432D"/>
    <w:rsid w:val="00E64A05"/>
    <w:rsid w:val="00E6614F"/>
    <w:rsid w:val="00E7208A"/>
    <w:rsid w:val="00E75539"/>
    <w:rsid w:val="00E765B8"/>
    <w:rsid w:val="00E7739D"/>
    <w:rsid w:val="00E77406"/>
    <w:rsid w:val="00E84DAA"/>
    <w:rsid w:val="00E9575F"/>
    <w:rsid w:val="00E9662E"/>
    <w:rsid w:val="00EA4C39"/>
    <w:rsid w:val="00EB1A4E"/>
    <w:rsid w:val="00EB3AD2"/>
    <w:rsid w:val="00EB434D"/>
    <w:rsid w:val="00EB4E77"/>
    <w:rsid w:val="00EC213A"/>
    <w:rsid w:val="00EC4817"/>
    <w:rsid w:val="00EC4FA8"/>
    <w:rsid w:val="00EC6910"/>
    <w:rsid w:val="00EC6E50"/>
    <w:rsid w:val="00EC71BD"/>
    <w:rsid w:val="00ED39F6"/>
    <w:rsid w:val="00ED58DC"/>
    <w:rsid w:val="00EF4757"/>
    <w:rsid w:val="00EF70B8"/>
    <w:rsid w:val="00F03B6C"/>
    <w:rsid w:val="00F04DAD"/>
    <w:rsid w:val="00F10DBB"/>
    <w:rsid w:val="00F110A9"/>
    <w:rsid w:val="00F1307A"/>
    <w:rsid w:val="00F1673B"/>
    <w:rsid w:val="00F16E8B"/>
    <w:rsid w:val="00F231E6"/>
    <w:rsid w:val="00F3429E"/>
    <w:rsid w:val="00F35890"/>
    <w:rsid w:val="00F360CF"/>
    <w:rsid w:val="00F37A2B"/>
    <w:rsid w:val="00F4168B"/>
    <w:rsid w:val="00F42828"/>
    <w:rsid w:val="00F460D8"/>
    <w:rsid w:val="00F54F60"/>
    <w:rsid w:val="00F55649"/>
    <w:rsid w:val="00F639C8"/>
    <w:rsid w:val="00F64E4D"/>
    <w:rsid w:val="00F66FEE"/>
    <w:rsid w:val="00F72F80"/>
    <w:rsid w:val="00F76C82"/>
    <w:rsid w:val="00F76F08"/>
    <w:rsid w:val="00F83AB1"/>
    <w:rsid w:val="00F92B07"/>
    <w:rsid w:val="00FA0AA8"/>
    <w:rsid w:val="00FA5441"/>
    <w:rsid w:val="00FB163E"/>
    <w:rsid w:val="00FB5DAF"/>
    <w:rsid w:val="00FC00FF"/>
    <w:rsid w:val="00FC1079"/>
    <w:rsid w:val="00FC231E"/>
    <w:rsid w:val="00FC2D3C"/>
    <w:rsid w:val="00FC35E9"/>
    <w:rsid w:val="00FC66C2"/>
    <w:rsid w:val="00FC79AE"/>
    <w:rsid w:val="00FC7AF6"/>
    <w:rsid w:val="00FE1E02"/>
    <w:rsid w:val="00FE4477"/>
    <w:rsid w:val="00FE5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4E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F1673B"/>
    <w:pPr>
      <w:ind w:left="720"/>
      <w:contextualSpacing/>
    </w:p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F1673B"/>
    <w:rPr>
      <w:sz w:val="22"/>
      <w:szCs w:val="22"/>
    </w:rPr>
  </w:style>
  <w:style w:type="character" w:styleId="Hyperlink">
    <w:name w:val="Hyperlink"/>
    <w:uiPriority w:val="99"/>
    <w:unhideWhenUsed/>
    <w:rsid w:val="00F1673B"/>
    <w:rPr>
      <w:color w:val="0563C1"/>
      <w:u w:val="single"/>
    </w:rPr>
  </w:style>
  <w:style w:type="character" w:styleId="FollowedHyperlink">
    <w:name w:val="FollowedHyperlink"/>
    <w:uiPriority w:val="99"/>
    <w:semiHidden/>
    <w:unhideWhenUsed/>
    <w:rsid w:val="00586C44"/>
    <w:rPr>
      <w:color w:val="954F72"/>
      <w:u w:val="single"/>
    </w:rPr>
  </w:style>
  <w:style w:type="paragraph" w:styleId="NoSpacing">
    <w:name w:val="No Spacing"/>
    <w:uiPriority w:val="1"/>
    <w:qFormat/>
    <w:rsid w:val="00FA5441"/>
    <w:rPr>
      <w:sz w:val="22"/>
      <w:szCs w:val="22"/>
      <w:lang w:eastAsia="en-US"/>
    </w:rPr>
  </w:style>
  <w:style w:type="character" w:styleId="CommentReference">
    <w:name w:val="annotation reference"/>
    <w:uiPriority w:val="99"/>
    <w:semiHidden/>
    <w:unhideWhenUsed/>
    <w:rsid w:val="00440073"/>
    <w:rPr>
      <w:sz w:val="16"/>
      <w:szCs w:val="16"/>
    </w:rPr>
  </w:style>
  <w:style w:type="paragraph" w:styleId="CommentText">
    <w:name w:val="annotation text"/>
    <w:basedOn w:val="Normal"/>
    <w:link w:val="CommentTextChar"/>
    <w:uiPriority w:val="99"/>
    <w:semiHidden/>
    <w:unhideWhenUsed/>
    <w:rsid w:val="00440073"/>
    <w:rPr>
      <w:sz w:val="20"/>
      <w:szCs w:val="20"/>
    </w:rPr>
  </w:style>
  <w:style w:type="character" w:customStyle="1" w:styleId="CommentTextChar">
    <w:name w:val="Comment Text Char"/>
    <w:basedOn w:val="DefaultParagraphFont"/>
    <w:link w:val="CommentText"/>
    <w:uiPriority w:val="99"/>
    <w:semiHidden/>
    <w:rsid w:val="00440073"/>
  </w:style>
  <w:style w:type="paragraph" w:styleId="CommentSubject">
    <w:name w:val="annotation subject"/>
    <w:basedOn w:val="CommentText"/>
    <w:next w:val="CommentText"/>
    <w:link w:val="CommentSubjectChar"/>
    <w:uiPriority w:val="99"/>
    <w:semiHidden/>
    <w:unhideWhenUsed/>
    <w:rsid w:val="00440073"/>
    <w:rPr>
      <w:b/>
      <w:bCs/>
    </w:rPr>
  </w:style>
  <w:style w:type="character" w:customStyle="1" w:styleId="CommentSubjectChar">
    <w:name w:val="Comment Subject Char"/>
    <w:link w:val="CommentSubject"/>
    <w:uiPriority w:val="99"/>
    <w:semiHidden/>
    <w:rsid w:val="00440073"/>
    <w:rPr>
      <w:b/>
      <w:bC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2203C6"/>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2203C6"/>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2203C6"/>
    <w:rPr>
      <w:vertAlign w:val="superscript"/>
    </w:rPr>
  </w:style>
  <w:style w:type="paragraph" w:customStyle="1" w:styleId="Appelnotedebasde">
    <w:name w:val="Appel note de bas de..."/>
    <w:basedOn w:val="Normal"/>
    <w:link w:val="FootnoteReference"/>
    <w:uiPriority w:val="99"/>
    <w:rsid w:val="003F6D90"/>
    <w:pPr>
      <w:spacing w:after="160" w:line="240" w:lineRule="exact"/>
    </w:pPr>
    <w:rPr>
      <w:sz w:val="20"/>
      <w:szCs w:val="20"/>
      <w:vertAlign w:val="superscript"/>
    </w:rPr>
  </w:style>
  <w:style w:type="paragraph" w:styleId="BlockText">
    <w:name w:val="Block Text"/>
    <w:basedOn w:val="Normal"/>
    <w:uiPriority w:val="99"/>
    <w:rsid w:val="003F6D90"/>
    <w:pPr>
      <w:spacing w:before="120" w:after="120" w:line="240" w:lineRule="auto"/>
      <w:ind w:left="-180" w:right="-180" w:firstLine="900"/>
      <w:jc w:val="both"/>
    </w:pPr>
    <w:rPr>
      <w:rFonts w:ascii="Univers" w:eastAsia="Times New Roman" w:hAnsi="Univers"/>
      <w:szCs w:val="20"/>
    </w:rPr>
  </w:style>
  <w:style w:type="character" w:styleId="UnresolvedMention">
    <w:name w:val="Unresolved Mention"/>
    <w:uiPriority w:val="99"/>
    <w:semiHidden/>
    <w:unhideWhenUsed/>
    <w:rsid w:val="00724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17373">
      <w:bodyDiv w:val="1"/>
      <w:marLeft w:val="0"/>
      <w:marRight w:val="0"/>
      <w:marTop w:val="0"/>
      <w:marBottom w:val="0"/>
      <w:divBdr>
        <w:top w:val="none" w:sz="0" w:space="0" w:color="auto"/>
        <w:left w:val="none" w:sz="0" w:space="0" w:color="auto"/>
        <w:bottom w:val="none" w:sz="0" w:space="0" w:color="auto"/>
        <w:right w:val="none" w:sz="0" w:space="0" w:color="auto"/>
      </w:divBdr>
    </w:div>
    <w:div w:id="1365016443">
      <w:bodyDiv w:val="1"/>
      <w:marLeft w:val="0"/>
      <w:marRight w:val="0"/>
      <w:marTop w:val="0"/>
      <w:marBottom w:val="0"/>
      <w:divBdr>
        <w:top w:val="none" w:sz="0" w:space="0" w:color="auto"/>
        <w:left w:val="none" w:sz="0" w:space="0" w:color="auto"/>
        <w:bottom w:val="none" w:sz="0" w:space="0" w:color="auto"/>
        <w:right w:val="none" w:sz="0" w:space="0" w:color="auto"/>
      </w:divBdr>
    </w:div>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dh.org/medidas/1998.sp.ht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idh.oas.org/annualrep/98span/Admisibilidad/Jamaica11.846.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dh.oas.org/annualrep/98span/Admisibilidad/Jamaica11.843.htm" TargetMode="External"/><Relationship Id="rId5" Type="http://schemas.openxmlformats.org/officeDocument/2006/relationships/settings" Target="settings.xml"/><Relationship Id="rId15" Type="http://schemas.openxmlformats.org/officeDocument/2006/relationships/hyperlink" Target="http://www.cidh.org/medidas/1998.sp.htm" TargetMode="External"/><Relationship Id="rId10" Type="http://schemas.openxmlformats.org/officeDocument/2006/relationships/hyperlink" Target="http://www.cidh.oas.org/annualrep/98span/Admisibilidad/Jamaica11.826.ht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cidh.oas.org/annualrep/2000sp/CapituloIII/Fondo/Jamaica11.826.htm" TargetMode="External"/><Relationship Id="rId14" Type="http://schemas.openxmlformats.org/officeDocument/2006/relationships/hyperlink" Target="http://www.cidh.org/medidas/1998.sp.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ocs/anual/2017/docs/IA2017cap.2-es.pdf" TargetMode="External"/><Relationship Id="rId13" Type="http://schemas.openxmlformats.org/officeDocument/2006/relationships/hyperlink" Target="http://www.corteidh.or.cr/docs/casos/articulos/seriec_162_esp.pdf" TargetMode="External"/><Relationship Id="rId18" Type="http://schemas.openxmlformats.org/officeDocument/2006/relationships/hyperlink" Target="http://www.oas.org/es/cidh/docs/anual/2017/docs/IA2017cap.2-es.pdf" TargetMode="External"/><Relationship Id="rId3" Type="http://schemas.openxmlformats.org/officeDocument/2006/relationships/hyperlink" Target="http://www.oas.org/es/cidh/docs/anual/2019/docs/IA2019cap2.g.JA11.826-es.doc" TargetMode="External"/><Relationship Id="rId7" Type="http://schemas.openxmlformats.org/officeDocument/2006/relationships/hyperlink" Target="http://www.cidh.oas.org/annualrep/2005sp/indice2005.htm" TargetMode="External"/><Relationship Id="rId12" Type="http://schemas.openxmlformats.org/officeDocument/2006/relationships/hyperlink" Target="https://www.ohchr.org/sp/professionalinterest/pages/remedyandreparation.aspx" TargetMode="External"/><Relationship Id="rId17" Type="http://schemas.openxmlformats.org/officeDocument/2006/relationships/hyperlink" Target="https://www.oas.org/es/cidh/actividades/seguimiento/pdf/Directrices-es.pdf" TargetMode="External"/><Relationship Id="rId2" Type="http://schemas.openxmlformats.org/officeDocument/2006/relationships/hyperlink" Target="http://www.oas.org/es/cidh/docs/anual/2019/docs/IA2019cap2.g.JA11.826-es.doc" TargetMode="External"/><Relationship Id="rId16" Type="http://schemas.openxmlformats.org/officeDocument/2006/relationships/hyperlink" Target="https://www.ohchr.org/sp/professionalinterest/pages/remedyandreparation.aspx" TargetMode="External"/><Relationship Id="rId1" Type="http://schemas.openxmlformats.org/officeDocument/2006/relationships/hyperlink" Target="http://www.cidh.oas.org/annualrep/2006sp/cap3d.2006.sp.htm" TargetMode="External"/><Relationship Id="rId6" Type="http://schemas.openxmlformats.org/officeDocument/2006/relationships/hyperlink" Target="http://www.oas.org/es/cidh/docs/anual/2017/docs/IA2017cap.2-es.pdf" TargetMode="External"/><Relationship Id="rId11" Type="http://schemas.openxmlformats.org/officeDocument/2006/relationships/hyperlink" Target="http://www.cidh.org/pdf%20files/Lineamientos%20principales%20para%20una%20pol%C3%ADtica%20integral%20de%20reparaciones.pdf" TargetMode="External"/><Relationship Id="rId5" Type="http://schemas.openxmlformats.org/officeDocument/2006/relationships/hyperlink" Target="http://www.bailii.org/uk/cases/UKPC/2004/34.html" TargetMode="External"/><Relationship Id="rId15" Type="http://schemas.openxmlformats.org/officeDocument/2006/relationships/hyperlink" Target="http://www.cidh.org/pdf%20files/Lineamientos%20principales%20para%20una%20pol%C3%ADtica%20integral%20de%20reparaciones.pdf" TargetMode="External"/><Relationship Id="rId10" Type="http://schemas.openxmlformats.org/officeDocument/2006/relationships/hyperlink" Target="http://www.corteidh.or.cr/docs/casos/articulos/seriec_162_esp.pdf" TargetMode="External"/><Relationship Id="rId4" Type="http://schemas.openxmlformats.org/officeDocument/2006/relationships/hyperlink" Target="http://www.oas.org/es/cidh/docs/anual/2017/docs/IA2017cap.2-es.pdf" TargetMode="External"/><Relationship Id="rId9" Type="http://schemas.openxmlformats.org/officeDocument/2006/relationships/hyperlink" Target="http://www.bailii.org/uk/cases/UKPC/1993/1.html" TargetMode="External"/><Relationship Id="rId14" Type="http://schemas.openxmlformats.org/officeDocument/2006/relationships/hyperlink" Target="http://www.corteidh.or.cr/docs/casos/articulos/seriec_162_es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87CD922E-C3B1-4530-843F-91C7EDE18B5F}">
  <ds:schemaRefs>
    <ds:schemaRef ds:uri="http://schemas.openxmlformats.org/officeDocument/2006/bibliography"/>
  </ds:schemaRefs>
</ds:datastoreItem>
</file>

<file path=customXml/itemProps2.xml><?xml version="1.0" encoding="utf-8"?>
<ds:datastoreItem xmlns:ds="http://schemas.openxmlformats.org/officeDocument/2006/customXml" ds:itemID="{4EA990CE-6B24-4F9E-8C0A-2C9DC07155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4182</Words>
  <Characters>23838</Characters>
  <Application>Microsoft Office Word</Application>
  <DocSecurity>0</DocSecurity>
  <Lines>198</Lines>
  <Paragraphs>55</Paragraphs>
  <ScaleCrop>false</ScaleCrop>
  <Company/>
  <LinksUpToDate>false</LinksUpToDate>
  <CharactersWithSpaces>27965</CharactersWithSpaces>
  <SharedDoc>false</SharedDoc>
  <HLinks>
    <vt:vector size="150" baseType="variant">
      <vt:variant>
        <vt:i4>3473529</vt:i4>
      </vt:variant>
      <vt:variant>
        <vt:i4>18</vt:i4>
      </vt:variant>
      <vt:variant>
        <vt:i4>0</vt:i4>
      </vt:variant>
      <vt:variant>
        <vt:i4>5</vt:i4>
      </vt:variant>
      <vt:variant>
        <vt:lpwstr>http://www.cidh.org/medidas/1998.sp.htm</vt:lpwstr>
      </vt:variant>
      <vt:variant>
        <vt:lpwstr/>
      </vt:variant>
      <vt:variant>
        <vt:i4>3473529</vt:i4>
      </vt:variant>
      <vt:variant>
        <vt:i4>15</vt:i4>
      </vt:variant>
      <vt:variant>
        <vt:i4>0</vt:i4>
      </vt:variant>
      <vt:variant>
        <vt:i4>5</vt:i4>
      </vt:variant>
      <vt:variant>
        <vt:lpwstr>http://www.cidh.org/medidas/1998.sp.htm</vt:lpwstr>
      </vt:variant>
      <vt:variant>
        <vt:lpwstr/>
      </vt:variant>
      <vt:variant>
        <vt:i4>3473529</vt:i4>
      </vt:variant>
      <vt:variant>
        <vt:i4>12</vt:i4>
      </vt:variant>
      <vt:variant>
        <vt:i4>0</vt:i4>
      </vt:variant>
      <vt:variant>
        <vt:i4>5</vt:i4>
      </vt:variant>
      <vt:variant>
        <vt:lpwstr>http://www.cidh.org/medidas/1998.sp.htm</vt:lpwstr>
      </vt:variant>
      <vt:variant>
        <vt:lpwstr/>
      </vt:variant>
      <vt:variant>
        <vt:i4>5177365</vt:i4>
      </vt:variant>
      <vt:variant>
        <vt:i4>9</vt:i4>
      </vt:variant>
      <vt:variant>
        <vt:i4>0</vt:i4>
      </vt:variant>
      <vt:variant>
        <vt:i4>5</vt:i4>
      </vt:variant>
      <vt:variant>
        <vt:lpwstr>http://www.cidh.oas.org/annualrep/98span/Admisibilidad/Jamaica11.846.htm</vt:lpwstr>
      </vt:variant>
      <vt:variant>
        <vt:lpwstr/>
      </vt:variant>
      <vt:variant>
        <vt:i4>4849685</vt:i4>
      </vt:variant>
      <vt:variant>
        <vt:i4>6</vt:i4>
      </vt:variant>
      <vt:variant>
        <vt:i4>0</vt:i4>
      </vt:variant>
      <vt:variant>
        <vt:i4>5</vt:i4>
      </vt:variant>
      <vt:variant>
        <vt:lpwstr>http://www.cidh.oas.org/annualrep/98span/Admisibilidad/Jamaica11.843.htm</vt:lpwstr>
      </vt:variant>
      <vt:variant>
        <vt:lpwstr/>
      </vt:variant>
      <vt:variant>
        <vt:i4>5177363</vt:i4>
      </vt:variant>
      <vt:variant>
        <vt:i4>3</vt:i4>
      </vt:variant>
      <vt:variant>
        <vt:i4>0</vt:i4>
      </vt:variant>
      <vt:variant>
        <vt:i4>5</vt:i4>
      </vt:variant>
      <vt:variant>
        <vt:lpwstr>http://www.cidh.oas.org/annualrep/98span/Admisibilidad/Jamaica11.826.htm</vt:lpwstr>
      </vt:variant>
      <vt:variant>
        <vt:lpwstr/>
      </vt:variant>
      <vt:variant>
        <vt:i4>262163</vt:i4>
      </vt:variant>
      <vt:variant>
        <vt:i4>0</vt:i4>
      </vt:variant>
      <vt:variant>
        <vt:i4>0</vt:i4>
      </vt:variant>
      <vt:variant>
        <vt:i4>5</vt:i4>
      </vt:variant>
      <vt:variant>
        <vt:lpwstr>http://www.cidh.oas.org/annualrep/2000sp/CapituloIII/Fondo/Jamaica11.826.htm</vt:lpwstr>
      </vt:variant>
      <vt:variant>
        <vt:lpwstr/>
      </vt:variant>
      <vt:variant>
        <vt:i4>3276841</vt:i4>
      </vt:variant>
      <vt:variant>
        <vt:i4>51</vt:i4>
      </vt:variant>
      <vt:variant>
        <vt:i4>0</vt:i4>
      </vt:variant>
      <vt:variant>
        <vt:i4>5</vt:i4>
      </vt:variant>
      <vt:variant>
        <vt:lpwstr>http://www.oas.org/es/cidh/docs/anual/2017/docs/IA2017cap.2-es.pdf</vt:lpwstr>
      </vt:variant>
      <vt:variant>
        <vt:lpwstr/>
      </vt:variant>
      <vt:variant>
        <vt:i4>8192052</vt:i4>
      </vt:variant>
      <vt:variant>
        <vt:i4>48</vt:i4>
      </vt:variant>
      <vt:variant>
        <vt:i4>0</vt:i4>
      </vt:variant>
      <vt:variant>
        <vt:i4>5</vt:i4>
      </vt:variant>
      <vt:variant>
        <vt:lpwstr>https://www.oas.org/es/cidh/actividades/seguimiento/pdf/Directrices-es.pdf</vt:lpwstr>
      </vt:variant>
      <vt:variant>
        <vt:lpwstr/>
      </vt:variant>
      <vt:variant>
        <vt:i4>851989</vt:i4>
      </vt:variant>
      <vt:variant>
        <vt:i4>45</vt:i4>
      </vt:variant>
      <vt:variant>
        <vt:i4>0</vt:i4>
      </vt:variant>
      <vt:variant>
        <vt:i4>5</vt:i4>
      </vt:variant>
      <vt:variant>
        <vt:lpwstr>https://www.ohchr.org/sp/professionalinterest/pages/remedyandreparation.aspx</vt:lpwstr>
      </vt:variant>
      <vt:variant>
        <vt:lpwstr/>
      </vt:variant>
      <vt:variant>
        <vt:i4>3866723</vt:i4>
      </vt:variant>
      <vt:variant>
        <vt:i4>42</vt:i4>
      </vt:variant>
      <vt:variant>
        <vt:i4>0</vt:i4>
      </vt:variant>
      <vt:variant>
        <vt:i4>5</vt:i4>
      </vt:variant>
      <vt:variant>
        <vt:lpwstr>http://www.cidh.org/pdf files/Lineamientos principales para una pol%C3%ADtica integral de reparaciones.pdf</vt:lpwstr>
      </vt:variant>
      <vt:variant>
        <vt:lpwstr/>
      </vt:variant>
      <vt:variant>
        <vt:i4>5636183</vt:i4>
      </vt:variant>
      <vt:variant>
        <vt:i4>39</vt:i4>
      </vt:variant>
      <vt:variant>
        <vt:i4>0</vt:i4>
      </vt:variant>
      <vt:variant>
        <vt:i4>5</vt:i4>
      </vt:variant>
      <vt:variant>
        <vt:lpwstr>http://www.corteidh.or.cr/docs/casos/articulos/seriec_162_esp.pdf</vt:lpwstr>
      </vt:variant>
      <vt:variant>
        <vt:lpwstr/>
      </vt:variant>
      <vt:variant>
        <vt:i4>5636183</vt:i4>
      </vt:variant>
      <vt:variant>
        <vt:i4>36</vt:i4>
      </vt:variant>
      <vt:variant>
        <vt:i4>0</vt:i4>
      </vt:variant>
      <vt:variant>
        <vt:i4>5</vt:i4>
      </vt:variant>
      <vt:variant>
        <vt:lpwstr>http://www.corteidh.or.cr/docs/casos/articulos/seriec_162_esp.pdf</vt:lpwstr>
      </vt:variant>
      <vt:variant>
        <vt:lpwstr/>
      </vt:variant>
      <vt:variant>
        <vt:i4>851989</vt:i4>
      </vt:variant>
      <vt:variant>
        <vt:i4>33</vt:i4>
      </vt:variant>
      <vt:variant>
        <vt:i4>0</vt:i4>
      </vt:variant>
      <vt:variant>
        <vt:i4>5</vt:i4>
      </vt:variant>
      <vt:variant>
        <vt:lpwstr>https://www.ohchr.org/sp/professionalinterest/pages/remedyandreparation.aspx</vt:lpwstr>
      </vt:variant>
      <vt:variant>
        <vt:lpwstr/>
      </vt:variant>
      <vt:variant>
        <vt:i4>3866723</vt:i4>
      </vt:variant>
      <vt:variant>
        <vt:i4>30</vt:i4>
      </vt:variant>
      <vt:variant>
        <vt:i4>0</vt:i4>
      </vt:variant>
      <vt:variant>
        <vt:i4>5</vt:i4>
      </vt:variant>
      <vt:variant>
        <vt:lpwstr>http://www.cidh.org/pdf files/Lineamientos principales para una pol%C3%ADtica integral de reparaciones.pdf</vt:lpwstr>
      </vt:variant>
      <vt:variant>
        <vt:lpwstr/>
      </vt:variant>
      <vt:variant>
        <vt:i4>5636183</vt:i4>
      </vt:variant>
      <vt:variant>
        <vt:i4>27</vt:i4>
      </vt:variant>
      <vt:variant>
        <vt:i4>0</vt:i4>
      </vt:variant>
      <vt:variant>
        <vt:i4>5</vt:i4>
      </vt:variant>
      <vt:variant>
        <vt:lpwstr>http://www.corteidh.or.cr/docs/casos/articulos/seriec_162_esp.pdf</vt:lpwstr>
      </vt:variant>
      <vt:variant>
        <vt:lpwstr/>
      </vt:variant>
      <vt:variant>
        <vt:i4>2490424</vt:i4>
      </vt:variant>
      <vt:variant>
        <vt:i4>24</vt:i4>
      </vt:variant>
      <vt:variant>
        <vt:i4>0</vt:i4>
      </vt:variant>
      <vt:variant>
        <vt:i4>5</vt:i4>
      </vt:variant>
      <vt:variant>
        <vt:lpwstr>http://www.bailii.org/uk/cases/UKPC/1993/1.html</vt:lpwstr>
      </vt:variant>
      <vt:variant>
        <vt:lpwstr/>
      </vt:variant>
      <vt:variant>
        <vt:i4>3276841</vt:i4>
      </vt:variant>
      <vt:variant>
        <vt:i4>21</vt:i4>
      </vt:variant>
      <vt:variant>
        <vt:i4>0</vt:i4>
      </vt:variant>
      <vt:variant>
        <vt:i4>5</vt:i4>
      </vt:variant>
      <vt:variant>
        <vt:lpwstr>http://www.oas.org/es/cidh/docs/anual/2017/docs/IA2017cap.2-es.pdf</vt:lpwstr>
      </vt:variant>
      <vt:variant>
        <vt:lpwstr/>
      </vt:variant>
      <vt:variant>
        <vt:i4>7209080</vt:i4>
      </vt:variant>
      <vt:variant>
        <vt:i4>18</vt:i4>
      </vt:variant>
      <vt:variant>
        <vt:i4>0</vt:i4>
      </vt:variant>
      <vt:variant>
        <vt:i4>5</vt:i4>
      </vt:variant>
      <vt:variant>
        <vt:lpwstr>http://www.cidh.oas.org/annualrep/2005sp/indice2005.htm</vt:lpwstr>
      </vt:variant>
      <vt:variant>
        <vt:lpwstr/>
      </vt:variant>
      <vt:variant>
        <vt:i4>3276841</vt:i4>
      </vt:variant>
      <vt:variant>
        <vt:i4>15</vt:i4>
      </vt:variant>
      <vt:variant>
        <vt:i4>0</vt:i4>
      </vt:variant>
      <vt:variant>
        <vt:i4>5</vt:i4>
      </vt:variant>
      <vt:variant>
        <vt:lpwstr>http://www.oas.org/es/cidh/docs/anual/2017/docs/IA2017cap.2-es.pdf</vt:lpwstr>
      </vt:variant>
      <vt:variant>
        <vt:lpwstr/>
      </vt:variant>
      <vt:variant>
        <vt:i4>1638489</vt:i4>
      </vt:variant>
      <vt:variant>
        <vt:i4>12</vt:i4>
      </vt:variant>
      <vt:variant>
        <vt:i4>0</vt:i4>
      </vt:variant>
      <vt:variant>
        <vt:i4>5</vt:i4>
      </vt:variant>
      <vt:variant>
        <vt:lpwstr>http://www.bailii.org/uk/cases/UKPC/2004/34.html</vt:lpwstr>
      </vt:variant>
      <vt:variant>
        <vt:lpwstr/>
      </vt:variant>
      <vt:variant>
        <vt:i4>3276841</vt:i4>
      </vt:variant>
      <vt:variant>
        <vt:i4>9</vt:i4>
      </vt:variant>
      <vt:variant>
        <vt:i4>0</vt:i4>
      </vt:variant>
      <vt:variant>
        <vt:i4>5</vt:i4>
      </vt:variant>
      <vt:variant>
        <vt:lpwstr>http://www.oas.org/es/cidh/docs/anual/2017/docs/IA2017cap.2-es.pdf</vt:lpwstr>
      </vt:variant>
      <vt:variant>
        <vt:lpwstr/>
      </vt:variant>
      <vt:variant>
        <vt:i4>2031694</vt:i4>
      </vt:variant>
      <vt:variant>
        <vt:i4>6</vt:i4>
      </vt:variant>
      <vt:variant>
        <vt:i4>0</vt:i4>
      </vt:variant>
      <vt:variant>
        <vt:i4>5</vt:i4>
      </vt:variant>
      <vt:variant>
        <vt:lpwstr>http://www.oas.org/es/cidh/docs/anual/2019/docs/IA2019cap2.g.JA11.826-es.doc</vt:lpwstr>
      </vt:variant>
      <vt:variant>
        <vt:lpwstr/>
      </vt:variant>
      <vt:variant>
        <vt:i4>2031694</vt:i4>
      </vt:variant>
      <vt:variant>
        <vt:i4>3</vt:i4>
      </vt:variant>
      <vt:variant>
        <vt:i4>0</vt:i4>
      </vt:variant>
      <vt:variant>
        <vt:i4>5</vt:i4>
      </vt:variant>
      <vt:variant>
        <vt:lpwstr>http://www.oas.org/es/cidh/docs/anual/2019/docs/IA2019cap2.g.JA11.826-es.doc</vt:lpwstr>
      </vt:variant>
      <vt:variant>
        <vt:lpwstr/>
      </vt:variant>
      <vt:variant>
        <vt:i4>7667748</vt:i4>
      </vt:variant>
      <vt:variant>
        <vt:i4>0</vt:i4>
      </vt:variant>
      <vt:variant>
        <vt:i4>0</vt:i4>
      </vt:variant>
      <vt:variant>
        <vt:i4>5</vt:i4>
      </vt:variant>
      <vt:variant>
        <vt:lpwstr>http://www.cidh.oas.org/annualrep/2006sp/cap3d.2006.sp.htm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2022-04-21T14:08:00Z</dcterms:created>
  <dcterms:modified xsi:type="dcterms:W3CDTF">2022-04-21T14:08:00Z</dcterms:modified>
</cp:coreProperties>
</file>