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B935" w14:textId="77777777" w:rsidR="006E6DA0" w:rsidRPr="001A74DB" w:rsidRDefault="006E6DA0" w:rsidP="332625CE">
      <w:pPr>
        <w:spacing w:after="0" w:line="240" w:lineRule="auto"/>
        <w:jc w:val="center"/>
        <w:rPr>
          <w:rFonts w:ascii="Cambria" w:hAnsi="Cambria"/>
          <w:b/>
          <w:bCs/>
          <w:color w:val="000000" w:themeColor="text1"/>
          <w:sz w:val="20"/>
          <w:szCs w:val="20"/>
          <w:lang w:val="es-ES"/>
        </w:rPr>
      </w:pPr>
    </w:p>
    <w:p w14:paraId="6ACCD598" w14:textId="0A0CA132" w:rsidR="00C24B88" w:rsidRPr="00EA10F6" w:rsidRDefault="005F6CF7" w:rsidP="332625CE">
      <w:pPr>
        <w:spacing w:after="0" w:line="240" w:lineRule="auto"/>
        <w:jc w:val="center"/>
        <w:rPr>
          <w:rFonts w:ascii="Cambria" w:hAnsi="Cambria"/>
          <w:b/>
          <w:bCs/>
          <w:color w:val="000000" w:themeColor="text1"/>
          <w:sz w:val="20"/>
          <w:szCs w:val="20"/>
          <w:lang w:val="es-ES"/>
        </w:rPr>
      </w:pPr>
      <w:r w:rsidRPr="332625CE">
        <w:rPr>
          <w:rFonts w:ascii="Cambria" w:hAnsi="Cambria"/>
          <w:b/>
          <w:bCs/>
          <w:color w:val="000000" w:themeColor="text1"/>
          <w:sz w:val="20"/>
          <w:szCs w:val="20"/>
          <w:lang w:val="es-ES"/>
        </w:rPr>
        <w:t>FICHA DE SEGUIMIENTO DEL INFORME Nº 100/01</w:t>
      </w:r>
    </w:p>
    <w:p w14:paraId="4F2B29EB" w14:textId="3A28EDA9" w:rsidR="00C24B88" w:rsidRPr="00EA10F6" w:rsidRDefault="005F6CF7" w:rsidP="332625CE">
      <w:pPr>
        <w:spacing w:after="0" w:line="240" w:lineRule="auto"/>
        <w:jc w:val="center"/>
        <w:rPr>
          <w:rFonts w:ascii="Cambria" w:hAnsi="Cambria"/>
          <w:b/>
          <w:bCs/>
          <w:color w:val="000000" w:themeColor="text1"/>
          <w:sz w:val="20"/>
          <w:szCs w:val="20"/>
          <w:lang w:val="es-ES"/>
        </w:rPr>
      </w:pPr>
      <w:r w:rsidRPr="332625CE">
        <w:rPr>
          <w:rFonts w:ascii="Cambria" w:hAnsi="Cambria"/>
          <w:b/>
          <w:bCs/>
          <w:color w:val="000000" w:themeColor="text1"/>
          <w:sz w:val="20"/>
          <w:szCs w:val="20"/>
          <w:lang w:val="es-ES"/>
        </w:rPr>
        <w:t>CASO 11.381</w:t>
      </w:r>
    </w:p>
    <w:p w14:paraId="45F40665" w14:textId="5680E02F" w:rsidR="00C24B88" w:rsidRPr="00EA10F6" w:rsidRDefault="005F6CF7" w:rsidP="332625CE">
      <w:pPr>
        <w:spacing w:after="0" w:line="240" w:lineRule="auto"/>
        <w:jc w:val="center"/>
        <w:rPr>
          <w:rFonts w:ascii="Cambria" w:hAnsi="Cambria"/>
          <w:b/>
          <w:bCs/>
          <w:color w:val="000000" w:themeColor="text1"/>
          <w:sz w:val="20"/>
          <w:szCs w:val="20"/>
          <w:lang w:val="es-ES"/>
        </w:rPr>
      </w:pPr>
      <w:r w:rsidRPr="332625CE">
        <w:rPr>
          <w:rFonts w:ascii="Cambria" w:eastAsia="MS Mincho" w:hAnsi="Cambria"/>
          <w:b/>
          <w:bCs/>
          <w:color w:val="000000" w:themeColor="text1"/>
          <w:sz w:val="20"/>
          <w:szCs w:val="20"/>
          <w:lang w:val="es-ES" w:eastAsia="es-ES"/>
        </w:rPr>
        <w:t>MILTON GARCÍA FAJARDO Y OTROS</w:t>
      </w:r>
    </w:p>
    <w:p w14:paraId="3DA62B5B" w14:textId="77777777" w:rsidR="00CD79D9" w:rsidRPr="00EA10F6" w:rsidRDefault="00CD79D9" w:rsidP="332625CE">
      <w:pPr>
        <w:spacing w:after="0" w:line="240" w:lineRule="auto"/>
        <w:jc w:val="center"/>
        <w:rPr>
          <w:rFonts w:ascii="Cambria" w:hAnsi="Cambria"/>
          <w:b/>
          <w:bCs/>
          <w:color w:val="000000" w:themeColor="text1"/>
          <w:sz w:val="20"/>
          <w:szCs w:val="20"/>
          <w:lang w:val="es-ES"/>
        </w:rPr>
      </w:pPr>
      <w:r w:rsidRPr="332625CE">
        <w:rPr>
          <w:rFonts w:ascii="Cambria" w:hAnsi="Cambria"/>
          <w:b/>
          <w:bCs/>
          <w:color w:val="000000" w:themeColor="text1"/>
          <w:sz w:val="20"/>
          <w:szCs w:val="20"/>
          <w:lang w:val="es-ES"/>
        </w:rPr>
        <w:t xml:space="preserve"> (</w:t>
      </w:r>
      <w:r w:rsidR="00C24B88" w:rsidRPr="332625CE">
        <w:rPr>
          <w:rFonts w:ascii="Cambria" w:hAnsi="Cambria"/>
          <w:b/>
          <w:bCs/>
          <w:color w:val="000000" w:themeColor="text1"/>
          <w:sz w:val="20"/>
          <w:szCs w:val="20"/>
          <w:lang w:val="es-ES"/>
        </w:rPr>
        <w:t>Nicaragua</w:t>
      </w:r>
      <w:r w:rsidRPr="332625CE">
        <w:rPr>
          <w:rFonts w:ascii="Cambria" w:hAnsi="Cambria"/>
          <w:b/>
          <w:bCs/>
          <w:color w:val="000000" w:themeColor="text1"/>
          <w:sz w:val="20"/>
          <w:szCs w:val="20"/>
          <w:lang w:val="es-ES"/>
        </w:rPr>
        <w:t>)</w:t>
      </w:r>
    </w:p>
    <w:p w14:paraId="2ADA13A8" w14:textId="77777777" w:rsidR="00CD79D9" w:rsidRPr="00EA10F6" w:rsidRDefault="00CD79D9" w:rsidP="332625CE">
      <w:pPr>
        <w:spacing w:after="0" w:line="240" w:lineRule="auto"/>
        <w:jc w:val="center"/>
        <w:rPr>
          <w:rFonts w:ascii="Cambria" w:hAnsi="Cambria"/>
          <w:b/>
          <w:bCs/>
          <w:color w:val="000000" w:themeColor="text1"/>
          <w:sz w:val="20"/>
          <w:szCs w:val="20"/>
          <w:lang w:val="es-ES"/>
        </w:rPr>
      </w:pPr>
    </w:p>
    <w:p w14:paraId="0B30E675" w14:textId="77777777" w:rsidR="00CD79D9" w:rsidRPr="00EA10F6" w:rsidRDefault="00CD79D9" w:rsidP="332625CE">
      <w:pPr>
        <w:numPr>
          <w:ilvl w:val="0"/>
          <w:numId w:val="1"/>
        </w:numPr>
        <w:spacing w:after="0" w:line="240" w:lineRule="auto"/>
        <w:ind w:left="1440"/>
        <w:rPr>
          <w:rFonts w:ascii="Cambria" w:hAnsi="Cambria" w:cs="Calibri Light"/>
          <w:b/>
          <w:bCs/>
          <w:color w:val="000000" w:themeColor="text1"/>
          <w:sz w:val="20"/>
          <w:szCs w:val="20"/>
          <w:lang w:val="es-US"/>
        </w:rPr>
      </w:pPr>
      <w:r w:rsidRPr="332625CE">
        <w:rPr>
          <w:rFonts w:ascii="Cambria" w:hAnsi="Cambria" w:cs="Calibri Light"/>
          <w:b/>
          <w:bCs/>
          <w:color w:val="000000" w:themeColor="text1"/>
          <w:sz w:val="20"/>
          <w:szCs w:val="20"/>
          <w:lang w:val="es-US"/>
        </w:rPr>
        <w:t xml:space="preserve">Resumen del caso </w:t>
      </w:r>
    </w:p>
    <w:p w14:paraId="6E05C27C" w14:textId="77777777" w:rsidR="00CD79D9" w:rsidRPr="00EA10F6" w:rsidRDefault="00CD79D9" w:rsidP="332625CE">
      <w:pPr>
        <w:spacing w:after="0" w:line="240" w:lineRule="auto"/>
        <w:ind w:left="1080"/>
        <w:rPr>
          <w:rFonts w:ascii="Cambria" w:hAnsi="Cambria" w:cs="Calibri Light"/>
          <w:b/>
          <w:bCs/>
          <w:color w:val="000000" w:themeColor="text1"/>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A74DB" w:rsidRPr="00527572" w14:paraId="0EF11D35" w14:textId="77777777" w:rsidTr="332625CE">
        <w:trPr>
          <w:jc w:val="center"/>
        </w:trPr>
        <w:tc>
          <w:tcPr>
            <w:tcW w:w="9576" w:type="dxa"/>
            <w:shd w:val="clear" w:color="auto" w:fill="F2F2F2" w:themeFill="background1" w:themeFillShade="F2"/>
          </w:tcPr>
          <w:p w14:paraId="6E0300C9" w14:textId="77777777" w:rsidR="00CD79D9" w:rsidRPr="00EA10F6" w:rsidRDefault="00CD79D9" w:rsidP="332625CE">
            <w:pPr>
              <w:spacing w:before="120" w:after="0" w:line="240" w:lineRule="auto"/>
              <w:rPr>
                <w:rFonts w:ascii="Cambria" w:hAnsi="Cambria"/>
                <w:b/>
                <w:bCs/>
                <w:color w:val="000000" w:themeColor="text1"/>
                <w:sz w:val="20"/>
                <w:szCs w:val="20"/>
                <w:lang w:val="es-ES"/>
              </w:rPr>
            </w:pPr>
            <w:r w:rsidRPr="332625CE">
              <w:rPr>
                <w:rFonts w:ascii="Cambria" w:hAnsi="Cambria"/>
                <w:b/>
                <w:bCs/>
                <w:color w:val="000000" w:themeColor="text1"/>
                <w:sz w:val="20"/>
                <w:szCs w:val="20"/>
                <w:lang w:val="es-ES"/>
              </w:rPr>
              <w:t xml:space="preserve">Víctima (s): </w:t>
            </w:r>
            <w:r w:rsidR="007C341A" w:rsidRPr="332625CE">
              <w:rPr>
                <w:rFonts w:ascii="Cambria" w:eastAsia="MS Mincho" w:hAnsi="Cambria"/>
                <w:color w:val="000000" w:themeColor="text1"/>
                <w:sz w:val="20"/>
                <w:szCs w:val="20"/>
                <w:lang w:val="es-ES" w:eastAsia="es-ES"/>
              </w:rPr>
              <w:t>Milton García Fajardo y Otros</w:t>
            </w:r>
          </w:p>
          <w:p w14:paraId="04421509" w14:textId="3B5751E5" w:rsidR="00CD79D9" w:rsidRPr="00EA10F6" w:rsidRDefault="00DD2A2A" w:rsidP="332625CE">
            <w:pPr>
              <w:spacing w:after="0" w:line="240" w:lineRule="auto"/>
              <w:jc w:val="both"/>
              <w:rPr>
                <w:rFonts w:ascii="Cambria" w:hAnsi="Cambria"/>
                <w:b/>
                <w:bCs/>
                <w:color w:val="000000" w:themeColor="text1"/>
                <w:sz w:val="20"/>
                <w:szCs w:val="20"/>
                <w:lang w:val="pt-BR"/>
              </w:rPr>
            </w:pPr>
            <w:r w:rsidRPr="332625CE">
              <w:rPr>
                <w:rFonts w:ascii="Cambria" w:hAnsi="Cambria"/>
                <w:b/>
                <w:bCs/>
                <w:color w:val="000000" w:themeColor="text1"/>
                <w:sz w:val="20"/>
                <w:szCs w:val="20"/>
                <w:lang w:val="pt-BR"/>
              </w:rPr>
              <w:t>Peticionario</w:t>
            </w:r>
            <w:r w:rsidR="00CD79D9" w:rsidRPr="332625CE">
              <w:rPr>
                <w:rFonts w:ascii="Cambria" w:hAnsi="Cambria"/>
                <w:b/>
                <w:bCs/>
                <w:color w:val="000000" w:themeColor="text1"/>
                <w:sz w:val="20"/>
                <w:szCs w:val="20"/>
                <w:lang w:val="pt-BR"/>
              </w:rPr>
              <w:t xml:space="preserve"> (s):</w:t>
            </w:r>
            <w:r w:rsidR="00CD79D9" w:rsidRPr="332625CE">
              <w:rPr>
                <w:rFonts w:ascii="Cambria" w:hAnsi="Cambria"/>
                <w:color w:val="000000" w:themeColor="text1"/>
                <w:sz w:val="20"/>
                <w:szCs w:val="20"/>
                <w:lang w:val="pt-BR"/>
              </w:rPr>
              <w:t xml:space="preserve"> </w:t>
            </w:r>
            <w:r w:rsidR="007C341A" w:rsidRPr="332625CE">
              <w:rPr>
                <w:rFonts w:ascii="Cambria" w:hAnsi="Cambria"/>
                <w:color w:val="000000" w:themeColor="text1"/>
                <w:sz w:val="20"/>
                <w:szCs w:val="20"/>
                <w:lang w:val="pt-BR"/>
              </w:rPr>
              <w:t>Alfredo Barbarena Campos, Álvaro Leiva Sánchez</w:t>
            </w:r>
          </w:p>
          <w:p w14:paraId="762DB10A" w14:textId="77777777" w:rsidR="00CD79D9" w:rsidRPr="00EA10F6" w:rsidRDefault="00CD79D9" w:rsidP="00FE7897">
            <w:pPr>
              <w:spacing w:after="0" w:line="240" w:lineRule="auto"/>
              <w:rPr>
                <w:rFonts w:ascii="Cambria" w:hAnsi="Cambria"/>
                <w:color w:val="000000" w:themeColor="text1"/>
                <w:sz w:val="20"/>
                <w:szCs w:val="20"/>
                <w:lang w:val="es-ES"/>
              </w:rPr>
            </w:pPr>
            <w:r w:rsidRPr="332625CE">
              <w:rPr>
                <w:rFonts w:ascii="Cambria" w:hAnsi="Cambria"/>
                <w:b/>
                <w:bCs/>
                <w:color w:val="000000" w:themeColor="text1"/>
                <w:sz w:val="20"/>
                <w:szCs w:val="20"/>
                <w:lang w:val="es-ES"/>
              </w:rPr>
              <w:t xml:space="preserve">Estado: </w:t>
            </w:r>
            <w:r w:rsidR="007C341A" w:rsidRPr="332625CE">
              <w:rPr>
                <w:rFonts w:ascii="Cambria" w:hAnsi="Cambria"/>
                <w:color w:val="000000" w:themeColor="text1"/>
                <w:sz w:val="20"/>
                <w:szCs w:val="20"/>
                <w:lang w:val="es-ES"/>
              </w:rPr>
              <w:t>Nicaragua</w:t>
            </w:r>
          </w:p>
          <w:p w14:paraId="51EDC45E" w14:textId="6664E463" w:rsidR="00CD79D9" w:rsidRPr="00EA10F6" w:rsidRDefault="008C321D" w:rsidP="00FE7897">
            <w:pPr>
              <w:spacing w:after="0" w:line="240" w:lineRule="auto"/>
              <w:rPr>
                <w:rFonts w:ascii="Cambria" w:hAnsi="Cambria"/>
                <w:color w:val="000000" w:themeColor="text1"/>
                <w:sz w:val="20"/>
                <w:szCs w:val="20"/>
                <w:lang w:val="es-VE"/>
              </w:rPr>
            </w:pPr>
            <w:r w:rsidRPr="332625CE">
              <w:rPr>
                <w:rFonts w:ascii="Cambria" w:hAnsi="Cambria"/>
                <w:b/>
                <w:bCs/>
                <w:color w:val="000000" w:themeColor="text1"/>
                <w:sz w:val="20"/>
                <w:szCs w:val="20"/>
                <w:lang w:val="es-ES"/>
              </w:rPr>
              <w:t xml:space="preserve">Informe de Fondo </w:t>
            </w:r>
            <w:proofErr w:type="spellStart"/>
            <w:r w:rsidRPr="332625CE">
              <w:rPr>
                <w:rFonts w:ascii="Cambria" w:hAnsi="Cambria"/>
                <w:b/>
                <w:bCs/>
                <w:color w:val="000000" w:themeColor="text1"/>
                <w:sz w:val="20"/>
                <w:szCs w:val="20"/>
                <w:lang w:val="es-ES"/>
              </w:rPr>
              <w:t>Nº</w:t>
            </w:r>
            <w:proofErr w:type="spellEnd"/>
            <w:r w:rsidR="00C11BB1" w:rsidRPr="332625CE">
              <w:rPr>
                <w:rFonts w:ascii="Cambria" w:hAnsi="Cambria"/>
                <w:b/>
                <w:bCs/>
                <w:color w:val="000000" w:themeColor="text1"/>
                <w:sz w:val="20"/>
                <w:szCs w:val="20"/>
                <w:lang w:val="es-ES"/>
              </w:rPr>
              <w:t>:</w:t>
            </w:r>
            <w:r w:rsidR="00CD79D9" w:rsidRPr="332625CE">
              <w:rPr>
                <w:rFonts w:ascii="Cambria" w:hAnsi="Cambria"/>
                <w:b/>
                <w:bCs/>
                <w:color w:val="000000" w:themeColor="text1"/>
                <w:sz w:val="20"/>
                <w:szCs w:val="20"/>
                <w:lang w:val="es-ES"/>
              </w:rPr>
              <w:t xml:space="preserve"> </w:t>
            </w:r>
            <w:hyperlink r:id="rId8">
              <w:r w:rsidR="004E3579" w:rsidRPr="332625CE">
                <w:rPr>
                  <w:rStyle w:val="Hyperlink"/>
                  <w:rFonts w:ascii="Cambria" w:hAnsi="Cambria"/>
                  <w:color w:val="000000" w:themeColor="text1"/>
                  <w:sz w:val="20"/>
                  <w:szCs w:val="20"/>
                  <w:lang w:val="es-VE"/>
                </w:rPr>
                <w:t>100/01</w:t>
              </w:r>
            </w:hyperlink>
            <w:r w:rsidR="004E3579" w:rsidRPr="332625CE">
              <w:rPr>
                <w:rFonts w:ascii="Cambria" w:hAnsi="Cambria"/>
                <w:color w:val="000000" w:themeColor="text1"/>
                <w:sz w:val="20"/>
                <w:szCs w:val="20"/>
                <w:lang w:val="es-VE"/>
              </w:rPr>
              <w:t>, publicado el 11 de octubre 2001</w:t>
            </w:r>
          </w:p>
          <w:p w14:paraId="29932E2E" w14:textId="3D3C5899" w:rsidR="00CD79D9" w:rsidRPr="00EA10F6" w:rsidRDefault="00CD79D9" w:rsidP="00FE7897">
            <w:pPr>
              <w:spacing w:after="0" w:line="240" w:lineRule="auto"/>
              <w:jc w:val="both"/>
              <w:rPr>
                <w:rFonts w:ascii="Cambria" w:hAnsi="Cambria"/>
                <w:color w:val="000000" w:themeColor="text1"/>
                <w:sz w:val="20"/>
                <w:szCs w:val="20"/>
                <w:lang w:val="es-MX"/>
              </w:rPr>
            </w:pPr>
            <w:r w:rsidRPr="332625CE">
              <w:rPr>
                <w:rFonts w:ascii="Cambria" w:hAnsi="Cambria"/>
                <w:b/>
                <w:bCs/>
                <w:color w:val="000000" w:themeColor="text1"/>
                <w:sz w:val="20"/>
                <w:szCs w:val="20"/>
                <w:lang w:val="es-VE"/>
              </w:rPr>
              <w:t xml:space="preserve">Informe de Admisibilidad </w:t>
            </w:r>
            <w:proofErr w:type="spellStart"/>
            <w:r w:rsidRPr="332625CE">
              <w:rPr>
                <w:rFonts w:ascii="Cambria" w:hAnsi="Cambria"/>
                <w:b/>
                <w:bCs/>
                <w:color w:val="000000" w:themeColor="text1"/>
                <w:sz w:val="20"/>
                <w:szCs w:val="20"/>
                <w:lang w:val="es-VE"/>
              </w:rPr>
              <w:t>Nº</w:t>
            </w:r>
            <w:proofErr w:type="spellEnd"/>
            <w:r w:rsidR="00C11BB1" w:rsidRPr="332625CE">
              <w:rPr>
                <w:rFonts w:ascii="Cambria" w:hAnsi="Cambria"/>
                <w:b/>
                <w:bCs/>
                <w:color w:val="000000" w:themeColor="text1"/>
                <w:sz w:val="20"/>
                <w:szCs w:val="20"/>
                <w:lang w:val="es-VE"/>
              </w:rPr>
              <w:t>:</w:t>
            </w:r>
            <w:r w:rsidR="001C6B1E" w:rsidRPr="332625CE">
              <w:rPr>
                <w:rFonts w:ascii="Cambria" w:hAnsi="Cambria"/>
                <w:b/>
                <w:bCs/>
                <w:color w:val="000000" w:themeColor="text1"/>
                <w:sz w:val="20"/>
                <w:szCs w:val="20"/>
                <w:lang w:val="es-VE"/>
              </w:rPr>
              <w:t xml:space="preserve"> </w:t>
            </w:r>
            <w:hyperlink r:id="rId9">
              <w:r w:rsidR="00936A00" w:rsidRPr="332625CE">
                <w:rPr>
                  <w:rStyle w:val="Hyperlink"/>
                  <w:rFonts w:ascii="Cambria" w:hAnsi="Cambria"/>
                  <w:color w:val="000000" w:themeColor="text1"/>
                  <w:sz w:val="20"/>
                  <w:szCs w:val="20"/>
                  <w:lang w:val="es-VE"/>
                </w:rPr>
                <w:t>14/97</w:t>
              </w:r>
            </w:hyperlink>
            <w:r w:rsidRPr="332625CE">
              <w:rPr>
                <w:rFonts w:ascii="Cambria" w:hAnsi="Cambria"/>
                <w:color w:val="000000" w:themeColor="text1"/>
                <w:sz w:val="20"/>
                <w:szCs w:val="20"/>
                <w:lang w:val="es-VE"/>
              </w:rPr>
              <w:t xml:space="preserve">, emitido el </w:t>
            </w:r>
            <w:r w:rsidR="00C11BB1" w:rsidRPr="332625CE">
              <w:rPr>
                <w:rFonts w:ascii="Cambria" w:hAnsi="Cambria"/>
                <w:color w:val="000000" w:themeColor="text1"/>
                <w:sz w:val="20"/>
                <w:szCs w:val="20"/>
                <w:lang w:val="es-MX"/>
              </w:rPr>
              <w:t>12 de marzo de 1997</w:t>
            </w:r>
          </w:p>
          <w:p w14:paraId="0E5F60FF" w14:textId="77777777" w:rsidR="009A6D77" w:rsidRPr="00EA10F6" w:rsidRDefault="009A6D77" w:rsidP="00FE7897">
            <w:pPr>
              <w:spacing w:after="0" w:line="240" w:lineRule="auto"/>
              <w:jc w:val="both"/>
              <w:rPr>
                <w:rFonts w:ascii="Cambria" w:hAnsi="Cambria"/>
                <w:color w:val="000000" w:themeColor="text1"/>
                <w:sz w:val="20"/>
                <w:szCs w:val="20"/>
                <w:lang w:val="es-MX"/>
              </w:rPr>
            </w:pPr>
            <w:r w:rsidRPr="332625CE">
              <w:rPr>
                <w:rFonts w:ascii="Cambria" w:hAnsi="Cambria"/>
                <w:b/>
                <w:bCs/>
                <w:color w:val="000000" w:themeColor="text1"/>
                <w:sz w:val="20"/>
                <w:szCs w:val="20"/>
                <w:lang w:val="es-MX"/>
              </w:rPr>
              <w:t>Acuerdo de cumplimento:</w:t>
            </w:r>
            <w:r w:rsidRPr="332625CE">
              <w:rPr>
                <w:rFonts w:ascii="Cambria" w:hAnsi="Cambria"/>
                <w:color w:val="000000" w:themeColor="text1"/>
                <w:sz w:val="20"/>
                <w:szCs w:val="20"/>
                <w:lang w:val="es-MX"/>
              </w:rPr>
              <w:t xml:space="preserve"> “Acta de Acuerdos y Compromisos” </w:t>
            </w:r>
            <w:r w:rsidRPr="332625CE">
              <w:rPr>
                <w:rFonts w:ascii="Cambria" w:hAnsi="Cambria"/>
                <w:color w:val="000000" w:themeColor="text1"/>
                <w:sz w:val="20"/>
                <w:szCs w:val="20"/>
                <w:lang w:val="es-ES"/>
              </w:rPr>
              <w:t>suscrito entre las partes el 7 de junio de 2007</w:t>
            </w:r>
          </w:p>
          <w:p w14:paraId="603C331E" w14:textId="54C2B588" w:rsidR="00FB6B20" w:rsidRPr="00EA10F6" w:rsidRDefault="00FB6B20" w:rsidP="00A400BE">
            <w:pPr>
              <w:spacing w:after="120" w:line="240" w:lineRule="auto"/>
              <w:jc w:val="both"/>
              <w:rPr>
                <w:rFonts w:ascii="Cambria" w:hAnsi="Cambria"/>
                <w:color w:val="000000" w:themeColor="text1"/>
                <w:sz w:val="20"/>
                <w:szCs w:val="20"/>
                <w:lang w:val="es-VE"/>
              </w:rPr>
            </w:pPr>
            <w:r w:rsidRPr="332625CE">
              <w:rPr>
                <w:rFonts w:ascii="Cambria" w:hAnsi="Cambria"/>
                <w:b/>
                <w:bCs/>
                <w:color w:val="000000" w:themeColor="text1"/>
                <w:sz w:val="20"/>
                <w:szCs w:val="20"/>
                <w:lang w:val="es-VE"/>
              </w:rPr>
              <w:t xml:space="preserve">Temas: </w:t>
            </w:r>
            <w:r w:rsidR="00345EA3" w:rsidRPr="332625CE">
              <w:rPr>
                <w:rFonts w:ascii="Cambria" w:hAnsi="Cambria"/>
                <w:color w:val="000000" w:themeColor="text1"/>
                <w:sz w:val="20"/>
                <w:szCs w:val="20"/>
                <w:lang w:val="es-VE"/>
              </w:rPr>
              <w:t>Derecho a la Integridad Personal /</w:t>
            </w:r>
            <w:r w:rsidR="00345EA3" w:rsidRPr="332625CE">
              <w:rPr>
                <w:rFonts w:ascii="Cambria" w:hAnsi="Cambria"/>
                <w:b/>
                <w:bCs/>
                <w:color w:val="000000" w:themeColor="text1"/>
                <w:sz w:val="20"/>
                <w:szCs w:val="20"/>
                <w:lang w:val="es-VE"/>
              </w:rPr>
              <w:t xml:space="preserve"> </w:t>
            </w:r>
            <w:r w:rsidR="0033615B" w:rsidRPr="332625CE">
              <w:rPr>
                <w:rFonts w:ascii="Cambria" w:hAnsi="Cambria"/>
                <w:color w:val="000000" w:themeColor="text1"/>
                <w:sz w:val="20"/>
                <w:szCs w:val="20"/>
                <w:lang w:val="es-VE"/>
              </w:rPr>
              <w:t>Derecho a Indemnización</w:t>
            </w:r>
            <w:r w:rsidR="0033615B" w:rsidRPr="332625CE">
              <w:rPr>
                <w:rFonts w:ascii="Cambria" w:hAnsi="Cambria"/>
                <w:b/>
                <w:bCs/>
                <w:color w:val="000000" w:themeColor="text1"/>
                <w:sz w:val="20"/>
                <w:szCs w:val="20"/>
                <w:lang w:val="es-VE"/>
              </w:rPr>
              <w:t xml:space="preserve"> / </w:t>
            </w:r>
            <w:r w:rsidR="009A4C61" w:rsidRPr="332625CE">
              <w:rPr>
                <w:rFonts w:ascii="Cambria" w:hAnsi="Cambria"/>
                <w:color w:val="000000" w:themeColor="text1"/>
                <w:sz w:val="20"/>
                <w:szCs w:val="20"/>
                <w:lang w:val="es-VE"/>
              </w:rPr>
              <w:t>Derecho a</w:t>
            </w:r>
            <w:r w:rsidR="009A4C61" w:rsidRPr="332625CE">
              <w:rPr>
                <w:rFonts w:ascii="Cambria" w:hAnsi="Cambria"/>
                <w:b/>
                <w:bCs/>
                <w:color w:val="000000" w:themeColor="text1"/>
                <w:sz w:val="20"/>
                <w:szCs w:val="20"/>
                <w:lang w:val="es-VE"/>
              </w:rPr>
              <w:t xml:space="preserve"> </w:t>
            </w:r>
            <w:r w:rsidR="009A4C61" w:rsidRPr="332625CE">
              <w:rPr>
                <w:rFonts w:ascii="Cambria" w:eastAsia="Times New Roman" w:hAnsi="Cambria"/>
                <w:color w:val="000000" w:themeColor="text1"/>
                <w:sz w:val="20"/>
                <w:szCs w:val="20"/>
                <w:lang w:val="es-MX" w:eastAsia="es-MX"/>
              </w:rPr>
              <w:t xml:space="preserve">Reunión y Libertad de Asociación / </w:t>
            </w:r>
            <w:r w:rsidR="00345EA3" w:rsidRPr="332625CE">
              <w:rPr>
                <w:rFonts w:ascii="Cambria" w:hAnsi="Cambria"/>
                <w:color w:val="000000" w:themeColor="text1"/>
                <w:sz w:val="20"/>
                <w:szCs w:val="20"/>
                <w:lang w:val="es-VE"/>
              </w:rPr>
              <w:t xml:space="preserve">Garantías Judiciales / Protección Judicial / </w:t>
            </w:r>
            <w:r w:rsidR="00345EA3" w:rsidRPr="332625CE">
              <w:rPr>
                <w:rFonts w:ascii="Cambria" w:eastAsia="Times New Roman" w:hAnsi="Cambria"/>
                <w:color w:val="000000" w:themeColor="text1"/>
                <w:sz w:val="20"/>
                <w:szCs w:val="20"/>
                <w:lang w:val="es-MX" w:eastAsia="es-MX"/>
              </w:rPr>
              <w:t xml:space="preserve">Derechos Sindicales / Protesta y Manifestación Pública / Derecho al Trabajo / </w:t>
            </w:r>
            <w:r w:rsidR="009A4C61" w:rsidRPr="332625CE">
              <w:rPr>
                <w:rFonts w:ascii="Cambria" w:eastAsia="Times New Roman" w:hAnsi="Cambria"/>
                <w:color w:val="000000" w:themeColor="text1"/>
                <w:sz w:val="20"/>
                <w:szCs w:val="20"/>
                <w:lang w:val="es-MX" w:eastAsia="es-MX"/>
              </w:rPr>
              <w:t xml:space="preserve">Derecho a la Seguridad Social / </w:t>
            </w:r>
            <w:r w:rsidR="00345EA3" w:rsidRPr="332625CE">
              <w:rPr>
                <w:rFonts w:ascii="Cambria" w:eastAsia="Times New Roman" w:hAnsi="Cambria"/>
                <w:color w:val="000000" w:themeColor="text1"/>
                <w:sz w:val="20"/>
                <w:szCs w:val="20"/>
                <w:lang w:val="es-MX" w:eastAsia="es-MX"/>
              </w:rPr>
              <w:t xml:space="preserve">Uso Excesivo de la Fuerza / </w:t>
            </w:r>
            <w:r w:rsidR="009A4C61" w:rsidRPr="332625CE">
              <w:rPr>
                <w:rFonts w:ascii="Cambria" w:eastAsia="Times New Roman" w:hAnsi="Cambria"/>
                <w:color w:val="000000" w:themeColor="text1"/>
                <w:sz w:val="20"/>
                <w:szCs w:val="20"/>
                <w:lang w:val="es-MX" w:eastAsia="es-MX"/>
              </w:rPr>
              <w:t>Principio de Legalidad y Retroactividad</w:t>
            </w:r>
          </w:p>
          <w:p w14:paraId="124B9D82" w14:textId="1232D5D6" w:rsidR="009017C3" w:rsidRPr="00EA10F6" w:rsidRDefault="00CD79D9" w:rsidP="00A400BE">
            <w:pPr>
              <w:spacing w:after="120" w:line="240" w:lineRule="auto"/>
              <w:jc w:val="both"/>
              <w:rPr>
                <w:rFonts w:ascii="Cambria" w:eastAsia="Times New Roman" w:hAnsi="Cambria"/>
                <w:color w:val="000000" w:themeColor="text1"/>
                <w:spacing w:val="-3"/>
                <w:sz w:val="20"/>
                <w:szCs w:val="20"/>
                <w:lang w:val="es-US"/>
              </w:rPr>
            </w:pPr>
            <w:r w:rsidRPr="332625CE">
              <w:rPr>
                <w:rFonts w:ascii="Cambria" w:hAnsi="Cambria"/>
                <w:b/>
                <w:bCs/>
                <w:color w:val="000000" w:themeColor="text1"/>
                <w:sz w:val="20"/>
                <w:szCs w:val="20"/>
                <w:lang w:val="es-ES"/>
              </w:rPr>
              <w:t>Hechos</w:t>
            </w:r>
            <w:r w:rsidR="00C24B88" w:rsidRPr="332625CE">
              <w:rPr>
                <w:rFonts w:ascii="Cambria" w:hAnsi="Cambria"/>
                <w:b/>
                <w:bCs/>
                <w:color w:val="000000" w:themeColor="text1"/>
                <w:sz w:val="20"/>
                <w:szCs w:val="20"/>
                <w:lang w:val="es-ES"/>
              </w:rPr>
              <w:t>:</w:t>
            </w:r>
            <w:r w:rsidR="00C11BB1" w:rsidRPr="332625CE">
              <w:rPr>
                <w:rFonts w:ascii="Cambria" w:hAnsi="Cambria"/>
                <w:b/>
                <w:bCs/>
                <w:color w:val="000000" w:themeColor="text1"/>
                <w:sz w:val="20"/>
                <w:szCs w:val="20"/>
                <w:lang w:val="es-ES"/>
              </w:rPr>
              <w:t xml:space="preserve"> </w:t>
            </w:r>
            <w:r w:rsidR="00FE7897" w:rsidRPr="332625CE">
              <w:rPr>
                <w:rFonts w:ascii="Cambria" w:hAnsi="Cambria"/>
                <w:color w:val="000000" w:themeColor="text1"/>
                <w:sz w:val="20"/>
                <w:szCs w:val="20"/>
                <w:lang w:val="es-ES"/>
              </w:rPr>
              <w:t>El 26 de mayo de 1993 empleados de las Aduanas de Nicaragua realizaron una huelga, la cual fue declarada ilegal por el Ministerio de</w:t>
            </w:r>
            <w:r w:rsidR="003A13B8" w:rsidRPr="332625CE">
              <w:rPr>
                <w:rFonts w:ascii="Cambria" w:hAnsi="Cambria"/>
                <w:color w:val="000000" w:themeColor="text1"/>
                <w:sz w:val="20"/>
                <w:szCs w:val="20"/>
                <w:lang w:val="es-ES"/>
              </w:rPr>
              <w:t>l</w:t>
            </w:r>
            <w:r w:rsidR="00FE7897" w:rsidRPr="332625CE">
              <w:rPr>
                <w:rFonts w:ascii="Cambria" w:hAnsi="Cambria"/>
                <w:color w:val="000000" w:themeColor="text1"/>
                <w:sz w:val="20"/>
                <w:szCs w:val="20"/>
                <w:lang w:val="es-ES"/>
              </w:rPr>
              <w:t xml:space="preserve"> Trabajo</w:t>
            </w:r>
            <w:r w:rsidR="00DB4DF7" w:rsidRPr="332625CE">
              <w:rPr>
                <w:rFonts w:ascii="Cambria" w:hAnsi="Cambria"/>
                <w:color w:val="000000" w:themeColor="text1"/>
                <w:sz w:val="20"/>
                <w:szCs w:val="20"/>
                <w:lang w:val="es-ES"/>
              </w:rPr>
              <w:t>,</w:t>
            </w:r>
            <w:r w:rsidR="00FE7897" w:rsidRPr="332625CE">
              <w:rPr>
                <w:rFonts w:ascii="Cambria" w:hAnsi="Cambria"/>
                <w:color w:val="000000" w:themeColor="text1"/>
                <w:sz w:val="20"/>
                <w:szCs w:val="20"/>
                <w:lang w:val="es-ES"/>
              </w:rPr>
              <w:t xml:space="preserve"> y 142 trabajadores fueron despedidos a pesar de existir varias resoluciones judiciales que ordenaban su reinstalación en los puestos de trabajo. </w:t>
            </w:r>
            <w:r w:rsidR="00FE7897" w:rsidRPr="332625CE">
              <w:rPr>
                <w:rFonts w:ascii="Cambria" w:hAnsi="Cambria"/>
                <w:color w:val="000000" w:themeColor="text1"/>
                <w:sz w:val="20"/>
                <w:szCs w:val="20"/>
                <w:lang w:val="es-US"/>
              </w:rPr>
              <w:t xml:space="preserve">Durante la huelga fueron víctimas del uso desproporcionado de la fuerza por parte de las autoridades encargadas de la seguridad. El 9 y 10 de junio de 1993, los trabajadores de </w:t>
            </w:r>
            <w:r w:rsidR="00DB4DF7" w:rsidRPr="332625CE">
              <w:rPr>
                <w:rFonts w:ascii="Cambria" w:hAnsi="Cambria"/>
                <w:color w:val="000000" w:themeColor="text1"/>
                <w:sz w:val="20"/>
                <w:szCs w:val="20"/>
                <w:lang w:val="es-US"/>
              </w:rPr>
              <w:t xml:space="preserve">las </w:t>
            </w:r>
            <w:r w:rsidR="00FE7897" w:rsidRPr="332625CE">
              <w:rPr>
                <w:rFonts w:ascii="Cambria" w:hAnsi="Cambria"/>
                <w:color w:val="000000" w:themeColor="text1"/>
                <w:sz w:val="20"/>
                <w:szCs w:val="20"/>
                <w:lang w:val="es-US"/>
              </w:rPr>
              <w:t xml:space="preserve">Aduanas fueron golpeados por la Policía Nacional, la cual utilizó gases lacrimógenos, garrotes y armas de fuego. Los peticionarios señalan que 50 trabajadores fueron detenidos y 30 acusados penalmente, quienes posteriormente fueron sobreseídos de los cargos por la administración de justicia. </w:t>
            </w:r>
          </w:p>
          <w:p w14:paraId="79E630F5" w14:textId="64DFAE70" w:rsidR="00C37C4B" w:rsidRPr="00EA10F6" w:rsidRDefault="004E3579" w:rsidP="00A400BE">
            <w:pPr>
              <w:autoSpaceDE w:val="0"/>
              <w:autoSpaceDN w:val="0"/>
              <w:adjustRightInd w:val="0"/>
              <w:spacing w:after="120" w:line="240" w:lineRule="auto"/>
              <w:contextualSpacing/>
              <w:jc w:val="both"/>
              <w:rPr>
                <w:rFonts w:ascii="Cambria" w:eastAsia="MS Mincho" w:hAnsi="Cambria" w:cs="Univers"/>
                <w:color w:val="000000" w:themeColor="text1"/>
                <w:sz w:val="20"/>
                <w:szCs w:val="20"/>
                <w:lang w:val="es-ES"/>
              </w:rPr>
            </w:pPr>
            <w:r w:rsidRPr="332625CE">
              <w:rPr>
                <w:rFonts w:ascii="Cambria" w:hAnsi="Cambria"/>
                <w:b/>
                <w:bCs/>
                <w:color w:val="000000" w:themeColor="text1"/>
                <w:sz w:val="20"/>
                <w:szCs w:val="20"/>
                <w:lang w:val="es-ES"/>
              </w:rPr>
              <w:t xml:space="preserve">Derechos violados: </w:t>
            </w:r>
            <w:r w:rsidRPr="332625CE">
              <w:rPr>
                <w:rFonts w:ascii="Cambria" w:eastAsia="MS Mincho" w:hAnsi="Cambria" w:cs="Univers"/>
                <w:color w:val="000000" w:themeColor="text1"/>
                <w:sz w:val="20"/>
                <w:szCs w:val="20"/>
                <w:lang w:val="es-ES"/>
              </w:rPr>
              <w:t>L</w:t>
            </w:r>
            <w:r w:rsidR="00936A00" w:rsidRPr="332625CE">
              <w:rPr>
                <w:rFonts w:ascii="Cambria" w:eastAsia="MS Mincho" w:hAnsi="Cambria" w:cs="Univers"/>
                <w:color w:val="000000" w:themeColor="text1"/>
                <w:sz w:val="20"/>
                <w:szCs w:val="20"/>
                <w:lang w:val="es-ES"/>
              </w:rPr>
              <w:t xml:space="preserve">a CIDH </w:t>
            </w:r>
            <w:r w:rsidRPr="332625CE">
              <w:rPr>
                <w:rFonts w:ascii="Cambria" w:eastAsia="MS Mincho" w:hAnsi="Cambria" w:cs="Univers"/>
                <w:color w:val="000000" w:themeColor="text1"/>
                <w:sz w:val="20"/>
                <w:szCs w:val="20"/>
                <w:lang w:val="es-ES"/>
              </w:rPr>
              <w:t xml:space="preserve">concluyó que el Estado de Nicaragua: a) violó en perjuicio de Milton García Fajardo, Cristóbal Ruiz Lazo, Ramón Roa </w:t>
            </w:r>
            <w:proofErr w:type="spellStart"/>
            <w:r w:rsidRPr="332625CE">
              <w:rPr>
                <w:rFonts w:ascii="Cambria" w:eastAsia="MS Mincho" w:hAnsi="Cambria" w:cs="Univers"/>
                <w:color w:val="000000" w:themeColor="text1"/>
                <w:sz w:val="20"/>
                <w:szCs w:val="20"/>
                <w:lang w:val="es-ES"/>
              </w:rPr>
              <w:t>Parajón</w:t>
            </w:r>
            <w:proofErr w:type="spellEnd"/>
            <w:r w:rsidRPr="332625CE">
              <w:rPr>
                <w:rFonts w:ascii="Cambria" w:eastAsia="MS Mincho" w:hAnsi="Cambria" w:cs="Univers"/>
                <w:color w:val="000000" w:themeColor="text1"/>
                <w:sz w:val="20"/>
                <w:szCs w:val="20"/>
                <w:lang w:val="es-ES"/>
              </w:rPr>
              <w:t xml:space="preserve">, Leonel Arguello Luna, César Chavarría Vargas, Francisco Obregón García, Aníbal Reyes Pérez, Mario Sánchez Paz, Frank Cortés, Arnoldo José Cardoza, Leonardo Solis, René Varela y Orlando </w:t>
            </w:r>
            <w:proofErr w:type="spellStart"/>
            <w:r w:rsidRPr="332625CE">
              <w:rPr>
                <w:rFonts w:ascii="Cambria" w:eastAsia="MS Mincho" w:hAnsi="Cambria" w:cs="Univers"/>
                <w:color w:val="000000" w:themeColor="text1"/>
                <w:sz w:val="20"/>
                <w:szCs w:val="20"/>
                <w:lang w:val="es-ES"/>
              </w:rPr>
              <w:t>Vilchez</w:t>
            </w:r>
            <w:proofErr w:type="spellEnd"/>
            <w:r w:rsidRPr="332625CE">
              <w:rPr>
                <w:rFonts w:ascii="Cambria" w:eastAsia="MS Mincho" w:hAnsi="Cambria" w:cs="Univers"/>
                <w:color w:val="000000" w:themeColor="text1"/>
                <w:sz w:val="20"/>
                <w:szCs w:val="20"/>
                <w:lang w:val="es-ES"/>
              </w:rPr>
              <w:t xml:space="preserve"> </w:t>
            </w:r>
            <w:proofErr w:type="spellStart"/>
            <w:r w:rsidRPr="332625CE">
              <w:rPr>
                <w:rFonts w:ascii="Cambria" w:eastAsia="MS Mincho" w:hAnsi="Cambria" w:cs="Univers"/>
                <w:color w:val="000000" w:themeColor="text1"/>
                <w:sz w:val="20"/>
                <w:szCs w:val="20"/>
                <w:lang w:val="es-ES"/>
              </w:rPr>
              <w:t>Florez</w:t>
            </w:r>
            <w:proofErr w:type="spellEnd"/>
            <w:r w:rsidRPr="332625CE">
              <w:rPr>
                <w:rFonts w:ascii="Cambria" w:eastAsia="MS Mincho" w:hAnsi="Cambria" w:cs="Univers"/>
                <w:color w:val="000000" w:themeColor="text1"/>
                <w:sz w:val="20"/>
                <w:szCs w:val="20"/>
                <w:lang w:val="es-ES"/>
              </w:rPr>
              <w:t>, el derecho a la integridad, contenido en el artículo 5 de la Convención Americana sobre Derechos Humanos; y b) violó en perjuicio de Milton García Fajardo y los 141 trabajadores que comprende la presente denuncia, los derechos a las garantías judiciales, a la protección judicial, y los derechos económicos, sociales y culturales, protegidos por los artículos 8, 25, y 26 del citado instrumento internacional, en relación con la obligación general de respetar y garantizar los derechos, prevista</w:t>
            </w:r>
            <w:r w:rsidR="008E7D11" w:rsidRPr="332625CE">
              <w:rPr>
                <w:rFonts w:ascii="Cambria" w:eastAsia="MS Mincho" w:hAnsi="Cambria" w:cs="Univers"/>
                <w:color w:val="000000" w:themeColor="text1"/>
                <w:sz w:val="20"/>
                <w:szCs w:val="20"/>
                <w:lang w:val="es-ES"/>
              </w:rPr>
              <w:t xml:space="preserve"> en el artículo 1(1) del mismo.</w:t>
            </w:r>
          </w:p>
        </w:tc>
      </w:tr>
    </w:tbl>
    <w:p w14:paraId="52FA2F3A" w14:textId="77777777" w:rsidR="00CD79D9" w:rsidRPr="00EA10F6" w:rsidRDefault="00CD79D9" w:rsidP="00CD79D9">
      <w:pPr>
        <w:spacing w:after="0" w:line="240" w:lineRule="auto"/>
        <w:ind w:left="180"/>
        <w:rPr>
          <w:rFonts w:ascii="Cambria" w:hAnsi="Cambria"/>
          <w:color w:val="000000" w:themeColor="text1"/>
          <w:sz w:val="20"/>
          <w:szCs w:val="20"/>
          <w:lang w:val="es-ES"/>
        </w:rPr>
      </w:pPr>
    </w:p>
    <w:p w14:paraId="62F2AE04" w14:textId="77777777" w:rsidR="00CD79D9" w:rsidRPr="00EA10F6" w:rsidRDefault="00CD79D9" w:rsidP="332625CE">
      <w:pPr>
        <w:numPr>
          <w:ilvl w:val="0"/>
          <w:numId w:val="1"/>
        </w:numPr>
        <w:spacing w:after="0" w:line="240" w:lineRule="auto"/>
        <w:ind w:left="1440"/>
        <w:jc w:val="both"/>
        <w:rPr>
          <w:rFonts w:ascii="Cambria" w:hAnsi="Cambria" w:cs="Calibri Light"/>
          <w:b/>
          <w:bCs/>
          <w:color w:val="000000" w:themeColor="text1"/>
          <w:sz w:val="20"/>
          <w:szCs w:val="20"/>
          <w:lang w:val="es-US"/>
        </w:rPr>
      </w:pPr>
      <w:r w:rsidRPr="332625CE">
        <w:rPr>
          <w:rFonts w:ascii="Cambria" w:hAnsi="Cambria" w:cs="Calibri Light"/>
          <w:b/>
          <w:bCs/>
          <w:color w:val="000000" w:themeColor="text1"/>
          <w:sz w:val="20"/>
          <w:szCs w:val="20"/>
          <w:lang w:val="es-US"/>
        </w:rPr>
        <w:t xml:space="preserve">Recomendaciones </w:t>
      </w:r>
    </w:p>
    <w:p w14:paraId="130AC984" w14:textId="77777777" w:rsidR="00CD79D9" w:rsidRPr="00EA10F6" w:rsidRDefault="00CD79D9" w:rsidP="332625CE">
      <w:pPr>
        <w:spacing w:after="0" w:line="240" w:lineRule="auto"/>
        <w:ind w:left="1080"/>
        <w:jc w:val="both"/>
        <w:rPr>
          <w:rFonts w:ascii="Cambria" w:hAnsi="Cambria" w:cs="Calibri Light"/>
          <w:b/>
          <w:bCs/>
          <w:color w:val="000000" w:themeColor="text1"/>
          <w:sz w:val="20"/>
          <w:szCs w:val="20"/>
          <w:lang w:val="es-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2396"/>
      </w:tblGrid>
      <w:tr w:rsidR="001A74DB" w:rsidRPr="00527572" w14:paraId="20A4D942" w14:textId="77777777" w:rsidTr="332625CE">
        <w:tc>
          <w:tcPr>
            <w:tcW w:w="7110" w:type="dxa"/>
            <w:shd w:val="clear" w:color="auto" w:fill="auto"/>
            <w:vAlign w:val="center"/>
          </w:tcPr>
          <w:p w14:paraId="1FE17C4F" w14:textId="77777777" w:rsidR="00CD79D9" w:rsidRPr="00EA10F6" w:rsidRDefault="00CD79D9" w:rsidP="332625CE">
            <w:pPr>
              <w:spacing w:after="0" w:line="240" w:lineRule="auto"/>
              <w:jc w:val="center"/>
              <w:rPr>
                <w:rFonts w:ascii="Cambria" w:hAnsi="Cambria" w:cs="Calibri Light"/>
                <w:b/>
                <w:bCs/>
                <w:color w:val="000000" w:themeColor="text1"/>
                <w:sz w:val="18"/>
                <w:szCs w:val="18"/>
                <w:lang w:val="es-US"/>
              </w:rPr>
            </w:pPr>
            <w:r w:rsidRPr="332625CE">
              <w:rPr>
                <w:rFonts w:ascii="Cambria" w:hAnsi="Cambria" w:cs="Calibri Light"/>
                <w:b/>
                <w:bCs/>
                <w:color w:val="000000" w:themeColor="text1"/>
                <w:sz w:val="18"/>
                <w:szCs w:val="18"/>
                <w:lang w:val="es-US"/>
              </w:rPr>
              <w:t>Recomendaciones</w:t>
            </w:r>
          </w:p>
        </w:tc>
        <w:tc>
          <w:tcPr>
            <w:tcW w:w="2430" w:type="dxa"/>
            <w:shd w:val="clear" w:color="auto" w:fill="auto"/>
            <w:vAlign w:val="center"/>
          </w:tcPr>
          <w:p w14:paraId="286AB4BF" w14:textId="22990F5A" w:rsidR="00CD79D9" w:rsidRPr="00EA10F6" w:rsidRDefault="00CD79D9" w:rsidP="332625CE">
            <w:pPr>
              <w:spacing w:after="0" w:line="240" w:lineRule="auto"/>
              <w:jc w:val="center"/>
              <w:rPr>
                <w:rFonts w:ascii="Cambria" w:hAnsi="Cambria" w:cs="Calibri Light"/>
                <w:b/>
                <w:bCs/>
                <w:color w:val="000000" w:themeColor="text1"/>
                <w:sz w:val="18"/>
                <w:szCs w:val="18"/>
                <w:lang w:val="es-US"/>
              </w:rPr>
            </w:pPr>
            <w:r w:rsidRPr="332625CE">
              <w:rPr>
                <w:rFonts w:ascii="Cambria" w:hAnsi="Cambria" w:cs="Calibri Light"/>
                <w:b/>
                <w:bCs/>
                <w:color w:val="000000" w:themeColor="text1"/>
                <w:sz w:val="18"/>
                <w:szCs w:val="18"/>
                <w:lang w:val="es-US"/>
              </w:rPr>
              <w:t>E</w:t>
            </w:r>
            <w:r w:rsidR="003A13B8" w:rsidRPr="332625CE">
              <w:rPr>
                <w:rFonts w:ascii="Cambria" w:hAnsi="Cambria" w:cs="Calibri Light"/>
                <w:b/>
                <w:bCs/>
                <w:color w:val="000000" w:themeColor="text1"/>
                <w:sz w:val="18"/>
                <w:szCs w:val="18"/>
                <w:lang w:val="es-US"/>
              </w:rPr>
              <w:t xml:space="preserve">stado de cumplimiento en el </w:t>
            </w:r>
            <w:r w:rsidR="00032927" w:rsidRPr="332625CE">
              <w:rPr>
                <w:rFonts w:ascii="Cambria" w:hAnsi="Cambria" w:cs="Calibri Light"/>
                <w:b/>
                <w:bCs/>
                <w:color w:val="000000" w:themeColor="text1"/>
                <w:sz w:val="18"/>
                <w:szCs w:val="18"/>
                <w:lang w:val="es-US"/>
              </w:rPr>
              <w:t>2021</w:t>
            </w:r>
          </w:p>
        </w:tc>
      </w:tr>
      <w:tr w:rsidR="001A74DB" w:rsidRPr="00EA10F6" w14:paraId="263C42FD" w14:textId="77777777" w:rsidTr="332625CE">
        <w:tc>
          <w:tcPr>
            <w:tcW w:w="7110" w:type="dxa"/>
            <w:shd w:val="clear" w:color="auto" w:fill="auto"/>
          </w:tcPr>
          <w:p w14:paraId="6F2F7298" w14:textId="77777777" w:rsidR="00CD79D9" w:rsidRPr="00EA10F6" w:rsidRDefault="00FE7897" w:rsidP="00FE7897">
            <w:pPr>
              <w:spacing w:after="0" w:line="240" w:lineRule="auto"/>
              <w:jc w:val="both"/>
              <w:rPr>
                <w:rFonts w:ascii="Cambria" w:hAnsi="Cambria" w:cs="Calibri Light"/>
                <w:color w:val="000000" w:themeColor="text1"/>
                <w:sz w:val="18"/>
                <w:szCs w:val="18"/>
                <w:lang w:val="es-US"/>
              </w:rPr>
            </w:pPr>
            <w:r w:rsidRPr="332625CE">
              <w:rPr>
                <w:rFonts w:ascii="Cambria" w:eastAsia="MS Mincho" w:hAnsi="Cambria"/>
                <w:color w:val="000000" w:themeColor="text1"/>
                <w:sz w:val="18"/>
                <w:szCs w:val="18"/>
                <w:lang w:val="es-US" w:eastAsia="es-ES"/>
              </w:rPr>
              <w:t xml:space="preserve">1. </w:t>
            </w:r>
            <w:r w:rsidR="00936A00" w:rsidRPr="332625CE">
              <w:rPr>
                <w:rFonts w:ascii="Cambria" w:eastAsia="MS Mincho" w:hAnsi="Cambria"/>
                <w:color w:val="000000" w:themeColor="text1"/>
                <w:sz w:val="18"/>
                <w:szCs w:val="18"/>
                <w:lang w:val="es-ES" w:eastAsia="es-ES"/>
              </w:rPr>
              <w:t xml:space="preserve">Llevar a cabo una investigación completa, imparcial y efectiva para determinar la responsabilidad penal de todos los autores de las lesiones ocasionadas en perjuicio de Milton García Fajardo, Cristóbal Ruiz Lazo, Ramón Roa </w:t>
            </w:r>
            <w:proofErr w:type="spellStart"/>
            <w:r w:rsidR="00936A00" w:rsidRPr="332625CE">
              <w:rPr>
                <w:rFonts w:ascii="Cambria" w:eastAsia="MS Mincho" w:hAnsi="Cambria"/>
                <w:color w:val="000000" w:themeColor="text1"/>
                <w:sz w:val="18"/>
                <w:szCs w:val="18"/>
                <w:lang w:val="es-ES" w:eastAsia="es-ES"/>
              </w:rPr>
              <w:t>Parajón</w:t>
            </w:r>
            <w:proofErr w:type="spellEnd"/>
            <w:r w:rsidR="00936A00" w:rsidRPr="332625CE">
              <w:rPr>
                <w:rFonts w:ascii="Cambria" w:eastAsia="MS Mincho" w:hAnsi="Cambria"/>
                <w:color w:val="000000" w:themeColor="text1"/>
                <w:sz w:val="18"/>
                <w:szCs w:val="18"/>
                <w:lang w:val="es-ES" w:eastAsia="es-ES"/>
              </w:rPr>
              <w:t xml:space="preserve">, Leonel Arguello Luna, César Chavarría Vargas, Francisco Obregón García, Aníbal Reyes Pérez, Mario Sánchez Paz, Frank Cortés, Arnoldo José Cardoza, Leonardo Solis, René Varela y Orlando </w:t>
            </w:r>
            <w:proofErr w:type="spellStart"/>
            <w:r w:rsidR="00936A00" w:rsidRPr="332625CE">
              <w:rPr>
                <w:rFonts w:ascii="Cambria" w:eastAsia="MS Mincho" w:hAnsi="Cambria"/>
                <w:color w:val="000000" w:themeColor="text1"/>
                <w:sz w:val="18"/>
                <w:szCs w:val="18"/>
                <w:lang w:val="es-ES" w:eastAsia="es-ES"/>
              </w:rPr>
              <w:t>Vilchez</w:t>
            </w:r>
            <w:proofErr w:type="spellEnd"/>
            <w:r w:rsidR="00936A00" w:rsidRPr="332625CE">
              <w:rPr>
                <w:rFonts w:ascii="Cambria" w:eastAsia="MS Mincho" w:hAnsi="Cambria"/>
                <w:color w:val="000000" w:themeColor="text1"/>
                <w:sz w:val="18"/>
                <w:szCs w:val="18"/>
                <w:lang w:val="es-ES" w:eastAsia="es-ES"/>
              </w:rPr>
              <w:t xml:space="preserve"> </w:t>
            </w:r>
            <w:proofErr w:type="spellStart"/>
            <w:r w:rsidR="00936A00" w:rsidRPr="332625CE">
              <w:rPr>
                <w:rFonts w:ascii="Cambria" w:eastAsia="MS Mincho" w:hAnsi="Cambria"/>
                <w:color w:val="000000" w:themeColor="text1"/>
                <w:sz w:val="18"/>
                <w:szCs w:val="18"/>
                <w:lang w:val="es-ES" w:eastAsia="es-ES"/>
              </w:rPr>
              <w:t>Florez</w:t>
            </w:r>
            <w:proofErr w:type="spellEnd"/>
            <w:r w:rsidR="00936A00" w:rsidRPr="332625CE">
              <w:rPr>
                <w:rFonts w:ascii="Cambria" w:eastAsia="MS Mincho" w:hAnsi="Cambria"/>
                <w:color w:val="000000" w:themeColor="text1"/>
                <w:sz w:val="18"/>
                <w:szCs w:val="18"/>
                <w:lang w:val="es-ES" w:eastAsia="es-ES"/>
              </w:rPr>
              <w:t>, y sancionar a los responsables con arreglo a la legislación nicaragüense.</w:t>
            </w:r>
          </w:p>
        </w:tc>
        <w:tc>
          <w:tcPr>
            <w:tcW w:w="2430" w:type="dxa"/>
            <w:shd w:val="clear" w:color="auto" w:fill="auto"/>
            <w:vAlign w:val="center"/>
          </w:tcPr>
          <w:p w14:paraId="0A4C2536" w14:textId="4C8284CB" w:rsidR="00CD79D9" w:rsidRPr="00EA10F6" w:rsidRDefault="00E81A6A" w:rsidP="332625CE">
            <w:pPr>
              <w:spacing w:after="0" w:line="240" w:lineRule="auto"/>
              <w:jc w:val="center"/>
              <w:rPr>
                <w:rFonts w:ascii="Cambria" w:hAnsi="Cambria" w:cs="Calibri Light"/>
                <w:b/>
                <w:bCs/>
                <w:color w:val="000000" w:themeColor="text1"/>
                <w:sz w:val="18"/>
                <w:szCs w:val="18"/>
                <w:lang w:val="es-US"/>
              </w:rPr>
            </w:pPr>
            <w:r w:rsidRPr="332625CE">
              <w:rPr>
                <w:rFonts w:ascii="Cambria" w:hAnsi="Cambria"/>
                <w:color w:val="000000" w:themeColor="text1"/>
                <w:sz w:val="18"/>
                <w:szCs w:val="18"/>
                <w:lang w:val="es-US"/>
              </w:rPr>
              <w:t>Pendiente de cumplimiento</w:t>
            </w:r>
          </w:p>
        </w:tc>
      </w:tr>
      <w:tr w:rsidR="00CD79D9" w:rsidRPr="00EA10F6" w14:paraId="447F4C1C" w14:textId="77777777" w:rsidTr="332625CE">
        <w:tc>
          <w:tcPr>
            <w:tcW w:w="7110" w:type="dxa"/>
            <w:shd w:val="clear" w:color="auto" w:fill="auto"/>
          </w:tcPr>
          <w:p w14:paraId="70E2AA7D" w14:textId="77777777" w:rsidR="00CD79D9" w:rsidRPr="00EA10F6" w:rsidRDefault="00FE7897" w:rsidP="332625CE">
            <w:pPr>
              <w:spacing w:after="0" w:line="240" w:lineRule="auto"/>
              <w:ind w:right="-28"/>
              <w:jc w:val="both"/>
              <w:rPr>
                <w:rFonts w:ascii="Cambria" w:eastAsia="MS Mincho" w:hAnsi="Cambria"/>
                <w:color w:val="000000" w:themeColor="text1"/>
                <w:sz w:val="18"/>
                <w:szCs w:val="18"/>
                <w:lang w:val="es-ES" w:eastAsia="es-ES"/>
              </w:rPr>
            </w:pPr>
            <w:r w:rsidRPr="332625CE">
              <w:rPr>
                <w:rFonts w:ascii="Cambria" w:eastAsia="MS Mincho" w:hAnsi="Cambria"/>
                <w:color w:val="000000" w:themeColor="text1"/>
                <w:sz w:val="18"/>
                <w:szCs w:val="18"/>
                <w:lang w:val="es-US" w:eastAsia="es-ES"/>
              </w:rPr>
              <w:t xml:space="preserve">2. </w:t>
            </w:r>
            <w:r w:rsidR="00936A00" w:rsidRPr="332625CE">
              <w:rPr>
                <w:rFonts w:ascii="Cambria" w:eastAsia="MS Mincho" w:hAnsi="Cambria"/>
                <w:color w:val="000000" w:themeColor="text1"/>
                <w:sz w:val="18"/>
                <w:szCs w:val="18"/>
                <w:lang w:val="es-ES" w:eastAsia="es-ES"/>
              </w:rPr>
              <w:t>Adoptar las medidas necesarias para que los 142 trabajadores aduaneros que presentaron esta demanda reciban adecuada y oportuna reparación por las violaciones de sus dere</w:t>
            </w:r>
            <w:r w:rsidR="00020189" w:rsidRPr="332625CE">
              <w:rPr>
                <w:rFonts w:ascii="Cambria" w:eastAsia="MS Mincho" w:hAnsi="Cambria"/>
                <w:color w:val="000000" w:themeColor="text1"/>
                <w:sz w:val="18"/>
                <w:szCs w:val="18"/>
                <w:lang w:val="es-ES" w:eastAsia="es-ES"/>
              </w:rPr>
              <w:t>chos humanos aquí establecidas.</w:t>
            </w:r>
          </w:p>
        </w:tc>
        <w:tc>
          <w:tcPr>
            <w:tcW w:w="2430" w:type="dxa"/>
            <w:shd w:val="clear" w:color="auto" w:fill="auto"/>
            <w:vAlign w:val="center"/>
          </w:tcPr>
          <w:p w14:paraId="4A6625BB" w14:textId="77777777" w:rsidR="0088525C" w:rsidRPr="00EA10F6" w:rsidRDefault="0088525C" w:rsidP="00FE7897">
            <w:pPr>
              <w:spacing w:after="0" w:line="240" w:lineRule="auto"/>
              <w:jc w:val="center"/>
              <w:rPr>
                <w:rFonts w:ascii="Cambria" w:hAnsi="Cambria"/>
                <w:color w:val="000000" w:themeColor="text1"/>
                <w:sz w:val="18"/>
                <w:szCs w:val="18"/>
                <w:lang w:val="es-ES"/>
              </w:rPr>
            </w:pPr>
          </w:p>
          <w:p w14:paraId="42B381A9" w14:textId="56B9E16C" w:rsidR="00CD79D9" w:rsidRPr="00EA10F6" w:rsidRDefault="00C24B88" w:rsidP="00FE7897">
            <w:pPr>
              <w:spacing w:after="0" w:line="240" w:lineRule="auto"/>
              <w:jc w:val="center"/>
              <w:rPr>
                <w:rFonts w:ascii="Cambria" w:hAnsi="Cambria"/>
                <w:color w:val="000000" w:themeColor="text1"/>
                <w:sz w:val="18"/>
                <w:szCs w:val="18"/>
                <w:lang w:val="pt-BR"/>
              </w:rPr>
            </w:pPr>
            <w:r w:rsidRPr="00EA10F6">
              <w:rPr>
                <w:rFonts w:ascii="Cambria" w:hAnsi="Cambria"/>
                <w:color w:val="000000" w:themeColor="text1"/>
                <w:sz w:val="18"/>
                <w:szCs w:val="18"/>
                <w:lang w:val="pt-BR"/>
              </w:rPr>
              <w:lastRenderedPageBreak/>
              <w:t>Cumplimiento total</w:t>
            </w:r>
            <w:r w:rsidR="00E81A6A" w:rsidRPr="00EA10F6">
              <w:rPr>
                <w:rStyle w:val="FootnoteReference"/>
                <w:rFonts w:ascii="Cambria" w:hAnsi="Cambria"/>
                <w:color w:val="000000" w:themeColor="text1"/>
                <w:sz w:val="18"/>
                <w:szCs w:val="18"/>
                <w:lang w:val="pt-BR"/>
              </w:rPr>
              <w:footnoteReference w:id="1"/>
            </w:r>
            <w:r w:rsidR="00131F9C" w:rsidRPr="00EA10F6">
              <w:rPr>
                <w:rFonts w:ascii="Cambria" w:hAnsi="Cambria"/>
                <w:color w:val="000000" w:themeColor="text1"/>
                <w:sz w:val="18"/>
                <w:szCs w:val="18"/>
                <w:lang w:val="pt-BR"/>
              </w:rPr>
              <w:t xml:space="preserve"> </w:t>
            </w:r>
          </w:p>
          <w:p w14:paraId="7B81FACC" w14:textId="77777777" w:rsidR="00131F9C" w:rsidRPr="00EA10F6" w:rsidRDefault="00131F9C" w:rsidP="332625CE">
            <w:pPr>
              <w:spacing w:after="0" w:line="240" w:lineRule="auto"/>
              <w:jc w:val="center"/>
              <w:rPr>
                <w:rFonts w:ascii="Cambria" w:hAnsi="Cambria" w:cs="Calibri Light"/>
                <w:b/>
                <w:bCs/>
                <w:color w:val="000000" w:themeColor="text1"/>
                <w:sz w:val="18"/>
                <w:szCs w:val="18"/>
                <w:lang w:val="pt-BR"/>
              </w:rPr>
            </w:pPr>
          </w:p>
        </w:tc>
      </w:tr>
    </w:tbl>
    <w:p w14:paraId="6297AC81" w14:textId="61CC1C96" w:rsidR="00CD79D9" w:rsidRPr="00EA10F6" w:rsidRDefault="00CD79D9" w:rsidP="332625CE">
      <w:pPr>
        <w:spacing w:after="0" w:line="240" w:lineRule="auto"/>
        <w:jc w:val="both"/>
        <w:rPr>
          <w:rFonts w:ascii="Cambria" w:hAnsi="Cambria" w:cs="Calibri Light"/>
          <w:b/>
          <w:bCs/>
          <w:color w:val="000000" w:themeColor="text1"/>
          <w:sz w:val="20"/>
          <w:szCs w:val="20"/>
          <w:lang w:val="pt-BR"/>
        </w:rPr>
      </w:pPr>
    </w:p>
    <w:p w14:paraId="6FC1C500" w14:textId="77777777" w:rsidR="00CD79D9" w:rsidRPr="00EA10F6" w:rsidRDefault="00CD79D9" w:rsidP="332625CE">
      <w:pPr>
        <w:pStyle w:val="ListParagraph"/>
        <w:numPr>
          <w:ilvl w:val="0"/>
          <w:numId w:val="1"/>
        </w:numPr>
        <w:spacing w:after="0" w:line="240" w:lineRule="auto"/>
        <w:ind w:left="1440"/>
        <w:jc w:val="both"/>
        <w:rPr>
          <w:rFonts w:ascii="Cambria" w:hAnsi="Cambria" w:cs="Calibri Light"/>
          <w:b/>
          <w:bCs/>
          <w:color w:val="000000" w:themeColor="text1"/>
          <w:sz w:val="20"/>
          <w:szCs w:val="20"/>
          <w:lang w:val="es-ES"/>
        </w:rPr>
      </w:pPr>
      <w:r w:rsidRPr="332625CE">
        <w:rPr>
          <w:rFonts w:ascii="Cambria" w:hAnsi="Cambria"/>
          <w:b/>
          <w:bCs/>
          <w:color w:val="000000" w:themeColor="text1"/>
          <w:sz w:val="20"/>
          <w:szCs w:val="20"/>
          <w:lang w:val="es-VE"/>
        </w:rPr>
        <w:t>Actividad Procesal</w:t>
      </w:r>
    </w:p>
    <w:p w14:paraId="77AF7FAB" w14:textId="77777777" w:rsidR="00CD79D9" w:rsidRPr="00EA10F6" w:rsidRDefault="00CD79D9" w:rsidP="332625CE">
      <w:pPr>
        <w:spacing w:after="0" w:line="240" w:lineRule="auto"/>
        <w:jc w:val="both"/>
        <w:rPr>
          <w:rFonts w:ascii="Cambria" w:hAnsi="Cambria" w:cs="Calibri Light"/>
          <w:color w:val="000000" w:themeColor="text1"/>
          <w:sz w:val="20"/>
          <w:szCs w:val="20"/>
          <w:lang w:val="es-ES"/>
        </w:rPr>
      </w:pPr>
    </w:p>
    <w:p w14:paraId="7A53083B" w14:textId="625AB0E1" w:rsidR="002D2655" w:rsidRPr="00EA10F6" w:rsidRDefault="00FB6B20" w:rsidP="332625CE">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color w:val="000000" w:themeColor="text1"/>
          <w:sz w:val="20"/>
          <w:szCs w:val="20"/>
          <w:lang w:val="es-ES"/>
        </w:rPr>
        <w:t xml:space="preserve">El 7 de junio </w:t>
      </w:r>
      <w:r w:rsidR="002D2655" w:rsidRPr="332625CE">
        <w:rPr>
          <w:rFonts w:ascii="Cambria" w:hAnsi="Cambria" w:cs="Calibri Light"/>
          <w:color w:val="000000" w:themeColor="text1"/>
          <w:sz w:val="20"/>
          <w:szCs w:val="20"/>
          <w:lang w:val="es-ES"/>
        </w:rPr>
        <w:t xml:space="preserve">de 2007 </w:t>
      </w:r>
      <w:r w:rsidRPr="332625CE">
        <w:rPr>
          <w:rFonts w:ascii="Cambria" w:hAnsi="Cambria" w:cs="Calibri Light"/>
          <w:color w:val="000000" w:themeColor="text1"/>
          <w:sz w:val="20"/>
          <w:szCs w:val="20"/>
          <w:lang w:val="es-ES"/>
        </w:rPr>
        <w:t>las partes suscribieron un “</w:t>
      </w:r>
      <w:r w:rsidR="00D90BC0" w:rsidRPr="332625CE">
        <w:rPr>
          <w:rFonts w:ascii="Cambria" w:hAnsi="Cambria" w:cs="Calibri Light"/>
          <w:color w:val="000000" w:themeColor="text1"/>
          <w:sz w:val="20"/>
          <w:szCs w:val="20"/>
          <w:lang w:val="es-ES"/>
        </w:rPr>
        <w:t>Acta de Acuerdos y Compromisos” con el objeto de dar cumplimiento a la segunda recomendación em</w:t>
      </w:r>
      <w:r w:rsidR="001C6B1E" w:rsidRPr="332625CE">
        <w:rPr>
          <w:rFonts w:ascii="Cambria" w:hAnsi="Cambria" w:cs="Calibri Light"/>
          <w:color w:val="000000" w:themeColor="text1"/>
          <w:sz w:val="20"/>
          <w:szCs w:val="20"/>
          <w:lang w:val="es-ES"/>
        </w:rPr>
        <w:t>itida en el Informe de Fondo Nº</w:t>
      </w:r>
      <w:r w:rsidR="00D90BC0" w:rsidRPr="332625CE">
        <w:rPr>
          <w:rFonts w:ascii="Cambria" w:hAnsi="Cambria" w:cs="Calibri Light"/>
          <w:color w:val="000000" w:themeColor="text1"/>
          <w:sz w:val="20"/>
          <w:szCs w:val="20"/>
          <w:lang w:val="es-ES"/>
        </w:rPr>
        <w:t xml:space="preserve"> 100/01.</w:t>
      </w:r>
    </w:p>
    <w:p w14:paraId="786842CD" w14:textId="77777777" w:rsidR="003A13B8" w:rsidRPr="00EA10F6" w:rsidRDefault="003A13B8" w:rsidP="332625CE">
      <w:pPr>
        <w:pStyle w:val="ListParagraph"/>
        <w:spacing w:after="0" w:line="240" w:lineRule="auto"/>
        <w:jc w:val="both"/>
        <w:rPr>
          <w:rFonts w:ascii="Cambria" w:hAnsi="Cambria" w:cs="Calibri Light"/>
          <w:color w:val="000000" w:themeColor="text1"/>
          <w:sz w:val="20"/>
          <w:szCs w:val="20"/>
          <w:lang w:val="es-ES"/>
        </w:rPr>
      </w:pPr>
    </w:p>
    <w:p w14:paraId="5E6FABEE" w14:textId="77777777" w:rsidR="00407EC4" w:rsidRPr="00EA10F6" w:rsidRDefault="00407EC4" w:rsidP="332625CE">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color w:val="000000" w:themeColor="text1"/>
          <w:sz w:val="20"/>
          <w:szCs w:val="20"/>
          <w:lang w:val="es-ES"/>
        </w:rPr>
        <w:t>El 16 de junio de 2011, los miembros de la Comisión Negociadora, designada por los trabajadores, firmaron el “Acta de Pago y Finiquito por Cumplimiento Total del Acta de Acuerdos y Compromisos” suscrito entre el Estado y los trabajadores.</w:t>
      </w:r>
    </w:p>
    <w:p w14:paraId="7D23A3E5" w14:textId="77777777" w:rsidR="00407EC4" w:rsidRPr="00EA10F6" w:rsidRDefault="00407EC4" w:rsidP="332625CE">
      <w:pPr>
        <w:pStyle w:val="ListParagraph"/>
        <w:spacing w:after="0" w:line="240" w:lineRule="auto"/>
        <w:jc w:val="both"/>
        <w:rPr>
          <w:rFonts w:ascii="Cambria" w:hAnsi="Cambria" w:cs="Calibri Light"/>
          <w:color w:val="000000" w:themeColor="text1"/>
          <w:sz w:val="20"/>
          <w:szCs w:val="20"/>
          <w:lang w:val="es-ES"/>
        </w:rPr>
      </w:pPr>
    </w:p>
    <w:p w14:paraId="5B53919C" w14:textId="748FC5CC" w:rsidR="00D604EA" w:rsidRPr="00EA10F6" w:rsidRDefault="00D90BC0" w:rsidP="332625CE">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color w:val="000000" w:themeColor="text1"/>
          <w:sz w:val="20"/>
          <w:szCs w:val="20"/>
          <w:lang w:val="es-ES"/>
        </w:rPr>
        <w:t>El 21 de marzo de 2015 la CIDH sostuvo una reunión de trabajo con las partes en el marco de su 154º Periodo de Sesiones en seguimiento a las recomendaciones emi</w:t>
      </w:r>
      <w:r w:rsidR="00C7286D" w:rsidRPr="332625CE">
        <w:rPr>
          <w:rFonts w:ascii="Cambria" w:hAnsi="Cambria" w:cs="Calibri Light"/>
          <w:color w:val="000000" w:themeColor="text1"/>
          <w:sz w:val="20"/>
          <w:szCs w:val="20"/>
          <w:lang w:val="es-ES"/>
        </w:rPr>
        <w:t>tidas en el Informe de Fondo Nº</w:t>
      </w:r>
      <w:r w:rsidRPr="332625CE">
        <w:rPr>
          <w:rFonts w:ascii="Cambria" w:hAnsi="Cambria" w:cs="Calibri Light"/>
          <w:color w:val="000000" w:themeColor="text1"/>
          <w:sz w:val="20"/>
          <w:szCs w:val="20"/>
          <w:lang w:val="es-ES"/>
        </w:rPr>
        <w:t xml:space="preserve"> 100/01.</w:t>
      </w:r>
    </w:p>
    <w:p w14:paraId="3005EC9B" w14:textId="77777777" w:rsidR="00D604EA" w:rsidRPr="00EA10F6" w:rsidRDefault="00D604EA" w:rsidP="332625CE">
      <w:pPr>
        <w:pStyle w:val="ListParagraph"/>
        <w:spacing w:after="0" w:line="240" w:lineRule="auto"/>
        <w:jc w:val="both"/>
        <w:rPr>
          <w:rFonts w:ascii="Cambria" w:hAnsi="Cambria" w:cs="Calibri Light"/>
          <w:color w:val="000000" w:themeColor="text1"/>
          <w:sz w:val="20"/>
          <w:szCs w:val="20"/>
          <w:lang w:val="es-ES"/>
        </w:rPr>
      </w:pPr>
    </w:p>
    <w:p w14:paraId="6E52D577" w14:textId="77777777" w:rsidR="00D604EA" w:rsidRPr="00EA10F6" w:rsidRDefault="00D604EA" w:rsidP="332625CE">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color w:val="000000" w:themeColor="text1"/>
          <w:sz w:val="20"/>
          <w:szCs w:val="20"/>
          <w:lang w:val="es-ES"/>
        </w:rPr>
        <w:t>El 14 de agosto de 2015, las organizaciones CEJIL y CENIDH, remitieron un escrito a la CIDH indicando que no continuarían con la representación en el caso.</w:t>
      </w:r>
    </w:p>
    <w:p w14:paraId="76A5D8A2" w14:textId="77777777" w:rsidR="00FB6B20" w:rsidRPr="00EA10F6" w:rsidRDefault="00FB6B20" w:rsidP="332625CE">
      <w:pPr>
        <w:pStyle w:val="ListParagraph"/>
        <w:spacing w:after="0" w:line="240" w:lineRule="auto"/>
        <w:jc w:val="both"/>
        <w:rPr>
          <w:rFonts w:ascii="Cambria" w:hAnsi="Cambria" w:cs="Calibri Light"/>
          <w:color w:val="000000" w:themeColor="text1"/>
          <w:sz w:val="20"/>
          <w:szCs w:val="20"/>
          <w:lang w:val="es-ES"/>
        </w:rPr>
      </w:pPr>
    </w:p>
    <w:p w14:paraId="0D85549F" w14:textId="740E5EC6" w:rsidR="003F126A" w:rsidRPr="0060320D" w:rsidRDefault="003A13B8" w:rsidP="332625CE">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color w:val="000000" w:themeColor="text1"/>
          <w:sz w:val="20"/>
          <w:szCs w:val="20"/>
          <w:lang w:val="es-ES"/>
        </w:rPr>
        <w:t xml:space="preserve">En </w:t>
      </w:r>
      <w:r w:rsidR="00082B44" w:rsidRPr="332625CE">
        <w:rPr>
          <w:rFonts w:ascii="Cambria" w:hAnsi="Cambria" w:cs="Calibri Light"/>
          <w:color w:val="000000" w:themeColor="text1"/>
          <w:sz w:val="20"/>
          <w:szCs w:val="20"/>
          <w:lang w:val="es-ES"/>
        </w:rPr>
        <w:t>202</w:t>
      </w:r>
      <w:r w:rsidR="0060320D" w:rsidRPr="332625CE">
        <w:rPr>
          <w:rFonts w:ascii="Cambria" w:hAnsi="Cambria" w:cs="Calibri Light"/>
          <w:color w:val="000000" w:themeColor="text1"/>
          <w:sz w:val="20"/>
          <w:szCs w:val="20"/>
          <w:lang w:val="es-ES"/>
        </w:rPr>
        <w:t>1</w:t>
      </w:r>
      <w:r w:rsidRPr="332625CE">
        <w:rPr>
          <w:rFonts w:ascii="Cambria" w:hAnsi="Cambria" w:cs="Calibri Light"/>
          <w:color w:val="000000" w:themeColor="text1"/>
          <w:sz w:val="20"/>
          <w:szCs w:val="20"/>
          <w:lang w:val="es-ES"/>
        </w:rPr>
        <w:t>, la CIDH solicitó información actualizada</w:t>
      </w:r>
      <w:r w:rsidR="0060320D" w:rsidRPr="332625CE">
        <w:rPr>
          <w:rFonts w:ascii="Cambria" w:hAnsi="Cambria" w:cs="Calibri Light"/>
          <w:color w:val="000000" w:themeColor="text1"/>
          <w:sz w:val="20"/>
          <w:szCs w:val="20"/>
          <w:lang w:val="es-ES"/>
        </w:rPr>
        <w:t xml:space="preserve"> a ambas partes el 17 de agosto. </w:t>
      </w:r>
      <w:r w:rsidR="003F126A" w:rsidRPr="332625CE">
        <w:rPr>
          <w:rFonts w:ascii="Cambria" w:hAnsi="Cambria" w:cs="Calibri Light"/>
          <w:color w:val="000000" w:themeColor="text1"/>
          <w:sz w:val="20"/>
          <w:szCs w:val="20"/>
          <w:lang w:val="es-ES"/>
        </w:rPr>
        <w:t xml:space="preserve">A la fecha de cierre de este informe, la CIDH no había </w:t>
      </w:r>
      <w:r w:rsidR="00E81A6F" w:rsidRPr="332625CE">
        <w:rPr>
          <w:rFonts w:ascii="Cambria" w:hAnsi="Cambria" w:cs="Calibri Light"/>
          <w:color w:val="000000" w:themeColor="text1"/>
          <w:sz w:val="20"/>
          <w:szCs w:val="20"/>
          <w:lang w:val="es-ES"/>
        </w:rPr>
        <w:t xml:space="preserve">recibido dicha información. La Comisión observa que la última </w:t>
      </w:r>
      <w:r w:rsidR="00A568A2" w:rsidRPr="332625CE">
        <w:rPr>
          <w:rFonts w:ascii="Cambria" w:hAnsi="Cambria" w:cs="Calibri Light"/>
          <w:color w:val="000000" w:themeColor="text1"/>
          <w:sz w:val="20"/>
          <w:szCs w:val="20"/>
          <w:lang w:val="es-ES"/>
        </w:rPr>
        <w:t xml:space="preserve">vez </w:t>
      </w:r>
      <w:r w:rsidR="00E81A6F" w:rsidRPr="332625CE">
        <w:rPr>
          <w:rFonts w:ascii="Cambria" w:hAnsi="Cambria" w:cs="Calibri Light"/>
          <w:color w:val="000000" w:themeColor="text1"/>
          <w:sz w:val="20"/>
          <w:szCs w:val="20"/>
          <w:lang w:val="es-ES"/>
        </w:rPr>
        <w:t>que los peticionarios presentaron información fue el 2018.</w:t>
      </w:r>
    </w:p>
    <w:p w14:paraId="50AFA6D6" w14:textId="77777777" w:rsidR="003F126A" w:rsidRPr="00EA10F6" w:rsidRDefault="003F126A" w:rsidP="003F126A">
      <w:pPr>
        <w:pStyle w:val="ListParagraph"/>
        <w:ind w:left="630"/>
        <w:jc w:val="both"/>
        <w:rPr>
          <w:rFonts w:ascii="Cambria" w:hAnsi="Cambria" w:cs="Calibri Light"/>
          <w:color w:val="FF0000"/>
          <w:sz w:val="20"/>
          <w:szCs w:val="20"/>
          <w:lang w:val="es-ES"/>
        </w:rPr>
      </w:pPr>
    </w:p>
    <w:p w14:paraId="1A7DC4CB" w14:textId="3FB82346" w:rsidR="00CD79D9" w:rsidRPr="00EA10F6" w:rsidRDefault="00D604EA" w:rsidP="332625CE">
      <w:pPr>
        <w:pStyle w:val="ListParagraph"/>
        <w:numPr>
          <w:ilvl w:val="0"/>
          <w:numId w:val="1"/>
        </w:numPr>
        <w:spacing w:after="0" w:line="240" w:lineRule="auto"/>
        <w:ind w:left="1440"/>
        <w:jc w:val="both"/>
        <w:rPr>
          <w:rFonts w:ascii="Cambria" w:hAnsi="Cambria" w:cs="Calibri Light"/>
          <w:b/>
          <w:bCs/>
          <w:color w:val="000000" w:themeColor="text1"/>
          <w:sz w:val="20"/>
          <w:szCs w:val="20"/>
          <w:lang w:val="es-ES"/>
        </w:rPr>
      </w:pPr>
      <w:r w:rsidRPr="332625CE">
        <w:rPr>
          <w:rFonts w:ascii="Cambria" w:hAnsi="Cambria" w:cs="Calibri Light"/>
          <w:b/>
          <w:bCs/>
          <w:color w:val="000000" w:themeColor="text1"/>
          <w:sz w:val="20"/>
          <w:szCs w:val="20"/>
          <w:lang w:val="es-ES"/>
        </w:rPr>
        <w:t>Análisis relativo</w:t>
      </w:r>
      <w:r w:rsidR="00CD79D9" w:rsidRPr="332625CE">
        <w:rPr>
          <w:rFonts w:ascii="Cambria" w:hAnsi="Cambria" w:cs="Calibri Light"/>
          <w:b/>
          <w:bCs/>
          <w:color w:val="000000" w:themeColor="text1"/>
          <w:sz w:val="20"/>
          <w:szCs w:val="20"/>
          <w:lang w:val="es-ES"/>
        </w:rPr>
        <w:t xml:space="preserve"> a </w:t>
      </w:r>
      <w:r w:rsidR="00821567" w:rsidRPr="332625CE">
        <w:rPr>
          <w:rFonts w:ascii="Cambria" w:hAnsi="Cambria" w:cs="Calibri Light"/>
          <w:b/>
          <w:bCs/>
          <w:color w:val="000000" w:themeColor="text1"/>
          <w:sz w:val="20"/>
          <w:szCs w:val="20"/>
          <w:lang w:val="es-ES"/>
        </w:rPr>
        <w:t xml:space="preserve">la </w:t>
      </w:r>
      <w:r w:rsidR="00CD79D9" w:rsidRPr="332625CE">
        <w:rPr>
          <w:rFonts w:ascii="Cambria" w:hAnsi="Cambria" w:cs="Calibri Light"/>
          <w:b/>
          <w:bCs/>
          <w:color w:val="000000" w:themeColor="text1"/>
          <w:sz w:val="20"/>
          <w:szCs w:val="20"/>
          <w:lang w:val="es-ES"/>
        </w:rPr>
        <w:t>información proporcionada</w:t>
      </w:r>
    </w:p>
    <w:p w14:paraId="65F36427" w14:textId="77777777" w:rsidR="00CD79D9" w:rsidRPr="00EA10F6" w:rsidRDefault="00CD79D9" w:rsidP="332625CE">
      <w:pPr>
        <w:spacing w:after="0" w:line="240" w:lineRule="auto"/>
        <w:ind w:firstLine="720"/>
        <w:jc w:val="both"/>
        <w:rPr>
          <w:rFonts w:ascii="Cambria" w:hAnsi="Cambria" w:cs="Calibri Light"/>
          <w:color w:val="000000" w:themeColor="text1"/>
          <w:sz w:val="20"/>
          <w:szCs w:val="20"/>
          <w:lang w:val="es-ES"/>
        </w:rPr>
      </w:pPr>
    </w:p>
    <w:p w14:paraId="6E45DA33" w14:textId="516DA47D" w:rsidR="007C1447" w:rsidRPr="0060320D" w:rsidRDefault="0060320D" w:rsidP="332625CE">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color w:val="000000" w:themeColor="text1"/>
          <w:sz w:val="20"/>
          <w:szCs w:val="20"/>
          <w:lang w:val="es-ES"/>
        </w:rPr>
        <w:t>En vista de la ausencia de información</w:t>
      </w:r>
      <w:r w:rsidR="556E60F6" w:rsidRPr="332625CE">
        <w:rPr>
          <w:rFonts w:ascii="Cambria" w:hAnsi="Cambria" w:cs="Calibri Light"/>
          <w:color w:val="000000" w:themeColor="text1"/>
          <w:sz w:val="20"/>
          <w:szCs w:val="20"/>
          <w:lang w:val="es-ES"/>
        </w:rPr>
        <w:t xml:space="preserve"> proporcionada por las partes</w:t>
      </w:r>
      <w:r w:rsidRPr="332625CE">
        <w:rPr>
          <w:rFonts w:ascii="Cambria" w:hAnsi="Cambria" w:cs="Calibri Light"/>
          <w:color w:val="000000" w:themeColor="text1"/>
          <w:sz w:val="20"/>
          <w:szCs w:val="20"/>
          <w:lang w:val="es-ES"/>
        </w:rPr>
        <w:t xml:space="preserve">, a continuación, la Comisión reitera el análisis de cumplimiento incluido en el Informe Anual 2020. </w:t>
      </w:r>
    </w:p>
    <w:p w14:paraId="08D0C546" w14:textId="77777777" w:rsidR="007C1447" w:rsidRPr="00EA10F6" w:rsidRDefault="007C1447" w:rsidP="332625CE">
      <w:pPr>
        <w:spacing w:after="0" w:line="240" w:lineRule="auto"/>
        <w:ind w:firstLine="720"/>
        <w:jc w:val="both"/>
        <w:rPr>
          <w:rFonts w:ascii="Cambria" w:hAnsi="Cambria" w:cs="Calibri Light"/>
          <w:color w:val="FF0000"/>
          <w:sz w:val="20"/>
          <w:szCs w:val="20"/>
          <w:lang w:val="es-ES"/>
        </w:rPr>
      </w:pPr>
    </w:p>
    <w:p w14:paraId="4EEB40B4" w14:textId="77777777" w:rsidR="00CD79D9" w:rsidRPr="00EA10F6" w:rsidRDefault="00CD79D9" w:rsidP="332625CE">
      <w:pPr>
        <w:pStyle w:val="ListParagraph"/>
        <w:numPr>
          <w:ilvl w:val="0"/>
          <w:numId w:val="1"/>
        </w:numPr>
        <w:spacing w:after="0" w:line="240" w:lineRule="auto"/>
        <w:ind w:left="1440"/>
        <w:jc w:val="both"/>
        <w:rPr>
          <w:rFonts w:ascii="Cambria" w:hAnsi="Cambria" w:cs="Calibri Light"/>
          <w:b/>
          <w:bCs/>
          <w:color w:val="000000" w:themeColor="text1"/>
          <w:sz w:val="20"/>
          <w:szCs w:val="20"/>
          <w:lang w:val="es-ES"/>
        </w:rPr>
      </w:pPr>
      <w:r w:rsidRPr="332625CE">
        <w:rPr>
          <w:rFonts w:ascii="Cambria" w:hAnsi="Cambria" w:cs="Calibri Light"/>
          <w:b/>
          <w:bCs/>
          <w:color w:val="000000" w:themeColor="text1"/>
          <w:sz w:val="20"/>
          <w:szCs w:val="20"/>
          <w:lang w:val="es-US"/>
        </w:rPr>
        <w:t>Análisis del cumplimiento de las recomendaciones</w:t>
      </w:r>
    </w:p>
    <w:p w14:paraId="321E1195" w14:textId="77777777" w:rsidR="00CD79D9" w:rsidRPr="00EA10F6" w:rsidRDefault="00CD79D9" w:rsidP="00CD79D9">
      <w:pPr>
        <w:spacing w:after="0" w:line="240" w:lineRule="auto"/>
        <w:jc w:val="both"/>
        <w:rPr>
          <w:rFonts w:ascii="Cambria" w:hAnsi="Cambria" w:cs="Calibri Light"/>
          <w:color w:val="000000" w:themeColor="text1"/>
          <w:sz w:val="20"/>
          <w:szCs w:val="20"/>
          <w:lang w:val="es-US"/>
        </w:rPr>
      </w:pPr>
    </w:p>
    <w:p w14:paraId="469552F3" w14:textId="6F1F513C" w:rsidR="00D87804" w:rsidRPr="00EA10F6" w:rsidRDefault="00D87804" w:rsidP="332625CE">
      <w:pPr>
        <w:pStyle w:val="ListParagraph"/>
        <w:numPr>
          <w:ilvl w:val="0"/>
          <w:numId w:val="10"/>
        </w:numPr>
        <w:spacing w:line="240" w:lineRule="auto"/>
        <w:ind w:left="0" w:firstLine="720"/>
        <w:jc w:val="both"/>
        <w:rPr>
          <w:rFonts w:ascii="Cambria" w:hAnsi="Cambria" w:cs="Calibri Light"/>
          <w:color w:val="000000" w:themeColor="text1"/>
          <w:sz w:val="20"/>
          <w:szCs w:val="20"/>
          <w:lang w:val="es-ES"/>
        </w:rPr>
      </w:pPr>
      <w:r w:rsidRPr="332625CE">
        <w:rPr>
          <w:rFonts w:ascii="Cambria" w:hAnsi="Cambria" w:cs="Calibri Light"/>
          <w:b/>
          <w:bCs/>
          <w:color w:val="000000" w:themeColor="text1"/>
          <w:sz w:val="20"/>
          <w:szCs w:val="20"/>
          <w:lang w:val="es-US"/>
        </w:rPr>
        <w:t>En relación con la primera recomendación</w:t>
      </w:r>
      <w:r w:rsidRPr="00EA10F6">
        <w:rPr>
          <w:rFonts w:ascii="Cambria" w:hAnsi="Cambria" w:cs="Calibri Light"/>
          <w:color w:val="000000" w:themeColor="text1"/>
          <w:sz w:val="20"/>
          <w:szCs w:val="20"/>
          <w:lang w:val="es-US"/>
        </w:rPr>
        <w:t xml:space="preserve">, </w:t>
      </w:r>
      <w:r w:rsidR="001F5665" w:rsidRPr="00EA10F6">
        <w:rPr>
          <w:rFonts w:ascii="Cambria" w:hAnsi="Cambria" w:cs="Calibri Light"/>
          <w:color w:val="000000" w:themeColor="text1"/>
          <w:sz w:val="20"/>
          <w:szCs w:val="20"/>
          <w:lang w:val="es-US"/>
        </w:rPr>
        <w:t xml:space="preserve">en reunión de trabajo celebrada entre las partes el 21 de marzo de 2015, el Estado informó </w:t>
      </w:r>
      <w:r w:rsidR="001F5665" w:rsidRPr="00EA10F6">
        <w:rPr>
          <w:rFonts w:ascii="Cambria" w:hAnsi="Cambria" w:cs="Calibri Light"/>
          <w:color w:val="000000" w:themeColor="text1"/>
          <w:sz w:val="20"/>
          <w:szCs w:val="20"/>
          <w:lang w:val="es-ES"/>
        </w:rPr>
        <w:t>que no es posible cumplir</w:t>
      </w:r>
      <w:r w:rsidR="006F0376" w:rsidRPr="00EA10F6">
        <w:rPr>
          <w:rFonts w:ascii="Cambria" w:hAnsi="Cambria" w:cs="Calibri Light"/>
          <w:color w:val="000000" w:themeColor="text1"/>
          <w:sz w:val="20"/>
          <w:szCs w:val="20"/>
          <w:lang w:val="es-ES"/>
        </w:rPr>
        <w:t xml:space="preserve"> con</w:t>
      </w:r>
      <w:r w:rsidR="001F5665" w:rsidRPr="00EA10F6">
        <w:rPr>
          <w:rFonts w:ascii="Cambria" w:hAnsi="Cambria" w:cs="Calibri Light"/>
          <w:color w:val="000000" w:themeColor="text1"/>
          <w:sz w:val="20"/>
          <w:szCs w:val="20"/>
          <w:lang w:val="es-ES"/>
        </w:rPr>
        <w:t xml:space="preserve"> esta recomendación</w:t>
      </w:r>
      <w:r w:rsidRPr="00EA10F6">
        <w:rPr>
          <w:rFonts w:ascii="Cambria" w:hAnsi="Cambria" w:cs="Calibri Light"/>
          <w:color w:val="000000" w:themeColor="text1"/>
          <w:sz w:val="20"/>
          <w:szCs w:val="20"/>
          <w:lang w:val="es-ES"/>
        </w:rPr>
        <w:t xml:space="preserve"> dado que operó la prescripción de la acción penal por </w:t>
      </w:r>
      <w:r w:rsidR="00C94E86" w:rsidRPr="00EA10F6">
        <w:rPr>
          <w:rFonts w:ascii="Cambria" w:hAnsi="Cambria" w:cs="Calibri Light"/>
          <w:color w:val="000000" w:themeColor="text1"/>
          <w:sz w:val="20"/>
          <w:szCs w:val="20"/>
          <w:lang w:val="es-ES"/>
        </w:rPr>
        <w:t xml:space="preserve">el delito de </w:t>
      </w:r>
      <w:r w:rsidRPr="00EA10F6">
        <w:rPr>
          <w:rFonts w:ascii="Cambria" w:hAnsi="Cambria" w:cs="Calibri Light"/>
          <w:color w:val="000000" w:themeColor="text1"/>
          <w:sz w:val="20"/>
          <w:szCs w:val="20"/>
          <w:lang w:val="es-ES"/>
        </w:rPr>
        <w:t>lesiones personales. Según el Estado, los hechos ocurrieron</w:t>
      </w:r>
      <w:r w:rsidR="00131F9C" w:rsidRPr="00EA10F6">
        <w:rPr>
          <w:rFonts w:ascii="Cambria" w:hAnsi="Cambria" w:cs="Calibri Light"/>
          <w:color w:val="000000" w:themeColor="text1"/>
          <w:sz w:val="20"/>
          <w:szCs w:val="20"/>
          <w:lang w:val="es-ES"/>
        </w:rPr>
        <w:t xml:space="preserve"> en</w:t>
      </w:r>
      <w:r w:rsidRPr="00EA10F6">
        <w:rPr>
          <w:rFonts w:ascii="Cambria" w:hAnsi="Cambria" w:cs="Calibri Light"/>
          <w:color w:val="000000" w:themeColor="text1"/>
          <w:sz w:val="20"/>
          <w:szCs w:val="20"/>
          <w:lang w:val="es-ES"/>
        </w:rPr>
        <w:t xml:space="preserve"> el año 1993, y la acción prescribe en 5 años, es decir que dicho evento se dio con anterioridad a la emisión del Informe de Fondo</w:t>
      </w:r>
      <w:r w:rsidR="00C7286D" w:rsidRPr="00EA10F6">
        <w:rPr>
          <w:rFonts w:ascii="Cambria" w:hAnsi="Cambria" w:cs="Calibri Light"/>
          <w:color w:val="000000" w:themeColor="text1"/>
          <w:sz w:val="20"/>
          <w:szCs w:val="20"/>
          <w:lang w:val="es-ES"/>
        </w:rPr>
        <w:t xml:space="preserve"> Nº</w:t>
      </w:r>
      <w:r w:rsidRPr="00EA10F6">
        <w:rPr>
          <w:rFonts w:ascii="Cambria" w:hAnsi="Cambria" w:cs="Calibri Light"/>
          <w:color w:val="000000" w:themeColor="text1"/>
          <w:sz w:val="20"/>
          <w:szCs w:val="20"/>
          <w:lang w:val="es-ES"/>
        </w:rPr>
        <w:t xml:space="preserve"> 100/01, y ha</w:t>
      </w:r>
      <w:r w:rsidR="00D64926" w:rsidRPr="00EA10F6">
        <w:rPr>
          <w:rFonts w:ascii="Cambria" w:hAnsi="Cambria" w:cs="Calibri Light"/>
          <w:color w:val="000000" w:themeColor="text1"/>
          <w:sz w:val="20"/>
          <w:szCs w:val="20"/>
          <w:lang w:val="es-ES"/>
        </w:rPr>
        <w:t>brían</w:t>
      </w:r>
      <w:r w:rsidRPr="00EA10F6">
        <w:rPr>
          <w:rFonts w:ascii="Cambria" w:hAnsi="Cambria" w:cs="Calibri Light"/>
          <w:color w:val="000000" w:themeColor="text1"/>
          <w:sz w:val="20"/>
          <w:szCs w:val="20"/>
          <w:lang w:val="es-ES"/>
        </w:rPr>
        <w:t xml:space="preserve"> transcurrido</w:t>
      </w:r>
      <w:r w:rsidR="001F5665" w:rsidRPr="00EA10F6">
        <w:rPr>
          <w:rFonts w:ascii="Cambria" w:hAnsi="Cambria" w:cs="Calibri Light"/>
          <w:color w:val="000000" w:themeColor="text1"/>
          <w:sz w:val="20"/>
          <w:szCs w:val="20"/>
          <w:lang w:val="es-ES"/>
        </w:rPr>
        <w:t xml:space="preserve"> más de</w:t>
      </w:r>
      <w:r w:rsidRPr="00EA10F6">
        <w:rPr>
          <w:rFonts w:ascii="Cambria" w:hAnsi="Cambria" w:cs="Calibri Light"/>
          <w:color w:val="000000" w:themeColor="text1"/>
          <w:sz w:val="20"/>
          <w:szCs w:val="20"/>
          <w:lang w:val="es-ES"/>
        </w:rPr>
        <w:t xml:space="preserve"> 17 años desde que ocurrió la prescripción de la acción penal</w:t>
      </w:r>
      <w:r w:rsidR="001F5665" w:rsidRPr="00EA10F6">
        <w:rPr>
          <w:rStyle w:val="FootnoteReference"/>
          <w:rFonts w:ascii="Cambria" w:hAnsi="Cambria" w:cs="Calibri Light"/>
          <w:color w:val="000000" w:themeColor="text1"/>
          <w:sz w:val="20"/>
          <w:szCs w:val="20"/>
        </w:rPr>
        <w:footnoteReference w:id="2"/>
      </w:r>
      <w:r w:rsidRPr="00EA10F6">
        <w:rPr>
          <w:rFonts w:ascii="Cambria" w:hAnsi="Cambria" w:cs="Calibri Light"/>
          <w:color w:val="000000" w:themeColor="text1"/>
          <w:sz w:val="20"/>
          <w:szCs w:val="20"/>
          <w:lang w:val="es-ES"/>
        </w:rPr>
        <w:t xml:space="preserve">. </w:t>
      </w:r>
      <w:r w:rsidR="00BC0547" w:rsidRPr="00EA10F6">
        <w:rPr>
          <w:rFonts w:ascii="Cambria" w:hAnsi="Cambria" w:cs="Calibri Light"/>
          <w:color w:val="000000" w:themeColor="text1"/>
          <w:sz w:val="20"/>
          <w:szCs w:val="20"/>
          <w:lang w:val="es-ES"/>
        </w:rPr>
        <w:t xml:space="preserve">En 2020, el Estado reiteró su posición respecto a </w:t>
      </w:r>
      <w:r w:rsidR="008A2D22" w:rsidRPr="00EA10F6">
        <w:rPr>
          <w:rFonts w:ascii="Cambria" w:hAnsi="Cambria" w:cs="Calibri Light"/>
          <w:color w:val="000000" w:themeColor="text1"/>
          <w:sz w:val="20"/>
          <w:szCs w:val="20"/>
          <w:lang w:val="es-ES"/>
        </w:rPr>
        <w:t>la</w:t>
      </w:r>
      <w:r w:rsidR="00BC0547" w:rsidRPr="00EA10F6">
        <w:rPr>
          <w:rFonts w:ascii="Cambria" w:hAnsi="Cambria" w:cs="Calibri Light"/>
          <w:color w:val="000000" w:themeColor="text1"/>
          <w:sz w:val="20"/>
          <w:szCs w:val="20"/>
          <w:lang w:val="es-ES"/>
        </w:rPr>
        <w:t xml:space="preserve"> imposibilidad de cumplir con esta recomendación </w:t>
      </w:r>
      <w:r w:rsidR="008A2D22" w:rsidRPr="00EA10F6">
        <w:rPr>
          <w:rFonts w:ascii="Cambria" w:hAnsi="Cambria" w:cs="Calibri Light"/>
          <w:color w:val="000000" w:themeColor="text1"/>
          <w:sz w:val="20"/>
          <w:szCs w:val="20"/>
          <w:lang w:val="es-ES"/>
        </w:rPr>
        <w:t>indicando</w:t>
      </w:r>
      <w:r w:rsidR="00BC0547" w:rsidRPr="00EA10F6">
        <w:rPr>
          <w:rFonts w:ascii="Cambria" w:hAnsi="Cambria" w:cs="Calibri Light"/>
          <w:color w:val="000000" w:themeColor="text1"/>
          <w:sz w:val="20"/>
          <w:szCs w:val="20"/>
          <w:lang w:val="es-ES"/>
        </w:rPr>
        <w:t xml:space="preserve"> que para el momento de la emisión del Informe de Fondo habrían transcurrido</w:t>
      </w:r>
      <w:r w:rsidR="008A2D22" w:rsidRPr="00EA10F6">
        <w:rPr>
          <w:rFonts w:ascii="Cambria" w:hAnsi="Cambria" w:cs="Calibri Light"/>
          <w:color w:val="000000" w:themeColor="text1"/>
          <w:sz w:val="20"/>
          <w:szCs w:val="20"/>
          <w:lang w:val="es-ES"/>
        </w:rPr>
        <w:t xml:space="preserve"> ya</w:t>
      </w:r>
      <w:r w:rsidR="00BC0547" w:rsidRPr="00EA10F6">
        <w:rPr>
          <w:rFonts w:ascii="Cambria" w:hAnsi="Cambria" w:cs="Calibri Light"/>
          <w:color w:val="000000" w:themeColor="text1"/>
          <w:sz w:val="20"/>
          <w:szCs w:val="20"/>
          <w:lang w:val="es-ES"/>
        </w:rPr>
        <w:t xml:space="preserve"> 8 años desde</w:t>
      </w:r>
      <w:r w:rsidR="008A2D22" w:rsidRPr="00EA10F6">
        <w:rPr>
          <w:rFonts w:ascii="Cambria" w:hAnsi="Cambria" w:cs="Calibri Light"/>
          <w:color w:val="000000" w:themeColor="text1"/>
          <w:sz w:val="20"/>
          <w:szCs w:val="20"/>
          <w:lang w:val="es-ES"/>
        </w:rPr>
        <w:t xml:space="preserve"> que se suscitaron los hechos, operando la prescripción. El Estado indicó que esta situación</w:t>
      </w:r>
      <w:r w:rsidR="00BC0547" w:rsidRPr="00EA10F6">
        <w:rPr>
          <w:rFonts w:ascii="Cambria" w:hAnsi="Cambria" w:cs="Calibri Light"/>
          <w:color w:val="000000" w:themeColor="text1"/>
          <w:sz w:val="20"/>
          <w:szCs w:val="20"/>
          <w:lang w:val="es-ES"/>
        </w:rPr>
        <w:t xml:space="preserve"> generaría una imposibilidad legal </w:t>
      </w:r>
      <w:proofErr w:type="gramStart"/>
      <w:r w:rsidR="00BC0547" w:rsidRPr="00EA10F6">
        <w:rPr>
          <w:rFonts w:ascii="Cambria" w:hAnsi="Cambria" w:cs="Calibri Light"/>
          <w:color w:val="000000" w:themeColor="text1"/>
          <w:sz w:val="20"/>
          <w:szCs w:val="20"/>
          <w:lang w:val="es-ES"/>
        </w:rPr>
        <w:t>de acuerdo al</w:t>
      </w:r>
      <w:proofErr w:type="gramEnd"/>
      <w:r w:rsidR="00BC0547" w:rsidRPr="00EA10F6">
        <w:rPr>
          <w:rFonts w:ascii="Cambria" w:hAnsi="Cambria" w:cs="Calibri Light"/>
          <w:color w:val="000000" w:themeColor="text1"/>
          <w:sz w:val="20"/>
          <w:szCs w:val="20"/>
          <w:lang w:val="es-ES"/>
        </w:rPr>
        <w:t xml:space="preserve"> principio de legalidad</w:t>
      </w:r>
      <w:r w:rsidR="008A2D22" w:rsidRPr="00EA10F6">
        <w:rPr>
          <w:rFonts w:ascii="Cambria" w:hAnsi="Cambria" w:cs="Calibri Light"/>
          <w:color w:val="000000" w:themeColor="text1"/>
          <w:sz w:val="20"/>
          <w:szCs w:val="20"/>
          <w:lang w:val="es-ES"/>
        </w:rPr>
        <w:t xml:space="preserve"> y solicitó el archivo del caso.</w:t>
      </w:r>
    </w:p>
    <w:p w14:paraId="699C1B9A" w14:textId="77777777" w:rsidR="00D87804" w:rsidRPr="00EA10F6" w:rsidRDefault="00D87804" w:rsidP="332625CE">
      <w:pPr>
        <w:pStyle w:val="ListParagraph"/>
        <w:spacing w:after="0" w:line="240" w:lineRule="auto"/>
        <w:ind w:left="630"/>
        <w:jc w:val="both"/>
        <w:rPr>
          <w:rFonts w:ascii="Cambria" w:hAnsi="Cambria" w:cs="Calibri Light"/>
          <w:color w:val="000000" w:themeColor="text1"/>
          <w:sz w:val="20"/>
          <w:szCs w:val="20"/>
          <w:lang w:val="es-US"/>
        </w:rPr>
      </w:pPr>
    </w:p>
    <w:p w14:paraId="73D17D60" w14:textId="77777777" w:rsidR="00E81A6A" w:rsidRPr="00EA10F6" w:rsidRDefault="00D64926" w:rsidP="332625CE">
      <w:pPr>
        <w:pStyle w:val="ListParagraph"/>
        <w:numPr>
          <w:ilvl w:val="0"/>
          <w:numId w:val="10"/>
        </w:numPr>
        <w:spacing w:after="0" w:line="240" w:lineRule="auto"/>
        <w:ind w:left="0" w:firstLine="630"/>
        <w:jc w:val="both"/>
        <w:rPr>
          <w:rFonts w:ascii="Cambria" w:hAnsi="Cambria" w:cs="Calibri Light"/>
          <w:color w:val="000000" w:themeColor="text1"/>
          <w:sz w:val="20"/>
          <w:szCs w:val="20"/>
          <w:lang w:val="es-US"/>
        </w:rPr>
      </w:pPr>
      <w:r w:rsidRPr="332625CE">
        <w:rPr>
          <w:rFonts w:ascii="Cambria" w:hAnsi="Cambria" w:cs="Calibri Light"/>
          <w:color w:val="000000" w:themeColor="text1"/>
          <w:sz w:val="20"/>
          <w:szCs w:val="20"/>
          <w:lang w:val="es-US"/>
        </w:rPr>
        <w:t>En el mismo sentido, e</w:t>
      </w:r>
      <w:r w:rsidR="000D0D16" w:rsidRPr="332625CE">
        <w:rPr>
          <w:rFonts w:ascii="Cambria" w:hAnsi="Cambria" w:cs="Calibri Light"/>
          <w:color w:val="000000" w:themeColor="text1"/>
          <w:sz w:val="20"/>
          <w:szCs w:val="20"/>
          <w:lang w:val="es-US"/>
        </w:rPr>
        <w:t>l 5</w:t>
      </w:r>
      <w:r w:rsidR="001F5665" w:rsidRPr="332625CE">
        <w:rPr>
          <w:rFonts w:ascii="Cambria" w:hAnsi="Cambria" w:cs="Calibri Light"/>
          <w:color w:val="000000" w:themeColor="text1"/>
          <w:sz w:val="20"/>
          <w:szCs w:val="20"/>
          <w:lang w:val="es-US"/>
        </w:rPr>
        <w:t xml:space="preserve"> de abril de 2018, los peticionarios informaron que el Estado de Nicaragua incumplió con esta recomendación debido a que</w:t>
      </w:r>
      <w:r w:rsidR="006F0376" w:rsidRPr="332625CE">
        <w:rPr>
          <w:rFonts w:ascii="Cambria" w:hAnsi="Cambria" w:cs="Calibri Light"/>
          <w:color w:val="000000" w:themeColor="text1"/>
          <w:sz w:val="20"/>
          <w:szCs w:val="20"/>
          <w:lang w:val="es-US"/>
        </w:rPr>
        <w:t xml:space="preserve"> los hechos prescribieron de acuerdo con la legislación interna y porque el Estado no llevó </w:t>
      </w:r>
      <w:r w:rsidR="001F5665" w:rsidRPr="332625CE">
        <w:rPr>
          <w:rFonts w:ascii="Cambria" w:hAnsi="Cambria" w:cs="Calibri Light"/>
          <w:color w:val="000000" w:themeColor="text1"/>
          <w:sz w:val="20"/>
          <w:szCs w:val="20"/>
          <w:lang w:val="es-US"/>
        </w:rPr>
        <w:t xml:space="preserve">a cabo una debida investigación respecto los actos de violencia </w:t>
      </w:r>
      <w:r w:rsidR="006F0376" w:rsidRPr="332625CE">
        <w:rPr>
          <w:rFonts w:ascii="Cambria" w:hAnsi="Cambria" w:cs="Calibri Light"/>
          <w:color w:val="000000" w:themeColor="text1"/>
          <w:sz w:val="20"/>
          <w:szCs w:val="20"/>
          <w:lang w:val="es-US"/>
        </w:rPr>
        <w:t xml:space="preserve">y lesiones </w:t>
      </w:r>
      <w:r w:rsidR="001F5665" w:rsidRPr="332625CE">
        <w:rPr>
          <w:rFonts w:ascii="Cambria" w:hAnsi="Cambria" w:cs="Calibri Light"/>
          <w:color w:val="000000" w:themeColor="text1"/>
          <w:sz w:val="20"/>
          <w:szCs w:val="20"/>
          <w:lang w:val="es-US"/>
        </w:rPr>
        <w:t>cometidos contras las víctimas</w:t>
      </w:r>
      <w:r w:rsidR="006F0376" w:rsidRPr="332625CE">
        <w:rPr>
          <w:rFonts w:ascii="Cambria" w:hAnsi="Cambria" w:cs="Calibri Light"/>
          <w:color w:val="000000" w:themeColor="text1"/>
          <w:sz w:val="20"/>
          <w:szCs w:val="20"/>
          <w:lang w:val="es-US"/>
        </w:rPr>
        <w:t xml:space="preserve"> del caso.</w:t>
      </w:r>
    </w:p>
    <w:p w14:paraId="5E9602BD" w14:textId="77777777" w:rsidR="00E81A6A" w:rsidRPr="00EA10F6" w:rsidRDefault="00E81A6A" w:rsidP="332625CE">
      <w:pPr>
        <w:pStyle w:val="ListParagraph"/>
        <w:rPr>
          <w:rFonts w:ascii="Cambria" w:hAnsi="Cambria" w:cs="Calibri Light"/>
          <w:color w:val="000000" w:themeColor="text1"/>
          <w:sz w:val="20"/>
          <w:szCs w:val="20"/>
          <w:lang w:val="es-US"/>
        </w:rPr>
      </w:pPr>
    </w:p>
    <w:p w14:paraId="0FB5E521" w14:textId="2068D4FF" w:rsidR="001F5665" w:rsidRPr="00EA10F6" w:rsidRDefault="00552CF0" w:rsidP="332625CE">
      <w:pPr>
        <w:pStyle w:val="ListParagraph"/>
        <w:numPr>
          <w:ilvl w:val="0"/>
          <w:numId w:val="10"/>
        </w:numPr>
        <w:spacing w:after="0" w:line="240" w:lineRule="auto"/>
        <w:ind w:left="0" w:firstLine="630"/>
        <w:jc w:val="both"/>
        <w:rPr>
          <w:rFonts w:ascii="Cambria" w:hAnsi="Cambria" w:cs="Calibri Light"/>
          <w:b/>
          <w:bCs/>
          <w:color w:val="000000" w:themeColor="text1"/>
          <w:sz w:val="20"/>
          <w:szCs w:val="20"/>
          <w:lang w:val="es-US"/>
        </w:rPr>
      </w:pPr>
      <w:r w:rsidRPr="00EA10F6">
        <w:rPr>
          <w:rFonts w:ascii="Cambria" w:hAnsi="Cambria" w:cs="Calibri Light"/>
          <w:color w:val="000000" w:themeColor="text1"/>
          <w:sz w:val="20"/>
          <w:szCs w:val="20"/>
          <w:lang w:val="es-US"/>
        </w:rPr>
        <w:t xml:space="preserve">La CIDH toma nota de la posición expresada por el Estado y los peticionarios </w:t>
      </w:r>
      <w:proofErr w:type="gramStart"/>
      <w:r w:rsidRPr="00EA10F6">
        <w:rPr>
          <w:rFonts w:ascii="Cambria" w:hAnsi="Cambria" w:cs="Calibri Light"/>
          <w:color w:val="000000" w:themeColor="text1"/>
          <w:sz w:val="20"/>
          <w:szCs w:val="20"/>
          <w:lang w:val="es-US"/>
        </w:rPr>
        <w:t>en relación a</w:t>
      </w:r>
      <w:proofErr w:type="gramEnd"/>
      <w:r w:rsidRPr="00EA10F6">
        <w:rPr>
          <w:rFonts w:ascii="Cambria" w:hAnsi="Cambria" w:cs="Calibri Light"/>
          <w:color w:val="000000" w:themeColor="text1"/>
          <w:sz w:val="20"/>
          <w:szCs w:val="20"/>
          <w:lang w:val="es-US"/>
        </w:rPr>
        <w:t xml:space="preserve"> la prescripción de la acción penal.</w:t>
      </w:r>
      <w:r w:rsidR="0059414E" w:rsidRPr="00EA10F6">
        <w:rPr>
          <w:rFonts w:ascii="Cambria" w:hAnsi="Cambria" w:cs="Calibri Light"/>
          <w:color w:val="000000" w:themeColor="text1"/>
          <w:sz w:val="20"/>
          <w:szCs w:val="20"/>
          <w:lang w:val="es-US"/>
        </w:rPr>
        <w:t xml:space="preserve"> Al respecto, en consonancia con la jurisprudencia interamericana, </w:t>
      </w:r>
      <w:r w:rsidR="0059414E" w:rsidRPr="00EA10F6">
        <w:rPr>
          <w:rFonts w:ascii="Cambria" w:hAnsi="Cambria"/>
          <w:color w:val="000000" w:themeColor="text1"/>
          <w:sz w:val="20"/>
          <w:szCs w:val="20"/>
          <w:lang w:val="es-US"/>
        </w:rPr>
        <w:t xml:space="preserve">la CIDH recuerda que, si bien prescripción debe ser observada debidamente por el juzgador para todo imputado de un delito, la invocación y aplicación de </w:t>
      </w:r>
      <w:proofErr w:type="gramStart"/>
      <w:r w:rsidR="0059414E" w:rsidRPr="00EA10F6">
        <w:rPr>
          <w:rFonts w:ascii="Cambria" w:hAnsi="Cambria"/>
          <w:color w:val="000000" w:themeColor="text1"/>
          <w:sz w:val="20"/>
          <w:szCs w:val="20"/>
          <w:lang w:val="es-US"/>
        </w:rPr>
        <w:t>la misma</w:t>
      </w:r>
      <w:proofErr w:type="gramEnd"/>
      <w:r w:rsidR="0059414E" w:rsidRPr="00EA10F6">
        <w:rPr>
          <w:rFonts w:ascii="Cambria" w:hAnsi="Cambria"/>
          <w:color w:val="000000" w:themeColor="text1"/>
          <w:sz w:val="20"/>
          <w:szCs w:val="20"/>
          <w:lang w:val="es-US"/>
        </w:rPr>
        <w:t xml:space="preserve"> es inaceptable cuando ha quedado claramente probado que el transcurso del tiempo ha sido determinado por actuaciones u omisiones procesales dirigidas, con clara mala fe o negligencia, a propiciar o permitir la impunidad. Así, la Corte Interamericana ha señalado que cuando un </w:t>
      </w:r>
      <w:r w:rsidR="0059414E" w:rsidRPr="00EA10F6">
        <w:rPr>
          <w:rFonts w:ascii="Cambria" w:hAnsi="Cambria"/>
          <w:color w:val="000000" w:themeColor="text1"/>
          <w:sz w:val="20"/>
          <w:szCs w:val="20"/>
          <w:lang w:val="es-US"/>
        </w:rPr>
        <w:lastRenderedPageBreak/>
        <w:t>Estado ha ratificado un tratado internacional como la Convención Americana, sus jueces, como parte del aparato del Estado, también están sometidos a ella, lo que les obliga a velar porque los efectos de las disposiciones de la Convención no se vean mermadas.</w:t>
      </w:r>
      <w:r w:rsidR="0059414E" w:rsidRPr="00EA10F6">
        <w:rPr>
          <w:rStyle w:val="FootnoteReference"/>
          <w:rFonts w:ascii="Cambria" w:hAnsi="Cambria"/>
          <w:color w:val="000000" w:themeColor="text1"/>
          <w:sz w:val="20"/>
          <w:szCs w:val="20"/>
          <w:lang w:val="es-US"/>
        </w:rPr>
        <w:footnoteReference w:id="3"/>
      </w:r>
      <w:r w:rsidR="0059414E" w:rsidRPr="00EA10F6">
        <w:rPr>
          <w:rFonts w:ascii="Cambria" w:hAnsi="Cambria"/>
          <w:color w:val="000000" w:themeColor="text1"/>
          <w:sz w:val="20"/>
          <w:szCs w:val="20"/>
          <w:lang w:val="es-US"/>
        </w:rPr>
        <w:t xml:space="preserve"> En el presente caso, la CIDH </w:t>
      </w:r>
      <w:r w:rsidR="00870254" w:rsidRPr="00EA10F6">
        <w:rPr>
          <w:rFonts w:ascii="Cambria" w:hAnsi="Cambria"/>
          <w:color w:val="000000" w:themeColor="text1"/>
          <w:sz w:val="20"/>
          <w:szCs w:val="20"/>
          <w:lang w:val="es-US"/>
        </w:rPr>
        <w:t xml:space="preserve">reitera que </w:t>
      </w:r>
      <w:r w:rsidR="0059414E" w:rsidRPr="00EA10F6">
        <w:rPr>
          <w:rFonts w:ascii="Cambria" w:hAnsi="Cambria"/>
          <w:color w:val="000000" w:themeColor="text1"/>
          <w:sz w:val="20"/>
          <w:szCs w:val="20"/>
          <w:lang w:val="es-US"/>
        </w:rPr>
        <w:t>no cuenta con elementos suficientes para determinar si los procesos prescribieron por omisiones atribuibles al Estado efectuadas con la intención de sustraer a los responsables de la justicia</w:t>
      </w:r>
      <w:r w:rsidR="00870254" w:rsidRPr="00EA10F6">
        <w:rPr>
          <w:rFonts w:ascii="Cambria" w:hAnsi="Cambria"/>
          <w:color w:val="000000" w:themeColor="text1"/>
          <w:sz w:val="20"/>
          <w:szCs w:val="20"/>
          <w:lang w:val="es-US"/>
        </w:rPr>
        <w:t xml:space="preserve"> o por otras circunstancias ajenas al mismo</w:t>
      </w:r>
      <w:r w:rsidR="0059414E" w:rsidRPr="00EA10F6">
        <w:rPr>
          <w:rFonts w:ascii="Cambria" w:hAnsi="Cambria"/>
          <w:color w:val="000000" w:themeColor="text1"/>
          <w:sz w:val="20"/>
          <w:szCs w:val="20"/>
          <w:lang w:val="es-US"/>
        </w:rPr>
        <w:t xml:space="preserve">. En este entendido, la CIDH llama a las partes a presentar </w:t>
      </w:r>
      <w:r w:rsidR="00870254" w:rsidRPr="00EA10F6">
        <w:rPr>
          <w:rFonts w:ascii="Cambria" w:hAnsi="Cambria"/>
          <w:color w:val="000000" w:themeColor="text1"/>
          <w:sz w:val="20"/>
          <w:szCs w:val="20"/>
          <w:lang w:val="es-US"/>
        </w:rPr>
        <w:t>información específica</w:t>
      </w:r>
      <w:r w:rsidR="0059414E" w:rsidRPr="00EA10F6">
        <w:rPr>
          <w:rFonts w:ascii="Cambria" w:hAnsi="Cambria"/>
          <w:color w:val="000000" w:themeColor="text1"/>
          <w:sz w:val="20"/>
          <w:szCs w:val="20"/>
          <w:lang w:val="es-US"/>
        </w:rPr>
        <w:t xml:space="preserve"> sobre este punto y concluye que la recomendación primera se encuentra pendiente de cumplimiento. </w:t>
      </w:r>
    </w:p>
    <w:p w14:paraId="36571CC9" w14:textId="77777777" w:rsidR="00CD79D9" w:rsidRPr="00EA10F6" w:rsidRDefault="00CD79D9" w:rsidP="00CD79D9">
      <w:pPr>
        <w:spacing w:after="0" w:line="240" w:lineRule="auto"/>
        <w:rPr>
          <w:rFonts w:ascii="Cambria" w:hAnsi="Cambria"/>
          <w:color w:val="000000" w:themeColor="text1"/>
          <w:sz w:val="20"/>
          <w:szCs w:val="20"/>
          <w:lang w:val="es-US"/>
        </w:rPr>
      </w:pPr>
    </w:p>
    <w:p w14:paraId="46F8174C" w14:textId="54EF6AB8" w:rsidR="00CD79D9" w:rsidRPr="00EA10F6" w:rsidRDefault="00A04097" w:rsidP="332625CE">
      <w:pPr>
        <w:pStyle w:val="ListParagraph"/>
        <w:numPr>
          <w:ilvl w:val="0"/>
          <w:numId w:val="1"/>
        </w:numPr>
        <w:spacing w:after="0" w:line="240" w:lineRule="auto"/>
        <w:ind w:left="1440"/>
        <w:jc w:val="both"/>
        <w:rPr>
          <w:rFonts w:ascii="Cambria" w:hAnsi="Cambria" w:cs="Calibri Light"/>
          <w:b/>
          <w:bCs/>
          <w:color w:val="000000" w:themeColor="text1"/>
          <w:sz w:val="20"/>
          <w:szCs w:val="20"/>
          <w:lang w:val="es-US"/>
        </w:rPr>
      </w:pPr>
      <w:r w:rsidRPr="332625CE">
        <w:rPr>
          <w:rFonts w:ascii="Cambria" w:hAnsi="Cambria" w:cs="Calibri Light"/>
          <w:b/>
          <w:bCs/>
          <w:color w:val="000000" w:themeColor="text1"/>
          <w:sz w:val="20"/>
          <w:szCs w:val="20"/>
          <w:lang w:val="es-US"/>
        </w:rPr>
        <w:t>Nivel</w:t>
      </w:r>
      <w:r w:rsidR="00CD79D9" w:rsidRPr="332625CE">
        <w:rPr>
          <w:rFonts w:ascii="Cambria" w:hAnsi="Cambria" w:cs="Calibri Light"/>
          <w:b/>
          <w:bCs/>
          <w:color w:val="000000" w:themeColor="text1"/>
          <w:sz w:val="20"/>
          <w:szCs w:val="20"/>
          <w:lang w:val="es-US"/>
        </w:rPr>
        <w:t xml:space="preserve"> del cumplimiento del caso </w:t>
      </w:r>
    </w:p>
    <w:p w14:paraId="36A29501" w14:textId="77777777" w:rsidR="00CD79D9" w:rsidRPr="00EA10F6" w:rsidRDefault="00CD79D9" w:rsidP="00CD79D9">
      <w:pPr>
        <w:spacing w:after="0" w:line="240" w:lineRule="auto"/>
        <w:jc w:val="both"/>
        <w:rPr>
          <w:rFonts w:ascii="Cambria" w:hAnsi="Cambria" w:cs="Calibri Light"/>
          <w:color w:val="000000" w:themeColor="text1"/>
          <w:sz w:val="20"/>
          <w:szCs w:val="20"/>
          <w:lang w:val="es-US"/>
        </w:rPr>
      </w:pPr>
    </w:p>
    <w:p w14:paraId="72311F32" w14:textId="3E9B68A8" w:rsidR="00CD79D9" w:rsidRPr="00EA10F6" w:rsidRDefault="002A3449" w:rsidP="00CD79D9">
      <w:pPr>
        <w:pStyle w:val="ListParagraph"/>
        <w:numPr>
          <w:ilvl w:val="0"/>
          <w:numId w:val="10"/>
        </w:numPr>
        <w:spacing w:after="0" w:line="240" w:lineRule="auto"/>
        <w:ind w:left="0" w:firstLine="630"/>
        <w:jc w:val="both"/>
        <w:rPr>
          <w:rFonts w:ascii="Cambria" w:hAnsi="Cambria" w:cs="Calibri Light"/>
          <w:color w:val="000000" w:themeColor="text1"/>
          <w:sz w:val="20"/>
          <w:szCs w:val="20"/>
          <w:lang w:val="es-US"/>
        </w:rPr>
      </w:pPr>
      <w:r w:rsidRPr="332625CE">
        <w:rPr>
          <w:rFonts w:ascii="Cambria" w:hAnsi="Cambria" w:cs="Calibri Light"/>
          <w:color w:val="000000" w:themeColor="text1"/>
          <w:sz w:val="20"/>
          <w:szCs w:val="20"/>
          <w:lang w:val="es-US"/>
        </w:rPr>
        <w:t xml:space="preserve">Por lo anterior, la Comisión concluye que el estado de cumplimiento del caso es parcial. </w:t>
      </w:r>
    </w:p>
    <w:p w14:paraId="6B0ABEFC" w14:textId="77777777" w:rsidR="002A3449" w:rsidRPr="00EA10F6" w:rsidRDefault="002A3449" w:rsidP="002A3449">
      <w:pPr>
        <w:pStyle w:val="ListParagraph"/>
        <w:spacing w:after="0" w:line="240" w:lineRule="auto"/>
        <w:ind w:left="630"/>
        <w:jc w:val="both"/>
        <w:rPr>
          <w:rFonts w:ascii="Cambria" w:hAnsi="Cambria" w:cs="Calibri Light"/>
          <w:color w:val="000000" w:themeColor="text1"/>
          <w:sz w:val="20"/>
          <w:szCs w:val="20"/>
          <w:lang w:val="es-US"/>
        </w:rPr>
      </w:pPr>
    </w:p>
    <w:p w14:paraId="6186A484" w14:textId="77777777" w:rsidR="00CD79D9" w:rsidRPr="00EA10F6" w:rsidRDefault="00DB7DF1" w:rsidP="332625CE">
      <w:pPr>
        <w:pStyle w:val="ListParagraph"/>
        <w:numPr>
          <w:ilvl w:val="0"/>
          <w:numId w:val="1"/>
        </w:numPr>
        <w:spacing w:after="0" w:line="240" w:lineRule="auto"/>
        <w:ind w:left="1440"/>
        <w:jc w:val="both"/>
        <w:rPr>
          <w:rFonts w:ascii="Cambria" w:hAnsi="Cambria" w:cs="Calibri Light"/>
          <w:b/>
          <w:bCs/>
          <w:color w:val="000000" w:themeColor="text1"/>
          <w:sz w:val="20"/>
          <w:szCs w:val="20"/>
          <w:lang w:val="es-US"/>
        </w:rPr>
      </w:pPr>
      <w:r w:rsidRPr="332625CE">
        <w:rPr>
          <w:rFonts w:ascii="Cambria" w:hAnsi="Cambria" w:cs="Calibri Light"/>
          <w:b/>
          <w:bCs/>
          <w:color w:val="000000" w:themeColor="text1"/>
          <w:sz w:val="20"/>
          <w:szCs w:val="20"/>
          <w:lang w:val="es-US"/>
        </w:rPr>
        <w:t>Resultados individuales y estructurales</w:t>
      </w:r>
      <w:r w:rsidR="00CD79D9" w:rsidRPr="332625CE">
        <w:rPr>
          <w:rFonts w:ascii="Cambria" w:hAnsi="Cambria" w:cs="Calibri Light"/>
          <w:b/>
          <w:bCs/>
          <w:color w:val="000000" w:themeColor="text1"/>
          <w:sz w:val="20"/>
          <w:szCs w:val="20"/>
          <w:lang w:val="es-US"/>
        </w:rPr>
        <w:t xml:space="preserve"> del caso </w:t>
      </w:r>
    </w:p>
    <w:p w14:paraId="056256C4" w14:textId="77777777" w:rsidR="00CD79D9" w:rsidRPr="00EA10F6" w:rsidRDefault="00CD79D9" w:rsidP="332625CE">
      <w:pPr>
        <w:spacing w:after="0" w:line="240" w:lineRule="auto"/>
        <w:jc w:val="both"/>
        <w:rPr>
          <w:rFonts w:ascii="Cambria" w:hAnsi="Cambria" w:cs="Calibri Light"/>
          <w:b/>
          <w:bCs/>
          <w:color w:val="000000" w:themeColor="text1"/>
          <w:sz w:val="20"/>
          <w:szCs w:val="20"/>
          <w:lang w:val="es-US"/>
        </w:rPr>
      </w:pPr>
    </w:p>
    <w:p w14:paraId="208712AF" w14:textId="510CCD11" w:rsidR="00A6148D" w:rsidRPr="00EA10F6" w:rsidRDefault="00A6148D" w:rsidP="00A6148D">
      <w:pPr>
        <w:pStyle w:val="ListParagraph"/>
        <w:numPr>
          <w:ilvl w:val="0"/>
          <w:numId w:val="10"/>
        </w:numPr>
        <w:spacing w:after="0" w:line="240" w:lineRule="auto"/>
        <w:ind w:left="0" w:firstLine="720"/>
        <w:jc w:val="both"/>
        <w:rPr>
          <w:rFonts w:ascii="Cambria" w:hAnsi="Cambria" w:cs="Calibri Light"/>
          <w:color w:val="000000" w:themeColor="text1"/>
          <w:sz w:val="20"/>
          <w:szCs w:val="20"/>
          <w:lang w:val="es-US"/>
        </w:rPr>
      </w:pPr>
      <w:r w:rsidRPr="332625CE">
        <w:rPr>
          <w:rFonts w:ascii="Cambria" w:hAnsi="Cambria" w:cs="Calibri Light"/>
          <w:color w:val="000000" w:themeColor="text1"/>
          <w:sz w:val="20"/>
          <w:szCs w:val="20"/>
          <w:lang w:val="es-US"/>
        </w:rPr>
        <w:t>En esta sección se destaca</w:t>
      </w:r>
      <w:r w:rsidR="003C4FCD" w:rsidRPr="332625CE">
        <w:rPr>
          <w:rFonts w:ascii="Cambria" w:hAnsi="Cambria" w:cs="Calibri Light"/>
          <w:color w:val="000000" w:themeColor="text1"/>
          <w:sz w:val="20"/>
          <w:szCs w:val="20"/>
          <w:lang w:val="es-US"/>
        </w:rPr>
        <w:t>n</w:t>
      </w:r>
      <w:r w:rsidRPr="332625CE">
        <w:rPr>
          <w:rFonts w:ascii="Cambria" w:hAnsi="Cambria" w:cs="Calibri Light"/>
          <w:color w:val="000000" w:themeColor="text1"/>
          <w:sz w:val="20"/>
          <w:szCs w:val="20"/>
          <w:lang w:val="es-US"/>
        </w:rPr>
        <w:t xml:space="preserve"> los resultados individuales y estructurales del caso informados por las partes. </w:t>
      </w:r>
    </w:p>
    <w:p w14:paraId="78BDB2F3" w14:textId="77777777" w:rsidR="00A6148D" w:rsidRPr="00EA10F6" w:rsidRDefault="00A6148D" w:rsidP="332625CE">
      <w:pPr>
        <w:spacing w:after="0" w:line="240" w:lineRule="auto"/>
        <w:jc w:val="both"/>
        <w:rPr>
          <w:rFonts w:ascii="Cambria" w:hAnsi="Cambria" w:cs="Calibri Light"/>
          <w:b/>
          <w:bCs/>
          <w:color w:val="000000" w:themeColor="text1"/>
          <w:sz w:val="20"/>
          <w:szCs w:val="20"/>
          <w:lang w:val="es-US"/>
        </w:rPr>
      </w:pPr>
    </w:p>
    <w:p w14:paraId="28A74584" w14:textId="77777777" w:rsidR="00CD79D9" w:rsidRPr="00EA10F6" w:rsidRDefault="00857166" w:rsidP="332625CE">
      <w:pPr>
        <w:pStyle w:val="ListParagraph"/>
        <w:numPr>
          <w:ilvl w:val="0"/>
          <w:numId w:val="2"/>
        </w:numPr>
        <w:spacing w:after="0" w:line="240" w:lineRule="auto"/>
        <w:ind w:left="1440" w:hanging="720"/>
        <w:jc w:val="both"/>
        <w:rPr>
          <w:rFonts w:ascii="Cambria" w:hAnsi="Cambria" w:cs="Calibri Light"/>
          <w:b/>
          <w:bCs/>
          <w:color w:val="000000" w:themeColor="text1"/>
          <w:sz w:val="20"/>
          <w:szCs w:val="20"/>
          <w:lang w:val="es-US"/>
        </w:rPr>
      </w:pPr>
      <w:r w:rsidRPr="332625CE">
        <w:rPr>
          <w:rFonts w:ascii="Cambria" w:hAnsi="Cambria" w:cs="Calibri Light"/>
          <w:b/>
          <w:bCs/>
          <w:color w:val="000000" w:themeColor="text1"/>
          <w:sz w:val="20"/>
          <w:szCs w:val="20"/>
          <w:lang w:val="es-US"/>
        </w:rPr>
        <w:t>Resultados individuales</w:t>
      </w:r>
      <w:r w:rsidR="00CD79D9" w:rsidRPr="332625CE">
        <w:rPr>
          <w:rFonts w:ascii="Cambria" w:hAnsi="Cambria" w:cs="Calibri Light"/>
          <w:b/>
          <w:bCs/>
          <w:color w:val="000000" w:themeColor="text1"/>
          <w:sz w:val="20"/>
          <w:szCs w:val="20"/>
          <w:lang w:val="es-US"/>
        </w:rPr>
        <w:t xml:space="preserve"> del caso</w:t>
      </w:r>
    </w:p>
    <w:p w14:paraId="3422A827" w14:textId="77777777" w:rsidR="00CD79D9" w:rsidRPr="00EA10F6" w:rsidRDefault="00CD79D9" w:rsidP="332625CE">
      <w:pPr>
        <w:spacing w:after="0" w:line="240" w:lineRule="auto"/>
        <w:jc w:val="both"/>
        <w:rPr>
          <w:rFonts w:ascii="Cambria" w:hAnsi="Cambria" w:cs="Calibri Light"/>
          <w:b/>
          <w:bCs/>
          <w:color w:val="000000" w:themeColor="text1"/>
          <w:sz w:val="20"/>
          <w:szCs w:val="20"/>
          <w:lang w:val="es-US"/>
        </w:rPr>
      </w:pPr>
    </w:p>
    <w:p w14:paraId="3AD04D3D" w14:textId="77777777" w:rsidR="00826A33" w:rsidRPr="00EA10F6" w:rsidRDefault="00826A33" w:rsidP="332625CE">
      <w:pPr>
        <w:spacing w:after="0" w:line="240" w:lineRule="auto"/>
        <w:jc w:val="both"/>
        <w:rPr>
          <w:rFonts w:ascii="Cambria" w:hAnsi="Cambria" w:cs="Calibri Light"/>
          <w:i/>
          <w:iCs/>
          <w:color w:val="000000" w:themeColor="text1"/>
          <w:sz w:val="20"/>
          <w:szCs w:val="20"/>
          <w:lang w:val="es-US"/>
        </w:rPr>
      </w:pPr>
      <w:r w:rsidRPr="332625CE">
        <w:rPr>
          <w:rFonts w:ascii="Cambria" w:hAnsi="Cambria" w:cs="Calibri Light"/>
          <w:i/>
          <w:iCs/>
          <w:color w:val="000000" w:themeColor="text1"/>
          <w:sz w:val="20"/>
          <w:szCs w:val="20"/>
          <w:lang w:val="es-US"/>
        </w:rPr>
        <w:t xml:space="preserve">Medidas de compensación pecuniaria </w:t>
      </w:r>
    </w:p>
    <w:p w14:paraId="3099B9C9" w14:textId="77777777" w:rsidR="00CD79D9" w:rsidRPr="00EA10F6" w:rsidRDefault="00112307" w:rsidP="00CD79D9">
      <w:pPr>
        <w:pStyle w:val="ListParagraph"/>
        <w:numPr>
          <w:ilvl w:val="0"/>
          <w:numId w:val="3"/>
        </w:numPr>
        <w:spacing w:after="0" w:line="240" w:lineRule="auto"/>
        <w:jc w:val="both"/>
        <w:rPr>
          <w:rFonts w:ascii="Cambria" w:hAnsi="Cambria" w:cs="Calibri Light"/>
          <w:color w:val="000000" w:themeColor="text1"/>
          <w:sz w:val="20"/>
          <w:szCs w:val="20"/>
          <w:lang w:val="es-US"/>
        </w:rPr>
      </w:pPr>
      <w:r w:rsidRPr="332625CE">
        <w:rPr>
          <w:rFonts w:ascii="Cambria" w:hAnsi="Cambria" w:cs="Calibri Light"/>
          <w:color w:val="000000" w:themeColor="text1"/>
          <w:sz w:val="20"/>
          <w:szCs w:val="20"/>
          <w:lang w:val="es-US"/>
        </w:rPr>
        <w:t>El 16 de junio de 2011 se completó el p</w:t>
      </w:r>
      <w:r w:rsidR="00C35236" w:rsidRPr="332625CE">
        <w:rPr>
          <w:rFonts w:ascii="Cambria" w:hAnsi="Cambria" w:cs="Calibri Light"/>
          <w:color w:val="000000" w:themeColor="text1"/>
          <w:sz w:val="20"/>
          <w:szCs w:val="20"/>
          <w:lang w:val="es-US"/>
        </w:rPr>
        <w:t xml:space="preserve">ago de veinticinco mil córdobas (C$25.000.00) </w:t>
      </w:r>
      <w:r w:rsidRPr="332625CE">
        <w:rPr>
          <w:rFonts w:ascii="Cambria" w:hAnsi="Cambria" w:cs="Calibri Light"/>
          <w:color w:val="000000" w:themeColor="text1"/>
          <w:sz w:val="20"/>
          <w:szCs w:val="20"/>
          <w:lang w:val="es-US"/>
        </w:rPr>
        <w:t xml:space="preserve">que </w:t>
      </w:r>
      <w:r w:rsidR="00C35236" w:rsidRPr="332625CE">
        <w:rPr>
          <w:rFonts w:ascii="Cambria" w:hAnsi="Cambria" w:cs="Calibri Light"/>
          <w:color w:val="000000" w:themeColor="text1"/>
          <w:sz w:val="20"/>
          <w:szCs w:val="20"/>
          <w:lang w:val="es-US"/>
        </w:rPr>
        <w:t xml:space="preserve">por cinco años </w:t>
      </w:r>
      <w:r w:rsidRPr="332625CE">
        <w:rPr>
          <w:rFonts w:ascii="Cambria" w:hAnsi="Cambria" w:cs="Calibri Light"/>
          <w:color w:val="000000" w:themeColor="text1"/>
          <w:sz w:val="20"/>
          <w:szCs w:val="20"/>
          <w:lang w:val="es-US"/>
        </w:rPr>
        <w:t>(2007-2011) el Estado otorgó a 144</w:t>
      </w:r>
      <w:r w:rsidR="00C35236" w:rsidRPr="332625CE">
        <w:rPr>
          <w:rFonts w:ascii="Cambria" w:hAnsi="Cambria" w:cs="Calibri Light"/>
          <w:color w:val="000000" w:themeColor="text1"/>
          <w:sz w:val="20"/>
          <w:szCs w:val="20"/>
          <w:lang w:val="es-US"/>
        </w:rPr>
        <w:t xml:space="preserve"> </w:t>
      </w:r>
      <w:proofErr w:type="gramStart"/>
      <w:r w:rsidR="00C35236" w:rsidRPr="332625CE">
        <w:rPr>
          <w:rFonts w:ascii="Cambria" w:hAnsi="Cambria" w:cs="Calibri Light"/>
          <w:color w:val="000000" w:themeColor="text1"/>
          <w:sz w:val="20"/>
          <w:szCs w:val="20"/>
          <w:lang w:val="es-US"/>
        </w:rPr>
        <w:t xml:space="preserve">ex </w:t>
      </w:r>
      <w:r w:rsidRPr="332625CE">
        <w:rPr>
          <w:rFonts w:ascii="Cambria" w:hAnsi="Cambria" w:cs="Calibri Light"/>
          <w:color w:val="000000" w:themeColor="text1"/>
          <w:sz w:val="20"/>
          <w:szCs w:val="20"/>
          <w:lang w:val="es-US"/>
        </w:rPr>
        <w:t>trabajadores</w:t>
      </w:r>
      <w:proofErr w:type="gramEnd"/>
      <w:r w:rsidR="00C35236" w:rsidRPr="332625CE">
        <w:rPr>
          <w:rFonts w:ascii="Cambria" w:hAnsi="Cambria" w:cs="Calibri Light"/>
          <w:color w:val="000000" w:themeColor="text1"/>
          <w:sz w:val="20"/>
          <w:szCs w:val="20"/>
          <w:lang w:val="es-US"/>
        </w:rPr>
        <w:t>, lo que equivale a dieciocho millones de córdobas (C$18.000.000.00)</w:t>
      </w:r>
      <w:r w:rsidRPr="332625CE">
        <w:rPr>
          <w:rFonts w:ascii="Cambria" w:hAnsi="Cambria" w:cs="Calibri Light"/>
          <w:color w:val="000000" w:themeColor="text1"/>
          <w:sz w:val="20"/>
          <w:szCs w:val="20"/>
          <w:lang w:val="es-US"/>
        </w:rPr>
        <w:t xml:space="preserve">. </w:t>
      </w:r>
    </w:p>
    <w:p w14:paraId="147910CA" w14:textId="77777777" w:rsidR="00C35236" w:rsidRPr="00EA10F6" w:rsidRDefault="00112307" w:rsidP="00CD79D9">
      <w:pPr>
        <w:pStyle w:val="ListParagraph"/>
        <w:numPr>
          <w:ilvl w:val="0"/>
          <w:numId w:val="3"/>
        </w:numPr>
        <w:spacing w:after="0" w:line="240" w:lineRule="auto"/>
        <w:jc w:val="both"/>
        <w:rPr>
          <w:rFonts w:ascii="Cambria" w:hAnsi="Cambria" w:cs="Calibri Light"/>
          <w:color w:val="000000" w:themeColor="text1"/>
          <w:sz w:val="20"/>
          <w:szCs w:val="20"/>
          <w:lang w:val="es-US"/>
        </w:rPr>
      </w:pPr>
      <w:r w:rsidRPr="332625CE">
        <w:rPr>
          <w:rFonts w:ascii="Cambria" w:hAnsi="Cambria" w:cs="Calibri Light"/>
          <w:color w:val="000000" w:themeColor="text1"/>
          <w:sz w:val="20"/>
          <w:szCs w:val="20"/>
          <w:lang w:val="es-US"/>
        </w:rPr>
        <w:t>El 16 de junio de 2011 se informa sobre la r</w:t>
      </w:r>
      <w:r w:rsidR="00C35236" w:rsidRPr="332625CE">
        <w:rPr>
          <w:rFonts w:ascii="Cambria" w:hAnsi="Cambria" w:cs="Calibri Light"/>
          <w:color w:val="000000" w:themeColor="text1"/>
          <w:sz w:val="20"/>
          <w:szCs w:val="20"/>
          <w:lang w:val="es-US"/>
        </w:rPr>
        <w:t>eincorporación a las labores de aduanas a 46 personas.</w:t>
      </w:r>
    </w:p>
    <w:p w14:paraId="0385D4C7" w14:textId="77777777" w:rsidR="00C35236" w:rsidRPr="00EA10F6" w:rsidRDefault="00112307" w:rsidP="00CD79D9">
      <w:pPr>
        <w:pStyle w:val="ListParagraph"/>
        <w:numPr>
          <w:ilvl w:val="0"/>
          <w:numId w:val="3"/>
        </w:numPr>
        <w:spacing w:after="0" w:line="240" w:lineRule="auto"/>
        <w:jc w:val="both"/>
        <w:rPr>
          <w:rFonts w:ascii="Cambria" w:hAnsi="Cambria" w:cs="Calibri Light"/>
          <w:color w:val="000000" w:themeColor="text1"/>
          <w:sz w:val="20"/>
          <w:szCs w:val="20"/>
          <w:lang w:val="es-US"/>
        </w:rPr>
      </w:pPr>
      <w:r w:rsidRPr="332625CE">
        <w:rPr>
          <w:rFonts w:ascii="Cambria" w:hAnsi="Cambria" w:cs="Calibri Light"/>
          <w:color w:val="000000" w:themeColor="text1"/>
          <w:sz w:val="20"/>
          <w:szCs w:val="20"/>
          <w:lang w:val="es-US"/>
        </w:rPr>
        <w:t>El 16 de junio de 2011 se informa sobre el p</w:t>
      </w:r>
      <w:r w:rsidR="00C35236" w:rsidRPr="332625CE">
        <w:rPr>
          <w:rFonts w:ascii="Cambria" w:hAnsi="Cambria" w:cs="Calibri Light"/>
          <w:color w:val="000000" w:themeColor="text1"/>
          <w:sz w:val="20"/>
          <w:szCs w:val="20"/>
          <w:lang w:val="es-US"/>
        </w:rPr>
        <w:t>ago de las cotizaciones del INSS correspondientes a los 14 años</w:t>
      </w:r>
      <w:r w:rsidRPr="332625CE">
        <w:rPr>
          <w:rFonts w:ascii="Cambria" w:hAnsi="Cambria" w:cs="Calibri Light"/>
          <w:color w:val="000000" w:themeColor="text1"/>
          <w:sz w:val="20"/>
          <w:szCs w:val="20"/>
          <w:lang w:val="es-US"/>
        </w:rPr>
        <w:t xml:space="preserve"> no laborados</w:t>
      </w:r>
    </w:p>
    <w:p w14:paraId="40407D08" w14:textId="77777777" w:rsidR="00CD79D9" w:rsidRPr="00EA10F6" w:rsidRDefault="00CD79D9" w:rsidP="00CD79D9">
      <w:pPr>
        <w:spacing w:after="0" w:line="240" w:lineRule="auto"/>
        <w:jc w:val="both"/>
        <w:rPr>
          <w:rFonts w:ascii="Cambria" w:hAnsi="Cambria" w:cs="Calibri Light"/>
          <w:color w:val="000000" w:themeColor="text1"/>
          <w:sz w:val="20"/>
          <w:szCs w:val="20"/>
          <w:lang w:val="es-US"/>
        </w:rPr>
      </w:pPr>
    </w:p>
    <w:p w14:paraId="0509723A" w14:textId="77777777" w:rsidR="00CD79D9" w:rsidRPr="00EA10F6" w:rsidRDefault="00857166" w:rsidP="332625CE">
      <w:pPr>
        <w:pStyle w:val="ListParagraph"/>
        <w:numPr>
          <w:ilvl w:val="0"/>
          <w:numId w:val="2"/>
        </w:numPr>
        <w:spacing w:after="0" w:line="240" w:lineRule="auto"/>
        <w:ind w:left="1440" w:hanging="720"/>
        <w:jc w:val="both"/>
        <w:rPr>
          <w:rFonts w:ascii="Cambria" w:hAnsi="Cambria" w:cs="Calibri Light"/>
          <w:b/>
          <w:bCs/>
          <w:color w:val="000000" w:themeColor="text1"/>
          <w:sz w:val="20"/>
          <w:szCs w:val="20"/>
          <w:lang w:val="es-US"/>
        </w:rPr>
      </w:pPr>
      <w:r w:rsidRPr="332625CE">
        <w:rPr>
          <w:rFonts w:ascii="Cambria" w:hAnsi="Cambria" w:cs="Calibri Light"/>
          <w:b/>
          <w:bCs/>
          <w:color w:val="000000" w:themeColor="text1"/>
          <w:sz w:val="20"/>
          <w:szCs w:val="20"/>
          <w:lang w:val="es-US"/>
        </w:rPr>
        <w:t>Resultados</w:t>
      </w:r>
      <w:r w:rsidR="00CD79D9" w:rsidRPr="332625CE">
        <w:rPr>
          <w:rFonts w:ascii="Cambria" w:hAnsi="Cambria" w:cs="Calibri Light"/>
          <w:b/>
          <w:bCs/>
          <w:color w:val="000000" w:themeColor="text1"/>
          <w:sz w:val="20"/>
          <w:szCs w:val="20"/>
          <w:lang w:val="es-US"/>
        </w:rPr>
        <w:t xml:space="preserve"> estructural</w:t>
      </w:r>
      <w:r w:rsidRPr="332625CE">
        <w:rPr>
          <w:rFonts w:ascii="Cambria" w:hAnsi="Cambria" w:cs="Calibri Light"/>
          <w:b/>
          <w:bCs/>
          <w:color w:val="000000" w:themeColor="text1"/>
          <w:sz w:val="20"/>
          <w:szCs w:val="20"/>
          <w:lang w:val="es-US"/>
        </w:rPr>
        <w:t>es</w:t>
      </w:r>
      <w:r w:rsidR="00CD79D9" w:rsidRPr="332625CE">
        <w:rPr>
          <w:rFonts w:ascii="Cambria" w:hAnsi="Cambria" w:cs="Calibri Light"/>
          <w:b/>
          <w:bCs/>
          <w:color w:val="000000" w:themeColor="text1"/>
          <w:sz w:val="20"/>
          <w:szCs w:val="20"/>
          <w:lang w:val="es-US"/>
        </w:rPr>
        <w:t xml:space="preserve"> del caso</w:t>
      </w:r>
    </w:p>
    <w:p w14:paraId="566FD823" w14:textId="77777777" w:rsidR="00CD79D9" w:rsidRPr="00EA10F6" w:rsidRDefault="00CD79D9" w:rsidP="00CD79D9">
      <w:pPr>
        <w:spacing w:after="0" w:line="240" w:lineRule="auto"/>
        <w:rPr>
          <w:rFonts w:ascii="Cambria" w:hAnsi="Cambria"/>
          <w:color w:val="000000" w:themeColor="text1"/>
          <w:sz w:val="20"/>
          <w:szCs w:val="20"/>
          <w:lang w:val="es-ES"/>
        </w:rPr>
      </w:pPr>
    </w:p>
    <w:p w14:paraId="1BC391FB" w14:textId="209C1BBB" w:rsidR="00CD79D9" w:rsidRPr="00EA10F6" w:rsidRDefault="00826A33" w:rsidP="00857166">
      <w:pPr>
        <w:pStyle w:val="ListParagraph"/>
        <w:numPr>
          <w:ilvl w:val="0"/>
          <w:numId w:val="3"/>
        </w:numPr>
        <w:spacing w:after="0" w:line="240" w:lineRule="auto"/>
        <w:jc w:val="both"/>
        <w:rPr>
          <w:rFonts w:ascii="Cambria" w:hAnsi="Cambria"/>
          <w:color w:val="000000" w:themeColor="text1"/>
          <w:sz w:val="20"/>
          <w:szCs w:val="20"/>
          <w:lang w:val="es-ES"/>
        </w:rPr>
      </w:pPr>
      <w:r w:rsidRPr="332625CE">
        <w:rPr>
          <w:rFonts w:ascii="Cambria" w:hAnsi="Cambria" w:cs="Calibri Light"/>
          <w:color w:val="000000" w:themeColor="text1"/>
          <w:sz w:val="20"/>
          <w:szCs w:val="20"/>
          <w:lang w:val="es-ES"/>
        </w:rPr>
        <w:t>No hay resultados estructurales informados por las partes</w:t>
      </w:r>
      <w:r w:rsidR="00857166" w:rsidRPr="332625CE">
        <w:rPr>
          <w:rFonts w:ascii="Cambria" w:hAnsi="Cambria" w:cs="Calibri Light"/>
          <w:color w:val="000000" w:themeColor="text1"/>
          <w:sz w:val="20"/>
          <w:szCs w:val="20"/>
          <w:lang w:val="es-ES"/>
        </w:rPr>
        <w:t>.</w:t>
      </w:r>
    </w:p>
    <w:p w14:paraId="38C406CD" w14:textId="77777777" w:rsidR="00791FDD" w:rsidRPr="001A74DB" w:rsidRDefault="00791FDD">
      <w:pPr>
        <w:rPr>
          <w:rFonts w:ascii="Cambria" w:hAnsi="Cambria"/>
          <w:color w:val="000000" w:themeColor="text1"/>
          <w:sz w:val="20"/>
          <w:szCs w:val="20"/>
          <w:lang w:val="es-ES"/>
        </w:rPr>
      </w:pPr>
    </w:p>
    <w:p w14:paraId="5345BE4A" w14:textId="77777777" w:rsidR="00CE20F5" w:rsidRPr="001A74DB" w:rsidRDefault="00CE20F5" w:rsidP="332625CE">
      <w:pPr>
        <w:autoSpaceDE w:val="0"/>
        <w:autoSpaceDN w:val="0"/>
        <w:adjustRightInd w:val="0"/>
        <w:spacing w:after="0" w:line="240" w:lineRule="auto"/>
        <w:jc w:val="both"/>
        <w:rPr>
          <w:rFonts w:ascii="Cambria" w:eastAsiaTheme="minorEastAsia" w:hAnsi="Cambria" w:cs="05kfs"/>
          <w:color w:val="000000" w:themeColor="text1"/>
          <w:sz w:val="20"/>
          <w:szCs w:val="20"/>
          <w:lang w:val="es-ES"/>
        </w:rPr>
      </w:pPr>
    </w:p>
    <w:sectPr w:rsidR="00CE20F5" w:rsidRPr="001A74DB" w:rsidSect="00D367F3">
      <w:headerReference w:type="default" r:id="rId10"/>
      <w:footerReference w:type="default" r:id="rId11"/>
      <w:headerReference w:type="first" r:id="rId12"/>
      <w:pgSz w:w="12240" w:h="15840"/>
      <w:pgMar w:top="1440" w:right="1440" w:bottom="1440" w:left="1440"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1474" w14:textId="77777777" w:rsidR="006037C2" w:rsidRDefault="006037C2" w:rsidP="00CD79D9">
      <w:pPr>
        <w:spacing w:after="0" w:line="240" w:lineRule="auto"/>
      </w:pPr>
      <w:r>
        <w:separator/>
      </w:r>
    </w:p>
  </w:endnote>
  <w:endnote w:type="continuationSeparator" w:id="0">
    <w:p w14:paraId="48F3A489" w14:textId="77777777" w:rsidR="006037C2" w:rsidRDefault="006037C2" w:rsidP="00CD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05kf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85659"/>
      <w:docPartObj>
        <w:docPartGallery w:val="Page Numbers (Bottom of Page)"/>
        <w:docPartUnique/>
      </w:docPartObj>
    </w:sdtPr>
    <w:sdtEndPr>
      <w:rPr>
        <w:noProof/>
        <w:sz w:val="20"/>
        <w:szCs w:val="20"/>
      </w:rPr>
    </w:sdtEndPr>
    <w:sdtContent>
      <w:p w14:paraId="45F2E678" w14:textId="3DF52D7F" w:rsidR="00527572" w:rsidRPr="00527572" w:rsidRDefault="00527572" w:rsidP="00527572">
        <w:pPr>
          <w:pStyle w:val="Footer"/>
          <w:jc w:val="center"/>
          <w:rPr>
            <w:sz w:val="20"/>
            <w:szCs w:val="20"/>
          </w:rPr>
        </w:pPr>
        <w:r w:rsidRPr="00527572">
          <w:rPr>
            <w:sz w:val="20"/>
            <w:szCs w:val="20"/>
          </w:rPr>
          <w:fldChar w:fldCharType="begin"/>
        </w:r>
        <w:r w:rsidRPr="00527572">
          <w:rPr>
            <w:sz w:val="20"/>
            <w:szCs w:val="20"/>
          </w:rPr>
          <w:instrText xml:space="preserve"> PAGE   \* MERGEFORMAT </w:instrText>
        </w:r>
        <w:r w:rsidRPr="00527572">
          <w:rPr>
            <w:sz w:val="20"/>
            <w:szCs w:val="20"/>
          </w:rPr>
          <w:fldChar w:fldCharType="separate"/>
        </w:r>
        <w:r w:rsidRPr="00527572">
          <w:rPr>
            <w:noProof/>
            <w:sz w:val="20"/>
            <w:szCs w:val="20"/>
          </w:rPr>
          <w:t>2</w:t>
        </w:r>
        <w:r w:rsidRPr="0052757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C89C" w14:textId="77777777" w:rsidR="006037C2" w:rsidRDefault="006037C2" w:rsidP="00CD79D9">
      <w:pPr>
        <w:spacing w:after="0" w:line="240" w:lineRule="auto"/>
      </w:pPr>
      <w:r>
        <w:separator/>
      </w:r>
    </w:p>
  </w:footnote>
  <w:footnote w:type="continuationSeparator" w:id="0">
    <w:p w14:paraId="6974161C" w14:textId="77777777" w:rsidR="006037C2" w:rsidRDefault="006037C2" w:rsidP="00CD79D9">
      <w:pPr>
        <w:spacing w:after="0" w:line="240" w:lineRule="auto"/>
      </w:pPr>
      <w:r>
        <w:continuationSeparator/>
      </w:r>
    </w:p>
  </w:footnote>
  <w:footnote w:id="1">
    <w:p w14:paraId="189B91FD" w14:textId="28FE1CB1" w:rsidR="00E81A6A" w:rsidRPr="001A74DB" w:rsidRDefault="00E81A6A" w:rsidP="003D3273">
      <w:pPr>
        <w:spacing w:after="120"/>
        <w:ind w:firstLine="720"/>
        <w:jc w:val="both"/>
        <w:rPr>
          <w:rFonts w:ascii="Cambria" w:hAnsi="Cambria"/>
          <w:color w:val="000000" w:themeColor="text1"/>
          <w:sz w:val="16"/>
          <w:szCs w:val="16"/>
          <w:lang w:val="es-ES"/>
        </w:rPr>
      </w:pPr>
      <w:r w:rsidRPr="001A74DB">
        <w:rPr>
          <w:rStyle w:val="FootnoteReference"/>
          <w:rFonts w:ascii="Cambria" w:hAnsi="Cambria"/>
          <w:color w:val="000000" w:themeColor="text1"/>
          <w:sz w:val="16"/>
          <w:szCs w:val="16"/>
        </w:rPr>
        <w:footnoteRef/>
      </w:r>
      <w:r w:rsidRPr="001A74DB">
        <w:rPr>
          <w:rFonts w:ascii="Cambria" w:hAnsi="Cambria"/>
          <w:color w:val="000000" w:themeColor="text1"/>
          <w:sz w:val="16"/>
          <w:szCs w:val="16"/>
          <w:lang w:val="es-US"/>
        </w:rPr>
        <w:t xml:space="preserve"> </w:t>
      </w:r>
      <w:r w:rsidRPr="001A74DB">
        <w:rPr>
          <w:rFonts w:ascii="Cambria" w:hAnsi="Cambria"/>
          <w:color w:val="000000" w:themeColor="text1"/>
          <w:sz w:val="16"/>
          <w:szCs w:val="16"/>
          <w:lang w:val="es-ES"/>
        </w:rPr>
        <w:t xml:space="preserve">CIDH, Informe Anual 2017, </w:t>
      </w:r>
      <w:hyperlink r:id="rId1" w:history="1">
        <w:r w:rsidRPr="001A74DB">
          <w:rPr>
            <w:rStyle w:val="Hyperlink"/>
            <w:rFonts w:ascii="Cambria" w:hAnsi="Cambria"/>
            <w:color w:val="000000" w:themeColor="text1"/>
            <w:sz w:val="16"/>
            <w:szCs w:val="16"/>
            <w:lang w:val="es-ES"/>
          </w:rPr>
          <w:t>Capítulo II, Sección F: Estado del cumplimiento de las recomendaciones de la CIDH</w:t>
        </w:r>
      </w:hyperlink>
      <w:r w:rsidRPr="001A74DB">
        <w:rPr>
          <w:rFonts w:ascii="Cambria" w:hAnsi="Cambria"/>
          <w:color w:val="000000" w:themeColor="text1"/>
          <w:sz w:val="16"/>
          <w:szCs w:val="16"/>
          <w:lang w:val="es-ES"/>
        </w:rPr>
        <w:t>, párr. 1987</w:t>
      </w:r>
      <w:r w:rsidR="00EF5246" w:rsidRPr="001A74DB">
        <w:rPr>
          <w:rFonts w:ascii="Cambria" w:hAnsi="Cambria"/>
          <w:color w:val="000000" w:themeColor="text1"/>
          <w:sz w:val="16"/>
          <w:szCs w:val="16"/>
          <w:lang w:val="es-ES"/>
        </w:rPr>
        <w:t>.</w:t>
      </w:r>
    </w:p>
  </w:footnote>
  <w:footnote w:id="2">
    <w:p w14:paraId="1071513F" w14:textId="72624989" w:rsidR="00D64926" w:rsidRPr="001A74DB" w:rsidRDefault="00D64926" w:rsidP="00562876">
      <w:pPr>
        <w:pStyle w:val="FootnoteText"/>
        <w:spacing w:after="120"/>
        <w:ind w:firstLine="720"/>
        <w:jc w:val="both"/>
        <w:rPr>
          <w:rFonts w:ascii="Cambria" w:hAnsi="Cambria"/>
          <w:color w:val="000000" w:themeColor="text1"/>
          <w:sz w:val="16"/>
          <w:szCs w:val="16"/>
          <w:lang w:val="es-US"/>
        </w:rPr>
      </w:pPr>
      <w:r w:rsidRPr="001A74DB">
        <w:rPr>
          <w:rStyle w:val="FootnoteReference"/>
          <w:rFonts w:ascii="Cambria" w:hAnsi="Cambria"/>
          <w:color w:val="000000" w:themeColor="text1"/>
          <w:sz w:val="16"/>
          <w:szCs w:val="16"/>
        </w:rPr>
        <w:footnoteRef/>
      </w:r>
      <w:r w:rsidRPr="001A74DB">
        <w:rPr>
          <w:rFonts w:ascii="Cambria" w:hAnsi="Cambria"/>
          <w:color w:val="000000" w:themeColor="text1"/>
          <w:sz w:val="16"/>
          <w:szCs w:val="16"/>
          <w:lang w:val="es-US"/>
        </w:rPr>
        <w:t xml:space="preserve"> </w:t>
      </w:r>
      <w:r w:rsidRPr="001A74DB">
        <w:rPr>
          <w:rFonts w:ascii="Cambria" w:hAnsi="Cambria"/>
          <w:color w:val="000000" w:themeColor="text1"/>
          <w:sz w:val="16"/>
          <w:szCs w:val="16"/>
          <w:lang w:val="es-ES"/>
        </w:rPr>
        <w:t>CIDH</w:t>
      </w:r>
      <w:r w:rsidR="00C37C4B" w:rsidRPr="001A74DB">
        <w:rPr>
          <w:rFonts w:ascii="Cambria" w:hAnsi="Cambria"/>
          <w:color w:val="000000" w:themeColor="text1"/>
          <w:sz w:val="16"/>
          <w:szCs w:val="16"/>
          <w:lang w:val="es-ES"/>
        </w:rPr>
        <w:t xml:space="preserve"> Informe Anual 2017, </w:t>
      </w:r>
      <w:hyperlink r:id="rId2" w:history="1">
        <w:r w:rsidR="00C37C4B" w:rsidRPr="001A74DB">
          <w:rPr>
            <w:rStyle w:val="Hyperlink"/>
            <w:rFonts w:ascii="Cambria" w:hAnsi="Cambria"/>
            <w:color w:val="000000" w:themeColor="text1"/>
            <w:sz w:val="16"/>
            <w:szCs w:val="16"/>
            <w:lang w:val="es-ES"/>
          </w:rPr>
          <w:t>Capítulo II, Sección F: Estado del cumplimiento de las recomendaciones de la CIDH</w:t>
        </w:r>
      </w:hyperlink>
      <w:r w:rsidR="0026070E" w:rsidRPr="001A74DB">
        <w:rPr>
          <w:rFonts w:ascii="Cambria" w:hAnsi="Cambria"/>
          <w:color w:val="000000" w:themeColor="text1"/>
          <w:sz w:val="16"/>
          <w:szCs w:val="16"/>
          <w:lang w:val="es-ES"/>
        </w:rPr>
        <w:t>, párr. 1977</w:t>
      </w:r>
      <w:r w:rsidRPr="001A74DB">
        <w:rPr>
          <w:rFonts w:ascii="Cambria" w:hAnsi="Cambria"/>
          <w:color w:val="000000" w:themeColor="text1"/>
          <w:sz w:val="16"/>
          <w:szCs w:val="16"/>
          <w:lang w:val="es-ES"/>
        </w:rPr>
        <w:t>.</w:t>
      </w:r>
    </w:p>
  </w:footnote>
  <w:footnote w:id="3">
    <w:p w14:paraId="53DB3CD5" w14:textId="5B821938" w:rsidR="0059414E" w:rsidRPr="001A74DB" w:rsidRDefault="0059414E" w:rsidP="00A6148D">
      <w:pPr>
        <w:pStyle w:val="FootnoteText"/>
        <w:spacing w:after="120"/>
        <w:ind w:firstLine="720"/>
        <w:jc w:val="both"/>
        <w:rPr>
          <w:rFonts w:ascii="Cambria" w:hAnsi="Cambria"/>
          <w:color w:val="000000" w:themeColor="text1"/>
          <w:sz w:val="16"/>
          <w:szCs w:val="16"/>
          <w:lang w:val="es-US"/>
        </w:rPr>
      </w:pPr>
      <w:r w:rsidRPr="001A74DB">
        <w:rPr>
          <w:rStyle w:val="FootnoteReference"/>
          <w:rFonts w:ascii="Cambria" w:hAnsi="Cambria"/>
          <w:color w:val="000000" w:themeColor="text1"/>
          <w:sz w:val="16"/>
          <w:szCs w:val="16"/>
        </w:rPr>
        <w:footnoteRef/>
      </w:r>
      <w:r w:rsidRPr="00467BCE">
        <w:rPr>
          <w:rFonts w:ascii="Cambria" w:hAnsi="Cambria"/>
          <w:color w:val="000000" w:themeColor="text1"/>
          <w:sz w:val="16"/>
          <w:szCs w:val="16"/>
          <w:lang w:val="es-CO"/>
        </w:rPr>
        <w:t xml:space="preserve"> Corte IDH. </w:t>
      </w:r>
      <w:hyperlink r:id="rId3" w:history="1">
        <w:r w:rsidR="004F45A6" w:rsidRPr="00467BCE">
          <w:rPr>
            <w:rStyle w:val="Hyperlink"/>
            <w:rFonts w:ascii="Cambria" w:hAnsi="Cambria"/>
            <w:color w:val="000000" w:themeColor="text1"/>
            <w:sz w:val="16"/>
            <w:szCs w:val="16"/>
            <w:lang w:val="es-CO"/>
          </w:rPr>
          <w:t xml:space="preserve">Caso </w:t>
        </w:r>
        <w:proofErr w:type="spellStart"/>
        <w:r w:rsidR="004F45A6" w:rsidRPr="00467BCE">
          <w:rPr>
            <w:rStyle w:val="Hyperlink"/>
            <w:rFonts w:ascii="Cambria" w:hAnsi="Cambria"/>
            <w:color w:val="000000" w:themeColor="text1"/>
            <w:sz w:val="16"/>
            <w:szCs w:val="16"/>
            <w:lang w:val="es-CO"/>
          </w:rPr>
          <w:t>Ivcher</w:t>
        </w:r>
        <w:proofErr w:type="spellEnd"/>
        <w:r w:rsidR="004F45A6" w:rsidRPr="00467BCE">
          <w:rPr>
            <w:rStyle w:val="Hyperlink"/>
            <w:rFonts w:ascii="Cambria" w:hAnsi="Cambria"/>
            <w:color w:val="000000" w:themeColor="text1"/>
            <w:sz w:val="16"/>
            <w:szCs w:val="16"/>
            <w:lang w:val="es-CO"/>
          </w:rPr>
          <w:t xml:space="preserve"> </w:t>
        </w:r>
        <w:proofErr w:type="spellStart"/>
        <w:r w:rsidR="004F45A6" w:rsidRPr="00467BCE">
          <w:rPr>
            <w:rStyle w:val="Hyperlink"/>
            <w:rFonts w:ascii="Cambria" w:hAnsi="Cambria"/>
            <w:color w:val="000000" w:themeColor="text1"/>
            <w:sz w:val="16"/>
            <w:szCs w:val="16"/>
            <w:lang w:val="es-CO"/>
          </w:rPr>
          <w:t>Bronstein</w:t>
        </w:r>
        <w:proofErr w:type="spellEnd"/>
        <w:r w:rsidR="004F45A6" w:rsidRPr="00467BCE">
          <w:rPr>
            <w:rStyle w:val="Hyperlink"/>
            <w:rFonts w:ascii="Cambria" w:hAnsi="Cambria"/>
            <w:color w:val="000000" w:themeColor="text1"/>
            <w:sz w:val="16"/>
            <w:szCs w:val="16"/>
            <w:lang w:val="es-CO"/>
          </w:rPr>
          <w:t xml:space="preserve"> Vs. </w:t>
        </w:r>
        <w:r w:rsidR="004F45A6" w:rsidRPr="001A74DB">
          <w:rPr>
            <w:rStyle w:val="Hyperlink"/>
            <w:rFonts w:ascii="Cambria" w:hAnsi="Cambria"/>
            <w:color w:val="000000" w:themeColor="text1"/>
            <w:sz w:val="16"/>
            <w:szCs w:val="16"/>
            <w:lang w:val="es-US"/>
          </w:rPr>
          <w:t>Perú.</w:t>
        </w:r>
        <w:r w:rsidRPr="001A74DB">
          <w:rPr>
            <w:rStyle w:val="Hyperlink"/>
            <w:rFonts w:ascii="Cambria" w:hAnsi="Cambria"/>
            <w:color w:val="000000" w:themeColor="text1"/>
            <w:sz w:val="16"/>
            <w:szCs w:val="16"/>
            <w:lang w:val="es-US"/>
          </w:rPr>
          <w:t xml:space="preserve"> Supervisión de Cumplimiento de Sentencia. Resolución de la Corte Interamericana de Derechos Hum</w:t>
        </w:r>
        <w:r w:rsidR="004F45A6" w:rsidRPr="001A74DB">
          <w:rPr>
            <w:rStyle w:val="Hyperlink"/>
            <w:rFonts w:ascii="Cambria" w:hAnsi="Cambria"/>
            <w:color w:val="000000" w:themeColor="text1"/>
            <w:sz w:val="16"/>
            <w:szCs w:val="16"/>
            <w:lang w:val="es-US"/>
          </w:rPr>
          <w:t>anos de 24</w:t>
        </w:r>
        <w:r w:rsidRPr="001A74DB">
          <w:rPr>
            <w:rStyle w:val="Hyperlink"/>
            <w:rFonts w:ascii="Cambria" w:hAnsi="Cambria"/>
            <w:color w:val="000000" w:themeColor="text1"/>
            <w:sz w:val="16"/>
            <w:szCs w:val="16"/>
            <w:lang w:val="es-US"/>
          </w:rPr>
          <w:t xml:space="preserve"> de </w:t>
        </w:r>
        <w:r w:rsidR="004F45A6" w:rsidRPr="001A74DB">
          <w:rPr>
            <w:rStyle w:val="Hyperlink"/>
            <w:rFonts w:ascii="Cambria" w:hAnsi="Cambria"/>
            <w:color w:val="000000" w:themeColor="text1"/>
            <w:sz w:val="16"/>
            <w:szCs w:val="16"/>
            <w:lang w:val="es-US"/>
          </w:rPr>
          <w:t>noviembre de 2009</w:t>
        </w:r>
      </w:hyperlink>
      <w:r w:rsidR="004F45A6" w:rsidRPr="001A74DB">
        <w:rPr>
          <w:rFonts w:ascii="Cambria" w:hAnsi="Cambria"/>
          <w:color w:val="000000" w:themeColor="text1"/>
          <w:sz w:val="16"/>
          <w:szCs w:val="16"/>
          <w:lang w:val="es-US"/>
        </w:rPr>
        <w:t>, párr.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1AAA" w14:textId="77777777" w:rsidR="00527572" w:rsidRPr="00ED1EBA" w:rsidRDefault="00527572" w:rsidP="00527572">
    <w:pPr>
      <w:pStyle w:val="Header"/>
      <w:rPr>
        <w:rFonts w:ascii="Arial" w:hAnsi="Arial" w:cs="Arial"/>
        <w:color w:val="3B3838" w:themeColor="background2" w:themeShade="40"/>
        <w:szCs w:val="28"/>
      </w:rPr>
    </w:pPr>
    <w:r w:rsidRPr="006B1F24">
      <w:rPr>
        <w:noProof/>
        <w:sz w:val="28"/>
        <w:szCs w:val="28"/>
      </w:rPr>
      <w:drawing>
        <wp:anchor distT="0" distB="0" distL="114300" distR="114300" simplePos="0" relativeHeight="251670528" behindDoc="0" locked="0" layoutInCell="1" allowOverlap="1" wp14:anchorId="60C841C5" wp14:editId="7D8FFAE7">
          <wp:simplePos x="0" y="0"/>
          <wp:positionH relativeFrom="column">
            <wp:posOffset>4658995</wp:posOffset>
          </wp:positionH>
          <wp:positionV relativeFrom="paragraph">
            <wp:posOffset>-3447</wp:posOffset>
          </wp:positionV>
          <wp:extent cx="1485900" cy="346075"/>
          <wp:effectExtent l="0" t="0" r="0" b="0"/>
          <wp:wrapSquare wrapText="bothSides"/>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99760B" wp14:editId="75523CDD">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3B3838" w:themeColor="background2" w:themeShade="40"/>
        <w:szCs w:val="28"/>
      </w:rPr>
      <w:softHyphen/>
    </w:r>
    <w:r>
      <w:rPr>
        <w:rFonts w:ascii="Arial" w:hAnsi="Arial" w:cs="Arial"/>
        <w:color w:val="3B3838" w:themeColor="background2" w:themeShade="40"/>
        <w:szCs w:val="28"/>
      </w:rPr>
      <w:softHyphen/>
      <w:t xml:space="preserve">                       </w:t>
    </w:r>
  </w:p>
  <w:p w14:paraId="7A81CDFC" w14:textId="77777777" w:rsidR="00527572" w:rsidRPr="00D56DC4" w:rsidRDefault="00527572" w:rsidP="00527572">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9504" behindDoc="0" locked="0" layoutInCell="1" allowOverlap="1" wp14:anchorId="6EF5E551" wp14:editId="6A6B3827">
              <wp:simplePos x="0" y="0"/>
              <wp:positionH relativeFrom="column">
                <wp:posOffset>-5080</wp:posOffset>
              </wp:positionH>
              <wp:positionV relativeFrom="paragraph">
                <wp:posOffset>174133</wp:posOffset>
              </wp:positionV>
              <wp:extent cx="6148358" cy="0"/>
              <wp:effectExtent l="0" t="0" r="11430" b="12700"/>
              <wp:wrapNone/>
              <wp:docPr id="4" name="Straight Connector 4"/>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3B5E5"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41ED" w14:textId="77777777" w:rsidR="00032927" w:rsidRDefault="00032927" w:rsidP="00032927">
    <w:pPr>
      <w:pStyle w:val="Header"/>
      <w:spacing w:line="216" w:lineRule="auto"/>
      <w:ind w:hanging="2"/>
      <w:rPr>
        <w:rFonts w:ascii="Arial" w:hAnsi="Arial" w:cs="Arial"/>
        <w:color w:val="3B3838"/>
        <w:sz w:val="28"/>
        <w:szCs w:val="28"/>
        <w:lang w:val="es-ES"/>
      </w:rPr>
    </w:pPr>
    <w:r>
      <w:rPr>
        <w:noProof/>
      </w:rPr>
      <w:drawing>
        <wp:anchor distT="0" distB="0" distL="114300" distR="114300" simplePos="0" relativeHeight="251666432" behindDoc="0" locked="0" layoutInCell="1" allowOverlap="1" wp14:anchorId="791DB880" wp14:editId="043BEFA1">
          <wp:simplePos x="0" y="0"/>
          <wp:positionH relativeFrom="column">
            <wp:posOffset>4088765</wp:posOffset>
          </wp:positionH>
          <wp:positionV relativeFrom="paragraph">
            <wp:posOffset>72390</wp:posOffset>
          </wp:positionV>
          <wp:extent cx="2183130" cy="50863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A64A0F9" wp14:editId="51802DBF">
              <wp:simplePos x="0" y="0"/>
              <wp:positionH relativeFrom="column">
                <wp:posOffset>-166370</wp:posOffset>
              </wp:positionH>
              <wp:positionV relativeFrom="paragraph">
                <wp:posOffset>48895</wp:posOffset>
              </wp:positionV>
              <wp:extent cx="2936875" cy="6648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1DB174CC" w14:textId="77777777" w:rsidR="00032927" w:rsidRDefault="00032927" w:rsidP="00032927">
                          <w:pPr>
                            <w:ind w:hanging="2"/>
                          </w:pPr>
                          <w:r w:rsidRPr="00AD498E">
                            <w:rPr>
                              <w:noProof/>
                            </w:rPr>
                            <w:drawing>
                              <wp:inline distT="0" distB="0" distL="0" distR="0" wp14:anchorId="3BDA6C22" wp14:editId="45732CC4">
                                <wp:extent cx="2023110" cy="473075"/>
                                <wp:effectExtent l="0" t="0" r="0" b="317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110" cy="473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64A0F9" id="_x0000_t202" coordsize="21600,21600" o:spt="202" path="m,l,21600r21600,l21600,xe">
              <v:stroke joinstyle="miter"/>
              <v:path gradientshapeok="t" o:connecttype="rect"/>
            </v:shapetype>
            <v:shape id="Text Box 9" o:spid="_x0000_s1026" type="#_x0000_t202" style="position:absolute;margin-left:-13.1pt;margin-top:3.85pt;width:231.25pt;height: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1DB174CC" w14:textId="77777777" w:rsidR="00032927" w:rsidRDefault="00032927" w:rsidP="00032927">
                    <w:pPr>
                      <w:ind w:hanging="2"/>
                    </w:pPr>
                    <w:r w:rsidRPr="00AD498E">
                      <w:rPr>
                        <w:noProof/>
                      </w:rPr>
                      <w:drawing>
                        <wp:inline distT="0" distB="0" distL="0" distR="0" wp14:anchorId="3BDA6C22" wp14:editId="45732CC4">
                          <wp:extent cx="2023110" cy="473075"/>
                          <wp:effectExtent l="0" t="0" r="0" b="317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110" cy="473075"/>
                                  </a:xfrm>
                                  <a:prstGeom prst="rect">
                                    <a:avLst/>
                                  </a:prstGeom>
                                  <a:noFill/>
                                  <a:ln>
                                    <a:noFill/>
                                  </a:ln>
                                </pic:spPr>
                              </pic:pic>
                            </a:graphicData>
                          </a:graphic>
                        </wp:inline>
                      </w:drawing>
                    </w:r>
                  </w:p>
                </w:txbxContent>
              </v:textbox>
            </v:shape>
          </w:pict>
        </mc:Fallback>
      </mc:AlternateContent>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p>
  <w:p w14:paraId="22B3226D" w14:textId="77777777" w:rsidR="00032927" w:rsidRPr="00AD498E" w:rsidRDefault="00032927" w:rsidP="00032927">
    <w:pPr>
      <w:pStyle w:val="Header"/>
      <w:spacing w:line="216" w:lineRule="auto"/>
      <w:ind w:left="1" w:hanging="3"/>
      <w:rPr>
        <w:rFonts w:ascii="Arial" w:hAnsi="Arial" w:cs="Arial"/>
        <w:color w:val="3B3838"/>
        <w:sz w:val="28"/>
        <w:szCs w:val="28"/>
        <w:lang w:val="es-ES"/>
      </w:rPr>
    </w:pPr>
  </w:p>
  <w:p w14:paraId="4D3C76DB" w14:textId="77777777" w:rsidR="00032927" w:rsidRDefault="00032927" w:rsidP="00032927">
    <w:pPr>
      <w:pStyle w:val="Header"/>
      <w:spacing w:line="216" w:lineRule="auto"/>
      <w:ind w:left="2" w:hanging="4"/>
      <w:rPr>
        <w:rFonts w:ascii="Arial" w:hAnsi="Arial" w:cs="Arial"/>
        <w:b/>
        <w:bCs/>
        <w:color w:val="404040"/>
        <w:sz w:val="44"/>
        <w:szCs w:val="44"/>
        <w:lang w:val="es-ES"/>
      </w:rPr>
    </w:pPr>
  </w:p>
  <w:p w14:paraId="5491B98B" w14:textId="59520EE5" w:rsidR="00BE6222" w:rsidRPr="00BE6222" w:rsidRDefault="00032927" w:rsidP="00032927">
    <w:pPr>
      <w:pStyle w:val="Header"/>
      <w:spacing w:line="216" w:lineRule="auto"/>
      <w:ind w:hanging="2"/>
      <w:rPr>
        <w:rFonts w:ascii="Arial" w:hAnsi="Arial" w:cs="Arial"/>
        <w:b/>
        <w:bCs/>
        <w:color w:val="404040"/>
        <w:sz w:val="44"/>
        <w:szCs w:val="44"/>
        <w:lang w:val="es-ES"/>
      </w:rPr>
    </w:pPr>
    <w:r>
      <w:rPr>
        <w:noProof/>
      </w:rPr>
      <mc:AlternateContent>
        <mc:Choice Requires="wps">
          <w:drawing>
            <wp:anchor distT="4294967295" distB="4294967295" distL="114300" distR="114300" simplePos="0" relativeHeight="251665408" behindDoc="0" locked="0" layoutInCell="1" allowOverlap="1" wp14:anchorId="3D67E88E" wp14:editId="56516634">
              <wp:simplePos x="0" y="0"/>
              <wp:positionH relativeFrom="column">
                <wp:posOffset>-5715</wp:posOffset>
              </wp:positionH>
              <wp:positionV relativeFrom="paragraph">
                <wp:posOffset>167639</wp:posOffset>
              </wp:positionV>
              <wp:extent cx="61480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262626" strokeweight="1.25pt" from="-.45pt,13.2pt" to="483.65pt,13.2pt" w14:anchorId="61EF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">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54C"/>
    <w:multiLevelType w:val="hybridMultilevel"/>
    <w:tmpl w:val="00621A14"/>
    <w:lvl w:ilvl="0" w:tplc="FB744172">
      <w:start w:val="991"/>
      <w:numFmt w:val="decimal"/>
      <w:lvlText w:val="%1-"/>
      <w:lvlJc w:val="left"/>
      <w:pPr>
        <w:ind w:left="1095" w:hanging="375"/>
      </w:pPr>
      <w:rPr>
        <w:rFonts w:ascii="Cambria" w:eastAsiaTheme="minorHAnsi"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F6840"/>
    <w:multiLevelType w:val="hybridMultilevel"/>
    <w:tmpl w:val="338855EC"/>
    <w:lvl w:ilvl="0" w:tplc="9D542EC2">
      <w:start w:val="1"/>
      <w:numFmt w:val="decimal"/>
      <w:lvlText w:val="%1."/>
      <w:lvlJc w:val="left"/>
      <w:pPr>
        <w:tabs>
          <w:tab w:val="num" w:pos="720"/>
        </w:tabs>
        <w:ind w:left="0" w:firstLine="720"/>
      </w:pPr>
      <w:rPr>
        <w:rFonts w:cs="Times New Roman" w:hint="default"/>
        <w:b w:val="0"/>
        <w:i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192AAA14">
      <w:start w:val="1"/>
      <w:numFmt w:val="decimal"/>
      <w:lvlText w:val="%3."/>
      <w:lvlJc w:val="left"/>
      <w:pPr>
        <w:tabs>
          <w:tab w:val="num" w:pos="810"/>
        </w:tabs>
        <w:ind w:left="90" w:firstLine="720"/>
      </w:pPr>
      <w:rPr>
        <w:rFonts w:asciiTheme="majorHAnsi" w:eastAsia="Calibri" w:hAnsiTheme="majorHAnsi" w:cs="Times New Roman"/>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C5713"/>
    <w:multiLevelType w:val="hybridMultilevel"/>
    <w:tmpl w:val="ABDCC930"/>
    <w:lvl w:ilvl="0" w:tplc="8D022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3484"/>
    <w:multiLevelType w:val="hybridMultilevel"/>
    <w:tmpl w:val="63CAA8B2"/>
    <w:lvl w:ilvl="0" w:tplc="33A826F8">
      <w:start w:val="885"/>
      <w:numFmt w:val="decimal"/>
      <w:lvlText w:val="%1-"/>
      <w:lvlJc w:val="left"/>
      <w:pPr>
        <w:ind w:left="1095" w:hanging="375"/>
      </w:pPr>
      <w:rPr>
        <w:rFonts w:ascii="Cambria" w:eastAsiaTheme="minorHAnsi"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960E2"/>
    <w:multiLevelType w:val="hybridMultilevel"/>
    <w:tmpl w:val="603C30CA"/>
    <w:lvl w:ilvl="0" w:tplc="87D80976">
      <w:start w:val="197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1C135C"/>
    <w:multiLevelType w:val="hybridMultilevel"/>
    <w:tmpl w:val="7FCE6AD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71E3E21"/>
    <w:multiLevelType w:val="hybridMultilevel"/>
    <w:tmpl w:val="00A2A8FA"/>
    <w:lvl w:ilvl="0" w:tplc="222428C2">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D2C86"/>
    <w:multiLevelType w:val="hybridMultilevel"/>
    <w:tmpl w:val="AC8277C2"/>
    <w:lvl w:ilvl="0" w:tplc="1BD8A000">
      <w:start w:val="1"/>
      <w:numFmt w:val="decimal"/>
      <w:lvlText w:val="%1-"/>
      <w:lvlJc w:val="left"/>
      <w:pPr>
        <w:ind w:left="720" w:hanging="360"/>
      </w:pPr>
      <w:rPr>
        <w:rFonts w:eastAsia="MS Mincho"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D49EF"/>
    <w:multiLevelType w:val="hybridMultilevel"/>
    <w:tmpl w:val="D6BA4446"/>
    <w:lvl w:ilvl="0" w:tplc="970ADF46">
      <w:start w:val="1"/>
      <w:numFmt w:val="decimal"/>
      <w:lvlText w:val="%1."/>
      <w:lvlJc w:val="left"/>
      <w:pPr>
        <w:ind w:left="720" w:hanging="360"/>
      </w:pPr>
      <w:rPr>
        <w:rFonts w:ascii="Cambria" w:hAnsi="Cambria"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B7C6B"/>
    <w:multiLevelType w:val="hybridMultilevel"/>
    <w:tmpl w:val="B390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5673C"/>
    <w:multiLevelType w:val="hybridMultilevel"/>
    <w:tmpl w:val="BE600504"/>
    <w:lvl w:ilvl="0" w:tplc="3F4CCA70">
      <w:start w:val="91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FC3776"/>
    <w:multiLevelType w:val="hybridMultilevel"/>
    <w:tmpl w:val="F718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597519">
    <w:abstractNumId w:val="9"/>
  </w:num>
  <w:num w:numId="2" w16cid:durableId="697849283">
    <w:abstractNumId w:val="4"/>
  </w:num>
  <w:num w:numId="3" w16cid:durableId="1145005914">
    <w:abstractNumId w:val="11"/>
  </w:num>
  <w:num w:numId="4" w16cid:durableId="320810821">
    <w:abstractNumId w:val="1"/>
  </w:num>
  <w:num w:numId="5" w16cid:durableId="1218081962">
    <w:abstractNumId w:val="8"/>
  </w:num>
  <w:num w:numId="6" w16cid:durableId="778456350">
    <w:abstractNumId w:val="5"/>
  </w:num>
  <w:num w:numId="7" w16cid:durableId="1997413082">
    <w:abstractNumId w:val="3"/>
  </w:num>
  <w:num w:numId="8" w16cid:durableId="553195679">
    <w:abstractNumId w:val="0"/>
  </w:num>
  <w:num w:numId="9" w16cid:durableId="698042858">
    <w:abstractNumId w:val="12"/>
  </w:num>
  <w:num w:numId="10" w16cid:durableId="385764766">
    <w:abstractNumId w:val="7"/>
  </w:num>
  <w:num w:numId="11" w16cid:durableId="1330210625">
    <w:abstractNumId w:val="13"/>
  </w:num>
  <w:num w:numId="12" w16cid:durableId="64381068">
    <w:abstractNumId w:val="10"/>
  </w:num>
  <w:num w:numId="13" w16cid:durableId="1321302350">
    <w:abstractNumId w:val="6"/>
  </w:num>
  <w:num w:numId="14" w16cid:durableId="104413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s-VE"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9"/>
    <w:rsid w:val="00004CA8"/>
    <w:rsid w:val="00020189"/>
    <w:rsid w:val="00032927"/>
    <w:rsid w:val="0004357D"/>
    <w:rsid w:val="00076D17"/>
    <w:rsid w:val="00082B44"/>
    <w:rsid w:val="000872B7"/>
    <w:rsid w:val="000B450D"/>
    <w:rsid w:val="000C3376"/>
    <w:rsid w:val="000C4F7C"/>
    <w:rsid w:val="000D0D16"/>
    <w:rsid w:val="00112307"/>
    <w:rsid w:val="00131F9C"/>
    <w:rsid w:val="0015796B"/>
    <w:rsid w:val="00172442"/>
    <w:rsid w:val="00174E96"/>
    <w:rsid w:val="001A74DB"/>
    <w:rsid w:val="001C35EA"/>
    <w:rsid w:val="001C6B1E"/>
    <w:rsid w:val="001F5665"/>
    <w:rsid w:val="002047A3"/>
    <w:rsid w:val="00244357"/>
    <w:rsid w:val="0026070E"/>
    <w:rsid w:val="002668C0"/>
    <w:rsid w:val="00270CCF"/>
    <w:rsid w:val="002A153E"/>
    <w:rsid w:val="002A3449"/>
    <w:rsid w:val="002B457B"/>
    <w:rsid w:val="002D2655"/>
    <w:rsid w:val="00316E43"/>
    <w:rsid w:val="00330A33"/>
    <w:rsid w:val="0033615B"/>
    <w:rsid w:val="00345EA3"/>
    <w:rsid w:val="00385D29"/>
    <w:rsid w:val="003A13B8"/>
    <w:rsid w:val="003C4FCD"/>
    <w:rsid w:val="003D3273"/>
    <w:rsid w:val="003F126A"/>
    <w:rsid w:val="00407EC4"/>
    <w:rsid w:val="00467BCE"/>
    <w:rsid w:val="00471BD5"/>
    <w:rsid w:val="00492A90"/>
    <w:rsid w:val="004A6F96"/>
    <w:rsid w:val="004D6C0C"/>
    <w:rsid w:val="004E3579"/>
    <w:rsid w:val="004F4229"/>
    <w:rsid w:val="004F45A6"/>
    <w:rsid w:val="004F7609"/>
    <w:rsid w:val="00527572"/>
    <w:rsid w:val="00543FE4"/>
    <w:rsid w:val="00552CF0"/>
    <w:rsid w:val="00562876"/>
    <w:rsid w:val="00566BC0"/>
    <w:rsid w:val="00573C31"/>
    <w:rsid w:val="00586A86"/>
    <w:rsid w:val="0059414E"/>
    <w:rsid w:val="005D24B6"/>
    <w:rsid w:val="005D44DF"/>
    <w:rsid w:val="005E41F4"/>
    <w:rsid w:val="005F6CF7"/>
    <w:rsid w:val="006016A5"/>
    <w:rsid w:val="0060320D"/>
    <w:rsid w:val="006037C2"/>
    <w:rsid w:val="006544B0"/>
    <w:rsid w:val="006A1A7E"/>
    <w:rsid w:val="006C2F6A"/>
    <w:rsid w:val="006C3F21"/>
    <w:rsid w:val="006E6DA0"/>
    <w:rsid w:val="006F0376"/>
    <w:rsid w:val="006F51EE"/>
    <w:rsid w:val="00720460"/>
    <w:rsid w:val="00740A66"/>
    <w:rsid w:val="00756F2D"/>
    <w:rsid w:val="00791FDD"/>
    <w:rsid w:val="007B2AD3"/>
    <w:rsid w:val="007C1447"/>
    <w:rsid w:val="007C341A"/>
    <w:rsid w:val="007D3BAC"/>
    <w:rsid w:val="007E0E0A"/>
    <w:rsid w:val="007E4B57"/>
    <w:rsid w:val="00821567"/>
    <w:rsid w:val="00826A33"/>
    <w:rsid w:val="00857166"/>
    <w:rsid w:val="00870254"/>
    <w:rsid w:val="00872383"/>
    <w:rsid w:val="00880A3B"/>
    <w:rsid w:val="00881764"/>
    <w:rsid w:val="0088525C"/>
    <w:rsid w:val="008A2D22"/>
    <w:rsid w:val="008C321D"/>
    <w:rsid w:val="008C649B"/>
    <w:rsid w:val="008E0A5D"/>
    <w:rsid w:val="008E7D11"/>
    <w:rsid w:val="009017C3"/>
    <w:rsid w:val="00936A00"/>
    <w:rsid w:val="00952044"/>
    <w:rsid w:val="009A2B84"/>
    <w:rsid w:val="009A4C61"/>
    <w:rsid w:val="009A6D77"/>
    <w:rsid w:val="009B7F1E"/>
    <w:rsid w:val="00A04097"/>
    <w:rsid w:val="00A400BE"/>
    <w:rsid w:val="00A45997"/>
    <w:rsid w:val="00A53D3F"/>
    <w:rsid w:val="00A568A2"/>
    <w:rsid w:val="00A6148D"/>
    <w:rsid w:val="00B11707"/>
    <w:rsid w:val="00B31474"/>
    <w:rsid w:val="00B527F9"/>
    <w:rsid w:val="00BB182D"/>
    <w:rsid w:val="00BC0547"/>
    <w:rsid w:val="00BE6222"/>
    <w:rsid w:val="00C11BB1"/>
    <w:rsid w:val="00C24B88"/>
    <w:rsid w:val="00C308A9"/>
    <w:rsid w:val="00C35236"/>
    <w:rsid w:val="00C37C4B"/>
    <w:rsid w:val="00C42141"/>
    <w:rsid w:val="00C67CB6"/>
    <w:rsid w:val="00C7286D"/>
    <w:rsid w:val="00C7476D"/>
    <w:rsid w:val="00C75FFC"/>
    <w:rsid w:val="00C94E86"/>
    <w:rsid w:val="00CB6E43"/>
    <w:rsid w:val="00CC644F"/>
    <w:rsid w:val="00CD79D9"/>
    <w:rsid w:val="00CE20F5"/>
    <w:rsid w:val="00CE4614"/>
    <w:rsid w:val="00CE5178"/>
    <w:rsid w:val="00D177EB"/>
    <w:rsid w:val="00D367F3"/>
    <w:rsid w:val="00D435AE"/>
    <w:rsid w:val="00D46A7E"/>
    <w:rsid w:val="00D57C24"/>
    <w:rsid w:val="00D604EA"/>
    <w:rsid w:val="00D61F42"/>
    <w:rsid w:val="00D64926"/>
    <w:rsid w:val="00D71E21"/>
    <w:rsid w:val="00D71ED9"/>
    <w:rsid w:val="00D87804"/>
    <w:rsid w:val="00D90BC0"/>
    <w:rsid w:val="00DA563D"/>
    <w:rsid w:val="00DB4DF7"/>
    <w:rsid w:val="00DB7DF1"/>
    <w:rsid w:val="00DD2A2A"/>
    <w:rsid w:val="00DF0C49"/>
    <w:rsid w:val="00E338D4"/>
    <w:rsid w:val="00E81A6A"/>
    <w:rsid w:val="00E81A6F"/>
    <w:rsid w:val="00EA10F6"/>
    <w:rsid w:val="00EF5246"/>
    <w:rsid w:val="00F0214A"/>
    <w:rsid w:val="00F344DE"/>
    <w:rsid w:val="00F82EB6"/>
    <w:rsid w:val="00FA5E25"/>
    <w:rsid w:val="00FB6B20"/>
    <w:rsid w:val="00FD342F"/>
    <w:rsid w:val="00FE7897"/>
    <w:rsid w:val="00FF4F72"/>
    <w:rsid w:val="332625CE"/>
    <w:rsid w:val="556E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F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CD79D9"/>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CD79D9"/>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CD79D9"/>
    <w:rPr>
      <w:vertAlign w:val="superscript"/>
    </w:rPr>
  </w:style>
  <w:style w:type="paragraph" w:customStyle="1" w:styleId="Appelnotedebasde">
    <w:name w:val="Appel note de bas de..."/>
    <w:basedOn w:val="Normal"/>
    <w:link w:val="FootnoteReference"/>
    <w:rsid w:val="00CD79D9"/>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CD79D9"/>
    <w:pPr>
      <w:ind w:left="720"/>
      <w:contextualSpacing/>
    </w:pPr>
  </w:style>
  <w:style w:type="character" w:styleId="Hyperlink">
    <w:name w:val="Hyperlink"/>
    <w:basedOn w:val="DefaultParagraphFont"/>
    <w:uiPriority w:val="99"/>
    <w:unhideWhenUsed/>
    <w:rsid w:val="00C24B88"/>
    <w:rPr>
      <w:color w:val="0563C1" w:themeColor="hyperlink"/>
      <w:u w:val="single"/>
    </w:rPr>
  </w:style>
  <w:style w:type="paragraph" w:styleId="Header">
    <w:name w:val="header"/>
    <w:basedOn w:val="Normal"/>
    <w:link w:val="HeaderChar"/>
    <w:uiPriority w:val="99"/>
    <w:unhideWhenUsed/>
    <w:qFormat/>
    <w:rsid w:val="00BB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2D"/>
    <w:rPr>
      <w:rFonts w:ascii="Calibri" w:eastAsia="Calibri" w:hAnsi="Calibri" w:cs="Times New Roman"/>
    </w:rPr>
  </w:style>
  <w:style w:type="paragraph" w:customStyle="1" w:styleId="Default">
    <w:name w:val="Default"/>
    <w:rsid w:val="009A6D7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38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789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FE7897"/>
    <w:rPr>
      <w:color w:val="954F72" w:themeColor="followedHyperlink"/>
      <w:u w:val="single"/>
    </w:rPr>
  </w:style>
  <w:style w:type="character" w:styleId="CommentReference">
    <w:name w:val="annotation reference"/>
    <w:basedOn w:val="DefaultParagraphFont"/>
    <w:uiPriority w:val="99"/>
    <w:semiHidden/>
    <w:unhideWhenUsed/>
    <w:rsid w:val="00D435AE"/>
    <w:rPr>
      <w:sz w:val="16"/>
      <w:szCs w:val="16"/>
    </w:rPr>
  </w:style>
  <w:style w:type="paragraph" w:styleId="CommentText">
    <w:name w:val="annotation text"/>
    <w:basedOn w:val="Normal"/>
    <w:link w:val="CommentTextChar"/>
    <w:uiPriority w:val="99"/>
    <w:semiHidden/>
    <w:unhideWhenUsed/>
    <w:rsid w:val="00D435AE"/>
    <w:pPr>
      <w:spacing w:line="240" w:lineRule="auto"/>
    </w:pPr>
    <w:rPr>
      <w:sz w:val="20"/>
      <w:szCs w:val="20"/>
    </w:rPr>
  </w:style>
  <w:style w:type="character" w:customStyle="1" w:styleId="CommentTextChar">
    <w:name w:val="Comment Text Char"/>
    <w:basedOn w:val="DefaultParagraphFont"/>
    <w:link w:val="CommentText"/>
    <w:uiPriority w:val="99"/>
    <w:semiHidden/>
    <w:rsid w:val="00D435A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35AE"/>
    <w:rPr>
      <w:b/>
      <w:bCs/>
    </w:rPr>
  </w:style>
  <w:style w:type="character" w:customStyle="1" w:styleId="CommentSubjectChar">
    <w:name w:val="Comment Subject Char"/>
    <w:basedOn w:val="CommentTextChar"/>
    <w:link w:val="CommentSubject"/>
    <w:uiPriority w:val="99"/>
    <w:semiHidden/>
    <w:rsid w:val="00D435A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43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5AE"/>
    <w:rPr>
      <w:rFonts w:ascii="Segoe UI" w:eastAsia="Calibri" w:hAnsi="Segoe UI" w:cs="Segoe UI"/>
      <w:sz w:val="18"/>
      <w:szCs w:val="18"/>
    </w:rPr>
  </w:style>
  <w:style w:type="paragraph" w:styleId="Revision">
    <w:name w:val="Revision"/>
    <w:hidden/>
    <w:uiPriority w:val="99"/>
    <w:semiHidden/>
    <w:rsid w:val="00E81A6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F6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C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1sp/Nicaragua1138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96span/Nicaragua11381.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supervisiones/ivcher_24_11_09.pdf" TargetMode="External"/><Relationship Id="rId2" Type="http://schemas.openxmlformats.org/officeDocument/2006/relationships/hyperlink" Target="http://www.oas.org/es/cidh/docs/anual/2017/docs/IA2017cap.2-es.pdf" TargetMode="External"/><Relationship Id="rId1"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1951-7AD3-495F-B56D-6F43B5A6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2022-04-21T12:22:00Z</dcterms:created>
  <dcterms:modified xsi:type="dcterms:W3CDTF">2022-04-21T12:22:00Z</dcterms:modified>
</cp:coreProperties>
</file>