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30543F" w:rsidRDefault="002659F6" w:rsidP="0030543F">
      <w:pPr>
        <w:suppressAutoHyphens/>
        <w:spacing w:after="0" w:line="240" w:lineRule="auto"/>
        <w:ind w:right="-270"/>
        <w:jc w:val="center"/>
        <w:rPr>
          <w:rFonts w:ascii="Cambria" w:eastAsia="Batang" w:hAnsi="Cambria"/>
          <w:b/>
          <w:sz w:val="24"/>
          <w:szCs w:val="24"/>
          <w:lang w:val="es-CO"/>
        </w:rPr>
      </w:pPr>
    </w:p>
    <w:p w14:paraId="532EB7EA" w14:textId="4890DD28" w:rsidR="002659F6" w:rsidRPr="00F80766" w:rsidRDefault="002659F6" w:rsidP="0030543F">
      <w:pPr>
        <w:suppressAutoHyphens/>
        <w:spacing w:after="0" w:line="240" w:lineRule="auto"/>
        <w:ind w:right="-270"/>
        <w:jc w:val="center"/>
        <w:rPr>
          <w:rFonts w:ascii="Cambria" w:eastAsia="Batang" w:hAnsi="Cambria"/>
          <w:b/>
          <w:sz w:val="24"/>
          <w:szCs w:val="24"/>
          <w:lang w:val="pt-BR"/>
        </w:rPr>
      </w:pPr>
      <w:r w:rsidRPr="00F80766">
        <w:rPr>
          <w:rFonts w:ascii="Cambria" w:eastAsia="Batang" w:hAnsi="Cambria"/>
          <w:b/>
          <w:sz w:val="24"/>
          <w:szCs w:val="24"/>
          <w:lang w:val="pt-BR"/>
        </w:rPr>
        <w:t>FICHA TÉCNICA INFORMATIVA</w:t>
      </w:r>
    </w:p>
    <w:p w14:paraId="59A56570" w14:textId="7DF73F00" w:rsidR="002659F6" w:rsidRPr="00F80766" w:rsidRDefault="002659F6" w:rsidP="0030543F">
      <w:pPr>
        <w:suppressAutoHyphens/>
        <w:spacing w:after="0" w:line="240" w:lineRule="auto"/>
        <w:ind w:right="-270"/>
        <w:jc w:val="center"/>
        <w:rPr>
          <w:rFonts w:ascii="Cambria" w:eastAsia="Batang" w:hAnsi="Cambria"/>
          <w:b/>
          <w:sz w:val="24"/>
          <w:szCs w:val="24"/>
          <w:lang w:val="pt-BR"/>
        </w:rPr>
      </w:pPr>
      <w:r w:rsidRPr="00F80766">
        <w:rPr>
          <w:rFonts w:ascii="Cambria" w:eastAsia="Batang" w:hAnsi="Cambria"/>
          <w:b/>
          <w:sz w:val="24"/>
          <w:szCs w:val="24"/>
          <w:lang w:val="pt-BR"/>
        </w:rPr>
        <w:t xml:space="preserve">CASO </w:t>
      </w:r>
      <w:r w:rsidR="004A4561" w:rsidRPr="00F80766">
        <w:rPr>
          <w:rFonts w:ascii="Cambria" w:eastAsia="Batang" w:hAnsi="Cambria"/>
          <w:b/>
          <w:sz w:val="24"/>
          <w:szCs w:val="24"/>
          <w:lang w:val="pt-BR"/>
        </w:rPr>
        <w:t>14.71</w:t>
      </w:r>
      <w:r w:rsidR="0059345C" w:rsidRPr="00F80766">
        <w:rPr>
          <w:rFonts w:ascii="Cambria" w:eastAsia="Batang" w:hAnsi="Cambria"/>
          <w:b/>
          <w:sz w:val="24"/>
          <w:szCs w:val="24"/>
          <w:lang w:val="pt-BR"/>
        </w:rPr>
        <w:t>4</w:t>
      </w:r>
      <w:r w:rsidR="004A4561" w:rsidRPr="00F80766">
        <w:rPr>
          <w:rFonts w:ascii="Cambria" w:eastAsia="Batang" w:hAnsi="Cambria"/>
          <w:b/>
          <w:sz w:val="24"/>
          <w:szCs w:val="24"/>
          <w:lang w:val="pt-BR"/>
        </w:rPr>
        <w:t xml:space="preserve"> </w:t>
      </w:r>
      <w:r w:rsidR="0059345C" w:rsidRPr="00F80766">
        <w:rPr>
          <w:rFonts w:ascii="Cambria" w:eastAsia="Batang" w:hAnsi="Cambria"/>
          <w:b/>
          <w:sz w:val="24"/>
          <w:szCs w:val="24"/>
          <w:lang w:val="pt-BR"/>
        </w:rPr>
        <w:t>FRANCISCO SAMUEL NAISHTAT</w:t>
      </w:r>
    </w:p>
    <w:p w14:paraId="38A16E1F" w14:textId="573B4736" w:rsidR="008E72CA" w:rsidRPr="0030543F" w:rsidRDefault="008E72CA" w:rsidP="0030543F">
      <w:pPr>
        <w:suppressAutoHyphens/>
        <w:spacing w:after="0" w:line="240" w:lineRule="auto"/>
        <w:ind w:right="-270"/>
        <w:jc w:val="center"/>
        <w:rPr>
          <w:rFonts w:ascii="Cambria" w:eastAsia="Batang" w:hAnsi="Cambria"/>
          <w:b/>
          <w:sz w:val="24"/>
          <w:szCs w:val="24"/>
          <w:lang w:val="es-CO"/>
        </w:rPr>
      </w:pPr>
      <w:r w:rsidRPr="0030543F">
        <w:rPr>
          <w:rFonts w:ascii="Cambria" w:eastAsia="Batang" w:hAnsi="Cambria"/>
          <w:b/>
          <w:sz w:val="24"/>
          <w:szCs w:val="24"/>
          <w:lang w:val="es-CO"/>
        </w:rPr>
        <w:t>INFORME DE SOLUCIÓN AMISTOSA</w:t>
      </w:r>
      <w:r w:rsidR="0059345C" w:rsidRPr="0030543F">
        <w:rPr>
          <w:rFonts w:ascii="Cambria" w:eastAsia="Batang" w:hAnsi="Cambria"/>
          <w:b/>
          <w:sz w:val="24"/>
          <w:szCs w:val="24"/>
          <w:lang w:val="es-CO"/>
        </w:rPr>
        <w:t xml:space="preserve"> </w:t>
      </w:r>
      <w:hyperlink r:id="rId12" w:history="1">
        <w:r w:rsidR="0059345C" w:rsidRPr="004633EB">
          <w:rPr>
            <w:rStyle w:val="Hyperlink"/>
            <w:rFonts w:ascii="Cambria" w:eastAsia="Batang" w:hAnsi="Cambria"/>
            <w:b/>
            <w:sz w:val="24"/>
            <w:szCs w:val="24"/>
            <w:lang w:val="es-CO"/>
          </w:rPr>
          <w:t>No. 215/23</w:t>
        </w:r>
      </w:hyperlink>
    </w:p>
    <w:p w14:paraId="05750906" w14:textId="734045F8" w:rsidR="002659F6" w:rsidRPr="0030543F" w:rsidRDefault="002659F6" w:rsidP="0030543F">
      <w:pPr>
        <w:suppressAutoHyphens/>
        <w:spacing w:after="0" w:line="240" w:lineRule="auto"/>
        <w:ind w:right="-270"/>
        <w:jc w:val="center"/>
        <w:rPr>
          <w:rFonts w:ascii="Cambria" w:eastAsia="Batang" w:hAnsi="Cambria"/>
          <w:b/>
          <w:sz w:val="24"/>
          <w:szCs w:val="24"/>
          <w:lang w:val="es-CO"/>
        </w:rPr>
      </w:pPr>
      <w:r w:rsidRPr="0030543F">
        <w:rPr>
          <w:rFonts w:ascii="Cambria" w:eastAsia="Batang" w:hAnsi="Cambria"/>
          <w:b/>
          <w:sz w:val="24"/>
          <w:szCs w:val="24"/>
          <w:lang w:val="es-CO"/>
        </w:rPr>
        <w:t>CUMPLIMIENTO TOTAL</w:t>
      </w:r>
    </w:p>
    <w:p w14:paraId="7598254F" w14:textId="7D0DFC75" w:rsidR="008E72CA" w:rsidRPr="00005D02" w:rsidRDefault="008E72CA" w:rsidP="0030543F">
      <w:pPr>
        <w:suppressAutoHyphens/>
        <w:spacing w:after="0" w:line="240" w:lineRule="auto"/>
        <w:ind w:right="-270"/>
        <w:jc w:val="center"/>
        <w:rPr>
          <w:rFonts w:ascii="Cambria" w:eastAsia="Batang" w:hAnsi="Cambria"/>
          <w:b/>
          <w:sz w:val="24"/>
          <w:szCs w:val="24"/>
          <w:lang w:val="es-CO"/>
        </w:rPr>
      </w:pPr>
      <w:r w:rsidRPr="00005D02">
        <w:rPr>
          <w:rFonts w:ascii="Cambria" w:eastAsia="Batang" w:hAnsi="Cambria"/>
          <w:b/>
          <w:sz w:val="24"/>
          <w:szCs w:val="24"/>
          <w:lang w:val="es-CO"/>
        </w:rPr>
        <w:t>(</w:t>
      </w:r>
      <w:r w:rsidR="002659F6" w:rsidRPr="00005D02">
        <w:rPr>
          <w:rFonts w:ascii="Cambria" w:eastAsia="Batang" w:hAnsi="Cambria"/>
          <w:b/>
          <w:sz w:val="24"/>
          <w:szCs w:val="24"/>
          <w:lang w:val="es-CO"/>
        </w:rPr>
        <w:t>ARGENTINA</w:t>
      </w:r>
      <w:r w:rsidRPr="00005D02">
        <w:rPr>
          <w:rFonts w:ascii="Cambria" w:eastAsia="Batang" w:hAnsi="Cambria"/>
          <w:b/>
          <w:sz w:val="24"/>
          <w:szCs w:val="24"/>
          <w:lang w:val="es-CO"/>
        </w:rPr>
        <w:t>)</w:t>
      </w:r>
    </w:p>
    <w:p w14:paraId="13130E72" w14:textId="77777777" w:rsidR="00537F2F" w:rsidRPr="00005D02" w:rsidRDefault="00537F2F" w:rsidP="0030543F">
      <w:pPr>
        <w:suppressAutoHyphens/>
        <w:spacing w:after="0" w:line="240" w:lineRule="auto"/>
        <w:ind w:right="-270"/>
        <w:jc w:val="both"/>
        <w:rPr>
          <w:rFonts w:ascii="Cambria" w:eastAsia="Batang" w:hAnsi="Cambria"/>
          <w:b/>
          <w:sz w:val="20"/>
          <w:szCs w:val="20"/>
          <w:lang w:val="pt-BR"/>
        </w:rPr>
      </w:pPr>
    </w:p>
    <w:p w14:paraId="5D1DEEC6" w14:textId="77777777" w:rsidR="00537F2F" w:rsidRPr="00005D02" w:rsidRDefault="00537F2F" w:rsidP="0030543F">
      <w:pPr>
        <w:numPr>
          <w:ilvl w:val="0"/>
          <w:numId w:val="37"/>
        </w:numPr>
        <w:suppressAutoHyphens/>
        <w:spacing w:after="0" w:line="240" w:lineRule="auto"/>
        <w:jc w:val="both"/>
        <w:rPr>
          <w:rFonts w:ascii="Cambria" w:eastAsia="Batang" w:hAnsi="Cambria" w:cs="Calibri Light"/>
          <w:b/>
          <w:sz w:val="20"/>
          <w:szCs w:val="20"/>
          <w:lang w:val="es-CO"/>
        </w:rPr>
      </w:pPr>
      <w:r w:rsidRPr="00005D02">
        <w:rPr>
          <w:rFonts w:ascii="Cambria" w:eastAsia="Batang" w:hAnsi="Cambria" w:cs="Calibri Light"/>
          <w:b/>
          <w:sz w:val="20"/>
          <w:szCs w:val="20"/>
          <w:lang w:val="es-CO"/>
        </w:rPr>
        <w:t xml:space="preserve">RESUMEN DEL CASO </w:t>
      </w:r>
    </w:p>
    <w:p w14:paraId="605E0715" w14:textId="77777777" w:rsidR="00537F2F" w:rsidRPr="00005D02" w:rsidRDefault="00537F2F" w:rsidP="0030543F">
      <w:pPr>
        <w:suppressAutoHyphens/>
        <w:spacing w:after="0" w:line="240" w:lineRule="auto"/>
        <w:jc w:val="both"/>
        <w:rPr>
          <w:rFonts w:ascii="Cambria" w:eastAsia="Batang" w:hAnsi="Cambria" w:cs="Calibri Light"/>
          <w:b/>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7F2F" w:rsidRPr="00F80766" w14:paraId="4F9540CF" w14:textId="77777777" w:rsidTr="001E4175">
        <w:trPr>
          <w:trHeight w:val="908"/>
          <w:jc w:val="center"/>
        </w:trPr>
        <w:tc>
          <w:tcPr>
            <w:tcW w:w="9576" w:type="dxa"/>
            <w:shd w:val="clear" w:color="auto" w:fill="F2F2F2"/>
          </w:tcPr>
          <w:p w14:paraId="124292B7" w14:textId="77777777" w:rsidR="00537F2F" w:rsidRPr="00005D02" w:rsidRDefault="00537F2F" w:rsidP="0030543F">
            <w:pPr>
              <w:tabs>
                <w:tab w:val="left" w:pos="9270"/>
              </w:tabs>
              <w:spacing w:after="0" w:line="240" w:lineRule="auto"/>
              <w:jc w:val="both"/>
              <w:rPr>
                <w:rFonts w:ascii="Cambria" w:hAnsi="Cambria"/>
                <w:sz w:val="20"/>
                <w:szCs w:val="20"/>
                <w:lang w:val="es-CO"/>
              </w:rPr>
            </w:pPr>
            <w:r w:rsidRPr="00005D02">
              <w:rPr>
                <w:rFonts w:ascii="Cambria" w:eastAsia="Batang" w:hAnsi="Cambria"/>
                <w:b/>
                <w:sz w:val="20"/>
                <w:szCs w:val="20"/>
                <w:lang w:val="es-CO"/>
              </w:rPr>
              <w:t>Víctima (s):</w:t>
            </w:r>
            <w:r w:rsidRPr="00005D02">
              <w:rPr>
                <w:rFonts w:ascii="Cambria" w:eastAsia="Batang" w:hAnsi="Cambria"/>
                <w:sz w:val="20"/>
                <w:szCs w:val="20"/>
                <w:lang w:val="es-CO"/>
              </w:rPr>
              <w:t xml:space="preserve"> </w:t>
            </w:r>
            <w:r w:rsidRPr="00005D02">
              <w:rPr>
                <w:rFonts w:ascii="Cambria" w:hAnsi="Cambria"/>
                <w:sz w:val="20"/>
                <w:szCs w:val="20"/>
                <w:lang w:val="es-CO"/>
              </w:rPr>
              <w:t>Francisco Samuel Naishtat</w:t>
            </w:r>
          </w:p>
          <w:p w14:paraId="1F03210B" w14:textId="77777777" w:rsidR="00537F2F" w:rsidRPr="00005D02" w:rsidRDefault="00537F2F" w:rsidP="0030543F">
            <w:pPr>
              <w:tabs>
                <w:tab w:val="left" w:pos="9270"/>
              </w:tabs>
              <w:spacing w:after="0" w:line="240" w:lineRule="auto"/>
              <w:jc w:val="both"/>
              <w:rPr>
                <w:rFonts w:ascii="Cambria" w:hAnsi="Cambria"/>
                <w:sz w:val="20"/>
                <w:szCs w:val="20"/>
                <w:lang w:val="es-CO"/>
              </w:rPr>
            </w:pPr>
            <w:r w:rsidRPr="00005D02">
              <w:rPr>
                <w:rFonts w:ascii="Cambria" w:eastAsia="Batang" w:hAnsi="Cambria"/>
                <w:b/>
                <w:sz w:val="20"/>
                <w:szCs w:val="20"/>
                <w:lang w:val="es-CO"/>
              </w:rPr>
              <w:t xml:space="preserve">Peticionario (s): </w:t>
            </w:r>
            <w:r w:rsidRPr="00005D02">
              <w:rPr>
                <w:rFonts w:ascii="Cambria" w:hAnsi="Cambria"/>
                <w:bCs/>
                <w:sz w:val="20"/>
                <w:szCs w:val="20"/>
                <w:lang w:val="es-CO"/>
              </w:rPr>
              <w:t>Elena Carmen Moreno and Myriam Carsen</w:t>
            </w:r>
          </w:p>
          <w:p w14:paraId="56175D11" w14:textId="77777777" w:rsidR="00537F2F" w:rsidRPr="00005D02" w:rsidRDefault="00537F2F" w:rsidP="0030543F">
            <w:pPr>
              <w:tabs>
                <w:tab w:val="left" w:pos="9270"/>
              </w:tabs>
              <w:suppressAutoHyphens/>
              <w:spacing w:after="0" w:line="240" w:lineRule="auto"/>
              <w:jc w:val="both"/>
              <w:rPr>
                <w:rFonts w:ascii="Cambria" w:eastAsia="Batang" w:hAnsi="Cambria"/>
                <w:sz w:val="20"/>
                <w:szCs w:val="20"/>
                <w:lang w:val="es-CO"/>
              </w:rPr>
            </w:pPr>
            <w:r w:rsidRPr="00005D02">
              <w:rPr>
                <w:rFonts w:ascii="Cambria" w:eastAsia="Batang" w:hAnsi="Cambria"/>
                <w:b/>
                <w:sz w:val="20"/>
                <w:szCs w:val="20"/>
                <w:lang w:val="es-CO"/>
              </w:rPr>
              <w:t>Estado:</w:t>
            </w:r>
            <w:r w:rsidRPr="00005D02">
              <w:rPr>
                <w:rFonts w:ascii="Cambria" w:eastAsia="Batang" w:hAnsi="Cambria"/>
                <w:sz w:val="20"/>
                <w:szCs w:val="20"/>
                <w:lang w:val="es-CO"/>
              </w:rPr>
              <w:t xml:space="preserve"> Argentina</w:t>
            </w:r>
          </w:p>
          <w:p w14:paraId="595A263F" w14:textId="77777777" w:rsidR="00537F2F" w:rsidRPr="00005D02" w:rsidRDefault="00537F2F" w:rsidP="0030543F">
            <w:pPr>
              <w:tabs>
                <w:tab w:val="left" w:pos="9270"/>
              </w:tabs>
              <w:suppressAutoHyphens/>
              <w:spacing w:after="0" w:line="240" w:lineRule="auto"/>
              <w:jc w:val="both"/>
              <w:rPr>
                <w:rFonts w:ascii="Cambria" w:eastAsia="Batang" w:hAnsi="Cambria"/>
                <w:sz w:val="20"/>
                <w:szCs w:val="20"/>
                <w:lang w:val="es-CO"/>
              </w:rPr>
            </w:pPr>
            <w:r w:rsidRPr="00005D02">
              <w:rPr>
                <w:rFonts w:ascii="Cambria" w:hAnsi="Cambria"/>
                <w:b/>
                <w:bCs/>
                <w:sz w:val="20"/>
                <w:szCs w:val="20"/>
                <w:lang w:val="es-CO"/>
              </w:rPr>
              <w:t>Fecha de inicio de las negociaciones:</w:t>
            </w:r>
            <w:r w:rsidRPr="00005D02">
              <w:rPr>
                <w:rFonts w:ascii="Cambria" w:hAnsi="Cambria"/>
                <w:sz w:val="20"/>
                <w:szCs w:val="20"/>
                <w:lang w:val="es-CO"/>
              </w:rPr>
              <w:t xml:space="preserve"> 2 de agosto de 2022</w:t>
            </w:r>
          </w:p>
          <w:p w14:paraId="727A2D41" w14:textId="77777777" w:rsidR="00537F2F" w:rsidRPr="00005D02" w:rsidRDefault="00537F2F" w:rsidP="0030543F">
            <w:pPr>
              <w:tabs>
                <w:tab w:val="left" w:pos="9270"/>
              </w:tabs>
              <w:suppressAutoHyphens/>
              <w:spacing w:after="0" w:line="240" w:lineRule="auto"/>
              <w:jc w:val="both"/>
              <w:rPr>
                <w:rFonts w:ascii="Cambria" w:hAnsi="Cambria"/>
                <w:sz w:val="20"/>
                <w:szCs w:val="20"/>
                <w:lang w:val="es-CO"/>
              </w:rPr>
            </w:pPr>
            <w:r w:rsidRPr="00005D02">
              <w:rPr>
                <w:rFonts w:ascii="Cambria" w:hAnsi="Cambria"/>
                <w:b/>
                <w:bCs/>
                <w:sz w:val="20"/>
                <w:szCs w:val="20"/>
                <w:lang w:val="es-CO"/>
              </w:rPr>
              <w:t xml:space="preserve">Fecha de Firma de ASA: </w:t>
            </w:r>
            <w:r w:rsidRPr="00005D02">
              <w:rPr>
                <w:rFonts w:ascii="Cambria" w:hAnsi="Cambria"/>
                <w:sz w:val="20"/>
                <w:szCs w:val="20"/>
                <w:lang w:val="es-CO"/>
              </w:rPr>
              <w:t>5 de julio de 2022</w:t>
            </w:r>
          </w:p>
          <w:p w14:paraId="542705CE" w14:textId="06EB65CD" w:rsidR="00537F2F" w:rsidRPr="00005D02" w:rsidRDefault="00537F2F" w:rsidP="0030543F">
            <w:pPr>
              <w:tabs>
                <w:tab w:val="left" w:pos="9270"/>
              </w:tabs>
              <w:suppressAutoHyphens/>
              <w:spacing w:after="0" w:line="240" w:lineRule="auto"/>
              <w:jc w:val="both"/>
              <w:rPr>
                <w:rFonts w:ascii="Cambria" w:hAnsi="Cambria"/>
                <w:b/>
                <w:bCs/>
                <w:sz w:val="20"/>
                <w:szCs w:val="20"/>
                <w:lang w:val="es-ES"/>
              </w:rPr>
            </w:pPr>
            <w:r w:rsidRPr="00005D02">
              <w:rPr>
                <w:rFonts w:ascii="Cambria" w:hAnsi="Cambria"/>
                <w:b/>
                <w:bCs/>
                <w:sz w:val="20"/>
                <w:szCs w:val="20"/>
                <w:lang w:val="es-ES"/>
              </w:rPr>
              <w:t>Informe de Admisibilidad N</w:t>
            </w:r>
            <w:r w:rsidR="00B52B68">
              <w:rPr>
                <w:rFonts w:ascii="Cambria" w:hAnsi="Cambria"/>
                <w:b/>
                <w:bCs/>
                <w:sz w:val="20"/>
                <w:szCs w:val="20"/>
                <w:lang w:val="es-ES"/>
              </w:rPr>
              <w:t>o</w:t>
            </w:r>
            <w:r w:rsidRPr="00005D02">
              <w:rPr>
                <w:rFonts w:ascii="Cambria" w:hAnsi="Cambria"/>
                <w:b/>
                <w:bCs/>
                <w:sz w:val="20"/>
                <w:szCs w:val="20"/>
                <w:lang w:val="es-ES"/>
              </w:rPr>
              <w:t>:</w:t>
            </w:r>
            <w:r w:rsidRPr="00005D02">
              <w:rPr>
                <w:rFonts w:ascii="Cambria" w:hAnsi="Cambria"/>
                <w:sz w:val="20"/>
                <w:szCs w:val="20"/>
                <w:lang w:val="es-ES"/>
              </w:rPr>
              <w:t xml:space="preserve"> </w:t>
            </w:r>
            <w:hyperlink r:id="rId13" w:history="1">
              <w:r w:rsidRPr="00005D02">
                <w:rPr>
                  <w:rFonts w:ascii="Cambria" w:hAnsi="Cambria"/>
                  <w:b/>
                  <w:bCs/>
                  <w:sz w:val="20"/>
                  <w:szCs w:val="20"/>
                  <w:u w:val="single"/>
                  <w:lang w:val="es-ES"/>
                </w:rPr>
                <w:t>235/21</w:t>
              </w:r>
            </w:hyperlink>
            <w:r w:rsidRPr="00005D02">
              <w:rPr>
                <w:rFonts w:ascii="Cambria" w:hAnsi="Cambria"/>
                <w:sz w:val="20"/>
                <w:szCs w:val="20"/>
                <w:lang w:val="es-ES"/>
              </w:rPr>
              <w:t>, publicado el 7 de septiembre de 2021</w:t>
            </w:r>
          </w:p>
          <w:p w14:paraId="78169EF4" w14:textId="7D3CBEF7" w:rsidR="00537F2F" w:rsidRPr="00005D02" w:rsidRDefault="00537F2F" w:rsidP="0030543F">
            <w:pPr>
              <w:tabs>
                <w:tab w:val="left" w:pos="9270"/>
              </w:tabs>
              <w:suppressAutoHyphens/>
              <w:spacing w:after="0" w:line="240" w:lineRule="auto"/>
              <w:jc w:val="both"/>
              <w:rPr>
                <w:rFonts w:ascii="Cambria" w:eastAsia="Batang" w:hAnsi="Cambria"/>
                <w:sz w:val="20"/>
                <w:szCs w:val="20"/>
                <w:lang w:val="es-CO"/>
              </w:rPr>
            </w:pPr>
            <w:r w:rsidRPr="00005D02">
              <w:rPr>
                <w:rFonts w:ascii="Cambria" w:eastAsia="Batang" w:hAnsi="Cambria"/>
                <w:b/>
                <w:sz w:val="20"/>
                <w:szCs w:val="20"/>
                <w:lang w:val="es-CO"/>
              </w:rPr>
              <w:t>Informe de Acuerdo de Solución Amistosa N</w:t>
            </w:r>
            <w:r w:rsidR="00B52B68">
              <w:rPr>
                <w:rFonts w:ascii="Cambria" w:eastAsia="Batang" w:hAnsi="Cambria"/>
                <w:b/>
                <w:sz w:val="20"/>
                <w:szCs w:val="20"/>
                <w:lang w:val="es-CO"/>
              </w:rPr>
              <w:t>o</w:t>
            </w:r>
            <w:r w:rsidRPr="00005D02">
              <w:rPr>
                <w:rFonts w:ascii="Cambria" w:eastAsia="Batang" w:hAnsi="Cambria"/>
                <w:b/>
                <w:sz w:val="20"/>
                <w:szCs w:val="20"/>
                <w:lang w:val="es-CO"/>
              </w:rPr>
              <w:t xml:space="preserve">: </w:t>
            </w:r>
            <w:hyperlink r:id="rId14" w:history="1">
              <w:r w:rsidRPr="00005D02">
                <w:rPr>
                  <w:rFonts w:ascii="Cambria" w:eastAsia="Batang" w:hAnsi="Cambria"/>
                  <w:b/>
                  <w:sz w:val="20"/>
                  <w:szCs w:val="20"/>
                  <w:u w:val="single"/>
                  <w:lang w:val="es-CO"/>
                </w:rPr>
                <w:t>215/23</w:t>
              </w:r>
            </w:hyperlink>
            <w:r w:rsidRPr="00005D02">
              <w:rPr>
                <w:rFonts w:ascii="Cambria" w:eastAsia="Batang" w:hAnsi="Cambria"/>
                <w:b/>
                <w:sz w:val="20"/>
                <w:szCs w:val="20"/>
                <w:lang w:val="es-CO"/>
              </w:rPr>
              <w:t xml:space="preserve"> </w:t>
            </w:r>
            <w:r w:rsidRPr="00005D02">
              <w:rPr>
                <w:rFonts w:ascii="Cambria" w:eastAsia="Batang" w:hAnsi="Cambria"/>
                <w:bCs/>
                <w:sz w:val="20"/>
                <w:szCs w:val="20"/>
                <w:lang w:val="es-CO"/>
              </w:rPr>
              <w:t>p</w:t>
            </w:r>
            <w:r w:rsidRPr="00005D02">
              <w:rPr>
                <w:rFonts w:ascii="Cambria" w:eastAsia="Batang" w:hAnsi="Cambria"/>
                <w:sz w:val="20"/>
                <w:szCs w:val="20"/>
                <w:lang w:val="es-CO"/>
              </w:rPr>
              <w:t>ublicado el 20 de octubre de 2023</w:t>
            </w:r>
          </w:p>
          <w:p w14:paraId="16DCDECB" w14:textId="77777777" w:rsidR="00537F2F" w:rsidRPr="00005D02" w:rsidRDefault="00537F2F" w:rsidP="0030543F">
            <w:pPr>
              <w:tabs>
                <w:tab w:val="left" w:pos="9270"/>
              </w:tabs>
              <w:suppressAutoHyphens/>
              <w:spacing w:after="0" w:line="240" w:lineRule="auto"/>
              <w:jc w:val="both"/>
              <w:rPr>
                <w:rFonts w:ascii="Cambria" w:hAnsi="Cambria"/>
                <w:sz w:val="20"/>
                <w:szCs w:val="20"/>
                <w:lang w:val="es-CO"/>
              </w:rPr>
            </w:pPr>
            <w:r w:rsidRPr="00005D02">
              <w:rPr>
                <w:rFonts w:ascii="Cambria" w:hAnsi="Cambria"/>
                <w:b/>
                <w:bCs/>
                <w:sz w:val="20"/>
                <w:szCs w:val="20"/>
                <w:lang w:val="es-CO"/>
              </w:rPr>
              <w:t xml:space="preserve">Duración estimada de la fase de negociación: </w:t>
            </w:r>
            <w:r w:rsidRPr="00005D02">
              <w:rPr>
                <w:rFonts w:ascii="Cambria" w:hAnsi="Cambria"/>
                <w:sz w:val="20"/>
                <w:szCs w:val="20"/>
                <w:lang w:val="es-CO"/>
              </w:rPr>
              <w:t>1 año y 2 meses</w:t>
            </w:r>
          </w:p>
          <w:p w14:paraId="325BD7A8" w14:textId="77777777" w:rsidR="00537F2F" w:rsidRPr="00005D02" w:rsidRDefault="00537F2F" w:rsidP="0030543F">
            <w:pPr>
              <w:tabs>
                <w:tab w:val="left" w:pos="9270"/>
              </w:tabs>
              <w:suppressAutoHyphens/>
              <w:spacing w:after="0" w:line="240" w:lineRule="auto"/>
              <w:jc w:val="both"/>
              <w:rPr>
                <w:rFonts w:ascii="Cambria" w:eastAsia="Batang" w:hAnsi="Cambria"/>
                <w:sz w:val="20"/>
                <w:szCs w:val="20"/>
                <w:lang w:val="es-CO"/>
              </w:rPr>
            </w:pPr>
            <w:r w:rsidRPr="00005D02">
              <w:rPr>
                <w:rFonts w:ascii="Cambria" w:eastAsia="Batang" w:hAnsi="Cambria"/>
                <w:b/>
                <w:sz w:val="20"/>
                <w:szCs w:val="20"/>
                <w:lang w:val="es-CO"/>
              </w:rPr>
              <w:t>Relatoría vinculada:</w:t>
            </w:r>
            <w:r w:rsidRPr="00005D02">
              <w:rPr>
                <w:rFonts w:ascii="Cambria" w:eastAsia="Batang" w:hAnsi="Cambria"/>
                <w:sz w:val="20"/>
                <w:szCs w:val="20"/>
                <w:lang w:val="es-CO"/>
              </w:rPr>
              <w:t xml:space="preserve"> Derechos de los Migrantes; Memoria, Verdad y Justicia</w:t>
            </w:r>
          </w:p>
          <w:p w14:paraId="086D0D92" w14:textId="77777777" w:rsidR="00537F2F" w:rsidRPr="00005D02" w:rsidRDefault="00537F2F" w:rsidP="0030543F">
            <w:pPr>
              <w:suppressAutoHyphens/>
              <w:spacing w:after="0" w:line="240" w:lineRule="auto"/>
              <w:jc w:val="both"/>
              <w:rPr>
                <w:rFonts w:ascii="Cambria" w:eastAsia="Batang" w:hAnsi="Cambria"/>
                <w:bCs/>
                <w:sz w:val="20"/>
                <w:szCs w:val="20"/>
                <w:lang w:val="es-CO"/>
              </w:rPr>
            </w:pPr>
            <w:r w:rsidRPr="00005D02">
              <w:rPr>
                <w:rFonts w:ascii="Cambria" w:eastAsia="Batang" w:hAnsi="Cambria"/>
                <w:b/>
                <w:sz w:val="20"/>
                <w:szCs w:val="20"/>
                <w:lang w:val="es-CO"/>
              </w:rPr>
              <w:t>Temas:</w:t>
            </w:r>
            <w:r w:rsidRPr="00005D02">
              <w:rPr>
                <w:rFonts w:ascii="Cambria" w:eastAsia="Batang" w:hAnsi="Cambria"/>
                <w:bCs/>
                <w:sz w:val="20"/>
                <w:szCs w:val="20"/>
                <w:lang w:val="es-CO"/>
              </w:rPr>
              <w:t xml:space="preserve"> Derecho a la Indemnización/ </w:t>
            </w:r>
            <w:r w:rsidRPr="00005D02">
              <w:rPr>
                <w:rFonts w:ascii="Cambria" w:eastAsia="Batang" w:hAnsi="Cambria"/>
                <w:sz w:val="20"/>
                <w:szCs w:val="20"/>
                <w:lang w:val="es-CO"/>
              </w:rPr>
              <w:t>Derecho de Circulación y de Residencia/</w:t>
            </w:r>
            <w:r w:rsidRPr="00005D02">
              <w:rPr>
                <w:rFonts w:ascii="Cambria" w:eastAsia="Batang" w:hAnsi="Cambria"/>
                <w:bCs/>
                <w:sz w:val="20"/>
                <w:szCs w:val="20"/>
                <w:lang w:val="es-CO"/>
              </w:rPr>
              <w:t xml:space="preserve"> Garantías Judiciales/ Igualdad y No Discriminación/ Protección Judicial</w:t>
            </w:r>
          </w:p>
          <w:p w14:paraId="5AAE3CBB" w14:textId="77777777" w:rsidR="00537F2F" w:rsidRPr="00005D02" w:rsidRDefault="00537F2F" w:rsidP="0030543F">
            <w:pPr>
              <w:tabs>
                <w:tab w:val="left" w:pos="9270"/>
              </w:tabs>
              <w:suppressAutoHyphens/>
              <w:spacing w:after="0" w:line="240" w:lineRule="auto"/>
              <w:jc w:val="both"/>
              <w:rPr>
                <w:rFonts w:ascii="Cambria" w:eastAsia="Batang" w:hAnsi="Cambria"/>
                <w:sz w:val="20"/>
                <w:szCs w:val="20"/>
                <w:lang w:val="es-CO"/>
              </w:rPr>
            </w:pPr>
          </w:p>
          <w:p w14:paraId="695CAF97" w14:textId="77777777" w:rsidR="00537F2F" w:rsidRPr="00005D02" w:rsidRDefault="00537F2F" w:rsidP="0030543F">
            <w:pPr>
              <w:suppressAutoHyphens/>
              <w:spacing w:after="0" w:line="240" w:lineRule="auto"/>
              <w:jc w:val="both"/>
              <w:rPr>
                <w:rFonts w:ascii="Cambria" w:eastAsia="Batang" w:hAnsi="Cambria"/>
                <w:sz w:val="20"/>
                <w:szCs w:val="20"/>
                <w:lang w:val="es-CO"/>
              </w:rPr>
            </w:pPr>
            <w:r w:rsidRPr="00005D02">
              <w:rPr>
                <w:rFonts w:ascii="Cambria" w:eastAsia="Batang" w:hAnsi="Cambria"/>
                <w:b/>
                <w:sz w:val="20"/>
                <w:szCs w:val="20"/>
                <w:lang w:val="es-CO"/>
              </w:rPr>
              <w:t>Hechos:</w:t>
            </w:r>
            <w:r w:rsidRPr="00005D02">
              <w:rPr>
                <w:rFonts w:ascii="Cambria" w:eastAsia="Batang" w:hAnsi="Cambria"/>
                <w:sz w:val="20"/>
                <w:szCs w:val="20"/>
                <w:lang w:val="es-CO"/>
              </w:rPr>
              <w:t xml:space="preserve"> El 20 de octubre de 2010, la Comisión Interamericana de Derechos Humanos recibió una petición presentada por Francisco Samuel Naishtat, en la cual se alegaba la responsabilidad internacional de la República de Argentina, por la violación de los derechos humanos en perjuicio de la presunta víctima derivada de los hechos que lo obligaron a exiliarse en Francia durante la última dictadura cívico-militar de Argentina, así como por la violación de sus derechos a las garantías judiciales, a la protección judicial, y a la igualdad y no discriminación en el marco de los procedimientos civiles basados en la Ley No. 24.043.</w:t>
            </w:r>
          </w:p>
          <w:p w14:paraId="23C93602" w14:textId="77777777" w:rsidR="00537F2F" w:rsidRPr="00005D02" w:rsidRDefault="00537F2F" w:rsidP="0030543F">
            <w:pPr>
              <w:suppressAutoHyphens/>
              <w:spacing w:after="0" w:line="240" w:lineRule="auto"/>
              <w:jc w:val="both"/>
              <w:rPr>
                <w:rFonts w:ascii="Cambria" w:eastAsia="Batang" w:hAnsi="Cambria"/>
                <w:sz w:val="20"/>
                <w:szCs w:val="20"/>
                <w:lang w:val="es-CO"/>
              </w:rPr>
            </w:pPr>
          </w:p>
          <w:p w14:paraId="7929B1C1" w14:textId="77777777" w:rsidR="00537F2F" w:rsidRPr="00005D02" w:rsidRDefault="00537F2F" w:rsidP="0030543F">
            <w:pPr>
              <w:suppressAutoHyphens/>
              <w:spacing w:after="0" w:line="240" w:lineRule="auto"/>
              <w:jc w:val="both"/>
              <w:rPr>
                <w:rFonts w:ascii="Cambria" w:hAnsi="Cambria"/>
                <w:bCs/>
                <w:sz w:val="20"/>
                <w:szCs w:val="20"/>
                <w:lang w:val="es-CO"/>
              </w:rPr>
            </w:pPr>
            <w:r w:rsidRPr="00005D02">
              <w:rPr>
                <w:rFonts w:ascii="Cambria" w:eastAsia="Batang" w:hAnsi="Cambria"/>
                <w:b/>
                <w:sz w:val="20"/>
                <w:szCs w:val="20"/>
                <w:lang w:val="es-CO"/>
              </w:rPr>
              <w:t xml:space="preserve">Derechos declarados admisibles: </w:t>
            </w:r>
            <w:r w:rsidRPr="00005D02">
              <w:rPr>
                <w:rFonts w:ascii="Cambria" w:eastAsia="Batang" w:hAnsi="Cambria"/>
                <w:bCs/>
                <w:sz w:val="20"/>
                <w:szCs w:val="20"/>
                <w:lang w:val="es-CO"/>
              </w:rPr>
              <w:t>El 7 de septiembre de 2021, la Comisión emitió el Informe de Admisibilidad No. 235/21, en el cual declaró admisible la petición y declaró su competencia para conocer del reclamo presentado por las peticionarias respecto de la presunta violación de los derechos contenidos en los artículos 8 (garantías judiciales), 24 (igualdad ante la ley) y 25 (protección judicial) contenidos en la Convención Americana en relación con los artículos 1.1 (obligación de respetar) y 2 (deber de adoptar disposiciones de derecho interno) del mismo instrumento</w:t>
            </w:r>
          </w:p>
        </w:tc>
      </w:tr>
    </w:tbl>
    <w:p w14:paraId="2BE41D3E" w14:textId="77777777" w:rsidR="00537F2F" w:rsidRPr="00005D02" w:rsidRDefault="00537F2F" w:rsidP="0030543F">
      <w:pPr>
        <w:suppressAutoHyphens/>
        <w:spacing w:after="0" w:line="240" w:lineRule="auto"/>
        <w:contextualSpacing/>
        <w:jc w:val="both"/>
        <w:rPr>
          <w:rFonts w:ascii="Cambria" w:eastAsia="Batang" w:hAnsi="Cambria" w:cs="Calibri Light"/>
          <w:b/>
          <w:sz w:val="20"/>
          <w:szCs w:val="20"/>
          <w:lang w:val="es-CO"/>
        </w:rPr>
      </w:pPr>
    </w:p>
    <w:p w14:paraId="69429768" w14:textId="77777777" w:rsidR="00537F2F" w:rsidRPr="00005D02" w:rsidRDefault="00537F2F" w:rsidP="0030543F">
      <w:pPr>
        <w:numPr>
          <w:ilvl w:val="0"/>
          <w:numId w:val="37"/>
        </w:numPr>
        <w:suppressAutoHyphens/>
        <w:spacing w:after="0" w:line="240" w:lineRule="auto"/>
        <w:jc w:val="both"/>
        <w:rPr>
          <w:rFonts w:ascii="Cambria" w:eastAsia="Batang" w:hAnsi="Cambria" w:cs="Calibri Light"/>
          <w:b/>
          <w:sz w:val="20"/>
          <w:szCs w:val="20"/>
          <w:lang w:val="es-CO"/>
        </w:rPr>
      </w:pPr>
      <w:r w:rsidRPr="00005D02">
        <w:rPr>
          <w:rFonts w:ascii="Cambria" w:eastAsia="Batang" w:hAnsi="Cambria" w:cs="Calibri Light"/>
          <w:b/>
          <w:sz w:val="20"/>
          <w:szCs w:val="20"/>
          <w:lang w:val="es-CO"/>
        </w:rPr>
        <w:t>ACTIVIDAD PROCESAL</w:t>
      </w:r>
    </w:p>
    <w:p w14:paraId="3AB7605A" w14:textId="77777777" w:rsidR="00537F2F" w:rsidRPr="00005D02" w:rsidRDefault="00537F2F" w:rsidP="0030543F">
      <w:pPr>
        <w:suppressAutoHyphens/>
        <w:spacing w:after="0" w:line="240" w:lineRule="auto"/>
        <w:ind w:firstLine="720"/>
        <w:contextualSpacing/>
        <w:jc w:val="both"/>
        <w:rPr>
          <w:rFonts w:ascii="Cambria" w:eastAsia="Batang" w:hAnsi="Cambria" w:cs="Calibri Light"/>
          <w:b/>
          <w:sz w:val="20"/>
          <w:szCs w:val="20"/>
          <w:lang w:val="es-ES_tradnl"/>
        </w:rPr>
      </w:pPr>
    </w:p>
    <w:p w14:paraId="27F821EE" w14:textId="78034A8F" w:rsidR="00537F2F" w:rsidRPr="00005D02" w:rsidRDefault="004633EB" w:rsidP="00BE2369">
      <w:pPr>
        <w:pStyle w:val="ListParagraph"/>
        <w:numPr>
          <w:ilvl w:val="0"/>
          <w:numId w:val="40"/>
        </w:numPr>
        <w:tabs>
          <w:tab w:val="left" w:pos="1440"/>
        </w:tabs>
        <w:spacing w:after="0" w:line="240" w:lineRule="auto"/>
        <w:ind w:left="0" w:firstLine="720"/>
        <w:jc w:val="both"/>
        <w:rPr>
          <w:rFonts w:ascii="Cambria" w:eastAsia="Batang" w:hAnsi="Cambria" w:cs="Calibri Light"/>
          <w:sz w:val="20"/>
          <w:szCs w:val="20"/>
          <w:lang w:val="es-ES_tradnl"/>
        </w:rPr>
      </w:pPr>
      <w:r w:rsidRPr="00005D02">
        <w:rPr>
          <w:rFonts w:ascii="Cambria" w:eastAsia="Batang" w:hAnsi="Cambria" w:cs="Calibri Light"/>
          <w:sz w:val="20"/>
          <w:szCs w:val="20"/>
          <w:lang w:val="es-ES_tradnl"/>
        </w:rPr>
        <w:t>El 5 de julio de 2022, las partes firmaron un acuerdo de solución amistosa</w:t>
      </w:r>
      <w:r w:rsidR="00537F2F" w:rsidRPr="00005D02">
        <w:rPr>
          <w:rFonts w:ascii="Cambria" w:eastAsia="Batang" w:hAnsi="Cambria" w:cs="Calibri Light"/>
          <w:sz w:val="20"/>
          <w:szCs w:val="20"/>
          <w:lang w:val="es-ES_tradnl"/>
        </w:rPr>
        <w:t>.</w:t>
      </w:r>
    </w:p>
    <w:p w14:paraId="753A7B01" w14:textId="77777777" w:rsidR="00537F2F" w:rsidRPr="00005D02" w:rsidRDefault="00537F2F" w:rsidP="0030543F">
      <w:pPr>
        <w:pStyle w:val="ListParagraph"/>
        <w:tabs>
          <w:tab w:val="left" w:pos="1440"/>
        </w:tabs>
        <w:spacing w:after="0" w:line="240" w:lineRule="auto"/>
        <w:ind w:left="1080"/>
        <w:jc w:val="both"/>
        <w:rPr>
          <w:rFonts w:ascii="Cambria" w:eastAsia="Batang" w:hAnsi="Cambria" w:cs="Calibri Light"/>
          <w:sz w:val="20"/>
          <w:szCs w:val="20"/>
          <w:lang w:val="es-ES_tradnl"/>
        </w:rPr>
      </w:pPr>
    </w:p>
    <w:p w14:paraId="5F8DC382" w14:textId="6DAB49D4" w:rsidR="00537F2F" w:rsidRPr="00005D02" w:rsidRDefault="004633EB" w:rsidP="004633EB">
      <w:pPr>
        <w:pStyle w:val="ListParagraph"/>
        <w:numPr>
          <w:ilvl w:val="0"/>
          <w:numId w:val="40"/>
        </w:numPr>
        <w:tabs>
          <w:tab w:val="left" w:pos="1440"/>
        </w:tabs>
        <w:spacing w:after="0" w:line="240" w:lineRule="auto"/>
        <w:ind w:left="0" w:firstLine="720"/>
        <w:jc w:val="both"/>
        <w:rPr>
          <w:rFonts w:ascii="Cambria" w:eastAsia="Batang" w:hAnsi="Cambria" w:cs="Calibri Light"/>
          <w:sz w:val="20"/>
          <w:szCs w:val="20"/>
          <w:lang w:val="es-ES_tradnl"/>
        </w:rPr>
      </w:pPr>
      <w:r w:rsidRPr="00005D02">
        <w:rPr>
          <w:rFonts w:ascii="Cambria" w:eastAsia="Batang" w:hAnsi="Cambria" w:cs="Calibri Light"/>
          <w:sz w:val="20"/>
          <w:szCs w:val="20"/>
          <w:lang w:val="es-ES_tradnl"/>
        </w:rPr>
        <w:t>El 20 de octubre de 2023, la CIDH aprobó el acuerdo suscrito por las partes, mediante el Informe No. 215/23</w:t>
      </w:r>
      <w:r w:rsidR="00537F2F" w:rsidRPr="00005D02">
        <w:rPr>
          <w:rFonts w:ascii="Cambria" w:eastAsia="Batang" w:hAnsi="Cambria" w:cs="Calibri Light"/>
          <w:sz w:val="20"/>
          <w:szCs w:val="20"/>
          <w:lang w:val="es-ES_tradnl"/>
        </w:rPr>
        <w:t>.</w:t>
      </w:r>
    </w:p>
    <w:p w14:paraId="4DCD0BA9" w14:textId="77777777" w:rsidR="00537F2F" w:rsidRPr="00005D02" w:rsidRDefault="00537F2F" w:rsidP="0030543F">
      <w:pPr>
        <w:suppressAutoHyphens/>
        <w:spacing w:after="0" w:line="240" w:lineRule="auto"/>
        <w:jc w:val="both"/>
        <w:rPr>
          <w:rFonts w:ascii="Cambria" w:eastAsia="Batang" w:hAnsi="Cambria" w:cs="Calibri Light"/>
          <w:sz w:val="20"/>
          <w:szCs w:val="20"/>
          <w:lang w:val="es-ES_tradnl"/>
        </w:rPr>
      </w:pPr>
    </w:p>
    <w:p w14:paraId="4E453812" w14:textId="77777777" w:rsidR="00537F2F" w:rsidRPr="00005D02" w:rsidRDefault="00537F2F" w:rsidP="0030543F">
      <w:pPr>
        <w:numPr>
          <w:ilvl w:val="0"/>
          <w:numId w:val="37"/>
        </w:numPr>
        <w:suppressAutoHyphens/>
        <w:spacing w:after="0" w:line="240" w:lineRule="auto"/>
        <w:ind w:left="0" w:firstLine="720"/>
        <w:jc w:val="both"/>
        <w:rPr>
          <w:rFonts w:ascii="Cambria" w:eastAsia="Batang" w:hAnsi="Cambria" w:cs="Calibri Light"/>
          <w:b/>
          <w:sz w:val="20"/>
          <w:szCs w:val="20"/>
          <w:lang w:val="es-CO"/>
        </w:rPr>
      </w:pPr>
      <w:r w:rsidRPr="00005D02">
        <w:rPr>
          <w:rFonts w:ascii="Cambria" w:eastAsia="Batang" w:hAnsi="Cambria" w:cs="Calibri Light"/>
          <w:b/>
          <w:sz w:val="20"/>
          <w:szCs w:val="20"/>
          <w:lang w:val="es-CO"/>
        </w:rPr>
        <w:t>ANÁLISIS DEL CUMPLIMIENTO DE LAS CLÁUSULAS DEL ACUERDO DE SOLUCIÓN AMISTOSA</w:t>
      </w:r>
    </w:p>
    <w:p w14:paraId="5084F709" w14:textId="77777777" w:rsidR="00537F2F" w:rsidRPr="00005D02" w:rsidRDefault="00537F2F" w:rsidP="0030543F">
      <w:pPr>
        <w:suppressAutoHyphens/>
        <w:spacing w:after="0" w:line="240" w:lineRule="auto"/>
        <w:jc w:val="both"/>
        <w:rPr>
          <w:rFonts w:ascii="Cambria" w:eastAsia="Batang" w:hAnsi="Cambria"/>
          <w:sz w:val="20"/>
          <w:szCs w:val="20"/>
          <w:lang w:val="es-ES_tradnl"/>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950"/>
      </w:tblGrid>
      <w:tr w:rsidR="00BE2369" w:rsidRPr="00005D02" w14:paraId="1BC743C6" w14:textId="77777777" w:rsidTr="002572A6">
        <w:tc>
          <w:tcPr>
            <w:tcW w:w="4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05EEB6" w14:textId="77777777" w:rsidR="00BE2369" w:rsidRPr="00005D02" w:rsidRDefault="00BE2369" w:rsidP="0030543F">
            <w:pPr>
              <w:tabs>
                <w:tab w:val="center" w:pos="2049"/>
              </w:tabs>
              <w:suppressAutoHyphens/>
              <w:spacing w:after="0" w:line="240" w:lineRule="auto"/>
              <w:jc w:val="center"/>
              <w:rPr>
                <w:rFonts w:ascii="Cambria" w:eastAsia="Batang" w:hAnsi="Cambria"/>
                <w:b/>
                <w:sz w:val="20"/>
                <w:szCs w:val="20"/>
                <w:lang w:val="es-ES_tradnl"/>
              </w:rPr>
            </w:pPr>
            <w:r w:rsidRPr="00005D02">
              <w:rPr>
                <w:rFonts w:ascii="Cambria" w:eastAsia="Batang" w:hAnsi="Cambria"/>
                <w:b/>
                <w:sz w:val="20"/>
                <w:szCs w:val="20"/>
                <w:lang w:val="es-ES_tradnl"/>
              </w:rPr>
              <w:t>Cláusula del Acuerdo</w:t>
            </w:r>
          </w:p>
        </w:tc>
        <w:tc>
          <w:tcPr>
            <w:tcW w:w="49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E7BFC" w14:textId="6EAC0DF4" w:rsidR="00BE2369" w:rsidRPr="00005D02" w:rsidRDefault="00BE2369" w:rsidP="00BF4733">
            <w:pPr>
              <w:suppressAutoHyphens/>
              <w:spacing w:after="0" w:line="240" w:lineRule="auto"/>
              <w:jc w:val="center"/>
              <w:rPr>
                <w:rFonts w:ascii="Cambria" w:eastAsia="Batang" w:hAnsi="Cambria"/>
                <w:b/>
                <w:sz w:val="20"/>
                <w:szCs w:val="20"/>
                <w:lang w:val="es-ES_tradnl"/>
              </w:rPr>
            </w:pPr>
            <w:r w:rsidRPr="00005D02">
              <w:rPr>
                <w:rFonts w:ascii="Cambria" w:eastAsia="Batang" w:hAnsi="Cambria"/>
                <w:b/>
                <w:sz w:val="20"/>
                <w:szCs w:val="20"/>
                <w:lang w:val="es-ES_tradnl"/>
              </w:rPr>
              <w:t>Estado de Cumplimiento</w:t>
            </w:r>
          </w:p>
        </w:tc>
      </w:tr>
      <w:tr w:rsidR="00537F2F" w:rsidRPr="00005D02" w14:paraId="33100A37" w14:textId="77777777" w:rsidTr="001E4175">
        <w:trPr>
          <w:trHeight w:val="197"/>
        </w:trPr>
        <w:tc>
          <w:tcPr>
            <w:tcW w:w="4253" w:type="dxa"/>
            <w:tcBorders>
              <w:top w:val="single" w:sz="4" w:space="0" w:color="auto"/>
              <w:left w:val="single" w:sz="4" w:space="0" w:color="auto"/>
              <w:bottom w:val="single" w:sz="4" w:space="0" w:color="auto"/>
              <w:right w:val="single" w:sz="4" w:space="0" w:color="auto"/>
            </w:tcBorders>
            <w:vAlign w:val="center"/>
          </w:tcPr>
          <w:p w14:paraId="467FB282" w14:textId="77777777" w:rsidR="00537F2F" w:rsidRPr="00005D02" w:rsidRDefault="00537F2F" w:rsidP="0030543F">
            <w:pPr>
              <w:numPr>
                <w:ilvl w:val="0"/>
                <w:numId w:val="38"/>
              </w:numPr>
              <w:suppressAutoHyphens/>
              <w:spacing w:after="0" w:line="240" w:lineRule="auto"/>
              <w:contextualSpacing/>
              <w:jc w:val="both"/>
              <w:rPr>
                <w:rFonts w:ascii="Cambria" w:eastAsia="Batang" w:hAnsi="Cambria" w:cs="Calibri Light"/>
                <w:b/>
                <w:bCs/>
                <w:sz w:val="20"/>
                <w:szCs w:val="20"/>
                <w:lang w:val="es-ES_tradnl"/>
              </w:rPr>
            </w:pPr>
            <w:r w:rsidRPr="00005D02">
              <w:rPr>
                <w:rFonts w:ascii="Cambria" w:eastAsia="Batang" w:hAnsi="Cambria" w:cs="Calibri Light"/>
                <w:b/>
                <w:bCs/>
                <w:sz w:val="20"/>
                <w:szCs w:val="20"/>
                <w:lang w:val="es-ES_tradnl"/>
              </w:rPr>
              <w:t>Antecedentes</w:t>
            </w:r>
          </w:p>
        </w:tc>
        <w:tc>
          <w:tcPr>
            <w:tcW w:w="4950" w:type="dxa"/>
            <w:tcBorders>
              <w:top w:val="single" w:sz="4" w:space="0" w:color="auto"/>
              <w:left w:val="single" w:sz="4" w:space="0" w:color="auto"/>
              <w:right w:val="single" w:sz="4" w:space="0" w:color="auto"/>
            </w:tcBorders>
            <w:vAlign w:val="center"/>
          </w:tcPr>
          <w:p w14:paraId="2BF00C2E" w14:textId="2BE11916" w:rsidR="00537F2F" w:rsidRPr="00005D02" w:rsidRDefault="00537F2F" w:rsidP="0030543F">
            <w:pPr>
              <w:suppressAutoHyphens/>
              <w:spacing w:after="0" w:line="240" w:lineRule="auto"/>
              <w:jc w:val="center"/>
              <w:rPr>
                <w:rFonts w:ascii="Cambria" w:eastAsia="Batang" w:hAnsi="Cambria"/>
                <w:b/>
                <w:sz w:val="20"/>
                <w:szCs w:val="20"/>
                <w:lang w:val="es-ES_tradnl"/>
              </w:rPr>
            </w:pPr>
            <w:r w:rsidRPr="00005D02">
              <w:rPr>
                <w:rFonts w:ascii="Cambria" w:eastAsia="Batang" w:hAnsi="Cambria"/>
                <w:b/>
                <w:bCs/>
                <w:sz w:val="20"/>
                <w:szCs w:val="20"/>
                <w:lang w:val="es-ES_tradnl"/>
              </w:rPr>
              <w:t xml:space="preserve">Cláusula </w:t>
            </w:r>
            <w:r w:rsidR="00BE2369" w:rsidRPr="00005D02">
              <w:rPr>
                <w:rFonts w:ascii="Cambria" w:eastAsia="Batang" w:hAnsi="Cambria"/>
                <w:b/>
                <w:bCs/>
                <w:sz w:val="20"/>
                <w:szCs w:val="20"/>
                <w:lang w:val="es-ES_tradnl"/>
              </w:rPr>
              <w:t>D</w:t>
            </w:r>
            <w:r w:rsidRPr="00005D02">
              <w:rPr>
                <w:rFonts w:ascii="Cambria" w:eastAsia="Batang" w:hAnsi="Cambria"/>
                <w:b/>
                <w:bCs/>
                <w:sz w:val="20"/>
                <w:szCs w:val="20"/>
                <w:lang w:val="es-ES_tradnl"/>
              </w:rPr>
              <w:t>eclarativa</w:t>
            </w:r>
          </w:p>
        </w:tc>
      </w:tr>
      <w:tr w:rsidR="00537F2F" w:rsidRPr="00005D02" w14:paraId="7950526A" w14:textId="77777777" w:rsidTr="001E4175">
        <w:trPr>
          <w:trHeight w:val="231"/>
        </w:trPr>
        <w:tc>
          <w:tcPr>
            <w:tcW w:w="9203" w:type="dxa"/>
            <w:gridSpan w:val="2"/>
            <w:tcBorders>
              <w:top w:val="single" w:sz="4" w:space="0" w:color="auto"/>
              <w:left w:val="single" w:sz="4" w:space="0" w:color="auto"/>
              <w:bottom w:val="single" w:sz="4" w:space="0" w:color="auto"/>
              <w:right w:val="single" w:sz="4" w:space="0" w:color="auto"/>
            </w:tcBorders>
          </w:tcPr>
          <w:p w14:paraId="0964C117" w14:textId="77777777" w:rsidR="00537F2F" w:rsidRPr="00005D02" w:rsidRDefault="00537F2F" w:rsidP="0030543F">
            <w:pPr>
              <w:numPr>
                <w:ilvl w:val="0"/>
                <w:numId w:val="38"/>
              </w:numPr>
              <w:suppressAutoHyphens/>
              <w:spacing w:after="0" w:line="240" w:lineRule="auto"/>
              <w:contextualSpacing/>
              <w:rPr>
                <w:rFonts w:ascii="Cambria" w:eastAsia="Batang" w:hAnsi="Cambria"/>
                <w:b/>
                <w:sz w:val="20"/>
                <w:szCs w:val="20"/>
                <w:lang w:val="es-ES_tradnl"/>
              </w:rPr>
            </w:pPr>
            <w:r w:rsidRPr="00005D02">
              <w:rPr>
                <w:rFonts w:ascii="Cambria" w:eastAsia="Batang" w:hAnsi="Cambria"/>
                <w:b/>
                <w:sz w:val="20"/>
                <w:szCs w:val="20"/>
                <w:lang w:val="es-ES_tradnl"/>
              </w:rPr>
              <w:t>Medidas a adoptar</w:t>
            </w:r>
          </w:p>
        </w:tc>
      </w:tr>
      <w:tr w:rsidR="00FB48F2" w:rsidRPr="00005D02" w14:paraId="1C7B84AF" w14:textId="77777777" w:rsidTr="00021312">
        <w:trPr>
          <w:trHeight w:val="231"/>
        </w:trPr>
        <w:tc>
          <w:tcPr>
            <w:tcW w:w="4253" w:type="dxa"/>
            <w:tcBorders>
              <w:top w:val="single" w:sz="4" w:space="0" w:color="auto"/>
              <w:left w:val="single" w:sz="4" w:space="0" w:color="auto"/>
              <w:bottom w:val="single" w:sz="4" w:space="0" w:color="auto"/>
              <w:right w:val="single" w:sz="4" w:space="0" w:color="auto"/>
            </w:tcBorders>
          </w:tcPr>
          <w:p w14:paraId="19769C27" w14:textId="77777777" w:rsidR="00FB48F2" w:rsidRPr="00005D02" w:rsidRDefault="00FB48F2" w:rsidP="0030543F">
            <w:pPr>
              <w:suppressAutoHyphens/>
              <w:spacing w:after="0" w:line="240" w:lineRule="auto"/>
              <w:jc w:val="both"/>
              <w:rPr>
                <w:rFonts w:ascii="Cambria" w:hAnsi="Cambria"/>
                <w:sz w:val="20"/>
                <w:szCs w:val="20"/>
                <w:lang w:val="es-ES"/>
              </w:rPr>
            </w:pPr>
            <w:r w:rsidRPr="00005D02">
              <w:rPr>
                <w:rFonts w:ascii="Cambria" w:hAnsi="Cambria"/>
                <w:sz w:val="20"/>
                <w:szCs w:val="20"/>
                <w:lang w:val="es-ES"/>
              </w:rPr>
              <w:lastRenderedPageBreak/>
              <w:t>1.</w:t>
            </w:r>
            <w:r w:rsidRPr="00005D02">
              <w:rPr>
                <w:rFonts w:ascii="Cambria" w:hAnsi="Cambria"/>
                <w:sz w:val="20"/>
                <w:szCs w:val="20"/>
                <w:lang w:val="es-CO"/>
              </w:rPr>
              <w:tab/>
            </w:r>
            <w:r w:rsidRPr="00005D02">
              <w:rPr>
                <w:rFonts w:ascii="Cambria" w:hAnsi="Cambria"/>
                <w:sz w:val="20"/>
                <w:szCs w:val="20"/>
                <w:lang w:val="es-ES"/>
              </w:rPr>
              <w:t>Las partes convienen en que se otorgará una reparación pecuniaria de acuerdo al esquema previsto por la Ley N° 24.043, considerando a tal efecto la totalidad del período en el que el señor Francisco Samuel Naishtat permaneció en exilio forzoso, según el dictamen IF-2022-60344908-APN-DNAJIMDDHH#MJ. Esto es, desde el 14 de junio de 1976 y el 28 de octubre de 1983.</w:t>
            </w:r>
          </w:p>
        </w:tc>
        <w:tc>
          <w:tcPr>
            <w:tcW w:w="4950" w:type="dxa"/>
            <w:tcBorders>
              <w:top w:val="single" w:sz="4" w:space="0" w:color="auto"/>
              <w:left w:val="single" w:sz="4" w:space="0" w:color="auto"/>
              <w:bottom w:val="single" w:sz="4" w:space="0" w:color="auto"/>
              <w:right w:val="single" w:sz="4" w:space="0" w:color="auto"/>
            </w:tcBorders>
            <w:vAlign w:val="center"/>
          </w:tcPr>
          <w:p w14:paraId="0EC0FB76" w14:textId="536ABDE9" w:rsidR="00FB48F2" w:rsidRPr="00005D02" w:rsidRDefault="00FB48F2" w:rsidP="00FB48F2">
            <w:pPr>
              <w:suppressAutoHyphens/>
              <w:spacing w:after="0" w:line="240" w:lineRule="auto"/>
              <w:jc w:val="center"/>
              <w:rPr>
                <w:rFonts w:ascii="Cambria" w:eastAsia="Batang" w:hAnsi="Cambria"/>
                <w:b/>
                <w:bCs/>
                <w:sz w:val="20"/>
                <w:szCs w:val="20"/>
                <w:lang w:val="es-ES_tradnl"/>
              </w:rPr>
            </w:pPr>
            <w:r w:rsidRPr="00005D02">
              <w:rPr>
                <w:rFonts w:ascii="Cambria" w:eastAsia="Batang" w:hAnsi="Cambria"/>
                <w:b/>
                <w:bCs/>
                <w:sz w:val="20"/>
                <w:szCs w:val="20"/>
                <w:lang w:val="es-ES_tradnl"/>
              </w:rPr>
              <w:t>Total</w:t>
            </w:r>
            <w:r w:rsidR="0040037B" w:rsidRPr="00005D02">
              <w:rPr>
                <w:rStyle w:val="FootnoteReference"/>
                <w:rFonts w:ascii="Cambria" w:eastAsia="Batang" w:hAnsi="Cambria"/>
                <w:b/>
                <w:bCs/>
                <w:sz w:val="20"/>
                <w:szCs w:val="20"/>
                <w:lang w:val="es-ES_tradnl"/>
              </w:rPr>
              <w:footnoteReference w:id="2"/>
            </w:r>
          </w:p>
        </w:tc>
      </w:tr>
      <w:tr w:rsidR="00537F2F" w:rsidRPr="00005D02" w14:paraId="2C4AE00E" w14:textId="77777777" w:rsidTr="001E4175">
        <w:trPr>
          <w:trHeight w:val="231"/>
        </w:trPr>
        <w:tc>
          <w:tcPr>
            <w:tcW w:w="4253" w:type="dxa"/>
            <w:tcBorders>
              <w:top w:val="single" w:sz="4" w:space="0" w:color="auto"/>
              <w:left w:val="single" w:sz="4" w:space="0" w:color="auto"/>
              <w:bottom w:val="single" w:sz="4" w:space="0" w:color="auto"/>
              <w:right w:val="single" w:sz="4" w:space="0" w:color="auto"/>
            </w:tcBorders>
          </w:tcPr>
          <w:p w14:paraId="499DE47F" w14:textId="77777777" w:rsidR="00537F2F" w:rsidRPr="00005D02" w:rsidRDefault="00537F2F" w:rsidP="0030543F">
            <w:pPr>
              <w:suppressAutoHyphens/>
              <w:spacing w:after="0" w:line="240" w:lineRule="auto"/>
              <w:jc w:val="both"/>
              <w:rPr>
                <w:rFonts w:ascii="Cambria" w:hAnsi="Cambria"/>
                <w:sz w:val="20"/>
                <w:szCs w:val="20"/>
                <w:lang w:val="es-ES"/>
              </w:rPr>
            </w:pPr>
            <w:r w:rsidRPr="00005D02">
              <w:rPr>
                <w:rFonts w:ascii="Cambria" w:hAnsi="Cambria"/>
                <w:sz w:val="20"/>
                <w:szCs w:val="20"/>
                <w:lang w:val="es-ES"/>
              </w:rPr>
              <w:t>2.</w:t>
            </w:r>
            <w:r w:rsidRPr="00005D02">
              <w:rPr>
                <w:rFonts w:ascii="Cambria" w:hAnsi="Cambria"/>
                <w:sz w:val="20"/>
                <w:szCs w:val="20"/>
                <w:lang w:val="es-CO"/>
              </w:rPr>
              <w:tab/>
            </w:r>
            <w:r w:rsidRPr="00005D02">
              <w:rPr>
                <w:rFonts w:ascii="Cambria" w:hAnsi="Cambria"/>
                <w:sz w:val="20"/>
                <w:szCs w:val="20"/>
                <w:lang w:val="es-ES"/>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p>
        </w:tc>
        <w:tc>
          <w:tcPr>
            <w:tcW w:w="4950" w:type="dxa"/>
            <w:tcBorders>
              <w:top w:val="single" w:sz="4" w:space="0" w:color="auto"/>
              <w:left w:val="single" w:sz="4" w:space="0" w:color="auto"/>
              <w:bottom w:val="single" w:sz="4" w:space="0" w:color="auto"/>
              <w:right w:val="single" w:sz="4" w:space="0" w:color="auto"/>
            </w:tcBorders>
            <w:vAlign w:val="center"/>
          </w:tcPr>
          <w:p w14:paraId="4953BB72" w14:textId="77777777" w:rsidR="00537F2F" w:rsidRPr="00005D02" w:rsidRDefault="00537F2F" w:rsidP="0030543F">
            <w:pPr>
              <w:suppressAutoHyphens/>
              <w:spacing w:after="0" w:line="240" w:lineRule="auto"/>
              <w:jc w:val="center"/>
              <w:rPr>
                <w:rFonts w:ascii="Cambria" w:eastAsia="Batang" w:hAnsi="Cambria"/>
                <w:b/>
                <w:bCs/>
                <w:sz w:val="20"/>
                <w:szCs w:val="20"/>
                <w:lang w:val="es-ES_tradnl"/>
              </w:rPr>
            </w:pPr>
            <w:r w:rsidRPr="00005D02">
              <w:rPr>
                <w:rFonts w:ascii="Cambria" w:eastAsia="Batang" w:hAnsi="Cambria"/>
                <w:b/>
                <w:bCs/>
                <w:sz w:val="20"/>
                <w:szCs w:val="20"/>
                <w:lang w:val="es-ES_tradnl"/>
              </w:rPr>
              <w:t>Total</w:t>
            </w:r>
            <w:r w:rsidRPr="00005D02">
              <w:rPr>
                <w:rFonts w:ascii="Cambria" w:eastAsia="Batang" w:hAnsi="Cambria"/>
                <w:b/>
                <w:bCs/>
                <w:sz w:val="20"/>
                <w:szCs w:val="20"/>
                <w:vertAlign w:val="superscript"/>
                <w:lang w:val="es-ES_tradnl"/>
              </w:rPr>
              <w:footnoteReference w:id="3"/>
            </w:r>
          </w:p>
        </w:tc>
      </w:tr>
      <w:tr w:rsidR="00537F2F" w:rsidRPr="00005D02" w14:paraId="3C00DFBD" w14:textId="77777777" w:rsidTr="001E4175">
        <w:trPr>
          <w:trHeight w:val="231"/>
        </w:trPr>
        <w:tc>
          <w:tcPr>
            <w:tcW w:w="4253" w:type="dxa"/>
            <w:tcBorders>
              <w:top w:val="single" w:sz="4" w:space="0" w:color="auto"/>
              <w:left w:val="single" w:sz="4" w:space="0" w:color="auto"/>
              <w:bottom w:val="single" w:sz="4" w:space="0" w:color="auto"/>
              <w:right w:val="single" w:sz="4" w:space="0" w:color="auto"/>
            </w:tcBorders>
          </w:tcPr>
          <w:p w14:paraId="4F82322E" w14:textId="77777777" w:rsidR="00537F2F" w:rsidRPr="00005D02" w:rsidRDefault="00537F2F" w:rsidP="0030543F">
            <w:pPr>
              <w:suppressAutoHyphens/>
              <w:spacing w:after="0" w:line="240" w:lineRule="auto"/>
              <w:jc w:val="both"/>
              <w:rPr>
                <w:rFonts w:ascii="Cambria" w:hAnsi="Cambria"/>
                <w:sz w:val="20"/>
                <w:szCs w:val="20"/>
                <w:lang w:val="es-ES"/>
              </w:rPr>
            </w:pPr>
            <w:r w:rsidRPr="00005D02">
              <w:rPr>
                <w:rFonts w:ascii="Cambria" w:hAnsi="Cambria"/>
                <w:sz w:val="20"/>
                <w:szCs w:val="20"/>
                <w:lang w:val="es-ES"/>
              </w:rPr>
              <w:t>3.</w:t>
            </w:r>
            <w:r w:rsidRPr="00005D02">
              <w:rPr>
                <w:rFonts w:ascii="Cambria" w:hAnsi="Cambria"/>
                <w:sz w:val="20"/>
                <w:szCs w:val="20"/>
                <w:lang w:val="es-CO"/>
              </w:rPr>
              <w:tab/>
            </w:r>
            <w:r w:rsidRPr="00005D02">
              <w:rPr>
                <w:rFonts w:ascii="Cambria" w:hAnsi="Cambria"/>
                <w:sz w:val="20"/>
                <w:szCs w:val="20"/>
                <w:lang w:val="es-ES"/>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p>
        </w:tc>
        <w:tc>
          <w:tcPr>
            <w:tcW w:w="4950" w:type="dxa"/>
            <w:tcBorders>
              <w:top w:val="single" w:sz="4" w:space="0" w:color="auto"/>
              <w:left w:val="single" w:sz="4" w:space="0" w:color="auto"/>
              <w:bottom w:val="single" w:sz="4" w:space="0" w:color="auto"/>
              <w:right w:val="single" w:sz="4" w:space="0" w:color="auto"/>
            </w:tcBorders>
            <w:vAlign w:val="center"/>
          </w:tcPr>
          <w:p w14:paraId="50CBF849" w14:textId="77777777" w:rsidR="00537F2F" w:rsidRPr="00005D02" w:rsidRDefault="00537F2F" w:rsidP="0030543F">
            <w:pPr>
              <w:suppressAutoHyphens/>
              <w:spacing w:after="0" w:line="240" w:lineRule="auto"/>
              <w:jc w:val="center"/>
              <w:rPr>
                <w:rFonts w:ascii="Cambria" w:eastAsia="Batang" w:hAnsi="Cambria"/>
                <w:sz w:val="20"/>
                <w:szCs w:val="20"/>
                <w:lang w:val="es-CO"/>
              </w:rPr>
            </w:pPr>
            <w:r w:rsidRPr="00005D02">
              <w:rPr>
                <w:rFonts w:ascii="Cambria" w:eastAsia="Batang" w:hAnsi="Cambria"/>
                <w:b/>
                <w:bCs/>
                <w:sz w:val="20"/>
                <w:szCs w:val="20"/>
                <w:lang w:val="es-ES_tradnl"/>
              </w:rPr>
              <w:t>Total</w:t>
            </w:r>
            <w:r w:rsidRPr="00005D02">
              <w:rPr>
                <w:rFonts w:ascii="Cambria" w:eastAsia="Batang" w:hAnsi="Cambria"/>
                <w:b/>
                <w:bCs/>
                <w:sz w:val="20"/>
                <w:szCs w:val="20"/>
                <w:vertAlign w:val="superscript"/>
                <w:lang w:val="es-ES_tradnl"/>
              </w:rPr>
              <w:footnoteReference w:id="4"/>
            </w:r>
          </w:p>
        </w:tc>
      </w:tr>
      <w:tr w:rsidR="00FB48F2" w:rsidRPr="00005D02" w14:paraId="1E784B6F" w14:textId="77777777" w:rsidTr="007E6CC8">
        <w:trPr>
          <w:trHeight w:val="231"/>
        </w:trPr>
        <w:tc>
          <w:tcPr>
            <w:tcW w:w="4253" w:type="dxa"/>
            <w:tcBorders>
              <w:top w:val="single" w:sz="4" w:space="0" w:color="auto"/>
              <w:left w:val="single" w:sz="4" w:space="0" w:color="auto"/>
              <w:bottom w:val="single" w:sz="4" w:space="0" w:color="auto"/>
              <w:right w:val="single" w:sz="4" w:space="0" w:color="auto"/>
            </w:tcBorders>
          </w:tcPr>
          <w:p w14:paraId="089419A0" w14:textId="77777777" w:rsidR="00FB48F2" w:rsidRPr="00005D02" w:rsidRDefault="00FB48F2" w:rsidP="0030543F">
            <w:pPr>
              <w:suppressAutoHyphens/>
              <w:spacing w:after="0" w:line="240" w:lineRule="auto"/>
              <w:jc w:val="both"/>
              <w:rPr>
                <w:rFonts w:ascii="Cambria" w:hAnsi="Cambria"/>
                <w:sz w:val="20"/>
                <w:szCs w:val="20"/>
                <w:lang w:val="es-ES"/>
              </w:rPr>
            </w:pPr>
            <w:r w:rsidRPr="00005D02">
              <w:rPr>
                <w:rFonts w:ascii="Cambria" w:hAnsi="Cambria"/>
                <w:sz w:val="20"/>
                <w:szCs w:val="20"/>
                <w:lang w:val="es-ES"/>
              </w:rPr>
              <w:t>4.</w:t>
            </w:r>
            <w:r w:rsidRPr="00005D02">
              <w:rPr>
                <w:rFonts w:ascii="Cambria" w:hAnsi="Cambria"/>
                <w:sz w:val="20"/>
                <w:szCs w:val="20"/>
                <w:lang w:val="es-CO"/>
              </w:rPr>
              <w:tab/>
            </w:r>
            <w:r w:rsidRPr="00005D02">
              <w:rPr>
                <w:rFonts w:ascii="Cambria" w:hAnsi="Cambria"/>
                <w:sz w:val="20"/>
                <w:szCs w:val="20"/>
                <w:lang w:val="es-ES"/>
              </w:rPr>
              <w:t>El Estado también se compromete a respetar el plazo del artículo 30 de la reglamentación del capítulo V de la Ley N° 25.344, previsto en el Decreto del Poder Ejecutivo Nacional N° 1116/2000.</w:t>
            </w:r>
          </w:p>
        </w:tc>
        <w:tc>
          <w:tcPr>
            <w:tcW w:w="4950" w:type="dxa"/>
            <w:tcBorders>
              <w:top w:val="single" w:sz="4" w:space="0" w:color="auto"/>
              <w:left w:val="single" w:sz="4" w:space="0" w:color="auto"/>
              <w:bottom w:val="single" w:sz="4" w:space="0" w:color="auto"/>
              <w:right w:val="single" w:sz="4" w:space="0" w:color="auto"/>
            </w:tcBorders>
            <w:vAlign w:val="center"/>
          </w:tcPr>
          <w:p w14:paraId="14DA86F6" w14:textId="1C95C843" w:rsidR="00FB48F2" w:rsidRPr="00005D02" w:rsidRDefault="00FB48F2" w:rsidP="00FB48F2">
            <w:pPr>
              <w:suppressAutoHyphens/>
              <w:spacing w:after="0" w:line="240" w:lineRule="auto"/>
              <w:jc w:val="center"/>
              <w:rPr>
                <w:rFonts w:ascii="Cambria" w:eastAsia="Batang" w:hAnsi="Cambria"/>
                <w:sz w:val="20"/>
                <w:szCs w:val="20"/>
                <w:lang w:val="es-CO"/>
              </w:rPr>
            </w:pPr>
            <w:r w:rsidRPr="00005D02">
              <w:rPr>
                <w:rFonts w:ascii="Cambria" w:eastAsia="Batang" w:hAnsi="Cambria"/>
                <w:b/>
                <w:bCs/>
                <w:sz w:val="20"/>
                <w:szCs w:val="20"/>
                <w:lang w:val="es-ES_tradnl"/>
              </w:rPr>
              <w:t>Total</w:t>
            </w:r>
            <w:r w:rsidR="0040037B" w:rsidRPr="00005D02">
              <w:rPr>
                <w:rStyle w:val="FootnoteReference"/>
                <w:rFonts w:ascii="Cambria" w:eastAsia="Batang" w:hAnsi="Cambria"/>
                <w:b/>
                <w:bCs/>
                <w:sz w:val="20"/>
                <w:szCs w:val="20"/>
                <w:lang w:val="es-ES_tradnl"/>
              </w:rPr>
              <w:footnoteReference w:id="5"/>
            </w:r>
          </w:p>
        </w:tc>
      </w:tr>
      <w:tr w:rsidR="00537F2F" w:rsidRPr="00005D02" w14:paraId="75BBD7E1" w14:textId="77777777" w:rsidTr="001E4175">
        <w:trPr>
          <w:trHeight w:val="231"/>
        </w:trPr>
        <w:tc>
          <w:tcPr>
            <w:tcW w:w="4253" w:type="dxa"/>
            <w:tcBorders>
              <w:top w:val="single" w:sz="4" w:space="0" w:color="auto"/>
              <w:left w:val="single" w:sz="4" w:space="0" w:color="auto"/>
              <w:bottom w:val="single" w:sz="4" w:space="0" w:color="auto"/>
              <w:right w:val="single" w:sz="4" w:space="0" w:color="auto"/>
            </w:tcBorders>
          </w:tcPr>
          <w:p w14:paraId="07F2A06B" w14:textId="77777777" w:rsidR="00537F2F" w:rsidRPr="00005D02" w:rsidRDefault="00537F2F" w:rsidP="0030543F">
            <w:pPr>
              <w:suppressAutoHyphens/>
              <w:spacing w:after="0" w:line="240" w:lineRule="auto"/>
              <w:jc w:val="both"/>
              <w:rPr>
                <w:rFonts w:ascii="Cambria" w:hAnsi="Cambria"/>
                <w:sz w:val="20"/>
                <w:szCs w:val="20"/>
                <w:lang w:val="es-ES_tradnl"/>
              </w:rPr>
            </w:pPr>
            <w:r w:rsidRPr="00005D02">
              <w:rPr>
                <w:rFonts w:ascii="Cambria" w:hAnsi="Cambria"/>
                <w:sz w:val="20"/>
                <w:szCs w:val="20"/>
                <w:lang w:val="es-ES_tradnl"/>
              </w:rPr>
              <w:t>5.</w:t>
            </w:r>
            <w:r w:rsidRPr="00005D02">
              <w:rPr>
                <w:rFonts w:ascii="Cambria" w:hAnsi="Cambria"/>
                <w:sz w:val="20"/>
                <w:szCs w:val="20"/>
                <w:lang w:val="es-ES_tradnl"/>
              </w:rPr>
              <w:tab/>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p>
        </w:tc>
        <w:tc>
          <w:tcPr>
            <w:tcW w:w="4950" w:type="dxa"/>
            <w:tcBorders>
              <w:top w:val="single" w:sz="4" w:space="0" w:color="auto"/>
              <w:left w:val="single" w:sz="4" w:space="0" w:color="auto"/>
              <w:bottom w:val="single" w:sz="4" w:space="0" w:color="auto"/>
              <w:right w:val="single" w:sz="4" w:space="0" w:color="auto"/>
            </w:tcBorders>
            <w:vAlign w:val="center"/>
          </w:tcPr>
          <w:p w14:paraId="0200DA1A" w14:textId="1F2CF564" w:rsidR="00537F2F" w:rsidRPr="00005D02" w:rsidRDefault="00537F2F" w:rsidP="0030543F">
            <w:pPr>
              <w:suppressAutoHyphens/>
              <w:spacing w:after="0" w:line="240" w:lineRule="auto"/>
              <w:jc w:val="center"/>
              <w:rPr>
                <w:rFonts w:ascii="Cambria" w:eastAsia="Batang" w:hAnsi="Cambria"/>
                <w:b/>
                <w:bCs/>
                <w:sz w:val="20"/>
                <w:szCs w:val="20"/>
                <w:lang w:val="es-CO"/>
              </w:rPr>
            </w:pPr>
            <w:r w:rsidRPr="00005D02">
              <w:rPr>
                <w:rFonts w:ascii="Cambria" w:eastAsia="Batang" w:hAnsi="Cambria"/>
                <w:b/>
                <w:bCs/>
                <w:sz w:val="20"/>
                <w:szCs w:val="20"/>
                <w:lang w:val="es-CO"/>
              </w:rPr>
              <w:t xml:space="preserve">Cláusula </w:t>
            </w:r>
            <w:r w:rsidR="00BE2369" w:rsidRPr="00005D02">
              <w:rPr>
                <w:rFonts w:ascii="Cambria" w:eastAsia="Batang" w:hAnsi="Cambria"/>
                <w:b/>
                <w:bCs/>
                <w:sz w:val="20"/>
                <w:szCs w:val="20"/>
                <w:lang w:val="es-CO"/>
              </w:rPr>
              <w:t>D</w:t>
            </w:r>
            <w:r w:rsidRPr="00005D02">
              <w:rPr>
                <w:rFonts w:ascii="Cambria" w:eastAsia="Batang" w:hAnsi="Cambria"/>
                <w:b/>
                <w:bCs/>
                <w:sz w:val="20"/>
                <w:szCs w:val="20"/>
                <w:lang w:val="es-CO"/>
              </w:rPr>
              <w:t>eclarativa</w:t>
            </w:r>
          </w:p>
        </w:tc>
      </w:tr>
      <w:tr w:rsidR="00537F2F" w:rsidRPr="00005D02" w14:paraId="67E93D95" w14:textId="77777777" w:rsidTr="001E4175">
        <w:trPr>
          <w:trHeight w:val="231"/>
        </w:trPr>
        <w:tc>
          <w:tcPr>
            <w:tcW w:w="4253" w:type="dxa"/>
            <w:tcBorders>
              <w:top w:val="single" w:sz="4" w:space="0" w:color="auto"/>
              <w:left w:val="single" w:sz="4" w:space="0" w:color="auto"/>
              <w:bottom w:val="single" w:sz="4" w:space="0" w:color="auto"/>
              <w:right w:val="single" w:sz="4" w:space="0" w:color="auto"/>
            </w:tcBorders>
          </w:tcPr>
          <w:p w14:paraId="4255DB09" w14:textId="77777777" w:rsidR="00537F2F" w:rsidRPr="00005D02" w:rsidRDefault="00537F2F" w:rsidP="0030543F">
            <w:pPr>
              <w:numPr>
                <w:ilvl w:val="0"/>
                <w:numId w:val="38"/>
              </w:numPr>
              <w:suppressAutoHyphens/>
              <w:spacing w:after="0" w:line="240" w:lineRule="auto"/>
              <w:contextualSpacing/>
              <w:jc w:val="both"/>
              <w:rPr>
                <w:rFonts w:ascii="Cambria" w:hAnsi="Cambria"/>
                <w:b/>
                <w:bCs/>
                <w:sz w:val="20"/>
                <w:szCs w:val="20"/>
                <w:lang w:val="es-ES"/>
              </w:rPr>
            </w:pPr>
            <w:r w:rsidRPr="00005D02">
              <w:rPr>
                <w:rFonts w:ascii="Cambria" w:hAnsi="Cambria"/>
                <w:b/>
                <w:bCs/>
                <w:sz w:val="20"/>
                <w:szCs w:val="20"/>
                <w:lang w:val="es-ES"/>
              </w:rPr>
              <w:t xml:space="preserve">Firma </w:t>
            </w:r>
            <w:r w:rsidRPr="00005D02">
              <w:rPr>
                <w:rFonts w:ascii="Cambria" w:hAnsi="Cambria"/>
                <w:b/>
                <w:bCs/>
                <w:i/>
                <w:iCs/>
                <w:sz w:val="20"/>
                <w:szCs w:val="20"/>
                <w:lang w:val="es-ES"/>
              </w:rPr>
              <w:t>ad referendum</w:t>
            </w:r>
          </w:p>
        </w:tc>
        <w:tc>
          <w:tcPr>
            <w:tcW w:w="4950" w:type="dxa"/>
            <w:tcBorders>
              <w:top w:val="single" w:sz="4" w:space="0" w:color="auto"/>
              <w:left w:val="single" w:sz="4" w:space="0" w:color="auto"/>
              <w:bottom w:val="single" w:sz="4" w:space="0" w:color="auto"/>
              <w:right w:val="single" w:sz="4" w:space="0" w:color="auto"/>
            </w:tcBorders>
            <w:vAlign w:val="center"/>
          </w:tcPr>
          <w:p w14:paraId="72C0C241" w14:textId="07D74FB3" w:rsidR="00537F2F" w:rsidRPr="00005D02" w:rsidRDefault="00537F2F" w:rsidP="0030543F">
            <w:pPr>
              <w:suppressAutoHyphens/>
              <w:spacing w:after="0" w:line="240" w:lineRule="auto"/>
              <w:jc w:val="center"/>
              <w:rPr>
                <w:rFonts w:ascii="Cambria" w:eastAsia="Batang" w:hAnsi="Cambria"/>
                <w:b/>
                <w:bCs/>
                <w:sz w:val="20"/>
                <w:szCs w:val="20"/>
                <w:lang w:val="es-ES_tradnl"/>
              </w:rPr>
            </w:pPr>
            <w:r w:rsidRPr="00005D02">
              <w:rPr>
                <w:rFonts w:ascii="Cambria" w:eastAsia="Batang" w:hAnsi="Cambria"/>
                <w:b/>
                <w:bCs/>
                <w:sz w:val="20"/>
                <w:szCs w:val="20"/>
                <w:lang w:val="es-CO"/>
              </w:rPr>
              <w:t xml:space="preserve">Cláusula </w:t>
            </w:r>
            <w:r w:rsidR="00BE2369" w:rsidRPr="00005D02">
              <w:rPr>
                <w:rFonts w:ascii="Cambria" w:eastAsia="Batang" w:hAnsi="Cambria"/>
                <w:b/>
                <w:bCs/>
                <w:sz w:val="20"/>
                <w:szCs w:val="20"/>
                <w:lang w:val="es-CO"/>
              </w:rPr>
              <w:t>D</w:t>
            </w:r>
            <w:r w:rsidRPr="00005D02">
              <w:rPr>
                <w:rFonts w:ascii="Cambria" w:eastAsia="Batang" w:hAnsi="Cambria"/>
                <w:b/>
                <w:bCs/>
                <w:sz w:val="20"/>
                <w:szCs w:val="20"/>
                <w:lang w:val="es-CO"/>
              </w:rPr>
              <w:t>eclarativa</w:t>
            </w:r>
          </w:p>
        </w:tc>
      </w:tr>
    </w:tbl>
    <w:p w14:paraId="50CE93D5" w14:textId="77777777" w:rsidR="00537F2F" w:rsidRPr="00005D02" w:rsidRDefault="00537F2F" w:rsidP="005D1113">
      <w:pPr>
        <w:autoSpaceDE w:val="0"/>
        <w:autoSpaceDN w:val="0"/>
        <w:adjustRightInd w:val="0"/>
        <w:spacing w:after="0" w:line="240" w:lineRule="auto"/>
        <w:contextualSpacing/>
        <w:jc w:val="both"/>
        <w:rPr>
          <w:rFonts w:ascii="Cambria" w:eastAsia="Batang" w:hAnsi="Cambria"/>
          <w:sz w:val="20"/>
          <w:szCs w:val="20"/>
          <w:lang w:val="es-ES_tradnl"/>
        </w:rPr>
      </w:pPr>
    </w:p>
    <w:p w14:paraId="200A2CAB" w14:textId="77777777" w:rsidR="00537F2F" w:rsidRPr="00005D02" w:rsidRDefault="00537F2F" w:rsidP="0030543F">
      <w:pPr>
        <w:numPr>
          <w:ilvl w:val="0"/>
          <w:numId w:val="37"/>
        </w:numPr>
        <w:spacing w:after="0" w:line="240" w:lineRule="auto"/>
        <w:ind w:left="0" w:firstLine="720"/>
        <w:contextualSpacing/>
        <w:jc w:val="both"/>
        <w:rPr>
          <w:rFonts w:ascii="Cambria" w:eastAsia="Batang" w:hAnsi="Cambria" w:cstheme="minorBidi"/>
          <w:b/>
          <w:sz w:val="20"/>
          <w:szCs w:val="20"/>
          <w:lang w:val="es-ES_tradnl"/>
        </w:rPr>
      </w:pPr>
      <w:r w:rsidRPr="00005D02">
        <w:rPr>
          <w:rFonts w:ascii="Cambria" w:eastAsia="Batang" w:hAnsi="Cambria" w:cstheme="minorBidi"/>
          <w:b/>
          <w:sz w:val="20"/>
          <w:szCs w:val="20"/>
          <w:lang w:val="es-ES_tradnl"/>
        </w:rPr>
        <w:t xml:space="preserve">NIVEL DE CUMPLIMIENTO DEL CASO </w:t>
      </w:r>
    </w:p>
    <w:p w14:paraId="4160713D" w14:textId="77777777" w:rsidR="00537F2F" w:rsidRPr="00005D02" w:rsidRDefault="00537F2F" w:rsidP="0030543F">
      <w:pPr>
        <w:suppressAutoHyphens/>
        <w:autoSpaceDE w:val="0"/>
        <w:autoSpaceDN w:val="0"/>
        <w:adjustRightInd w:val="0"/>
        <w:spacing w:after="0" w:line="240" w:lineRule="auto"/>
        <w:ind w:left="1440"/>
        <w:jc w:val="both"/>
        <w:rPr>
          <w:rFonts w:ascii="Cambria" w:eastAsia="Batang" w:hAnsi="Cambria"/>
          <w:sz w:val="20"/>
          <w:szCs w:val="20"/>
          <w:lang w:val="es-ES_tradnl"/>
        </w:rPr>
      </w:pPr>
    </w:p>
    <w:p w14:paraId="2BE51830" w14:textId="754A6E87" w:rsidR="00537F2F" w:rsidRPr="00005D02" w:rsidRDefault="005D1113" w:rsidP="0030543F">
      <w:pPr>
        <w:pStyle w:val="ListParagraph"/>
        <w:numPr>
          <w:ilvl w:val="0"/>
          <w:numId w:val="40"/>
        </w:numPr>
        <w:autoSpaceDE w:val="0"/>
        <w:autoSpaceDN w:val="0"/>
        <w:adjustRightInd w:val="0"/>
        <w:spacing w:after="0" w:line="240" w:lineRule="auto"/>
        <w:ind w:left="0" w:firstLine="720"/>
        <w:jc w:val="both"/>
        <w:rPr>
          <w:rFonts w:ascii="Cambria" w:eastAsia="Batang" w:hAnsi="Cambria" w:cstheme="minorBidi"/>
          <w:sz w:val="20"/>
          <w:szCs w:val="20"/>
          <w:lang w:val="es-ES_tradnl"/>
        </w:rPr>
      </w:pPr>
      <w:r w:rsidRPr="00005D02">
        <w:rPr>
          <w:rFonts w:ascii="Cambria" w:eastAsia="Batang" w:hAnsi="Cambria" w:cstheme="minorBidi"/>
          <w:sz w:val="20"/>
          <w:szCs w:val="20"/>
          <w:lang w:val="es-ES_tradnl"/>
        </w:rPr>
        <w:t>La Comisión declaró el cumplimiento total del asunto y el cese del seguimiento del acuerdo de solución amistosa en el Informe Anual de 2024</w:t>
      </w:r>
      <w:r w:rsidR="00537F2F" w:rsidRPr="00005D02">
        <w:rPr>
          <w:rFonts w:ascii="Cambria" w:eastAsia="Batang" w:hAnsi="Cambria" w:cstheme="minorBidi"/>
          <w:sz w:val="20"/>
          <w:szCs w:val="20"/>
          <w:lang w:val="es-ES_tradnl"/>
        </w:rPr>
        <w:t>.</w:t>
      </w:r>
    </w:p>
    <w:p w14:paraId="74C9239C" w14:textId="77777777" w:rsidR="00537F2F" w:rsidRPr="00005D02" w:rsidRDefault="00537F2F" w:rsidP="0030543F">
      <w:pPr>
        <w:suppressAutoHyphens/>
        <w:spacing w:after="0" w:line="240" w:lineRule="auto"/>
        <w:jc w:val="both"/>
        <w:rPr>
          <w:rFonts w:ascii="Cambria" w:eastAsia="Times New Roman" w:hAnsi="Cambria"/>
          <w:sz w:val="20"/>
          <w:szCs w:val="20"/>
          <w:lang w:val="es-ES_tradnl" w:eastAsia="es-ES_tradnl"/>
        </w:rPr>
      </w:pPr>
    </w:p>
    <w:p w14:paraId="6368164D" w14:textId="77777777" w:rsidR="00537F2F" w:rsidRPr="00005D02" w:rsidRDefault="00537F2F" w:rsidP="0030543F">
      <w:pPr>
        <w:numPr>
          <w:ilvl w:val="0"/>
          <w:numId w:val="37"/>
        </w:numPr>
        <w:spacing w:after="0" w:line="240" w:lineRule="auto"/>
        <w:ind w:left="0" w:firstLine="720"/>
        <w:contextualSpacing/>
        <w:jc w:val="both"/>
        <w:rPr>
          <w:rFonts w:ascii="Cambria" w:eastAsia="Batang" w:hAnsi="Cambria" w:cstheme="minorBidi"/>
          <w:b/>
          <w:sz w:val="20"/>
          <w:szCs w:val="20"/>
          <w:lang w:val="es-ES_tradnl"/>
        </w:rPr>
      </w:pPr>
      <w:r w:rsidRPr="00005D02">
        <w:rPr>
          <w:rFonts w:ascii="Cambria" w:eastAsia="Batang" w:hAnsi="Cambria" w:cstheme="minorBidi"/>
          <w:b/>
          <w:sz w:val="20"/>
          <w:szCs w:val="20"/>
          <w:lang w:val="es-ES_tradnl"/>
        </w:rPr>
        <w:t xml:space="preserve">RESULTADOS INDIVIDUALES Y ESTRUCTURALES DEL CASO </w:t>
      </w:r>
    </w:p>
    <w:p w14:paraId="2B2C60C4" w14:textId="77777777" w:rsidR="00537F2F" w:rsidRPr="00005D02" w:rsidRDefault="00537F2F" w:rsidP="0030543F">
      <w:pPr>
        <w:suppressAutoHyphens/>
        <w:spacing w:after="0" w:line="240" w:lineRule="auto"/>
        <w:ind w:left="1440"/>
        <w:contextualSpacing/>
        <w:jc w:val="both"/>
        <w:rPr>
          <w:rFonts w:ascii="Cambria" w:eastAsia="Batang" w:hAnsi="Cambria" w:cs="Calibri Light"/>
          <w:b/>
          <w:sz w:val="20"/>
          <w:szCs w:val="20"/>
          <w:lang w:val="es-ES_tradnl"/>
        </w:rPr>
      </w:pPr>
    </w:p>
    <w:p w14:paraId="6088FC0B" w14:textId="77777777" w:rsidR="00537F2F" w:rsidRPr="00005D02" w:rsidRDefault="00537F2F" w:rsidP="0030543F">
      <w:pPr>
        <w:numPr>
          <w:ilvl w:val="0"/>
          <w:numId w:val="39"/>
        </w:numPr>
        <w:suppressAutoHyphens/>
        <w:spacing w:after="0" w:line="240" w:lineRule="auto"/>
        <w:ind w:left="1440" w:hanging="720"/>
        <w:contextualSpacing/>
        <w:jc w:val="both"/>
        <w:rPr>
          <w:rFonts w:ascii="Cambria" w:eastAsia="Batang" w:hAnsi="Cambria" w:cs="Calibri Light"/>
          <w:b/>
          <w:sz w:val="20"/>
          <w:szCs w:val="20"/>
          <w:lang w:val="es-ES_tradnl"/>
        </w:rPr>
      </w:pPr>
      <w:r w:rsidRPr="00005D02">
        <w:rPr>
          <w:rFonts w:ascii="Cambria" w:eastAsia="Batang" w:hAnsi="Cambria" w:cs="Calibri Light"/>
          <w:b/>
          <w:sz w:val="20"/>
          <w:szCs w:val="20"/>
          <w:lang w:val="es-ES_tradnl"/>
        </w:rPr>
        <w:t>Resultados individuales del caso</w:t>
      </w:r>
    </w:p>
    <w:p w14:paraId="023A1EB9" w14:textId="77777777" w:rsidR="00537F2F" w:rsidRPr="00005D02" w:rsidRDefault="00537F2F" w:rsidP="0030543F">
      <w:pPr>
        <w:suppressAutoHyphens/>
        <w:spacing w:after="0" w:line="240" w:lineRule="auto"/>
        <w:ind w:left="720"/>
        <w:contextualSpacing/>
        <w:jc w:val="both"/>
        <w:rPr>
          <w:rFonts w:ascii="Cambria" w:eastAsia="Batang" w:hAnsi="Cambria" w:cs="Calibri Light"/>
          <w:b/>
          <w:sz w:val="20"/>
          <w:szCs w:val="20"/>
          <w:lang w:val="es-ES_tradnl"/>
        </w:rPr>
      </w:pPr>
    </w:p>
    <w:p w14:paraId="0AB941D4" w14:textId="77777777" w:rsidR="00537F2F" w:rsidRPr="00005D02" w:rsidRDefault="00537F2F" w:rsidP="0030543F">
      <w:pPr>
        <w:numPr>
          <w:ilvl w:val="0"/>
          <w:numId w:val="28"/>
        </w:numPr>
        <w:suppressAutoHyphens/>
        <w:spacing w:after="0" w:line="240" w:lineRule="auto"/>
        <w:ind w:left="1440" w:hanging="720"/>
        <w:contextualSpacing/>
        <w:jc w:val="both"/>
        <w:rPr>
          <w:rFonts w:ascii="Cambria" w:hAnsi="Cambria"/>
          <w:sz w:val="20"/>
          <w:szCs w:val="20"/>
          <w:lang w:val="es-ES"/>
        </w:rPr>
      </w:pPr>
      <w:r w:rsidRPr="00005D02">
        <w:rPr>
          <w:rFonts w:ascii="Cambria" w:hAnsi="Cambria"/>
          <w:sz w:val="20"/>
          <w:szCs w:val="20"/>
          <w:lang w:val="es-ES"/>
        </w:rPr>
        <w:t>El 12 de julio de 2023, el Ministro de Justicia y Derechos Humanos de la Nación dictó la resolución RESOL-2023-743-APN-MJ, a través de la cual resolvió otorgar a Francisco Samuel Naishtat el beneficio previsto por la Ley No. 24.043, estableciendo los días indemnizables y el monto compensatorio correspondiente.</w:t>
      </w:r>
    </w:p>
    <w:p w14:paraId="29E0C12F" w14:textId="77777777" w:rsidR="00537F2F" w:rsidRPr="00005D02" w:rsidRDefault="00537F2F" w:rsidP="0030543F">
      <w:pPr>
        <w:numPr>
          <w:ilvl w:val="0"/>
          <w:numId w:val="28"/>
        </w:numPr>
        <w:suppressAutoHyphens/>
        <w:spacing w:after="0" w:line="240" w:lineRule="auto"/>
        <w:ind w:left="1440" w:hanging="720"/>
        <w:contextualSpacing/>
        <w:jc w:val="both"/>
        <w:rPr>
          <w:rFonts w:ascii="Cambria" w:hAnsi="Cambria"/>
          <w:sz w:val="20"/>
          <w:szCs w:val="20"/>
          <w:lang w:val="es-ES"/>
        </w:rPr>
      </w:pPr>
      <w:r w:rsidRPr="00005D02">
        <w:rPr>
          <w:rFonts w:ascii="Cambria" w:hAnsi="Cambria"/>
          <w:sz w:val="20"/>
          <w:szCs w:val="20"/>
          <w:lang w:val="es-ES"/>
        </w:rPr>
        <w:t>El 3 de julio de 2023, el Secretario de Derechos Humanos de la Nación dictó la resolución RESOL-2023-601-APN-SDDHH.MJ, a través de la cual resolvió otorgar a Francisco Samuel Naishtat el beneficio previsto por la Ley No. 26.913.</w:t>
      </w:r>
    </w:p>
    <w:p w14:paraId="3B4E0DA4" w14:textId="6F1C406E" w:rsidR="008E72CA" w:rsidRPr="00005D02" w:rsidRDefault="00537F2F" w:rsidP="0030543F">
      <w:pPr>
        <w:numPr>
          <w:ilvl w:val="0"/>
          <w:numId w:val="28"/>
        </w:numPr>
        <w:suppressAutoHyphens/>
        <w:spacing w:after="0" w:line="240" w:lineRule="auto"/>
        <w:ind w:left="1440" w:hanging="720"/>
        <w:contextualSpacing/>
        <w:jc w:val="both"/>
        <w:rPr>
          <w:rFonts w:ascii="Cambria" w:hAnsi="Cambria"/>
          <w:sz w:val="20"/>
          <w:szCs w:val="20"/>
          <w:lang w:val="es-ES"/>
        </w:rPr>
      </w:pPr>
      <w:r w:rsidRPr="00005D02">
        <w:rPr>
          <w:rFonts w:ascii="Cambria" w:hAnsi="Cambria"/>
          <w:sz w:val="20"/>
          <w:szCs w:val="20"/>
          <w:lang w:val="es-ES"/>
        </w:rPr>
        <w:t xml:space="preserve">El </w:t>
      </w:r>
      <w:r w:rsidRPr="00005D02">
        <w:rPr>
          <w:rFonts w:ascii="Cambria" w:eastAsia="Batang" w:hAnsi="Cambria"/>
          <w:sz w:val="20"/>
          <w:szCs w:val="20"/>
          <w:lang w:val="es-ES_tradnl"/>
        </w:rPr>
        <w:t>21 de agosto de 2024, se realizó la liquidación registrada con el radicado No. 20732 y se emitió instrucción de pago de beneficios e indemnizaciones por concepto de la reparación pecuniaria, de acuerdo con el esquema previsto por la Ley No.24.043, poniéndose el desembolso a disposición del beneficiario en la Caja de Valores S.A.</w:t>
      </w:r>
    </w:p>
    <w:sectPr w:rsidR="008E72CA" w:rsidRPr="00005D02"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CF7F" w14:textId="77777777" w:rsidR="00987EFB" w:rsidRDefault="00987EFB" w:rsidP="00A343FF">
      <w:pPr>
        <w:spacing w:after="0" w:line="240" w:lineRule="auto"/>
      </w:pPr>
      <w:r>
        <w:separator/>
      </w:r>
    </w:p>
  </w:endnote>
  <w:endnote w:type="continuationSeparator" w:id="0">
    <w:p w14:paraId="777090AF" w14:textId="77777777" w:rsidR="00987EFB" w:rsidRDefault="00987EFB" w:rsidP="00A343FF">
      <w:pPr>
        <w:spacing w:after="0" w:line="240" w:lineRule="auto"/>
      </w:pPr>
      <w:r>
        <w:continuationSeparator/>
      </w:r>
    </w:p>
  </w:endnote>
  <w:endnote w:type="continuationNotice" w:id="1">
    <w:p w14:paraId="1BF63007" w14:textId="77777777" w:rsidR="00987EFB" w:rsidRDefault="00987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2CB98863" w:rsidR="00D222B7" w:rsidRDefault="00ED6680" w:rsidP="00CA3AA8">
    <w:pPr>
      <w:pStyle w:val="Footer"/>
      <w:spacing w:line="360" w:lineRule="auto"/>
      <w:jc w:val="right"/>
    </w:pPr>
    <w:r>
      <w:rPr>
        <w:noProof/>
      </w:rPr>
      <w:pict w14:anchorId="637C258D">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6458" w14:textId="77777777" w:rsidR="00987EFB" w:rsidRDefault="00987EFB" w:rsidP="00A343FF">
      <w:pPr>
        <w:spacing w:after="0" w:line="240" w:lineRule="auto"/>
      </w:pPr>
      <w:r>
        <w:separator/>
      </w:r>
    </w:p>
  </w:footnote>
  <w:footnote w:type="continuationSeparator" w:id="0">
    <w:p w14:paraId="1CF7CA7B" w14:textId="77777777" w:rsidR="00987EFB" w:rsidRDefault="00987EFB" w:rsidP="00A343FF">
      <w:pPr>
        <w:spacing w:after="0" w:line="240" w:lineRule="auto"/>
      </w:pPr>
      <w:r>
        <w:continuationSeparator/>
      </w:r>
    </w:p>
  </w:footnote>
  <w:footnote w:type="continuationNotice" w:id="1">
    <w:p w14:paraId="79828609" w14:textId="77777777" w:rsidR="00987EFB" w:rsidRDefault="00987EFB">
      <w:pPr>
        <w:spacing w:after="0" w:line="240" w:lineRule="auto"/>
      </w:pPr>
    </w:p>
  </w:footnote>
  <w:footnote w:id="2">
    <w:p w14:paraId="41047008" w14:textId="07B74AA5" w:rsidR="0040037B" w:rsidRPr="0040037B" w:rsidRDefault="0040037B" w:rsidP="002D5970">
      <w:pPr>
        <w:pStyle w:val="FootnoteText"/>
        <w:spacing w:after="0" w:line="240" w:lineRule="auto"/>
        <w:ind w:firstLine="709"/>
        <w:jc w:val="both"/>
        <w:rPr>
          <w:rFonts w:ascii="Cambria" w:hAnsi="Cambria"/>
          <w:sz w:val="16"/>
          <w:szCs w:val="16"/>
          <w:lang w:val="es-ES_tradnl"/>
        </w:rPr>
      </w:pPr>
      <w:r w:rsidRPr="0040037B">
        <w:rPr>
          <w:rStyle w:val="FootnoteReference"/>
          <w:rFonts w:ascii="Cambria" w:hAnsi="Cambria"/>
          <w:sz w:val="16"/>
          <w:szCs w:val="16"/>
        </w:rPr>
        <w:footnoteRef/>
      </w:r>
      <w:r w:rsidRPr="00F80766">
        <w:rPr>
          <w:rFonts w:ascii="Cambria" w:hAnsi="Cambria"/>
          <w:sz w:val="16"/>
          <w:szCs w:val="16"/>
          <w:lang w:val="es-CO"/>
        </w:rPr>
        <w:t xml:space="preserve"> </w:t>
      </w:r>
      <w:r w:rsidRPr="0040037B">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1" w:history="1">
        <w:r w:rsidRPr="0040037B">
          <w:rPr>
            <w:rStyle w:val="Hyperlink"/>
            <w:rFonts w:ascii="Cambria" w:hAnsi="Cambria"/>
            <w:sz w:val="16"/>
            <w:szCs w:val="16"/>
            <w:lang w:val="es-ES_tradnl"/>
          </w:rPr>
          <w:t>https://www.oas.org/es/cidh/docs/anual/2024/capitulos/IA2024_2_ES.pdf</w:t>
        </w:r>
      </w:hyperlink>
      <w:r w:rsidRPr="0040037B">
        <w:rPr>
          <w:rFonts w:ascii="Cambria" w:hAnsi="Cambria"/>
          <w:sz w:val="16"/>
          <w:szCs w:val="16"/>
          <w:lang w:val="es-ES_tradnl"/>
        </w:rPr>
        <w:t>.</w:t>
      </w:r>
    </w:p>
  </w:footnote>
  <w:footnote w:id="3">
    <w:p w14:paraId="4C012FB6" w14:textId="7F10A30A" w:rsidR="00537F2F" w:rsidRPr="0040037B" w:rsidRDefault="00537F2F" w:rsidP="002D5970">
      <w:pPr>
        <w:pStyle w:val="FootnoteText"/>
        <w:spacing w:after="0" w:line="240" w:lineRule="auto"/>
        <w:ind w:firstLine="709"/>
        <w:jc w:val="both"/>
        <w:rPr>
          <w:rFonts w:ascii="Cambria" w:hAnsi="Cambria"/>
          <w:sz w:val="16"/>
          <w:szCs w:val="16"/>
          <w:lang w:val="es-CO"/>
        </w:rPr>
      </w:pPr>
      <w:r w:rsidRPr="0040037B">
        <w:rPr>
          <w:rStyle w:val="FootnoteReference"/>
          <w:rFonts w:ascii="Cambria" w:hAnsi="Cambria"/>
          <w:sz w:val="16"/>
          <w:szCs w:val="16"/>
        </w:rPr>
        <w:footnoteRef/>
      </w:r>
      <w:r w:rsidRPr="0040037B">
        <w:rPr>
          <w:rFonts w:ascii="Cambria" w:hAnsi="Cambria"/>
          <w:sz w:val="16"/>
          <w:szCs w:val="16"/>
          <w:lang w:val="es-CO"/>
        </w:rPr>
        <w:t xml:space="preserve"> </w:t>
      </w:r>
      <w:r w:rsidRPr="0040037B">
        <w:rPr>
          <w:rFonts w:ascii="Cambria" w:hAnsi="Cambria"/>
          <w:sz w:val="16"/>
          <w:szCs w:val="16"/>
          <w:lang w:val="es-MX"/>
        </w:rPr>
        <w:t xml:space="preserve">Ver </w:t>
      </w:r>
      <w:r w:rsidRPr="0040037B">
        <w:rPr>
          <w:rFonts w:ascii="Cambria" w:hAnsi="Cambria"/>
          <w:sz w:val="16"/>
          <w:szCs w:val="16"/>
          <w:lang w:val="es-CO"/>
        </w:rPr>
        <w:t>CIDH</w:t>
      </w:r>
      <w:r w:rsidR="0040037B">
        <w:rPr>
          <w:rFonts w:ascii="Cambria" w:hAnsi="Cambria"/>
          <w:sz w:val="16"/>
          <w:szCs w:val="16"/>
          <w:lang w:val="es-CO"/>
        </w:rPr>
        <w:t>.</w:t>
      </w:r>
      <w:r w:rsidRPr="0040037B">
        <w:rPr>
          <w:rFonts w:ascii="Cambria" w:hAnsi="Cambria"/>
          <w:sz w:val="16"/>
          <w:szCs w:val="16"/>
          <w:lang w:val="es-CO"/>
        </w:rPr>
        <w:t xml:space="preserve"> Informe No. 215/23</w:t>
      </w:r>
      <w:r w:rsidR="0040037B">
        <w:rPr>
          <w:rFonts w:ascii="Cambria" w:hAnsi="Cambria"/>
          <w:sz w:val="16"/>
          <w:szCs w:val="16"/>
          <w:lang w:val="es-CO"/>
        </w:rPr>
        <w:t>.</w:t>
      </w:r>
      <w:r w:rsidRPr="0040037B">
        <w:rPr>
          <w:rFonts w:ascii="Cambria" w:hAnsi="Cambria"/>
          <w:sz w:val="16"/>
          <w:szCs w:val="16"/>
          <w:lang w:val="es-CO"/>
        </w:rPr>
        <w:t xml:space="preserve"> Caso 14.714</w:t>
      </w:r>
      <w:r w:rsidR="0040037B">
        <w:rPr>
          <w:rFonts w:ascii="Cambria" w:hAnsi="Cambria"/>
          <w:sz w:val="16"/>
          <w:szCs w:val="16"/>
          <w:lang w:val="es-CO"/>
        </w:rPr>
        <w:t>.</w:t>
      </w:r>
      <w:r w:rsidRPr="0040037B">
        <w:rPr>
          <w:rFonts w:ascii="Cambria" w:hAnsi="Cambria"/>
          <w:sz w:val="16"/>
          <w:szCs w:val="16"/>
          <w:lang w:val="es-CO"/>
        </w:rPr>
        <w:t xml:space="preserve"> Solución Amistosa</w:t>
      </w:r>
      <w:r w:rsidR="0040037B">
        <w:rPr>
          <w:rFonts w:ascii="Cambria" w:hAnsi="Cambria"/>
          <w:sz w:val="16"/>
          <w:szCs w:val="16"/>
          <w:lang w:val="es-CO"/>
        </w:rPr>
        <w:t>.</w:t>
      </w:r>
      <w:r w:rsidRPr="0040037B">
        <w:rPr>
          <w:rFonts w:ascii="Cambria" w:hAnsi="Cambria"/>
          <w:sz w:val="16"/>
          <w:szCs w:val="16"/>
          <w:lang w:val="es-CO"/>
        </w:rPr>
        <w:t xml:space="preserve"> Francisco Samuel Naishtat</w:t>
      </w:r>
      <w:r w:rsidR="0040037B">
        <w:rPr>
          <w:rFonts w:ascii="Cambria" w:hAnsi="Cambria"/>
          <w:sz w:val="16"/>
          <w:szCs w:val="16"/>
          <w:lang w:val="es-CO"/>
        </w:rPr>
        <w:t>.</w:t>
      </w:r>
      <w:r w:rsidRPr="0040037B">
        <w:rPr>
          <w:rFonts w:ascii="Cambria" w:hAnsi="Cambria"/>
          <w:sz w:val="16"/>
          <w:szCs w:val="16"/>
          <w:lang w:val="es-CO"/>
        </w:rPr>
        <w:t xml:space="preserve"> Argentina</w:t>
      </w:r>
      <w:r w:rsidR="0040037B">
        <w:rPr>
          <w:rFonts w:ascii="Cambria" w:hAnsi="Cambria"/>
          <w:sz w:val="16"/>
          <w:szCs w:val="16"/>
          <w:lang w:val="es-CO"/>
        </w:rPr>
        <w:t>.</w:t>
      </w:r>
      <w:r w:rsidRPr="0040037B">
        <w:rPr>
          <w:rFonts w:ascii="Cambria" w:hAnsi="Cambria"/>
          <w:sz w:val="16"/>
          <w:szCs w:val="16"/>
          <w:lang w:val="es-CO"/>
        </w:rPr>
        <w:t xml:space="preserve"> 20 de octubre de 2023.</w:t>
      </w:r>
      <w:r w:rsidR="0040037B">
        <w:rPr>
          <w:rFonts w:ascii="Cambria" w:hAnsi="Cambria"/>
          <w:sz w:val="16"/>
          <w:szCs w:val="16"/>
          <w:lang w:val="es-CO"/>
        </w:rPr>
        <w:t xml:space="preserve"> Disponible en: </w:t>
      </w:r>
      <w:hyperlink r:id="rId2" w:history="1">
        <w:r w:rsidR="0040037B" w:rsidRPr="000B090D">
          <w:rPr>
            <w:rStyle w:val="Hyperlink"/>
            <w:rFonts w:ascii="Cambria" w:hAnsi="Cambria"/>
            <w:sz w:val="16"/>
            <w:szCs w:val="16"/>
            <w:lang w:val="es-CO"/>
          </w:rPr>
          <w:t>https://www.oas.org/es/cidh/decisiones/2023/AR%20SA%2014.714%20ES-FINAL%20WEB.PDF</w:t>
        </w:r>
      </w:hyperlink>
      <w:r w:rsidR="0040037B">
        <w:rPr>
          <w:rFonts w:ascii="Cambria" w:hAnsi="Cambria"/>
          <w:sz w:val="16"/>
          <w:szCs w:val="16"/>
          <w:lang w:val="es-CO"/>
        </w:rPr>
        <w:t xml:space="preserve">. </w:t>
      </w:r>
    </w:p>
  </w:footnote>
  <w:footnote w:id="4">
    <w:p w14:paraId="64902C23" w14:textId="33684ABD" w:rsidR="00537F2F" w:rsidRPr="0040037B" w:rsidRDefault="00537F2F" w:rsidP="002D5970">
      <w:pPr>
        <w:pStyle w:val="FootnoteText"/>
        <w:spacing w:after="0" w:line="240" w:lineRule="auto"/>
        <w:ind w:firstLine="709"/>
        <w:jc w:val="both"/>
        <w:rPr>
          <w:rFonts w:ascii="Cambria" w:hAnsi="Cambria"/>
          <w:sz w:val="16"/>
          <w:szCs w:val="16"/>
          <w:lang w:val="es-ES"/>
        </w:rPr>
      </w:pPr>
      <w:r w:rsidRPr="0040037B">
        <w:rPr>
          <w:rStyle w:val="FootnoteReference"/>
          <w:rFonts w:ascii="Cambria" w:hAnsi="Cambria"/>
          <w:sz w:val="16"/>
          <w:szCs w:val="16"/>
        </w:rPr>
        <w:footnoteRef/>
      </w:r>
      <w:r w:rsidRPr="00F80766">
        <w:rPr>
          <w:rFonts w:ascii="Cambria" w:hAnsi="Cambria"/>
          <w:sz w:val="16"/>
          <w:szCs w:val="16"/>
          <w:lang w:val="pt-BR"/>
        </w:rPr>
        <w:t xml:space="preserve"> </w:t>
      </w:r>
      <w:r w:rsidR="0040037B" w:rsidRPr="00F80766">
        <w:rPr>
          <w:rFonts w:ascii="Cambria" w:hAnsi="Cambria"/>
          <w:sz w:val="16"/>
          <w:szCs w:val="16"/>
          <w:lang w:val="pt-BR"/>
        </w:rPr>
        <w:t xml:space="preserve">Ver CIDH. Informe No. 215/23. Caso 14.714. </w:t>
      </w:r>
      <w:r w:rsidR="0040037B" w:rsidRPr="0040037B">
        <w:rPr>
          <w:rFonts w:ascii="Cambria" w:hAnsi="Cambria"/>
          <w:sz w:val="16"/>
          <w:szCs w:val="16"/>
          <w:lang w:val="es-CO"/>
        </w:rPr>
        <w:t>Solución Amistosa</w:t>
      </w:r>
      <w:r w:rsidR="0040037B">
        <w:rPr>
          <w:rFonts w:ascii="Cambria" w:hAnsi="Cambria"/>
          <w:sz w:val="16"/>
          <w:szCs w:val="16"/>
          <w:lang w:val="es-CO"/>
        </w:rPr>
        <w:t>.</w:t>
      </w:r>
      <w:r w:rsidR="0040037B" w:rsidRPr="0040037B">
        <w:rPr>
          <w:rFonts w:ascii="Cambria" w:hAnsi="Cambria"/>
          <w:sz w:val="16"/>
          <w:szCs w:val="16"/>
          <w:lang w:val="es-CO"/>
        </w:rPr>
        <w:t xml:space="preserve"> Francisco Samuel Naishtat</w:t>
      </w:r>
      <w:r w:rsidR="0040037B">
        <w:rPr>
          <w:rFonts w:ascii="Cambria" w:hAnsi="Cambria"/>
          <w:sz w:val="16"/>
          <w:szCs w:val="16"/>
          <w:lang w:val="es-CO"/>
        </w:rPr>
        <w:t>.</w:t>
      </w:r>
      <w:r w:rsidR="0040037B" w:rsidRPr="0040037B">
        <w:rPr>
          <w:rFonts w:ascii="Cambria" w:hAnsi="Cambria"/>
          <w:sz w:val="16"/>
          <w:szCs w:val="16"/>
          <w:lang w:val="es-CO"/>
        </w:rPr>
        <w:t xml:space="preserve"> Argentina</w:t>
      </w:r>
      <w:r w:rsidR="0040037B">
        <w:rPr>
          <w:rFonts w:ascii="Cambria" w:hAnsi="Cambria"/>
          <w:sz w:val="16"/>
          <w:szCs w:val="16"/>
          <w:lang w:val="es-CO"/>
        </w:rPr>
        <w:t>.</w:t>
      </w:r>
      <w:r w:rsidR="0040037B" w:rsidRPr="0040037B">
        <w:rPr>
          <w:rFonts w:ascii="Cambria" w:hAnsi="Cambria"/>
          <w:sz w:val="16"/>
          <w:szCs w:val="16"/>
          <w:lang w:val="es-CO"/>
        </w:rPr>
        <w:t xml:space="preserve"> 20 de octubre de 2023.</w:t>
      </w:r>
      <w:r w:rsidR="0040037B">
        <w:rPr>
          <w:rFonts w:ascii="Cambria" w:hAnsi="Cambria"/>
          <w:sz w:val="16"/>
          <w:szCs w:val="16"/>
          <w:lang w:val="es-CO"/>
        </w:rPr>
        <w:t xml:space="preserve"> Disponible en: </w:t>
      </w:r>
      <w:hyperlink r:id="rId3" w:history="1">
        <w:r w:rsidR="0040037B" w:rsidRPr="000B090D">
          <w:rPr>
            <w:rStyle w:val="Hyperlink"/>
            <w:rFonts w:ascii="Cambria" w:hAnsi="Cambria"/>
            <w:sz w:val="16"/>
            <w:szCs w:val="16"/>
            <w:lang w:val="es-CO"/>
          </w:rPr>
          <w:t>https://www.oas.org/es/cidh/decisiones/2023/AR%20SA%2014.714%20ES-FINAL%20WEB.PDF</w:t>
        </w:r>
      </w:hyperlink>
      <w:r w:rsidR="0040037B">
        <w:rPr>
          <w:rFonts w:ascii="Cambria" w:hAnsi="Cambria"/>
          <w:sz w:val="16"/>
          <w:szCs w:val="16"/>
          <w:lang w:val="es-CO"/>
        </w:rPr>
        <w:t>.</w:t>
      </w:r>
    </w:p>
  </w:footnote>
  <w:footnote w:id="5">
    <w:p w14:paraId="3930776D" w14:textId="01FB2056" w:rsidR="0040037B" w:rsidRPr="0040037B" w:rsidRDefault="0040037B" w:rsidP="002D5970">
      <w:pPr>
        <w:pStyle w:val="FootnoteText"/>
        <w:spacing w:after="0" w:line="240" w:lineRule="auto"/>
        <w:ind w:firstLine="709"/>
        <w:jc w:val="both"/>
        <w:rPr>
          <w:rFonts w:ascii="Cambria" w:hAnsi="Cambria"/>
          <w:sz w:val="16"/>
          <w:szCs w:val="16"/>
          <w:lang w:val="es-ES_tradnl"/>
        </w:rPr>
      </w:pPr>
      <w:r w:rsidRPr="0040037B">
        <w:rPr>
          <w:rStyle w:val="FootnoteReference"/>
          <w:rFonts w:ascii="Cambria" w:hAnsi="Cambria"/>
          <w:sz w:val="16"/>
          <w:szCs w:val="16"/>
        </w:rPr>
        <w:footnoteRef/>
      </w:r>
      <w:r w:rsidRPr="00F80766">
        <w:rPr>
          <w:rFonts w:ascii="Cambria" w:hAnsi="Cambria"/>
          <w:sz w:val="16"/>
          <w:szCs w:val="16"/>
          <w:lang w:val="es-CO"/>
        </w:rPr>
        <w:t xml:space="preserve"> </w:t>
      </w:r>
      <w:r w:rsidRPr="0040037B">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4" w:history="1">
        <w:r w:rsidRPr="0040037B">
          <w:rPr>
            <w:rStyle w:val="Hyperlink"/>
            <w:rFonts w:ascii="Cambria" w:hAnsi="Cambria"/>
            <w:sz w:val="16"/>
            <w:szCs w:val="16"/>
            <w:lang w:val="es-ES_tradnl"/>
          </w:rPr>
          <w:t>https://www.oas.org/es/cidh/docs/anual/2024/capitulos/IA2024_2_ES.pdf</w:t>
        </w:r>
      </w:hyperlink>
      <w:r w:rsidRPr="0040037B">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10A5B1DB" w14:textId="2F88070C" w:rsidR="00E52029" w:rsidRPr="00234F67" w:rsidRDefault="00ED6680" w:rsidP="00234F67">
    <w:pPr>
      <w:pStyle w:val="Header"/>
      <w:jc w:val="center"/>
      <w:rPr>
        <w:lang w:val="es-ES_tradnl"/>
      </w:rPr>
    </w:pPr>
    <w:bookmarkStart w:id="0" w:name="_Hlk204342513"/>
    <w:r>
      <w:rPr>
        <w:noProof/>
      </w:rPr>
      <w:pict w14:anchorId="3FA4C78B">
        <v:rect id="_x0000_i1025" alt="" style="width:441.9pt;height:.05pt;mso-width-percent:0;mso-height-percent:0;mso-width-percent:0;mso-height-percent:0" o:hralign="center" o:hrstd="t" o:hr="t" fillcolor="#a0a0a0" stroked="f"/>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ED6680"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DF9E3CF2"/>
    <w:lvl w:ilvl="0" w:tplc="9E0841B2">
      <w:start w:val="1"/>
      <w:numFmt w:val="decimal"/>
      <w:lvlText w:val="%1."/>
      <w:lvlJc w:val="left"/>
      <w:pPr>
        <w:ind w:left="1080" w:hanging="360"/>
      </w:pPr>
      <w:rPr>
        <w:rFonts w:ascii="Cambria" w:hAnsi="Cambria" w:hint="default"/>
        <w:b w:val="0"/>
        <w:bCs/>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7E93694"/>
    <w:multiLevelType w:val="hybridMultilevel"/>
    <w:tmpl w:val="7D72E0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7753E"/>
    <w:multiLevelType w:val="hybridMultilevel"/>
    <w:tmpl w:val="09209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9368FA"/>
    <w:multiLevelType w:val="hybridMultilevel"/>
    <w:tmpl w:val="2252F3F6"/>
    <w:lvl w:ilvl="0" w:tplc="D08879B2">
      <w:start w:val="1"/>
      <w:numFmt w:val="decimal"/>
      <w:lvlText w:val="%1."/>
      <w:lvlJc w:val="left"/>
      <w:pPr>
        <w:ind w:left="1080" w:hanging="360"/>
      </w:pPr>
      <w:rPr>
        <w:rFonts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15F0249"/>
    <w:multiLevelType w:val="hybridMultilevel"/>
    <w:tmpl w:val="3EE2D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C2161"/>
    <w:multiLevelType w:val="hybridMultilevel"/>
    <w:tmpl w:val="64DA8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C513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7126C2"/>
    <w:multiLevelType w:val="hybridMultilevel"/>
    <w:tmpl w:val="31C4AB46"/>
    <w:lvl w:ilvl="0" w:tplc="097E69EC">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40E60"/>
    <w:multiLevelType w:val="hybridMultilevel"/>
    <w:tmpl w:val="E9109E80"/>
    <w:lvl w:ilvl="0" w:tplc="B892574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E6975"/>
    <w:multiLevelType w:val="hybridMultilevel"/>
    <w:tmpl w:val="27B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04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B6E30"/>
    <w:multiLevelType w:val="hybridMultilevel"/>
    <w:tmpl w:val="0E6A4088"/>
    <w:lvl w:ilvl="0" w:tplc="FFFFFFFF">
      <w:start w:val="1"/>
      <w:numFmt w:val="decimal"/>
      <w:lvlText w:val="%1."/>
      <w:lvlJc w:val="left"/>
      <w:pPr>
        <w:ind w:left="1080" w:hanging="360"/>
      </w:pPr>
      <w:rPr>
        <w:rFonts w:ascii="Cambria" w:hAnsi="Cambria"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FE6C7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0C93"/>
    <w:multiLevelType w:val="hybridMultilevel"/>
    <w:tmpl w:val="D9367D4C"/>
    <w:lvl w:ilvl="0" w:tplc="57D8734E">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773E0A"/>
    <w:multiLevelType w:val="hybridMultilevel"/>
    <w:tmpl w:val="E236E11C"/>
    <w:lvl w:ilvl="0" w:tplc="A12C92E4">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34C63"/>
    <w:multiLevelType w:val="hybridMultilevel"/>
    <w:tmpl w:val="AF247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E6D06"/>
    <w:multiLevelType w:val="hybridMultilevel"/>
    <w:tmpl w:val="C58E7C9C"/>
    <w:lvl w:ilvl="0" w:tplc="E586DA4C">
      <w:start w:val="1"/>
      <w:numFmt w:val="decimal"/>
      <w:lvlText w:val="%1."/>
      <w:lvlJc w:val="left"/>
      <w:pPr>
        <w:ind w:left="720" w:hanging="360"/>
      </w:pPr>
      <w:rPr>
        <w:rFonts w:hint="default"/>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C74FD"/>
    <w:multiLevelType w:val="hybridMultilevel"/>
    <w:tmpl w:val="748EFF64"/>
    <w:lvl w:ilvl="0" w:tplc="2E2809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301AD"/>
    <w:multiLevelType w:val="hybridMultilevel"/>
    <w:tmpl w:val="717E8A60"/>
    <w:lvl w:ilvl="0" w:tplc="ADD442F4">
      <w:start w:val="2"/>
      <w:numFmt w:val="upperRoman"/>
      <w:lvlText w:val="%1."/>
      <w:lvlJc w:val="left"/>
      <w:pPr>
        <w:ind w:left="1428"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54F51"/>
    <w:multiLevelType w:val="hybridMultilevel"/>
    <w:tmpl w:val="22428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EF7659"/>
    <w:multiLevelType w:val="hybridMultilevel"/>
    <w:tmpl w:val="111CA60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60A85"/>
    <w:multiLevelType w:val="hybridMultilevel"/>
    <w:tmpl w:val="C0EE0A10"/>
    <w:lvl w:ilvl="0" w:tplc="54CED304">
      <w:start w:val="1"/>
      <w:numFmt w:val="decimal"/>
      <w:lvlText w:val="%1."/>
      <w:lvlJc w:val="left"/>
      <w:pPr>
        <w:ind w:left="1080" w:hanging="360"/>
      </w:pPr>
      <w:rPr>
        <w:rFonts w:ascii="Cambria" w:hAnsi="Cambria"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43B3FAB"/>
    <w:multiLevelType w:val="hybridMultilevel"/>
    <w:tmpl w:val="829614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num w:numId="1" w16cid:durableId="1515539260">
    <w:abstractNumId w:val="39"/>
  </w:num>
  <w:num w:numId="2" w16cid:durableId="205144741">
    <w:abstractNumId w:val="2"/>
  </w:num>
  <w:num w:numId="3" w16cid:durableId="13307895">
    <w:abstractNumId w:val="38"/>
  </w:num>
  <w:num w:numId="4" w16cid:durableId="932861224">
    <w:abstractNumId w:val="19"/>
  </w:num>
  <w:num w:numId="5" w16cid:durableId="474954479">
    <w:abstractNumId w:val="28"/>
  </w:num>
  <w:num w:numId="6" w16cid:durableId="322321131">
    <w:abstractNumId w:val="35"/>
  </w:num>
  <w:num w:numId="7" w16cid:durableId="168326322">
    <w:abstractNumId w:val="3"/>
  </w:num>
  <w:num w:numId="8" w16cid:durableId="635722951">
    <w:abstractNumId w:val="12"/>
  </w:num>
  <w:num w:numId="9" w16cid:durableId="258684545">
    <w:abstractNumId w:val="33"/>
  </w:num>
  <w:num w:numId="10" w16cid:durableId="950165754">
    <w:abstractNumId w:val="34"/>
  </w:num>
  <w:num w:numId="11" w16cid:durableId="403334762">
    <w:abstractNumId w:val="23"/>
  </w:num>
  <w:num w:numId="12" w16cid:durableId="1094783055">
    <w:abstractNumId w:val="32"/>
  </w:num>
  <w:num w:numId="13" w16cid:durableId="1751386615">
    <w:abstractNumId w:val="17"/>
  </w:num>
  <w:num w:numId="14" w16cid:durableId="186918672">
    <w:abstractNumId w:val="13"/>
  </w:num>
  <w:num w:numId="15" w16cid:durableId="936909278">
    <w:abstractNumId w:val="15"/>
  </w:num>
  <w:num w:numId="16" w16cid:durableId="567040671">
    <w:abstractNumId w:val="4"/>
  </w:num>
  <w:num w:numId="17" w16cid:durableId="672145349">
    <w:abstractNumId w:val="0"/>
  </w:num>
  <w:num w:numId="18" w16cid:durableId="1853034730">
    <w:abstractNumId w:val="31"/>
  </w:num>
  <w:num w:numId="19" w16cid:durableId="1694531131">
    <w:abstractNumId w:val="30"/>
  </w:num>
  <w:num w:numId="20" w16cid:durableId="262495912">
    <w:abstractNumId w:val="8"/>
  </w:num>
  <w:num w:numId="21" w16cid:durableId="1635671162">
    <w:abstractNumId w:val="22"/>
  </w:num>
  <w:num w:numId="22" w16cid:durableId="659891190">
    <w:abstractNumId w:val="21"/>
  </w:num>
  <w:num w:numId="23" w16cid:durableId="1741437431">
    <w:abstractNumId w:val="7"/>
  </w:num>
  <w:num w:numId="24" w16cid:durableId="2124180026">
    <w:abstractNumId w:val="26"/>
  </w:num>
  <w:num w:numId="25" w16cid:durableId="20984600">
    <w:abstractNumId w:val="29"/>
  </w:num>
  <w:num w:numId="26" w16cid:durableId="1296375134">
    <w:abstractNumId w:val="1"/>
  </w:num>
  <w:num w:numId="27" w16cid:durableId="1117454701">
    <w:abstractNumId w:val="37"/>
  </w:num>
  <w:num w:numId="28" w16cid:durableId="1829786194">
    <w:abstractNumId w:val="14"/>
  </w:num>
  <w:num w:numId="29" w16cid:durableId="11422449">
    <w:abstractNumId w:val="10"/>
  </w:num>
  <w:num w:numId="30" w16cid:durableId="1198816124">
    <w:abstractNumId w:val="36"/>
  </w:num>
  <w:num w:numId="31" w16cid:durableId="781073804">
    <w:abstractNumId w:val="11"/>
  </w:num>
  <w:num w:numId="32" w16cid:durableId="1077631074">
    <w:abstractNumId w:val="9"/>
  </w:num>
  <w:num w:numId="33" w16cid:durableId="107699588">
    <w:abstractNumId w:val="20"/>
  </w:num>
  <w:num w:numId="34" w16cid:durableId="1329868686">
    <w:abstractNumId w:val="18"/>
  </w:num>
  <w:num w:numId="35" w16cid:durableId="136652855">
    <w:abstractNumId w:val="24"/>
  </w:num>
  <w:num w:numId="36" w16cid:durableId="2097941018">
    <w:abstractNumId w:val="6"/>
  </w:num>
  <w:num w:numId="37" w16cid:durableId="954824443">
    <w:abstractNumId w:val="16"/>
  </w:num>
  <w:num w:numId="38" w16cid:durableId="1379625316">
    <w:abstractNumId w:val="25"/>
  </w:num>
  <w:num w:numId="39" w16cid:durableId="812523369">
    <w:abstractNumId w:val="27"/>
  </w:num>
  <w:num w:numId="40" w16cid:durableId="1847281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05D02"/>
    <w:rsid w:val="0001720F"/>
    <w:rsid w:val="00037EE7"/>
    <w:rsid w:val="0005228B"/>
    <w:rsid w:val="0006625E"/>
    <w:rsid w:val="00082741"/>
    <w:rsid w:val="000840A1"/>
    <w:rsid w:val="000A1EFD"/>
    <w:rsid w:val="000D73E4"/>
    <w:rsid w:val="000F4520"/>
    <w:rsid w:val="0010578C"/>
    <w:rsid w:val="00106C59"/>
    <w:rsid w:val="00151983"/>
    <w:rsid w:val="0015583C"/>
    <w:rsid w:val="00163E52"/>
    <w:rsid w:val="00183508"/>
    <w:rsid w:val="00193906"/>
    <w:rsid w:val="001C0A6D"/>
    <w:rsid w:val="001C230A"/>
    <w:rsid w:val="001F495A"/>
    <w:rsid w:val="0021669C"/>
    <w:rsid w:val="00217A39"/>
    <w:rsid w:val="00217F58"/>
    <w:rsid w:val="002315B4"/>
    <w:rsid w:val="00234F67"/>
    <w:rsid w:val="00250058"/>
    <w:rsid w:val="0025651E"/>
    <w:rsid w:val="002659F6"/>
    <w:rsid w:val="002A1ED6"/>
    <w:rsid w:val="002A39B2"/>
    <w:rsid w:val="002A7539"/>
    <w:rsid w:val="002B0B2A"/>
    <w:rsid w:val="002C446E"/>
    <w:rsid w:val="002D5970"/>
    <w:rsid w:val="00301A2A"/>
    <w:rsid w:val="0030543F"/>
    <w:rsid w:val="0032092C"/>
    <w:rsid w:val="003358E6"/>
    <w:rsid w:val="003412B2"/>
    <w:rsid w:val="00360412"/>
    <w:rsid w:val="00363E14"/>
    <w:rsid w:val="00393310"/>
    <w:rsid w:val="003A00B1"/>
    <w:rsid w:val="003B080B"/>
    <w:rsid w:val="003D4630"/>
    <w:rsid w:val="003E3690"/>
    <w:rsid w:val="0040037B"/>
    <w:rsid w:val="00403841"/>
    <w:rsid w:val="0041423F"/>
    <w:rsid w:val="00450646"/>
    <w:rsid w:val="004633EB"/>
    <w:rsid w:val="0047175E"/>
    <w:rsid w:val="00483B3C"/>
    <w:rsid w:val="00483CF7"/>
    <w:rsid w:val="00486911"/>
    <w:rsid w:val="004A15BA"/>
    <w:rsid w:val="004A4561"/>
    <w:rsid w:val="004C3CFB"/>
    <w:rsid w:val="004C4D9C"/>
    <w:rsid w:val="004D7999"/>
    <w:rsid w:val="004F3B49"/>
    <w:rsid w:val="00513A38"/>
    <w:rsid w:val="00525898"/>
    <w:rsid w:val="00533294"/>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13EB0"/>
    <w:rsid w:val="006518D8"/>
    <w:rsid w:val="006753A9"/>
    <w:rsid w:val="0069586A"/>
    <w:rsid w:val="006964C0"/>
    <w:rsid w:val="006A592E"/>
    <w:rsid w:val="006A6CAF"/>
    <w:rsid w:val="006B3D07"/>
    <w:rsid w:val="006E0736"/>
    <w:rsid w:val="006F0429"/>
    <w:rsid w:val="006F693F"/>
    <w:rsid w:val="0070714C"/>
    <w:rsid w:val="0073374A"/>
    <w:rsid w:val="00741FC9"/>
    <w:rsid w:val="00745807"/>
    <w:rsid w:val="007546B7"/>
    <w:rsid w:val="007779B2"/>
    <w:rsid w:val="0078116D"/>
    <w:rsid w:val="0078691F"/>
    <w:rsid w:val="007A6889"/>
    <w:rsid w:val="007B23CA"/>
    <w:rsid w:val="007B6F7C"/>
    <w:rsid w:val="007C2CC3"/>
    <w:rsid w:val="007C351D"/>
    <w:rsid w:val="007D543E"/>
    <w:rsid w:val="007E3059"/>
    <w:rsid w:val="007E346D"/>
    <w:rsid w:val="007E4ED5"/>
    <w:rsid w:val="007E7421"/>
    <w:rsid w:val="007F5A92"/>
    <w:rsid w:val="007F5F4E"/>
    <w:rsid w:val="007F7616"/>
    <w:rsid w:val="0080116E"/>
    <w:rsid w:val="008012A4"/>
    <w:rsid w:val="008060DE"/>
    <w:rsid w:val="00807BAA"/>
    <w:rsid w:val="00853897"/>
    <w:rsid w:val="00854C6B"/>
    <w:rsid w:val="008550EF"/>
    <w:rsid w:val="0086676E"/>
    <w:rsid w:val="008776EB"/>
    <w:rsid w:val="0089637D"/>
    <w:rsid w:val="008A3BA4"/>
    <w:rsid w:val="008E1A23"/>
    <w:rsid w:val="008E72CA"/>
    <w:rsid w:val="00911130"/>
    <w:rsid w:val="00913BF3"/>
    <w:rsid w:val="00917950"/>
    <w:rsid w:val="00931D14"/>
    <w:rsid w:val="009331A5"/>
    <w:rsid w:val="00933A89"/>
    <w:rsid w:val="00944F57"/>
    <w:rsid w:val="009477D5"/>
    <w:rsid w:val="00977EF7"/>
    <w:rsid w:val="00987EFB"/>
    <w:rsid w:val="009A542A"/>
    <w:rsid w:val="009B480D"/>
    <w:rsid w:val="009C4D87"/>
    <w:rsid w:val="009D20DE"/>
    <w:rsid w:val="009D3412"/>
    <w:rsid w:val="009D4C34"/>
    <w:rsid w:val="009D50E2"/>
    <w:rsid w:val="009F0FEB"/>
    <w:rsid w:val="009F1C70"/>
    <w:rsid w:val="009F4D7F"/>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E1B0F"/>
    <w:rsid w:val="00AE6BE2"/>
    <w:rsid w:val="00AF0CEC"/>
    <w:rsid w:val="00B056D9"/>
    <w:rsid w:val="00B2161A"/>
    <w:rsid w:val="00B52B68"/>
    <w:rsid w:val="00B5680B"/>
    <w:rsid w:val="00B75824"/>
    <w:rsid w:val="00B806AC"/>
    <w:rsid w:val="00B90B9D"/>
    <w:rsid w:val="00B91D8E"/>
    <w:rsid w:val="00B93993"/>
    <w:rsid w:val="00BE2369"/>
    <w:rsid w:val="00BF33B2"/>
    <w:rsid w:val="00BF4733"/>
    <w:rsid w:val="00C04C07"/>
    <w:rsid w:val="00C1382E"/>
    <w:rsid w:val="00C40F2C"/>
    <w:rsid w:val="00C74AF5"/>
    <w:rsid w:val="00C9097E"/>
    <w:rsid w:val="00CA2777"/>
    <w:rsid w:val="00CA3AA8"/>
    <w:rsid w:val="00CB65EF"/>
    <w:rsid w:val="00CC4274"/>
    <w:rsid w:val="00CC722B"/>
    <w:rsid w:val="00CD545A"/>
    <w:rsid w:val="00CE4E6F"/>
    <w:rsid w:val="00D05BCC"/>
    <w:rsid w:val="00D13990"/>
    <w:rsid w:val="00D222B7"/>
    <w:rsid w:val="00D34B47"/>
    <w:rsid w:val="00D36A3D"/>
    <w:rsid w:val="00D5166A"/>
    <w:rsid w:val="00D60CAC"/>
    <w:rsid w:val="00D82E91"/>
    <w:rsid w:val="00DD4F27"/>
    <w:rsid w:val="00DD7443"/>
    <w:rsid w:val="00DF0FE5"/>
    <w:rsid w:val="00E04605"/>
    <w:rsid w:val="00E06D52"/>
    <w:rsid w:val="00E2035C"/>
    <w:rsid w:val="00E24DFC"/>
    <w:rsid w:val="00E26E89"/>
    <w:rsid w:val="00E274AA"/>
    <w:rsid w:val="00E3040C"/>
    <w:rsid w:val="00E30888"/>
    <w:rsid w:val="00E43B1F"/>
    <w:rsid w:val="00E5030A"/>
    <w:rsid w:val="00E52029"/>
    <w:rsid w:val="00E52331"/>
    <w:rsid w:val="00E62255"/>
    <w:rsid w:val="00E77756"/>
    <w:rsid w:val="00E82EF8"/>
    <w:rsid w:val="00EB3ACF"/>
    <w:rsid w:val="00EC03C5"/>
    <w:rsid w:val="00EC64BF"/>
    <w:rsid w:val="00ED4C58"/>
    <w:rsid w:val="00ED518E"/>
    <w:rsid w:val="00ED6680"/>
    <w:rsid w:val="00EF1BD7"/>
    <w:rsid w:val="00F0294F"/>
    <w:rsid w:val="00F06E69"/>
    <w:rsid w:val="00F07B09"/>
    <w:rsid w:val="00F267EC"/>
    <w:rsid w:val="00F306C1"/>
    <w:rsid w:val="00F47E8A"/>
    <w:rsid w:val="00F52F31"/>
    <w:rsid w:val="00F54F60"/>
    <w:rsid w:val="00F66FEE"/>
    <w:rsid w:val="00F72E41"/>
    <w:rsid w:val="00F80766"/>
    <w:rsid w:val="00FB48F2"/>
    <w:rsid w:val="00FC0266"/>
    <w:rsid w:val="00FC03E9"/>
    <w:rsid w:val="00FC66C2"/>
    <w:rsid w:val="00FD09E6"/>
    <w:rsid w:val="00FD7ED8"/>
    <w:rsid w:val="00FF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basedOn w:val="Normal"/>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1507-10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3/AR%20SA%2014.714%20ES-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3/AR%20SA%2014.714%20ES-FINAL%20WEB.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3/AR%20SA%2014.714%20ES-FINAL%20WEB.PDF" TargetMode="External"/><Relationship Id="rId2" Type="http://schemas.openxmlformats.org/officeDocument/2006/relationships/hyperlink" Target="https://www.oas.org/es/cidh/decisiones/2023/AR%20SA%2014.714%20ES-FINAL%20WEB.PDF" TargetMode="External"/><Relationship Id="rId1" Type="http://schemas.openxmlformats.org/officeDocument/2006/relationships/hyperlink" Target="https://www.oas.org/es/cidh/docs/anual/2024/capitulos/IA2024_2_ES.pdf" TargetMode="External"/><Relationship Id="rId4" Type="http://schemas.openxmlformats.org/officeDocument/2006/relationships/hyperlink" Target="https://www.oas.org/es/cidh/docs/anual/2024/capitulos/IA2024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2.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3.xml><?xml version="1.0" encoding="utf-8"?>
<ds:datastoreItem xmlns:ds="http://schemas.openxmlformats.org/officeDocument/2006/customXml" ds:itemID="{AA6FF508-8D08-4F78-922E-0BB72BFB2C9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5.xml><?xml version="1.0" encoding="utf-8"?>
<ds:datastoreItem xmlns:ds="http://schemas.openxmlformats.org/officeDocument/2006/customXml" ds:itemID="{7AC0666C-50FD-4908-A219-F33C0E7DD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2</TotalTime>
  <Pages>3</Pages>
  <Words>843</Words>
  <Characters>4806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5</cp:revision>
  <cp:lastPrinted>2025-08-26T18:23:00Z</cp:lastPrinted>
  <dcterms:created xsi:type="dcterms:W3CDTF">2025-07-25T17:42:00Z</dcterms:created>
  <dcterms:modified xsi:type="dcterms:W3CDTF">2025-08-26T18:23:00Z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