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FF02F3" w:rsidRDefault="002659F6" w:rsidP="00FF02F3">
      <w:pPr>
        <w:suppressAutoHyphens/>
        <w:spacing w:after="0" w:line="240" w:lineRule="auto"/>
        <w:ind w:right="-270"/>
        <w:jc w:val="center"/>
        <w:rPr>
          <w:rFonts w:ascii="Cambria" w:eastAsia="Batang" w:hAnsi="Cambria"/>
          <w:b/>
          <w:sz w:val="24"/>
          <w:szCs w:val="24"/>
          <w:lang w:val="es-CO"/>
        </w:rPr>
      </w:pPr>
    </w:p>
    <w:p w14:paraId="532EB7EA" w14:textId="4890DD28" w:rsidR="002659F6" w:rsidRPr="00FF02F3" w:rsidRDefault="002659F6" w:rsidP="00FF02F3">
      <w:pPr>
        <w:suppressAutoHyphens/>
        <w:spacing w:after="0" w:line="240" w:lineRule="auto"/>
        <w:ind w:right="-270"/>
        <w:jc w:val="center"/>
        <w:rPr>
          <w:rFonts w:ascii="Cambria" w:eastAsia="Batang" w:hAnsi="Cambria"/>
          <w:b/>
          <w:sz w:val="24"/>
          <w:szCs w:val="24"/>
          <w:lang w:val="es-CO"/>
        </w:rPr>
      </w:pPr>
      <w:r w:rsidRPr="00FF02F3">
        <w:rPr>
          <w:rFonts w:ascii="Cambria" w:eastAsia="Batang" w:hAnsi="Cambria"/>
          <w:b/>
          <w:sz w:val="24"/>
          <w:szCs w:val="24"/>
          <w:lang w:val="es-CO"/>
        </w:rPr>
        <w:t>FICHA TÉCNICA INFORMATIVA</w:t>
      </w:r>
    </w:p>
    <w:p w14:paraId="62ACF499" w14:textId="149D22B4" w:rsidR="00F3661B" w:rsidRPr="00FF02F3" w:rsidRDefault="00F3661B" w:rsidP="00FF02F3">
      <w:pPr>
        <w:suppressAutoHyphens/>
        <w:spacing w:after="0" w:line="240" w:lineRule="auto"/>
        <w:ind w:right="-270"/>
        <w:jc w:val="center"/>
        <w:rPr>
          <w:rFonts w:ascii="Cambria" w:eastAsia="Batang" w:hAnsi="Cambria"/>
          <w:b/>
          <w:sz w:val="24"/>
          <w:szCs w:val="24"/>
          <w:lang w:val="es-CO"/>
        </w:rPr>
      </w:pPr>
      <w:r w:rsidRPr="00FF02F3">
        <w:rPr>
          <w:rFonts w:ascii="Cambria" w:eastAsia="Batang" w:hAnsi="Cambria"/>
          <w:b/>
          <w:sz w:val="24"/>
          <w:szCs w:val="24"/>
          <w:lang w:val="es-CO"/>
        </w:rPr>
        <w:t xml:space="preserve">CASO </w:t>
      </w:r>
      <w:r w:rsidR="00FF02F3" w:rsidRPr="00FF02F3">
        <w:rPr>
          <w:rFonts w:ascii="Cambria" w:eastAsia="Batang" w:hAnsi="Cambria"/>
          <w:b/>
          <w:sz w:val="24"/>
          <w:szCs w:val="24"/>
          <w:lang w:val="es-CO"/>
        </w:rPr>
        <w:t>13.370 LUIS HORACIO PATIÑO Y FAMILIA</w:t>
      </w:r>
    </w:p>
    <w:p w14:paraId="38A16E1F" w14:textId="04144EEB" w:rsidR="008E72CA" w:rsidRPr="00FF02F3" w:rsidRDefault="008E72CA" w:rsidP="00FF02F3">
      <w:pPr>
        <w:suppressAutoHyphens/>
        <w:spacing w:after="0" w:line="240" w:lineRule="auto"/>
        <w:ind w:right="-270"/>
        <w:jc w:val="center"/>
        <w:rPr>
          <w:rFonts w:ascii="Cambria" w:eastAsia="Batang" w:hAnsi="Cambria"/>
          <w:b/>
          <w:sz w:val="24"/>
          <w:szCs w:val="24"/>
          <w:lang w:val="es-CO"/>
        </w:rPr>
      </w:pPr>
      <w:r w:rsidRPr="00FF02F3">
        <w:rPr>
          <w:rFonts w:ascii="Cambria" w:eastAsia="Batang" w:hAnsi="Cambria"/>
          <w:b/>
          <w:sz w:val="24"/>
          <w:szCs w:val="24"/>
          <w:lang w:val="es-CO"/>
        </w:rPr>
        <w:t>INFORME DE SOLUCIÓN AMISTOSA</w:t>
      </w:r>
      <w:r w:rsidR="00FF02F3" w:rsidRPr="00FF02F3">
        <w:rPr>
          <w:rFonts w:ascii="Cambria" w:eastAsia="Batang" w:hAnsi="Cambria"/>
          <w:b/>
          <w:sz w:val="24"/>
          <w:szCs w:val="24"/>
          <w:lang w:val="es-CO"/>
        </w:rPr>
        <w:t xml:space="preserve"> </w:t>
      </w:r>
      <w:hyperlink r:id="rId12" w:history="1">
        <w:r w:rsidR="00FF02F3" w:rsidRPr="00847A17">
          <w:rPr>
            <w:rStyle w:val="Hyperlink"/>
            <w:rFonts w:ascii="Cambria" w:eastAsia="Batang" w:hAnsi="Cambria"/>
            <w:b/>
            <w:sz w:val="24"/>
            <w:szCs w:val="24"/>
            <w:lang w:val="es-CO"/>
          </w:rPr>
          <w:t>No. 80/20</w:t>
        </w:r>
      </w:hyperlink>
    </w:p>
    <w:p w14:paraId="1FDB7C2D" w14:textId="4237882A" w:rsidR="00F3661B" w:rsidRPr="00FF02F3" w:rsidRDefault="002659F6" w:rsidP="00FF02F3">
      <w:pPr>
        <w:suppressAutoHyphens/>
        <w:spacing w:after="0" w:line="240" w:lineRule="auto"/>
        <w:ind w:right="-270"/>
        <w:jc w:val="center"/>
        <w:rPr>
          <w:rFonts w:ascii="Cambria" w:eastAsia="Batang" w:hAnsi="Cambria"/>
          <w:b/>
          <w:sz w:val="24"/>
          <w:szCs w:val="24"/>
          <w:lang w:val="es-CO"/>
        </w:rPr>
      </w:pPr>
      <w:r w:rsidRPr="00FF02F3">
        <w:rPr>
          <w:rFonts w:ascii="Cambria" w:eastAsia="Batang" w:hAnsi="Cambria"/>
          <w:b/>
          <w:sz w:val="24"/>
          <w:szCs w:val="24"/>
          <w:lang w:val="es-CO"/>
        </w:rPr>
        <w:t>CUMPLIMIENTO TOTAL</w:t>
      </w:r>
    </w:p>
    <w:p w14:paraId="7295383B" w14:textId="260ED645" w:rsidR="00035689" w:rsidRPr="00FF02F3" w:rsidRDefault="008E72CA" w:rsidP="00FF02F3">
      <w:pPr>
        <w:suppressAutoHyphens/>
        <w:spacing w:after="0" w:line="240" w:lineRule="auto"/>
        <w:ind w:right="-270"/>
        <w:jc w:val="center"/>
        <w:rPr>
          <w:rFonts w:ascii="Cambria" w:eastAsia="Batang" w:hAnsi="Cambria"/>
          <w:b/>
          <w:sz w:val="24"/>
          <w:szCs w:val="24"/>
          <w:lang w:val="es-CO"/>
        </w:rPr>
      </w:pPr>
      <w:r w:rsidRPr="00FF02F3">
        <w:rPr>
          <w:rFonts w:ascii="Cambria" w:eastAsia="Batang" w:hAnsi="Cambria"/>
          <w:b/>
          <w:sz w:val="24"/>
          <w:szCs w:val="24"/>
          <w:lang w:val="es-CO"/>
        </w:rPr>
        <w:t>(</w:t>
      </w:r>
      <w:r w:rsidR="00033B04" w:rsidRPr="00FF02F3">
        <w:rPr>
          <w:rFonts w:ascii="Cambria" w:eastAsia="Batang" w:hAnsi="Cambria"/>
          <w:b/>
          <w:sz w:val="24"/>
          <w:szCs w:val="24"/>
          <w:lang w:val="es-CO"/>
        </w:rPr>
        <w:t>COLOMBIA</w:t>
      </w:r>
      <w:r w:rsidRPr="00FF02F3">
        <w:rPr>
          <w:rFonts w:ascii="Cambria" w:eastAsia="Batang" w:hAnsi="Cambria"/>
          <w:b/>
          <w:sz w:val="24"/>
          <w:szCs w:val="24"/>
          <w:lang w:val="es-CO"/>
        </w:rPr>
        <w:t>)</w:t>
      </w:r>
    </w:p>
    <w:p w14:paraId="19EA2BC4" w14:textId="77777777" w:rsidR="00FF02F3" w:rsidRPr="00FF02F3" w:rsidRDefault="00FF02F3" w:rsidP="00FF02F3">
      <w:pPr>
        <w:suppressAutoHyphens/>
        <w:spacing w:after="0" w:line="240" w:lineRule="auto"/>
        <w:jc w:val="center"/>
        <w:rPr>
          <w:rFonts w:ascii="Cambria" w:hAnsi="Cambria"/>
          <w:b/>
          <w:caps/>
          <w:color w:val="000000"/>
          <w:sz w:val="20"/>
          <w:szCs w:val="20"/>
          <w:lang w:val="es-ES_tradnl"/>
        </w:rPr>
      </w:pPr>
    </w:p>
    <w:p w14:paraId="479DC190" w14:textId="77777777" w:rsidR="00FF02F3" w:rsidRPr="00FF02F3" w:rsidRDefault="00FF02F3" w:rsidP="004A6A71">
      <w:pPr>
        <w:numPr>
          <w:ilvl w:val="0"/>
          <w:numId w:val="4"/>
        </w:numPr>
        <w:suppressAutoHyphens/>
        <w:spacing w:after="0" w:line="240" w:lineRule="auto"/>
        <w:ind w:left="0" w:firstLine="720"/>
        <w:rPr>
          <w:rFonts w:ascii="Cambria" w:hAnsi="Cambria"/>
          <w:b/>
          <w:caps/>
          <w:color w:val="000000"/>
          <w:sz w:val="20"/>
          <w:szCs w:val="20"/>
          <w:lang w:val="es-ES"/>
        </w:rPr>
      </w:pPr>
      <w:r w:rsidRPr="00FF02F3">
        <w:rPr>
          <w:rFonts w:ascii="Cambria" w:hAnsi="Cambria"/>
          <w:b/>
          <w:caps/>
          <w:color w:val="000000"/>
          <w:sz w:val="20"/>
          <w:szCs w:val="20"/>
          <w:lang w:val="es-ES"/>
        </w:rPr>
        <w:t>resumen del caso</w:t>
      </w:r>
    </w:p>
    <w:p w14:paraId="0A179678" w14:textId="77777777" w:rsidR="00FF02F3" w:rsidRPr="00FF02F3" w:rsidRDefault="00FF02F3" w:rsidP="00FF02F3">
      <w:pPr>
        <w:suppressAutoHyphens/>
        <w:spacing w:after="0" w:line="240" w:lineRule="auto"/>
        <w:ind w:left="1440"/>
        <w:rPr>
          <w:rFonts w:ascii="Cambria" w:hAnsi="Cambria"/>
          <w:b/>
          <w:caps/>
          <w:color w:val="000000"/>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FF02F3" w:rsidRPr="004A6A71" w14:paraId="129A4779" w14:textId="77777777" w:rsidTr="00BC046E">
        <w:trPr>
          <w:trHeight w:val="558"/>
          <w:jc w:val="center"/>
        </w:trPr>
        <w:tc>
          <w:tcPr>
            <w:tcW w:w="9576" w:type="dxa"/>
            <w:shd w:val="clear" w:color="auto" w:fill="F2F2F2"/>
          </w:tcPr>
          <w:p w14:paraId="45F43550" w14:textId="2FC8BC87" w:rsidR="00FF02F3" w:rsidRPr="00FF02F3" w:rsidRDefault="00FF02F3" w:rsidP="00FF02F3">
            <w:pPr>
              <w:tabs>
                <w:tab w:val="center" w:pos="4513"/>
              </w:tabs>
              <w:suppressAutoHyphens/>
              <w:spacing w:after="0" w:line="240" w:lineRule="auto"/>
              <w:jc w:val="both"/>
              <w:rPr>
                <w:rFonts w:ascii="Cambria" w:eastAsia="Batang" w:hAnsi="Cambria"/>
                <w:color w:val="000000"/>
                <w:sz w:val="20"/>
                <w:szCs w:val="20"/>
                <w:lang w:val="es-ES"/>
              </w:rPr>
            </w:pPr>
            <w:r w:rsidRPr="00FF02F3">
              <w:rPr>
                <w:rFonts w:ascii="Cambria" w:eastAsia="Batang" w:hAnsi="Cambria"/>
                <w:b/>
                <w:color w:val="000000"/>
                <w:sz w:val="20"/>
                <w:szCs w:val="20"/>
                <w:lang w:val="es-ES"/>
              </w:rPr>
              <w:t>Víctima (s):</w:t>
            </w:r>
            <w:r w:rsidRPr="00FF02F3">
              <w:rPr>
                <w:rFonts w:ascii="Cambria" w:eastAsia="Batang" w:hAnsi="Cambria"/>
                <w:color w:val="000000"/>
                <w:sz w:val="20"/>
                <w:szCs w:val="20"/>
                <w:lang w:val="es-ES"/>
              </w:rPr>
              <w:t xml:space="preserve"> Luis Horacio Patiño Agudelo</w:t>
            </w:r>
            <w:r w:rsidR="00847A17">
              <w:rPr>
                <w:rFonts w:ascii="Cambria" w:eastAsia="Batang" w:hAnsi="Cambria"/>
                <w:color w:val="000000"/>
                <w:sz w:val="20"/>
                <w:szCs w:val="20"/>
                <w:lang w:val="es-ES"/>
              </w:rPr>
              <w:t xml:space="preserve"> y familia</w:t>
            </w:r>
          </w:p>
          <w:p w14:paraId="44AE0EFC" w14:textId="77777777"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ES"/>
              </w:rPr>
            </w:pPr>
            <w:r w:rsidRPr="00FF02F3">
              <w:rPr>
                <w:rFonts w:ascii="Cambria" w:eastAsia="Batang" w:hAnsi="Cambria"/>
                <w:b/>
                <w:color w:val="000000"/>
                <w:sz w:val="20"/>
                <w:szCs w:val="20"/>
                <w:lang w:val="es-ES"/>
              </w:rPr>
              <w:t xml:space="preserve">Peticionario (s): </w:t>
            </w:r>
            <w:r w:rsidRPr="00FF02F3">
              <w:rPr>
                <w:rFonts w:ascii="Cambria" w:eastAsia="Batang" w:hAnsi="Cambria"/>
                <w:color w:val="000000"/>
                <w:sz w:val="20"/>
                <w:szCs w:val="20"/>
                <w:lang w:val="es-ES"/>
              </w:rPr>
              <w:t>Libardo Preciado Camargo y Libardo Preciado Niño</w:t>
            </w:r>
          </w:p>
          <w:p w14:paraId="6481B9FA" w14:textId="77777777"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ES"/>
              </w:rPr>
            </w:pPr>
            <w:r w:rsidRPr="00FF02F3">
              <w:rPr>
                <w:rFonts w:ascii="Cambria" w:eastAsia="Batang" w:hAnsi="Cambria"/>
                <w:b/>
                <w:color w:val="000000"/>
                <w:sz w:val="20"/>
                <w:szCs w:val="20"/>
                <w:lang w:val="es-ES"/>
              </w:rPr>
              <w:t>Estado:</w:t>
            </w:r>
            <w:r w:rsidRPr="00FF02F3">
              <w:rPr>
                <w:rFonts w:ascii="Cambria" w:eastAsia="Batang" w:hAnsi="Cambria"/>
                <w:color w:val="000000"/>
                <w:sz w:val="20"/>
                <w:szCs w:val="20"/>
                <w:lang w:val="es-ES"/>
              </w:rPr>
              <w:t xml:space="preserve"> Colombia</w:t>
            </w:r>
          </w:p>
          <w:p w14:paraId="5FC8A341" w14:textId="77777777"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ES"/>
              </w:rPr>
            </w:pPr>
            <w:r w:rsidRPr="00FF02F3">
              <w:rPr>
                <w:rFonts w:ascii="Cambria" w:hAnsi="Cambria"/>
                <w:b/>
                <w:bCs/>
                <w:color w:val="000000"/>
                <w:sz w:val="20"/>
                <w:szCs w:val="20"/>
                <w:lang w:val="es-ES"/>
              </w:rPr>
              <w:t xml:space="preserve">Fecha de inicio de las negociaciones: </w:t>
            </w:r>
            <w:r w:rsidRPr="00FF02F3">
              <w:rPr>
                <w:rFonts w:ascii="Cambria" w:hAnsi="Cambria"/>
                <w:bCs/>
                <w:color w:val="000000"/>
                <w:sz w:val="20"/>
                <w:szCs w:val="20"/>
                <w:lang w:val="es-ES"/>
              </w:rPr>
              <w:t>3 de septiembre de 2019</w:t>
            </w:r>
          </w:p>
          <w:p w14:paraId="2F2BE2FC" w14:textId="77777777" w:rsidR="00FF02F3" w:rsidRPr="00FF02F3" w:rsidRDefault="00FF02F3" w:rsidP="00FF02F3">
            <w:pPr>
              <w:tabs>
                <w:tab w:val="left" w:pos="9270"/>
              </w:tabs>
              <w:suppressAutoHyphens/>
              <w:spacing w:after="0" w:line="240" w:lineRule="auto"/>
              <w:jc w:val="both"/>
              <w:rPr>
                <w:rFonts w:ascii="Cambria" w:hAnsi="Cambria"/>
                <w:b/>
                <w:bCs/>
                <w:color w:val="000000"/>
                <w:sz w:val="20"/>
                <w:szCs w:val="20"/>
                <w:lang w:val="es-ES"/>
              </w:rPr>
            </w:pPr>
            <w:r w:rsidRPr="00FF02F3">
              <w:rPr>
                <w:rFonts w:ascii="Cambria" w:hAnsi="Cambria"/>
                <w:b/>
                <w:bCs/>
                <w:color w:val="000000"/>
                <w:sz w:val="20"/>
                <w:szCs w:val="20"/>
                <w:lang w:val="es-ES"/>
              </w:rPr>
              <w:t xml:space="preserve">Fecha de Firma de ASA: </w:t>
            </w:r>
            <w:r w:rsidRPr="00FF02F3">
              <w:rPr>
                <w:rFonts w:ascii="Cambria" w:hAnsi="Cambria"/>
                <w:bCs/>
                <w:color w:val="000000"/>
                <w:sz w:val="20"/>
                <w:szCs w:val="20"/>
                <w:lang w:val="es-ES"/>
              </w:rPr>
              <w:t>3 de diciembre de 2019</w:t>
            </w:r>
          </w:p>
          <w:p w14:paraId="41AFA661" w14:textId="5D43A4DB" w:rsidR="00FF02F3" w:rsidRPr="00FF02F3" w:rsidRDefault="00FF02F3" w:rsidP="00FF02F3">
            <w:pPr>
              <w:tabs>
                <w:tab w:val="left" w:pos="9270"/>
              </w:tabs>
              <w:suppressAutoHyphens/>
              <w:spacing w:after="0" w:line="240" w:lineRule="auto"/>
              <w:jc w:val="both"/>
              <w:rPr>
                <w:rFonts w:ascii="Cambria" w:hAnsi="Cambria"/>
                <w:bCs/>
                <w:color w:val="000000"/>
                <w:sz w:val="20"/>
                <w:szCs w:val="20"/>
                <w:lang w:val="es-ES_tradnl"/>
              </w:rPr>
            </w:pPr>
            <w:r w:rsidRPr="00FF02F3">
              <w:rPr>
                <w:rFonts w:ascii="Cambria" w:eastAsia="Batang" w:hAnsi="Cambria"/>
                <w:b/>
                <w:color w:val="000000"/>
                <w:sz w:val="20"/>
                <w:szCs w:val="20"/>
                <w:lang w:val="es-ES"/>
              </w:rPr>
              <w:t>Informe de Acuerdo de Solución Amistosa N</w:t>
            </w:r>
            <w:r w:rsidR="00234AA8">
              <w:rPr>
                <w:rFonts w:ascii="Cambria" w:eastAsia="Batang" w:hAnsi="Cambria"/>
                <w:b/>
                <w:color w:val="000000"/>
                <w:sz w:val="20"/>
                <w:szCs w:val="20"/>
                <w:lang w:val="es-ES"/>
              </w:rPr>
              <w:t>o</w:t>
            </w:r>
            <w:r w:rsidRPr="00FF02F3">
              <w:rPr>
                <w:rFonts w:ascii="Cambria" w:eastAsia="Batang" w:hAnsi="Cambria"/>
                <w:b/>
                <w:color w:val="000000"/>
                <w:sz w:val="20"/>
                <w:szCs w:val="20"/>
                <w:lang w:val="es-ES"/>
              </w:rPr>
              <w:t xml:space="preserve">: </w:t>
            </w:r>
            <w:hyperlink r:id="rId13" w:history="1">
              <w:r w:rsidRPr="00FF02F3">
                <w:rPr>
                  <w:rFonts w:ascii="Cambria" w:eastAsia="Batang" w:hAnsi="Cambria"/>
                  <w:b/>
                  <w:color w:val="0563C1"/>
                  <w:sz w:val="20"/>
                  <w:szCs w:val="20"/>
                  <w:u w:val="single"/>
                  <w:lang w:val="es-ES"/>
                </w:rPr>
                <w:t>80/20</w:t>
              </w:r>
            </w:hyperlink>
            <w:r w:rsidRPr="00FF02F3">
              <w:rPr>
                <w:rFonts w:ascii="Cambria" w:hAnsi="Cambria"/>
                <w:bCs/>
                <w:color w:val="000000"/>
                <w:sz w:val="20"/>
                <w:szCs w:val="20"/>
                <w:lang w:val="es-ES"/>
              </w:rPr>
              <w:t xml:space="preserve">, publicado el </w:t>
            </w:r>
            <w:r w:rsidRPr="00FF02F3">
              <w:rPr>
                <w:rFonts w:ascii="Cambria" w:hAnsi="Cambria"/>
                <w:bCs/>
                <w:color w:val="000000"/>
                <w:sz w:val="20"/>
                <w:szCs w:val="20"/>
                <w:lang w:val="es-ES_tradnl"/>
              </w:rPr>
              <w:t xml:space="preserve">8 de mayo de 2020 </w:t>
            </w:r>
          </w:p>
          <w:p w14:paraId="0A8E9FFF" w14:textId="77777777" w:rsidR="00FF02F3" w:rsidRPr="00FF02F3" w:rsidRDefault="00FF02F3" w:rsidP="00FF02F3">
            <w:pPr>
              <w:tabs>
                <w:tab w:val="left" w:pos="9270"/>
              </w:tabs>
              <w:suppressAutoHyphens/>
              <w:spacing w:after="0" w:line="240" w:lineRule="auto"/>
              <w:jc w:val="both"/>
              <w:rPr>
                <w:rFonts w:ascii="Cambria" w:hAnsi="Cambria"/>
                <w:b/>
                <w:bCs/>
                <w:color w:val="000000"/>
                <w:sz w:val="20"/>
                <w:szCs w:val="20"/>
                <w:lang w:val="es-ES"/>
              </w:rPr>
            </w:pPr>
            <w:r w:rsidRPr="00FF02F3">
              <w:rPr>
                <w:rFonts w:ascii="Cambria" w:hAnsi="Cambria"/>
                <w:b/>
                <w:bCs/>
                <w:color w:val="000000"/>
                <w:sz w:val="20"/>
                <w:szCs w:val="20"/>
                <w:lang w:val="es-ES"/>
              </w:rPr>
              <w:t xml:space="preserve">Duración estimada de la fase de negociación: </w:t>
            </w:r>
            <w:r w:rsidRPr="00FF02F3">
              <w:rPr>
                <w:rFonts w:ascii="Cambria" w:hAnsi="Cambria"/>
                <w:bCs/>
                <w:color w:val="000000"/>
                <w:sz w:val="20"/>
                <w:szCs w:val="20"/>
                <w:lang w:val="es-ES"/>
              </w:rPr>
              <w:t>8 meses</w:t>
            </w:r>
          </w:p>
          <w:p w14:paraId="1C9CBB6D" w14:textId="77777777"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ES"/>
              </w:rPr>
            </w:pPr>
            <w:r w:rsidRPr="00FF02F3">
              <w:rPr>
                <w:rFonts w:ascii="Cambria" w:eastAsia="Batang" w:hAnsi="Cambria"/>
                <w:b/>
                <w:color w:val="000000"/>
                <w:sz w:val="20"/>
                <w:szCs w:val="20"/>
                <w:lang w:val="es-ES"/>
              </w:rPr>
              <w:t>Relatoría vinculada:</w:t>
            </w:r>
            <w:r w:rsidRPr="00FF02F3">
              <w:rPr>
                <w:rFonts w:ascii="Cambria" w:eastAsia="Batang" w:hAnsi="Cambria"/>
                <w:color w:val="000000"/>
                <w:sz w:val="20"/>
                <w:szCs w:val="20"/>
                <w:lang w:val="es-ES"/>
              </w:rPr>
              <w:t xml:space="preserve"> Relatoría sobre los Derechos de las Personas Privadas de Libertad</w:t>
            </w:r>
          </w:p>
          <w:p w14:paraId="43CF0A81" w14:textId="77777777"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ES"/>
              </w:rPr>
            </w:pPr>
            <w:r w:rsidRPr="00FF02F3">
              <w:rPr>
                <w:rFonts w:ascii="Cambria" w:eastAsia="Batang" w:hAnsi="Cambria"/>
                <w:b/>
                <w:color w:val="000000"/>
                <w:sz w:val="20"/>
                <w:szCs w:val="20"/>
                <w:lang w:val="es-ES"/>
              </w:rPr>
              <w:t xml:space="preserve">Temas: </w:t>
            </w:r>
            <w:r w:rsidRPr="00FF02F3">
              <w:rPr>
                <w:rFonts w:ascii="Cambria" w:eastAsia="Batang" w:hAnsi="Cambria"/>
                <w:color w:val="000000"/>
                <w:sz w:val="20"/>
                <w:szCs w:val="20"/>
                <w:lang w:val="es-ES"/>
              </w:rPr>
              <w:t>Condiciones de Detención/ Derecho a la Vida/ Garantías Judiciales/ Investigación y Debida Diligencia/ Protección Judicial/ Seguridad y Violencia/</w:t>
            </w:r>
            <w:r w:rsidRPr="00FF02F3">
              <w:rPr>
                <w:rFonts w:ascii="Cambria" w:eastAsia="Batang" w:hAnsi="Cambria"/>
                <w:b/>
                <w:color w:val="000000"/>
                <w:sz w:val="20"/>
                <w:szCs w:val="20"/>
                <w:lang w:val="es-ES"/>
              </w:rPr>
              <w:t xml:space="preserve"> </w:t>
            </w:r>
            <w:r w:rsidRPr="00FF02F3">
              <w:rPr>
                <w:rFonts w:ascii="Cambria" w:eastAsia="Batang" w:hAnsi="Cambria"/>
                <w:color w:val="000000"/>
                <w:sz w:val="20"/>
                <w:szCs w:val="20"/>
                <w:lang w:val="es-ES"/>
              </w:rPr>
              <w:t>Tortura, tratos o penas crueles, inhumanas o degradantes/ Uso Excesivo de la Fuerza/ Violencia Policial</w:t>
            </w:r>
          </w:p>
          <w:p w14:paraId="78D2E2C2" w14:textId="77777777"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ES"/>
              </w:rPr>
            </w:pPr>
          </w:p>
          <w:p w14:paraId="4D521BE5" w14:textId="3658EC3F" w:rsidR="00FF02F3" w:rsidRPr="00FF02F3" w:rsidRDefault="00FF02F3" w:rsidP="00FF02F3">
            <w:pPr>
              <w:tabs>
                <w:tab w:val="left" w:pos="1440"/>
              </w:tabs>
              <w:suppressAutoHyphens/>
              <w:spacing w:after="0" w:line="240" w:lineRule="auto"/>
              <w:jc w:val="both"/>
              <w:rPr>
                <w:rFonts w:ascii="Cambria" w:hAnsi="Cambria"/>
                <w:sz w:val="20"/>
                <w:szCs w:val="20"/>
                <w:lang w:val="es-CO"/>
              </w:rPr>
            </w:pPr>
            <w:r w:rsidRPr="00FF02F3">
              <w:rPr>
                <w:rFonts w:ascii="Cambria" w:eastAsia="Batang" w:hAnsi="Cambria"/>
                <w:b/>
                <w:color w:val="000000"/>
                <w:sz w:val="20"/>
                <w:szCs w:val="20"/>
                <w:lang w:val="es-ES"/>
              </w:rPr>
              <w:t>Hechos:</w:t>
            </w:r>
            <w:r w:rsidRPr="00FF02F3">
              <w:rPr>
                <w:rFonts w:ascii="Cambria" w:eastAsia="Batang" w:hAnsi="Cambria"/>
                <w:color w:val="000000"/>
                <w:sz w:val="20"/>
                <w:szCs w:val="20"/>
                <w:lang w:val="es-ES"/>
              </w:rPr>
              <w:t xml:space="preserve"> El 7 de marzo de 2007, la CIDH recibió una petición en la cual </w:t>
            </w:r>
            <w:r w:rsidR="004A6A71">
              <w:rPr>
                <w:rFonts w:ascii="Cambria" w:eastAsia="Batang" w:hAnsi="Cambria"/>
                <w:color w:val="000000"/>
                <w:sz w:val="20"/>
                <w:szCs w:val="20"/>
                <w:lang w:val="es-ES"/>
              </w:rPr>
              <w:t>la parte</w:t>
            </w:r>
            <w:r w:rsidRPr="00FF02F3">
              <w:rPr>
                <w:rFonts w:ascii="Cambria" w:hAnsi="Cambria"/>
                <w:sz w:val="20"/>
                <w:szCs w:val="20"/>
                <w:lang w:val="es-CO"/>
              </w:rPr>
              <w:t xml:space="preserve"> peticionaria alegó que, el 1 de octubre de 1992 el señor Luis Horacio Patiño fue condenado por el delito de homicidio a una pena de trece años y cuatro meses de prisión en la Penitenciara Nacional "El Barne" ubicada en el Municipio de Combita, Boyacá, donde ingresó en buen estado de salud el 6 de julio de 1993. Relataron que, debido a unos altercados con guardias del recinto, la presunta víctima habría sido sancionada y recluida en una celda de aislamiento el 17 de enero de 1996. La parte peticionaria alegó que mientras se encontraba cumpliendo dicho castigo, esa misma noche se habrían escuchado continuos gritos de dolor provenientes de su celda, lo que motivó a que sus compañeros solicitaran ayuda a los guardias penitenciarios, sin embargo, no habrían obtenido respuesta. El 18 de enero de 1996, la presunta víctima fue hallada sin vida en su celda con signos internos de violencia. Según lo alegado por la parte peticionaria, la autopsia legal habría determinado que la causa de la muerte fue una hipertensión endocraneana secundaria a un traumatismo cráneo encefálico contundente, por lo cual argumentaron que probablemente, las lesiones habrían sido a causa de una golpiza recibida de los guardias en la celda de castigo. Los peticionarios agregaron que los familiares de la presunta víctima habrían presentado una demanda de reparación directa que habría sido denegada el 14 de febrero de 2005, por el Tribunal Administrativo de Boyacá, que habría considerado que, si bien habría existido una falla en el servicio de vigilancia penitenciaria, que generaría una responsabilidad de reparación para el Estado, los demandantes no habrían podido acceder a ésta pues no habrían acreditado su parentesco con la presunta víctima. Contra dicha sentencia habrían presentado una apelación, alegando la omisión judicial en la solicitud de pruebas adicionales sí existía alguna duda sobre la filiación. Dicha impugnación habría sido inadmitida por el Consejo de Estado el 4 de noviembre de 2005, Finalmente, los peticionarios indicaron que, frente a esta decisión habrían interpuesto un recurso de súplica, que habría sido desestimado por el Consejo de Estado mediante una resolución de 16 de marzo de 2006, notificada a los peticionarios el 8 de septiembre de 2006.</w:t>
            </w:r>
          </w:p>
          <w:p w14:paraId="6204FDED" w14:textId="77777777" w:rsidR="00FF02F3" w:rsidRPr="00FF02F3" w:rsidRDefault="00FF02F3" w:rsidP="00FF02F3">
            <w:pPr>
              <w:tabs>
                <w:tab w:val="left" w:pos="1440"/>
              </w:tabs>
              <w:suppressAutoHyphens/>
              <w:spacing w:after="0" w:line="240" w:lineRule="auto"/>
              <w:jc w:val="both"/>
              <w:rPr>
                <w:rFonts w:ascii="Cambria" w:eastAsia="Batang" w:hAnsi="Cambria"/>
                <w:color w:val="000000"/>
                <w:sz w:val="20"/>
                <w:szCs w:val="20"/>
                <w:lang w:val="es-CO"/>
              </w:rPr>
            </w:pPr>
          </w:p>
          <w:p w14:paraId="748E4FDA" w14:textId="1068F548" w:rsidR="00FF02F3" w:rsidRPr="00FF02F3" w:rsidRDefault="00FF02F3" w:rsidP="00FF02F3">
            <w:pPr>
              <w:tabs>
                <w:tab w:val="left" w:pos="9270"/>
              </w:tabs>
              <w:suppressAutoHyphens/>
              <w:spacing w:after="0" w:line="240" w:lineRule="auto"/>
              <w:jc w:val="both"/>
              <w:rPr>
                <w:rFonts w:ascii="Cambria" w:eastAsia="Batang" w:hAnsi="Cambria"/>
                <w:color w:val="000000"/>
                <w:sz w:val="20"/>
                <w:szCs w:val="20"/>
                <w:lang w:val="es-CO"/>
              </w:rPr>
            </w:pPr>
            <w:r w:rsidRPr="00FF02F3">
              <w:rPr>
                <w:rFonts w:ascii="Cambria" w:eastAsia="Batang" w:hAnsi="Cambria"/>
                <w:b/>
                <w:color w:val="000000"/>
                <w:sz w:val="20"/>
                <w:szCs w:val="20"/>
                <w:lang w:val="es-ES"/>
              </w:rPr>
              <w:t>Derechos declarados admisibles:</w:t>
            </w:r>
            <w:r w:rsidRPr="00FF02F3">
              <w:rPr>
                <w:rFonts w:ascii="Cambria" w:eastAsia="Batang" w:hAnsi="Cambria"/>
                <w:color w:val="000000"/>
                <w:sz w:val="20"/>
                <w:szCs w:val="20"/>
                <w:lang w:val="es-ES"/>
              </w:rPr>
              <w:t xml:space="preserve"> </w:t>
            </w:r>
            <w:r w:rsidRPr="00FF02F3">
              <w:rPr>
                <w:rFonts w:ascii="Cambria" w:hAnsi="Cambria"/>
                <w:sz w:val="20"/>
                <w:szCs w:val="20"/>
                <w:lang w:val="es-CO"/>
              </w:rPr>
              <w:t xml:space="preserve">la CIDH declaró admisible la petición mediante el Informe de Admisibilidad </w:t>
            </w:r>
            <w:hyperlink r:id="rId14" w:history="1">
              <w:r w:rsidRPr="00FF02F3">
                <w:rPr>
                  <w:rStyle w:val="Hyperlink"/>
                  <w:rFonts w:ascii="Cambria" w:hAnsi="Cambria"/>
                  <w:sz w:val="20"/>
                  <w:szCs w:val="20"/>
                  <w:lang w:val="es-CO"/>
                </w:rPr>
                <w:t>No. 106/17</w:t>
              </w:r>
            </w:hyperlink>
            <w:r w:rsidRPr="00FF02F3">
              <w:rPr>
                <w:rFonts w:ascii="Cambria" w:hAnsi="Cambria"/>
                <w:sz w:val="20"/>
                <w:szCs w:val="20"/>
                <w:lang w:val="es-CO"/>
              </w:rPr>
              <w:t xml:space="preserve"> en el cual concluyó que era competente para examinar la presunta violación en relación con los artículos 4 (derecho a la vida), 5 (integridad personal), 8 (garantías judiciales), y 25 (protección judicial) de la Convención Americana en conexión con los artículos 1.1 y 2 del mismo instrumento; así como para analizar la posible violación de los derechos consagrados en los artículos 1, 6 y 8 de la Convención Interamericana para Prevenir y Sancionar la Tortura.</w:t>
            </w:r>
          </w:p>
        </w:tc>
      </w:tr>
    </w:tbl>
    <w:p w14:paraId="60114F6F" w14:textId="77777777" w:rsidR="00FF02F3" w:rsidRPr="00FF02F3" w:rsidRDefault="00FF02F3" w:rsidP="00FF02F3">
      <w:pPr>
        <w:suppressAutoHyphens/>
        <w:spacing w:after="0" w:line="240" w:lineRule="auto"/>
        <w:ind w:firstLine="709"/>
        <w:rPr>
          <w:rFonts w:ascii="Cambria" w:hAnsi="Cambria"/>
          <w:b/>
          <w:caps/>
          <w:color w:val="000000"/>
          <w:sz w:val="20"/>
          <w:szCs w:val="20"/>
          <w:lang w:val="es-CO"/>
        </w:rPr>
      </w:pPr>
    </w:p>
    <w:p w14:paraId="13214B44" w14:textId="77777777" w:rsidR="00FF02F3" w:rsidRPr="00FF02F3" w:rsidRDefault="00FF02F3" w:rsidP="004A6A71">
      <w:pPr>
        <w:numPr>
          <w:ilvl w:val="0"/>
          <w:numId w:val="6"/>
        </w:numPr>
        <w:suppressAutoHyphens/>
        <w:spacing w:after="0" w:line="240" w:lineRule="auto"/>
        <w:ind w:left="0" w:firstLine="709"/>
        <w:rPr>
          <w:rFonts w:ascii="Cambria" w:hAnsi="Cambria"/>
          <w:b/>
          <w:caps/>
          <w:color w:val="000000"/>
          <w:sz w:val="20"/>
          <w:szCs w:val="20"/>
          <w:lang w:val="es-ES"/>
        </w:rPr>
      </w:pPr>
      <w:r w:rsidRPr="00FF02F3">
        <w:rPr>
          <w:rFonts w:ascii="Cambria" w:hAnsi="Cambria"/>
          <w:b/>
          <w:caps/>
          <w:color w:val="000000"/>
          <w:sz w:val="20"/>
          <w:szCs w:val="20"/>
          <w:lang w:val="es-ES"/>
        </w:rPr>
        <w:t>actividad procesal</w:t>
      </w:r>
    </w:p>
    <w:p w14:paraId="7F511F6E" w14:textId="77777777" w:rsidR="00FF02F3" w:rsidRPr="00FF02F3" w:rsidRDefault="00FF02F3" w:rsidP="00FF02F3">
      <w:pPr>
        <w:suppressAutoHyphens/>
        <w:spacing w:after="0" w:line="240" w:lineRule="auto"/>
        <w:ind w:firstLine="709"/>
        <w:rPr>
          <w:rFonts w:ascii="Cambria" w:hAnsi="Cambria"/>
          <w:b/>
          <w:caps/>
          <w:color w:val="000000"/>
          <w:sz w:val="20"/>
          <w:szCs w:val="20"/>
          <w:lang w:val="es-ES"/>
        </w:rPr>
      </w:pPr>
    </w:p>
    <w:p w14:paraId="662FB3D9" w14:textId="43E2D39A" w:rsidR="00FF02F3" w:rsidRPr="00FF02F3" w:rsidRDefault="00847A17" w:rsidP="004A6A71">
      <w:pPr>
        <w:numPr>
          <w:ilvl w:val="0"/>
          <w:numId w:val="2"/>
        </w:numPr>
        <w:suppressAutoHyphens/>
        <w:spacing w:after="0" w:line="240" w:lineRule="auto"/>
        <w:ind w:left="0" w:firstLine="709"/>
        <w:jc w:val="both"/>
        <w:rPr>
          <w:rFonts w:ascii="Cambria" w:hAnsi="Cambria"/>
          <w:color w:val="000000"/>
          <w:sz w:val="20"/>
          <w:szCs w:val="20"/>
          <w:lang w:val="es-CO"/>
        </w:rPr>
      </w:pPr>
      <w:r>
        <w:rPr>
          <w:rFonts w:ascii="Cambria" w:hAnsi="Cambria"/>
          <w:color w:val="000000"/>
          <w:sz w:val="20"/>
          <w:szCs w:val="20"/>
          <w:lang w:val="es-CO"/>
        </w:rPr>
        <w:t>El 3 de diciembre de 2019, las partes firmaron un acuerdo de solución amistosa</w:t>
      </w:r>
      <w:r w:rsidR="00FF02F3" w:rsidRPr="00FF02F3">
        <w:rPr>
          <w:rFonts w:ascii="Cambria" w:hAnsi="Cambria"/>
          <w:color w:val="000000"/>
          <w:sz w:val="20"/>
          <w:szCs w:val="20"/>
          <w:lang w:val="es-CO"/>
        </w:rPr>
        <w:t>.</w:t>
      </w:r>
    </w:p>
    <w:p w14:paraId="4F137375" w14:textId="77777777" w:rsidR="00FF02F3" w:rsidRPr="00FF02F3" w:rsidRDefault="00FF02F3" w:rsidP="00FF02F3">
      <w:pPr>
        <w:suppressAutoHyphens/>
        <w:spacing w:after="0" w:line="240" w:lineRule="auto"/>
        <w:ind w:firstLine="709"/>
        <w:jc w:val="both"/>
        <w:rPr>
          <w:rFonts w:ascii="Cambria" w:hAnsi="Cambria"/>
          <w:color w:val="000000"/>
          <w:sz w:val="20"/>
          <w:szCs w:val="20"/>
          <w:lang w:val="es-CO"/>
        </w:rPr>
      </w:pPr>
    </w:p>
    <w:p w14:paraId="3841315C" w14:textId="3F437AF5" w:rsidR="00FF02F3" w:rsidRPr="00FF02F3" w:rsidRDefault="00847A17" w:rsidP="004A6A71">
      <w:pPr>
        <w:numPr>
          <w:ilvl w:val="0"/>
          <w:numId w:val="7"/>
        </w:numPr>
        <w:suppressAutoHyphens/>
        <w:spacing w:after="0" w:line="240" w:lineRule="auto"/>
        <w:ind w:left="0" w:firstLine="709"/>
        <w:jc w:val="both"/>
        <w:rPr>
          <w:rFonts w:ascii="Cambria" w:hAnsi="Cambria"/>
          <w:color w:val="000000"/>
          <w:sz w:val="20"/>
          <w:szCs w:val="20"/>
          <w:lang w:val="es-CO"/>
        </w:rPr>
      </w:pPr>
      <w:r>
        <w:rPr>
          <w:rFonts w:ascii="Cambria" w:hAnsi="Cambria"/>
          <w:color w:val="000000"/>
          <w:sz w:val="20"/>
          <w:szCs w:val="20"/>
          <w:lang w:val="es-CO"/>
        </w:rPr>
        <w:t>El 8 de mayo de 2020, la CIDH aprobó el acuerdo suscrito por las partes, mediante el Informe No. 80/20</w:t>
      </w:r>
      <w:r w:rsidR="00FF02F3" w:rsidRPr="00FF02F3">
        <w:rPr>
          <w:rFonts w:ascii="Cambria" w:hAnsi="Cambria"/>
          <w:color w:val="000000"/>
          <w:sz w:val="20"/>
          <w:szCs w:val="20"/>
          <w:lang w:val="es-CO"/>
        </w:rPr>
        <w:t>.</w:t>
      </w:r>
    </w:p>
    <w:p w14:paraId="35DB77B3" w14:textId="77777777" w:rsidR="00FF02F3" w:rsidRPr="00FF02F3" w:rsidRDefault="00FF02F3" w:rsidP="00FF02F3">
      <w:pPr>
        <w:suppressAutoHyphens/>
        <w:spacing w:after="0" w:line="240" w:lineRule="auto"/>
        <w:jc w:val="both"/>
        <w:rPr>
          <w:rFonts w:ascii="Cambria" w:hAnsi="Cambria"/>
          <w:bCs/>
          <w:color w:val="000000"/>
          <w:sz w:val="20"/>
          <w:szCs w:val="20"/>
          <w:lang w:val="es-CO"/>
        </w:rPr>
      </w:pPr>
    </w:p>
    <w:p w14:paraId="3F8BE9BE" w14:textId="77777777" w:rsidR="00FF02F3" w:rsidRPr="00FF02F3" w:rsidRDefault="00FF02F3" w:rsidP="004A6A71">
      <w:pPr>
        <w:numPr>
          <w:ilvl w:val="0"/>
          <w:numId w:val="6"/>
        </w:numPr>
        <w:suppressAutoHyphens/>
        <w:spacing w:after="0" w:line="240" w:lineRule="auto"/>
        <w:ind w:left="0" w:firstLine="709"/>
        <w:jc w:val="both"/>
        <w:rPr>
          <w:rFonts w:ascii="Cambria" w:hAnsi="Cambria"/>
          <w:b/>
          <w:caps/>
          <w:color w:val="000000"/>
          <w:sz w:val="20"/>
          <w:szCs w:val="20"/>
          <w:lang w:val="es-ES"/>
        </w:rPr>
      </w:pPr>
      <w:r w:rsidRPr="00FF02F3">
        <w:rPr>
          <w:rFonts w:ascii="Cambria" w:hAnsi="Cambria"/>
          <w:b/>
          <w:caps/>
          <w:color w:val="000000"/>
          <w:sz w:val="20"/>
          <w:szCs w:val="20"/>
          <w:lang w:val="es-ES"/>
        </w:rPr>
        <w:t>ANÁLISIS DEL CUMPLIMIENTO DE LAS CLÁUSULAS DEL ACUERDO DE SOLUCIÓN AMISTOSA</w:t>
      </w:r>
    </w:p>
    <w:p w14:paraId="7592EC78" w14:textId="77777777" w:rsidR="00FF02F3" w:rsidRPr="00FF02F3" w:rsidRDefault="00FF02F3" w:rsidP="00FF02F3">
      <w:pPr>
        <w:suppressAutoHyphens/>
        <w:spacing w:after="0" w:line="240" w:lineRule="auto"/>
        <w:ind w:left="720"/>
        <w:jc w:val="both"/>
        <w:rPr>
          <w:rFonts w:ascii="Cambria" w:hAnsi="Cambria"/>
          <w:b/>
          <w:caps/>
          <w:color w:val="000000"/>
          <w:sz w:val="20"/>
          <w:szCs w:val="20"/>
          <w:lang w:val="es-E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62"/>
      </w:tblGrid>
      <w:tr w:rsidR="00847A17" w:rsidRPr="00FF02F3" w14:paraId="71AAB509" w14:textId="77777777" w:rsidTr="004A6A71">
        <w:trPr>
          <w:trHeight w:val="476"/>
        </w:trPr>
        <w:tc>
          <w:tcPr>
            <w:tcW w:w="4536" w:type="dxa"/>
            <w:shd w:val="clear" w:color="auto" w:fill="D9D9D9"/>
            <w:vAlign w:val="center"/>
            <w:hideMark/>
          </w:tcPr>
          <w:p w14:paraId="2086BE9E" w14:textId="77777777" w:rsidR="00847A17" w:rsidRPr="00FF02F3" w:rsidRDefault="00847A17" w:rsidP="00FF02F3">
            <w:pPr>
              <w:tabs>
                <w:tab w:val="center" w:pos="2049"/>
              </w:tabs>
              <w:suppressAutoHyphens/>
              <w:spacing w:after="0" w:line="240" w:lineRule="auto"/>
              <w:jc w:val="center"/>
              <w:rPr>
                <w:rFonts w:ascii="Cambria" w:eastAsia="Batang" w:hAnsi="Cambria"/>
                <w:b/>
                <w:color w:val="000000"/>
                <w:sz w:val="20"/>
                <w:szCs w:val="20"/>
                <w:lang w:val="es-ES"/>
              </w:rPr>
            </w:pPr>
            <w:r w:rsidRPr="00FF02F3">
              <w:rPr>
                <w:rFonts w:ascii="Cambria" w:eastAsia="Batang" w:hAnsi="Cambria"/>
                <w:b/>
                <w:color w:val="000000"/>
                <w:sz w:val="20"/>
                <w:szCs w:val="20"/>
                <w:lang w:val="es-ES"/>
              </w:rPr>
              <w:t>Cláusula del Acuerdo</w:t>
            </w:r>
          </w:p>
        </w:tc>
        <w:tc>
          <w:tcPr>
            <w:tcW w:w="4962" w:type="dxa"/>
            <w:shd w:val="clear" w:color="auto" w:fill="D9D9D9"/>
            <w:vAlign w:val="center"/>
            <w:hideMark/>
          </w:tcPr>
          <w:p w14:paraId="25881C19" w14:textId="307C5A48" w:rsidR="00847A17" w:rsidRPr="00FF02F3" w:rsidRDefault="00847A17" w:rsidP="00847A17">
            <w:pPr>
              <w:suppressAutoHyphens/>
              <w:spacing w:after="0" w:line="240" w:lineRule="auto"/>
              <w:jc w:val="center"/>
              <w:rPr>
                <w:rFonts w:ascii="Cambria" w:eastAsia="Batang" w:hAnsi="Cambria"/>
                <w:b/>
                <w:color w:val="000000"/>
                <w:sz w:val="20"/>
                <w:szCs w:val="20"/>
                <w:lang w:val="es-ES"/>
              </w:rPr>
            </w:pPr>
            <w:r w:rsidRPr="00FF02F3">
              <w:rPr>
                <w:rFonts w:ascii="Cambria" w:eastAsia="Batang" w:hAnsi="Cambria"/>
                <w:b/>
                <w:color w:val="000000"/>
                <w:sz w:val="20"/>
                <w:szCs w:val="20"/>
                <w:lang w:val="es-ES"/>
              </w:rPr>
              <w:t>Estado de Cumplimiento</w:t>
            </w:r>
          </w:p>
        </w:tc>
      </w:tr>
      <w:tr w:rsidR="00847A17" w:rsidRPr="00FF02F3" w14:paraId="5847AD24" w14:textId="77777777" w:rsidTr="00847A17">
        <w:trPr>
          <w:trHeight w:val="287"/>
        </w:trPr>
        <w:tc>
          <w:tcPr>
            <w:tcW w:w="4536" w:type="dxa"/>
          </w:tcPr>
          <w:p w14:paraId="3CEFFED3" w14:textId="77777777" w:rsidR="00FF02F3" w:rsidRPr="00FF02F3" w:rsidRDefault="00FF02F3" w:rsidP="00FF02F3">
            <w:pPr>
              <w:tabs>
                <w:tab w:val="left" w:pos="3921"/>
              </w:tabs>
              <w:suppressAutoHyphens/>
              <w:spacing w:after="0" w:line="240" w:lineRule="auto"/>
              <w:ind w:right="69"/>
              <w:jc w:val="both"/>
              <w:rPr>
                <w:rFonts w:ascii="Cambria" w:eastAsia="Times New Roman" w:hAnsi="Cambria"/>
                <w:b/>
                <w:color w:val="000000"/>
                <w:sz w:val="20"/>
                <w:szCs w:val="20"/>
                <w:lang w:val="es-ES"/>
              </w:rPr>
            </w:pPr>
            <w:r w:rsidRPr="00FF02F3">
              <w:rPr>
                <w:rFonts w:ascii="Cambria" w:eastAsia="Times New Roman" w:hAnsi="Cambria"/>
                <w:b/>
                <w:color w:val="000000"/>
                <w:sz w:val="20"/>
                <w:szCs w:val="20"/>
                <w:lang w:val="es-ES"/>
              </w:rPr>
              <w:t>PRIMERO: RECONOCIMIENTO DE RESPONSABILIDAD</w:t>
            </w:r>
          </w:p>
          <w:p w14:paraId="5E0FB559" w14:textId="77777777" w:rsidR="00FF02F3" w:rsidRPr="00FF02F3" w:rsidRDefault="00FF02F3" w:rsidP="00FF02F3">
            <w:pPr>
              <w:tabs>
                <w:tab w:val="left" w:pos="3921"/>
              </w:tabs>
              <w:suppressAutoHyphens/>
              <w:spacing w:after="0" w:line="240" w:lineRule="auto"/>
              <w:ind w:right="69"/>
              <w:jc w:val="both"/>
              <w:rPr>
                <w:rFonts w:ascii="Cambria" w:eastAsia="Times New Roman" w:hAnsi="Cambria"/>
                <w:bCs/>
                <w:color w:val="000000"/>
                <w:sz w:val="20"/>
                <w:szCs w:val="20"/>
                <w:lang w:val="es-CO"/>
              </w:rPr>
            </w:pPr>
            <w:r w:rsidRPr="00FF02F3">
              <w:rPr>
                <w:rFonts w:ascii="Cambria" w:hAnsi="Cambria"/>
                <w:sz w:val="20"/>
                <w:szCs w:val="20"/>
                <w:lang w:val="es-CO"/>
              </w:rPr>
              <w:t>El Estado colombiano reconoce la responsabilidad por omisión en su deber de garantizar los derechos a la vida (artículo 4) e integridad personal (artículo 5 .1) reconocidos en la Convención Americana sobre Derechos Humanos en relación con la obligación general establecida en el artículo 1.1 del mismo instrumento, en favor de Luis Horacio Patiño Agudelo. Esto con fundamento en que el señor Luis Horacio Patiño Agudelo se encontraba bajo la custodia del Estado en un centro carcelario cuando falleció, por lo cual, al encontrarse en una relación especial de sujeción al poder estatal, la administración debía responder de manera plena por su seguridad y protección.</w:t>
            </w:r>
          </w:p>
        </w:tc>
        <w:tc>
          <w:tcPr>
            <w:tcW w:w="4962" w:type="dxa"/>
            <w:vAlign w:val="center"/>
          </w:tcPr>
          <w:p w14:paraId="1BAD093A" w14:textId="78442982" w:rsidR="00FF02F3" w:rsidRPr="00FF02F3" w:rsidRDefault="00FF02F3" w:rsidP="00FF02F3">
            <w:pPr>
              <w:suppressAutoHyphens/>
              <w:spacing w:after="0" w:line="240" w:lineRule="auto"/>
              <w:jc w:val="center"/>
              <w:rPr>
                <w:rFonts w:ascii="Cambria" w:eastAsia="Batang" w:hAnsi="Cambria"/>
                <w:b/>
                <w:bCs/>
                <w:color w:val="000000"/>
                <w:sz w:val="20"/>
                <w:szCs w:val="20"/>
                <w:lang w:val="es-ES"/>
              </w:rPr>
            </w:pPr>
            <w:r w:rsidRPr="00FF02F3">
              <w:rPr>
                <w:rFonts w:ascii="Cambria" w:eastAsia="Batang" w:hAnsi="Cambria"/>
                <w:b/>
                <w:bCs/>
                <w:color w:val="000000"/>
                <w:sz w:val="20"/>
                <w:szCs w:val="20"/>
                <w:lang w:val="es-ES"/>
              </w:rPr>
              <w:t xml:space="preserve">Cláusula </w:t>
            </w:r>
            <w:r w:rsidR="00847A17">
              <w:rPr>
                <w:rFonts w:ascii="Cambria" w:eastAsia="Batang" w:hAnsi="Cambria"/>
                <w:b/>
                <w:bCs/>
                <w:color w:val="000000"/>
                <w:sz w:val="20"/>
                <w:szCs w:val="20"/>
                <w:lang w:val="es-ES"/>
              </w:rPr>
              <w:t>D</w:t>
            </w:r>
            <w:r w:rsidRPr="00FF02F3">
              <w:rPr>
                <w:rFonts w:ascii="Cambria" w:eastAsia="Batang" w:hAnsi="Cambria"/>
                <w:b/>
                <w:bCs/>
                <w:color w:val="000000"/>
                <w:sz w:val="20"/>
                <w:szCs w:val="20"/>
                <w:lang w:val="es-ES"/>
              </w:rPr>
              <w:t>eclarativa</w:t>
            </w:r>
          </w:p>
        </w:tc>
      </w:tr>
      <w:tr w:rsidR="00847A17" w:rsidRPr="00FF02F3" w14:paraId="76ECE28B" w14:textId="77777777" w:rsidTr="00847A17">
        <w:trPr>
          <w:trHeight w:val="197"/>
        </w:trPr>
        <w:tc>
          <w:tcPr>
            <w:tcW w:w="9498" w:type="dxa"/>
            <w:gridSpan w:val="2"/>
          </w:tcPr>
          <w:p w14:paraId="50CA2B53" w14:textId="77777777" w:rsidR="00FF02F3" w:rsidRPr="00FF02F3" w:rsidRDefault="00FF02F3" w:rsidP="00FF02F3">
            <w:pPr>
              <w:suppressAutoHyphens/>
              <w:spacing w:after="0" w:line="240" w:lineRule="auto"/>
              <w:rPr>
                <w:rFonts w:ascii="Cambria" w:eastAsia="Batang" w:hAnsi="Cambria"/>
                <w:b/>
                <w:bCs/>
                <w:color w:val="000000"/>
                <w:sz w:val="20"/>
                <w:szCs w:val="20"/>
                <w:lang w:val="es-ES"/>
              </w:rPr>
            </w:pPr>
            <w:r w:rsidRPr="00FF02F3">
              <w:rPr>
                <w:rFonts w:ascii="Cambria" w:eastAsia="Batang" w:hAnsi="Cambria"/>
                <w:b/>
                <w:bCs/>
                <w:color w:val="000000"/>
                <w:sz w:val="20"/>
                <w:szCs w:val="20"/>
                <w:lang w:val="es-ES"/>
              </w:rPr>
              <w:t>SEGUNDO: MEDIDAS DE SATISFACCIÓN</w:t>
            </w:r>
          </w:p>
        </w:tc>
      </w:tr>
      <w:tr w:rsidR="00847A17" w:rsidRPr="00FF02F3" w14:paraId="3E373E34" w14:textId="77777777" w:rsidTr="00847A17">
        <w:trPr>
          <w:trHeight w:val="503"/>
        </w:trPr>
        <w:tc>
          <w:tcPr>
            <w:tcW w:w="4536" w:type="dxa"/>
          </w:tcPr>
          <w:p w14:paraId="78BBF510" w14:textId="77777777" w:rsidR="00FF02F3" w:rsidRPr="00FF02F3" w:rsidRDefault="00FF02F3" w:rsidP="00FF02F3">
            <w:pPr>
              <w:suppressAutoHyphens/>
              <w:spacing w:after="0" w:line="240" w:lineRule="auto"/>
              <w:ind w:right="72"/>
              <w:jc w:val="both"/>
              <w:rPr>
                <w:rFonts w:ascii="Cambria" w:hAnsi="Cambria"/>
                <w:b/>
                <w:sz w:val="20"/>
                <w:szCs w:val="20"/>
                <w:lang w:val="es-CO"/>
              </w:rPr>
            </w:pPr>
            <w:r w:rsidRPr="00FF02F3">
              <w:rPr>
                <w:rFonts w:ascii="Cambria" w:hAnsi="Cambria"/>
                <w:b/>
                <w:sz w:val="20"/>
                <w:szCs w:val="20"/>
                <w:lang w:val="es-CO"/>
              </w:rPr>
              <w:t xml:space="preserve">A) Acto de Reconocimiento de Responsabilidad. </w:t>
            </w:r>
          </w:p>
          <w:p w14:paraId="5DB56FB4" w14:textId="77777777" w:rsidR="00FF02F3" w:rsidRPr="00FF02F3" w:rsidRDefault="00FF02F3" w:rsidP="00FF02F3">
            <w:pPr>
              <w:suppressAutoHyphens/>
              <w:spacing w:after="0" w:line="240" w:lineRule="auto"/>
              <w:ind w:right="72"/>
              <w:jc w:val="both"/>
              <w:rPr>
                <w:rFonts w:ascii="Cambria" w:eastAsia="Times New Roman" w:hAnsi="Cambria"/>
                <w:bCs/>
                <w:color w:val="000000"/>
                <w:kern w:val="36"/>
                <w:sz w:val="20"/>
                <w:szCs w:val="20"/>
                <w:lang w:val="es-CO"/>
              </w:rPr>
            </w:pPr>
            <w:r w:rsidRPr="00FF02F3">
              <w:rPr>
                <w:rFonts w:ascii="Cambria" w:hAnsi="Cambria"/>
                <w:sz w:val="20"/>
                <w:szCs w:val="20"/>
                <w:lang w:val="es-CO"/>
              </w:rPr>
              <w:t>Un Acto Privado de Reconocimiento de Responsabilidad, que se llevará a cabo en el Establecimiento de Reclusión de Combita Boyacá. El acto de reconocimiento de responsabilidad se realizará con la participación activa de los familiares y el representante de las víctimas. En el mismo se reconocerá la responsabilidad estatal en los términos establecidos en el presente acuerdo. La presente medida estará a cargo del Instituto Nacional Penitenciario y Carcelario INPEC.</w:t>
            </w:r>
          </w:p>
        </w:tc>
        <w:tc>
          <w:tcPr>
            <w:tcW w:w="4962" w:type="dxa"/>
            <w:vAlign w:val="center"/>
          </w:tcPr>
          <w:p w14:paraId="148B4733" w14:textId="77777777" w:rsidR="00FF02F3" w:rsidRPr="00FF02F3" w:rsidRDefault="00FF02F3" w:rsidP="00FF02F3">
            <w:pPr>
              <w:suppressAutoHyphens/>
              <w:spacing w:after="0" w:line="240" w:lineRule="auto"/>
              <w:jc w:val="center"/>
              <w:rPr>
                <w:rFonts w:ascii="Cambria" w:eastAsia="Batang" w:hAnsi="Cambria"/>
                <w:b/>
                <w:bCs/>
                <w:color w:val="000000"/>
                <w:sz w:val="20"/>
                <w:szCs w:val="20"/>
                <w:lang w:val="es-ES"/>
              </w:rPr>
            </w:pPr>
            <w:r w:rsidRPr="00FF02F3">
              <w:rPr>
                <w:rFonts w:ascii="Cambria" w:eastAsia="Batang" w:hAnsi="Cambria"/>
                <w:b/>
                <w:bCs/>
                <w:color w:val="000000"/>
                <w:sz w:val="20"/>
                <w:szCs w:val="20"/>
                <w:lang w:val="es-ES"/>
              </w:rPr>
              <w:t>Total</w:t>
            </w:r>
            <w:r w:rsidRPr="00FF02F3">
              <w:rPr>
                <w:rFonts w:ascii="Cambria" w:eastAsia="Batang" w:hAnsi="Cambria"/>
                <w:color w:val="000000"/>
                <w:sz w:val="20"/>
                <w:szCs w:val="20"/>
                <w:vertAlign w:val="superscript"/>
                <w:lang w:val="es-ES"/>
              </w:rPr>
              <w:footnoteReference w:id="2"/>
            </w:r>
          </w:p>
        </w:tc>
      </w:tr>
      <w:tr w:rsidR="00847A17" w:rsidRPr="00FF02F3" w14:paraId="28CAF7F8" w14:textId="77777777" w:rsidTr="00847A17">
        <w:trPr>
          <w:trHeight w:val="503"/>
        </w:trPr>
        <w:tc>
          <w:tcPr>
            <w:tcW w:w="4536" w:type="dxa"/>
          </w:tcPr>
          <w:p w14:paraId="685A2016" w14:textId="77777777" w:rsidR="00FF02F3" w:rsidRPr="00FF02F3" w:rsidRDefault="00FF02F3" w:rsidP="00FF02F3">
            <w:pPr>
              <w:suppressAutoHyphens/>
              <w:spacing w:after="0" w:line="240" w:lineRule="auto"/>
              <w:ind w:right="72"/>
              <w:jc w:val="both"/>
              <w:rPr>
                <w:rFonts w:ascii="Cambria" w:hAnsi="Cambria"/>
                <w:sz w:val="20"/>
                <w:szCs w:val="20"/>
                <w:lang w:val="es-CO"/>
              </w:rPr>
            </w:pPr>
            <w:r w:rsidRPr="00FF02F3">
              <w:rPr>
                <w:rFonts w:ascii="Cambria" w:hAnsi="Cambria"/>
                <w:b/>
                <w:sz w:val="20"/>
                <w:szCs w:val="20"/>
                <w:lang w:val="es-CO"/>
              </w:rPr>
              <w:t>B) Elaboración de pendones</w:t>
            </w:r>
            <w:r w:rsidRPr="00FF02F3">
              <w:rPr>
                <w:rFonts w:ascii="Cambria" w:hAnsi="Cambria"/>
                <w:sz w:val="20"/>
                <w:szCs w:val="20"/>
                <w:lang w:val="es-CO"/>
              </w:rPr>
              <w:t xml:space="preserve">. </w:t>
            </w:r>
          </w:p>
          <w:p w14:paraId="648DEBF8" w14:textId="77777777" w:rsidR="00FF02F3" w:rsidRPr="00FF02F3" w:rsidRDefault="00FF02F3" w:rsidP="00FF02F3">
            <w:pPr>
              <w:suppressAutoHyphens/>
              <w:spacing w:after="0" w:line="240" w:lineRule="auto"/>
              <w:ind w:right="72"/>
              <w:jc w:val="both"/>
              <w:rPr>
                <w:rFonts w:ascii="Cambria" w:hAnsi="Cambria"/>
                <w:sz w:val="20"/>
                <w:szCs w:val="20"/>
                <w:lang w:val="es-CO"/>
              </w:rPr>
            </w:pPr>
            <w:r w:rsidRPr="00FF02F3">
              <w:rPr>
                <w:rFonts w:ascii="Cambria" w:hAnsi="Cambria"/>
                <w:sz w:val="20"/>
                <w:szCs w:val="20"/>
                <w:lang w:val="es-CO"/>
              </w:rPr>
              <w:t xml:space="preserve">El Instituto Nacional Penitenciario y Carcelario INPEC, elaborará pendones de 1.50 x 2.00 metros, con la fotografía del señor Luis Horacio Patiño Agudelo, junto con una breve semblanza con su biografía; los cuales serán instalados en cinco </w:t>
            </w:r>
            <w:r w:rsidRPr="00FF02F3">
              <w:rPr>
                <w:rFonts w:ascii="Cambria" w:hAnsi="Cambria"/>
                <w:sz w:val="20"/>
                <w:szCs w:val="20"/>
                <w:lang w:val="es-CO"/>
              </w:rPr>
              <w:lastRenderedPageBreak/>
              <w:t>Establecimientos de Reclusión del Orden Nacional de segunda generación del INPEC.</w:t>
            </w:r>
          </w:p>
        </w:tc>
        <w:tc>
          <w:tcPr>
            <w:tcW w:w="4962" w:type="dxa"/>
            <w:vAlign w:val="center"/>
          </w:tcPr>
          <w:p w14:paraId="791EAC75" w14:textId="59F0F47F" w:rsidR="00FF02F3" w:rsidRPr="00FF02F3" w:rsidRDefault="00FF02F3" w:rsidP="0007241F">
            <w:pPr>
              <w:suppressAutoHyphens/>
              <w:spacing w:after="0" w:line="240" w:lineRule="auto"/>
              <w:jc w:val="center"/>
              <w:rPr>
                <w:rFonts w:ascii="Cambria" w:eastAsia="Batang" w:hAnsi="Cambria"/>
                <w:b/>
                <w:bCs/>
                <w:color w:val="000000"/>
                <w:sz w:val="20"/>
                <w:szCs w:val="20"/>
                <w:lang w:val="es-ES"/>
              </w:rPr>
            </w:pPr>
            <w:r w:rsidRPr="00FF02F3">
              <w:rPr>
                <w:rFonts w:ascii="Cambria" w:eastAsia="Batang" w:hAnsi="Cambria"/>
                <w:b/>
                <w:bCs/>
                <w:color w:val="000000"/>
                <w:sz w:val="20"/>
                <w:szCs w:val="20"/>
                <w:lang w:val="es-ES"/>
              </w:rPr>
              <w:lastRenderedPageBreak/>
              <w:t>Total</w:t>
            </w:r>
            <w:r w:rsidRPr="00FF02F3">
              <w:rPr>
                <w:rFonts w:ascii="Cambria" w:eastAsia="Batang" w:hAnsi="Cambria"/>
                <w:b/>
                <w:bCs/>
                <w:color w:val="000000"/>
                <w:sz w:val="20"/>
                <w:szCs w:val="20"/>
                <w:vertAlign w:val="superscript"/>
                <w:lang w:val="es-ES"/>
              </w:rPr>
              <w:footnoteReference w:id="3"/>
            </w:r>
          </w:p>
        </w:tc>
      </w:tr>
      <w:tr w:rsidR="00847A17" w:rsidRPr="00FF02F3" w14:paraId="229544F1" w14:textId="77777777" w:rsidTr="00847A17">
        <w:trPr>
          <w:trHeight w:val="503"/>
        </w:trPr>
        <w:tc>
          <w:tcPr>
            <w:tcW w:w="4536" w:type="dxa"/>
          </w:tcPr>
          <w:p w14:paraId="0D97BB7D" w14:textId="77777777" w:rsidR="00FF02F3" w:rsidRPr="00FF02F3" w:rsidRDefault="00FF02F3" w:rsidP="00FF02F3">
            <w:pPr>
              <w:suppressAutoHyphens/>
              <w:spacing w:after="0" w:line="240" w:lineRule="auto"/>
              <w:ind w:right="72"/>
              <w:jc w:val="both"/>
              <w:rPr>
                <w:rFonts w:ascii="Cambria" w:hAnsi="Cambria"/>
                <w:b/>
                <w:sz w:val="20"/>
                <w:szCs w:val="20"/>
                <w:lang w:val="es-CO"/>
              </w:rPr>
            </w:pPr>
            <w:r w:rsidRPr="00FF02F3">
              <w:rPr>
                <w:rFonts w:ascii="Cambria" w:hAnsi="Cambria"/>
                <w:b/>
                <w:sz w:val="20"/>
                <w:szCs w:val="20"/>
                <w:lang w:val="es-CO"/>
              </w:rPr>
              <w:t xml:space="preserve">C) Publicación de los hechos. </w:t>
            </w:r>
          </w:p>
          <w:p w14:paraId="11006E73" w14:textId="77777777" w:rsidR="00FF02F3" w:rsidRPr="00FF02F3" w:rsidRDefault="00FF02F3" w:rsidP="00FF02F3">
            <w:pPr>
              <w:suppressAutoHyphens/>
              <w:spacing w:after="0" w:line="240" w:lineRule="auto"/>
              <w:ind w:right="72"/>
              <w:jc w:val="both"/>
              <w:rPr>
                <w:rFonts w:ascii="Cambria" w:eastAsia="Times New Roman" w:hAnsi="Cambria"/>
                <w:bCs/>
                <w:color w:val="000000"/>
                <w:kern w:val="36"/>
                <w:sz w:val="20"/>
                <w:szCs w:val="20"/>
                <w:lang w:val="es-CO"/>
              </w:rPr>
            </w:pPr>
            <w:r w:rsidRPr="00FF02F3">
              <w:rPr>
                <w:rFonts w:ascii="Cambria" w:hAnsi="Cambria"/>
                <w:sz w:val="20"/>
                <w:szCs w:val="20"/>
                <w:lang w:val="es-CO"/>
              </w:rPr>
              <w:t>El Estado colombiano se compromete a publicar el informe de artículo 49 de la Convención Americana sobre Derechos Humanos emitido por la Comisión Interamericana de Derechos Humanos que homologue acuerdo de solución amistosa (Sic), en la página web del Instituto Nacional Penitenciario y Carcelario INPEC y la Agencia Nacional de Defensa Jurídica del Estado.</w:t>
            </w:r>
          </w:p>
        </w:tc>
        <w:tc>
          <w:tcPr>
            <w:tcW w:w="4962" w:type="dxa"/>
            <w:vAlign w:val="center"/>
          </w:tcPr>
          <w:p w14:paraId="5899E28E" w14:textId="77777777" w:rsidR="00FF02F3" w:rsidRPr="00FF02F3" w:rsidRDefault="00FF02F3" w:rsidP="00FF02F3">
            <w:pPr>
              <w:suppressAutoHyphens/>
              <w:spacing w:after="0" w:line="240" w:lineRule="auto"/>
              <w:jc w:val="center"/>
              <w:rPr>
                <w:rFonts w:ascii="Cambria" w:hAnsi="Cambria"/>
                <w:sz w:val="20"/>
                <w:szCs w:val="20"/>
                <w:lang w:val="es-ES"/>
              </w:rPr>
            </w:pPr>
            <w:r w:rsidRPr="00FF02F3">
              <w:rPr>
                <w:rFonts w:ascii="Cambria" w:eastAsia="Batang" w:hAnsi="Cambria"/>
                <w:b/>
                <w:bCs/>
                <w:color w:val="000000"/>
                <w:sz w:val="20"/>
                <w:szCs w:val="20"/>
                <w:lang w:val="es-ES"/>
              </w:rPr>
              <w:t>Total</w:t>
            </w:r>
            <w:r w:rsidRPr="00FF02F3">
              <w:rPr>
                <w:rFonts w:ascii="Cambria" w:eastAsia="Batang" w:hAnsi="Cambria"/>
                <w:color w:val="000000"/>
                <w:sz w:val="20"/>
                <w:szCs w:val="20"/>
                <w:vertAlign w:val="superscript"/>
                <w:lang w:val="es-ES"/>
              </w:rPr>
              <w:footnoteReference w:id="4"/>
            </w:r>
          </w:p>
        </w:tc>
      </w:tr>
      <w:tr w:rsidR="00847A17" w:rsidRPr="00FF02F3" w14:paraId="0CFD858D" w14:textId="77777777" w:rsidTr="00847A17">
        <w:trPr>
          <w:trHeight w:val="503"/>
        </w:trPr>
        <w:tc>
          <w:tcPr>
            <w:tcW w:w="4536" w:type="dxa"/>
          </w:tcPr>
          <w:p w14:paraId="5382A5D8" w14:textId="77777777" w:rsidR="00FF02F3" w:rsidRPr="00FF02F3" w:rsidRDefault="00FF02F3" w:rsidP="00FF02F3">
            <w:pPr>
              <w:suppressAutoHyphens/>
              <w:spacing w:after="0" w:line="240" w:lineRule="auto"/>
              <w:ind w:right="72"/>
              <w:jc w:val="both"/>
              <w:rPr>
                <w:rFonts w:ascii="Cambria" w:hAnsi="Cambria"/>
                <w:sz w:val="20"/>
                <w:szCs w:val="20"/>
                <w:lang w:val="es-CO"/>
              </w:rPr>
            </w:pPr>
            <w:r w:rsidRPr="00FF02F3">
              <w:rPr>
                <w:rFonts w:ascii="Cambria" w:eastAsia="Batang" w:hAnsi="Cambria"/>
                <w:b/>
                <w:bCs/>
                <w:color w:val="000000"/>
                <w:sz w:val="20"/>
                <w:szCs w:val="20"/>
                <w:lang w:val="es-ES"/>
              </w:rPr>
              <w:t>TERCERO: GARANTÍAS DE NO REPETICIÓN</w:t>
            </w:r>
            <w:r w:rsidRPr="00FF02F3">
              <w:rPr>
                <w:rFonts w:ascii="Cambria" w:hAnsi="Cambria"/>
                <w:sz w:val="20"/>
                <w:szCs w:val="20"/>
                <w:lang w:val="es-CO"/>
              </w:rPr>
              <w:t xml:space="preserve"> </w:t>
            </w:r>
          </w:p>
          <w:p w14:paraId="56213692" w14:textId="77777777" w:rsidR="00FF02F3" w:rsidRPr="00FF02F3" w:rsidRDefault="00FF02F3" w:rsidP="00FF02F3">
            <w:pPr>
              <w:suppressAutoHyphens/>
              <w:spacing w:after="0" w:line="240" w:lineRule="auto"/>
              <w:ind w:right="72"/>
              <w:jc w:val="both"/>
              <w:rPr>
                <w:rFonts w:ascii="Cambria" w:eastAsia="Times New Roman" w:hAnsi="Cambria"/>
                <w:bCs/>
                <w:color w:val="000000"/>
                <w:kern w:val="36"/>
                <w:sz w:val="20"/>
                <w:szCs w:val="20"/>
                <w:lang w:val="es-CO"/>
              </w:rPr>
            </w:pPr>
            <w:r w:rsidRPr="00FF02F3">
              <w:rPr>
                <w:rFonts w:ascii="Cambria" w:hAnsi="Cambria"/>
                <w:sz w:val="20"/>
                <w:szCs w:val="20"/>
                <w:lang w:val="es-CO"/>
              </w:rPr>
              <w:t>El Estado se compromete a través del Instituto Nacional Penitenciario y Carcelario INPEC, a incluir como tema de estudios, los hechos ocurridos el 17 de enero de 1996 en la Penitenciaría Nacional "El Barne", a través de un ejercicio de lección aprendida la (sic) cual servirá como herramienta de evaluación y mejoramiento de los servicios penitenciarios, para abordarse en cursos de capacitación en derechos Humanos, que dicte la Escuela Penitenciaria Nacional.</w:t>
            </w:r>
          </w:p>
        </w:tc>
        <w:tc>
          <w:tcPr>
            <w:tcW w:w="4962" w:type="dxa"/>
            <w:vAlign w:val="center"/>
          </w:tcPr>
          <w:p w14:paraId="5337567B" w14:textId="77777777" w:rsidR="00FF02F3" w:rsidRPr="00FF02F3" w:rsidRDefault="00FF02F3" w:rsidP="00FF02F3">
            <w:pPr>
              <w:suppressAutoHyphens/>
              <w:spacing w:after="0" w:line="240" w:lineRule="auto"/>
              <w:jc w:val="center"/>
              <w:rPr>
                <w:rFonts w:ascii="Cambria" w:hAnsi="Cambria"/>
                <w:sz w:val="20"/>
                <w:szCs w:val="20"/>
                <w:lang w:val="es-ES"/>
              </w:rPr>
            </w:pPr>
            <w:r w:rsidRPr="00FF02F3">
              <w:rPr>
                <w:rFonts w:ascii="Cambria" w:eastAsia="Batang" w:hAnsi="Cambria"/>
                <w:b/>
                <w:bCs/>
                <w:color w:val="000000"/>
                <w:sz w:val="20"/>
                <w:szCs w:val="20"/>
                <w:lang w:val="es-ES"/>
              </w:rPr>
              <w:t>Total</w:t>
            </w:r>
            <w:r w:rsidRPr="00FF02F3">
              <w:rPr>
                <w:rFonts w:ascii="Cambria" w:eastAsia="Batang" w:hAnsi="Cambria"/>
                <w:b/>
                <w:bCs/>
                <w:color w:val="000000"/>
                <w:sz w:val="20"/>
                <w:szCs w:val="20"/>
                <w:vertAlign w:val="superscript"/>
                <w:lang w:val="es-ES"/>
              </w:rPr>
              <w:footnoteReference w:id="5"/>
            </w:r>
          </w:p>
        </w:tc>
      </w:tr>
      <w:tr w:rsidR="00847A17" w:rsidRPr="00FF02F3" w14:paraId="3BD6D966" w14:textId="77777777" w:rsidTr="00BA3FE2">
        <w:trPr>
          <w:trHeight w:val="503"/>
        </w:trPr>
        <w:tc>
          <w:tcPr>
            <w:tcW w:w="4536" w:type="dxa"/>
          </w:tcPr>
          <w:p w14:paraId="74F93608" w14:textId="77777777" w:rsidR="00847A17" w:rsidRPr="00FF02F3" w:rsidRDefault="00847A17" w:rsidP="00FF02F3">
            <w:pPr>
              <w:suppressAutoHyphens/>
              <w:spacing w:after="0" w:line="240" w:lineRule="auto"/>
              <w:ind w:right="72"/>
              <w:jc w:val="both"/>
              <w:rPr>
                <w:rFonts w:ascii="Cambria" w:hAnsi="Cambria"/>
                <w:sz w:val="20"/>
                <w:szCs w:val="20"/>
                <w:lang w:val="es-CO"/>
              </w:rPr>
            </w:pPr>
            <w:r w:rsidRPr="00FF02F3">
              <w:rPr>
                <w:rFonts w:ascii="Cambria" w:eastAsia="Batang" w:hAnsi="Cambria"/>
                <w:b/>
                <w:bCs/>
                <w:color w:val="000000"/>
                <w:sz w:val="20"/>
                <w:szCs w:val="20"/>
                <w:lang w:val="es-ES"/>
              </w:rPr>
              <w:t>CUARTO: COMPENSACION ECONOMICA</w:t>
            </w:r>
            <w:r w:rsidRPr="00FF02F3">
              <w:rPr>
                <w:rFonts w:ascii="Cambria" w:hAnsi="Cambria"/>
                <w:sz w:val="20"/>
                <w:szCs w:val="20"/>
                <w:lang w:val="es-CO"/>
              </w:rPr>
              <w:t xml:space="preserve"> </w:t>
            </w:r>
          </w:p>
          <w:p w14:paraId="179AB982" w14:textId="77777777" w:rsidR="00847A17" w:rsidRPr="00FF02F3" w:rsidRDefault="00847A17" w:rsidP="00FF02F3">
            <w:pPr>
              <w:suppressAutoHyphens/>
              <w:spacing w:after="0" w:line="240" w:lineRule="auto"/>
              <w:ind w:right="72"/>
              <w:jc w:val="both"/>
              <w:rPr>
                <w:rFonts w:ascii="Cambria" w:eastAsia="Times New Roman" w:hAnsi="Cambria"/>
                <w:bCs/>
                <w:color w:val="000000"/>
                <w:kern w:val="36"/>
                <w:sz w:val="20"/>
                <w:szCs w:val="20"/>
                <w:lang w:val="es-CO"/>
              </w:rPr>
            </w:pPr>
            <w:r w:rsidRPr="00FF02F3">
              <w:rPr>
                <w:rFonts w:ascii="Cambria" w:hAnsi="Cambria"/>
                <w:sz w:val="20"/>
                <w:szCs w:val="20"/>
                <w:lang w:val="es-CO"/>
              </w:rPr>
              <w:t>El Estado se compromete a dar aplicación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llegaran a probarse a favor de los familiares de la víctima que no han sido indemnizados a través de la Jurisdicción Contencioso Administrativa, descontando, de ser el caso, los montos reconocidos por reparaciones administrativas. Para estos efectos, se acudirá a los criterios y montos reconocidos por la Jurisprudencia vigente del Consejo de Estado.</w:t>
            </w:r>
          </w:p>
        </w:tc>
        <w:tc>
          <w:tcPr>
            <w:tcW w:w="4962" w:type="dxa"/>
            <w:vAlign w:val="center"/>
          </w:tcPr>
          <w:p w14:paraId="44D85F8F" w14:textId="402751FE" w:rsidR="00847A17" w:rsidRPr="00FF02F3" w:rsidRDefault="00847A17" w:rsidP="00847A17">
            <w:pPr>
              <w:suppressAutoHyphens/>
              <w:spacing w:after="0" w:line="240" w:lineRule="auto"/>
              <w:jc w:val="center"/>
              <w:rPr>
                <w:rFonts w:ascii="Cambria" w:eastAsia="Times New Roman" w:hAnsi="Cambria"/>
                <w:color w:val="000000"/>
                <w:sz w:val="20"/>
                <w:szCs w:val="20"/>
                <w:lang w:val="es-CO"/>
              </w:rPr>
            </w:pPr>
            <w:r w:rsidRPr="00FF02F3">
              <w:rPr>
                <w:rFonts w:ascii="Cambria" w:eastAsia="Batang" w:hAnsi="Cambria"/>
                <w:b/>
                <w:bCs/>
                <w:color w:val="000000"/>
                <w:sz w:val="20"/>
                <w:szCs w:val="20"/>
                <w:lang w:val="es-ES"/>
              </w:rPr>
              <w:t>Total</w:t>
            </w:r>
            <w:r w:rsidR="0007241F">
              <w:rPr>
                <w:rStyle w:val="FootnoteReference"/>
                <w:rFonts w:ascii="Cambria" w:eastAsia="Batang" w:hAnsi="Cambria"/>
                <w:b/>
                <w:bCs/>
                <w:color w:val="000000"/>
                <w:sz w:val="20"/>
                <w:szCs w:val="20"/>
                <w:lang w:val="es-ES"/>
              </w:rPr>
              <w:footnoteReference w:id="6"/>
            </w:r>
          </w:p>
        </w:tc>
      </w:tr>
      <w:tr w:rsidR="00847A17" w:rsidRPr="00FF02F3" w14:paraId="210B3091" w14:textId="77777777" w:rsidTr="00847A17">
        <w:trPr>
          <w:trHeight w:val="701"/>
        </w:trPr>
        <w:tc>
          <w:tcPr>
            <w:tcW w:w="4536" w:type="dxa"/>
          </w:tcPr>
          <w:p w14:paraId="3C5EFFD6" w14:textId="77777777" w:rsidR="00FF02F3" w:rsidRPr="00FF02F3" w:rsidRDefault="00FF02F3" w:rsidP="00FF02F3">
            <w:pPr>
              <w:suppressAutoHyphens/>
              <w:spacing w:after="0" w:line="240" w:lineRule="auto"/>
              <w:ind w:right="72"/>
              <w:jc w:val="both"/>
              <w:rPr>
                <w:rFonts w:ascii="Cambria" w:eastAsia="Arial" w:hAnsi="Cambria" w:cs="Arial"/>
                <w:b/>
                <w:sz w:val="20"/>
                <w:szCs w:val="20"/>
                <w:lang w:val="es-ES"/>
              </w:rPr>
            </w:pPr>
            <w:r w:rsidRPr="00FF02F3">
              <w:rPr>
                <w:rFonts w:ascii="Cambria" w:eastAsia="Arial" w:hAnsi="Cambria" w:cs="Arial"/>
                <w:b/>
                <w:sz w:val="20"/>
                <w:szCs w:val="20"/>
                <w:lang w:val="es-ES"/>
              </w:rPr>
              <w:t>QUINTO:  HOMOLOGACIÓN Y SEGUIMIENTO</w:t>
            </w:r>
          </w:p>
          <w:p w14:paraId="23899028" w14:textId="77777777" w:rsidR="00FF02F3" w:rsidRPr="00FF02F3" w:rsidRDefault="00FF02F3" w:rsidP="00FF02F3">
            <w:pPr>
              <w:suppressAutoHyphens/>
              <w:spacing w:after="0" w:line="240" w:lineRule="auto"/>
              <w:ind w:right="72"/>
              <w:jc w:val="both"/>
              <w:rPr>
                <w:rFonts w:ascii="Cambria" w:eastAsia="Arial" w:hAnsi="Cambria" w:cs="Arial"/>
                <w:b/>
                <w:sz w:val="20"/>
                <w:szCs w:val="20"/>
                <w:lang w:val="es-CO"/>
              </w:rPr>
            </w:pPr>
            <w:r w:rsidRPr="00FF02F3">
              <w:rPr>
                <w:rFonts w:ascii="Cambria" w:hAnsi="Cambria"/>
                <w:sz w:val="20"/>
                <w:szCs w:val="20"/>
                <w:lang w:val="es-CO"/>
              </w:rPr>
              <w:t>Las partes solicitan a la Comisión Interamericana de Derechos Humanos la homologación del presente acuerdo y su seguimiento. Este acuerdo fue avalado por las entidades estatales comprometidas en la ejecución de las medidas de reparación.</w:t>
            </w:r>
          </w:p>
        </w:tc>
        <w:tc>
          <w:tcPr>
            <w:tcW w:w="4962" w:type="dxa"/>
            <w:vAlign w:val="center"/>
          </w:tcPr>
          <w:p w14:paraId="6F6C1915" w14:textId="6CD1E047" w:rsidR="00FF02F3" w:rsidRPr="00FF02F3" w:rsidRDefault="00FF02F3" w:rsidP="00FF02F3">
            <w:pPr>
              <w:suppressAutoHyphens/>
              <w:spacing w:after="0" w:line="240" w:lineRule="auto"/>
              <w:jc w:val="center"/>
              <w:rPr>
                <w:rFonts w:ascii="Cambria" w:hAnsi="Cambria"/>
                <w:sz w:val="20"/>
                <w:szCs w:val="20"/>
                <w:lang w:val="es-ES"/>
              </w:rPr>
            </w:pPr>
            <w:r w:rsidRPr="00FF02F3">
              <w:rPr>
                <w:rFonts w:ascii="Cambria" w:eastAsia="Batang" w:hAnsi="Cambria"/>
                <w:b/>
                <w:bCs/>
                <w:color w:val="000000"/>
                <w:sz w:val="20"/>
                <w:szCs w:val="20"/>
                <w:lang w:val="es-ES"/>
              </w:rPr>
              <w:t xml:space="preserve">Cláusula </w:t>
            </w:r>
            <w:r w:rsidR="006B7793">
              <w:rPr>
                <w:rFonts w:ascii="Cambria" w:eastAsia="Batang" w:hAnsi="Cambria"/>
                <w:b/>
                <w:bCs/>
                <w:color w:val="000000"/>
                <w:sz w:val="20"/>
                <w:szCs w:val="20"/>
                <w:lang w:val="es-ES"/>
              </w:rPr>
              <w:t>D</w:t>
            </w:r>
            <w:r w:rsidRPr="00FF02F3">
              <w:rPr>
                <w:rFonts w:ascii="Cambria" w:eastAsia="Batang" w:hAnsi="Cambria"/>
                <w:b/>
                <w:bCs/>
                <w:color w:val="000000"/>
                <w:sz w:val="20"/>
                <w:szCs w:val="20"/>
                <w:lang w:val="es-ES"/>
              </w:rPr>
              <w:t>eclarativa</w:t>
            </w:r>
          </w:p>
        </w:tc>
      </w:tr>
    </w:tbl>
    <w:p w14:paraId="63203169" w14:textId="77777777" w:rsidR="00FF02F3" w:rsidRDefault="00FF02F3" w:rsidP="00FF02F3">
      <w:pPr>
        <w:suppressAutoHyphens/>
        <w:spacing w:after="0" w:line="240" w:lineRule="auto"/>
        <w:rPr>
          <w:rFonts w:ascii="Cambria" w:hAnsi="Cambria"/>
          <w:b/>
          <w:caps/>
          <w:color w:val="000000"/>
          <w:sz w:val="20"/>
          <w:szCs w:val="20"/>
          <w:lang w:val="es-ES"/>
        </w:rPr>
      </w:pPr>
    </w:p>
    <w:p w14:paraId="61806C53" w14:textId="77777777" w:rsidR="0007241F" w:rsidRDefault="0007241F" w:rsidP="00FF02F3">
      <w:pPr>
        <w:suppressAutoHyphens/>
        <w:spacing w:after="0" w:line="240" w:lineRule="auto"/>
        <w:rPr>
          <w:rFonts w:ascii="Cambria" w:hAnsi="Cambria"/>
          <w:b/>
          <w:caps/>
          <w:color w:val="000000"/>
          <w:sz w:val="20"/>
          <w:szCs w:val="20"/>
          <w:lang w:val="es-ES"/>
        </w:rPr>
      </w:pPr>
    </w:p>
    <w:p w14:paraId="26C90770" w14:textId="77777777" w:rsidR="0007241F" w:rsidRPr="00FF02F3" w:rsidRDefault="0007241F" w:rsidP="00FF02F3">
      <w:pPr>
        <w:suppressAutoHyphens/>
        <w:spacing w:after="0" w:line="240" w:lineRule="auto"/>
        <w:rPr>
          <w:rFonts w:ascii="Cambria" w:hAnsi="Cambria"/>
          <w:b/>
          <w:caps/>
          <w:color w:val="000000"/>
          <w:sz w:val="20"/>
          <w:szCs w:val="20"/>
          <w:lang w:val="es-ES"/>
        </w:rPr>
      </w:pPr>
    </w:p>
    <w:p w14:paraId="65148227" w14:textId="77777777" w:rsidR="00FF02F3" w:rsidRPr="00FF02F3" w:rsidRDefault="00FF02F3" w:rsidP="004A6A71">
      <w:pPr>
        <w:numPr>
          <w:ilvl w:val="0"/>
          <w:numId w:val="6"/>
        </w:numPr>
        <w:suppressAutoHyphens/>
        <w:spacing w:after="0" w:line="240" w:lineRule="auto"/>
        <w:ind w:left="0" w:firstLine="709"/>
        <w:rPr>
          <w:rFonts w:ascii="Cambria" w:hAnsi="Cambria"/>
          <w:b/>
          <w:caps/>
          <w:color w:val="000000"/>
          <w:sz w:val="20"/>
          <w:szCs w:val="20"/>
          <w:lang w:val="es-ES"/>
        </w:rPr>
      </w:pPr>
      <w:r w:rsidRPr="00FF02F3">
        <w:rPr>
          <w:rFonts w:ascii="Cambria" w:hAnsi="Cambria"/>
          <w:b/>
          <w:caps/>
          <w:color w:val="000000"/>
          <w:sz w:val="20"/>
          <w:szCs w:val="20"/>
          <w:lang w:val="es-ES"/>
        </w:rPr>
        <w:lastRenderedPageBreak/>
        <w:t>nivel de cumplimiento del caso</w:t>
      </w:r>
    </w:p>
    <w:p w14:paraId="5ED1F96B" w14:textId="77777777" w:rsidR="00FF02F3" w:rsidRPr="00FF02F3" w:rsidRDefault="00FF02F3" w:rsidP="00FF02F3">
      <w:pPr>
        <w:suppressAutoHyphens/>
        <w:spacing w:after="0" w:line="240" w:lineRule="auto"/>
        <w:ind w:firstLine="720"/>
        <w:jc w:val="both"/>
        <w:rPr>
          <w:rFonts w:ascii="Cambria" w:hAnsi="Cambria"/>
          <w:sz w:val="20"/>
          <w:szCs w:val="20"/>
          <w:lang w:val="es-ES"/>
        </w:rPr>
      </w:pPr>
    </w:p>
    <w:p w14:paraId="385A6340" w14:textId="51F51910" w:rsidR="00FF02F3" w:rsidRPr="00FF02F3" w:rsidRDefault="00FF02F3" w:rsidP="004A6A71">
      <w:pPr>
        <w:numPr>
          <w:ilvl w:val="0"/>
          <w:numId w:val="7"/>
        </w:numPr>
        <w:suppressAutoHyphens/>
        <w:spacing w:after="0" w:line="240" w:lineRule="auto"/>
        <w:ind w:left="0" w:firstLine="709"/>
        <w:jc w:val="both"/>
        <w:rPr>
          <w:rFonts w:ascii="Cambria" w:hAnsi="Cambria"/>
          <w:color w:val="000000"/>
          <w:sz w:val="20"/>
          <w:szCs w:val="20"/>
          <w:lang w:val="es-CO"/>
        </w:rPr>
      </w:pPr>
      <w:r w:rsidRPr="00FF02F3">
        <w:rPr>
          <w:rFonts w:ascii="Cambria" w:hAnsi="Cambria"/>
          <w:color w:val="000000"/>
          <w:sz w:val="20"/>
          <w:szCs w:val="20"/>
          <w:lang w:val="es-CO"/>
        </w:rPr>
        <w:t xml:space="preserve">La Comisión </w:t>
      </w:r>
      <w:r w:rsidR="0007241F">
        <w:rPr>
          <w:rFonts w:ascii="Cambria" w:hAnsi="Cambria"/>
          <w:color w:val="000000"/>
          <w:sz w:val="20"/>
          <w:szCs w:val="20"/>
          <w:lang w:val="es-CO"/>
        </w:rPr>
        <w:t>declaró el cumplimiento total del asunto y el cese del seguimiento del acuerdo de solución amistosa en el Informe Anual 2024</w:t>
      </w:r>
      <w:r w:rsidRPr="00FF02F3">
        <w:rPr>
          <w:rFonts w:ascii="Cambria" w:hAnsi="Cambria"/>
          <w:color w:val="000000"/>
          <w:sz w:val="20"/>
          <w:szCs w:val="20"/>
          <w:lang w:val="es-CO"/>
        </w:rPr>
        <w:t>.</w:t>
      </w:r>
    </w:p>
    <w:p w14:paraId="3B3F6102" w14:textId="77777777" w:rsidR="00FF02F3" w:rsidRPr="00FF02F3" w:rsidRDefault="00FF02F3" w:rsidP="00FF02F3">
      <w:pPr>
        <w:tabs>
          <w:tab w:val="left" w:pos="720"/>
        </w:tabs>
        <w:spacing w:after="0" w:line="240" w:lineRule="auto"/>
        <w:contextualSpacing/>
        <w:jc w:val="both"/>
        <w:rPr>
          <w:rFonts w:ascii="Cambria" w:eastAsia="Batang" w:hAnsi="Cambria"/>
          <w:bCs/>
          <w:color w:val="000000"/>
          <w:sz w:val="20"/>
          <w:szCs w:val="20"/>
          <w:lang w:val="es-ES"/>
        </w:rPr>
      </w:pPr>
    </w:p>
    <w:p w14:paraId="097966DE" w14:textId="77777777" w:rsidR="00FF02F3" w:rsidRPr="00FF02F3" w:rsidRDefault="00FF02F3" w:rsidP="004A6A71">
      <w:pPr>
        <w:numPr>
          <w:ilvl w:val="0"/>
          <w:numId w:val="6"/>
        </w:numPr>
        <w:suppressAutoHyphens/>
        <w:spacing w:after="0" w:line="240" w:lineRule="auto"/>
        <w:ind w:left="0" w:firstLine="709"/>
        <w:rPr>
          <w:rFonts w:ascii="Cambria" w:hAnsi="Cambria"/>
          <w:b/>
          <w:caps/>
          <w:color w:val="000000"/>
          <w:sz w:val="20"/>
          <w:szCs w:val="20"/>
          <w:lang w:val="es-ES"/>
        </w:rPr>
      </w:pPr>
      <w:r w:rsidRPr="00FF02F3">
        <w:rPr>
          <w:rFonts w:ascii="Cambria" w:hAnsi="Cambria"/>
          <w:b/>
          <w:caps/>
          <w:color w:val="000000"/>
          <w:sz w:val="20"/>
          <w:szCs w:val="20"/>
          <w:lang w:val="es-ES"/>
        </w:rPr>
        <w:t>resultados individuales y estructurales del caso</w:t>
      </w:r>
    </w:p>
    <w:p w14:paraId="116BFDA9" w14:textId="77777777" w:rsidR="00FF02F3" w:rsidRPr="00FF02F3" w:rsidRDefault="00FF02F3" w:rsidP="00FF02F3">
      <w:pPr>
        <w:suppressAutoHyphens/>
        <w:spacing w:after="0" w:line="240" w:lineRule="auto"/>
        <w:ind w:left="720"/>
        <w:rPr>
          <w:rFonts w:ascii="Cambria" w:hAnsi="Cambria"/>
          <w:b/>
          <w:caps/>
          <w:color w:val="000000"/>
          <w:sz w:val="20"/>
          <w:szCs w:val="20"/>
          <w:lang w:val="es-ES"/>
        </w:rPr>
      </w:pPr>
    </w:p>
    <w:p w14:paraId="76EEF9E8" w14:textId="77777777" w:rsidR="00FF02F3" w:rsidRPr="00FF02F3" w:rsidRDefault="00FF02F3" w:rsidP="004A6A71">
      <w:pPr>
        <w:numPr>
          <w:ilvl w:val="0"/>
          <w:numId w:val="3"/>
        </w:numPr>
        <w:suppressAutoHyphens/>
        <w:spacing w:after="0" w:line="240" w:lineRule="auto"/>
        <w:ind w:left="1418" w:hanging="698"/>
        <w:contextualSpacing/>
        <w:jc w:val="both"/>
        <w:rPr>
          <w:rFonts w:ascii="Cambria" w:eastAsia="Batang" w:hAnsi="Cambria" w:cs="Calibri Light"/>
          <w:b/>
          <w:color w:val="000000"/>
          <w:sz w:val="20"/>
          <w:szCs w:val="20"/>
          <w:lang w:val="es-ES"/>
        </w:rPr>
      </w:pPr>
      <w:r w:rsidRPr="00FF02F3">
        <w:rPr>
          <w:rFonts w:ascii="Cambria" w:eastAsia="Batang" w:hAnsi="Cambria" w:cs="Calibri Light"/>
          <w:b/>
          <w:color w:val="000000"/>
          <w:sz w:val="20"/>
          <w:szCs w:val="20"/>
          <w:lang w:val="es-ES"/>
        </w:rPr>
        <w:t>Resultados individuales del caso</w:t>
      </w:r>
    </w:p>
    <w:p w14:paraId="48F63E5B" w14:textId="77777777" w:rsidR="00FF02F3" w:rsidRPr="00FF02F3" w:rsidRDefault="00FF02F3" w:rsidP="00FF02F3">
      <w:pPr>
        <w:suppressAutoHyphens/>
        <w:spacing w:after="0" w:line="240" w:lineRule="auto"/>
        <w:contextualSpacing/>
        <w:jc w:val="both"/>
        <w:rPr>
          <w:rFonts w:ascii="Cambria" w:eastAsia="Batang" w:hAnsi="Cambria" w:cs="Calibri Light"/>
          <w:b/>
          <w:color w:val="000000"/>
          <w:sz w:val="20"/>
          <w:szCs w:val="20"/>
          <w:lang w:val="es-ES"/>
        </w:rPr>
      </w:pPr>
    </w:p>
    <w:p w14:paraId="29C2F350" w14:textId="77777777" w:rsidR="00FF02F3" w:rsidRPr="00FF02F3" w:rsidRDefault="00FF02F3" w:rsidP="004A6A71">
      <w:pPr>
        <w:numPr>
          <w:ilvl w:val="0"/>
          <w:numId w:val="1"/>
        </w:numPr>
        <w:suppressAutoHyphens/>
        <w:spacing w:after="0" w:line="240" w:lineRule="auto"/>
        <w:ind w:left="1440" w:hanging="720"/>
        <w:contextualSpacing/>
        <w:jc w:val="both"/>
        <w:rPr>
          <w:rFonts w:ascii="Cambria" w:hAnsi="Cambria"/>
          <w:sz w:val="20"/>
          <w:szCs w:val="20"/>
          <w:lang w:val="es-CO"/>
        </w:rPr>
      </w:pPr>
      <w:r w:rsidRPr="00FF02F3">
        <w:rPr>
          <w:rFonts w:ascii="Cambria" w:eastAsia="Batang" w:hAnsi="Cambria"/>
          <w:color w:val="000000"/>
          <w:sz w:val="20"/>
          <w:szCs w:val="20"/>
          <w:lang w:val="es-ES"/>
        </w:rPr>
        <w:t xml:space="preserve">El Estado realizó el acto de reconocimiento de responsabilidad en modalidad virtual en el contexto del COVID 19 y de común acuerdo entre las partes, el cual tuvo una </w:t>
      </w:r>
      <w:r w:rsidRPr="00FF02F3">
        <w:rPr>
          <w:rFonts w:ascii="Cambria" w:hAnsi="Cambria"/>
          <w:sz w:val="20"/>
          <w:szCs w:val="20"/>
          <w:lang w:val="es-CO"/>
        </w:rPr>
        <w:t>amplia cobertura mediática, a través de redes sociales de las instituciones del Estado y de una amplia cobertura en los medios de prensa, en donde se difundió el enlace de este en el canal de YouTube.</w:t>
      </w:r>
    </w:p>
    <w:p w14:paraId="36FD1E21" w14:textId="77777777" w:rsidR="00FF02F3" w:rsidRPr="00FF02F3" w:rsidRDefault="00FF02F3" w:rsidP="004A6A71">
      <w:pPr>
        <w:numPr>
          <w:ilvl w:val="0"/>
          <w:numId w:val="1"/>
        </w:numPr>
        <w:suppressAutoHyphens/>
        <w:spacing w:after="0" w:line="240" w:lineRule="auto"/>
        <w:ind w:left="1418" w:hanging="567"/>
        <w:jc w:val="both"/>
        <w:rPr>
          <w:rFonts w:ascii="Cambria" w:hAnsi="Cambria"/>
          <w:bCs/>
          <w:color w:val="000000"/>
          <w:sz w:val="20"/>
          <w:szCs w:val="20"/>
          <w:lang w:val="es-ES"/>
        </w:rPr>
      </w:pPr>
      <w:r w:rsidRPr="00FF02F3">
        <w:rPr>
          <w:rFonts w:ascii="Cambria" w:hAnsi="Cambria"/>
          <w:bCs/>
          <w:color w:val="000000"/>
          <w:sz w:val="20"/>
          <w:szCs w:val="20"/>
          <w:lang w:val="es-ES_tradnl"/>
        </w:rPr>
        <w:t>El Estado avanzó con el trámite de la Ley 288 de 1996 mediante del auto judicial que aprueba el acuerdo conciliatorio suscrito en relación con la cláusula cuarta del acuerdo de solución amistosa que versa sobre el pago de compensaciones económicas por las violaciones sufridas.</w:t>
      </w:r>
    </w:p>
    <w:p w14:paraId="27799834" w14:textId="77777777" w:rsidR="00FF02F3" w:rsidRPr="00FF02F3" w:rsidRDefault="00FF02F3" w:rsidP="004A6A71">
      <w:pPr>
        <w:numPr>
          <w:ilvl w:val="0"/>
          <w:numId w:val="1"/>
        </w:numPr>
        <w:suppressAutoHyphens/>
        <w:spacing w:after="0" w:line="240" w:lineRule="auto"/>
        <w:ind w:left="1418" w:hanging="567"/>
        <w:jc w:val="both"/>
        <w:rPr>
          <w:rFonts w:ascii="Cambria" w:hAnsi="Cambria"/>
          <w:bCs/>
          <w:color w:val="000000"/>
          <w:sz w:val="20"/>
          <w:szCs w:val="20"/>
          <w:lang w:val="es-ES"/>
        </w:rPr>
      </w:pPr>
      <w:r w:rsidRPr="00FF02F3">
        <w:rPr>
          <w:rFonts w:ascii="Cambria" w:hAnsi="Cambria"/>
          <w:bCs/>
          <w:color w:val="000000"/>
          <w:sz w:val="20"/>
          <w:szCs w:val="20"/>
          <w:lang w:val="es-ES_tradnl"/>
        </w:rPr>
        <w:t xml:space="preserve">El Estado pago la suma de seiscientos noventa y seis millones de pesos ($696.000.000 COP) a favor de los 6 beneficiarios del ASA. </w:t>
      </w:r>
    </w:p>
    <w:p w14:paraId="7ED0CFEA" w14:textId="77777777" w:rsidR="00FF02F3" w:rsidRPr="00FF02F3" w:rsidRDefault="00FF02F3" w:rsidP="00FF02F3">
      <w:pPr>
        <w:spacing w:after="0" w:line="240" w:lineRule="auto"/>
        <w:ind w:left="1418"/>
        <w:contextualSpacing/>
        <w:jc w:val="both"/>
        <w:rPr>
          <w:rFonts w:ascii="Cambria" w:hAnsi="Cambria"/>
          <w:color w:val="000000"/>
          <w:sz w:val="20"/>
          <w:szCs w:val="20"/>
          <w:lang w:val="es-AR"/>
        </w:rPr>
      </w:pPr>
    </w:p>
    <w:p w14:paraId="2BC539B9" w14:textId="77777777" w:rsidR="00FF02F3" w:rsidRPr="00FF02F3" w:rsidRDefault="00FF02F3" w:rsidP="004A6A71">
      <w:pPr>
        <w:numPr>
          <w:ilvl w:val="0"/>
          <w:numId w:val="3"/>
        </w:numPr>
        <w:suppressAutoHyphens/>
        <w:spacing w:after="0" w:line="240" w:lineRule="auto"/>
        <w:ind w:left="1418" w:hanging="698"/>
        <w:contextualSpacing/>
        <w:jc w:val="both"/>
        <w:rPr>
          <w:rFonts w:ascii="Cambria" w:hAnsi="Cambria"/>
          <w:b/>
          <w:bCs/>
          <w:color w:val="000000"/>
          <w:sz w:val="20"/>
          <w:szCs w:val="20"/>
          <w:lang w:val="es-AR"/>
        </w:rPr>
      </w:pPr>
      <w:r w:rsidRPr="00FF02F3">
        <w:rPr>
          <w:rFonts w:ascii="Cambria" w:hAnsi="Cambria"/>
          <w:b/>
          <w:bCs/>
          <w:color w:val="000000"/>
          <w:sz w:val="20"/>
          <w:szCs w:val="20"/>
          <w:lang w:val="es-AR"/>
        </w:rPr>
        <w:t>Resultados estructurales del caso</w:t>
      </w:r>
    </w:p>
    <w:p w14:paraId="48442F78" w14:textId="77777777" w:rsidR="00FF02F3" w:rsidRPr="00FF02F3" w:rsidRDefault="00FF02F3" w:rsidP="00FF02F3">
      <w:pPr>
        <w:suppressAutoHyphens/>
        <w:spacing w:after="0" w:line="240" w:lineRule="auto"/>
        <w:ind w:left="1080"/>
        <w:contextualSpacing/>
        <w:jc w:val="both"/>
        <w:rPr>
          <w:rFonts w:ascii="Cambria" w:hAnsi="Cambria"/>
          <w:b/>
          <w:bCs/>
          <w:color w:val="000000"/>
          <w:sz w:val="20"/>
          <w:szCs w:val="20"/>
          <w:lang w:val="es-AR"/>
        </w:rPr>
      </w:pPr>
    </w:p>
    <w:p w14:paraId="7ADDF072" w14:textId="77777777" w:rsidR="00FF02F3" w:rsidRPr="00FF02F3" w:rsidRDefault="00FF02F3" w:rsidP="004A6A71">
      <w:pPr>
        <w:numPr>
          <w:ilvl w:val="0"/>
          <w:numId w:val="1"/>
        </w:numPr>
        <w:suppressAutoHyphens/>
        <w:spacing w:after="0" w:line="240" w:lineRule="auto"/>
        <w:ind w:left="1440" w:hanging="720"/>
        <w:contextualSpacing/>
        <w:jc w:val="both"/>
        <w:rPr>
          <w:rFonts w:ascii="Cambria" w:hAnsi="Cambria"/>
          <w:sz w:val="20"/>
          <w:szCs w:val="20"/>
          <w:lang w:val="es-CO"/>
        </w:rPr>
      </w:pPr>
      <w:r w:rsidRPr="00FF02F3">
        <w:rPr>
          <w:rFonts w:ascii="Cambria" w:hAnsi="Cambria"/>
          <w:sz w:val="20"/>
          <w:szCs w:val="20"/>
          <w:lang w:val="es-CO"/>
        </w:rPr>
        <w:t>El Estado publicó el Informe Artículo 49, en las páginas web de la Agencia Nacional de Defensa Jurídica del Estado y del Instituto Nacional Penitenciario y Carcelario – INPEC.</w:t>
      </w:r>
    </w:p>
    <w:p w14:paraId="2F5E4E29" w14:textId="77777777" w:rsidR="00FF02F3" w:rsidRPr="00FF02F3" w:rsidRDefault="00FF02F3" w:rsidP="004A6A71">
      <w:pPr>
        <w:numPr>
          <w:ilvl w:val="0"/>
          <w:numId w:val="1"/>
        </w:numPr>
        <w:suppressAutoHyphens/>
        <w:spacing w:after="0" w:line="240" w:lineRule="auto"/>
        <w:ind w:left="1440" w:hanging="720"/>
        <w:contextualSpacing/>
        <w:jc w:val="both"/>
        <w:rPr>
          <w:rFonts w:ascii="Cambria" w:hAnsi="Cambria"/>
          <w:sz w:val="20"/>
          <w:szCs w:val="20"/>
          <w:lang w:val="es-CO"/>
        </w:rPr>
      </w:pPr>
      <w:r w:rsidRPr="00FF02F3">
        <w:rPr>
          <w:rFonts w:ascii="Cambria" w:hAnsi="Cambria"/>
          <w:sz w:val="20"/>
          <w:szCs w:val="20"/>
          <w:lang w:val="es-ES"/>
        </w:rPr>
        <w:t xml:space="preserve">El Estado realizó la distribución de los cinco pendones en los establecimientos de reclusión, previamente consensuados con la parte peticionaria, y se realizaron en distintas fechas actos conmemorativos en la instalación de cada pendón. </w:t>
      </w:r>
    </w:p>
    <w:p w14:paraId="4FE94167" w14:textId="77777777" w:rsidR="00FF02F3" w:rsidRPr="00FF02F3" w:rsidRDefault="00FF02F3" w:rsidP="004A6A71">
      <w:pPr>
        <w:numPr>
          <w:ilvl w:val="0"/>
          <w:numId w:val="1"/>
        </w:numPr>
        <w:suppressAutoHyphens/>
        <w:spacing w:after="0" w:line="240" w:lineRule="auto"/>
        <w:ind w:left="1440" w:hanging="720"/>
        <w:contextualSpacing/>
        <w:jc w:val="both"/>
        <w:rPr>
          <w:rFonts w:ascii="Cambria" w:hAnsi="Cambria"/>
          <w:sz w:val="20"/>
          <w:szCs w:val="20"/>
          <w:lang w:val="es-CO"/>
        </w:rPr>
      </w:pPr>
      <w:r w:rsidRPr="00FF02F3">
        <w:rPr>
          <w:rFonts w:ascii="Cambria" w:hAnsi="Cambria"/>
          <w:sz w:val="20"/>
          <w:szCs w:val="20"/>
          <w:lang w:val="es-ES"/>
        </w:rPr>
        <w:t>El Estado culminó el proceso de diseño del documento de lecciones aprendidas denominado “</w:t>
      </w:r>
      <w:r w:rsidRPr="00FF02F3">
        <w:rPr>
          <w:rFonts w:ascii="Cambria" w:hAnsi="Cambria"/>
          <w:i/>
          <w:iCs/>
          <w:sz w:val="20"/>
          <w:szCs w:val="20"/>
          <w:lang w:val="es-ES"/>
        </w:rPr>
        <w:t xml:space="preserve">Lección Aprendida- Garantías de Protección a Derechos Humanos a cargo del INPEC, Caso 13.370 -CIDH”, </w:t>
      </w:r>
      <w:r w:rsidRPr="00FF02F3">
        <w:rPr>
          <w:rFonts w:ascii="Cambria" w:hAnsi="Cambria"/>
          <w:sz w:val="20"/>
          <w:szCs w:val="20"/>
          <w:lang w:val="es-ES"/>
        </w:rPr>
        <w:t xml:space="preserve">el cual fue aprobado el 23 de septiembre de 2021 por la Dirección de la Escuela Penitenciaria Nacional del INPEC. </w:t>
      </w:r>
    </w:p>
    <w:p w14:paraId="3B4E0DA4" w14:textId="6CC0F6AE" w:rsidR="008E72CA" w:rsidRPr="00FF02F3" w:rsidRDefault="00FF02F3" w:rsidP="004A6A71">
      <w:pPr>
        <w:numPr>
          <w:ilvl w:val="0"/>
          <w:numId w:val="1"/>
        </w:numPr>
        <w:suppressAutoHyphens/>
        <w:spacing w:after="0" w:line="240" w:lineRule="auto"/>
        <w:ind w:left="1440" w:hanging="720"/>
        <w:contextualSpacing/>
        <w:jc w:val="both"/>
        <w:rPr>
          <w:rFonts w:ascii="Cambria" w:hAnsi="Cambria"/>
          <w:sz w:val="20"/>
          <w:szCs w:val="20"/>
          <w:lang w:val="es-ES"/>
        </w:rPr>
      </w:pPr>
      <w:r w:rsidRPr="00FF02F3">
        <w:rPr>
          <w:rFonts w:ascii="Cambria" w:hAnsi="Cambria"/>
          <w:sz w:val="20"/>
          <w:szCs w:val="20"/>
          <w:lang w:val="es-ES"/>
        </w:rPr>
        <w:t>El 24 de septiembre de 2021 el Estado se inició la ejecución académica en ocho Programas Académicos y Técnicos Laborales del INPEC, en el marco de los cuales se habrían capacitados, al 17 de mayo de 2022, a un total 1.134 miembros del personal.</w:t>
      </w:r>
    </w:p>
    <w:sectPr w:rsidR="008E72CA" w:rsidRPr="00FF02F3"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1BDF" w14:textId="77777777" w:rsidR="00415FF2" w:rsidRDefault="00415FF2" w:rsidP="00A343FF">
      <w:pPr>
        <w:spacing w:after="0" w:line="240" w:lineRule="auto"/>
      </w:pPr>
      <w:r>
        <w:separator/>
      </w:r>
    </w:p>
  </w:endnote>
  <w:endnote w:type="continuationSeparator" w:id="0">
    <w:p w14:paraId="594D7371" w14:textId="77777777" w:rsidR="00415FF2" w:rsidRDefault="00415FF2" w:rsidP="00A343FF">
      <w:pPr>
        <w:spacing w:after="0" w:line="240" w:lineRule="auto"/>
      </w:pPr>
      <w:r>
        <w:continuationSeparator/>
      </w:r>
    </w:p>
  </w:endnote>
  <w:endnote w:type="continuationNotice" w:id="1">
    <w:p w14:paraId="7B63B89B" w14:textId="77777777" w:rsidR="00415FF2" w:rsidRDefault="00415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4B6A5F51" w:rsidR="00D222B7" w:rsidRDefault="00991302" w:rsidP="00CA3AA8">
    <w:pPr>
      <w:pStyle w:val="Footer"/>
      <w:spacing w:line="360" w:lineRule="auto"/>
      <w:jc w:val="right"/>
    </w:pPr>
    <w:r>
      <w:rPr>
        <w:noProof/>
      </w:rPr>
      <w:pict w14:anchorId="5CB94A75">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86D4" w14:textId="77777777" w:rsidR="00415FF2" w:rsidRDefault="00415FF2" w:rsidP="00A343FF">
      <w:pPr>
        <w:spacing w:after="0" w:line="240" w:lineRule="auto"/>
      </w:pPr>
      <w:r>
        <w:separator/>
      </w:r>
    </w:p>
  </w:footnote>
  <w:footnote w:type="continuationSeparator" w:id="0">
    <w:p w14:paraId="08F736E7" w14:textId="77777777" w:rsidR="00415FF2" w:rsidRDefault="00415FF2" w:rsidP="00A343FF">
      <w:pPr>
        <w:spacing w:after="0" w:line="240" w:lineRule="auto"/>
      </w:pPr>
      <w:r>
        <w:continuationSeparator/>
      </w:r>
    </w:p>
  </w:footnote>
  <w:footnote w:type="continuationNotice" w:id="1">
    <w:p w14:paraId="56417EC5" w14:textId="77777777" w:rsidR="00415FF2" w:rsidRDefault="00415FF2">
      <w:pPr>
        <w:spacing w:after="0" w:line="240" w:lineRule="auto"/>
      </w:pPr>
    </w:p>
  </w:footnote>
  <w:footnote w:id="2">
    <w:p w14:paraId="18E428B2" w14:textId="578A72B1" w:rsidR="00FF02F3" w:rsidRPr="0007241F" w:rsidRDefault="00FF02F3" w:rsidP="0007241F">
      <w:pPr>
        <w:pStyle w:val="FootnoteText"/>
        <w:spacing w:after="0" w:line="240" w:lineRule="auto"/>
        <w:ind w:firstLine="709"/>
        <w:jc w:val="both"/>
        <w:rPr>
          <w:rFonts w:ascii="Cambria" w:hAnsi="Cambria"/>
          <w:sz w:val="16"/>
          <w:szCs w:val="16"/>
          <w:lang w:val="es-CO"/>
        </w:rPr>
      </w:pPr>
      <w:r w:rsidRPr="0007241F">
        <w:rPr>
          <w:rStyle w:val="FootnoteReference"/>
          <w:rFonts w:ascii="Cambria" w:hAnsi="Cambria"/>
          <w:sz w:val="16"/>
          <w:szCs w:val="16"/>
        </w:rPr>
        <w:footnoteRef/>
      </w:r>
      <w:r w:rsidRPr="004A6A71">
        <w:rPr>
          <w:rFonts w:ascii="Cambria" w:hAnsi="Cambria"/>
          <w:sz w:val="16"/>
          <w:szCs w:val="16"/>
          <w:lang w:val="pt-BR"/>
        </w:rPr>
        <w:t xml:space="preserve"> </w:t>
      </w:r>
      <w:r w:rsidR="00847A17" w:rsidRPr="004A6A71">
        <w:rPr>
          <w:rFonts w:ascii="Cambria" w:hAnsi="Cambria"/>
          <w:sz w:val="16"/>
          <w:szCs w:val="16"/>
          <w:lang w:val="pt-BR"/>
        </w:rPr>
        <w:t xml:space="preserve">Ver </w:t>
      </w:r>
      <w:r w:rsidRPr="004A6A71">
        <w:rPr>
          <w:rFonts w:ascii="Cambria" w:hAnsi="Cambria"/>
          <w:sz w:val="16"/>
          <w:szCs w:val="16"/>
          <w:lang w:val="pt-BR"/>
        </w:rPr>
        <w:t xml:space="preserve">CIDH, Informe No. 80/20, Caso 13.370. </w:t>
      </w:r>
      <w:r w:rsidRPr="0007241F">
        <w:rPr>
          <w:rFonts w:ascii="Cambria" w:hAnsi="Cambria"/>
          <w:sz w:val="16"/>
          <w:szCs w:val="16"/>
          <w:lang w:val="es-ES_tradnl"/>
        </w:rPr>
        <w:t>Solución Amistosa.</w:t>
      </w:r>
      <w:r w:rsidRPr="0007241F">
        <w:rPr>
          <w:rFonts w:ascii="Cambria" w:hAnsi="Cambria"/>
          <w:sz w:val="16"/>
          <w:szCs w:val="16"/>
          <w:lang w:val="es-AR"/>
        </w:rPr>
        <w:t xml:space="preserve"> Luis Horacio Patiño y </w:t>
      </w:r>
      <w:r w:rsidR="00847A17" w:rsidRPr="0007241F">
        <w:rPr>
          <w:rFonts w:ascii="Cambria" w:hAnsi="Cambria"/>
          <w:sz w:val="16"/>
          <w:szCs w:val="16"/>
          <w:lang w:val="es-AR"/>
        </w:rPr>
        <w:t>f</w:t>
      </w:r>
      <w:r w:rsidRPr="0007241F">
        <w:rPr>
          <w:rFonts w:ascii="Cambria" w:hAnsi="Cambria"/>
          <w:sz w:val="16"/>
          <w:szCs w:val="16"/>
          <w:lang w:val="es-AR"/>
        </w:rPr>
        <w:t>amilia</w:t>
      </w:r>
      <w:r w:rsidRPr="0007241F">
        <w:rPr>
          <w:rFonts w:ascii="Cambria" w:hAnsi="Cambria"/>
          <w:sz w:val="16"/>
          <w:szCs w:val="16"/>
          <w:lang w:val="es-ES_tradnl"/>
        </w:rPr>
        <w:t xml:space="preserve">. Colombia. 8 de mayo de 2020. Disponible en </w:t>
      </w:r>
      <w:hyperlink r:id="rId1" w:history="1">
        <w:r w:rsidRPr="0007241F">
          <w:rPr>
            <w:rStyle w:val="Hyperlink"/>
            <w:rFonts w:ascii="Cambria" w:hAnsi="Cambria"/>
            <w:sz w:val="16"/>
            <w:szCs w:val="16"/>
            <w:lang w:val="es-ES_tradnl"/>
          </w:rPr>
          <w:t>http://www.oas.org/es/cidh/decisiones/2020/cosa13370es.pdf</w:t>
        </w:r>
      </w:hyperlink>
      <w:r w:rsidR="00847A17" w:rsidRPr="0007241F">
        <w:rPr>
          <w:rFonts w:ascii="Cambria" w:hAnsi="Cambria"/>
          <w:sz w:val="16"/>
          <w:szCs w:val="16"/>
          <w:lang w:val="es-ES_tradnl"/>
        </w:rPr>
        <w:t>.</w:t>
      </w:r>
    </w:p>
  </w:footnote>
  <w:footnote w:id="3">
    <w:p w14:paraId="03F9EEF6" w14:textId="41295A77" w:rsidR="00FF02F3" w:rsidRPr="0007241F" w:rsidRDefault="00FF02F3" w:rsidP="0007241F">
      <w:pPr>
        <w:pStyle w:val="FootnoteText"/>
        <w:spacing w:after="0" w:line="240" w:lineRule="auto"/>
        <w:ind w:firstLine="709"/>
        <w:jc w:val="both"/>
        <w:rPr>
          <w:rFonts w:ascii="Cambria" w:hAnsi="Cambria"/>
          <w:sz w:val="16"/>
          <w:szCs w:val="16"/>
          <w:lang w:val="es-CO"/>
        </w:rPr>
      </w:pPr>
      <w:r w:rsidRPr="0007241F">
        <w:rPr>
          <w:rStyle w:val="FootnoteReference"/>
          <w:rFonts w:ascii="Cambria" w:hAnsi="Cambria"/>
          <w:sz w:val="16"/>
          <w:szCs w:val="16"/>
        </w:rPr>
        <w:footnoteRef/>
      </w:r>
      <w:r w:rsidRPr="0007241F">
        <w:rPr>
          <w:rFonts w:ascii="Cambria" w:hAnsi="Cambria"/>
          <w:sz w:val="16"/>
          <w:szCs w:val="16"/>
          <w:lang w:val="es-CO"/>
        </w:rPr>
        <w:t xml:space="preserve"> </w:t>
      </w:r>
      <w:r w:rsidR="0007241F" w:rsidRPr="0007241F">
        <w:rPr>
          <w:rFonts w:ascii="Cambria" w:hAnsi="Cambria"/>
          <w:sz w:val="16"/>
          <w:szCs w:val="16"/>
          <w:lang w:val="es-VE"/>
        </w:rPr>
        <w:t>Ver</w:t>
      </w:r>
      <w:r w:rsidRPr="0007241F">
        <w:rPr>
          <w:rFonts w:ascii="Cambria" w:hAnsi="Cambria"/>
          <w:sz w:val="16"/>
          <w:szCs w:val="16"/>
          <w:lang w:val="es-VE"/>
        </w:rPr>
        <w:t xml:space="preserve"> </w:t>
      </w:r>
      <w:r w:rsidRPr="0007241F">
        <w:rPr>
          <w:rFonts w:ascii="Cambria" w:hAnsi="Cambria"/>
          <w:sz w:val="16"/>
          <w:szCs w:val="16"/>
          <w:lang w:val="es-ES"/>
        </w:rPr>
        <w:t xml:space="preserve">CIDH, Informe Anual 2022, Capítulo II, Sección </w:t>
      </w:r>
      <w:r w:rsidR="0007241F" w:rsidRPr="0007241F">
        <w:rPr>
          <w:rFonts w:ascii="Cambria" w:hAnsi="Cambria"/>
          <w:sz w:val="16"/>
          <w:szCs w:val="16"/>
          <w:lang w:val="es-ES"/>
        </w:rPr>
        <w:t>C</w:t>
      </w:r>
      <w:r w:rsidRPr="0007241F">
        <w:rPr>
          <w:rFonts w:ascii="Cambria" w:hAnsi="Cambria"/>
          <w:sz w:val="16"/>
          <w:szCs w:val="16"/>
          <w:lang w:val="es-ES"/>
        </w:rPr>
        <w:t xml:space="preserve">. </w:t>
      </w:r>
      <w:r w:rsidR="0007241F" w:rsidRPr="0007241F">
        <w:rPr>
          <w:rFonts w:ascii="Cambria" w:hAnsi="Cambria"/>
          <w:sz w:val="16"/>
          <w:szCs w:val="16"/>
          <w:lang w:val="es-ES"/>
        </w:rPr>
        <w:t>Avances y retrocesos en materia de n</w:t>
      </w:r>
      <w:r w:rsidRPr="0007241F">
        <w:rPr>
          <w:rFonts w:ascii="Cambria" w:hAnsi="Cambria"/>
          <w:sz w:val="16"/>
          <w:szCs w:val="16"/>
          <w:lang w:val="es-ES"/>
        </w:rPr>
        <w:t xml:space="preserve">egociación e implementación de acuerdos de solución amistosa. </w:t>
      </w:r>
      <w:r w:rsidRPr="0007241F">
        <w:rPr>
          <w:rFonts w:ascii="Cambria" w:hAnsi="Cambria"/>
          <w:sz w:val="16"/>
          <w:szCs w:val="16"/>
          <w:lang w:val="es-CO"/>
        </w:rPr>
        <w:t>Disponible en</w:t>
      </w:r>
      <w:r w:rsidRPr="0007241F">
        <w:rPr>
          <w:rFonts w:ascii="Cambria" w:hAnsi="Cambria"/>
          <w:sz w:val="16"/>
          <w:szCs w:val="16"/>
          <w:lang w:val="es-VE"/>
        </w:rPr>
        <w:t xml:space="preserve"> </w:t>
      </w:r>
      <w:hyperlink r:id="rId2" w:history="1">
        <w:r w:rsidRPr="0007241F">
          <w:rPr>
            <w:rStyle w:val="Hyperlink"/>
            <w:rFonts w:ascii="Cambria" w:hAnsi="Cambria"/>
            <w:sz w:val="16"/>
            <w:szCs w:val="16"/>
            <w:lang w:val="es-CO"/>
          </w:rPr>
          <w:t>https://www.oas.org/es/cidh/docs/anual/2022/capitulos/4-IA2022_Cap_2_ES.pdf</w:t>
        </w:r>
      </w:hyperlink>
      <w:r w:rsidR="0007241F" w:rsidRPr="004A6A71">
        <w:rPr>
          <w:rFonts w:ascii="Cambria" w:hAnsi="Cambria"/>
          <w:sz w:val="16"/>
          <w:szCs w:val="16"/>
          <w:lang w:val="es-CO"/>
        </w:rPr>
        <w:t>.</w:t>
      </w:r>
      <w:r w:rsidRPr="0007241F">
        <w:rPr>
          <w:rFonts w:ascii="Cambria" w:hAnsi="Cambria"/>
          <w:sz w:val="16"/>
          <w:szCs w:val="16"/>
          <w:lang w:val="es-CO"/>
        </w:rPr>
        <w:t xml:space="preserve"> </w:t>
      </w:r>
    </w:p>
  </w:footnote>
  <w:footnote w:id="4">
    <w:p w14:paraId="265112FC" w14:textId="0AEE4188" w:rsidR="00FF02F3" w:rsidRPr="0007241F" w:rsidRDefault="00FF02F3" w:rsidP="0007241F">
      <w:pPr>
        <w:pStyle w:val="FootnoteText"/>
        <w:spacing w:after="0" w:line="240" w:lineRule="auto"/>
        <w:ind w:firstLine="709"/>
        <w:jc w:val="both"/>
        <w:rPr>
          <w:rFonts w:ascii="Cambria" w:hAnsi="Cambria"/>
          <w:sz w:val="16"/>
          <w:szCs w:val="16"/>
          <w:lang w:val="es-VE"/>
        </w:rPr>
      </w:pPr>
      <w:r w:rsidRPr="0007241F">
        <w:rPr>
          <w:rStyle w:val="FootnoteReference"/>
          <w:rFonts w:ascii="Cambria" w:hAnsi="Cambria"/>
          <w:sz w:val="16"/>
          <w:szCs w:val="16"/>
        </w:rPr>
        <w:footnoteRef/>
      </w:r>
      <w:r w:rsidRPr="0007241F">
        <w:rPr>
          <w:rFonts w:ascii="Cambria" w:hAnsi="Cambria"/>
          <w:sz w:val="16"/>
          <w:szCs w:val="16"/>
          <w:lang w:val="es-VE"/>
        </w:rPr>
        <w:t xml:space="preserve"> </w:t>
      </w:r>
      <w:r w:rsidR="0007241F" w:rsidRPr="0007241F">
        <w:rPr>
          <w:rFonts w:ascii="Cambria" w:hAnsi="Cambria"/>
          <w:sz w:val="16"/>
          <w:szCs w:val="16"/>
          <w:lang w:val="es-VE"/>
        </w:rPr>
        <w:t xml:space="preserve">Ver </w:t>
      </w:r>
      <w:r w:rsidRPr="0007241F">
        <w:rPr>
          <w:rFonts w:ascii="Cambria" w:hAnsi="Cambria"/>
          <w:sz w:val="16"/>
          <w:szCs w:val="16"/>
          <w:lang w:val="es-ES"/>
        </w:rPr>
        <w:t xml:space="preserve">CIDH, Informe Anual 2021, Capítulo II, Sección F. </w:t>
      </w:r>
      <w:r w:rsidR="0007241F" w:rsidRPr="0007241F">
        <w:rPr>
          <w:rFonts w:ascii="Cambria" w:hAnsi="Cambria"/>
          <w:sz w:val="16"/>
          <w:szCs w:val="16"/>
          <w:lang w:val="es-ES"/>
        </w:rPr>
        <w:t>Avances y retrocesos en materia de n</w:t>
      </w:r>
      <w:r w:rsidRPr="0007241F">
        <w:rPr>
          <w:rFonts w:ascii="Cambria" w:hAnsi="Cambria"/>
          <w:sz w:val="16"/>
          <w:szCs w:val="16"/>
          <w:lang w:val="es-ES"/>
        </w:rPr>
        <w:t xml:space="preserve">egociación e implementación de acuerdos de solución amistosa. </w:t>
      </w:r>
      <w:r w:rsidRPr="0007241F">
        <w:rPr>
          <w:rFonts w:ascii="Cambria" w:hAnsi="Cambria"/>
          <w:sz w:val="16"/>
          <w:szCs w:val="16"/>
          <w:lang w:val="es-CO"/>
        </w:rPr>
        <w:t>Disponible en</w:t>
      </w:r>
      <w:r w:rsidRPr="0007241F">
        <w:rPr>
          <w:rFonts w:ascii="Cambria" w:hAnsi="Cambria"/>
          <w:sz w:val="16"/>
          <w:szCs w:val="16"/>
          <w:lang w:val="es-VE"/>
        </w:rPr>
        <w:t xml:space="preserve"> </w:t>
      </w:r>
      <w:hyperlink r:id="rId3" w:history="1">
        <w:r w:rsidRPr="0007241F">
          <w:rPr>
            <w:rStyle w:val="Hyperlink"/>
            <w:rFonts w:ascii="Cambria" w:hAnsi="Cambria"/>
            <w:sz w:val="16"/>
            <w:szCs w:val="16"/>
            <w:lang w:val="es-VE"/>
          </w:rPr>
          <w:t>https://www.oas.org/es/cidh/docs/anual/2021/capitulos/IA2021cap2-es.pdf</w:t>
        </w:r>
      </w:hyperlink>
      <w:r w:rsidRPr="0007241F">
        <w:rPr>
          <w:rFonts w:ascii="Cambria" w:hAnsi="Cambria"/>
          <w:sz w:val="16"/>
          <w:szCs w:val="16"/>
          <w:lang w:val="es-VE"/>
        </w:rPr>
        <w:t>.</w:t>
      </w:r>
    </w:p>
  </w:footnote>
  <w:footnote w:id="5">
    <w:p w14:paraId="0F520931" w14:textId="16212C2D" w:rsidR="00FF02F3" w:rsidRPr="0007241F" w:rsidRDefault="00FF02F3" w:rsidP="0007241F">
      <w:pPr>
        <w:pStyle w:val="FootnoteText"/>
        <w:spacing w:after="0" w:line="240" w:lineRule="auto"/>
        <w:ind w:firstLine="709"/>
        <w:jc w:val="both"/>
        <w:rPr>
          <w:rFonts w:ascii="Cambria" w:hAnsi="Cambria"/>
          <w:sz w:val="16"/>
          <w:szCs w:val="16"/>
          <w:lang w:val="es-CO"/>
        </w:rPr>
      </w:pPr>
      <w:r w:rsidRPr="0007241F">
        <w:rPr>
          <w:rStyle w:val="FootnoteReference"/>
          <w:rFonts w:ascii="Cambria" w:hAnsi="Cambria"/>
          <w:sz w:val="16"/>
          <w:szCs w:val="16"/>
        </w:rPr>
        <w:footnoteRef/>
      </w:r>
      <w:r w:rsidRPr="0007241F">
        <w:rPr>
          <w:rFonts w:ascii="Cambria" w:hAnsi="Cambria"/>
          <w:sz w:val="16"/>
          <w:szCs w:val="16"/>
          <w:lang w:val="es-CO"/>
        </w:rPr>
        <w:t xml:space="preserve"> </w:t>
      </w:r>
      <w:r w:rsidR="0007241F" w:rsidRPr="0007241F">
        <w:rPr>
          <w:rFonts w:ascii="Cambria" w:hAnsi="Cambria"/>
          <w:sz w:val="16"/>
          <w:szCs w:val="16"/>
          <w:lang w:val="es-VE"/>
        </w:rPr>
        <w:t xml:space="preserve">Ver </w:t>
      </w:r>
      <w:r w:rsidR="0007241F" w:rsidRPr="0007241F">
        <w:rPr>
          <w:rFonts w:ascii="Cambria" w:hAnsi="Cambria"/>
          <w:sz w:val="16"/>
          <w:szCs w:val="16"/>
          <w:lang w:val="es-ES"/>
        </w:rPr>
        <w:t xml:space="preserve">CIDH, Informe Anual 2022, Capítulo II, Sección C. Avances y retrocesos en materia de negociación e implementación de acuerdos de solución amistosa. </w:t>
      </w:r>
      <w:r w:rsidR="0007241F" w:rsidRPr="0007241F">
        <w:rPr>
          <w:rFonts w:ascii="Cambria" w:hAnsi="Cambria"/>
          <w:sz w:val="16"/>
          <w:szCs w:val="16"/>
          <w:lang w:val="es-CO"/>
        </w:rPr>
        <w:t>Disponible en</w:t>
      </w:r>
      <w:r w:rsidR="0007241F" w:rsidRPr="0007241F">
        <w:rPr>
          <w:rFonts w:ascii="Cambria" w:hAnsi="Cambria"/>
          <w:sz w:val="16"/>
          <w:szCs w:val="16"/>
          <w:lang w:val="es-VE"/>
        </w:rPr>
        <w:t xml:space="preserve"> </w:t>
      </w:r>
      <w:hyperlink r:id="rId4" w:history="1">
        <w:r w:rsidR="0007241F" w:rsidRPr="0007241F">
          <w:rPr>
            <w:rStyle w:val="Hyperlink"/>
            <w:rFonts w:ascii="Cambria" w:hAnsi="Cambria"/>
            <w:sz w:val="16"/>
            <w:szCs w:val="16"/>
            <w:lang w:val="es-CO"/>
          </w:rPr>
          <w:t>https://www.oas.org/es/cidh/docs/anual/2022/capitulos/4-IA2022_Cap_2_ES.pdf</w:t>
        </w:r>
      </w:hyperlink>
      <w:r w:rsidR="0007241F" w:rsidRPr="004A6A71">
        <w:rPr>
          <w:rFonts w:ascii="Cambria" w:hAnsi="Cambria"/>
          <w:sz w:val="16"/>
          <w:szCs w:val="16"/>
          <w:lang w:val="es-CO"/>
        </w:rPr>
        <w:t>.</w:t>
      </w:r>
      <w:r w:rsidR="0007241F" w:rsidRPr="0007241F">
        <w:rPr>
          <w:rFonts w:ascii="Cambria" w:hAnsi="Cambria"/>
          <w:sz w:val="16"/>
          <w:szCs w:val="16"/>
          <w:lang w:val="es-CO"/>
        </w:rPr>
        <w:t xml:space="preserve"> </w:t>
      </w:r>
      <w:r w:rsidR="0007241F" w:rsidRPr="0007241F">
        <w:rPr>
          <w:rFonts w:ascii="Cambria" w:hAnsi="Cambria"/>
          <w:sz w:val="16"/>
          <w:szCs w:val="16"/>
          <w:lang w:val="es-ES"/>
        </w:rPr>
        <w:t xml:space="preserve"> </w:t>
      </w:r>
    </w:p>
  </w:footnote>
  <w:footnote w:id="6">
    <w:p w14:paraId="3F814DD2" w14:textId="761DEBC4" w:rsidR="0007241F" w:rsidRPr="0007241F" w:rsidRDefault="0007241F" w:rsidP="0007241F">
      <w:pPr>
        <w:pStyle w:val="FootnoteText"/>
        <w:spacing w:after="0" w:line="240" w:lineRule="auto"/>
        <w:ind w:firstLine="709"/>
        <w:jc w:val="both"/>
        <w:rPr>
          <w:rFonts w:ascii="Cambria" w:hAnsi="Cambria"/>
          <w:sz w:val="16"/>
          <w:szCs w:val="16"/>
          <w:lang w:val="es-ES_tradnl"/>
        </w:rPr>
      </w:pPr>
      <w:r w:rsidRPr="0007241F">
        <w:rPr>
          <w:rStyle w:val="FootnoteReference"/>
          <w:rFonts w:ascii="Cambria" w:hAnsi="Cambria"/>
          <w:sz w:val="16"/>
          <w:szCs w:val="16"/>
        </w:rPr>
        <w:footnoteRef/>
      </w:r>
      <w:r w:rsidRPr="004A6A71">
        <w:rPr>
          <w:rFonts w:ascii="Cambria" w:hAnsi="Cambria"/>
          <w:sz w:val="16"/>
          <w:szCs w:val="16"/>
          <w:lang w:val="es-CO"/>
        </w:rPr>
        <w:t xml:space="preserve"> </w:t>
      </w:r>
      <w:r w:rsidRPr="0007241F">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5" w:history="1">
        <w:r w:rsidRPr="0007241F">
          <w:rPr>
            <w:rStyle w:val="Hyperlink"/>
            <w:rFonts w:ascii="Cambria" w:hAnsi="Cambria"/>
            <w:sz w:val="16"/>
            <w:szCs w:val="16"/>
            <w:lang w:val="es-ES_tradnl"/>
          </w:rPr>
          <w:t>https://www.oas.org/es/cidh/docs/anual/2024/capitulos/IA2024_2_ES.pdf</w:t>
        </w:r>
      </w:hyperlink>
      <w:r w:rsidRPr="0007241F">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25924F48" w14:textId="64E74317" w:rsidR="004A6A71" w:rsidRPr="00234F67" w:rsidRDefault="00991302" w:rsidP="00234F67">
    <w:pPr>
      <w:pStyle w:val="Header"/>
      <w:jc w:val="center"/>
      <w:rPr>
        <w:lang w:val="es-ES_tradnl"/>
      </w:rPr>
    </w:pPr>
    <w:bookmarkStart w:id="0" w:name="_Hlk204342513"/>
    <w:r>
      <w:rPr>
        <w:noProof/>
      </w:rPr>
      <w:pict w14:anchorId="78F833C7">
        <v:rect id="_x0000_i1025" alt="" style="width:441.9pt;height:.05pt;mso-width-percent:0;mso-height-percent:0;mso-width-percent:0;mso-height-percent:0" o:hralign="center" o:hrstd="t" o:hr="t" fillcolor="#a0a0a0" stroked="f"/>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991302"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0490"/>
    <w:multiLevelType w:val="multilevel"/>
    <w:tmpl w:val="01BCC258"/>
    <w:lvl w:ilvl="0">
      <w:start w:val="1"/>
      <w:numFmt w:val="upperRoman"/>
      <w:lvlText w:val="%1."/>
      <w:lvlJc w:val="left"/>
      <w:pPr>
        <w:tabs>
          <w:tab w:val="num" w:pos="720"/>
        </w:tabs>
        <w:ind w:left="1440" w:hanging="72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B855E7"/>
    <w:multiLevelType w:val="hybridMultilevel"/>
    <w:tmpl w:val="DBF4BDF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601046A"/>
    <w:multiLevelType w:val="multilevel"/>
    <w:tmpl w:val="52C6D64C"/>
    <w:lvl w:ilvl="0">
      <w:start w:val="1"/>
      <w:numFmt w:val="upperRoman"/>
      <w:lvlText w:val="%1."/>
      <w:lvlJc w:val="left"/>
      <w:pPr>
        <w:tabs>
          <w:tab w:val="num" w:pos="720"/>
        </w:tabs>
        <w:ind w:left="1440" w:hanging="72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8A08D2"/>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326322">
    <w:abstractNumId w:val="0"/>
  </w:num>
  <w:num w:numId="2" w16cid:durableId="1695957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412844">
    <w:abstractNumId w:val="2"/>
  </w:num>
  <w:num w:numId="4" w16cid:durableId="402728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534976">
    <w:abstractNumId w:val="3"/>
  </w:num>
  <w:num w:numId="6" w16cid:durableId="10173114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13128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31E01"/>
    <w:rsid w:val="00033B04"/>
    <w:rsid w:val="00035689"/>
    <w:rsid w:val="00037EE7"/>
    <w:rsid w:val="0005228B"/>
    <w:rsid w:val="0006625E"/>
    <w:rsid w:val="0007241F"/>
    <w:rsid w:val="00074C00"/>
    <w:rsid w:val="00082741"/>
    <w:rsid w:val="00082B16"/>
    <w:rsid w:val="000840A1"/>
    <w:rsid w:val="000A1EFD"/>
    <w:rsid w:val="000B5A2E"/>
    <w:rsid w:val="000D73E4"/>
    <w:rsid w:val="000F4520"/>
    <w:rsid w:val="0010578C"/>
    <w:rsid w:val="00106C59"/>
    <w:rsid w:val="00136D54"/>
    <w:rsid w:val="00151983"/>
    <w:rsid w:val="0015583C"/>
    <w:rsid w:val="00163E52"/>
    <w:rsid w:val="00183508"/>
    <w:rsid w:val="00193906"/>
    <w:rsid w:val="001C0A6D"/>
    <w:rsid w:val="001C230A"/>
    <w:rsid w:val="001F495A"/>
    <w:rsid w:val="0021669C"/>
    <w:rsid w:val="00217A39"/>
    <w:rsid w:val="00217F58"/>
    <w:rsid w:val="00234AA8"/>
    <w:rsid w:val="00234F67"/>
    <w:rsid w:val="00250058"/>
    <w:rsid w:val="0025651E"/>
    <w:rsid w:val="002659F6"/>
    <w:rsid w:val="002A1ED6"/>
    <w:rsid w:val="002A39B2"/>
    <w:rsid w:val="002A7539"/>
    <w:rsid w:val="002B0B2A"/>
    <w:rsid w:val="002C446E"/>
    <w:rsid w:val="002C76AC"/>
    <w:rsid w:val="00300DA5"/>
    <w:rsid w:val="00301A2A"/>
    <w:rsid w:val="0030543F"/>
    <w:rsid w:val="0032092C"/>
    <w:rsid w:val="003358E6"/>
    <w:rsid w:val="00336E4E"/>
    <w:rsid w:val="003412B2"/>
    <w:rsid w:val="00360412"/>
    <w:rsid w:val="00363E14"/>
    <w:rsid w:val="00393310"/>
    <w:rsid w:val="003A00B1"/>
    <w:rsid w:val="003D4630"/>
    <w:rsid w:val="003E3690"/>
    <w:rsid w:val="003E4B42"/>
    <w:rsid w:val="003F417D"/>
    <w:rsid w:val="003F437F"/>
    <w:rsid w:val="0040037B"/>
    <w:rsid w:val="00403841"/>
    <w:rsid w:val="0041423F"/>
    <w:rsid w:val="00415FF2"/>
    <w:rsid w:val="00450646"/>
    <w:rsid w:val="004633EB"/>
    <w:rsid w:val="0047175E"/>
    <w:rsid w:val="00483B3C"/>
    <w:rsid w:val="00483CF7"/>
    <w:rsid w:val="00486911"/>
    <w:rsid w:val="004A15BA"/>
    <w:rsid w:val="004A4561"/>
    <w:rsid w:val="004A4FAC"/>
    <w:rsid w:val="004A50A1"/>
    <w:rsid w:val="004A6A71"/>
    <w:rsid w:val="004A752C"/>
    <w:rsid w:val="004C4D9C"/>
    <w:rsid w:val="004D7999"/>
    <w:rsid w:val="004F3B49"/>
    <w:rsid w:val="00513A38"/>
    <w:rsid w:val="00525898"/>
    <w:rsid w:val="005310FB"/>
    <w:rsid w:val="00533294"/>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1516F"/>
    <w:rsid w:val="00627C9D"/>
    <w:rsid w:val="00631A43"/>
    <w:rsid w:val="00650D57"/>
    <w:rsid w:val="006518D8"/>
    <w:rsid w:val="006753A9"/>
    <w:rsid w:val="006929AA"/>
    <w:rsid w:val="0069586A"/>
    <w:rsid w:val="006964C0"/>
    <w:rsid w:val="006A592E"/>
    <w:rsid w:val="006A6CAF"/>
    <w:rsid w:val="006B3D07"/>
    <w:rsid w:val="006B7793"/>
    <w:rsid w:val="006D2360"/>
    <w:rsid w:val="006E0736"/>
    <w:rsid w:val="006E23B9"/>
    <w:rsid w:val="006F0429"/>
    <w:rsid w:val="0070714C"/>
    <w:rsid w:val="0073374A"/>
    <w:rsid w:val="00741FC9"/>
    <w:rsid w:val="00745807"/>
    <w:rsid w:val="007546B7"/>
    <w:rsid w:val="007779B2"/>
    <w:rsid w:val="0078116D"/>
    <w:rsid w:val="00783682"/>
    <w:rsid w:val="0078691F"/>
    <w:rsid w:val="007A6889"/>
    <w:rsid w:val="007B23CA"/>
    <w:rsid w:val="007B6F7C"/>
    <w:rsid w:val="007C2CC3"/>
    <w:rsid w:val="007C351D"/>
    <w:rsid w:val="007D543E"/>
    <w:rsid w:val="007E0A0A"/>
    <w:rsid w:val="007E3059"/>
    <w:rsid w:val="007E346D"/>
    <w:rsid w:val="007E4ED5"/>
    <w:rsid w:val="007E7421"/>
    <w:rsid w:val="007F5A92"/>
    <w:rsid w:val="007F5F4E"/>
    <w:rsid w:val="007F7616"/>
    <w:rsid w:val="0080116E"/>
    <w:rsid w:val="008012A4"/>
    <w:rsid w:val="008060DE"/>
    <w:rsid w:val="00807BAA"/>
    <w:rsid w:val="008134EF"/>
    <w:rsid w:val="00823877"/>
    <w:rsid w:val="008437F1"/>
    <w:rsid w:val="00847A17"/>
    <w:rsid w:val="00853897"/>
    <w:rsid w:val="00854C6B"/>
    <w:rsid w:val="008550EF"/>
    <w:rsid w:val="00863192"/>
    <w:rsid w:val="008776EB"/>
    <w:rsid w:val="0089637D"/>
    <w:rsid w:val="008A3BA4"/>
    <w:rsid w:val="008D3166"/>
    <w:rsid w:val="008E1A23"/>
    <w:rsid w:val="008E72CA"/>
    <w:rsid w:val="00911130"/>
    <w:rsid w:val="00913BF3"/>
    <w:rsid w:val="00917950"/>
    <w:rsid w:val="00931D14"/>
    <w:rsid w:val="009331A5"/>
    <w:rsid w:val="00933A89"/>
    <w:rsid w:val="00936FD6"/>
    <w:rsid w:val="00944F57"/>
    <w:rsid w:val="009477D5"/>
    <w:rsid w:val="009603DF"/>
    <w:rsid w:val="00977EF7"/>
    <w:rsid w:val="00991302"/>
    <w:rsid w:val="00996A1D"/>
    <w:rsid w:val="009A542A"/>
    <w:rsid w:val="009B480D"/>
    <w:rsid w:val="009C4D87"/>
    <w:rsid w:val="009D20DE"/>
    <w:rsid w:val="009D3412"/>
    <w:rsid w:val="009D3B59"/>
    <w:rsid w:val="009D4C34"/>
    <w:rsid w:val="009D50E2"/>
    <w:rsid w:val="009F0FEB"/>
    <w:rsid w:val="009F1C70"/>
    <w:rsid w:val="009F4D7F"/>
    <w:rsid w:val="009F5033"/>
    <w:rsid w:val="00A01DB8"/>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D5A1F"/>
    <w:rsid w:val="00AE1B0F"/>
    <w:rsid w:val="00AE6BE2"/>
    <w:rsid w:val="00AF0CEC"/>
    <w:rsid w:val="00B036BC"/>
    <w:rsid w:val="00B056D9"/>
    <w:rsid w:val="00B2161A"/>
    <w:rsid w:val="00B22024"/>
    <w:rsid w:val="00B37978"/>
    <w:rsid w:val="00B46E94"/>
    <w:rsid w:val="00B5680B"/>
    <w:rsid w:val="00B703B3"/>
    <w:rsid w:val="00B75824"/>
    <w:rsid w:val="00B806AC"/>
    <w:rsid w:val="00B90B9D"/>
    <w:rsid w:val="00B91D8E"/>
    <w:rsid w:val="00B93993"/>
    <w:rsid w:val="00BA4AC9"/>
    <w:rsid w:val="00BE2369"/>
    <w:rsid w:val="00BF33B2"/>
    <w:rsid w:val="00C04C07"/>
    <w:rsid w:val="00C1382E"/>
    <w:rsid w:val="00C345B0"/>
    <w:rsid w:val="00C40F2C"/>
    <w:rsid w:val="00C5546C"/>
    <w:rsid w:val="00C6263A"/>
    <w:rsid w:val="00C70DD0"/>
    <w:rsid w:val="00C74AF5"/>
    <w:rsid w:val="00CA2777"/>
    <w:rsid w:val="00CA3AA8"/>
    <w:rsid w:val="00CB65EF"/>
    <w:rsid w:val="00CC4274"/>
    <w:rsid w:val="00CC722B"/>
    <w:rsid w:val="00CE4E6F"/>
    <w:rsid w:val="00D05BCC"/>
    <w:rsid w:val="00D13990"/>
    <w:rsid w:val="00D222B7"/>
    <w:rsid w:val="00D30694"/>
    <w:rsid w:val="00D36A3D"/>
    <w:rsid w:val="00D5166A"/>
    <w:rsid w:val="00D60CAC"/>
    <w:rsid w:val="00D65C8F"/>
    <w:rsid w:val="00D73768"/>
    <w:rsid w:val="00D82E91"/>
    <w:rsid w:val="00DA4CEB"/>
    <w:rsid w:val="00DD4F27"/>
    <w:rsid w:val="00DD5F5A"/>
    <w:rsid w:val="00DD7443"/>
    <w:rsid w:val="00DF0FE5"/>
    <w:rsid w:val="00E04605"/>
    <w:rsid w:val="00E06D52"/>
    <w:rsid w:val="00E2035C"/>
    <w:rsid w:val="00E24DFC"/>
    <w:rsid w:val="00E26E89"/>
    <w:rsid w:val="00E274AA"/>
    <w:rsid w:val="00E3040C"/>
    <w:rsid w:val="00E30888"/>
    <w:rsid w:val="00E43B1F"/>
    <w:rsid w:val="00E5030A"/>
    <w:rsid w:val="00E52331"/>
    <w:rsid w:val="00E62255"/>
    <w:rsid w:val="00E77756"/>
    <w:rsid w:val="00E82EF8"/>
    <w:rsid w:val="00EB3ACF"/>
    <w:rsid w:val="00EC03C5"/>
    <w:rsid w:val="00EC64BF"/>
    <w:rsid w:val="00ED4C58"/>
    <w:rsid w:val="00ED518E"/>
    <w:rsid w:val="00EF1BD7"/>
    <w:rsid w:val="00EF5064"/>
    <w:rsid w:val="00F0294F"/>
    <w:rsid w:val="00F06E69"/>
    <w:rsid w:val="00F07B09"/>
    <w:rsid w:val="00F16469"/>
    <w:rsid w:val="00F267EC"/>
    <w:rsid w:val="00F306C1"/>
    <w:rsid w:val="00F3661B"/>
    <w:rsid w:val="00F47E8A"/>
    <w:rsid w:val="00F52F31"/>
    <w:rsid w:val="00F54F60"/>
    <w:rsid w:val="00F66FEE"/>
    <w:rsid w:val="00F72E41"/>
    <w:rsid w:val="00F80DF4"/>
    <w:rsid w:val="00FB48F2"/>
    <w:rsid w:val="00FC0266"/>
    <w:rsid w:val="00FC66C2"/>
    <w:rsid w:val="00FD09E6"/>
    <w:rsid w:val="00FD7ED8"/>
    <w:rsid w:val="00FF02F3"/>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5"/>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 w:type="character" w:customStyle="1" w:styleId="normaltextrun">
    <w:name w:val="normaltextrun"/>
    <w:basedOn w:val="DefaultParagraphFont"/>
    <w:rsid w:val="00C6263A"/>
  </w:style>
  <w:style w:type="character" w:customStyle="1" w:styleId="ui-provider">
    <w:name w:val="ui-provider"/>
    <w:basedOn w:val="DefaultParagraphFont"/>
    <w:rsid w:val="0081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20/cosa13370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0/cosa13370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17/coad272-07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1/capitulos/IA2021cap2-es.pdf" TargetMode="External"/><Relationship Id="rId2" Type="http://schemas.openxmlformats.org/officeDocument/2006/relationships/hyperlink" Target="https://www.oas.org/es/cidh/docs/anual/2022/capitulos/4-IA2022_Cap_2_ES.pdf" TargetMode="External"/><Relationship Id="rId1" Type="http://schemas.openxmlformats.org/officeDocument/2006/relationships/hyperlink" Target="http://www.oas.org/es/cidh/decisiones/2020/cosa13370es.pdf" TargetMode="External"/><Relationship Id="rId5" Type="http://schemas.openxmlformats.org/officeDocument/2006/relationships/hyperlink" Target="https://www.oas.org/es/cidh/docs/anual/2024/capitulos/IA2024_2_ES.pdf" TargetMode="External"/><Relationship Id="rId4" Type="http://schemas.openxmlformats.org/officeDocument/2006/relationships/hyperlink" Target="https://www.oas.org/es/cidh/docs/anual/2022/capitulos/4-IA2022_Cap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238D-6BB0-415B-91A8-9F156BF5E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34518470-AFB5-448B-96E2-323D80CE8D3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4</Pages>
  <Words>1485</Words>
  <Characters>8466</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9932</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2025-07-25T18:03:00Z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