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F7B33" w14:textId="77777777" w:rsidR="002659F6" w:rsidRPr="007E0A0A" w:rsidRDefault="002659F6" w:rsidP="007E0A0A">
      <w:pPr>
        <w:suppressAutoHyphens/>
        <w:spacing w:after="0" w:line="240" w:lineRule="auto"/>
        <w:ind w:right="-270"/>
        <w:jc w:val="center"/>
        <w:rPr>
          <w:rFonts w:ascii="Cambria" w:eastAsia="Batang" w:hAnsi="Cambria"/>
          <w:b/>
          <w:sz w:val="24"/>
          <w:szCs w:val="24"/>
          <w:lang w:val="es-CO"/>
        </w:rPr>
      </w:pPr>
    </w:p>
    <w:p w14:paraId="532EB7EA" w14:textId="4890DD28" w:rsidR="002659F6" w:rsidRPr="007E0A0A" w:rsidRDefault="002659F6" w:rsidP="007E0A0A">
      <w:pPr>
        <w:suppressAutoHyphens/>
        <w:spacing w:after="0" w:line="240" w:lineRule="auto"/>
        <w:ind w:right="-270"/>
        <w:jc w:val="center"/>
        <w:rPr>
          <w:rFonts w:ascii="Cambria" w:eastAsia="Batang" w:hAnsi="Cambria"/>
          <w:b/>
          <w:sz w:val="24"/>
          <w:szCs w:val="24"/>
          <w:lang w:val="es-CO"/>
        </w:rPr>
      </w:pPr>
      <w:r w:rsidRPr="007E0A0A">
        <w:rPr>
          <w:rFonts w:ascii="Cambria" w:eastAsia="Batang" w:hAnsi="Cambria"/>
          <w:b/>
          <w:sz w:val="24"/>
          <w:szCs w:val="24"/>
          <w:lang w:val="es-CO"/>
        </w:rPr>
        <w:t>FICHA TÉCNICA INFORMATIVA</w:t>
      </w:r>
    </w:p>
    <w:p w14:paraId="62ACF499" w14:textId="73B1877B" w:rsidR="00F3661B" w:rsidRPr="007E0A0A" w:rsidRDefault="00F3661B" w:rsidP="007E0A0A">
      <w:pPr>
        <w:suppressAutoHyphens/>
        <w:spacing w:after="0" w:line="240" w:lineRule="auto"/>
        <w:ind w:right="-270"/>
        <w:jc w:val="center"/>
        <w:rPr>
          <w:rFonts w:ascii="Cambria" w:eastAsia="Batang" w:hAnsi="Cambria"/>
          <w:b/>
          <w:sz w:val="24"/>
          <w:szCs w:val="24"/>
          <w:lang w:val="es-CO"/>
        </w:rPr>
      </w:pPr>
      <w:r w:rsidRPr="007E0A0A">
        <w:rPr>
          <w:rFonts w:ascii="Cambria" w:eastAsia="Batang" w:hAnsi="Cambria"/>
          <w:b/>
          <w:sz w:val="24"/>
          <w:szCs w:val="24"/>
          <w:lang w:val="es-CO"/>
        </w:rPr>
        <w:t xml:space="preserve">CASO </w:t>
      </w:r>
      <w:r w:rsidR="008134EF" w:rsidRPr="007E0A0A">
        <w:rPr>
          <w:rFonts w:ascii="Cambria" w:eastAsia="Batang" w:hAnsi="Cambria"/>
          <w:b/>
          <w:sz w:val="24"/>
          <w:szCs w:val="24"/>
          <w:lang w:val="es-CO"/>
        </w:rPr>
        <w:t>13.436 JOSÉ OLEAGUER CORREA CASTRILLÓN</w:t>
      </w:r>
    </w:p>
    <w:p w14:paraId="38A16E1F" w14:textId="39039384" w:rsidR="008E72CA" w:rsidRPr="007E0A0A" w:rsidRDefault="008E72CA" w:rsidP="007E0A0A">
      <w:pPr>
        <w:suppressAutoHyphens/>
        <w:spacing w:after="0" w:line="240" w:lineRule="auto"/>
        <w:ind w:right="-270"/>
        <w:jc w:val="center"/>
        <w:rPr>
          <w:rFonts w:ascii="Cambria" w:eastAsia="Batang" w:hAnsi="Cambria"/>
          <w:b/>
          <w:sz w:val="24"/>
          <w:szCs w:val="24"/>
          <w:lang w:val="es-CO"/>
        </w:rPr>
      </w:pPr>
      <w:r w:rsidRPr="007E0A0A">
        <w:rPr>
          <w:rFonts w:ascii="Cambria" w:eastAsia="Batang" w:hAnsi="Cambria"/>
          <w:b/>
          <w:sz w:val="24"/>
          <w:szCs w:val="24"/>
          <w:lang w:val="es-CO"/>
        </w:rPr>
        <w:t>INFORME DE SOLUCIÓN AMISTOSA</w:t>
      </w:r>
      <w:r w:rsidR="008134EF" w:rsidRPr="007E0A0A">
        <w:rPr>
          <w:rFonts w:ascii="Cambria" w:eastAsia="Batang" w:hAnsi="Cambria"/>
          <w:b/>
          <w:sz w:val="24"/>
          <w:szCs w:val="24"/>
          <w:lang w:val="es-CO"/>
        </w:rPr>
        <w:t xml:space="preserve"> </w:t>
      </w:r>
      <w:hyperlink r:id="rId12" w:history="1">
        <w:r w:rsidR="008134EF" w:rsidRPr="007E0A0A">
          <w:rPr>
            <w:rStyle w:val="Hyperlink"/>
            <w:rFonts w:ascii="Cambria" w:eastAsia="Batang" w:hAnsi="Cambria"/>
            <w:b/>
            <w:sz w:val="24"/>
            <w:szCs w:val="24"/>
            <w:lang w:val="es-CO"/>
          </w:rPr>
          <w:t>No. 67/22</w:t>
        </w:r>
      </w:hyperlink>
    </w:p>
    <w:p w14:paraId="1FDB7C2D" w14:textId="4237882A" w:rsidR="00F3661B" w:rsidRPr="007E0A0A" w:rsidRDefault="002659F6" w:rsidP="007E0A0A">
      <w:pPr>
        <w:suppressAutoHyphens/>
        <w:spacing w:after="0" w:line="240" w:lineRule="auto"/>
        <w:ind w:right="-270"/>
        <w:jc w:val="center"/>
        <w:rPr>
          <w:rFonts w:ascii="Cambria" w:eastAsia="Batang" w:hAnsi="Cambria"/>
          <w:b/>
          <w:sz w:val="24"/>
          <w:szCs w:val="24"/>
          <w:lang w:val="es-CO"/>
        </w:rPr>
      </w:pPr>
      <w:r w:rsidRPr="007E0A0A">
        <w:rPr>
          <w:rFonts w:ascii="Cambria" w:eastAsia="Batang" w:hAnsi="Cambria"/>
          <w:b/>
          <w:sz w:val="24"/>
          <w:szCs w:val="24"/>
          <w:lang w:val="es-CO"/>
        </w:rPr>
        <w:t>CUMPLIMIENTO TOTAL</w:t>
      </w:r>
    </w:p>
    <w:p w14:paraId="7295383B" w14:textId="260ED645" w:rsidR="00035689" w:rsidRPr="007E0A0A" w:rsidRDefault="008E72CA" w:rsidP="007E0A0A">
      <w:pPr>
        <w:suppressAutoHyphens/>
        <w:spacing w:after="0" w:line="240" w:lineRule="auto"/>
        <w:ind w:right="-270"/>
        <w:jc w:val="center"/>
        <w:rPr>
          <w:rFonts w:ascii="Cambria" w:eastAsia="Batang" w:hAnsi="Cambria"/>
          <w:b/>
          <w:sz w:val="24"/>
          <w:szCs w:val="24"/>
          <w:lang w:val="es-CO"/>
        </w:rPr>
      </w:pPr>
      <w:r w:rsidRPr="007E0A0A">
        <w:rPr>
          <w:rFonts w:ascii="Cambria" w:eastAsia="Batang" w:hAnsi="Cambria"/>
          <w:b/>
          <w:sz w:val="24"/>
          <w:szCs w:val="24"/>
          <w:lang w:val="es-CO"/>
        </w:rPr>
        <w:t>(</w:t>
      </w:r>
      <w:r w:rsidR="00033B04" w:rsidRPr="007E0A0A">
        <w:rPr>
          <w:rFonts w:ascii="Cambria" w:eastAsia="Batang" w:hAnsi="Cambria"/>
          <w:b/>
          <w:sz w:val="24"/>
          <w:szCs w:val="24"/>
          <w:lang w:val="es-CO"/>
        </w:rPr>
        <w:t>COLOMBIA</w:t>
      </w:r>
      <w:r w:rsidRPr="007E0A0A">
        <w:rPr>
          <w:rFonts w:ascii="Cambria" w:eastAsia="Batang" w:hAnsi="Cambria"/>
          <w:b/>
          <w:sz w:val="24"/>
          <w:szCs w:val="24"/>
          <w:lang w:val="es-CO"/>
        </w:rPr>
        <w:t>)</w:t>
      </w:r>
    </w:p>
    <w:p w14:paraId="7479FC61" w14:textId="77777777" w:rsidR="008134EF" w:rsidRPr="00B036BC" w:rsidRDefault="008134EF" w:rsidP="00B036BC">
      <w:pPr>
        <w:suppressAutoHyphens/>
        <w:spacing w:after="0" w:line="240" w:lineRule="auto"/>
        <w:ind w:right="-270"/>
        <w:jc w:val="center"/>
        <w:rPr>
          <w:rFonts w:ascii="Cambria" w:eastAsia="Batang" w:hAnsi="Cambria"/>
          <w:b/>
          <w:color w:val="000000"/>
          <w:sz w:val="20"/>
          <w:szCs w:val="20"/>
          <w:lang w:val="es-ES_tradnl"/>
        </w:rPr>
      </w:pPr>
    </w:p>
    <w:p w14:paraId="06D40A35" w14:textId="77777777" w:rsidR="008134EF" w:rsidRPr="00B036BC" w:rsidRDefault="008134EF" w:rsidP="00E27AC4">
      <w:pPr>
        <w:pStyle w:val="ListParagraph"/>
        <w:numPr>
          <w:ilvl w:val="0"/>
          <w:numId w:val="5"/>
        </w:numPr>
        <w:spacing w:after="0" w:line="240" w:lineRule="auto"/>
        <w:ind w:left="0" w:firstLine="720"/>
        <w:rPr>
          <w:rFonts w:ascii="Cambria" w:eastAsia="Batang" w:hAnsi="Cambria" w:cs="Calibri Light"/>
          <w:b/>
          <w:color w:val="000000"/>
          <w:sz w:val="20"/>
          <w:szCs w:val="20"/>
          <w:lang w:val="es-ES_tradnl"/>
        </w:rPr>
      </w:pPr>
      <w:r w:rsidRPr="00B036BC">
        <w:rPr>
          <w:rFonts w:ascii="Cambria" w:eastAsia="Batang" w:hAnsi="Cambria" w:cs="Calibri Light"/>
          <w:b/>
          <w:color w:val="000000"/>
          <w:sz w:val="20"/>
          <w:szCs w:val="20"/>
          <w:lang w:val="es-ES_tradnl"/>
        </w:rPr>
        <w:t xml:space="preserve">RESUMEN DEL CASO </w:t>
      </w:r>
    </w:p>
    <w:p w14:paraId="0F983533" w14:textId="77777777" w:rsidR="008134EF" w:rsidRPr="00B036BC" w:rsidRDefault="008134EF" w:rsidP="00B036BC">
      <w:pPr>
        <w:suppressAutoHyphens/>
        <w:spacing w:after="0" w:line="240" w:lineRule="auto"/>
        <w:rPr>
          <w:rFonts w:ascii="Cambria" w:eastAsia="Batang" w:hAnsi="Cambria" w:cs="Calibri Light"/>
          <w:b/>
          <w:color w:val="000000"/>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8134EF" w:rsidRPr="00E27AC4" w14:paraId="22407392" w14:textId="77777777" w:rsidTr="00B508B7">
        <w:trPr>
          <w:trHeight w:val="5354"/>
          <w:jc w:val="center"/>
        </w:trPr>
        <w:tc>
          <w:tcPr>
            <w:tcW w:w="9576" w:type="dxa"/>
            <w:shd w:val="clear" w:color="auto" w:fill="F2F2F2"/>
          </w:tcPr>
          <w:p w14:paraId="5D3DA3DE" w14:textId="77777777" w:rsidR="008134EF" w:rsidRPr="00B036BC" w:rsidRDefault="008134EF" w:rsidP="00B036BC">
            <w:pPr>
              <w:tabs>
                <w:tab w:val="left" w:pos="9270"/>
              </w:tabs>
              <w:suppressAutoHyphens/>
              <w:spacing w:after="0" w:line="240" w:lineRule="auto"/>
              <w:jc w:val="both"/>
              <w:rPr>
                <w:rFonts w:ascii="Cambria" w:eastAsia="Batang" w:hAnsi="Cambria"/>
                <w:color w:val="000000"/>
                <w:sz w:val="20"/>
                <w:szCs w:val="20"/>
                <w:lang w:val="es-CO"/>
              </w:rPr>
            </w:pPr>
            <w:r w:rsidRPr="00B036BC">
              <w:rPr>
                <w:rFonts w:ascii="Cambria" w:eastAsia="Batang" w:hAnsi="Cambria"/>
                <w:b/>
                <w:color w:val="000000"/>
                <w:sz w:val="20"/>
                <w:szCs w:val="20"/>
                <w:lang w:val="es-ES_tradnl"/>
              </w:rPr>
              <w:t>Víctima (s):</w:t>
            </w:r>
            <w:r w:rsidRPr="00B036BC">
              <w:rPr>
                <w:rFonts w:ascii="Cambria" w:eastAsia="Batang" w:hAnsi="Cambria"/>
                <w:color w:val="000000"/>
                <w:sz w:val="20"/>
                <w:szCs w:val="20"/>
                <w:lang w:val="es-ES_tradnl"/>
              </w:rPr>
              <w:t xml:space="preserve"> </w:t>
            </w:r>
            <w:r w:rsidRPr="00B036BC">
              <w:rPr>
                <w:rFonts w:ascii="Cambria" w:eastAsia="Batang" w:hAnsi="Cambria"/>
                <w:color w:val="000000"/>
                <w:sz w:val="20"/>
                <w:szCs w:val="20"/>
                <w:lang w:val="es-CO"/>
              </w:rPr>
              <w:t>José Oleaguer Correa Castrillón</w:t>
            </w:r>
          </w:p>
          <w:p w14:paraId="20C45A49" w14:textId="400F002F" w:rsidR="008134EF" w:rsidRPr="00B036BC" w:rsidRDefault="008134EF" w:rsidP="00B036BC">
            <w:pPr>
              <w:tabs>
                <w:tab w:val="left" w:pos="9270"/>
              </w:tabs>
              <w:suppressAutoHyphens/>
              <w:spacing w:after="0" w:line="240" w:lineRule="auto"/>
              <w:jc w:val="both"/>
              <w:rPr>
                <w:rFonts w:ascii="Cambria" w:eastAsia="Batang" w:hAnsi="Cambria"/>
                <w:bCs/>
                <w:color w:val="000000"/>
                <w:sz w:val="20"/>
                <w:szCs w:val="20"/>
                <w:lang w:val="es-CO"/>
              </w:rPr>
            </w:pPr>
            <w:r w:rsidRPr="00B036BC">
              <w:rPr>
                <w:rFonts w:ascii="Cambria" w:eastAsia="Batang" w:hAnsi="Cambria"/>
                <w:b/>
                <w:color w:val="000000"/>
                <w:sz w:val="20"/>
                <w:szCs w:val="20"/>
                <w:lang w:val="es-ES_tradnl"/>
              </w:rPr>
              <w:t xml:space="preserve">Peticionario (s): </w:t>
            </w:r>
            <w:r w:rsidRPr="00B036BC">
              <w:rPr>
                <w:rFonts w:ascii="Cambria" w:eastAsia="Batang" w:hAnsi="Cambria"/>
                <w:bCs/>
                <w:color w:val="000000"/>
                <w:sz w:val="20"/>
                <w:szCs w:val="20"/>
                <w:lang w:val="es-CO"/>
              </w:rPr>
              <w:t xml:space="preserve">Javier </w:t>
            </w:r>
            <w:r w:rsidR="00B036BC" w:rsidRPr="00B036BC">
              <w:rPr>
                <w:rFonts w:ascii="Cambria" w:eastAsia="Batang" w:hAnsi="Cambria"/>
                <w:bCs/>
                <w:color w:val="000000"/>
                <w:sz w:val="20"/>
                <w:szCs w:val="20"/>
                <w:lang w:val="es-CO"/>
              </w:rPr>
              <w:t>Leónidas</w:t>
            </w:r>
            <w:r w:rsidRPr="00B036BC">
              <w:rPr>
                <w:rFonts w:ascii="Cambria" w:eastAsia="Batang" w:hAnsi="Cambria"/>
                <w:bCs/>
                <w:color w:val="000000"/>
                <w:sz w:val="20"/>
                <w:szCs w:val="20"/>
                <w:lang w:val="es-CO"/>
              </w:rPr>
              <w:t xml:space="preserve"> Villegas Posada, Yenny Molina</w:t>
            </w:r>
            <w:r w:rsidR="00B036BC" w:rsidRPr="00B036BC">
              <w:rPr>
                <w:rFonts w:ascii="Cambria" w:eastAsia="Batang" w:hAnsi="Cambria"/>
                <w:bCs/>
                <w:color w:val="000000"/>
                <w:sz w:val="20"/>
                <w:szCs w:val="20"/>
                <w:lang w:val="es-CO"/>
              </w:rPr>
              <w:t xml:space="preserve"> y </w:t>
            </w:r>
            <w:r w:rsidRPr="00B036BC">
              <w:rPr>
                <w:rFonts w:ascii="Cambria" w:eastAsia="Batang" w:hAnsi="Cambria"/>
                <w:bCs/>
                <w:color w:val="000000"/>
                <w:sz w:val="20"/>
                <w:szCs w:val="20"/>
                <w:lang w:val="es-CO"/>
              </w:rPr>
              <w:t xml:space="preserve">Sandra Consuelo Villegas </w:t>
            </w:r>
          </w:p>
          <w:p w14:paraId="27C865CF" w14:textId="77777777" w:rsidR="008134EF" w:rsidRPr="00B036BC" w:rsidRDefault="008134EF" w:rsidP="00B036BC">
            <w:pPr>
              <w:tabs>
                <w:tab w:val="left" w:pos="9270"/>
              </w:tabs>
              <w:suppressAutoHyphens/>
              <w:spacing w:after="0" w:line="240" w:lineRule="auto"/>
              <w:jc w:val="both"/>
              <w:rPr>
                <w:rFonts w:ascii="Cambria" w:eastAsia="Batang" w:hAnsi="Cambria"/>
                <w:color w:val="000000"/>
                <w:sz w:val="20"/>
                <w:szCs w:val="20"/>
                <w:lang w:val="es-ES_tradnl"/>
              </w:rPr>
            </w:pPr>
            <w:r w:rsidRPr="00B036BC">
              <w:rPr>
                <w:rFonts w:ascii="Cambria" w:eastAsia="Batang" w:hAnsi="Cambria"/>
                <w:b/>
                <w:color w:val="000000"/>
                <w:sz w:val="20"/>
                <w:szCs w:val="20"/>
                <w:lang w:val="es-ES_tradnl"/>
              </w:rPr>
              <w:t>Estado:</w:t>
            </w:r>
            <w:r w:rsidRPr="00B036BC">
              <w:rPr>
                <w:rFonts w:ascii="Cambria" w:eastAsia="Batang" w:hAnsi="Cambria"/>
                <w:color w:val="000000"/>
                <w:sz w:val="20"/>
                <w:szCs w:val="20"/>
                <w:lang w:val="es-ES_tradnl"/>
              </w:rPr>
              <w:t xml:space="preserve"> Colombia</w:t>
            </w:r>
          </w:p>
          <w:p w14:paraId="4DF66E05" w14:textId="77777777" w:rsidR="008134EF" w:rsidRPr="00B036BC" w:rsidRDefault="008134EF" w:rsidP="00B036BC">
            <w:pPr>
              <w:tabs>
                <w:tab w:val="left" w:pos="9270"/>
              </w:tabs>
              <w:suppressAutoHyphens/>
              <w:spacing w:after="0" w:line="240" w:lineRule="auto"/>
              <w:jc w:val="both"/>
              <w:rPr>
                <w:rFonts w:ascii="Cambria" w:eastAsia="Batang" w:hAnsi="Cambria"/>
                <w:color w:val="000000"/>
                <w:sz w:val="20"/>
                <w:szCs w:val="20"/>
                <w:lang w:val="es-ES_tradnl"/>
              </w:rPr>
            </w:pPr>
            <w:r w:rsidRPr="00B036BC">
              <w:rPr>
                <w:rFonts w:ascii="Cambria" w:hAnsi="Cambria"/>
                <w:b/>
                <w:bCs/>
                <w:color w:val="000000"/>
                <w:sz w:val="20"/>
                <w:szCs w:val="20"/>
                <w:lang w:val="es-ES_tradnl"/>
              </w:rPr>
              <w:t xml:space="preserve">Fecha de inicio de las negociaciones: </w:t>
            </w:r>
            <w:r w:rsidRPr="00B036BC">
              <w:rPr>
                <w:rFonts w:ascii="Cambria" w:hAnsi="Cambria"/>
                <w:color w:val="000000"/>
                <w:sz w:val="20"/>
                <w:szCs w:val="20"/>
                <w:lang w:val="es-ES_tradnl"/>
              </w:rPr>
              <w:t>23 de junio de 2021</w:t>
            </w:r>
          </w:p>
          <w:p w14:paraId="01E79C06" w14:textId="77777777" w:rsidR="008134EF" w:rsidRPr="00B036BC" w:rsidRDefault="008134EF" w:rsidP="00B036BC">
            <w:pPr>
              <w:tabs>
                <w:tab w:val="left" w:pos="9270"/>
              </w:tabs>
              <w:suppressAutoHyphens/>
              <w:spacing w:after="0" w:line="240" w:lineRule="auto"/>
              <w:jc w:val="both"/>
              <w:rPr>
                <w:rFonts w:ascii="Cambria" w:hAnsi="Cambria"/>
                <w:color w:val="000000"/>
                <w:sz w:val="20"/>
                <w:szCs w:val="20"/>
                <w:lang w:val="es-ES_tradnl"/>
              </w:rPr>
            </w:pPr>
            <w:r w:rsidRPr="00B036BC">
              <w:rPr>
                <w:rFonts w:ascii="Cambria" w:hAnsi="Cambria"/>
                <w:b/>
                <w:bCs/>
                <w:color w:val="000000"/>
                <w:sz w:val="20"/>
                <w:szCs w:val="20"/>
                <w:lang w:val="es-ES_tradnl"/>
              </w:rPr>
              <w:t xml:space="preserve">Fecha de Firma de ASA: </w:t>
            </w:r>
            <w:r w:rsidRPr="00B036BC">
              <w:rPr>
                <w:rFonts w:ascii="Cambria" w:hAnsi="Cambria"/>
                <w:color w:val="000000"/>
                <w:sz w:val="20"/>
                <w:szCs w:val="20"/>
                <w:lang w:val="es-ES_tradnl"/>
              </w:rPr>
              <w:t>23 de diciembre de 2021</w:t>
            </w:r>
          </w:p>
          <w:p w14:paraId="2D593C5E" w14:textId="3EA04AB7" w:rsidR="008134EF" w:rsidRPr="00E27AC4" w:rsidRDefault="008134EF" w:rsidP="00B036BC">
            <w:pPr>
              <w:tabs>
                <w:tab w:val="left" w:pos="9270"/>
              </w:tabs>
              <w:suppressAutoHyphens/>
              <w:spacing w:after="0" w:line="240" w:lineRule="auto"/>
              <w:jc w:val="both"/>
              <w:rPr>
                <w:rFonts w:ascii="Cambria" w:hAnsi="Cambria"/>
                <w:color w:val="000000"/>
                <w:sz w:val="20"/>
                <w:szCs w:val="20"/>
                <w:lang w:val="es-CO"/>
              </w:rPr>
            </w:pPr>
            <w:r w:rsidRPr="00E27AC4">
              <w:rPr>
                <w:rFonts w:ascii="Cambria" w:hAnsi="Cambria"/>
                <w:b/>
                <w:bCs/>
                <w:color w:val="000000"/>
                <w:sz w:val="20"/>
                <w:szCs w:val="20"/>
                <w:lang w:val="es-CO"/>
              </w:rPr>
              <w:t>Informe de Admisibilidad N</w:t>
            </w:r>
            <w:r w:rsidR="007E0A0A" w:rsidRPr="00E27AC4">
              <w:rPr>
                <w:rFonts w:ascii="Cambria" w:hAnsi="Cambria"/>
                <w:b/>
                <w:bCs/>
                <w:color w:val="000000"/>
                <w:sz w:val="20"/>
                <w:szCs w:val="20"/>
                <w:lang w:val="es-CO"/>
              </w:rPr>
              <w:t>o</w:t>
            </w:r>
            <w:r w:rsidRPr="00E27AC4">
              <w:rPr>
                <w:rFonts w:ascii="Cambria" w:hAnsi="Cambria"/>
                <w:b/>
                <w:bCs/>
                <w:color w:val="000000"/>
                <w:sz w:val="20"/>
                <w:szCs w:val="20"/>
                <w:lang w:val="es-CO"/>
              </w:rPr>
              <w:t>:</w:t>
            </w:r>
            <w:r w:rsidRPr="00E27AC4">
              <w:rPr>
                <w:rFonts w:ascii="Cambria" w:hAnsi="Cambria"/>
                <w:color w:val="000000"/>
                <w:sz w:val="20"/>
                <w:szCs w:val="20"/>
                <w:lang w:val="es-CO"/>
              </w:rPr>
              <w:t xml:space="preserve"> </w:t>
            </w:r>
            <w:r w:rsidRPr="00E27AC4">
              <w:rPr>
                <w:rFonts w:ascii="Cambria" w:hAnsi="Cambria"/>
                <w:sz w:val="20"/>
                <w:szCs w:val="20"/>
                <w:lang w:val="es-CO"/>
              </w:rPr>
              <w:t>N/A</w:t>
            </w:r>
          </w:p>
          <w:p w14:paraId="536D9FBE" w14:textId="1A86E3F1" w:rsidR="008134EF" w:rsidRPr="00B036BC" w:rsidRDefault="008134EF" w:rsidP="00B036BC">
            <w:pPr>
              <w:tabs>
                <w:tab w:val="left" w:pos="9270"/>
              </w:tabs>
              <w:suppressAutoHyphens/>
              <w:spacing w:after="0" w:line="240" w:lineRule="auto"/>
              <w:jc w:val="both"/>
              <w:rPr>
                <w:rFonts w:ascii="Cambria" w:eastAsia="Batang" w:hAnsi="Cambria"/>
                <w:color w:val="000000"/>
                <w:sz w:val="20"/>
                <w:szCs w:val="20"/>
                <w:lang w:val="es-ES_tradnl"/>
              </w:rPr>
            </w:pPr>
            <w:r w:rsidRPr="00B036BC">
              <w:rPr>
                <w:rFonts w:ascii="Cambria" w:eastAsia="Batang" w:hAnsi="Cambria"/>
                <w:b/>
                <w:color w:val="000000"/>
                <w:sz w:val="20"/>
                <w:szCs w:val="20"/>
                <w:lang w:val="es-ES_tradnl"/>
              </w:rPr>
              <w:t>Informe de Acuerdo de Solución Amistosa N</w:t>
            </w:r>
            <w:r w:rsidR="007E0A0A" w:rsidRPr="00B036BC">
              <w:rPr>
                <w:rFonts w:ascii="Cambria" w:eastAsia="Batang" w:hAnsi="Cambria"/>
                <w:b/>
                <w:color w:val="000000"/>
                <w:sz w:val="20"/>
                <w:szCs w:val="20"/>
                <w:lang w:val="es-ES_tradnl"/>
              </w:rPr>
              <w:t>o</w:t>
            </w:r>
            <w:r w:rsidRPr="00B036BC">
              <w:rPr>
                <w:rFonts w:ascii="Cambria" w:eastAsia="Batang" w:hAnsi="Cambria"/>
                <w:b/>
                <w:color w:val="000000"/>
                <w:sz w:val="20"/>
                <w:szCs w:val="20"/>
                <w:lang w:val="es-ES_tradnl"/>
              </w:rPr>
              <w:t xml:space="preserve">: </w:t>
            </w:r>
            <w:hyperlink r:id="rId13" w:history="1">
              <w:r w:rsidRPr="00B036BC">
                <w:rPr>
                  <w:rFonts w:ascii="Cambria" w:eastAsia="Batang" w:hAnsi="Cambria"/>
                  <w:b/>
                  <w:bCs/>
                  <w:color w:val="0563C1"/>
                  <w:sz w:val="20"/>
                  <w:szCs w:val="20"/>
                  <w:u w:val="single"/>
                  <w:lang w:val="es-ES_tradnl"/>
                </w:rPr>
                <w:t>67/22</w:t>
              </w:r>
            </w:hyperlink>
            <w:r w:rsidR="00B036BC" w:rsidRPr="00E27AC4">
              <w:rPr>
                <w:rFonts w:ascii="Cambria" w:hAnsi="Cambria"/>
                <w:sz w:val="20"/>
                <w:szCs w:val="20"/>
                <w:lang w:val="es-CO"/>
              </w:rPr>
              <w:t>,</w:t>
            </w:r>
            <w:r w:rsidRPr="00B036BC">
              <w:rPr>
                <w:rFonts w:ascii="Cambria" w:eastAsia="Batang" w:hAnsi="Cambria"/>
                <w:bCs/>
                <w:color w:val="000000"/>
                <w:sz w:val="20"/>
                <w:szCs w:val="20"/>
                <w:lang w:val="es-ES_tradnl"/>
              </w:rPr>
              <w:t xml:space="preserve"> </w:t>
            </w:r>
            <w:r w:rsidRPr="00B036BC">
              <w:rPr>
                <w:rFonts w:ascii="Cambria" w:eastAsia="Batang" w:hAnsi="Cambria"/>
                <w:color w:val="000000"/>
                <w:sz w:val="20"/>
                <w:szCs w:val="20"/>
                <w:lang w:val="es-ES_tradnl"/>
              </w:rPr>
              <w:t>publicado el 10 de mayo de 2022</w:t>
            </w:r>
          </w:p>
          <w:p w14:paraId="2F961258" w14:textId="77777777" w:rsidR="008134EF" w:rsidRPr="00B036BC" w:rsidRDefault="008134EF" w:rsidP="00B036BC">
            <w:pPr>
              <w:tabs>
                <w:tab w:val="left" w:pos="9270"/>
              </w:tabs>
              <w:suppressAutoHyphens/>
              <w:spacing w:after="0" w:line="240" w:lineRule="auto"/>
              <w:jc w:val="both"/>
              <w:rPr>
                <w:rFonts w:ascii="Cambria" w:hAnsi="Cambria"/>
                <w:color w:val="000000"/>
                <w:sz w:val="20"/>
                <w:szCs w:val="20"/>
                <w:lang w:val="es-ES_tradnl"/>
              </w:rPr>
            </w:pPr>
            <w:r w:rsidRPr="00B036BC">
              <w:rPr>
                <w:rFonts w:ascii="Cambria" w:hAnsi="Cambria"/>
                <w:b/>
                <w:bCs/>
                <w:color w:val="000000"/>
                <w:sz w:val="20"/>
                <w:szCs w:val="20"/>
                <w:lang w:val="es-ES_tradnl"/>
              </w:rPr>
              <w:t>Duración estimada de la fase de negociación:</w:t>
            </w:r>
            <w:r w:rsidRPr="00B036BC">
              <w:rPr>
                <w:rFonts w:ascii="Cambria" w:hAnsi="Cambria"/>
                <w:color w:val="000000"/>
                <w:sz w:val="20"/>
                <w:szCs w:val="20"/>
                <w:lang w:val="es-ES_tradnl"/>
              </w:rPr>
              <w:t xml:space="preserve"> 6 meses</w:t>
            </w:r>
          </w:p>
          <w:p w14:paraId="2B4A7709" w14:textId="77777777" w:rsidR="008134EF" w:rsidRPr="00B036BC" w:rsidRDefault="008134EF" w:rsidP="00B036BC">
            <w:pPr>
              <w:tabs>
                <w:tab w:val="left" w:pos="9270"/>
              </w:tabs>
              <w:suppressAutoHyphens/>
              <w:spacing w:after="0" w:line="240" w:lineRule="auto"/>
              <w:jc w:val="both"/>
              <w:rPr>
                <w:rFonts w:ascii="Cambria" w:eastAsia="Batang" w:hAnsi="Cambria"/>
                <w:color w:val="000000"/>
                <w:sz w:val="20"/>
                <w:szCs w:val="20"/>
                <w:lang w:val="es-ES_tradnl"/>
              </w:rPr>
            </w:pPr>
            <w:r w:rsidRPr="00B036BC">
              <w:rPr>
                <w:rFonts w:ascii="Cambria" w:eastAsia="Batang" w:hAnsi="Cambria"/>
                <w:b/>
                <w:color w:val="000000"/>
                <w:sz w:val="20"/>
                <w:szCs w:val="20"/>
                <w:lang w:val="es-ES_tradnl"/>
              </w:rPr>
              <w:t>Relatoría vinculada:</w:t>
            </w:r>
            <w:r w:rsidRPr="00B036BC">
              <w:rPr>
                <w:rFonts w:ascii="Cambria" w:eastAsia="Batang" w:hAnsi="Cambria"/>
                <w:color w:val="000000"/>
                <w:sz w:val="20"/>
                <w:szCs w:val="20"/>
                <w:lang w:val="es-ES_tradnl"/>
              </w:rPr>
              <w:t xml:space="preserve"> Memoria, Verdad y Justicia</w:t>
            </w:r>
          </w:p>
          <w:p w14:paraId="62C56F88" w14:textId="77777777" w:rsidR="008134EF" w:rsidRPr="00B036BC" w:rsidRDefault="008134EF" w:rsidP="00B036BC">
            <w:pPr>
              <w:suppressAutoHyphens/>
              <w:spacing w:after="0" w:line="240" w:lineRule="auto"/>
              <w:jc w:val="both"/>
              <w:rPr>
                <w:rFonts w:ascii="Cambria" w:eastAsia="Batang" w:hAnsi="Cambria"/>
                <w:bCs/>
                <w:color w:val="000000"/>
                <w:sz w:val="20"/>
                <w:szCs w:val="20"/>
                <w:lang w:val="es-ES_tradnl"/>
              </w:rPr>
            </w:pPr>
            <w:r w:rsidRPr="00B036BC">
              <w:rPr>
                <w:rFonts w:ascii="Cambria" w:eastAsia="Batang" w:hAnsi="Cambria"/>
                <w:b/>
                <w:color w:val="000000"/>
                <w:sz w:val="20"/>
                <w:szCs w:val="20"/>
                <w:lang w:val="es-ES_tradnl"/>
              </w:rPr>
              <w:t>Temas:</w:t>
            </w:r>
            <w:r w:rsidRPr="00B036BC">
              <w:rPr>
                <w:rFonts w:ascii="Cambria" w:eastAsia="Batang" w:hAnsi="Cambria"/>
                <w:bCs/>
                <w:color w:val="000000"/>
                <w:sz w:val="20"/>
                <w:szCs w:val="20"/>
                <w:lang w:val="es-ES_tradnl"/>
              </w:rPr>
              <w:t xml:space="preserve"> Vida / Integridad personal / Libertad personal / Garantías judiciales / Protección judicial</w:t>
            </w:r>
          </w:p>
          <w:p w14:paraId="4B549763" w14:textId="77777777" w:rsidR="008134EF" w:rsidRPr="00B036BC" w:rsidRDefault="008134EF" w:rsidP="00B036BC">
            <w:pPr>
              <w:tabs>
                <w:tab w:val="left" w:pos="9270"/>
              </w:tabs>
              <w:suppressAutoHyphens/>
              <w:spacing w:after="0" w:line="240" w:lineRule="auto"/>
              <w:jc w:val="both"/>
              <w:rPr>
                <w:rFonts w:ascii="Cambria" w:eastAsia="Batang" w:hAnsi="Cambria"/>
                <w:color w:val="000000"/>
                <w:sz w:val="20"/>
                <w:szCs w:val="20"/>
                <w:lang w:val="es-ES_tradnl"/>
              </w:rPr>
            </w:pPr>
          </w:p>
          <w:p w14:paraId="074088C9" w14:textId="77777777" w:rsidR="008134EF" w:rsidRDefault="008134EF" w:rsidP="00B036BC">
            <w:pPr>
              <w:suppressAutoHyphens/>
              <w:spacing w:after="0" w:line="240" w:lineRule="auto"/>
              <w:jc w:val="both"/>
              <w:rPr>
                <w:rFonts w:ascii="Cambria" w:eastAsia="Batang" w:hAnsi="Cambria"/>
                <w:color w:val="000000"/>
                <w:sz w:val="20"/>
                <w:szCs w:val="20"/>
                <w:lang w:val="es-ES"/>
              </w:rPr>
            </w:pPr>
            <w:r w:rsidRPr="00B036BC">
              <w:rPr>
                <w:rFonts w:ascii="Cambria" w:eastAsia="Batang" w:hAnsi="Cambria"/>
                <w:b/>
                <w:color w:val="000000"/>
                <w:sz w:val="20"/>
                <w:szCs w:val="20"/>
                <w:lang w:val="es-ES"/>
              </w:rPr>
              <w:t>Hechos:</w:t>
            </w:r>
            <w:r w:rsidRPr="00B036BC">
              <w:rPr>
                <w:rFonts w:ascii="Cambria" w:eastAsia="Batang" w:hAnsi="Cambria"/>
                <w:color w:val="000000"/>
                <w:sz w:val="20"/>
                <w:szCs w:val="20"/>
                <w:lang w:val="es-ES"/>
              </w:rPr>
              <w:t xml:space="preserve"> Según lo alegado por la parte peticionaria, el 6 de mayo de 1987, en la localidad de Puerto Berrío Departamento de Antioquia, habría desaparecido el señor José Oleaguer Correa Castrillón, junto a otras personas. La presunta víctima se desempeñaba como gerente de la extinta Caja de Crédito Agrario Industrial y Minero (actual Banco Agrario) y, el 6 de mayo de 1987, se habría trasladado desde el Municipio de Puerto Nare, donde se ubicaba la sede de la entidad bancaria, a la localidad de Puerto Berrío para realizar gestiones relacionadas con su cargo, así como para obtener un salvoconducto para porte de arma. La parte peticionaria sostuvo que poco después de retirarse de la XVI Brigada, la presunta víctima habría sido interceptada por varios hombres armados y habría sido imposible obtener información sobre su paradero. La parte peticionaria señaló que varias de las masacres y desapariciones, cometidas por funcionarios militares de guarniciones del Municipio de Puerto Berrío, se habrían realizado en contra de miembros y simpatizantes del partido Unión Patriótica. Asimismo, la parte peticionaria alegó que la simpatía de la presunta víctima por el partido Unión Patriótica era ampliamente conocida, siendo ésta la causa de su desaparición y posterior asesinato en manos de los paramilitares. La parte peticionaria indicó que, el entonces Juzgado 21 de Instrucción Criminal, con sede en Puerto Berrío habría iniciado una investigación de los hechos del presente asunto. Una certificación del Juzgado, con fecha del 17 de mayo de 1989, habría establecido que no aparecían los sindicados y que no tendrían noticia de los desaparecidos. La parte peticionaria sostuvo que a pesar de las diversas investigaciones adelantadas por las autoridades colombianas y del tiempo transcurrido, a la fecha de presentación de la petición los familiares de la presunta víctima no habrían obtenido respuestas sobre la verdad material de los hechos sobre la desaparición y muerte de José Oleaguer Correa Castrillón, al igual que no existiría sanción de los presuntos responsables. Por otra parte, la parte peticionaria agregó que habría instaurado un proceso civil de presunción de muerte por desaparecimiento de la presunta víctima, obteniendo el 20 de octubre de 1993, un certificado de su defunción.</w:t>
            </w:r>
          </w:p>
          <w:p w14:paraId="0486633E" w14:textId="77777777" w:rsidR="00B036BC" w:rsidRPr="00B036BC" w:rsidRDefault="00B036BC" w:rsidP="00B036BC">
            <w:pPr>
              <w:suppressAutoHyphens/>
              <w:spacing w:after="0" w:line="240" w:lineRule="auto"/>
              <w:jc w:val="both"/>
              <w:rPr>
                <w:rFonts w:ascii="Cambria" w:eastAsia="Batang" w:hAnsi="Cambria"/>
                <w:strike/>
                <w:color w:val="000000"/>
                <w:sz w:val="20"/>
                <w:szCs w:val="20"/>
                <w:lang w:val="es-ES"/>
              </w:rPr>
            </w:pPr>
          </w:p>
          <w:p w14:paraId="51CC3600" w14:textId="77777777" w:rsidR="008134EF" w:rsidRPr="00B036BC" w:rsidRDefault="008134EF" w:rsidP="00B036BC">
            <w:pPr>
              <w:suppressAutoHyphens/>
              <w:spacing w:after="0" w:line="240" w:lineRule="auto"/>
              <w:jc w:val="both"/>
              <w:rPr>
                <w:rFonts w:ascii="Cambria" w:eastAsia="Batang" w:hAnsi="Cambria"/>
                <w:bCs/>
                <w:color w:val="000000"/>
                <w:sz w:val="20"/>
                <w:szCs w:val="20"/>
                <w:lang w:val="es-ES_tradnl"/>
              </w:rPr>
            </w:pPr>
            <w:r w:rsidRPr="00B036BC">
              <w:rPr>
                <w:rFonts w:ascii="Cambria" w:eastAsia="Batang" w:hAnsi="Cambria"/>
                <w:b/>
                <w:color w:val="000000"/>
                <w:sz w:val="20"/>
                <w:szCs w:val="20"/>
                <w:lang w:val="es-ES_tradnl"/>
              </w:rPr>
              <w:t xml:space="preserve">Derechos alegados: </w:t>
            </w:r>
            <w:r w:rsidRPr="00B036BC">
              <w:rPr>
                <w:rFonts w:ascii="Cambria" w:eastAsia="Batang" w:hAnsi="Cambria"/>
                <w:bCs/>
                <w:color w:val="000000"/>
                <w:sz w:val="20"/>
                <w:szCs w:val="20"/>
                <w:lang w:val="es-ES_tradnl"/>
              </w:rPr>
              <w:t>El 17 de octubre de 2000, la Comisión Interamericana de Derechos Humanos recibió una petición, en la cual se alegaba la responsabilidad internacional de la República de Colombia por la violación de los derechos consagrados en los artículos 4 (vida), 5 (integridad personal), 7 (libertad personal), 8 (garantías judiciales) y 25 (protección judicial) de la Convención Americana sobre Derechos Humanos.</w:t>
            </w:r>
          </w:p>
        </w:tc>
      </w:tr>
    </w:tbl>
    <w:p w14:paraId="1D9E6C27" w14:textId="77777777" w:rsidR="008134EF" w:rsidRPr="00B036BC" w:rsidRDefault="008134EF" w:rsidP="00B036BC">
      <w:pPr>
        <w:suppressAutoHyphens/>
        <w:spacing w:after="0" w:line="240" w:lineRule="auto"/>
        <w:contextualSpacing/>
        <w:jc w:val="both"/>
        <w:rPr>
          <w:rFonts w:ascii="Cambria" w:eastAsia="Batang" w:hAnsi="Cambria" w:cs="Calibri Light"/>
          <w:b/>
          <w:color w:val="000000"/>
          <w:sz w:val="20"/>
          <w:szCs w:val="20"/>
          <w:lang w:val="es-ES_tradnl"/>
        </w:rPr>
      </w:pPr>
    </w:p>
    <w:p w14:paraId="61A7CBEA" w14:textId="77777777" w:rsidR="008134EF" w:rsidRPr="00B036BC" w:rsidRDefault="008134EF" w:rsidP="00E27AC4">
      <w:pPr>
        <w:pStyle w:val="ListParagraph"/>
        <w:numPr>
          <w:ilvl w:val="0"/>
          <w:numId w:val="5"/>
        </w:numPr>
        <w:spacing w:after="0" w:line="240" w:lineRule="auto"/>
        <w:ind w:left="0" w:firstLine="720"/>
        <w:rPr>
          <w:rFonts w:ascii="Cambria" w:eastAsia="Batang" w:hAnsi="Cambria" w:cs="Calibri Light"/>
          <w:b/>
          <w:color w:val="000000"/>
          <w:sz w:val="20"/>
          <w:szCs w:val="20"/>
          <w:lang w:val="es-ES_tradnl"/>
        </w:rPr>
      </w:pPr>
      <w:r w:rsidRPr="00B036BC">
        <w:rPr>
          <w:rFonts w:ascii="Cambria" w:eastAsia="Batang" w:hAnsi="Cambria" w:cs="Calibri Light"/>
          <w:b/>
          <w:color w:val="000000"/>
          <w:sz w:val="20"/>
          <w:szCs w:val="20"/>
          <w:lang w:val="es-ES_tradnl"/>
        </w:rPr>
        <w:t>ACTIVIDAD PROCESAL</w:t>
      </w:r>
    </w:p>
    <w:p w14:paraId="7D46AF3D" w14:textId="77777777" w:rsidR="008134EF" w:rsidRPr="00B036BC" w:rsidRDefault="008134EF" w:rsidP="00B036BC">
      <w:pPr>
        <w:suppressAutoHyphens/>
        <w:spacing w:after="0" w:line="240" w:lineRule="auto"/>
        <w:ind w:firstLine="720"/>
        <w:contextualSpacing/>
        <w:jc w:val="both"/>
        <w:rPr>
          <w:rFonts w:ascii="Cambria" w:eastAsia="Batang" w:hAnsi="Cambria" w:cs="Calibri Light"/>
          <w:b/>
          <w:color w:val="000000"/>
          <w:sz w:val="20"/>
          <w:szCs w:val="20"/>
          <w:lang w:val="es-ES_tradnl"/>
        </w:rPr>
      </w:pPr>
    </w:p>
    <w:p w14:paraId="1BBDB232" w14:textId="59B4D62E" w:rsidR="008134EF" w:rsidRDefault="0061516F" w:rsidP="00E27AC4">
      <w:pPr>
        <w:pStyle w:val="ListParagraph"/>
        <w:numPr>
          <w:ilvl w:val="0"/>
          <w:numId w:val="7"/>
        </w:numPr>
        <w:tabs>
          <w:tab w:val="left" w:pos="1418"/>
        </w:tabs>
        <w:spacing w:after="0" w:line="240" w:lineRule="auto"/>
        <w:ind w:left="0" w:firstLine="709"/>
        <w:jc w:val="both"/>
        <w:rPr>
          <w:rFonts w:ascii="Cambria" w:eastAsia="Batang" w:hAnsi="Cambria" w:cs="Calibri Light"/>
          <w:color w:val="000000"/>
          <w:sz w:val="20"/>
          <w:szCs w:val="20"/>
          <w:lang w:val="es-ES_tradnl"/>
        </w:rPr>
      </w:pPr>
      <w:r>
        <w:rPr>
          <w:rFonts w:ascii="Cambria" w:eastAsia="Batang" w:hAnsi="Cambria" w:cs="Calibri Light"/>
          <w:color w:val="000000"/>
          <w:sz w:val="20"/>
          <w:szCs w:val="20"/>
          <w:lang w:val="es-ES_tradnl"/>
        </w:rPr>
        <w:t>El 23 de diciembre de 2021, las partes firmaron un acuerdo de solución amistosa</w:t>
      </w:r>
      <w:r w:rsidR="008134EF" w:rsidRPr="00B036BC">
        <w:rPr>
          <w:rFonts w:ascii="Cambria" w:eastAsia="Batang" w:hAnsi="Cambria" w:cs="Calibri Light"/>
          <w:color w:val="000000"/>
          <w:sz w:val="20"/>
          <w:szCs w:val="20"/>
          <w:lang w:val="es-ES_tradnl"/>
        </w:rPr>
        <w:t>.</w:t>
      </w:r>
    </w:p>
    <w:p w14:paraId="7AE939FA" w14:textId="5E9BE606" w:rsidR="0061516F" w:rsidRPr="00B036BC" w:rsidRDefault="0061516F" w:rsidP="00E27AC4">
      <w:pPr>
        <w:pStyle w:val="ListParagraph"/>
        <w:numPr>
          <w:ilvl w:val="0"/>
          <w:numId w:val="7"/>
        </w:numPr>
        <w:tabs>
          <w:tab w:val="left" w:pos="1418"/>
        </w:tabs>
        <w:spacing w:after="0" w:line="240" w:lineRule="auto"/>
        <w:ind w:left="0" w:firstLine="709"/>
        <w:jc w:val="both"/>
        <w:rPr>
          <w:rFonts w:ascii="Cambria" w:eastAsia="Batang" w:hAnsi="Cambria" w:cs="Calibri Light"/>
          <w:color w:val="000000"/>
          <w:sz w:val="20"/>
          <w:szCs w:val="20"/>
          <w:lang w:val="es-ES_tradnl"/>
        </w:rPr>
      </w:pPr>
      <w:r w:rsidRPr="00041526">
        <w:rPr>
          <w:rFonts w:ascii="Cambria" w:eastAsiaTheme="minorHAnsi" w:hAnsi="Cambria" w:cstheme="minorBidi"/>
          <w:sz w:val="20"/>
          <w:szCs w:val="20"/>
          <w:lang w:val="es-419"/>
        </w:rPr>
        <w:lastRenderedPageBreak/>
        <w:t>El 10 de mayo de 2022, la CIDH aprobó el acuerdo suscrito por las partes, mediante el Informe No. 6</w:t>
      </w:r>
      <w:r>
        <w:rPr>
          <w:rFonts w:ascii="Cambria" w:eastAsiaTheme="minorHAnsi" w:hAnsi="Cambria" w:cstheme="minorBidi"/>
          <w:sz w:val="20"/>
          <w:szCs w:val="20"/>
          <w:lang w:val="es-419"/>
        </w:rPr>
        <w:t>7</w:t>
      </w:r>
      <w:r w:rsidRPr="00041526">
        <w:rPr>
          <w:rFonts w:ascii="Cambria" w:eastAsiaTheme="minorHAnsi" w:hAnsi="Cambria" w:cstheme="minorBidi"/>
          <w:sz w:val="20"/>
          <w:szCs w:val="20"/>
          <w:lang w:val="es-419"/>
        </w:rPr>
        <w:t>/22</w:t>
      </w:r>
      <w:r>
        <w:rPr>
          <w:rFonts w:ascii="Cambria" w:eastAsiaTheme="minorHAnsi" w:hAnsi="Cambria" w:cstheme="minorBidi"/>
          <w:sz w:val="20"/>
          <w:szCs w:val="20"/>
          <w:lang w:val="es-419"/>
        </w:rPr>
        <w:t>.</w:t>
      </w:r>
    </w:p>
    <w:p w14:paraId="1BE1C98F" w14:textId="77777777" w:rsidR="008134EF" w:rsidRPr="00B036BC" w:rsidRDefault="008134EF" w:rsidP="0061516F">
      <w:pPr>
        <w:suppressAutoHyphens/>
        <w:spacing w:after="0" w:line="240" w:lineRule="auto"/>
        <w:jc w:val="both"/>
        <w:rPr>
          <w:rFonts w:ascii="Cambria" w:eastAsia="Batang" w:hAnsi="Cambria" w:cs="Calibri Light"/>
          <w:color w:val="000000"/>
          <w:sz w:val="20"/>
          <w:szCs w:val="20"/>
          <w:lang w:val="es-ES_tradnl"/>
        </w:rPr>
      </w:pPr>
    </w:p>
    <w:p w14:paraId="3FFE3FE7" w14:textId="77777777" w:rsidR="008134EF" w:rsidRPr="00B036BC" w:rsidRDefault="008134EF" w:rsidP="00E27AC4">
      <w:pPr>
        <w:numPr>
          <w:ilvl w:val="0"/>
          <w:numId w:val="5"/>
        </w:numPr>
        <w:tabs>
          <w:tab w:val="left" w:pos="0"/>
        </w:tabs>
        <w:suppressAutoHyphens/>
        <w:spacing w:after="0" w:line="240" w:lineRule="auto"/>
        <w:ind w:left="142" w:firstLine="567"/>
        <w:contextualSpacing/>
        <w:jc w:val="both"/>
        <w:rPr>
          <w:rFonts w:ascii="Cambria" w:eastAsia="Batang" w:hAnsi="Cambria" w:cs="Calibri Light"/>
          <w:b/>
          <w:color w:val="000000"/>
          <w:sz w:val="20"/>
          <w:szCs w:val="20"/>
          <w:lang w:val="es-ES_tradnl"/>
        </w:rPr>
      </w:pPr>
      <w:r w:rsidRPr="00B036BC">
        <w:rPr>
          <w:rFonts w:ascii="Cambria" w:hAnsi="Cambria" w:cs="Calibri Light"/>
          <w:b/>
          <w:color w:val="000000"/>
          <w:sz w:val="20"/>
          <w:szCs w:val="20"/>
          <w:lang w:val="es-ES_tradnl"/>
        </w:rPr>
        <w:t>ANÁLISIS DEL CUMPLIMIENTO DE LAS CLÁUSULAS DEL ACUERDO DE SOLUCIÓN AMISTOSA</w:t>
      </w:r>
    </w:p>
    <w:p w14:paraId="17E6494D" w14:textId="77777777" w:rsidR="008134EF" w:rsidRPr="00B036BC" w:rsidRDefault="008134EF" w:rsidP="00B036BC">
      <w:pPr>
        <w:suppressAutoHyphens/>
        <w:spacing w:after="0" w:line="240" w:lineRule="auto"/>
        <w:rPr>
          <w:rFonts w:ascii="Cambria" w:eastAsia="Batang" w:hAnsi="Cambria"/>
          <w:color w:val="000000"/>
          <w:sz w:val="20"/>
          <w:szCs w:val="20"/>
          <w:lang w:val="es-ES_tradn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820"/>
      </w:tblGrid>
      <w:tr w:rsidR="00D65C8F" w:rsidRPr="00B036BC" w14:paraId="32C4701B" w14:textId="77777777" w:rsidTr="00D65C8F">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96D447" w14:textId="77777777" w:rsidR="00D65C8F" w:rsidRPr="00B036BC" w:rsidRDefault="00D65C8F" w:rsidP="00B036BC">
            <w:pPr>
              <w:tabs>
                <w:tab w:val="center" w:pos="2049"/>
              </w:tabs>
              <w:suppressAutoHyphens/>
              <w:spacing w:after="0" w:line="240" w:lineRule="auto"/>
              <w:jc w:val="center"/>
              <w:rPr>
                <w:rFonts w:ascii="Cambria" w:eastAsia="Batang" w:hAnsi="Cambria"/>
                <w:b/>
                <w:color w:val="000000"/>
                <w:sz w:val="20"/>
                <w:szCs w:val="20"/>
                <w:lang w:val="es-ES_tradnl"/>
              </w:rPr>
            </w:pPr>
            <w:r w:rsidRPr="00B036BC">
              <w:rPr>
                <w:rFonts w:ascii="Cambria" w:eastAsia="Batang" w:hAnsi="Cambria"/>
                <w:b/>
                <w:color w:val="000000"/>
                <w:sz w:val="20"/>
                <w:szCs w:val="20"/>
                <w:lang w:val="es-ES_tradnl"/>
              </w:rPr>
              <w:t>Cláusula del Acuerdo</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059225" w14:textId="62D7B8A6" w:rsidR="00D65C8F" w:rsidRPr="00B036BC" w:rsidRDefault="00D65C8F" w:rsidP="00D65C8F">
            <w:pPr>
              <w:suppressAutoHyphens/>
              <w:spacing w:after="0" w:line="240" w:lineRule="auto"/>
              <w:jc w:val="center"/>
              <w:rPr>
                <w:rFonts w:ascii="Cambria" w:eastAsia="Batang" w:hAnsi="Cambria"/>
                <w:b/>
                <w:color w:val="000000"/>
                <w:sz w:val="20"/>
                <w:szCs w:val="20"/>
                <w:lang w:val="es-ES_tradnl"/>
              </w:rPr>
            </w:pPr>
            <w:r w:rsidRPr="00B036BC">
              <w:rPr>
                <w:rFonts w:ascii="Cambria" w:eastAsia="Batang" w:hAnsi="Cambria"/>
                <w:b/>
                <w:color w:val="000000"/>
                <w:sz w:val="20"/>
                <w:szCs w:val="20"/>
                <w:lang w:val="es-ES_tradnl"/>
              </w:rPr>
              <w:t xml:space="preserve">Estado de Cumplimiento </w:t>
            </w:r>
          </w:p>
        </w:tc>
      </w:tr>
      <w:tr w:rsidR="00D65C8F" w:rsidRPr="00B036BC" w14:paraId="07931A3E" w14:textId="77777777" w:rsidTr="00D65C8F">
        <w:trPr>
          <w:trHeight w:val="670"/>
        </w:trPr>
        <w:tc>
          <w:tcPr>
            <w:tcW w:w="4536" w:type="dxa"/>
            <w:tcBorders>
              <w:top w:val="single" w:sz="4" w:space="0" w:color="auto"/>
              <w:left w:val="single" w:sz="4" w:space="0" w:color="auto"/>
              <w:bottom w:val="single" w:sz="4" w:space="0" w:color="auto"/>
              <w:right w:val="single" w:sz="4" w:space="0" w:color="auto"/>
            </w:tcBorders>
          </w:tcPr>
          <w:p w14:paraId="350D8D68" w14:textId="77777777" w:rsidR="008134EF" w:rsidRPr="00B036BC" w:rsidRDefault="008134EF" w:rsidP="00B036BC">
            <w:pPr>
              <w:suppressAutoHyphens/>
              <w:spacing w:after="0" w:line="240" w:lineRule="auto"/>
              <w:jc w:val="both"/>
              <w:rPr>
                <w:rFonts w:ascii="Cambria" w:eastAsia="Batang" w:hAnsi="Cambria" w:cs="Calibri Light"/>
                <w:color w:val="000000"/>
                <w:sz w:val="20"/>
                <w:szCs w:val="20"/>
                <w:lang w:val="es-ES_tradnl"/>
              </w:rPr>
            </w:pPr>
            <w:r w:rsidRPr="00B036BC">
              <w:rPr>
                <w:rFonts w:ascii="Cambria" w:eastAsia="Times New Roman" w:hAnsi="Cambria"/>
                <w:b/>
                <w:bCs/>
                <w:sz w:val="20"/>
                <w:szCs w:val="20"/>
                <w:lang w:val="es-ES_tradnl"/>
              </w:rPr>
              <w:t xml:space="preserve">TERCERO: RECONOCIMIENTO DE RESPONSABILIDAD </w:t>
            </w:r>
            <w:r w:rsidRPr="00B036BC">
              <w:rPr>
                <w:rFonts w:ascii="Cambria" w:eastAsia="Times New Roman" w:hAnsi="Cambria"/>
                <w:sz w:val="20"/>
                <w:szCs w:val="20"/>
                <w:lang w:val="es-ES_tradnl"/>
              </w:rPr>
              <w:t>El Estado colombiano reconoce la responsabilidad internacional por la violación de los derechos reconocidos en los artículos 8 (garantías judiciales) y 25 (protección judicial) de la Convención Americana sobre Derechos Humanos en perjuicio de los familiares de la víctima, por la falta de diligencia en la investigación por los hechos sucedidos el 6 de mayo de 1987 en los que fue desaparecido el señor José Oleaguer Correa Castrillón.</w:t>
            </w:r>
          </w:p>
        </w:tc>
        <w:tc>
          <w:tcPr>
            <w:tcW w:w="4820" w:type="dxa"/>
            <w:tcBorders>
              <w:top w:val="single" w:sz="4" w:space="0" w:color="auto"/>
              <w:left w:val="single" w:sz="4" w:space="0" w:color="auto"/>
              <w:right w:val="single" w:sz="4" w:space="0" w:color="auto"/>
            </w:tcBorders>
            <w:vAlign w:val="center"/>
          </w:tcPr>
          <w:p w14:paraId="63F6A133" w14:textId="77777777" w:rsidR="008134EF" w:rsidRPr="00B036BC" w:rsidRDefault="008134EF" w:rsidP="00B036BC">
            <w:pPr>
              <w:suppressAutoHyphens/>
              <w:spacing w:after="0" w:line="240" w:lineRule="auto"/>
              <w:jc w:val="center"/>
              <w:rPr>
                <w:rFonts w:ascii="Cambria" w:eastAsia="Batang" w:hAnsi="Cambria"/>
                <w:b/>
                <w:color w:val="000000"/>
                <w:sz w:val="20"/>
                <w:szCs w:val="20"/>
                <w:lang w:val="es-ES_tradnl"/>
              </w:rPr>
            </w:pPr>
            <w:r w:rsidRPr="00B036BC">
              <w:rPr>
                <w:rFonts w:ascii="Cambria" w:eastAsia="Batang" w:hAnsi="Cambria"/>
                <w:b/>
                <w:bCs/>
                <w:color w:val="000000"/>
                <w:sz w:val="20"/>
                <w:szCs w:val="20"/>
                <w:lang w:val="es-ES_tradnl"/>
              </w:rPr>
              <w:t>Cláusula Declarativa</w:t>
            </w:r>
          </w:p>
        </w:tc>
      </w:tr>
      <w:tr w:rsidR="00D65C8F" w:rsidRPr="00E27AC4" w14:paraId="2644BAA2" w14:textId="77777777" w:rsidTr="00D65C8F">
        <w:trPr>
          <w:trHeight w:val="231"/>
        </w:trPr>
        <w:tc>
          <w:tcPr>
            <w:tcW w:w="9356" w:type="dxa"/>
            <w:gridSpan w:val="2"/>
            <w:tcBorders>
              <w:top w:val="single" w:sz="4" w:space="0" w:color="auto"/>
              <w:left w:val="single" w:sz="4" w:space="0" w:color="auto"/>
              <w:bottom w:val="single" w:sz="4" w:space="0" w:color="auto"/>
              <w:right w:val="single" w:sz="4" w:space="0" w:color="auto"/>
            </w:tcBorders>
          </w:tcPr>
          <w:p w14:paraId="3162618A" w14:textId="77777777" w:rsidR="008134EF" w:rsidRPr="00B036BC" w:rsidRDefault="008134EF" w:rsidP="00B036BC">
            <w:pPr>
              <w:suppressAutoHyphens/>
              <w:spacing w:after="0" w:line="240" w:lineRule="auto"/>
              <w:rPr>
                <w:rFonts w:ascii="Cambria" w:eastAsia="Batang" w:hAnsi="Cambria"/>
                <w:b/>
                <w:color w:val="000000"/>
                <w:sz w:val="20"/>
                <w:szCs w:val="20"/>
                <w:lang w:val="es-ES_tradnl"/>
              </w:rPr>
            </w:pPr>
            <w:r w:rsidRPr="00B036BC">
              <w:rPr>
                <w:rFonts w:ascii="Cambria" w:hAnsi="Cambria"/>
                <w:b/>
                <w:bCs/>
                <w:sz w:val="20"/>
                <w:szCs w:val="20"/>
                <w:lang w:val="es-ES_tradnl"/>
              </w:rPr>
              <w:t>CUARTA PARTE: MEDIDAS DE REPARACIÓN ACORDADAS ENTRE LAS PARTES</w:t>
            </w:r>
          </w:p>
        </w:tc>
      </w:tr>
      <w:tr w:rsidR="00D65C8F" w:rsidRPr="00B036BC" w14:paraId="0810F478" w14:textId="77777777" w:rsidTr="00D65C8F">
        <w:trPr>
          <w:trHeight w:val="231"/>
        </w:trPr>
        <w:tc>
          <w:tcPr>
            <w:tcW w:w="9356" w:type="dxa"/>
            <w:gridSpan w:val="2"/>
            <w:tcBorders>
              <w:top w:val="single" w:sz="4" w:space="0" w:color="auto"/>
              <w:left w:val="single" w:sz="4" w:space="0" w:color="auto"/>
              <w:bottom w:val="single" w:sz="4" w:space="0" w:color="auto"/>
              <w:right w:val="single" w:sz="4" w:space="0" w:color="auto"/>
            </w:tcBorders>
          </w:tcPr>
          <w:p w14:paraId="35B8A7FA" w14:textId="77777777" w:rsidR="008134EF" w:rsidRPr="00B036BC" w:rsidRDefault="008134EF" w:rsidP="00B036BC">
            <w:pPr>
              <w:suppressAutoHyphens/>
              <w:spacing w:after="0" w:line="240" w:lineRule="auto"/>
              <w:rPr>
                <w:rFonts w:ascii="Cambria" w:eastAsia="Batang" w:hAnsi="Cambria"/>
                <w:color w:val="000000"/>
                <w:sz w:val="20"/>
                <w:szCs w:val="20"/>
                <w:lang w:val="es-ES_tradnl"/>
              </w:rPr>
            </w:pPr>
            <w:r w:rsidRPr="00B036BC">
              <w:rPr>
                <w:rFonts w:ascii="Cambria" w:eastAsia="Batang" w:hAnsi="Cambria"/>
                <w:b/>
                <w:bCs/>
                <w:color w:val="000000"/>
                <w:sz w:val="20"/>
                <w:szCs w:val="20"/>
                <w:lang w:val="es-ES_tradnl"/>
              </w:rPr>
              <w:t>4.1. MEDIDAS DE SATISFACCIÓN:</w:t>
            </w:r>
          </w:p>
        </w:tc>
      </w:tr>
      <w:tr w:rsidR="00D65C8F" w:rsidRPr="00B036BC" w14:paraId="5ECB1A6F" w14:textId="77777777" w:rsidTr="00D65C8F">
        <w:trPr>
          <w:trHeight w:val="231"/>
        </w:trPr>
        <w:tc>
          <w:tcPr>
            <w:tcW w:w="4536" w:type="dxa"/>
            <w:tcBorders>
              <w:top w:val="single" w:sz="4" w:space="0" w:color="auto"/>
              <w:left w:val="single" w:sz="4" w:space="0" w:color="auto"/>
              <w:bottom w:val="single" w:sz="4" w:space="0" w:color="auto"/>
              <w:right w:val="single" w:sz="4" w:space="0" w:color="auto"/>
            </w:tcBorders>
          </w:tcPr>
          <w:p w14:paraId="0D7F607C" w14:textId="77777777" w:rsidR="008134EF" w:rsidRPr="00B036BC" w:rsidRDefault="008134EF" w:rsidP="00B036BC">
            <w:pPr>
              <w:suppressAutoHyphens/>
              <w:spacing w:after="0" w:line="240" w:lineRule="auto"/>
              <w:jc w:val="both"/>
              <w:rPr>
                <w:rFonts w:ascii="Cambria" w:hAnsi="Cambria"/>
                <w:sz w:val="20"/>
                <w:szCs w:val="20"/>
                <w:lang w:val="es-ES_tradnl"/>
              </w:rPr>
            </w:pPr>
            <w:r w:rsidRPr="00B036BC">
              <w:rPr>
                <w:rFonts w:ascii="Cambria" w:hAnsi="Cambria"/>
                <w:b/>
                <w:bCs/>
                <w:sz w:val="20"/>
                <w:szCs w:val="20"/>
                <w:lang w:val="es-ES_tradnl"/>
              </w:rPr>
              <w:t xml:space="preserve">4.1.1. Acto de desagravio. </w:t>
            </w:r>
            <w:r w:rsidRPr="00B036BC">
              <w:rPr>
                <w:rFonts w:ascii="Cambria" w:hAnsi="Cambria"/>
                <w:sz w:val="20"/>
                <w:szCs w:val="20"/>
                <w:lang w:val="es-ES_tradnl"/>
              </w:rPr>
              <w:t>Un Acto de Reconocimiento de Responsabilidad virtual. El acto de reconocimiento de responsabilidad se realizará con la participación activa de los familiares y los representantes de las víctimas. En este se reconocerá la responsabilidad estatal en los términos establecidos en el presente acuerdo. La presente medida estará a cargo de la Agencia Nacional de Defensa Jurídica del Estado.</w:t>
            </w:r>
          </w:p>
        </w:tc>
        <w:tc>
          <w:tcPr>
            <w:tcW w:w="4820" w:type="dxa"/>
            <w:tcBorders>
              <w:top w:val="single" w:sz="4" w:space="0" w:color="auto"/>
              <w:left w:val="single" w:sz="4" w:space="0" w:color="auto"/>
              <w:bottom w:val="single" w:sz="4" w:space="0" w:color="auto"/>
              <w:right w:val="single" w:sz="4" w:space="0" w:color="auto"/>
            </w:tcBorders>
            <w:vAlign w:val="center"/>
          </w:tcPr>
          <w:p w14:paraId="6AA5340F" w14:textId="77777777" w:rsidR="008134EF" w:rsidRPr="00B036BC" w:rsidRDefault="008134EF" w:rsidP="00B036BC">
            <w:pPr>
              <w:suppressAutoHyphens/>
              <w:spacing w:after="0" w:line="240" w:lineRule="auto"/>
              <w:jc w:val="center"/>
              <w:rPr>
                <w:rFonts w:ascii="Cambria" w:eastAsia="Batang" w:hAnsi="Cambria"/>
                <w:color w:val="000000"/>
                <w:sz w:val="20"/>
                <w:szCs w:val="20"/>
                <w:lang w:val="es-ES_tradnl"/>
              </w:rPr>
            </w:pPr>
            <w:r w:rsidRPr="00B036BC">
              <w:rPr>
                <w:rFonts w:ascii="Cambria" w:eastAsia="Batang" w:hAnsi="Cambria"/>
                <w:b/>
                <w:bCs/>
                <w:color w:val="000000"/>
                <w:sz w:val="20"/>
                <w:szCs w:val="20"/>
                <w:lang w:val="es-ES_tradnl"/>
              </w:rPr>
              <w:t>Total</w:t>
            </w:r>
            <w:r w:rsidRPr="00B036BC">
              <w:rPr>
                <w:rFonts w:ascii="Cambria" w:eastAsia="Batang" w:hAnsi="Cambria"/>
                <w:color w:val="000000"/>
                <w:sz w:val="20"/>
                <w:szCs w:val="20"/>
                <w:vertAlign w:val="superscript"/>
                <w:lang w:val="es-ES_tradnl"/>
              </w:rPr>
              <w:footnoteReference w:id="2"/>
            </w:r>
          </w:p>
        </w:tc>
      </w:tr>
      <w:tr w:rsidR="00D65C8F" w:rsidRPr="00B036BC" w14:paraId="04F9DCED" w14:textId="77777777" w:rsidTr="00D65C8F">
        <w:trPr>
          <w:trHeight w:val="231"/>
        </w:trPr>
        <w:tc>
          <w:tcPr>
            <w:tcW w:w="4536" w:type="dxa"/>
            <w:tcBorders>
              <w:top w:val="single" w:sz="4" w:space="0" w:color="auto"/>
              <w:left w:val="single" w:sz="4" w:space="0" w:color="auto"/>
              <w:bottom w:val="single" w:sz="4" w:space="0" w:color="auto"/>
              <w:right w:val="single" w:sz="4" w:space="0" w:color="auto"/>
            </w:tcBorders>
            <w:vAlign w:val="center"/>
          </w:tcPr>
          <w:p w14:paraId="30C1FF40" w14:textId="77777777" w:rsidR="008134EF" w:rsidRPr="00B036BC" w:rsidRDefault="008134EF" w:rsidP="00B036BC">
            <w:pPr>
              <w:suppressAutoHyphens/>
              <w:spacing w:after="0" w:line="240" w:lineRule="auto"/>
              <w:jc w:val="both"/>
              <w:rPr>
                <w:rFonts w:ascii="Cambria" w:hAnsi="Cambria"/>
                <w:sz w:val="20"/>
                <w:szCs w:val="20"/>
                <w:lang w:val="es-ES_tradnl"/>
              </w:rPr>
            </w:pPr>
            <w:r w:rsidRPr="00B036BC">
              <w:rPr>
                <w:rFonts w:ascii="Cambria" w:hAnsi="Cambria"/>
                <w:b/>
                <w:bCs/>
                <w:sz w:val="20"/>
                <w:szCs w:val="20"/>
                <w:lang w:val="es-ES_tradnl"/>
              </w:rPr>
              <w:t xml:space="preserve">4.1.2. Publicación de los hechos. </w:t>
            </w:r>
            <w:r w:rsidRPr="00B036BC">
              <w:rPr>
                <w:rFonts w:ascii="Cambria" w:hAnsi="Cambria"/>
                <w:sz w:val="20"/>
                <w:szCs w:val="20"/>
                <w:lang w:val="es-ES_tradnl"/>
              </w:rPr>
              <w:t>El Estado colombiano se compromete a publicar el informe de artículo 49 de la Convención Americana sobre Derechos Humanos emitido por la Comisión Interamericana de Derechos Humanos que homologue el acuerdo de solución amistosa, en la página web de la Agencia Nacional de Defensa Jurídica del Estado, por el término de seis meses, garantizando de esta forma el acceso al informe de homologación.</w:t>
            </w:r>
          </w:p>
        </w:tc>
        <w:tc>
          <w:tcPr>
            <w:tcW w:w="4820" w:type="dxa"/>
            <w:tcBorders>
              <w:top w:val="single" w:sz="4" w:space="0" w:color="auto"/>
              <w:left w:val="single" w:sz="4" w:space="0" w:color="auto"/>
              <w:bottom w:val="single" w:sz="4" w:space="0" w:color="auto"/>
              <w:right w:val="single" w:sz="4" w:space="0" w:color="auto"/>
            </w:tcBorders>
            <w:vAlign w:val="center"/>
          </w:tcPr>
          <w:p w14:paraId="1D69F572" w14:textId="77777777" w:rsidR="008134EF" w:rsidRPr="00B036BC" w:rsidRDefault="008134EF" w:rsidP="00B036BC">
            <w:pPr>
              <w:suppressAutoHyphens/>
              <w:spacing w:after="0" w:line="240" w:lineRule="auto"/>
              <w:jc w:val="center"/>
              <w:rPr>
                <w:rFonts w:ascii="Cambria" w:eastAsia="Batang" w:hAnsi="Cambria"/>
                <w:b/>
                <w:bCs/>
                <w:color w:val="000000"/>
                <w:sz w:val="20"/>
                <w:szCs w:val="20"/>
                <w:lang w:val="es-ES_tradnl"/>
              </w:rPr>
            </w:pPr>
            <w:r w:rsidRPr="00B036BC">
              <w:rPr>
                <w:rFonts w:ascii="Cambria" w:eastAsia="Batang" w:hAnsi="Cambria"/>
                <w:b/>
                <w:bCs/>
                <w:color w:val="000000"/>
                <w:sz w:val="20"/>
                <w:szCs w:val="20"/>
                <w:lang w:val="es-ES_tradnl"/>
              </w:rPr>
              <w:t>Total</w:t>
            </w:r>
            <w:r w:rsidRPr="00B036BC">
              <w:rPr>
                <w:rFonts w:ascii="Cambria" w:eastAsia="Batang" w:hAnsi="Cambria"/>
                <w:b/>
                <w:bCs/>
                <w:color w:val="000000"/>
                <w:sz w:val="20"/>
                <w:szCs w:val="20"/>
                <w:vertAlign w:val="superscript"/>
                <w:lang w:val="es-ES_tradnl"/>
              </w:rPr>
              <w:footnoteReference w:id="3"/>
            </w:r>
          </w:p>
        </w:tc>
      </w:tr>
      <w:tr w:rsidR="00D65C8F" w:rsidRPr="00B036BC" w14:paraId="3160323F" w14:textId="77777777" w:rsidTr="00D65C8F">
        <w:trPr>
          <w:trHeight w:val="483"/>
        </w:trPr>
        <w:tc>
          <w:tcPr>
            <w:tcW w:w="4536" w:type="dxa"/>
            <w:tcBorders>
              <w:top w:val="single" w:sz="4" w:space="0" w:color="auto"/>
              <w:left w:val="single" w:sz="4" w:space="0" w:color="auto"/>
              <w:bottom w:val="single" w:sz="4" w:space="0" w:color="auto"/>
              <w:right w:val="single" w:sz="4" w:space="0" w:color="auto"/>
            </w:tcBorders>
            <w:vAlign w:val="center"/>
          </w:tcPr>
          <w:p w14:paraId="009D20A8" w14:textId="77777777" w:rsidR="00D65C8F" w:rsidRPr="00B036BC" w:rsidRDefault="00D65C8F" w:rsidP="00B036BC">
            <w:pPr>
              <w:suppressAutoHyphens/>
              <w:spacing w:after="0" w:line="240" w:lineRule="auto"/>
              <w:jc w:val="both"/>
              <w:rPr>
                <w:rFonts w:ascii="Cambria" w:hAnsi="Cambria"/>
                <w:sz w:val="20"/>
                <w:szCs w:val="20"/>
                <w:lang w:val="es-ES_tradnl"/>
              </w:rPr>
            </w:pPr>
            <w:r w:rsidRPr="00B036BC">
              <w:rPr>
                <w:rFonts w:ascii="Cambria" w:hAnsi="Cambria"/>
                <w:b/>
                <w:bCs/>
                <w:sz w:val="20"/>
                <w:szCs w:val="20"/>
                <w:lang w:val="es-ES_tradnl"/>
              </w:rPr>
              <w:t xml:space="preserve">4.1.3. Auxilio económico. </w:t>
            </w:r>
            <w:r w:rsidRPr="00B036BC">
              <w:rPr>
                <w:rFonts w:ascii="Cambria" w:hAnsi="Cambria"/>
                <w:sz w:val="20"/>
                <w:szCs w:val="20"/>
                <w:lang w:val="es-ES_tradnl"/>
              </w:rPr>
              <w:t>El Estado Colombiano a través del Ministerio de Educación Nacional y el Instituto Colombiano de Crédito Educativo y Estudios Técnicos en el Exterior ICETEX, otorgará un auxilio económico a Manuela Casas Correa, con el objetivo de financiar el programa de Ingeniera Civil de nivel universitario, en la</w:t>
            </w:r>
          </w:p>
          <w:p w14:paraId="26FA751F" w14:textId="77777777" w:rsidR="00D65C8F" w:rsidRPr="00B036BC" w:rsidRDefault="00D65C8F" w:rsidP="00B036BC">
            <w:pPr>
              <w:suppressAutoHyphens/>
              <w:spacing w:after="0" w:line="240" w:lineRule="auto"/>
              <w:jc w:val="both"/>
              <w:rPr>
                <w:rFonts w:ascii="Cambria" w:hAnsi="Cambria"/>
                <w:sz w:val="20"/>
                <w:szCs w:val="20"/>
                <w:lang w:val="es-ES_tradnl"/>
              </w:rPr>
            </w:pPr>
            <w:r w:rsidRPr="00B036BC">
              <w:rPr>
                <w:rFonts w:ascii="Cambria" w:hAnsi="Cambria"/>
                <w:sz w:val="20"/>
                <w:szCs w:val="20"/>
                <w:lang w:val="es-ES_tradnl"/>
              </w:rPr>
              <w:t>Universidad de Medellín en modalidad presencial.</w:t>
            </w:r>
          </w:p>
          <w:p w14:paraId="716BE08E" w14:textId="77777777" w:rsidR="00D65C8F" w:rsidRPr="00B036BC" w:rsidRDefault="00D65C8F" w:rsidP="00B036BC">
            <w:pPr>
              <w:suppressAutoHyphens/>
              <w:spacing w:after="0" w:line="240" w:lineRule="auto"/>
              <w:jc w:val="both"/>
              <w:rPr>
                <w:rFonts w:ascii="Cambria" w:hAnsi="Cambria"/>
                <w:sz w:val="20"/>
                <w:szCs w:val="20"/>
                <w:lang w:val="es-ES_tradnl"/>
              </w:rPr>
            </w:pPr>
          </w:p>
          <w:p w14:paraId="52929910" w14:textId="77777777" w:rsidR="00D65C8F" w:rsidRPr="00B036BC" w:rsidRDefault="00D65C8F" w:rsidP="00B036BC">
            <w:pPr>
              <w:suppressAutoHyphens/>
              <w:spacing w:after="0" w:line="240" w:lineRule="auto"/>
              <w:jc w:val="both"/>
              <w:rPr>
                <w:rFonts w:ascii="Cambria" w:hAnsi="Cambria"/>
                <w:sz w:val="20"/>
                <w:szCs w:val="20"/>
                <w:lang w:val="es-ES_tradnl"/>
              </w:rPr>
            </w:pPr>
            <w:r w:rsidRPr="00B036BC">
              <w:rPr>
                <w:rFonts w:ascii="Cambria" w:hAnsi="Cambria"/>
                <w:sz w:val="20"/>
                <w:szCs w:val="20"/>
                <w:lang w:val="es-ES_tradnl"/>
              </w:rPr>
              <w:lastRenderedPageBreak/>
              <w:t>El auxilio económico cubrirá el valor de la matrícula del quinto (5°) al décimo (10°) semestre académico del programa de nivel</w:t>
            </w:r>
          </w:p>
          <w:p w14:paraId="5D06EB6E" w14:textId="77777777" w:rsidR="00D65C8F" w:rsidRPr="00B036BC" w:rsidRDefault="00D65C8F" w:rsidP="00B036BC">
            <w:pPr>
              <w:suppressAutoHyphens/>
              <w:spacing w:after="0" w:line="240" w:lineRule="auto"/>
              <w:jc w:val="both"/>
              <w:rPr>
                <w:rFonts w:ascii="Cambria" w:hAnsi="Cambria"/>
                <w:sz w:val="20"/>
                <w:szCs w:val="20"/>
                <w:lang w:val="es-ES_tradnl"/>
              </w:rPr>
            </w:pPr>
            <w:r w:rsidRPr="00B036BC">
              <w:rPr>
                <w:rFonts w:ascii="Cambria" w:hAnsi="Cambria"/>
                <w:sz w:val="20"/>
                <w:szCs w:val="20"/>
                <w:lang w:val="es-ES_tradnl"/>
              </w:rPr>
              <w:t>universitario, por un valor semestral de hasta once (11) SMMLV y un recurso de sostenimiento semestral de dos (2) SMMLV.</w:t>
            </w:r>
          </w:p>
          <w:p w14:paraId="6D82B506" w14:textId="77777777" w:rsidR="00D65C8F" w:rsidRPr="00B036BC" w:rsidRDefault="00D65C8F" w:rsidP="00B036BC">
            <w:pPr>
              <w:suppressAutoHyphens/>
              <w:spacing w:after="0" w:line="240" w:lineRule="auto"/>
              <w:jc w:val="both"/>
              <w:rPr>
                <w:rFonts w:ascii="Cambria" w:hAnsi="Cambria"/>
                <w:sz w:val="20"/>
                <w:szCs w:val="20"/>
                <w:lang w:val="es-ES_tradnl"/>
              </w:rPr>
            </w:pPr>
          </w:p>
          <w:p w14:paraId="4A678DC2" w14:textId="77777777" w:rsidR="00D65C8F" w:rsidRPr="00B036BC" w:rsidRDefault="00D65C8F" w:rsidP="00B036BC">
            <w:pPr>
              <w:suppressAutoHyphens/>
              <w:spacing w:after="0" w:line="240" w:lineRule="auto"/>
              <w:jc w:val="both"/>
              <w:rPr>
                <w:rFonts w:ascii="Cambria" w:hAnsi="Cambria"/>
                <w:sz w:val="20"/>
                <w:szCs w:val="20"/>
                <w:lang w:val="es-ES_tradnl"/>
              </w:rPr>
            </w:pPr>
            <w:r w:rsidRPr="00B036BC">
              <w:rPr>
                <w:rFonts w:ascii="Cambria" w:hAnsi="Cambria"/>
                <w:sz w:val="20"/>
                <w:szCs w:val="20"/>
                <w:lang w:val="es-ES_tradnl"/>
              </w:rPr>
              <w:t>La beneficiaria deberá asegurar su permanencia en la Institución de Educación Superior, procurando un adecuado rendimiento académico, es responsabilidad única de la beneficiaria de la medida mantener la condición de estudiante en la IES, si la misma pierde la calidad de estudiante por bajo rendimiento académico o falta disciplinaria, se dará por cumplida la medida por parte del Estado.</w:t>
            </w:r>
          </w:p>
          <w:p w14:paraId="01B61895" w14:textId="77777777" w:rsidR="00D65C8F" w:rsidRPr="00B036BC" w:rsidRDefault="00D65C8F" w:rsidP="00B036BC">
            <w:pPr>
              <w:suppressAutoHyphens/>
              <w:spacing w:after="0" w:line="240" w:lineRule="auto"/>
              <w:jc w:val="both"/>
              <w:rPr>
                <w:rFonts w:ascii="Cambria" w:hAnsi="Cambria"/>
                <w:sz w:val="20"/>
                <w:szCs w:val="20"/>
                <w:lang w:val="es-ES_tradnl"/>
              </w:rPr>
            </w:pPr>
          </w:p>
          <w:p w14:paraId="41D9BC15" w14:textId="77777777" w:rsidR="00D65C8F" w:rsidRPr="00B036BC" w:rsidRDefault="00D65C8F" w:rsidP="00B036BC">
            <w:pPr>
              <w:suppressAutoHyphens/>
              <w:spacing w:after="0" w:line="240" w:lineRule="auto"/>
              <w:jc w:val="both"/>
              <w:rPr>
                <w:rFonts w:ascii="Cambria" w:hAnsi="Cambria"/>
                <w:sz w:val="20"/>
                <w:szCs w:val="20"/>
                <w:lang w:val="es-ES_tradnl"/>
              </w:rPr>
            </w:pPr>
            <w:r w:rsidRPr="00B036BC">
              <w:rPr>
                <w:rFonts w:ascii="Cambria" w:hAnsi="Cambria"/>
                <w:sz w:val="20"/>
                <w:szCs w:val="20"/>
                <w:lang w:val="es-ES_tradnl"/>
              </w:rPr>
              <w:t>El auxilio deberá empezar a utilizarse en un término no mayor de cinco (5) años contados desde la firma del presente acuerdo, o de lo contrario se tendrá por cumplida la gestión del Estado en su consecución</w:t>
            </w:r>
            <w:r w:rsidRPr="00B036BC">
              <w:rPr>
                <w:rFonts w:ascii="Cambria" w:hAnsi="Cambria"/>
                <w:sz w:val="20"/>
                <w:szCs w:val="20"/>
                <w:vertAlign w:val="superscript"/>
                <w:lang w:val="es-ES_tradnl"/>
              </w:rPr>
              <w:footnoteReference w:id="4"/>
            </w:r>
            <w:r w:rsidRPr="00B036BC">
              <w:rPr>
                <w:rFonts w:ascii="Cambria" w:hAnsi="Cambria"/>
                <w:sz w:val="20"/>
                <w:szCs w:val="20"/>
                <w:lang w:val="es-ES_tradnl"/>
              </w:rPr>
              <w:t>.</w:t>
            </w:r>
          </w:p>
        </w:tc>
        <w:tc>
          <w:tcPr>
            <w:tcW w:w="4820" w:type="dxa"/>
            <w:tcBorders>
              <w:top w:val="single" w:sz="4" w:space="0" w:color="auto"/>
              <w:left w:val="single" w:sz="4" w:space="0" w:color="auto"/>
              <w:bottom w:val="single" w:sz="4" w:space="0" w:color="auto"/>
              <w:right w:val="single" w:sz="4" w:space="0" w:color="auto"/>
            </w:tcBorders>
            <w:vAlign w:val="center"/>
          </w:tcPr>
          <w:p w14:paraId="154273C6" w14:textId="25D02DBA" w:rsidR="00D65C8F" w:rsidRPr="00D65C8F" w:rsidRDefault="00D65C8F" w:rsidP="00D65C8F">
            <w:pPr>
              <w:suppressAutoHyphens/>
              <w:spacing w:after="0" w:line="240" w:lineRule="auto"/>
              <w:jc w:val="center"/>
              <w:rPr>
                <w:rFonts w:ascii="Cambria" w:eastAsia="Batang" w:hAnsi="Cambria"/>
                <w:sz w:val="20"/>
                <w:szCs w:val="20"/>
                <w:lang w:val="es-419"/>
              </w:rPr>
            </w:pPr>
            <w:r w:rsidRPr="00B036BC">
              <w:rPr>
                <w:rFonts w:ascii="Cambria" w:eastAsia="Batang" w:hAnsi="Cambria"/>
                <w:b/>
                <w:bCs/>
                <w:sz w:val="20"/>
                <w:szCs w:val="20"/>
                <w:lang w:val="es-ES_tradnl"/>
              </w:rPr>
              <w:lastRenderedPageBreak/>
              <w:t>Total</w:t>
            </w:r>
            <w:r>
              <w:rPr>
                <w:rStyle w:val="FootnoteReference"/>
                <w:rFonts w:ascii="Cambria" w:eastAsia="Batang" w:hAnsi="Cambria"/>
                <w:b/>
                <w:bCs/>
                <w:sz w:val="20"/>
                <w:szCs w:val="20"/>
                <w:lang w:val="es-ES_tradnl"/>
              </w:rPr>
              <w:footnoteReference w:id="5"/>
            </w:r>
          </w:p>
        </w:tc>
      </w:tr>
      <w:tr w:rsidR="00D65C8F" w:rsidRPr="00B036BC" w14:paraId="7DFB88E1" w14:textId="77777777" w:rsidTr="00D65C8F">
        <w:trPr>
          <w:trHeight w:val="2129"/>
        </w:trPr>
        <w:tc>
          <w:tcPr>
            <w:tcW w:w="4536" w:type="dxa"/>
            <w:tcBorders>
              <w:top w:val="single" w:sz="4" w:space="0" w:color="auto"/>
              <w:left w:val="single" w:sz="4" w:space="0" w:color="auto"/>
              <w:bottom w:val="single" w:sz="4" w:space="0" w:color="auto"/>
              <w:right w:val="single" w:sz="4" w:space="0" w:color="auto"/>
            </w:tcBorders>
            <w:vAlign w:val="center"/>
          </w:tcPr>
          <w:p w14:paraId="52746105" w14:textId="77777777" w:rsidR="00D65C8F" w:rsidRPr="00B036BC" w:rsidRDefault="00D65C8F" w:rsidP="00B036BC">
            <w:pPr>
              <w:suppressAutoHyphens/>
              <w:spacing w:after="0" w:line="240" w:lineRule="auto"/>
              <w:jc w:val="both"/>
              <w:rPr>
                <w:rFonts w:ascii="Cambria" w:hAnsi="Cambria"/>
                <w:sz w:val="20"/>
                <w:szCs w:val="20"/>
                <w:lang w:val="es-ES_tradnl"/>
              </w:rPr>
            </w:pPr>
            <w:r w:rsidRPr="00B036BC">
              <w:rPr>
                <w:rFonts w:ascii="Cambria" w:hAnsi="Cambria"/>
                <w:b/>
                <w:bCs/>
                <w:sz w:val="20"/>
                <w:szCs w:val="20"/>
                <w:lang w:val="es-ES_tradnl"/>
              </w:rPr>
              <w:t xml:space="preserve">4.2. Medida en materia de justicia. </w:t>
            </w:r>
            <w:r w:rsidRPr="00B036BC">
              <w:rPr>
                <w:rFonts w:ascii="Cambria" w:hAnsi="Cambria"/>
                <w:sz w:val="20"/>
                <w:szCs w:val="20"/>
                <w:lang w:val="es-ES_tradnl"/>
              </w:rPr>
              <w:t xml:space="preserve">El Estado se compromete a continuar con el cumplimiento de [Sic] a su obligación de investigar, juzgar y sancionar a los responsables de la desaparición forzada del señor José Oleaguer Correa. Esta medida se encuentra a cargo de la Fiscalía General de la Nación. </w:t>
            </w:r>
          </w:p>
        </w:tc>
        <w:tc>
          <w:tcPr>
            <w:tcW w:w="4820" w:type="dxa"/>
            <w:tcBorders>
              <w:top w:val="single" w:sz="4" w:space="0" w:color="auto"/>
              <w:left w:val="single" w:sz="4" w:space="0" w:color="auto"/>
              <w:bottom w:val="single" w:sz="4" w:space="0" w:color="auto"/>
              <w:right w:val="single" w:sz="4" w:space="0" w:color="auto"/>
            </w:tcBorders>
            <w:vAlign w:val="center"/>
          </w:tcPr>
          <w:p w14:paraId="41694151" w14:textId="02A88F32" w:rsidR="00D65C8F" w:rsidRPr="00D65C8F" w:rsidRDefault="00D65C8F" w:rsidP="00D65C8F">
            <w:pPr>
              <w:suppressAutoHyphens/>
              <w:spacing w:after="0" w:line="240" w:lineRule="auto"/>
              <w:jc w:val="center"/>
              <w:rPr>
                <w:rFonts w:ascii="Cambria" w:eastAsia="Batang" w:hAnsi="Cambria"/>
                <w:sz w:val="20"/>
                <w:szCs w:val="20"/>
                <w:lang w:val="es-AR"/>
              </w:rPr>
            </w:pPr>
            <w:r w:rsidRPr="00B036BC">
              <w:rPr>
                <w:rFonts w:ascii="Cambria" w:eastAsia="Batang" w:hAnsi="Cambria"/>
                <w:b/>
                <w:bCs/>
                <w:sz w:val="20"/>
                <w:szCs w:val="20"/>
                <w:lang w:val="es-ES_tradnl"/>
              </w:rPr>
              <w:t>Total</w:t>
            </w:r>
            <w:r>
              <w:rPr>
                <w:rStyle w:val="FootnoteReference"/>
                <w:rFonts w:ascii="Cambria" w:eastAsia="Batang" w:hAnsi="Cambria"/>
                <w:b/>
                <w:bCs/>
                <w:sz w:val="20"/>
                <w:szCs w:val="20"/>
                <w:lang w:val="es-ES_tradnl"/>
              </w:rPr>
              <w:footnoteReference w:id="6"/>
            </w:r>
          </w:p>
        </w:tc>
      </w:tr>
      <w:tr w:rsidR="00D65C8F" w:rsidRPr="00B036BC" w14:paraId="7EDAB596" w14:textId="77777777" w:rsidTr="00D65C8F">
        <w:trPr>
          <w:trHeight w:val="611"/>
        </w:trPr>
        <w:tc>
          <w:tcPr>
            <w:tcW w:w="4536" w:type="dxa"/>
            <w:tcBorders>
              <w:top w:val="single" w:sz="4" w:space="0" w:color="auto"/>
              <w:left w:val="single" w:sz="4" w:space="0" w:color="auto"/>
              <w:bottom w:val="single" w:sz="4" w:space="0" w:color="auto"/>
              <w:right w:val="single" w:sz="4" w:space="0" w:color="auto"/>
            </w:tcBorders>
            <w:vAlign w:val="center"/>
          </w:tcPr>
          <w:p w14:paraId="35BF1261" w14:textId="77777777" w:rsidR="00D65C8F" w:rsidRPr="00B036BC" w:rsidRDefault="00D65C8F" w:rsidP="00B036BC">
            <w:pPr>
              <w:suppressAutoHyphens/>
              <w:spacing w:after="0" w:line="240" w:lineRule="auto"/>
              <w:jc w:val="both"/>
              <w:rPr>
                <w:rFonts w:ascii="Cambria" w:hAnsi="Cambria"/>
                <w:sz w:val="20"/>
                <w:szCs w:val="20"/>
                <w:lang w:val="es-ES_tradnl"/>
              </w:rPr>
            </w:pPr>
            <w:r w:rsidRPr="00B036BC">
              <w:rPr>
                <w:rFonts w:ascii="Cambria" w:hAnsi="Cambria"/>
                <w:b/>
                <w:bCs/>
                <w:sz w:val="20"/>
                <w:szCs w:val="20"/>
                <w:lang w:val="es-ES_tradnl"/>
              </w:rPr>
              <w:t xml:space="preserve">4.3. Reparación pecuniaria. </w:t>
            </w:r>
            <w:r w:rsidRPr="00B036BC">
              <w:rPr>
                <w:rFonts w:ascii="Cambria" w:hAnsi="Cambria"/>
                <w:sz w:val="20"/>
                <w:szCs w:val="20"/>
                <w:lang w:val="es-ES_tradnl"/>
              </w:rPr>
              <w:t>El Estado se compromete a dar aplicación a la Ley 288 de 1996, una vez se homologue el presente Acuerdo de Solución Amistosa mediante la expedición del Informe de artículo 49 de la Convención Americana sobre Derechos Humanos. Lo anterior, con el propósito de reparar los perjuicios inmateriales y materiales que llegaran a probarse a favor de los familiares de la víctima que no han sido indemnizados a través de la Jurisdicción Contencioso Administrativa, descontando, de ser el caso, los montos reconocidos por reparaciones administrativas. Para estos efectos, se acudirá a los criterios y montos reconocidos por la Jurisprudencia vigente del Consejo de Estado.</w:t>
            </w:r>
          </w:p>
        </w:tc>
        <w:tc>
          <w:tcPr>
            <w:tcW w:w="4820" w:type="dxa"/>
            <w:tcBorders>
              <w:top w:val="single" w:sz="4" w:space="0" w:color="auto"/>
              <w:left w:val="single" w:sz="4" w:space="0" w:color="auto"/>
              <w:bottom w:val="single" w:sz="4" w:space="0" w:color="auto"/>
              <w:right w:val="single" w:sz="4" w:space="0" w:color="auto"/>
            </w:tcBorders>
            <w:vAlign w:val="center"/>
          </w:tcPr>
          <w:p w14:paraId="6BD8FFD0" w14:textId="14C83963" w:rsidR="00D65C8F" w:rsidRPr="00D65C8F" w:rsidRDefault="00D65C8F" w:rsidP="00D65C8F">
            <w:pPr>
              <w:suppressAutoHyphens/>
              <w:spacing w:after="0" w:line="240" w:lineRule="auto"/>
              <w:jc w:val="center"/>
              <w:rPr>
                <w:rFonts w:ascii="Cambria" w:eastAsia="Batang" w:hAnsi="Cambria"/>
                <w:sz w:val="20"/>
                <w:szCs w:val="20"/>
                <w:lang w:val="es-AR"/>
              </w:rPr>
            </w:pPr>
            <w:r w:rsidRPr="00B036BC">
              <w:rPr>
                <w:rFonts w:ascii="Cambria" w:eastAsia="Batang" w:hAnsi="Cambria"/>
                <w:b/>
                <w:bCs/>
                <w:color w:val="000000"/>
                <w:sz w:val="20"/>
                <w:szCs w:val="20"/>
                <w:lang w:val="es-ES_tradnl"/>
              </w:rPr>
              <w:t>Total</w:t>
            </w:r>
            <w:r>
              <w:rPr>
                <w:rStyle w:val="FootnoteReference"/>
                <w:rFonts w:ascii="Cambria" w:eastAsia="Batang" w:hAnsi="Cambria"/>
                <w:b/>
                <w:bCs/>
                <w:color w:val="000000"/>
                <w:sz w:val="20"/>
                <w:szCs w:val="20"/>
                <w:lang w:val="es-ES_tradnl"/>
              </w:rPr>
              <w:footnoteReference w:id="7"/>
            </w:r>
          </w:p>
        </w:tc>
      </w:tr>
      <w:tr w:rsidR="00D65C8F" w:rsidRPr="00B036BC" w14:paraId="77A86B0F" w14:textId="77777777" w:rsidTr="00D65C8F">
        <w:trPr>
          <w:trHeight w:val="1115"/>
        </w:trPr>
        <w:tc>
          <w:tcPr>
            <w:tcW w:w="4536" w:type="dxa"/>
            <w:tcBorders>
              <w:top w:val="single" w:sz="4" w:space="0" w:color="auto"/>
              <w:left w:val="single" w:sz="4" w:space="0" w:color="auto"/>
              <w:bottom w:val="single" w:sz="4" w:space="0" w:color="auto"/>
              <w:right w:val="single" w:sz="4" w:space="0" w:color="auto"/>
            </w:tcBorders>
            <w:vAlign w:val="center"/>
          </w:tcPr>
          <w:p w14:paraId="27753268" w14:textId="77777777" w:rsidR="008134EF" w:rsidRPr="00B036BC" w:rsidRDefault="008134EF" w:rsidP="00B036BC">
            <w:pPr>
              <w:suppressAutoHyphens/>
              <w:spacing w:after="0" w:line="240" w:lineRule="auto"/>
              <w:jc w:val="both"/>
              <w:rPr>
                <w:rFonts w:ascii="Cambria" w:hAnsi="Cambria"/>
                <w:b/>
                <w:bCs/>
                <w:sz w:val="20"/>
                <w:szCs w:val="20"/>
                <w:lang w:val="es-ES_tradnl"/>
              </w:rPr>
            </w:pPr>
            <w:r w:rsidRPr="00B036BC">
              <w:rPr>
                <w:rFonts w:ascii="Cambria" w:eastAsia="Times New Roman" w:hAnsi="Cambria" w:cs="Calibri"/>
                <w:b/>
                <w:bCs/>
                <w:sz w:val="20"/>
                <w:szCs w:val="20"/>
                <w:lang w:val="es-ES_tradnl"/>
              </w:rPr>
              <w:lastRenderedPageBreak/>
              <w:t>QUINTO: HOMOLOGACIÓN Y SEGUIMIENTO</w:t>
            </w:r>
            <w:r w:rsidRPr="00B036BC">
              <w:rPr>
                <w:rFonts w:ascii="Cambria" w:eastAsia="Times New Roman" w:hAnsi="Cambria" w:cs="Calibri"/>
                <w:sz w:val="20"/>
                <w:szCs w:val="20"/>
                <w:lang w:val="es-ES_tradnl"/>
              </w:rPr>
              <w:t xml:space="preserve">. Las partes le solicitan a la Comisión Interamericana de Derechos Humanos la homologación del presente acuerdo y su seguimiento. </w:t>
            </w:r>
          </w:p>
        </w:tc>
        <w:tc>
          <w:tcPr>
            <w:tcW w:w="4820" w:type="dxa"/>
            <w:tcBorders>
              <w:top w:val="single" w:sz="4" w:space="0" w:color="auto"/>
              <w:left w:val="single" w:sz="4" w:space="0" w:color="auto"/>
              <w:right w:val="single" w:sz="4" w:space="0" w:color="auto"/>
            </w:tcBorders>
            <w:vAlign w:val="center"/>
          </w:tcPr>
          <w:p w14:paraId="561B7D72" w14:textId="547E16AD" w:rsidR="008134EF" w:rsidRPr="00B036BC" w:rsidRDefault="008134EF" w:rsidP="00B036BC">
            <w:pPr>
              <w:suppressAutoHyphens/>
              <w:spacing w:after="0" w:line="240" w:lineRule="auto"/>
              <w:jc w:val="center"/>
              <w:rPr>
                <w:rFonts w:ascii="Cambria" w:eastAsia="Batang" w:hAnsi="Cambria"/>
                <w:b/>
                <w:bCs/>
                <w:color w:val="000000"/>
                <w:sz w:val="20"/>
                <w:szCs w:val="20"/>
                <w:lang w:val="es-ES"/>
              </w:rPr>
            </w:pPr>
            <w:r w:rsidRPr="00B036BC">
              <w:rPr>
                <w:rFonts w:ascii="Cambria" w:eastAsia="Batang" w:hAnsi="Cambria"/>
                <w:b/>
                <w:bCs/>
                <w:color w:val="000000"/>
                <w:sz w:val="20"/>
                <w:szCs w:val="20"/>
                <w:lang w:val="es-ES"/>
              </w:rPr>
              <w:t xml:space="preserve">Cláusula </w:t>
            </w:r>
            <w:r w:rsidR="00D65C8F">
              <w:rPr>
                <w:rFonts w:ascii="Cambria" w:eastAsia="Batang" w:hAnsi="Cambria"/>
                <w:b/>
                <w:bCs/>
                <w:color w:val="000000"/>
                <w:sz w:val="20"/>
                <w:szCs w:val="20"/>
                <w:lang w:val="es-ES"/>
              </w:rPr>
              <w:t>D</w:t>
            </w:r>
            <w:r w:rsidRPr="00B036BC">
              <w:rPr>
                <w:rFonts w:ascii="Cambria" w:eastAsia="Batang" w:hAnsi="Cambria"/>
                <w:b/>
                <w:bCs/>
                <w:color w:val="000000"/>
                <w:sz w:val="20"/>
                <w:szCs w:val="20"/>
                <w:lang w:val="es-ES"/>
              </w:rPr>
              <w:t>eclarativa</w:t>
            </w:r>
          </w:p>
        </w:tc>
      </w:tr>
    </w:tbl>
    <w:p w14:paraId="132006D4" w14:textId="77777777" w:rsidR="008134EF" w:rsidRPr="00B036BC" w:rsidRDefault="008134EF" w:rsidP="00B036BC">
      <w:pPr>
        <w:suppressAutoHyphens/>
        <w:autoSpaceDE w:val="0"/>
        <w:autoSpaceDN w:val="0"/>
        <w:adjustRightInd w:val="0"/>
        <w:spacing w:after="0" w:line="240" w:lineRule="auto"/>
        <w:ind w:left="1440"/>
        <w:contextualSpacing/>
        <w:jc w:val="both"/>
        <w:rPr>
          <w:rFonts w:ascii="Cambria" w:eastAsia="Batang" w:hAnsi="Cambria"/>
          <w:color w:val="000000"/>
          <w:sz w:val="20"/>
          <w:szCs w:val="20"/>
          <w:lang w:val="es-ES_tradnl"/>
        </w:rPr>
      </w:pPr>
    </w:p>
    <w:p w14:paraId="25242CB7" w14:textId="61211AAB" w:rsidR="008134EF" w:rsidRPr="00D65C8F" w:rsidRDefault="008134EF" w:rsidP="00E27AC4">
      <w:pPr>
        <w:numPr>
          <w:ilvl w:val="0"/>
          <w:numId w:val="5"/>
        </w:numPr>
        <w:suppressAutoHyphens/>
        <w:autoSpaceDE w:val="0"/>
        <w:autoSpaceDN w:val="0"/>
        <w:adjustRightInd w:val="0"/>
        <w:spacing w:after="0" w:line="240" w:lineRule="auto"/>
        <w:contextualSpacing/>
        <w:jc w:val="both"/>
        <w:rPr>
          <w:rFonts w:ascii="Cambria" w:eastAsia="Batang" w:hAnsi="Cambria"/>
          <w:b/>
          <w:bCs/>
          <w:color w:val="000000"/>
          <w:sz w:val="20"/>
          <w:szCs w:val="20"/>
          <w:lang w:val="es-ES_tradnl"/>
        </w:rPr>
      </w:pPr>
      <w:r w:rsidRPr="00D65C8F">
        <w:rPr>
          <w:rFonts w:ascii="Cambria" w:eastAsia="Batang" w:hAnsi="Cambria" w:cs="Calibri Light"/>
          <w:b/>
          <w:color w:val="000000"/>
          <w:sz w:val="20"/>
          <w:szCs w:val="20"/>
          <w:lang w:val="es-ES_tradnl"/>
        </w:rPr>
        <w:t xml:space="preserve">NIVEL DE CUMPLIMIENTO DEL CASO </w:t>
      </w:r>
    </w:p>
    <w:p w14:paraId="38239EEE" w14:textId="77777777" w:rsidR="008134EF" w:rsidRPr="00B036BC" w:rsidRDefault="008134EF" w:rsidP="00D65C8F">
      <w:pPr>
        <w:spacing w:after="0" w:line="240" w:lineRule="auto"/>
        <w:contextualSpacing/>
        <w:jc w:val="both"/>
        <w:rPr>
          <w:rFonts w:ascii="Cambria" w:eastAsia="Batang" w:hAnsi="Cambria"/>
          <w:sz w:val="20"/>
          <w:szCs w:val="20"/>
          <w:lang w:val="es-ES_tradnl"/>
        </w:rPr>
      </w:pPr>
    </w:p>
    <w:p w14:paraId="4994EC79" w14:textId="09C2B754" w:rsidR="008134EF" w:rsidRPr="00B036BC" w:rsidRDefault="008134EF" w:rsidP="00E27AC4">
      <w:pPr>
        <w:numPr>
          <w:ilvl w:val="0"/>
          <w:numId w:val="7"/>
        </w:numPr>
        <w:suppressAutoHyphens/>
        <w:spacing w:after="0" w:line="240" w:lineRule="auto"/>
        <w:ind w:left="0" w:firstLine="709"/>
        <w:contextualSpacing/>
        <w:jc w:val="both"/>
        <w:rPr>
          <w:rFonts w:ascii="Cambria" w:eastAsia="Batang" w:hAnsi="Cambria"/>
          <w:sz w:val="20"/>
          <w:szCs w:val="20"/>
          <w:lang w:val="es-ES_tradnl"/>
        </w:rPr>
      </w:pPr>
      <w:r w:rsidRPr="00B036BC">
        <w:rPr>
          <w:rFonts w:ascii="Cambria" w:hAnsi="Cambria"/>
          <w:sz w:val="20"/>
          <w:szCs w:val="20"/>
          <w:lang w:val="es-CO"/>
        </w:rPr>
        <w:t xml:space="preserve">La Comisión </w:t>
      </w:r>
      <w:r w:rsidR="00D65C8F">
        <w:rPr>
          <w:rFonts w:ascii="Cambria" w:hAnsi="Cambria"/>
          <w:sz w:val="20"/>
          <w:szCs w:val="20"/>
          <w:lang w:val="es-CO"/>
        </w:rPr>
        <w:t>declaró el cumplimiento total del asunto y el cese del seguimiento del acuerdo de solución amistosa en el Informe Anual de 2024</w:t>
      </w:r>
      <w:r w:rsidRPr="00B036BC">
        <w:rPr>
          <w:rFonts w:ascii="Cambria" w:hAnsi="Cambria"/>
          <w:sz w:val="20"/>
          <w:szCs w:val="20"/>
          <w:lang w:val="es-CO"/>
        </w:rPr>
        <w:t xml:space="preserve">. </w:t>
      </w:r>
    </w:p>
    <w:p w14:paraId="0584F844" w14:textId="77777777" w:rsidR="008134EF" w:rsidRPr="00B036BC" w:rsidRDefault="008134EF" w:rsidP="00B036BC">
      <w:pPr>
        <w:suppressAutoHyphens/>
        <w:spacing w:after="0" w:line="240" w:lineRule="auto"/>
        <w:jc w:val="both"/>
        <w:rPr>
          <w:rFonts w:ascii="Cambria" w:eastAsia="Batang" w:hAnsi="Cambria"/>
          <w:color w:val="000000"/>
          <w:sz w:val="20"/>
          <w:szCs w:val="20"/>
          <w:lang w:val="es-ES_tradnl"/>
        </w:rPr>
      </w:pPr>
    </w:p>
    <w:p w14:paraId="5934FE93" w14:textId="77777777" w:rsidR="008134EF" w:rsidRPr="00B036BC" w:rsidRDefault="008134EF" w:rsidP="00E27AC4">
      <w:pPr>
        <w:numPr>
          <w:ilvl w:val="0"/>
          <w:numId w:val="5"/>
        </w:numPr>
        <w:suppressAutoHyphens/>
        <w:spacing w:after="0" w:line="240" w:lineRule="auto"/>
        <w:contextualSpacing/>
        <w:jc w:val="both"/>
        <w:rPr>
          <w:rFonts w:ascii="Cambria" w:eastAsia="Batang" w:hAnsi="Cambria" w:cs="Calibri Light"/>
          <w:b/>
          <w:color w:val="000000"/>
          <w:sz w:val="20"/>
          <w:szCs w:val="20"/>
          <w:lang w:val="es-ES_tradnl"/>
        </w:rPr>
      </w:pPr>
      <w:r w:rsidRPr="00B036BC">
        <w:rPr>
          <w:rFonts w:ascii="Cambria" w:eastAsia="Batang" w:hAnsi="Cambria" w:cs="Calibri Light"/>
          <w:b/>
          <w:color w:val="000000"/>
          <w:sz w:val="20"/>
          <w:szCs w:val="20"/>
          <w:lang w:val="es-ES_tradnl"/>
        </w:rPr>
        <w:t xml:space="preserve">RESULTADOS INDIVIDUALES Y ESTRUCTURALES DEL CASO </w:t>
      </w:r>
    </w:p>
    <w:p w14:paraId="61173E3E" w14:textId="77777777" w:rsidR="008134EF" w:rsidRPr="00B036BC" w:rsidRDefault="008134EF" w:rsidP="00B036BC">
      <w:pPr>
        <w:suppressAutoHyphens/>
        <w:spacing w:after="0" w:line="240" w:lineRule="auto"/>
        <w:ind w:left="1440"/>
        <w:contextualSpacing/>
        <w:jc w:val="both"/>
        <w:rPr>
          <w:rFonts w:ascii="Cambria" w:eastAsia="Batang" w:hAnsi="Cambria" w:cs="Calibri Light"/>
          <w:b/>
          <w:color w:val="000000"/>
          <w:sz w:val="20"/>
          <w:szCs w:val="20"/>
          <w:lang w:val="es-ES_tradnl"/>
        </w:rPr>
      </w:pPr>
    </w:p>
    <w:p w14:paraId="53BBBF7E" w14:textId="77777777" w:rsidR="008134EF" w:rsidRPr="00B036BC" w:rsidRDefault="008134EF" w:rsidP="00E27AC4">
      <w:pPr>
        <w:numPr>
          <w:ilvl w:val="0"/>
          <w:numId w:val="6"/>
        </w:numPr>
        <w:suppressAutoHyphens/>
        <w:spacing w:after="0" w:line="240" w:lineRule="auto"/>
        <w:ind w:left="0" w:firstLine="709"/>
        <w:contextualSpacing/>
        <w:jc w:val="both"/>
        <w:rPr>
          <w:rFonts w:ascii="Cambria" w:eastAsia="Batang" w:hAnsi="Cambria" w:cs="Calibri Light"/>
          <w:b/>
          <w:color w:val="000000"/>
          <w:sz w:val="20"/>
          <w:szCs w:val="20"/>
          <w:lang w:val="es-ES_tradnl"/>
        </w:rPr>
      </w:pPr>
      <w:r w:rsidRPr="00B036BC">
        <w:rPr>
          <w:rFonts w:ascii="Cambria" w:eastAsia="Batang" w:hAnsi="Cambria" w:cs="Calibri Light"/>
          <w:b/>
          <w:color w:val="000000"/>
          <w:sz w:val="20"/>
          <w:szCs w:val="20"/>
          <w:lang w:val="es-ES_tradnl"/>
        </w:rPr>
        <w:t>Resultados individuales del caso</w:t>
      </w:r>
    </w:p>
    <w:p w14:paraId="64AE1EFC" w14:textId="77777777" w:rsidR="008134EF" w:rsidRPr="00B036BC" w:rsidRDefault="008134EF" w:rsidP="00B036BC">
      <w:pPr>
        <w:suppressAutoHyphens/>
        <w:spacing w:after="0" w:line="240" w:lineRule="auto"/>
        <w:ind w:firstLine="709"/>
        <w:contextualSpacing/>
        <w:jc w:val="both"/>
        <w:rPr>
          <w:rFonts w:ascii="Cambria" w:eastAsia="Batang" w:hAnsi="Cambria" w:cs="Calibri Light"/>
          <w:b/>
          <w:color w:val="000000"/>
          <w:sz w:val="20"/>
          <w:szCs w:val="20"/>
          <w:lang w:val="es-ES_tradnl"/>
        </w:rPr>
      </w:pPr>
    </w:p>
    <w:p w14:paraId="06E79E10" w14:textId="77777777" w:rsidR="008134EF" w:rsidRPr="00B036BC" w:rsidRDefault="008134EF" w:rsidP="00E27AC4">
      <w:pPr>
        <w:numPr>
          <w:ilvl w:val="0"/>
          <w:numId w:val="4"/>
        </w:numPr>
        <w:suppressAutoHyphens/>
        <w:spacing w:after="0" w:line="240" w:lineRule="auto"/>
        <w:ind w:left="1440" w:hanging="731"/>
        <w:contextualSpacing/>
        <w:jc w:val="both"/>
        <w:rPr>
          <w:rFonts w:ascii="Cambria" w:eastAsia="Batang" w:hAnsi="Cambria"/>
          <w:sz w:val="20"/>
          <w:szCs w:val="20"/>
          <w:lang w:val="es-ES_tradnl"/>
        </w:rPr>
      </w:pPr>
      <w:r w:rsidRPr="00B036BC">
        <w:rPr>
          <w:rFonts w:ascii="Cambria" w:eastAsia="Batang" w:hAnsi="Cambria"/>
          <w:sz w:val="20"/>
          <w:szCs w:val="20"/>
          <w:lang w:val="es-ES_tradnl"/>
        </w:rPr>
        <w:t>El Estado de Colombia realizó un acto de reconocimiento de responsabilidad el 3 de marzo de 2022, mediante plataforma virtual. Las partes aportaron la copia simple de las invitaciones circuladas para dicho evento.</w:t>
      </w:r>
    </w:p>
    <w:p w14:paraId="7EA79098" w14:textId="77777777" w:rsidR="008134EF" w:rsidRPr="00B036BC" w:rsidRDefault="008134EF" w:rsidP="00E27AC4">
      <w:pPr>
        <w:numPr>
          <w:ilvl w:val="0"/>
          <w:numId w:val="4"/>
        </w:numPr>
        <w:suppressAutoHyphens/>
        <w:spacing w:after="0" w:line="240" w:lineRule="auto"/>
        <w:ind w:left="1440" w:hanging="731"/>
        <w:contextualSpacing/>
        <w:jc w:val="both"/>
        <w:rPr>
          <w:rFonts w:ascii="Cambria" w:eastAsia="Batang" w:hAnsi="Cambria"/>
          <w:sz w:val="20"/>
          <w:szCs w:val="20"/>
          <w:lang w:val="es-ES_tradnl"/>
        </w:rPr>
      </w:pPr>
      <w:r w:rsidRPr="00B036BC">
        <w:rPr>
          <w:rFonts w:ascii="Cambria" w:hAnsi="Cambria"/>
          <w:sz w:val="20"/>
          <w:szCs w:val="20"/>
          <w:lang w:val="es-419"/>
        </w:rPr>
        <w:t>El Estado brindó un auxilio educativo, que incluyó el pago efectivo de la matrícula y sostenimiento para 6 semestres, y la beneficiaria del ASA logró culminar sus estudios finalizando la implementación de la medida en el período 2024-1.</w:t>
      </w:r>
    </w:p>
    <w:p w14:paraId="7D630DAD" w14:textId="77777777" w:rsidR="008134EF" w:rsidRPr="00B036BC" w:rsidRDefault="008134EF" w:rsidP="00E27AC4">
      <w:pPr>
        <w:numPr>
          <w:ilvl w:val="0"/>
          <w:numId w:val="2"/>
        </w:numPr>
        <w:suppressAutoHyphens/>
        <w:spacing w:after="0" w:line="240" w:lineRule="auto"/>
        <w:ind w:left="1440" w:hanging="720"/>
        <w:contextualSpacing/>
        <w:jc w:val="both"/>
        <w:rPr>
          <w:rFonts w:ascii="Cambria" w:hAnsi="Cambria"/>
          <w:sz w:val="20"/>
          <w:szCs w:val="20"/>
          <w:lang w:val="es-ES_tradnl"/>
        </w:rPr>
      </w:pPr>
      <w:r w:rsidRPr="00B036BC">
        <w:rPr>
          <w:rFonts w:ascii="Cambria" w:hAnsi="Cambria"/>
          <w:sz w:val="20"/>
          <w:szCs w:val="20"/>
          <w:lang w:val="es-ES_tradnl"/>
        </w:rPr>
        <w:t xml:space="preserve">El Estado avanzó con el trámite de la Ley 288 de 1996 </w:t>
      </w:r>
      <w:r w:rsidRPr="00B036BC">
        <w:rPr>
          <w:rFonts w:ascii="Cambria" w:eastAsia="Batang" w:hAnsi="Cambria"/>
          <w:color w:val="000000"/>
          <w:sz w:val="20"/>
          <w:szCs w:val="20"/>
          <w:lang w:val="es-ES_tradnl"/>
        </w:rPr>
        <w:t xml:space="preserve">y realizó el pago de la indemnización a los beneficiarios del acuerdo de solución amistosa mediante </w:t>
      </w:r>
      <w:r w:rsidRPr="00B036BC">
        <w:rPr>
          <w:rFonts w:ascii="Cambria" w:eastAsia="Batang" w:hAnsi="Cambria"/>
          <w:bCs/>
          <w:color w:val="000000"/>
          <w:sz w:val="20"/>
          <w:szCs w:val="20"/>
          <w:lang w:val="es-ES"/>
        </w:rPr>
        <w:t xml:space="preserve">Resolución No. </w:t>
      </w:r>
      <w:r w:rsidRPr="00B036BC">
        <w:rPr>
          <w:rFonts w:ascii="Cambria" w:hAnsi="Cambria"/>
          <w:sz w:val="20"/>
          <w:szCs w:val="20"/>
          <w:lang w:val="es-419"/>
        </w:rPr>
        <w:t xml:space="preserve">164 de 11 de marzo de 2024 </w:t>
      </w:r>
      <w:r w:rsidRPr="00B036BC">
        <w:rPr>
          <w:rFonts w:ascii="Cambria" w:eastAsia="Batang" w:hAnsi="Cambria"/>
          <w:bCs/>
          <w:color w:val="000000"/>
          <w:sz w:val="20"/>
          <w:szCs w:val="20"/>
          <w:lang w:val="es-ES"/>
        </w:rPr>
        <w:t xml:space="preserve">por un monto total de </w:t>
      </w:r>
      <w:r w:rsidRPr="00B036BC">
        <w:rPr>
          <w:rFonts w:ascii="Cambria" w:hAnsi="Cambria"/>
          <w:sz w:val="20"/>
          <w:szCs w:val="20"/>
          <w:lang w:val="es-419"/>
        </w:rPr>
        <w:t xml:space="preserve">$3.484.035.134,37 </w:t>
      </w:r>
      <w:r w:rsidRPr="00B036BC">
        <w:rPr>
          <w:rFonts w:ascii="Cambria" w:eastAsia="Batang" w:hAnsi="Cambria"/>
          <w:bCs/>
          <w:color w:val="000000"/>
          <w:sz w:val="20"/>
          <w:szCs w:val="20"/>
          <w:lang w:val="es-ES"/>
        </w:rPr>
        <w:t>por concepto de daño moral y lucro cesante</w:t>
      </w:r>
      <w:r w:rsidRPr="00B036BC">
        <w:rPr>
          <w:rFonts w:ascii="Cambria" w:hAnsi="Cambria"/>
          <w:sz w:val="20"/>
          <w:szCs w:val="20"/>
          <w:lang w:val="es-US"/>
        </w:rPr>
        <w:t>.</w:t>
      </w:r>
    </w:p>
    <w:p w14:paraId="5C10ACCB" w14:textId="77777777" w:rsidR="008134EF" w:rsidRPr="00B036BC" w:rsidRDefault="008134EF" w:rsidP="00B036BC">
      <w:pPr>
        <w:tabs>
          <w:tab w:val="left" w:pos="7088"/>
        </w:tabs>
        <w:spacing w:after="0" w:line="240" w:lineRule="auto"/>
        <w:jc w:val="both"/>
        <w:rPr>
          <w:rFonts w:ascii="Cambria" w:eastAsia="Batang" w:hAnsi="Cambria" w:cs="Calibri Light"/>
          <w:b/>
          <w:color w:val="000000"/>
          <w:sz w:val="20"/>
          <w:szCs w:val="20"/>
          <w:lang w:val="es-ES_tradnl"/>
        </w:rPr>
      </w:pPr>
    </w:p>
    <w:p w14:paraId="06C1C6D5" w14:textId="77777777" w:rsidR="008134EF" w:rsidRPr="00B036BC" w:rsidRDefault="008134EF" w:rsidP="00E27AC4">
      <w:pPr>
        <w:numPr>
          <w:ilvl w:val="0"/>
          <w:numId w:val="6"/>
        </w:numPr>
        <w:suppressAutoHyphens/>
        <w:spacing w:after="0" w:line="240" w:lineRule="auto"/>
        <w:ind w:left="0" w:firstLine="709"/>
        <w:contextualSpacing/>
        <w:jc w:val="both"/>
        <w:rPr>
          <w:rFonts w:ascii="Cambria" w:eastAsia="Batang" w:hAnsi="Cambria" w:cs="Calibri Light"/>
          <w:b/>
          <w:color w:val="000000"/>
          <w:sz w:val="20"/>
          <w:szCs w:val="20"/>
          <w:lang w:val="es-ES_tradnl"/>
        </w:rPr>
      </w:pPr>
      <w:r w:rsidRPr="00B036BC">
        <w:rPr>
          <w:rFonts w:ascii="Cambria" w:eastAsia="Batang" w:hAnsi="Cambria" w:cs="Calibri Light"/>
          <w:b/>
          <w:color w:val="000000"/>
          <w:sz w:val="20"/>
          <w:szCs w:val="20"/>
          <w:lang w:val="es-ES_tradnl"/>
        </w:rPr>
        <w:t>Resultados estructurales del caso</w:t>
      </w:r>
    </w:p>
    <w:p w14:paraId="52F5A01C" w14:textId="77777777" w:rsidR="008134EF" w:rsidRPr="00B036BC" w:rsidRDefault="008134EF" w:rsidP="00B036BC">
      <w:pPr>
        <w:suppressAutoHyphens/>
        <w:spacing w:after="0" w:line="240" w:lineRule="auto"/>
        <w:ind w:firstLine="709"/>
        <w:contextualSpacing/>
        <w:jc w:val="both"/>
        <w:rPr>
          <w:rFonts w:ascii="Cambria" w:eastAsia="Batang" w:hAnsi="Cambria" w:cs="Calibri Light"/>
          <w:b/>
          <w:color w:val="000000"/>
          <w:sz w:val="20"/>
          <w:szCs w:val="20"/>
          <w:lang w:val="es-ES_tradnl"/>
        </w:rPr>
      </w:pPr>
    </w:p>
    <w:p w14:paraId="3B4E0DA4" w14:textId="104FD036" w:rsidR="008E72CA" w:rsidRPr="007F3419" w:rsidRDefault="008134EF" w:rsidP="00E27AC4">
      <w:pPr>
        <w:numPr>
          <w:ilvl w:val="0"/>
          <w:numId w:val="3"/>
        </w:numPr>
        <w:suppressAutoHyphens/>
        <w:spacing w:after="0" w:line="240" w:lineRule="auto"/>
        <w:ind w:left="1418" w:hanging="709"/>
        <w:contextualSpacing/>
        <w:jc w:val="both"/>
        <w:rPr>
          <w:rFonts w:ascii="Cambria" w:eastAsia="Batang" w:hAnsi="Cambria" w:cs="Calibri Light"/>
          <w:color w:val="000000"/>
          <w:sz w:val="20"/>
          <w:szCs w:val="20"/>
          <w:lang w:val="es-ES_tradnl"/>
        </w:rPr>
      </w:pPr>
      <w:r w:rsidRPr="00B036BC">
        <w:rPr>
          <w:rFonts w:ascii="Cambria" w:eastAsia="Batang" w:hAnsi="Cambria" w:cs="Calibri Light"/>
          <w:color w:val="000000"/>
          <w:sz w:val="20"/>
          <w:szCs w:val="20"/>
          <w:lang w:val="es-ES_tradnl"/>
        </w:rPr>
        <w:t>El Estado publicó el acuerdo de solución amistosa en la página de internet de la Agencia Nacional de Defensa Jurídica del Estado.</w:t>
      </w:r>
    </w:p>
    <w:sectPr w:rsidR="008E72CA" w:rsidRPr="007F3419" w:rsidSect="007E4ED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B66A1" w14:textId="77777777" w:rsidR="00EA21FC" w:rsidRDefault="00EA21FC" w:rsidP="00A343FF">
      <w:pPr>
        <w:spacing w:after="0" w:line="240" w:lineRule="auto"/>
      </w:pPr>
      <w:r>
        <w:separator/>
      </w:r>
    </w:p>
  </w:endnote>
  <w:endnote w:type="continuationSeparator" w:id="0">
    <w:p w14:paraId="2B85CC91" w14:textId="77777777" w:rsidR="00EA21FC" w:rsidRDefault="00EA21FC" w:rsidP="00A343FF">
      <w:pPr>
        <w:spacing w:after="0" w:line="240" w:lineRule="auto"/>
      </w:pPr>
      <w:r>
        <w:continuationSeparator/>
      </w:r>
    </w:p>
  </w:endnote>
  <w:endnote w:type="continuationNotice" w:id="1">
    <w:p w14:paraId="4034CAEB" w14:textId="77777777" w:rsidR="00EA21FC" w:rsidRDefault="00EA21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AF33" w14:textId="77777777" w:rsidR="00106C59" w:rsidRDefault="00106C59">
    <w:pPr>
      <w:pStyle w:val="Footer"/>
    </w:pPr>
  </w:p>
  <w:p w14:paraId="3AF0EA2E" w14:textId="77777777" w:rsidR="00FC0266" w:rsidRDefault="00FC02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40DD" w14:textId="77777777" w:rsidR="00A72869" w:rsidRPr="0073374A" w:rsidRDefault="00A72869">
    <w:pPr>
      <w:pStyle w:val="Footer"/>
      <w:jc w:val="center"/>
      <w:rPr>
        <w:rFonts w:ascii="Cambria" w:hAnsi="Cambria"/>
        <w:color w:val="7F7F7F"/>
        <w:sz w:val="16"/>
      </w:rPr>
    </w:pPr>
    <w:r w:rsidRPr="0073374A">
      <w:rPr>
        <w:rFonts w:ascii="Cambria" w:hAnsi="Cambria"/>
        <w:color w:val="7F7F7F"/>
        <w:sz w:val="16"/>
      </w:rPr>
      <w:fldChar w:fldCharType="begin"/>
    </w:r>
    <w:r w:rsidRPr="0073374A">
      <w:rPr>
        <w:rFonts w:ascii="Cambria" w:hAnsi="Cambria"/>
        <w:color w:val="7F7F7F"/>
        <w:sz w:val="16"/>
      </w:rPr>
      <w:instrText xml:space="preserve"> PAGE   \* MERGEFORMAT </w:instrText>
    </w:r>
    <w:r w:rsidRPr="0073374A">
      <w:rPr>
        <w:rFonts w:ascii="Cambria" w:hAnsi="Cambria"/>
        <w:color w:val="7F7F7F"/>
        <w:sz w:val="16"/>
      </w:rPr>
      <w:fldChar w:fldCharType="separate"/>
    </w:r>
    <w:r w:rsidR="00106C59" w:rsidRPr="0073374A">
      <w:rPr>
        <w:rFonts w:ascii="Cambria" w:hAnsi="Cambria"/>
        <w:noProof/>
        <w:color w:val="7F7F7F"/>
        <w:sz w:val="16"/>
      </w:rPr>
      <w:t>2</w:t>
    </w:r>
    <w:r w:rsidRPr="0073374A">
      <w:rPr>
        <w:rFonts w:ascii="Cambria" w:hAnsi="Cambria"/>
        <w:noProof/>
        <w:color w:val="7F7F7F"/>
        <w:sz w:val="16"/>
      </w:rPr>
      <w:fldChar w:fldCharType="end"/>
    </w:r>
  </w:p>
  <w:p w14:paraId="4E062864" w14:textId="77777777" w:rsidR="001C0A6D" w:rsidRDefault="001C0A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E2F0" w14:textId="443F1EA5" w:rsidR="00D222B7" w:rsidRDefault="00CC6D8D" w:rsidP="00CA3AA8">
    <w:pPr>
      <w:pStyle w:val="Footer"/>
      <w:spacing w:line="360" w:lineRule="auto"/>
      <w:jc w:val="right"/>
    </w:pPr>
    <w:r>
      <w:rPr>
        <w:noProof/>
      </w:rPr>
      <w:pict w14:anchorId="4F3BCD48">
        <v:rect id="_x0000_i1027" alt="" style="width:441.9pt;height:.05pt;mso-width-percent:0;mso-height-percent:0;mso-width-percent:0;mso-height-percent:0" o:hralign="center" o:hrstd="t" o:hr="t" fillcolor="#a0a0a0" stroked="f"/>
      </w:pict>
    </w:r>
  </w:p>
  <w:p w14:paraId="48E8CE2E" w14:textId="77777777" w:rsidR="00D13990" w:rsidRDefault="00911130" w:rsidP="00604F1C">
    <w:pPr>
      <w:pStyle w:val="Footer"/>
      <w:jc w:val="center"/>
    </w:pPr>
    <w:r w:rsidRPr="008A5CB5">
      <w:rPr>
        <w:noProof/>
      </w:rPr>
      <w:drawing>
        <wp:inline distT="0" distB="0" distL="0" distR="0" wp14:anchorId="2F2E600E" wp14:editId="2127D52D">
          <wp:extent cx="5120640" cy="311150"/>
          <wp:effectExtent l="0" t="0" r="0" b="0"/>
          <wp:docPr id="7" name="Picture 35" descr="C:\Users\mfontana\Documents\Eva Fontana\GRAFICA CIDH\cartas\logos\footer-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1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269A8" w14:textId="77777777" w:rsidR="00EA21FC" w:rsidRDefault="00EA21FC" w:rsidP="00A343FF">
      <w:pPr>
        <w:spacing w:after="0" w:line="240" w:lineRule="auto"/>
      </w:pPr>
      <w:r>
        <w:separator/>
      </w:r>
    </w:p>
  </w:footnote>
  <w:footnote w:type="continuationSeparator" w:id="0">
    <w:p w14:paraId="1A1AD447" w14:textId="77777777" w:rsidR="00EA21FC" w:rsidRDefault="00EA21FC" w:rsidP="00A343FF">
      <w:pPr>
        <w:spacing w:after="0" w:line="240" w:lineRule="auto"/>
      </w:pPr>
      <w:r>
        <w:continuationSeparator/>
      </w:r>
    </w:p>
  </w:footnote>
  <w:footnote w:type="continuationNotice" w:id="1">
    <w:p w14:paraId="6253F035" w14:textId="77777777" w:rsidR="00EA21FC" w:rsidRDefault="00EA21FC">
      <w:pPr>
        <w:spacing w:after="0" w:line="240" w:lineRule="auto"/>
      </w:pPr>
    </w:p>
  </w:footnote>
  <w:footnote w:id="2">
    <w:p w14:paraId="54B321B9" w14:textId="4342C48B" w:rsidR="008134EF" w:rsidRPr="00D65C8F" w:rsidRDefault="008134EF" w:rsidP="00D65C8F">
      <w:pPr>
        <w:pStyle w:val="FootnoteText"/>
        <w:spacing w:after="0" w:line="240" w:lineRule="auto"/>
        <w:ind w:firstLine="709"/>
        <w:jc w:val="both"/>
        <w:rPr>
          <w:rFonts w:ascii="Cambria" w:hAnsi="Cambria"/>
          <w:sz w:val="16"/>
          <w:szCs w:val="16"/>
          <w:lang w:val="es-ES_tradnl"/>
        </w:rPr>
      </w:pPr>
      <w:r w:rsidRPr="00D65C8F">
        <w:rPr>
          <w:rStyle w:val="FootnoteReference"/>
          <w:rFonts w:ascii="Cambria" w:hAnsi="Cambria"/>
          <w:sz w:val="16"/>
          <w:szCs w:val="16"/>
        </w:rPr>
        <w:footnoteRef/>
      </w:r>
      <w:r w:rsidRPr="00E27AC4">
        <w:rPr>
          <w:rFonts w:ascii="Cambria" w:hAnsi="Cambria"/>
          <w:sz w:val="16"/>
          <w:szCs w:val="16"/>
          <w:lang w:val="pt-BR"/>
        </w:rPr>
        <w:t xml:space="preserve"> </w:t>
      </w:r>
      <w:r w:rsidR="00D65C8F" w:rsidRPr="00E27AC4">
        <w:rPr>
          <w:rFonts w:ascii="Cambria" w:hAnsi="Cambria"/>
          <w:color w:val="000000" w:themeColor="text1"/>
          <w:sz w:val="16"/>
          <w:szCs w:val="16"/>
          <w:lang w:val="pt-BR"/>
        </w:rPr>
        <w:t xml:space="preserve">Ver </w:t>
      </w:r>
      <w:r w:rsidRPr="00E27AC4">
        <w:rPr>
          <w:rFonts w:ascii="Cambria" w:hAnsi="Cambria"/>
          <w:color w:val="000000" w:themeColor="text1"/>
          <w:sz w:val="16"/>
          <w:szCs w:val="16"/>
          <w:lang w:val="pt-BR" w:eastAsia="es-ES_tradnl"/>
        </w:rPr>
        <w:t xml:space="preserve">CIDH, Informe No. 67/22, Caso 13.436. </w:t>
      </w:r>
      <w:r w:rsidRPr="00D65C8F">
        <w:rPr>
          <w:rFonts w:ascii="Cambria" w:hAnsi="Cambria"/>
          <w:color w:val="000000" w:themeColor="text1"/>
          <w:sz w:val="16"/>
          <w:szCs w:val="16"/>
          <w:lang w:val="es-MX" w:eastAsia="es-ES_tradnl"/>
        </w:rPr>
        <w:t>Solución Amistosa. José Oleaguer Correa Ca</w:t>
      </w:r>
      <w:r w:rsidR="00D65C8F" w:rsidRPr="00D65C8F">
        <w:rPr>
          <w:rFonts w:ascii="Cambria" w:hAnsi="Cambria"/>
          <w:color w:val="000000" w:themeColor="text1"/>
          <w:sz w:val="16"/>
          <w:szCs w:val="16"/>
          <w:lang w:val="es-MX" w:eastAsia="es-ES_tradnl"/>
        </w:rPr>
        <w:t>s</w:t>
      </w:r>
      <w:r w:rsidRPr="00D65C8F">
        <w:rPr>
          <w:rFonts w:ascii="Cambria" w:hAnsi="Cambria"/>
          <w:color w:val="000000" w:themeColor="text1"/>
          <w:sz w:val="16"/>
          <w:szCs w:val="16"/>
          <w:lang w:val="es-MX" w:eastAsia="es-ES_tradnl"/>
        </w:rPr>
        <w:t xml:space="preserve">trillón. Colombia. 10 de mayo de 2022. </w:t>
      </w:r>
      <w:r w:rsidR="00D65C8F" w:rsidRPr="00D65C8F">
        <w:rPr>
          <w:rFonts w:ascii="Cambria" w:hAnsi="Cambria"/>
          <w:color w:val="000000" w:themeColor="text1"/>
          <w:sz w:val="16"/>
          <w:szCs w:val="16"/>
          <w:lang w:val="es-MX" w:eastAsia="es-ES_tradnl"/>
        </w:rPr>
        <w:t xml:space="preserve">Disponible en: </w:t>
      </w:r>
      <w:hyperlink r:id="rId1" w:history="1">
        <w:r w:rsidR="00D65C8F" w:rsidRPr="00197828">
          <w:rPr>
            <w:rStyle w:val="Hyperlink"/>
            <w:rFonts w:ascii="Cambria" w:hAnsi="Cambria"/>
            <w:sz w:val="16"/>
            <w:szCs w:val="16"/>
            <w:lang w:val="es-ES_tradnl"/>
          </w:rPr>
          <w:t>https://www.oas.org/es/cidh/decisiones/2022/COSA13.436ES.pdf</w:t>
        </w:r>
      </w:hyperlink>
      <w:r w:rsidR="00D65C8F">
        <w:rPr>
          <w:rFonts w:ascii="Cambria" w:hAnsi="Cambria"/>
          <w:sz w:val="16"/>
          <w:szCs w:val="16"/>
          <w:lang w:val="es-ES_tradnl"/>
        </w:rPr>
        <w:t>.</w:t>
      </w:r>
      <w:r w:rsidRPr="00D65C8F">
        <w:rPr>
          <w:rFonts w:ascii="Cambria" w:hAnsi="Cambria"/>
          <w:sz w:val="16"/>
          <w:szCs w:val="16"/>
          <w:lang w:val="es-ES_tradnl"/>
        </w:rPr>
        <w:t xml:space="preserve"> </w:t>
      </w:r>
    </w:p>
  </w:footnote>
  <w:footnote w:id="3">
    <w:p w14:paraId="772197FC" w14:textId="77777777" w:rsidR="008134EF" w:rsidRPr="00D65C8F" w:rsidRDefault="008134EF" w:rsidP="00D65C8F">
      <w:pPr>
        <w:spacing w:after="0" w:line="240" w:lineRule="auto"/>
        <w:ind w:firstLine="709"/>
        <w:jc w:val="both"/>
        <w:rPr>
          <w:rFonts w:ascii="Cambria" w:hAnsi="Cambria"/>
          <w:sz w:val="16"/>
          <w:szCs w:val="16"/>
          <w:lang w:val="es-US"/>
        </w:rPr>
      </w:pPr>
      <w:r w:rsidRPr="00D65C8F">
        <w:rPr>
          <w:rStyle w:val="FootnoteReference"/>
          <w:rFonts w:ascii="Cambria" w:hAnsi="Cambria"/>
          <w:sz w:val="16"/>
          <w:szCs w:val="16"/>
        </w:rPr>
        <w:footnoteRef/>
      </w:r>
      <w:r w:rsidRPr="00D65C8F">
        <w:rPr>
          <w:rFonts w:ascii="Cambria" w:hAnsi="Cambria"/>
          <w:sz w:val="16"/>
          <w:szCs w:val="16"/>
          <w:lang w:val="es-US"/>
        </w:rPr>
        <w:t xml:space="preserve"> </w:t>
      </w:r>
      <w:r w:rsidRPr="00D65C8F">
        <w:rPr>
          <w:rStyle w:val="ui-provider"/>
          <w:rFonts w:ascii="Cambria" w:hAnsi="Cambria"/>
          <w:sz w:val="16"/>
          <w:szCs w:val="16"/>
          <w:lang w:val="es-US"/>
        </w:rPr>
        <w:t xml:space="preserve">Ver CIDH, Informe Anual 2022, Capítulo II, Sección C. Avances y retrocesos en materia de negociación e implementación de acuerdos de solución amistosa. Disponible en: </w:t>
      </w:r>
      <w:hyperlink r:id="rId2" w:tgtFrame="_blank" w:tooltip="https://www.oas.org/es/cidh/docs/anual/2022/capitulos/4-ia2022_cap_2_es.pdf" w:history="1">
        <w:r w:rsidRPr="00D65C8F">
          <w:rPr>
            <w:rStyle w:val="Hyperlink"/>
            <w:rFonts w:ascii="Cambria" w:hAnsi="Cambria"/>
            <w:sz w:val="16"/>
            <w:szCs w:val="16"/>
            <w:lang w:val="es-US"/>
          </w:rPr>
          <w:t>https://www.oas.org/es/cidh/docs/anual/2022/capitulos/4-IA2022_Cap_2_ES.pdf</w:t>
        </w:r>
      </w:hyperlink>
      <w:r w:rsidRPr="00D65C8F">
        <w:rPr>
          <w:rStyle w:val="ui-provider"/>
          <w:rFonts w:ascii="Cambria" w:hAnsi="Cambria"/>
          <w:sz w:val="16"/>
          <w:szCs w:val="16"/>
          <w:lang w:val="es-US"/>
        </w:rPr>
        <w:t>.</w:t>
      </w:r>
    </w:p>
  </w:footnote>
  <w:footnote w:id="4">
    <w:p w14:paraId="5ED0A052" w14:textId="77777777" w:rsidR="00D65C8F" w:rsidRPr="00D65C8F" w:rsidRDefault="00D65C8F" w:rsidP="00D65C8F">
      <w:pPr>
        <w:pStyle w:val="FootnoteText"/>
        <w:spacing w:after="0" w:line="240" w:lineRule="auto"/>
        <w:ind w:firstLine="709"/>
        <w:jc w:val="both"/>
        <w:rPr>
          <w:rFonts w:ascii="Cambria" w:hAnsi="Cambria"/>
          <w:sz w:val="16"/>
          <w:szCs w:val="16"/>
          <w:lang w:val="es-CO"/>
        </w:rPr>
      </w:pPr>
      <w:r w:rsidRPr="00D65C8F">
        <w:rPr>
          <w:rStyle w:val="FootnoteReference"/>
          <w:rFonts w:ascii="Cambria" w:hAnsi="Cambria"/>
          <w:sz w:val="16"/>
          <w:szCs w:val="16"/>
        </w:rPr>
        <w:footnoteRef/>
      </w:r>
      <w:r w:rsidRPr="00D65C8F">
        <w:rPr>
          <w:rFonts w:ascii="Cambria" w:hAnsi="Cambria"/>
          <w:sz w:val="16"/>
          <w:szCs w:val="16"/>
          <w:lang w:val="es-CO"/>
        </w:rPr>
        <w:t xml:space="preserve"> Se modifica la cláusula original del ASA de 23 de diciembre de 2021 en virtud del Otrosí suscrito por las partes el 27 de marzo de 2023. Las demás cláusulas no fueron modificadas por dicho instrumento.</w:t>
      </w:r>
    </w:p>
  </w:footnote>
  <w:footnote w:id="5">
    <w:p w14:paraId="3E77061F" w14:textId="4F9E301C" w:rsidR="00D65C8F" w:rsidRPr="00D65C8F" w:rsidRDefault="00D65C8F" w:rsidP="00D65C8F">
      <w:pPr>
        <w:pStyle w:val="FootnoteText"/>
        <w:spacing w:after="0" w:line="240" w:lineRule="auto"/>
        <w:ind w:firstLine="709"/>
        <w:jc w:val="both"/>
        <w:rPr>
          <w:rFonts w:ascii="Cambria" w:hAnsi="Cambria"/>
          <w:sz w:val="16"/>
          <w:szCs w:val="16"/>
          <w:lang w:val="es-ES_tradnl"/>
        </w:rPr>
      </w:pPr>
      <w:r w:rsidRPr="00D65C8F">
        <w:rPr>
          <w:rStyle w:val="FootnoteReference"/>
          <w:rFonts w:ascii="Cambria" w:hAnsi="Cambria"/>
          <w:sz w:val="16"/>
          <w:szCs w:val="16"/>
        </w:rPr>
        <w:footnoteRef/>
      </w:r>
      <w:r w:rsidRPr="00E27AC4">
        <w:rPr>
          <w:rFonts w:ascii="Cambria" w:hAnsi="Cambria"/>
          <w:sz w:val="16"/>
          <w:szCs w:val="16"/>
          <w:lang w:val="es-CO"/>
        </w:rPr>
        <w:t xml:space="preserve"> </w:t>
      </w:r>
      <w:r w:rsidRPr="00D65C8F">
        <w:rPr>
          <w:rFonts w:ascii="Cambria" w:hAnsi="Cambria"/>
          <w:sz w:val="16"/>
          <w:szCs w:val="16"/>
          <w:lang w:val="es-ES_tradnl"/>
        </w:rPr>
        <w:t xml:space="preserve">Ver CIDH, Informe Anual 2024, Capítulo II, Sección C. Avances y retrocesos en materia de negociación e implementación de acuerdos de solución amistosa. Disponible en: </w:t>
      </w:r>
      <w:hyperlink r:id="rId3" w:history="1">
        <w:r w:rsidRPr="00D65C8F">
          <w:rPr>
            <w:rStyle w:val="Hyperlink"/>
            <w:rFonts w:ascii="Cambria" w:hAnsi="Cambria"/>
            <w:sz w:val="16"/>
            <w:szCs w:val="16"/>
            <w:lang w:val="es-ES_tradnl"/>
          </w:rPr>
          <w:t>https://www.oas.org/es/cidh/docs/anual/2024/capitulos/IA2024_2_ES.pdf</w:t>
        </w:r>
      </w:hyperlink>
      <w:r w:rsidRPr="00E27AC4">
        <w:rPr>
          <w:rFonts w:ascii="Cambria" w:hAnsi="Cambria"/>
          <w:sz w:val="16"/>
          <w:szCs w:val="16"/>
          <w:lang w:val="es-CO"/>
        </w:rPr>
        <w:t>.</w:t>
      </w:r>
    </w:p>
  </w:footnote>
  <w:footnote w:id="6">
    <w:p w14:paraId="178A2FA8" w14:textId="407CF4CD" w:rsidR="00D65C8F" w:rsidRPr="00D65C8F" w:rsidRDefault="00D65C8F" w:rsidP="00D65C8F">
      <w:pPr>
        <w:pStyle w:val="FootnoteText"/>
        <w:spacing w:after="0" w:line="240" w:lineRule="auto"/>
        <w:ind w:firstLine="709"/>
        <w:jc w:val="both"/>
        <w:rPr>
          <w:rFonts w:ascii="Cambria" w:hAnsi="Cambria"/>
          <w:sz w:val="16"/>
          <w:szCs w:val="16"/>
          <w:lang w:val="es-ES_tradnl"/>
        </w:rPr>
      </w:pPr>
      <w:r w:rsidRPr="00D65C8F">
        <w:rPr>
          <w:rStyle w:val="FootnoteReference"/>
          <w:rFonts w:ascii="Cambria" w:hAnsi="Cambria"/>
          <w:sz w:val="16"/>
          <w:szCs w:val="16"/>
        </w:rPr>
        <w:footnoteRef/>
      </w:r>
      <w:r w:rsidRPr="00E27AC4">
        <w:rPr>
          <w:rFonts w:ascii="Cambria" w:hAnsi="Cambria"/>
          <w:sz w:val="16"/>
          <w:szCs w:val="16"/>
          <w:lang w:val="es-CO"/>
        </w:rPr>
        <w:t xml:space="preserve"> </w:t>
      </w:r>
      <w:r w:rsidRPr="00D65C8F">
        <w:rPr>
          <w:rFonts w:ascii="Cambria" w:hAnsi="Cambria"/>
          <w:sz w:val="16"/>
          <w:szCs w:val="16"/>
          <w:lang w:val="es-ES_tradnl"/>
        </w:rPr>
        <w:t xml:space="preserve">Ver CIDH, Informe Anual 2024, Capítulo II, Sección C. Avances y retrocesos en materia de negociación e implementación de acuerdos de solución amistosa. Disponible en: </w:t>
      </w:r>
      <w:hyperlink r:id="rId4" w:history="1">
        <w:r w:rsidRPr="00D65C8F">
          <w:rPr>
            <w:rStyle w:val="Hyperlink"/>
            <w:rFonts w:ascii="Cambria" w:hAnsi="Cambria"/>
            <w:sz w:val="16"/>
            <w:szCs w:val="16"/>
            <w:lang w:val="es-ES_tradnl"/>
          </w:rPr>
          <w:t>https://www.oas.org/es/cidh/docs/anual/2024/capitulos/IA2024_2_ES.pdf</w:t>
        </w:r>
      </w:hyperlink>
      <w:r w:rsidRPr="00E27AC4">
        <w:rPr>
          <w:rFonts w:ascii="Cambria" w:hAnsi="Cambria"/>
          <w:sz w:val="16"/>
          <w:szCs w:val="16"/>
          <w:lang w:val="es-CO"/>
        </w:rPr>
        <w:t>.</w:t>
      </w:r>
    </w:p>
  </w:footnote>
  <w:footnote w:id="7">
    <w:p w14:paraId="604E476E" w14:textId="46DC31B9" w:rsidR="00D65C8F" w:rsidRPr="00D65C8F" w:rsidRDefault="00D65C8F" w:rsidP="00D65C8F">
      <w:pPr>
        <w:pStyle w:val="FootnoteText"/>
        <w:spacing w:after="0" w:line="240" w:lineRule="auto"/>
        <w:ind w:firstLine="709"/>
        <w:jc w:val="both"/>
        <w:rPr>
          <w:rFonts w:ascii="Cambria" w:hAnsi="Cambria"/>
          <w:sz w:val="16"/>
          <w:szCs w:val="16"/>
          <w:lang w:val="es-ES_tradnl"/>
        </w:rPr>
      </w:pPr>
      <w:r w:rsidRPr="00D65C8F">
        <w:rPr>
          <w:rStyle w:val="FootnoteReference"/>
          <w:rFonts w:ascii="Cambria" w:hAnsi="Cambria"/>
          <w:sz w:val="16"/>
          <w:szCs w:val="16"/>
        </w:rPr>
        <w:footnoteRef/>
      </w:r>
      <w:r w:rsidRPr="00E27AC4">
        <w:rPr>
          <w:rFonts w:ascii="Cambria" w:hAnsi="Cambria"/>
          <w:sz w:val="16"/>
          <w:szCs w:val="16"/>
          <w:lang w:val="es-CO"/>
        </w:rPr>
        <w:t xml:space="preserve"> </w:t>
      </w:r>
      <w:r w:rsidRPr="00D65C8F">
        <w:rPr>
          <w:rFonts w:ascii="Cambria" w:hAnsi="Cambria"/>
          <w:sz w:val="16"/>
          <w:szCs w:val="16"/>
          <w:lang w:val="es-ES_tradnl"/>
        </w:rPr>
        <w:t xml:space="preserve">Ver CIDH, Informe Anual 2024, Capítulo II, Sección C. Avances y retrocesos en materia de negociación e implementación de acuerdos de solución amistosa. Disponible en: </w:t>
      </w:r>
      <w:hyperlink r:id="rId5" w:history="1">
        <w:r w:rsidRPr="00D65C8F">
          <w:rPr>
            <w:rStyle w:val="Hyperlink"/>
            <w:rFonts w:ascii="Cambria" w:hAnsi="Cambria"/>
            <w:sz w:val="16"/>
            <w:szCs w:val="16"/>
            <w:lang w:val="es-ES_tradnl"/>
          </w:rPr>
          <w:t>https://www.oas.org/es/cidh/docs/anual/2024/capitulos/IA2024_2_ES.pdf</w:t>
        </w:r>
      </w:hyperlink>
      <w:r w:rsidRPr="00D65C8F">
        <w:rPr>
          <w:rFonts w:ascii="Cambria" w:hAnsi="Cambr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A961C" w14:textId="77777777" w:rsidR="00106C59" w:rsidRDefault="00106C59">
    <w:pPr>
      <w:pStyle w:val="Header"/>
    </w:pPr>
  </w:p>
  <w:p w14:paraId="7A8D6957" w14:textId="77777777" w:rsidR="00FC0266" w:rsidRDefault="00FC02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A6343" w14:textId="51179071" w:rsidR="006F0429" w:rsidRDefault="00911130" w:rsidP="00234F67">
    <w:pPr>
      <w:pStyle w:val="Header"/>
      <w:jc w:val="center"/>
      <w:rPr>
        <w:lang w:val="es-ES_tradnl"/>
      </w:rPr>
    </w:pPr>
    <w:r>
      <w:rPr>
        <w:noProof/>
        <w:lang w:val="es-ES_tradnl"/>
      </w:rPr>
      <w:drawing>
        <wp:inline distT="0" distB="0" distL="0" distR="0" wp14:anchorId="4F57ACAC" wp14:editId="71881B59">
          <wp:extent cx="2286000" cy="12827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8270"/>
                  </a:xfrm>
                  <a:prstGeom prst="rect">
                    <a:avLst/>
                  </a:prstGeom>
                  <a:noFill/>
                  <a:ln>
                    <a:noFill/>
                  </a:ln>
                </pic:spPr>
              </pic:pic>
            </a:graphicData>
          </a:graphic>
        </wp:inline>
      </w:drawing>
    </w:r>
  </w:p>
  <w:p w14:paraId="6E286177" w14:textId="316EAA0B" w:rsidR="00E27AC4" w:rsidRPr="00234F67" w:rsidRDefault="00CC6D8D" w:rsidP="00234F67">
    <w:pPr>
      <w:pStyle w:val="Header"/>
      <w:jc w:val="center"/>
      <w:rPr>
        <w:lang w:val="es-ES_tradnl"/>
      </w:rPr>
    </w:pPr>
    <w:r>
      <w:rPr>
        <w:noProof/>
      </w:rPr>
      <w:pict w14:anchorId="1E2FF8F6">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DC37" w14:textId="0FD5FDB0" w:rsidR="00234F67" w:rsidRDefault="00234F67" w:rsidP="00234F67">
    <w:pPr>
      <w:pStyle w:val="Header"/>
    </w:pPr>
    <w:r w:rsidRPr="008A5CB5">
      <w:rPr>
        <w:noProof/>
      </w:rPr>
      <w:drawing>
        <wp:inline distT="0" distB="0" distL="0" distR="0" wp14:anchorId="37DC95C8" wp14:editId="246AFE5D">
          <wp:extent cx="2352675" cy="452120"/>
          <wp:effectExtent l="0" t="0" r="0" b="0"/>
          <wp:docPr id="3" name="Picture 1"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2120"/>
                  </a:xfrm>
                  <a:prstGeom prst="rect">
                    <a:avLst/>
                  </a:prstGeom>
                  <a:noFill/>
                  <a:ln>
                    <a:noFill/>
                  </a:ln>
                </pic:spPr>
              </pic:pic>
            </a:graphicData>
          </a:graphic>
        </wp:inline>
      </w:drawing>
    </w:r>
    <w:r>
      <w:tab/>
    </w:r>
    <w:r>
      <w:tab/>
    </w:r>
    <w:r>
      <w:rPr>
        <w:noProof/>
      </w:rPr>
      <w:drawing>
        <wp:inline distT="0" distB="0" distL="0" distR="0" wp14:anchorId="37ACEE0F" wp14:editId="003578BD">
          <wp:extent cx="1943100" cy="495300"/>
          <wp:effectExtent l="0" t="0" r="0" b="0"/>
          <wp:docPr id="55000548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780C5555" w14:textId="5C08CCEA" w:rsidR="00D13990" w:rsidRDefault="00CC6D8D" w:rsidP="00D13990">
    <w:pPr>
      <w:pStyle w:val="Header"/>
    </w:pPr>
    <w:r>
      <w:rPr>
        <w:noProof/>
      </w:rPr>
      <w:pict w14:anchorId="1E65A27C">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879C0"/>
    <w:multiLevelType w:val="hybridMultilevel"/>
    <w:tmpl w:val="812AA5C2"/>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426321"/>
    <w:multiLevelType w:val="hybridMultilevel"/>
    <w:tmpl w:val="5284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A21CB"/>
    <w:multiLevelType w:val="hybridMultilevel"/>
    <w:tmpl w:val="6342300A"/>
    <w:lvl w:ilvl="0" w:tplc="7C60FEAE">
      <w:start w:val="1"/>
      <w:numFmt w:val="upperRoman"/>
      <w:lvlText w:val="%1."/>
      <w:lvlJc w:val="left"/>
      <w:pPr>
        <w:ind w:left="1440" w:hanging="72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9606FA7"/>
    <w:multiLevelType w:val="hybridMultilevel"/>
    <w:tmpl w:val="8294FB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BB90373"/>
    <w:multiLevelType w:val="hybridMultilevel"/>
    <w:tmpl w:val="7452D452"/>
    <w:lvl w:ilvl="0" w:tplc="063A5736">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49570A6"/>
    <w:multiLevelType w:val="multilevel"/>
    <w:tmpl w:val="6EF4020A"/>
    <w:lvl w:ilvl="0">
      <w:start w:val="1"/>
      <w:numFmt w:val="decimal"/>
      <w:pStyle w:val="IASubttulo3"/>
      <w:lvlText w:val="%1."/>
      <w:lvlJc w:val="left"/>
      <w:pPr>
        <w:tabs>
          <w:tab w:val="num" w:pos="720"/>
        </w:tabs>
        <w:ind w:left="1440" w:hanging="72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95E6A77"/>
    <w:multiLevelType w:val="hybridMultilevel"/>
    <w:tmpl w:val="EB2469C6"/>
    <w:lvl w:ilvl="0" w:tplc="F63AA240">
      <w:start w:val="1"/>
      <w:numFmt w:val="upp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16cid:durableId="511534976">
    <w:abstractNumId w:val="5"/>
  </w:num>
  <w:num w:numId="2" w16cid:durableId="755900953">
    <w:abstractNumId w:val="1"/>
  </w:num>
  <w:num w:numId="3" w16cid:durableId="539585477">
    <w:abstractNumId w:val="3"/>
  </w:num>
  <w:num w:numId="4" w16cid:durableId="1482844291">
    <w:abstractNumId w:val="0"/>
  </w:num>
  <w:num w:numId="5" w16cid:durableId="84159697">
    <w:abstractNumId w:val="2"/>
  </w:num>
  <w:num w:numId="6" w16cid:durableId="2014069561">
    <w:abstractNumId w:val="6"/>
  </w:num>
  <w:num w:numId="7" w16cid:durableId="29760964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121F"/>
    <w:rsid w:val="00004375"/>
    <w:rsid w:val="0001720F"/>
    <w:rsid w:val="00031E01"/>
    <w:rsid w:val="00033B04"/>
    <w:rsid w:val="00035689"/>
    <w:rsid w:val="00037EE7"/>
    <w:rsid w:val="0005228B"/>
    <w:rsid w:val="0006625E"/>
    <w:rsid w:val="00074C00"/>
    <w:rsid w:val="00082741"/>
    <w:rsid w:val="00082B16"/>
    <w:rsid w:val="000840A1"/>
    <w:rsid w:val="000A1EFD"/>
    <w:rsid w:val="000D73E4"/>
    <w:rsid w:val="000E63C2"/>
    <w:rsid w:val="000F4520"/>
    <w:rsid w:val="0010578C"/>
    <w:rsid w:val="00106C59"/>
    <w:rsid w:val="00136D54"/>
    <w:rsid w:val="00151983"/>
    <w:rsid w:val="0015583C"/>
    <w:rsid w:val="00163E52"/>
    <w:rsid w:val="00183508"/>
    <w:rsid w:val="00193906"/>
    <w:rsid w:val="001C0A6D"/>
    <w:rsid w:val="001C230A"/>
    <w:rsid w:val="001F495A"/>
    <w:rsid w:val="0021669C"/>
    <w:rsid w:val="00217A39"/>
    <w:rsid w:val="00217F58"/>
    <w:rsid w:val="00234F67"/>
    <w:rsid w:val="00250058"/>
    <w:rsid w:val="0025651E"/>
    <w:rsid w:val="002659F6"/>
    <w:rsid w:val="002A1ED6"/>
    <w:rsid w:val="002A39B2"/>
    <w:rsid w:val="002A7539"/>
    <w:rsid w:val="002B0B2A"/>
    <w:rsid w:val="002C446E"/>
    <w:rsid w:val="002C76AC"/>
    <w:rsid w:val="00300DA5"/>
    <w:rsid w:val="00301A2A"/>
    <w:rsid w:val="0030543F"/>
    <w:rsid w:val="0032092C"/>
    <w:rsid w:val="003358E6"/>
    <w:rsid w:val="00336E4E"/>
    <w:rsid w:val="003412B2"/>
    <w:rsid w:val="00360412"/>
    <w:rsid w:val="00363E14"/>
    <w:rsid w:val="00393310"/>
    <w:rsid w:val="003A00B1"/>
    <w:rsid w:val="003D4630"/>
    <w:rsid w:val="003E3690"/>
    <w:rsid w:val="003E4B42"/>
    <w:rsid w:val="003F417D"/>
    <w:rsid w:val="003F437F"/>
    <w:rsid w:val="0040037B"/>
    <w:rsid w:val="00403841"/>
    <w:rsid w:val="0041423F"/>
    <w:rsid w:val="00450646"/>
    <w:rsid w:val="004633EB"/>
    <w:rsid w:val="0047175E"/>
    <w:rsid w:val="00483B3C"/>
    <w:rsid w:val="00483CF7"/>
    <w:rsid w:val="00486911"/>
    <w:rsid w:val="004A15BA"/>
    <w:rsid w:val="004A4561"/>
    <w:rsid w:val="004A4FAC"/>
    <w:rsid w:val="004C4D9C"/>
    <w:rsid w:val="004D7999"/>
    <w:rsid w:val="004F3B49"/>
    <w:rsid w:val="00513A38"/>
    <w:rsid w:val="00525898"/>
    <w:rsid w:val="00537F2F"/>
    <w:rsid w:val="005664CA"/>
    <w:rsid w:val="0058688A"/>
    <w:rsid w:val="00590BCD"/>
    <w:rsid w:val="0059345C"/>
    <w:rsid w:val="005B23B6"/>
    <w:rsid w:val="005C4307"/>
    <w:rsid w:val="005C5563"/>
    <w:rsid w:val="005D1113"/>
    <w:rsid w:val="005D1DC2"/>
    <w:rsid w:val="005E11CE"/>
    <w:rsid w:val="005E6CF2"/>
    <w:rsid w:val="005F4AAA"/>
    <w:rsid w:val="00604132"/>
    <w:rsid w:val="00604F1C"/>
    <w:rsid w:val="0061516F"/>
    <w:rsid w:val="00627C9D"/>
    <w:rsid w:val="0063220A"/>
    <w:rsid w:val="00650D57"/>
    <w:rsid w:val="006518D8"/>
    <w:rsid w:val="006753A9"/>
    <w:rsid w:val="006929AA"/>
    <w:rsid w:val="0069586A"/>
    <w:rsid w:val="006964C0"/>
    <w:rsid w:val="006A592E"/>
    <w:rsid w:val="006A6CAF"/>
    <w:rsid w:val="006B3D07"/>
    <w:rsid w:val="006D2360"/>
    <w:rsid w:val="006E0736"/>
    <w:rsid w:val="006E23B9"/>
    <w:rsid w:val="006F0429"/>
    <w:rsid w:val="0070714C"/>
    <w:rsid w:val="0073374A"/>
    <w:rsid w:val="00741FC9"/>
    <w:rsid w:val="00745807"/>
    <w:rsid w:val="007546B7"/>
    <w:rsid w:val="007779B2"/>
    <w:rsid w:val="0078116D"/>
    <w:rsid w:val="00783682"/>
    <w:rsid w:val="0078691F"/>
    <w:rsid w:val="007A6889"/>
    <w:rsid w:val="007B23CA"/>
    <w:rsid w:val="007B6F7C"/>
    <w:rsid w:val="007C2CC3"/>
    <w:rsid w:val="007C351D"/>
    <w:rsid w:val="007D543E"/>
    <w:rsid w:val="007E0A0A"/>
    <w:rsid w:val="007E3059"/>
    <w:rsid w:val="007E346D"/>
    <w:rsid w:val="007E4ED5"/>
    <w:rsid w:val="007E7421"/>
    <w:rsid w:val="007F3419"/>
    <w:rsid w:val="007F5A92"/>
    <w:rsid w:val="007F5F4E"/>
    <w:rsid w:val="007F7616"/>
    <w:rsid w:val="0080116E"/>
    <w:rsid w:val="008012A4"/>
    <w:rsid w:val="008060DE"/>
    <w:rsid w:val="00807BAA"/>
    <w:rsid w:val="008134EF"/>
    <w:rsid w:val="00823877"/>
    <w:rsid w:val="008437F1"/>
    <w:rsid w:val="00853897"/>
    <w:rsid w:val="00854C6B"/>
    <w:rsid w:val="008550EF"/>
    <w:rsid w:val="00863192"/>
    <w:rsid w:val="008776EB"/>
    <w:rsid w:val="0089637D"/>
    <w:rsid w:val="008A3BA4"/>
    <w:rsid w:val="008D3166"/>
    <w:rsid w:val="008E1A23"/>
    <w:rsid w:val="008E72CA"/>
    <w:rsid w:val="008F0C25"/>
    <w:rsid w:val="00911130"/>
    <w:rsid w:val="00913BF3"/>
    <w:rsid w:val="00917950"/>
    <w:rsid w:val="00931D14"/>
    <w:rsid w:val="009331A5"/>
    <w:rsid w:val="00933A89"/>
    <w:rsid w:val="00936FD6"/>
    <w:rsid w:val="00944F57"/>
    <w:rsid w:val="009477D5"/>
    <w:rsid w:val="009603DF"/>
    <w:rsid w:val="00977EF7"/>
    <w:rsid w:val="00996A1D"/>
    <w:rsid w:val="009A542A"/>
    <w:rsid w:val="009B480D"/>
    <w:rsid w:val="009C4D87"/>
    <w:rsid w:val="009D20DE"/>
    <w:rsid w:val="009D3412"/>
    <w:rsid w:val="009D3B59"/>
    <w:rsid w:val="009D4C34"/>
    <w:rsid w:val="009D50E2"/>
    <w:rsid w:val="009F0FEB"/>
    <w:rsid w:val="009F1C70"/>
    <w:rsid w:val="009F4D7F"/>
    <w:rsid w:val="009F5033"/>
    <w:rsid w:val="00A01DB8"/>
    <w:rsid w:val="00A04865"/>
    <w:rsid w:val="00A04F19"/>
    <w:rsid w:val="00A13D4B"/>
    <w:rsid w:val="00A25CA7"/>
    <w:rsid w:val="00A343FF"/>
    <w:rsid w:val="00A412C2"/>
    <w:rsid w:val="00A47FF7"/>
    <w:rsid w:val="00A558AC"/>
    <w:rsid w:val="00A72869"/>
    <w:rsid w:val="00A77EA6"/>
    <w:rsid w:val="00A84954"/>
    <w:rsid w:val="00A92CB9"/>
    <w:rsid w:val="00A942E0"/>
    <w:rsid w:val="00AC2BAD"/>
    <w:rsid w:val="00AC7559"/>
    <w:rsid w:val="00AD5A1F"/>
    <w:rsid w:val="00AE1B0F"/>
    <w:rsid w:val="00AE54A7"/>
    <w:rsid w:val="00AE6BE2"/>
    <w:rsid w:val="00AF0CEC"/>
    <w:rsid w:val="00B036BC"/>
    <w:rsid w:val="00B056D9"/>
    <w:rsid w:val="00B2161A"/>
    <w:rsid w:val="00B22024"/>
    <w:rsid w:val="00B37978"/>
    <w:rsid w:val="00B46E94"/>
    <w:rsid w:val="00B5680B"/>
    <w:rsid w:val="00B703B3"/>
    <w:rsid w:val="00B75824"/>
    <w:rsid w:val="00B806AC"/>
    <w:rsid w:val="00B90B9D"/>
    <w:rsid w:val="00B91D8E"/>
    <w:rsid w:val="00B93993"/>
    <w:rsid w:val="00BA4AC9"/>
    <w:rsid w:val="00BD74C9"/>
    <w:rsid w:val="00BE2369"/>
    <w:rsid w:val="00BF33B2"/>
    <w:rsid w:val="00C04C07"/>
    <w:rsid w:val="00C1382E"/>
    <w:rsid w:val="00C345B0"/>
    <w:rsid w:val="00C40F2C"/>
    <w:rsid w:val="00C5546C"/>
    <w:rsid w:val="00C6263A"/>
    <w:rsid w:val="00C70DD0"/>
    <w:rsid w:val="00C74AF5"/>
    <w:rsid w:val="00CA2777"/>
    <w:rsid w:val="00CA3AA8"/>
    <w:rsid w:val="00CB65EF"/>
    <w:rsid w:val="00CC4274"/>
    <w:rsid w:val="00CC6D8D"/>
    <w:rsid w:val="00CC722B"/>
    <w:rsid w:val="00CE4E6F"/>
    <w:rsid w:val="00D05BCC"/>
    <w:rsid w:val="00D13990"/>
    <w:rsid w:val="00D222B7"/>
    <w:rsid w:val="00D36A3D"/>
    <w:rsid w:val="00D5166A"/>
    <w:rsid w:val="00D60CAC"/>
    <w:rsid w:val="00D65C8F"/>
    <w:rsid w:val="00D73768"/>
    <w:rsid w:val="00D82E91"/>
    <w:rsid w:val="00DA4CEB"/>
    <w:rsid w:val="00DD4F27"/>
    <w:rsid w:val="00DD5F5A"/>
    <w:rsid w:val="00DD7443"/>
    <w:rsid w:val="00DF0FE5"/>
    <w:rsid w:val="00E04605"/>
    <w:rsid w:val="00E06D52"/>
    <w:rsid w:val="00E2035C"/>
    <w:rsid w:val="00E24DFC"/>
    <w:rsid w:val="00E26E89"/>
    <w:rsid w:val="00E274AA"/>
    <w:rsid w:val="00E27AC4"/>
    <w:rsid w:val="00E3040C"/>
    <w:rsid w:val="00E30888"/>
    <w:rsid w:val="00E43B1F"/>
    <w:rsid w:val="00E5030A"/>
    <w:rsid w:val="00E52331"/>
    <w:rsid w:val="00E62255"/>
    <w:rsid w:val="00E77756"/>
    <w:rsid w:val="00E82EF8"/>
    <w:rsid w:val="00EA21FC"/>
    <w:rsid w:val="00EB3ACF"/>
    <w:rsid w:val="00EC03C5"/>
    <w:rsid w:val="00EC64BF"/>
    <w:rsid w:val="00ED4C58"/>
    <w:rsid w:val="00ED518E"/>
    <w:rsid w:val="00EF1BD7"/>
    <w:rsid w:val="00F0294F"/>
    <w:rsid w:val="00F06E69"/>
    <w:rsid w:val="00F07B09"/>
    <w:rsid w:val="00F16469"/>
    <w:rsid w:val="00F267EC"/>
    <w:rsid w:val="00F306C1"/>
    <w:rsid w:val="00F3661B"/>
    <w:rsid w:val="00F47E8A"/>
    <w:rsid w:val="00F52F31"/>
    <w:rsid w:val="00F54F60"/>
    <w:rsid w:val="00F60220"/>
    <w:rsid w:val="00F66FEE"/>
    <w:rsid w:val="00F72E41"/>
    <w:rsid w:val="00F80DF4"/>
    <w:rsid w:val="00FB48F2"/>
    <w:rsid w:val="00FC0266"/>
    <w:rsid w:val="00FC66C2"/>
    <w:rsid w:val="00FD09E6"/>
    <w:rsid w:val="00FD7ED8"/>
    <w:rsid w:val="00FF46A4"/>
    <w:rsid w:val="00FF53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F1D97"/>
  <w15:chartTrackingRefBased/>
  <w15:docId w15:val="{F7221561-102B-004D-829C-7EDAF8C5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val="en-US"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basedOn w:val="Normal"/>
    <w:link w:val="FootnoteTextChar"/>
    <w:uiPriority w:val="99"/>
    <w:semiHidden/>
    <w:unhideWhenUsed/>
    <w:rsid w:val="007B23CA"/>
    <w:rPr>
      <w:sz w:val="20"/>
      <w:szCs w:val="20"/>
    </w:rPr>
  </w:style>
  <w:style w:type="character" w:customStyle="1" w:styleId="FootnoteTextChar">
    <w:name w:val="Footnote Text Char"/>
    <w:link w:val="FootnoteText"/>
    <w:uiPriority w:val="99"/>
    <w:semiHidden/>
    <w:rsid w:val="007B23CA"/>
    <w:rPr>
      <w:lang w:val="en-US" w:eastAsia="en-US"/>
    </w:rPr>
  </w:style>
  <w:style w:type="character" w:styleId="Hyperlink">
    <w:name w:val="Hyperlink"/>
    <w:uiPriority w:val="99"/>
    <w:unhideWhenUsed/>
    <w:rsid w:val="0073374A"/>
    <w:rPr>
      <w:color w:val="467886"/>
      <w:u w:val="single"/>
    </w:rPr>
  </w:style>
  <w:style w:type="character" w:styleId="UnresolvedMention">
    <w:name w:val="Unresolved Mention"/>
    <w:uiPriority w:val="99"/>
    <w:semiHidden/>
    <w:unhideWhenUsed/>
    <w:rsid w:val="0073374A"/>
    <w:rPr>
      <w:color w:val="605E5C"/>
      <w:shd w:val="clear" w:color="auto" w:fill="E1DFDD"/>
    </w:rPr>
  </w:style>
  <w:style w:type="paragraph" w:styleId="ListParagraph">
    <w:name w:val="List Paragraph"/>
    <w:aliases w:val="Párrafo de lista1,List Paragraph1,Colorful List - Accent 11,List Paragraph11,Lista vistosa - Énfasis 11,Parragrap,Superíndice,Dot pt,No Spacing1,List Paragraph Char Char Char,Indicator Text,Numbered Para 1,4 Párrafo de lista,Figuras"/>
    <w:basedOn w:val="Normal"/>
    <w:link w:val="ListParagraphChar"/>
    <w:uiPriority w:val="34"/>
    <w:qFormat/>
    <w:rsid w:val="00E43B1F"/>
    <w:pPr>
      <w:ind w:left="720"/>
      <w:contextualSpacing/>
    </w:pPr>
  </w:style>
  <w:style w:type="character" w:styleId="FollowedHyperlink">
    <w:name w:val="FollowedHyperlink"/>
    <w:basedOn w:val="DefaultParagraphFont"/>
    <w:uiPriority w:val="99"/>
    <w:semiHidden/>
    <w:unhideWhenUsed/>
    <w:rsid w:val="009F4D7F"/>
    <w:rPr>
      <w:color w:val="96607D" w:themeColor="followedHyperlink"/>
      <w:u w:val="single"/>
    </w:rPr>
  </w:style>
  <w:style w:type="character" w:customStyle="1" w:styleId="ListParagraphChar">
    <w:name w:val="List Paragraph Char"/>
    <w:aliases w:val="Párrafo de lista1 Char,List Paragraph1 Char,Colorful List - Accent 11 Char,List Paragraph11 Char,Lista vistosa - Énfasis 11 Char,Parragrap Char,Superíndice Char,Dot pt Char,No Spacing1 Char,List Paragraph Char Char Char Char"/>
    <w:link w:val="ListParagraph"/>
    <w:uiPriority w:val="34"/>
    <w:locked/>
    <w:rsid w:val="00627C9D"/>
    <w:rPr>
      <w:sz w:val="22"/>
      <w:szCs w:val="22"/>
      <w:lang w:val="en-US" w:eastAsia="en-US"/>
    </w:rPr>
  </w:style>
  <w:style w:type="paragraph" w:customStyle="1" w:styleId="IATtulo">
    <w:name w:val="IA   Título"/>
    <w:basedOn w:val="List"/>
    <w:link w:val="IATtuloChar"/>
    <w:qFormat/>
    <w:rsid w:val="00F3661B"/>
    <w:pPr>
      <w:suppressAutoHyphens/>
      <w:spacing w:after="240" w:line="240" w:lineRule="auto"/>
      <w:ind w:left="0" w:firstLine="0"/>
      <w:contextualSpacing w:val="0"/>
    </w:pPr>
    <w:rPr>
      <w:rFonts w:ascii="Cambria" w:hAnsi="Cambria"/>
      <w:b/>
      <w:caps/>
      <w:color w:val="000000"/>
    </w:rPr>
  </w:style>
  <w:style w:type="paragraph" w:customStyle="1" w:styleId="IASubttulo3">
    <w:name w:val="IA  Subtítulo 3"/>
    <w:basedOn w:val="List"/>
    <w:qFormat/>
    <w:rsid w:val="00F3661B"/>
    <w:pPr>
      <w:numPr>
        <w:numId w:val="1"/>
      </w:numPr>
      <w:tabs>
        <w:tab w:val="clear" w:pos="720"/>
        <w:tab w:val="num" w:pos="360"/>
      </w:tabs>
      <w:suppressAutoHyphens/>
      <w:spacing w:after="240" w:line="240" w:lineRule="auto"/>
      <w:ind w:left="283" w:hanging="283"/>
      <w:contextualSpacing w:val="0"/>
    </w:pPr>
    <w:rPr>
      <w:rFonts w:ascii="Cambria" w:hAnsi="Cambria"/>
      <w:b/>
      <w:color w:val="000000"/>
      <w:sz w:val="20"/>
    </w:rPr>
  </w:style>
  <w:style w:type="paragraph" w:styleId="List">
    <w:name w:val="List"/>
    <w:basedOn w:val="Normal"/>
    <w:uiPriority w:val="99"/>
    <w:semiHidden/>
    <w:unhideWhenUsed/>
    <w:rsid w:val="00F3661B"/>
    <w:pPr>
      <w:ind w:left="283" w:hanging="283"/>
      <w:contextualSpacing/>
    </w:pPr>
  </w:style>
  <w:style w:type="character" w:customStyle="1" w:styleId="IATtuloChar">
    <w:name w:val="IA   Título Char"/>
    <w:basedOn w:val="DefaultParagraphFont"/>
    <w:link w:val="IATtulo"/>
    <w:rsid w:val="00300DA5"/>
    <w:rPr>
      <w:rFonts w:ascii="Cambria" w:hAnsi="Cambria"/>
      <w:b/>
      <w:caps/>
      <w:color w:val="000000"/>
      <w:sz w:val="22"/>
      <w:szCs w:val="22"/>
      <w:lang w:val="en-US" w:eastAsia="en-US"/>
    </w:rPr>
  </w:style>
  <w:style w:type="character" w:styleId="CommentReference">
    <w:name w:val="annotation reference"/>
    <w:basedOn w:val="DefaultParagraphFont"/>
    <w:uiPriority w:val="99"/>
    <w:semiHidden/>
    <w:unhideWhenUsed/>
    <w:rsid w:val="003F417D"/>
    <w:rPr>
      <w:sz w:val="16"/>
      <w:szCs w:val="16"/>
    </w:rPr>
  </w:style>
  <w:style w:type="paragraph" w:styleId="CommentText">
    <w:name w:val="annotation text"/>
    <w:basedOn w:val="Normal"/>
    <w:link w:val="CommentTextChar"/>
    <w:uiPriority w:val="99"/>
    <w:semiHidden/>
    <w:unhideWhenUsed/>
    <w:rsid w:val="003F417D"/>
    <w:pPr>
      <w:spacing w:line="240" w:lineRule="auto"/>
    </w:pPr>
    <w:rPr>
      <w:sz w:val="20"/>
      <w:szCs w:val="20"/>
    </w:rPr>
  </w:style>
  <w:style w:type="character" w:customStyle="1" w:styleId="CommentTextChar">
    <w:name w:val="Comment Text Char"/>
    <w:basedOn w:val="DefaultParagraphFont"/>
    <w:link w:val="CommentText"/>
    <w:uiPriority w:val="99"/>
    <w:semiHidden/>
    <w:rsid w:val="003F417D"/>
    <w:rPr>
      <w:lang w:val="en-US" w:eastAsia="en-US"/>
    </w:rPr>
  </w:style>
  <w:style w:type="paragraph" w:styleId="CommentSubject">
    <w:name w:val="annotation subject"/>
    <w:basedOn w:val="CommentText"/>
    <w:next w:val="CommentText"/>
    <w:link w:val="CommentSubjectChar"/>
    <w:uiPriority w:val="99"/>
    <w:semiHidden/>
    <w:unhideWhenUsed/>
    <w:rsid w:val="003F417D"/>
    <w:rPr>
      <w:b/>
      <w:bCs/>
    </w:rPr>
  </w:style>
  <w:style w:type="character" w:customStyle="1" w:styleId="CommentSubjectChar">
    <w:name w:val="Comment Subject Char"/>
    <w:basedOn w:val="CommentTextChar"/>
    <w:link w:val="CommentSubject"/>
    <w:uiPriority w:val="99"/>
    <w:semiHidden/>
    <w:rsid w:val="003F417D"/>
    <w:rPr>
      <w:b/>
      <w:bCs/>
      <w:lang w:val="en-US" w:eastAsia="en-US"/>
    </w:rPr>
  </w:style>
  <w:style w:type="character" w:customStyle="1" w:styleId="normaltextrun">
    <w:name w:val="normaltextrun"/>
    <w:basedOn w:val="DefaultParagraphFont"/>
    <w:rsid w:val="00C6263A"/>
  </w:style>
  <w:style w:type="character" w:customStyle="1" w:styleId="ui-provider">
    <w:name w:val="ui-provider"/>
    <w:basedOn w:val="DefaultParagraphFont"/>
    <w:rsid w:val="00813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as.org/es/cidh/decisiones/2022/COSA13.436E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oas.org/es/cidh/decisiones/2022/COSA13.436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ocs/anual/2024/capitulos/IA2024_2_ES.pdf" TargetMode="External"/><Relationship Id="rId2" Type="http://schemas.openxmlformats.org/officeDocument/2006/relationships/hyperlink" Target="https://www.oas.org/es/cidh/docs/anual/2022/capitulos/4-IA2022_Cap_2_ES.pdf" TargetMode="External"/><Relationship Id="rId1" Type="http://schemas.openxmlformats.org/officeDocument/2006/relationships/hyperlink" Target="https://www.oas.org/es/cidh/decisiones/2022/COSA13.436ES.pdf" TargetMode="External"/><Relationship Id="rId5" Type="http://schemas.openxmlformats.org/officeDocument/2006/relationships/hyperlink" Target="https://www.oas.org/es/cidh/docs/anual/2024/capitulos/IA2024_2_ES.pdf" TargetMode="External"/><Relationship Id="rId4" Type="http://schemas.openxmlformats.org/officeDocument/2006/relationships/hyperlink" Target="https://www.oas.org/es/cidh/docs/anual/2024/capitulos/IA2024_2_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2.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3.xml><?xml version="1.0" encoding="utf-8"?>
<ds:datastoreItem xmlns:ds="http://schemas.openxmlformats.org/officeDocument/2006/customXml" ds:itemID="{6DAE8649-881B-40AA-916E-B5E6F8B20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3B46D8-AAD5-4C07-938D-90B4D5C66663}">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5.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4</Pages>
  <Words>1340</Words>
  <Characters>7644</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8967</CharactersWithSpaces>
  <SharedDoc>false</SharedDoc>
  <HLinks>
    <vt:vector size="72" baseType="variant">
      <vt:variant>
        <vt:i4>6357096</vt:i4>
      </vt:variant>
      <vt:variant>
        <vt:i4>6</vt:i4>
      </vt:variant>
      <vt:variant>
        <vt:i4>0</vt:i4>
      </vt:variant>
      <vt:variant>
        <vt:i4>5</vt:i4>
      </vt:variant>
      <vt:variant>
        <vt:lpwstr>http://www.oas.org/es/cidh/decisiones/2013/VESA12473ES.doc</vt:lpwstr>
      </vt:variant>
      <vt:variant>
        <vt:lpwstr/>
      </vt:variant>
      <vt:variant>
        <vt:i4>5505025</vt:i4>
      </vt:variant>
      <vt:variant>
        <vt:i4>3</vt:i4>
      </vt:variant>
      <vt:variant>
        <vt:i4>0</vt:i4>
      </vt:variant>
      <vt:variant>
        <vt:i4>5</vt:i4>
      </vt:variant>
      <vt:variant>
        <vt:lpwstr>http://www.cidh.oas.org/annualrep/2004sp/Venezuela.667.01.htm</vt:lpwstr>
      </vt:variant>
      <vt:variant>
        <vt:lpwstr/>
      </vt:variant>
      <vt:variant>
        <vt:i4>6684780</vt:i4>
      </vt:variant>
      <vt:variant>
        <vt:i4>0</vt:i4>
      </vt:variant>
      <vt:variant>
        <vt:i4>0</vt:i4>
      </vt:variant>
      <vt:variant>
        <vt:i4>5</vt:i4>
      </vt:variant>
      <vt:variant>
        <vt:lpwstr>http://www.oas.org/es/cidh/decisiones/2012/VESA11706ES.doc</vt:lpwstr>
      </vt:variant>
      <vt:variant>
        <vt:lpwstr/>
      </vt:variant>
      <vt:variant>
        <vt:i4>983041</vt:i4>
      </vt:variant>
      <vt:variant>
        <vt:i4>24</vt:i4>
      </vt:variant>
      <vt:variant>
        <vt:i4>0</vt:i4>
      </vt:variant>
      <vt:variant>
        <vt:i4>5</vt:i4>
      </vt:variant>
      <vt:variant>
        <vt:lpwstr>https://www.oas.org/es/cidh/docs/anual/2024/capitulos/IA2024_2_ES.pdf</vt:lpwstr>
      </vt:variant>
      <vt:variant>
        <vt:lpwstr/>
      </vt:variant>
      <vt:variant>
        <vt:i4>3276841</vt:i4>
      </vt:variant>
      <vt:variant>
        <vt:i4>21</vt:i4>
      </vt:variant>
      <vt:variant>
        <vt:i4>0</vt:i4>
      </vt:variant>
      <vt:variant>
        <vt:i4>5</vt:i4>
      </vt:variant>
      <vt:variant>
        <vt:lpwstr>http://www.oas.org/es/cidh/docs/anual/2018/docs/IA2018cap.2-es.pdf</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3276841</vt:i4>
      </vt:variant>
      <vt:variant>
        <vt:i4>15</vt:i4>
      </vt:variant>
      <vt:variant>
        <vt:i4>0</vt:i4>
      </vt:variant>
      <vt:variant>
        <vt:i4>5</vt:i4>
      </vt:variant>
      <vt:variant>
        <vt:lpwstr>http://www.oas.org/es/cidh/docs/anual/2018/docs/IA2018cap.2-es.pdf</vt:lpwstr>
      </vt:variant>
      <vt:variant>
        <vt:lpwstr/>
      </vt:variant>
      <vt:variant>
        <vt:i4>6815868</vt:i4>
      </vt:variant>
      <vt:variant>
        <vt:i4>12</vt:i4>
      </vt:variant>
      <vt:variant>
        <vt:i4>0</vt:i4>
      </vt:variant>
      <vt:variant>
        <vt:i4>5</vt:i4>
      </vt:variant>
      <vt:variant>
        <vt:lpwstr>http://www.oas.org/es/cidh/decisiones/amistosas.asp</vt:lpwstr>
      </vt:variant>
      <vt:variant>
        <vt:lpwstr/>
      </vt:variant>
      <vt:variant>
        <vt:i4>6815868</vt:i4>
      </vt:variant>
      <vt:variant>
        <vt:i4>9</vt:i4>
      </vt:variant>
      <vt:variant>
        <vt:i4>0</vt:i4>
      </vt:variant>
      <vt:variant>
        <vt:i4>5</vt:i4>
      </vt:variant>
      <vt:variant>
        <vt:lpwstr>http://www.oas.org/es/cidh/decisiones/amistosas.asp</vt:lpwstr>
      </vt:variant>
      <vt:variant>
        <vt:lpwstr/>
      </vt:variant>
      <vt:variant>
        <vt:i4>983041</vt:i4>
      </vt:variant>
      <vt:variant>
        <vt:i4>6</vt:i4>
      </vt:variant>
      <vt:variant>
        <vt:i4>0</vt:i4>
      </vt:variant>
      <vt:variant>
        <vt:i4>5</vt:i4>
      </vt:variant>
      <vt:variant>
        <vt:lpwstr>https://www.oas.org/es/cidh/docs/anual/2024/capitulos/IA2024_2_ES.pdf</vt:lpwstr>
      </vt:variant>
      <vt:variant>
        <vt:lpwstr/>
      </vt:variant>
      <vt:variant>
        <vt:i4>983041</vt:i4>
      </vt:variant>
      <vt:variant>
        <vt:i4>3</vt:i4>
      </vt:variant>
      <vt:variant>
        <vt:i4>0</vt:i4>
      </vt:variant>
      <vt:variant>
        <vt:i4>5</vt:i4>
      </vt:variant>
      <vt:variant>
        <vt:lpwstr>https://www.oas.org/es/cidh/docs/anual/2024/capitulos/IA2024_2_ES.pdf</vt:lpwstr>
      </vt:variant>
      <vt:variant>
        <vt:lpwstr/>
      </vt:variant>
      <vt:variant>
        <vt:i4>983041</vt:i4>
      </vt:variant>
      <vt:variant>
        <vt:i4>0</vt:i4>
      </vt:variant>
      <vt:variant>
        <vt:i4>0</vt:i4>
      </vt:variant>
      <vt:variant>
        <vt:i4>5</vt:i4>
      </vt:variant>
      <vt:variant>
        <vt:lpwstr>https://www.oas.org/es/cidh/docs/anual/2024/capitulos/IA2024_2_ES.pdf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Seminario, Javier</cp:lastModifiedBy>
  <cp:revision>4</cp:revision>
  <cp:lastPrinted>2025-08-26T18:24:00Z</cp:lastPrinted>
  <dcterms:created xsi:type="dcterms:W3CDTF">2025-07-28T17:41:00Z</dcterms:created>
  <dcterms:modified xsi:type="dcterms:W3CDTF">2025-08-26T18:24:00Z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Montero, Erika</vt:lpwstr>
  </property>
  <property fmtid="{D5CDD505-2E9C-101B-9397-08002B2CF9AE}" pid="3" name="Order">
    <vt:lpwstr>73200.0000000000</vt:lpwstr>
  </property>
  <property fmtid="{D5CDD505-2E9C-101B-9397-08002B2CF9AE}" pid="4" name="display_urn:schemas-microsoft-com:office:office#Author">
    <vt:lpwstr>Montero, Erika</vt:lpwstr>
  </property>
  <property fmtid="{D5CDD505-2E9C-101B-9397-08002B2CF9AE}" pid="5" name="ContentTypeId">
    <vt:lpwstr>0x010100D589DCDDB8A16B44BDC2A7128ECAC845</vt:lpwstr>
  </property>
</Properties>
</file>