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F7B33" w14:textId="77777777" w:rsidR="002659F6" w:rsidRPr="00300DA5" w:rsidRDefault="002659F6" w:rsidP="00300DA5">
      <w:pPr>
        <w:suppressAutoHyphens/>
        <w:spacing w:after="0" w:line="240" w:lineRule="auto"/>
        <w:ind w:right="-270"/>
        <w:jc w:val="center"/>
        <w:rPr>
          <w:rFonts w:ascii="Cambria" w:eastAsia="Batang" w:hAnsi="Cambria"/>
          <w:b/>
          <w:sz w:val="24"/>
          <w:szCs w:val="24"/>
          <w:lang w:val="es-CO"/>
        </w:rPr>
      </w:pPr>
    </w:p>
    <w:p w14:paraId="532EB7EA" w14:textId="4890DD28" w:rsidR="002659F6" w:rsidRPr="00300DA5" w:rsidRDefault="002659F6" w:rsidP="00300DA5">
      <w:pPr>
        <w:suppressAutoHyphens/>
        <w:spacing w:after="0" w:line="240" w:lineRule="auto"/>
        <w:ind w:right="-270"/>
        <w:jc w:val="center"/>
        <w:rPr>
          <w:rFonts w:ascii="Cambria" w:eastAsia="Batang" w:hAnsi="Cambria"/>
          <w:b/>
          <w:sz w:val="24"/>
          <w:szCs w:val="24"/>
          <w:lang w:val="es-CO"/>
        </w:rPr>
      </w:pPr>
      <w:r w:rsidRPr="00300DA5">
        <w:rPr>
          <w:rFonts w:ascii="Cambria" w:eastAsia="Batang" w:hAnsi="Cambria"/>
          <w:b/>
          <w:sz w:val="24"/>
          <w:szCs w:val="24"/>
          <w:lang w:val="es-CO"/>
        </w:rPr>
        <w:t>FICHA TÉCNICA INFORMATIVA</w:t>
      </w:r>
    </w:p>
    <w:p w14:paraId="62ACF499" w14:textId="350F7D17" w:rsidR="00F3661B" w:rsidRPr="00300DA5" w:rsidRDefault="00F3661B" w:rsidP="00300DA5">
      <w:pPr>
        <w:suppressAutoHyphens/>
        <w:spacing w:after="0" w:line="240" w:lineRule="auto"/>
        <w:ind w:right="-270"/>
        <w:jc w:val="center"/>
        <w:rPr>
          <w:rFonts w:ascii="Cambria" w:eastAsia="Batang" w:hAnsi="Cambria"/>
          <w:b/>
          <w:sz w:val="24"/>
          <w:szCs w:val="24"/>
          <w:lang w:val="es-CO"/>
        </w:rPr>
      </w:pPr>
      <w:r w:rsidRPr="00300DA5">
        <w:rPr>
          <w:rFonts w:ascii="Cambria" w:eastAsia="Batang" w:hAnsi="Cambria"/>
          <w:b/>
          <w:sz w:val="24"/>
          <w:szCs w:val="24"/>
          <w:lang w:val="es-CO"/>
        </w:rPr>
        <w:t xml:space="preserve">CASO </w:t>
      </w:r>
      <w:r w:rsidR="00300DA5" w:rsidRPr="00300DA5">
        <w:rPr>
          <w:rFonts w:ascii="Cambria" w:eastAsia="Batang" w:hAnsi="Cambria"/>
          <w:b/>
          <w:sz w:val="24"/>
          <w:szCs w:val="24"/>
          <w:lang w:val="es-CO"/>
        </w:rPr>
        <w:t>13.642 EDGAR JOSÉ SÁNCHEZ DUARTE Y FAMILIA</w:t>
      </w:r>
    </w:p>
    <w:p w14:paraId="38A16E1F" w14:textId="3715B477" w:rsidR="008E72CA" w:rsidRPr="00300DA5" w:rsidRDefault="008E72CA" w:rsidP="00300DA5">
      <w:pPr>
        <w:suppressAutoHyphens/>
        <w:spacing w:after="0" w:line="240" w:lineRule="auto"/>
        <w:ind w:right="-270"/>
        <w:jc w:val="center"/>
        <w:rPr>
          <w:rFonts w:ascii="Cambria" w:eastAsia="Batang" w:hAnsi="Cambria"/>
          <w:b/>
          <w:sz w:val="24"/>
          <w:szCs w:val="24"/>
          <w:lang w:val="es-CO"/>
        </w:rPr>
      </w:pPr>
      <w:r w:rsidRPr="00300DA5">
        <w:rPr>
          <w:rFonts w:ascii="Cambria" w:eastAsia="Batang" w:hAnsi="Cambria"/>
          <w:b/>
          <w:sz w:val="24"/>
          <w:szCs w:val="24"/>
          <w:lang w:val="es-CO"/>
        </w:rPr>
        <w:t>INFORME DE SOLUCIÓN AMISTOSA</w:t>
      </w:r>
      <w:r w:rsidR="00300DA5" w:rsidRPr="00300DA5">
        <w:rPr>
          <w:rFonts w:ascii="Cambria" w:eastAsia="Batang" w:hAnsi="Cambria"/>
          <w:b/>
          <w:sz w:val="24"/>
          <w:szCs w:val="24"/>
          <w:lang w:val="es-CO"/>
        </w:rPr>
        <w:t xml:space="preserve"> </w:t>
      </w:r>
      <w:hyperlink r:id="rId12" w:history="1">
        <w:r w:rsidR="00300DA5" w:rsidRPr="00300DA5">
          <w:rPr>
            <w:rStyle w:val="Hyperlink"/>
            <w:rFonts w:ascii="Cambria" w:eastAsia="Batang" w:hAnsi="Cambria"/>
            <w:b/>
            <w:sz w:val="24"/>
            <w:szCs w:val="24"/>
            <w:lang w:val="es-CO"/>
          </w:rPr>
          <w:t>No. 41/21</w:t>
        </w:r>
      </w:hyperlink>
    </w:p>
    <w:p w14:paraId="1FDB7C2D" w14:textId="4237882A" w:rsidR="00F3661B" w:rsidRPr="00300DA5" w:rsidRDefault="002659F6" w:rsidP="00300DA5">
      <w:pPr>
        <w:suppressAutoHyphens/>
        <w:spacing w:after="0" w:line="240" w:lineRule="auto"/>
        <w:ind w:right="-270"/>
        <w:jc w:val="center"/>
        <w:rPr>
          <w:rFonts w:ascii="Cambria" w:eastAsia="Batang" w:hAnsi="Cambria"/>
          <w:b/>
          <w:sz w:val="24"/>
          <w:szCs w:val="24"/>
          <w:lang w:val="es-CO"/>
        </w:rPr>
      </w:pPr>
      <w:r w:rsidRPr="00300DA5">
        <w:rPr>
          <w:rFonts w:ascii="Cambria" w:eastAsia="Batang" w:hAnsi="Cambria"/>
          <w:b/>
          <w:sz w:val="24"/>
          <w:szCs w:val="24"/>
          <w:lang w:val="es-CO"/>
        </w:rPr>
        <w:t>CUMPLIMIENTO TOTAL</w:t>
      </w:r>
    </w:p>
    <w:p w14:paraId="7295383B" w14:textId="260ED645" w:rsidR="00035689" w:rsidRPr="00300DA5" w:rsidRDefault="008E72CA" w:rsidP="00300DA5">
      <w:pPr>
        <w:suppressAutoHyphens/>
        <w:spacing w:after="0" w:line="240" w:lineRule="auto"/>
        <w:ind w:right="-270"/>
        <w:jc w:val="center"/>
        <w:rPr>
          <w:rFonts w:ascii="Cambria" w:eastAsia="Batang" w:hAnsi="Cambria"/>
          <w:b/>
          <w:sz w:val="24"/>
          <w:szCs w:val="24"/>
          <w:lang w:val="es-CO"/>
        </w:rPr>
      </w:pPr>
      <w:r w:rsidRPr="00300DA5">
        <w:rPr>
          <w:rFonts w:ascii="Cambria" w:eastAsia="Batang" w:hAnsi="Cambria"/>
          <w:b/>
          <w:sz w:val="24"/>
          <w:szCs w:val="24"/>
          <w:lang w:val="es-CO"/>
        </w:rPr>
        <w:t>(</w:t>
      </w:r>
      <w:r w:rsidR="00033B04" w:rsidRPr="00300DA5">
        <w:rPr>
          <w:rFonts w:ascii="Cambria" w:eastAsia="Batang" w:hAnsi="Cambria"/>
          <w:b/>
          <w:sz w:val="24"/>
          <w:szCs w:val="24"/>
          <w:lang w:val="es-CO"/>
        </w:rPr>
        <w:t>COLOMBIA</w:t>
      </w:r>
      <w:r w:rsidRPr="00300DA5">
        <w:rPr>
          <w:rFonts w:ascii="Cambria" w:eastAsia="Batang" w:hAnsi="Cambria"/>
          <w:b/>
          <w:sz w:val="24"/>
          <w:szCs w:val="24"/>
          <w:lang w:val="es-CO"/>
        </w:rPr>
        <w:t>)</w:t>
      </w:r>
    </w:p>
    <w:p w14:paraId="55B0E9A7" w14:textId="77777777" w:rsidR="00300DA5" w:rsidRPr="001D1664" w:rsidRDefault="00300DA5" w:rsidP="00300DA5">
      <w:pPr>
        <w:suppressAutoHyphens/>
        <w:spacing w:after="0" w:line="240" w:lineRule="auto"/>
        <w:ind w:left="1440"/>
        <w:rPr>
          <w:rFonts w:ascii="Cambria" w:hAnsi="Cambria"/>
          <w:b/>
          <w:caps/>
          <w:color w:val="000000"/>
          <w:sz w:val="20"/>
          <w:szCs w:val="20"/>
          <w:lang w:val="es-ES"/>
        </w:rPr>
      </w:pPr>
    </w:p>
    <w:p w14:paraId="7F009E88" w14:textId="77777777" w:rsidR="00300DA5" w:rsidRPr="001D1664" w:rsidRDefault="00300DA5" w:rsidP="00454555">
      <w:pPr>
        <w:pStyle w:val="IATtulo"/>
        <w:numPr>
          <w:ilvl w:val="0"/>
          <w:numId w:val="6"/>
        </w:numPr>
        <w:spacing w:after="0"/>
        <w:ind w:left="0" w:firstLine="720"/>
        <w:rPr>
          <w:sz w:val="20"/>
          <w:szCs w:val="20"/>
          <w:lang w:val="es-ES"/>
        </w:rPr>
      </w:pPr>
      <w:r w:rsidRPr="001D1664">
        <w:rPr>
          <w:sz w:val="20"/>
          <w:szCs w:val="20"/>
          <w:lang w:val="es-ES"/>
        </w:rPr>
        <w:t>resumen del caso</w:t>
      </w:r>
    </w:p>
    <w:p w14:paraId="55CEB2B4" w14:textId="77777777" w:rsidR="00300DA5" w:rsidRPr="001D1664" w:rsidRDefault="00300DA5" w:rsidP="00300DA5">
      <w:pPr>
        <w:suppressAutoHyphens/>
        <w:spacing w:after="0" w:line="240" w:lineRule="auto"/>
        <w:ind w:left="1440" w:hanging="720"/>
        <w:rPr>
          <w:rFonts w:ascii="Cambria" w:hAnsi="Cambria"/>
          <w:b/>
          <w:caps/>
          <w:color w:val="000000"/>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300DA5" w:rsidRPr="00454555" w14:paraId="784A0D64" w14:textId="77777777" w:rsidTr="00B508B7">
        <w:trPr>
          <w:trHeight w:val="5669"/>
          <w:jc w:val="center"/>
        </w:trPr>
        <w:tc>
          <w:tcPr>
            <w:tcW w:w="9576" w:type="dxa"/>
            <w:shd w:val="clear" w:color="auto" w:fill="F2F2F2"/>
          </w:tcPr>
          <w:p w14:paraId="75AA816C" w14:textId="7DD63F86" w:rsidR="00300DA5" w:rsidRPr="001D1664" w:rsidRDefault="00300DA5" w:rsidP="00300DA5">
            <w:pPr>
              <w:tabs>
                <w:tab w:val="left" w:pos="9270"/>
              </w:tabs>
              <w:suppressAutoHyphens/>
              <w:spacing w:after="0" w:line="240" w:lineRule="auto"/>
              <w:jc w:val="both"/>
              <w:rPr>
                <w:rFonts w:ascii="Cambria" w:eastAsia="Batang" w:hAnsi="Cambria"/>
                <w:color w:val="000000"/>
                <w:sz w:val="20"/>
                <w:szCs w:val="20"/>
                <w:lang w:val="es-CO"/>
              </w:rPr>
            </w:pPr>
            <w:r w:rsidRPr="001D1664">
              <w:rPr>
                <w:rFonts w:ascii="Cambria" w:eastAsia="Batang" w:hAnsi="Cambria"/>
                <w:b/>
                <w:color w:val="000000"/>
                <w:sz w:val="20"/>
                <w:szCs w:val="20"/>
                <w:lang w:val="es-CO"/>
              </w:rPr>
              <w:t>Víctima (s):</w:t>
            </w:r>
            <w:r w:rsidRPr="001D1664">
              <w:rPr>
                <w:rFonts w:ascii="Cambria" w:eastAsia="Batang" w:hAnsi="Cambria"/>
                <w:color w:val="000000"/>
                <w:sz w:val="20"/>
                <w:szCs w:val="20"/>
                <w:lang w:val="es-CO"/>
              </w:rPr>
              <w:t xml:space="preserve"> Edgar</w:t>
            </w:r>
            <w:r w:rsidR="00847C08" w:rsidRPr="001D1664">
              <w:rPr>
                <w:rFonts w:ascii="Cambria" w:eastAsia="Batang" w:hAnsi="Cambria"/>
                <w:color w:val="000000"/>
                <w:sz w:val="20"/>
                <w:szCs w:val="20"/>
                <w:lang w:val="es-CO"/>
              </w:rPr>
              <w:t xml:space="preserve"> José</w:t>
            </w:r>
            <w:r w:rsidRPr="001D1664">
              <w:rPr>
                <w:rFonts w:ascii="Cambria" w:eastAsia="Batang" w:hAnsi="Cambria"/>
                <w:color w:val="000000"/>
                <w:sz w:val="20"/>
                <w:szCs w:val="20"/>
                <w:lang w:val="es-CO"/>
              </w:rPr>
              <w:t xml:space="preserve"> Sánchez Duarte</w:t>
            </w:r>
            <w:r w:rsidR="00847C08" w:rsidRPr="001D1664">
              <w:rPr>
                <w:rFonts w:ascii="Cambria" w:eastAsia="Batang" w:hAnsi="Cambria"/>
                <w:color w:val="000000"/>
                <w:sz w:val="20"/>
                <w:szCs w:val="20"/>
                <w:lang w:val="es-CO"/>
              </w:rPr>
              <w:t xml:space="preserve"> y familia</w:t>
            </w:r>
          </w:p>
          <w:p w14:paraId="29340ADD" w14:textId="77777777" w:rsidR="00300DA5" w:rsidRPr="001D1664" w:rsidRDefault="00300DA5" w:rsidP="00300DA5">
            <w:pPr>
              <w:tabs>
                <w:tab w:val="left" w:pos="9270"/>
              </w:tabs>
              <w:suppressAutoHyphens/>
              <w:spacing w:after="0" w:line="240" w:lineRule="auto"/>
              <w:jc w:val="both"/>
              <w:rPr>
                <w:rFonts w:ascii="Cambria" w:eastAsia="Batang" w:hAnsi="Cambria"/>
                <w:bCs/>
                <w:color w:val="000000"/>
                <w:sz w:val="20"/>
                <w:szCs w:val="20"/>
                <w:lang w:val="es-CO"/>
              </w:rPr>
            </w:pPr>
            <w:r w:rsidRPr="001D1664">
              <w:rPr>
                <w:rFonts w:ascii="Cambria" w:eastAsia="Batang" w:hAnsi="Cambria"/>
                <w:b/>
                <w:color w:val="000000"/>
                <w:sz w:val="20"/>
                <w:szCs w:val="20"/>
                <w:lang w:val="es-CO"/>
              </w:rPr>
              <w:t xml:space="preserve">Peticionario (s): </w:t>
            </w:r>
            <w:r w:rsidRPr="001D1664">
              <w:rPr>
                <w:rFonts w:ascii="Cambria" w:eastAsia="Batang" w:hAnsi="Cambria"/>
                <w:bCs/>
                <w:color w:val="000000"/>
                <w:sz w:val="20"/>
                <w:szCs w:val="20"/>
                <w:lang w:val="es-CO"/>
              </w:rPr>
              <w:t>Graciela Sánchez Duarte y la Corporación Colectivo de Abogados Opción Jurídica</w:t>
            </w:r>
          </w:p>
          <w:p w14:paraId="4C919913" w14:textId="77777777" w:rsidR="00300DA5" w:rsidRPr="001D1664" w:rsidRDefault="00300DA5" w:rsidP="00300DA5">
            <w:pPr>
              <w:tabs>
                <w:tab w:val="left" w:pos="9270"/>
              </w:tabs>
              <w:suppressAutoHyphens/>
              <w:spacing w:after="0" w:line="240" w:lineRule="auto"/>
              <w:jc w:val="both"/>
              <w:rPr>
                <w:rFonts w:ascii="Cambria" w:eastAsia="Batang" w:hAnsi="Cambria"/>
                <w:color w:val="000000"/>
                <w:sz w:val="20"/>
                <w:szCs w:val="20"/>
                <w:lang w:val="es-CO"/>
              </w:rPr>
            </w:pPr>
            <w:r w:rsidRPr="001D1664">
              <w:rPr>
                <w:rFonts w:ascii="Cambria" w:eastAsia="Batang" w:hAnsi="Cambria"/>
                <w:b/>
                <w:color w:val="000000"/>
                <w:sz w:val="20"/>
                <w:szCs w:val="20"/>
                <w:lang w:val="es-CO"/>
              </w:rPr>
              <w:t>Estado:</w:t>
            </w:r>
            <w:r w:rsidRPr="001D1664">
              <w:rPr>
                <w:rFonts w:ascii="Cambria" w:eastAsia="Batang" w:hAnsi="Cambria"/>
                <w:color w:val="000000"/>
                <w:sz w:val="20"/>
                <w:szCs w:val="20"/>
                <w:lang w:val="es-CO"/>
              </w:rPr>
              <w:t xml:space="preserve"> Colombia</w:t>
            </w:r>
          </w:p>
          <w:p w14:paraId="08AA511C" w14:textId="72EC9974" w:rsidR="00300DA5" w:rsidRPr="001D1664" w:rsidRDefault="00300DA5" w:rsidP="00300DA5">
            <w:pPr>
              <w:tabs>
                <w:tab w:val="left" w:pos="9270"/>
              </w:tabs>
              <w:suppressAutoHyphens/>
              <w:spacing w:after="0" w:line="240" w:lineRule="auto"/>
              <w:jc w:val="both"/>
              <w:rPr>
                <w:rFonts w:ascii="Cambria" w:hAnsi="Cambria"/>
                <w:color w:val="000000"/>
                <w:sz w:val="20"/>
                <w:szCs w:val="20"/>
                <w:lang w:val="es-CO"/>
              </w:rPr>
            </w:pPr>
            <w:r w:rsidRPr="001D1664">
              <w:rPr>
                <w:rFonts w:ascii="Cambria" w:hAnsi="Cambria"/>
                <w:b/>
                <w:bCs/>
                <w:color w:val="000000"/>
                <w:sz w:val="20"/>
                <w:szCs w:val="20"/>
                <w:lang w:val="es-CO"/>
              </w:rPr>
              <w:t xml:space="preserve">Fecha de inicio de las negociaciones: </w:t>
            </w:r>
            <w:r w:rsidRPr="00454555">
              <w:rPr>
                <w:rFonts w:ascii="Cambria" w:hAnsi="Cambria"/>
                <w:color w:val="000000"/>
                <w:sz w:val="20"/>
                <w:szCs w:val="20"/>
                <w:highlight w:val="yellow"/>
                <w:lang w:val="es-CO"/>
              </w:rPr>
              <w:t>2</w:t>
            </w:r>
            <w:r w:rsidR="00454555" w:rsidRPr="00454555">
              <w:rPr>
                <w:rFonts w:ascii="Cambria" w:hAnsi="Cambria"/>
                <w:color w:val="000000"/>
                <w:sz w:val="20"/>
                <w:szCs w:val="20"/>
                <w:highlight w:val="yellow"/>
                <w:lang w:val="es-CO"/>
              </w:rPr>
              <w:t>6</w:t>
            </w:r>
            <w:r w:rsidRPr="00454555">
              <w:rPr>
                <w:rFonts w:ascii="Cambria" w:hAnsi="Cambria"/>
                <w:color w:val="000000"/>
                <w:sz w:val="20"/>
                <w:szCs w:val="20"/>
                <w:highlight w:val="yellow"/>
                <w:lang w:val="es-CO"/>
              </w:rPr>
              <w:t xml:space="preserve"> de </w:t>
            </w:r>
            <w:r w:rsidR="00454555" w:rsidRPr="00454555">
              <w:rPr>
                <w:rFonts w:ascii="Cambria" w:hAnsi="Cambria"/>
                <w:color w:val="000000"/>
                <w:sz w:val="20"/>
                <w:szCs w:val="20"/>
                <w:highlight w:val="yellow"/>
                <w:lang w:val="es-CO"/>
              </w:rPr>
              <w:t>junio</w:t>
            </w:r>
            <w:r w:rsidR="00454555">
              <w:rPr>
                <w:rFonts w:ascii="Cambria" w:hAnsi="Cambria"/>
                <w:color w:val="000000"/>
                <w:sz w:val="20"/>
                <w:szCs w:val="20"/>
                <w:highlight w:val="yellow"/>
                <w:lang w:val="es-CO"/>
              </w:rPr>
              <w:t xml:space="preserve"> de</w:t>
            </w:r>
            <w:r w:rsidRPr="00454555">
              <w:rPr>
                <w:rFonts w:ascii="Cambria" w:hAnsi="Cambria"/>
                <w:color w:val="000000"/>
                <w:sz w:val="20"/>
                <w:szCs w:val="20"/>
                <w:highlight w:val="yellow"/>
                <w:lang w:val="es-CO"/>
              </w:rPr>
              <w:t xml:space="preserve"> 2019</w:t>
            </w:r>
          </w:p>
          <w:p w14:paraId="08F66589" w14:textId="302D96AA" w:rsidR="00300DA5" w:rsidRPr="001D1664" w:rsidRDefault="00300DA5" w:rsidP="00300DA5">
            <w:pPr>
              <w:tabs>
                <w:tab w:val="left" w:pos="9270"/>
              </w:tabs>
              <w:suppressAutoHyphens/>
              <w:spacing w:after="0" w:line="240" w:lineRule="auto"/>
              <w:jc w:val="both"/>
              <w:rPr>
                <w:rFonts w:ascii="Cambria" w:hAnsi="Cambria"/>
                <w:b/>
                <w:bCs/>
                <w:color w:val="000000"/>
                <w:sz w:val="20"/>
                <w:szCs w:val="20"/>
                <w:lang w:val="es-CO"/>
              </w:rPr>
            </w:pPr>
            <w:r w:rsidRPr="001D1664">
              <w:rPr>
                <w:rFonts w:ascii="Cambria" w:hAnsi="Cambria"/>
                <w:b/>
                <w:bCs/>
                <w:color w:val="000000"/>
                <w:sz w:val="20"/>
                <w:szCs w:val="20"/>
                <w:lang w:val="es-CO"/>
              </w:rPr>
              <w:t>Informe de Admisibilidad N</w:t>
            </w:r>
            <w:r w:rsidR="00985247">
              <w:rPr>
                <w:rFonts w:ascii="Cambria" w:hAnsi="Cambria"/>
                <w:b/>
                <w:bCs/>
                <w:color w:val="000000"/>
                <w:sz w:val="20"/>
                <w:szCs w:val="20"/>
                <w:lang w:val="es-CO"/>
              </w:rPr>
              <w:t>o</w:t>
            </w:r>
            <w:r w:rsidRPr="001D1664">
              <w:rPr>
                <w:rFonts w:ascii="Cambria" w:eastAsia="Batang" w:hAnsi="Cambria"/>
                <w:bCs/>
                <w:color w:val="000000"/>
                <w:sz w:val="20"/>
                <w:szCs w:val="20"/>
                <w:lang w:val="es-CO"/>
              </w:rPr>
              <w:t xml:space="preserve">: </w:t>
            </w:r>
            <w:hyperlink r:id="rId13" w:history="1">
              <w:r w:rsidRPr="001D1664">
                <w:rPr>
                  <w:rFonts w:ascii="Cambria" w:eastAsia="Batang" w:hAnsi="Cambria"/>
                  <w:b/>
                  <w:bCs/>
                  <w:color w:val="0563C1"/>
                  <w:sz w:val="20"/>
                  <w:szCs w:val="20"/>
                  <w:u w:val="single"/>
                  <w:lang w:val="es-CO"/>
                </w:rPr>
                <w:t>81/18</w:t>
              </w:r>
            </w:hyperlink>
            <w:r w:rsidR="003F417D" w:rsidRPr="00454555">
              <w:rPr>
                <w:rFonts w:ascii="Cambria" w:hAnsi="Cambria"/>
                <w:sz w:val="20"/>
                <w:szCs w:val="20"/>
                <w:lang w:val="es-CO"/>
              </w:rPr>
              <w:t>,</w:t>
            </w:r>
            <w:r w:rsidRPr="001D1664">
              <w:rPr>
                <w:rFonts w:ascii="Cambria" w:eastAsia="Batang" w:hAnsi="Cambria"/>
                <w:bCs/>
                <w:color w:val="000000"/>
                <w:sz w:val="20"/>
                <w:szCs w:val="20"/>
                <w:lang w:val="es-CO"/>
              </w:rPr>
              <w:t xml:space="preserve"> publicado el 7 de julio de 2018</w:t>
            </w:r>
          </w:p>
          <w:p w14:paraId="6FA1DB62" w14:textId="77777777" w:rsidR="00300DA5" w:rsidRPr="001D1664" w:rsidRDefault="00300DA5" w:rsidP="00300DA5">
            <w:pPr>
              <w:tabs>
                <w:tab w:val="left" w:pos="9270"/>
              </w:tabs>
              <w:suppressAutoHyphens/>
              <w:spacing w:after="0" w:line="240" w:lineRule="auto"/>
              <w:jc w:val="both"/>
              <w:rPr>
                <w:rFonts w:ascii="Cambria" w:hAnsi="Cambria"/>
                <w:b/>
                <w:bCs/>
                <w:color w:val="000000"/>
                <w:sz w:val="20"/>
                <w:szCs w:val="20"/>
                <w:lang w:val="es-CO"/>
              </w:rPr>
            </w:pPr>
            <w:r w:rsidRPr="001D1664">
              <w:rPr>
                <w:rFonts w:ascii="Cambria" w:hAnsi="Cambria"/>
                <w:b/>
                <w:bCs/>
                <w:color w:val="000000"/>
                <w:sz w:val="20"/>
                <w:szCs w:val="20"/>
                <w:lang w:val="es-CO"/>
              </w:rPr>
              <w:t xml:space="preserve">Fecha de Firma de ASA: </w:t>
            </w:r>
            <w:r w:rsidRPr="001D1664">
              <w:rPr>
                <w:rFonts w:ascii="Cambria" w:hAnsi="Cambria"/>
                <w:color w:val="000000"/>
                <w:sz w:val="20"/>
                <w:szCs w:val="20"/>
                <w:lang w:val="es-CO"/>
              </w:rPr>
              <w:t>14 de julio de 2020</w:t>
            </w:r>
          </w:p>
          <w:p w14:paraId="2F6A3BA9" w14:textId="09AEFD03" w:rsidR="00300DA5" w:rsidRPr="001D1664" w:rsidRDefault="00300DA5" w:rsidP="00300DA5">
            <w:pPr>
              <w:tabs>
                <w:tab w:val="left" w:pos="9270"/>
              </w:tabs>
              <w:suppressAutoHyphens/>
              <w:spacing w:after="0" w:line="240" w:lineRule="auto"/>
              <w:jc w:val="both"/>
              <w:rPr>
                <w:rFonts w:ascii="Cambria" w:eastAsia="Batang" w:hAnsi="Cambria"/>
                <w:color w:val="000000"/>
                <w:sz w:val="20"/>
                <w:szCs w:val="20"/>
                <w:lang w:val="es-CO"/>
              </w:rPr>
            </w:pPr>
            <w:r w:rsidRPr="001D1664">
              <w:rPr>
                <w:rFonts w:ascii="Cambria" w:eastAsia="Batang" w:hAnsi="Cambria"/>
                <w:b/>
                <w:color w:val="000000"/>
                <w:sz w:val="20"/>
                <w:szCs w:val="20"/>
                <w:lang w:val="es-CO"/>
              </w:rPr>
              <w:t>Informe de Acuerdo de Solución Amistosa N</w:t>
            </w:r>
            <w:r w:rsidR="00985247">
              <w:rPr>
                <w:rFonts w:ascii="Cambria" w:eastAsia="Batang" w:hAnsi="Cambria"/>
                <w:b/>
                <w:color w:val="000000"/>
                <w:sz w:val="20"/>
                <w:szCs w:val="20"/>
                <w:lang w:val="es-CO"/>
              </w:rPr>
              <w:t>o</w:t>
            </w:r>
            <w:r w:rsidRPr="001D1664">
              <w:rPr>
                <w:rFonts w:ascii="Cambria" w:eastAsia="Batang" w:hAnsi="Cambria"/>
                <w:b/>
                <w:color w:val="000000"/>
                <w:sz w:val="20"/>
                <w:szCs w:val="20"/>
                <w:lang w:val="es-CO"/>
              </w:rPr>
              <w:t xml:space="preserve">: </w:t>
            </w:r>
            <w:hyperlink r:id="rId14" w:history="1">
              <w:r w:rsidRPr="001D1664">
                <w:rPr>
                  <w:rFonts w:ascii="Cambria" w:eastAsia="Batang" w:hAnsi="Cambria"/>
                  <w:b/>
                  <w:bCs/>
                  <w:color w:val="0563C1"/>
                  <w:sz w:val="20"/>
                  <w:szCs w:val="20"/>
                  <w:u w:val="single"/>
                  <w:lang w:val="es-CO"/>
                </w:rPr>
                <w:t>41/21</w:t>
              </w:r>
            </w:hyperlink>
            <w:r w:rsidR="003F417D" w:rsidRPr="00454555">
              <w:rPr>
                <w:rFonts w:ascii="Cambria" w:hAnsi="Cambria"/>
                <w:sz w:val="20"/>
                <w:szCs w:val="20"/>
                <w:lang w:val="es-CO"/>
              </w:rPr>
              <w:t>,</w:t>
            </w:r>
            <w:r w:rsidRPr="001D1664">
              <w:rPr>
                <w:rFonts w:ascii="Cambria" w:eastAsia="Batang" w:hAnsi="Cambria"/>
                <w:color w:val="000000"/>
                <w:sz w:val="20"/>
                <w:szCs w:val="20"/>
                <w:lang w:val="es-CO"/>
              </w:rPr>
              <w:t xml:space="preserve"> publicado el 20 de marzo de 2021</w:t>
            </w:r>
          </w:p>
          <w:p w14:paraId="197F7C04" w14:textId="77777777" w:rsidR="00300DA5" w:rsidRPr="001D1664" w:rsidRDefault="00300DA5" w:rsidP="00300DA5">
            <w:pPr>
              <w:tabs>
                <w:tab w:val="left" w:pos="9270"/>
              </w:tabs>
              <w:suppressAutoHyphens/>
              <w:spacing w:after="0" w:line="240" w:lineRule="auto"/>
              <w:jc w:val="both"/>
              <w:rPr>
                <w:rFonts w:ascii="Cambria" w:hAnsi="Cambria"/>
                <w:color w:val="000000"/>
                <w:sz w:val="20"/>
                <w:szCs w:val="20"/>
                <w:lang w:val="es-CO"/>
              </w:rPr>
            </w:pPr>
            <w:r w:rsidRPr="001D1664">
              <w:rPr>
                <w:rFonts w:ascii="Cambria" w:hAnsi="Cambria"/>
                <w:b/>
                <w:bCs/>
                <w:color w:val="000000"/>
                <w:sz w:val="20"/>
                <w:szCs w:val="20"/>
                <w:lang w:val="es-CO"/>
              </w:rPr>
              <w:t xml:space="preserve">Duración estimada de la fase de negociación: </w:t>
            </w:r>
            <w:r w:rsidRPr="001D1664">
              <w:rPr>
                <w:rFonts w:ascii="Cambria" w:hAnsi="Cambria"/>
                <w:color w:val="000000"/>
                <w:sz w:val="20"/>
                <w:szCs w:val="20"/>
                <w:lang w:val="es-CO"/>
              </w:rPr>
              <w:t>1 año y 9 meses</w:t>
            </w:r>
          </w:p>
          <w:p w14:paraId="4AC57314" w14:textId="522E5EA6" w:rsidR="00300DA5" w:rsidRPr="001D1664" w:rsidRDefault="00300DA5" w:rsidP="00300DA5">
            <w:pPr>
              <w:tabs>
                <w:tab w:val="left" w:pos="9270"/>
              </w:tabs>
              <w:suppressAutoHyphens/>
              <w:spacing w:after="0" w:line="240" w:lineRule="auto"/>
              <w:jc w:val="both"/>
              <w:rPr>
                <w:rFonts w:ascii="Cambria" w:eastAsia="Batang" w:hAnsi="Cambria"/>
                <w:color w:val="000000"/>
                <w:sz w:val="20"/>
                <w:szCs w:val="20"/>
                <w:lang w:val="es-CO"/>
              </w:rPr>
            </w:pPr>
            <w:r w:rsidRPr="001D1664">
              <w:rPr>
                <w:rFonts w:ascii="Cambria" w:eastAsia="Batang" w:hAnsi="Cambria"/>
                <w:b/>
                <w:color w:val="000000"/>
                <w:sz w:val="20"/>
                <w:szCs w:val="20"/>
                <w:lang w:val="es-CO"/>
              </w:rPr>
              <w:t>Relatoría vinculada:</w:t>
            </w:r>
            <w:r w:rsidRPr="001D1664">
              <w:rPr>
                <w:rFonts w:ascii="Cambria" w:eastAsia="Batang" w:hAnsi="Cambria"/>
                <w:color w:val="000000"/>
                <w:sz w:val="20"/>
                <w:szCs w:val="20"/>
                <w:lang w:val="es-CO"/>
              </w:rPr>
              <w:t xml:space="preserve"> </w:t>
            </w:r>
            <w:r w:rsidR="003F417D" w:rsidRPr="001D1664">
              <w:rPr>
                <w:rFonts w:ascii="Cambria" w:eastAsia="Batang" w:hAnsi="Cambria"/>
                <w:color w:val="000000"/>
                <w:sz w:val="20"/>
                <w:szCs w:val="20"/>
                <w:lang w:val="es-CO"/>
              </w:rPr>
              <w:t>N</w:t>
            </w:r>
            <w:r w:rsidRPr="001D1664">
              <w:rPr>
                <w:rFonts w:ascii="Cambria" w:eastAsia="Batang" w:hAnsi="Cambria"/>
                <w:color w:val="000000"/>
                <w:sz w:val="20"/>
                <w:szCs w:val="20"/>
                <w:lang w:val="es-CO"/>
              </w:rPr>
              <w:t>/</w:t>
            </w:r>
            <w:r w:rsidR="003F417D" w:rsidRPr="001D1664">
              <w:rPr>
                <w:rFonts w:ascii="Cambria" w:eastAsia="Batang" w:hAnsi="Cambria"/>
                <w:color w:val="000000"/>
                <w:sz w:val="20"/>
                <w:szCs w:val="20"/>
                <w:lang w:val="es-CO"/>
              </w:rPr>
              <w:t>A</w:t>
            </w:r>
          </w:p>
          <w:p w14:paraId="13DCA700" w14:textId="77777777" w:rsidR="00300DA5" w:rsidRPr="001D1664" w:rsidRDefault="00300DA5" w:rsidP="00300DA5">
            <w:pPr>
              <w:tabs>
                <w:tab w:val="left" w:pos="9270"/>
              </w:tabs>
              <w:suppressAutoHyphens/>
              <w:spacing w:after="0" w:line="240" w:lineRule="auto"/>
              <w:jc w:val="both"/>
              <w:rPr>
                <w:rFonts w:ascii="Cambria" w:eastAsia="Batang" w:hAnsi="Cambria"/>
                <w:bCs/>
                <w:color w:val="000000"/>
                <w:sz w:val="20"/>
                <w:szCs w:val="20"/>
                <w:lang w:val="es-CO"/>
              </w:rPr>
            </w:pPr>
            <w:r w:rsidRPr="001D1664">
              <w:rPr>
                <w:rFonts w:ascii="Cambria" w:eastAsia="Batang" w:hAnsi="Cambria"/>
                <w:b/>
                <w:color w:val="000000"/>
                <w:sz w:val="20"/>
                <w:szCs w:val="20"/>
                <w:lang w:val="es-CO"/>
              </w:rPr>
              <w:t xml:space="preserve">Temas: </w:t>
            </w:r>
            <w:r w:rsidRPr="001D1664">
              <w:rPr>
                <w:rFonts w:ascii="Cambria" w:eastAsia="Batang" w:hAnsi="Cambria"/>
                <w:bCs/>
                <w:color w:val="000000"/>
                <w:sz w:val="20"/>
                <w:szCs w:val="20"/>
                <w:lang w:val="es-CO"/>
              </w:rPr>
              <w:t>Derecho a la vida / Ejecución extrajudicial / Integridad personal / Protección de la familia / Protecciones judiciales</w:t>
            </w:r>
          </w:p>
          <w:p w14:paraId="12FF7196" w14:textId="77777777" w:rsidR="00300DA5" w:rsidRPr="001D1664" w:rsidRDefault="00300DA5" w:rsidP="00300DA5">
            <w:pPr>
              <w:tabs>
                <w:tab w:val="left" w:pos="9270"/>
              </w:tabs>
              <w:suppressAutoHyphens/>
              <w:spacing w:after="0" w:line="240" w:lineRule="auto"/>
              <w:jc w:val="both"/>
              <w:rPr>
                <w:rFonts w:ascii="Cambria" w:eastAsia="Batang" w:hAnsi="Cambria"/>
                <w:color w:val="000000"/>
                <w:sz w:val="20"/>
                <w:szCs w:val="20"/>
                <w:lang w:val="es-CO"/>
              </w:rPr>
            </w:pPr>
          </w:p>
          <w:p w14:paraId="6CB53F03" w14:textId="77B4A024" w:rsidR="00300DA5" w:rsidRPr="001D1664" w:rsidRDefault="00300DA5" w:rsidP="00300DA5">
            <w:pPr>
              <w:suppressAutoHyphens/>
              <w:spacing w:after="0" w:line="240" w:lineRule="auto"/>
              <w:jc w:val="both"/>
              <w:rPr>
                <w:rFonts w:ascii="Cambria" w:hAnsi="Cambria"/>
                <w:color w:val="000000"/>
                <w:sz w:val="20"/>
                <w:szCs w:val="20"/>
                <w:lang w:val="es-CO"/>
              </w:rPr>
            </w:pPr>
            <w:r w:rsidRPr="001D1664">
              <w:rPr>
                <w:rFonts w:ascii="Cambria" w:eastAsia="Batang" w:hAnsi="Cambria"/>
                <w:b/>
                <w:color w:val="000000"/>
                <w:sz w:val="20"/>
                <w:szCs w:val="20"/>
                <w:lang w:val="es-CO"/>
              </w:rPr>
              <w:t>Hechos:</w:t>
            </w:r>
            <w:r w:rsidRPr="001D1664">
              <w:rPr>
                <w:rFonts w:ascii="Cambria" w:eastAsia="Batang" w:hAnsi="Cambria"/>
                <w:color w:val="000000"/>
                <w:sz w:val="20"/>
                <w:szCs w:val="20"/>
                <w:lang w:val="es-CO"/>
              </w:rPr>
              <w:t xml:space="preserve"> </w:t>
            </w:r>
            <w:r w:rsidRPr="001D1664">
              <w:rPr>
                <w:rFonts w:ascii="Cambria" w:hAnsi="Cambria"/>
                <w:color w:val="000000"/>
                <w:sz w:val="20"/>
                <w:szCs w:val="20"/>
                <w:lang w:val="es-CO"/>
              </w:rPr>
              <w:t xml:space="preserve">De acuerdo con la parte peticionaria, el 13 de septiembre de 1993, Edgar Sánchez Duarte habría sido ejecutado extrajudicialmente al recibir tres disparos de arma de fuego por miembros de la extinta UNASE (Unidad Antisecuestro y Extorsión), grupo especial asentado en el Batallón de la Popa en Valledupar, Departamento del Cesar. Según los peticionarios, los agentes de la UNASE habrían considerado que la presunta víctima se encontraba vinculada a las Fuerzas Armadas Revolucionarias de Colombia (FARC), por lo que se habría desplegado un operativo, en el cual, después de varios días de vigilancia y seguimiento, el señor </w:t>
            </w:r>
            <w:r w:rsidR="003F417D" w:rsidRPr="001D1664">
              <w:rPr>
                <w:rFonts w:ascii="Cambria" w:hAnsi="Cambria"/>
                <w:color w:val="000000"/>
                <w:sz w:val="20"/>
                <w:szCs w:val="20"/>
                <w:lang w:val="es-CO"/>
              </w:rPr>
              <w:t>Sánchez</w:t>
            </w:r>
            <w:r w:rsidRPr="001D1664">
              <w:rPr>
                <w:rFonts w:ascii="Cambria" w:hAnsi="Cambria"/>
                <w:color w:val="000000"/>
                <w:sz w:val="20"/>
                <w:szCs w:val="20"/>
                <w:lang w:val="es-CO"/>
              </w:rPr>
              <w:t xml:space="preserve"> Duarte habría sido ultimado cuando se encontraba en las afueras de su domicilio frente a su esposa y dos hijos. Los peticionarios alegaron que, si bien en el marco del proceso penal, se habría sentenciado a 30 años de prisión por el delito de homicidio a un soldado retirado del Ejército Nacional, la persecución penal no se habría continuado respecto de los otros dos oficiales presuntamente involucrados en los hechos, entre ellos un Comandante Mayor de la UNASE, quien habría sido señalado como oficial involucrado de acuerdo con la confesión obtenida durante el juicio del primer condenado. Asimismo, los peticionarios alegaron que, como consecuencia de la mencionada confesión y posterior solicitud de detención del Comandante Mayor, los familiares de la víctima habrían sido víctimas de amedrentamientos por parte de los miembros de la UNASE. Finalmente, los peticionarios alegaron la violación del derecho de acceso a la justicia y de igualdad ante la ley, dada la contradicción de las decisiones asumidas en los dos procesos seguidos por los familiares de la víctima para obtener un resarcimiento económico. Lo anterior, debido a que las autoridades judiciales habrían fallado en uno de los procesos contenciosos administrativos otorgándole reparación a dos de los familiares, y en el marco de un segundo proceso, se habría denegado dicha compensación a los demás miembros del grupo familiar.</w:t>
            </w:r>
          </w:p>
          <w:p w14:paraId="003F46C9" w14:textId="77777777" w:rsidR="00300DA5" w:rsidRPr="001D1664" w:rsidRDefault="00300DA5" w:rsidP="00300DA5">
            <w:pPr>
              <w:suppressAutoHyphens/>
              <w:spacing w:after="0" w:line="240" w:lineRule="auto"/>
              <w:jc w:val="both"/>
              <w:rPr>
                <w:rFonts w:ascii="Cambria" w:hAnsi="Cambria"/>
                <w:color w:val="000000"/>
                <w:sz w:val="20"/>
                <w:szCs w:val="20"/>
                <w:lang w:val="es-CO"/>
              </w:rPr>
            </w:pPr>
          </w:p>
          <w:p w14:paraId="168B47B1" w14:textId="77777777" w:rsidR="00300DA5" w:rsidRPr="001D1664" w:rsidRDefault="00300DA5" w:rsidP="00300DA5">
            <w:pPr>
              <w:suppressAutoHyphens/>
              <w:spacing w:after="0" w:line="240" w:lineRule="auto"/>
              <w:jc w:val="both"/>
              <w:rPr>
                <w:rFonts w:ascii="Cambria" w:hAnsi="Cambria"/>
                <w:color w:val="000000"/>
                <w:sz w:val="20"/>
                <w:szCs w:val="20"/>
                <w:lang w:val="es-CO"/>
              </w:rPr>
            </w:pPr>
            <w:r w:rsidRPr="001D1664">
              <w:rPr>
                <w:rFonts w:ascii="Cambria" w:eastAsia="Batang" w:hAnsi="Cambria"/>
                <w:b/>
                <w:color w:val="000000"/>
                <w:sz w:val="20"/>
                <w:szCs w:val="20"/>
                <w:lang w:val="es-CO"/>
              </w:rPr>
              <w:t xml:space="preserve">Derechos declarados admisibles: </w:t>
            </w:r>
            <w:r w:rsidRPr="001D1664">
              <w:rPr>
                <w:rFonts w:ascii="Cambria" w:hAnsi="Cambria"/>
                <w:color w:val="000000"/>
                <w:sz w:val="20"/>
                <w:szCs w:val="20"/>
                <w:lang w:val="es-ES_tradnl"/>
              </w:rPr>
              <w:t>El 7 de Julio de 2018, la CIDH declaro admisible la petición en relación con la presunta violación de los artículos 4 (derecho a la vida), 5 (integridad personal), 8 (garantías judiciales), 17 (protección de la familia), 24 (igualdad ante la ley) y 25 (protección judicial) de la Convención Americana en concordancia con sus artículos 1.1 y 2.</w:t>
            </w:r>
          </w:p>
        </w:tc>
      </w:tr>
    </w:tbl>
    <w:p w14:paraId="4BF0B776" w14:textId="77777777" w:rsidR="00300DA5" w:rsidRPr="001D1664" w:rsidRDefault="00300DA5" w:rsidP="00300DA5">
      <w:pPr>
        <w:suppressAutoHyphens/>
        <w:spacing w:after="0" w:line="240" w:lineRule="auto"/>
        <w:rPr>
          <w:rFonts w:ascii="Cambria" w:hAnsi="Cambria"/>
          <w:b/>
          <w:caps/>
          <w:color w:val="000000"/>
          <w:sz w:val="20"/>
          <w:szCs w:val="20"/>
          <w:lang w:val="es-CO"/>
        </w:rPr>
      </w:pPr>
    </w:p>
    <w:p w14:paraId="6CBAF8C4" w14:textId="77777777" w:rsidR="00300DA5" w:rsidRPr="001D1664" w:rsidRDefault="00300DA5" w:rsidP="00454555">
      <w:pPr>
        <w:numPr>
          <w:ilvl w:val="0"/>
          <w:numId w:val="6"/>
        </w:numPr>
        <w:suppressAutoHyphens/>
        <w:spacing w:after="0" w:line="240" w:lineRule="auto"/>
        <w:ind w:left="-90" w:firstLine="810"/>
        <w:rPr>
          <w:rFonts w:ascii="Cambria" w:hAnsi="Cambria"/>
          <w:b/>
          <w:caps/>
          <w:color w:val="000000"/>
          <w:sz w:val="20"/>
          <w:szCs w:val="20"/>
          <w:lang w:val="es-ES"/>
        </w:rPr>
      </w:pPr>
      <w:r w:rsidRPr="001D1664">
        <w:rPr>
          <w:rFonts w:ascii="Cambria" w:hAnsi="Cambria"/>
          <w:b/>
          <w:caps/>
          <w:color w:val="000000"/>
          <w:sz w:val="20"/>
          <w:szCs w:val="20"/>
          <w:lang w:val="es-ES"/>
        </w:rPr>
        <w:t>ACTIVIDAD PROCESAL</w:t>
      </w:r>
    </w:p>
    <w:p w14:paraId="5BE65B4E" w14:textId="77777777" w:rsidR="00300DA5" w:rsidRPr="001D1664" w:rsidRDefault="00300DA5" w:rsidP="00300DA5">
      <w:pPr>
        <w:suppressAutoHyphens/>
        <w:spacing w:after="0" w:line="240" w:lineRule="auto"/>
        <w:ind w:left="720"/>
        <w:rPr>
          <w:rFonts w:ascii="Cambria" w:hAnsi="Cambria"/>
          <w:b/>
          <w:caps/>
          <w:color w:val="000000"/>
          <w:sz w:val="20"/>
          <w:szCs w:val="20"/>
          <w:lang w:val="es-ES"/>
        </w:rPr>
      </w:pPr>
    </w:p>
    <w:p w14:paraId="72516AE8" w14:textId="77777777" w:rsidR="003F417D" w:rsidRPr="001D1664" w:rsidRDefault="003F417D" w:rsidP="00454555">
      <w:pPr>
        <w:numPr>
          <w:ilvl w:val="0"/>
          <w:numId w:val="3"/>
        </w:numPr>
        <w:tabs>
          <w:tab w:val="left" w:pos="1440"/>
        </w:tabs>
        <w:suppressAutoHyphens/>
        <w:spacing w:after="0" w:line="240" w:lineRule="auto"/>
        <w:ind w:left="0" w:firstLine="720"/>
        <w:jc w:val="both"/>
        <w:rPr>
          <w:rFonts w:ascii="Cambria" w:eastAsia="Batang" w:hAnsi="Cambria" w:cs="Calibri Light"/>
          <w:color w:val="000000"/>
          <w:sz w:val="20"/>
          <w:szCs w:val="20"/>
          <w:lang w:val="es-ES"/>
        </w:rPr>
      </w:pPr>
      <w:r w:rsidRPr="001D1664">
        <w:rPr>
          <w:rFonts w:ascii="Cambria" w:eastAsia="Batang" w:hAnsi="Cambria" w:cs="Calibri Light"/>
          <w:color w:val="000000"/>
          <w:sz w:val="20"/>
          <w:szCs w:val="20"/>
          <w:lang w:val="es-ES"/>
        </w:rPr>
        <w:t>El 14 de julio de 2020, las partes firmaron un acuerdo de solución amistosa</w:t>
      </w:r>
      <w:r w:rsidR="00300DA5" w:rsidRPr="001D1664">
        <w:rPr>
          <w:rFonts w:ascii="Cambria" w:eastAsia="Batang" w:hAnsi="Cambria" w:cs="Calibri Light"/>
          <w:color w:val="000000"/>
          <w:sz w:val="20"/>
          <w:szCs w:val="20"/>
          <w:lang w:val="es-ES"/>
        </w:rPr>
        <w:t>.</w:t>
      </w:r>
    </w:p>
    <w:p w14:paraId="35548453" w14:textId="77777777" w:rsidR="003F417D" w:rsidRPr="001D1664" w:rsidRDefault="003F417D" w:rsidP="003F417D">
      <w:pPr>
        <w:tabs>
          <w:tab w:val="left" w:pos="1440"/>
        </w:tabs>
        <w:suppressAutoHyphens/>
        <w:spacing w:after="0" w:line="240" w:lineRule="auto"/>
        <w:ind w:left="720"/>
        <w:jc w:val="both"/>
        <w:rPr>
          <w:rFonts w:ascii="Cambria" w:eastAsia="Batang" w:hAnsi="Cambria" w:cs="Calibri Light"/>
          <w:color w:val="000000"/>
          <w:sz w:val="20"/>
          <w:szCs w:val="20"/>
          <w:lang w:val="es-ES"/>
        </w:rPr>
      </w:pPr>
    </w:p>
    <w:p w14:paraId="2F49B2F4" w14:textId="52B9DEE1" w:rsidR="00300DA5" w:rsidRPr="001D1664" w:rsidRDefault="003F417D" w:rsidP="00454555">
      <w:pPr>
        <w:numPr>
          <w:ilvl w:val="0"/>
          <w:numId w:val="3"/>
        </w:numPr>
        <w:tabs>
          <w:tab w:val="left" w:pos="1440"/>
        </w:tabs>
        <w:suppressAutoHyphens/>
        <w:spacing w:after="0" w:line="240" w:lineRule="auto"/>
        <w:ind w:left="0" w:firstLine="720"/>
        <w:jc w:val="both"/>
        <w:rPr>
          <w:rFonts w:ascii="Cambria" w:eastAsia="Batang" w:hAnsi="Cambria" w:cs="Calibri Light"/>
          <w:color w:val="000000"/>
          <w:sz w:val="20"/>
          <w:szCs w:val="20"/>
          <w:lang w:val="es-ES"/>
        </w:rPr>
      </w:pPr>
      <w:r w:rsidRPr="001D1664">
        <w:rPr>
          <w:rFonts w:ascii="Cambria" w:eastAsia="Batang" w:hAnsi="Cambria" w:cs="Calibri Light"/>
          <w:color w:val="000000"/>
          <w:sz w:val="20"/>
          <w:szCs w:val="20"/>
          <w:lang w:val="es-ES"/>
        </w:rPr>
        <w:lastRenderedPageBreak/>
        <w:t>El 20 de marzo de 2021, la CIDH aprobó el acuerdo suscrito por las partes, mediante el Informe 41/21.</w:t>
      </w:r>
    </w:p>
    <w:p w14:paraId="6ABAC2C5" w14:textId="77777777" w:rsidR="00300DA5" w:rsidRPr="001D1664" w:rsidRDefault="00300DA5" w:rsidP="00300DA5">
      <w:pPr>
        <w:spacing w:after="0" w:line="240" w:lineRule="auto"/>
        <w:jc w:val="both"/>
        <w:rPr>
          <w:rFonts w:ascii="Cambria" w:eastAsia="Batang" w:hAnsi="Cambria" w:cs="Calibri Light"/>
          <w:color w:val="000000"/>
          <w:sz w:val="20"/>
          <w:szCs w:val="20"/>
          <w:lang w:val="es-ES"/>
        </w:rPr>
      </w:pPr>
    </w:p>
    <w:p w14:paraId="19CEFEA6" w14:textId="77777777" w:rsidR="00300DA5" w:rsidRPr="001D1664" w:rsidRDefault="00300DA5" w:rsidP="00454555">
      <w:pPr>
        <w:numPr>
          <w:ilvl w:val="0"/>
          <w:numId w:val="6"/>
        </w:numPr>
        <w:suppressAutoHyphens/>
        <w:spacing w:after="0" w:line="240" w:lineRule="auto"/>
        <w:ind w:left="-90" w:firstLine="810"/>
        <w:jc w:val="both"/>
        <w:rPr>
          <w:rFonts w:ascii="Cambria" w:hAnsi="Cambria"/>
          <w:b/>
          <w:caps/>
          <w:color w:val="000000"/>
          <w:sz w:val="20"/>
          <w:szCs w:val="20"/>
          <w:lang w:val="es-ES"/>
        </w:rPr>
      </w:pPr>
      <w:r w:rsidRPr="001D1664">
        <w:rPr>
          <w:rFonts w:ascii="Cambria" w:hAnsi="Cambria"/>
          <w:b/>
          <w:caps/>
          <w:color w:val="000000"/>
          <w:sz w:val="20"/>
          <w:szCs w:val="20"/>
          <w:lang w:val="es-ES"/>
        </w:rPr>
        <w:t>ANÁLISIS DEL CUMPLIMIENTO DE LAS CLÁUSULAS DEL ACUERDO DE SOLUCIÓN AMISTOSA</w:t>
      </w:r>
    </w:p>
    <w:p w14:paraId="350BDC2E" w14:textId="77777777" w:rsidR="00300DA5" w:rsidRPr="001D1664" w:rsidRDefault="00300DA5" w:rsidP="00300DA5">
      <w:pPr>
        <w:suppressAutoHyphens/>
        <w:spacing w:after="0" w:line="240" w:lineRule="auto"/>
        <w:ind w:left="1440" w:hanging="720"/>
        <w:rPr>
          <w:rFonts w:ascii="Cambria" w:hAnsi="Cambria"/>
          <w:b/>
          <w:caps/>
          <w:color w:val="000000"/>
          <w:sz w:val="20"/>
          <w:szCs w:val="20"/>
          <w:lang w:val="es-E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4791"/>
      </w:tblGrid>
      <w:tr w:rsidR="00136D54" w:rsidRPr="001D1664" w14:paraId="64BB7EC9" w14:textId="77777777" w:rsidTr="001D1664">
        <w:tc>
          <w:tcPr>
            <w:tcW w:w="45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0A9B31" w14:textId="77777777" w:rsidR="00136D54" w:rsidRPr="001D1664" w:rsidRDefault="00136D54" w:rsidP="00300DA5">
            <w:pPr>
              <w:tabs>
                <w:tab w:val="center" w:pos="2049"/>
              </w:tabs>
              <w:suppressAutoHyphens/>
              <w:spacing w:after="0" w:line="240" w:lineRule="auto"/>
              <w:jc w:val="center"/>
              <w:rPr>
                <w:rFonts w:ascii="Cambria" w:eastAsia="Batang" w:hAnsi="Cambria"/>
                <w:b/>
                <w:color w:val="000000"/>
                <w:sz w:val="20"/>
                <w:szCs w:val="20"/>
                <w:lang w:val="es-CO"/>
              </w:rPr>
            </w:pPr>
            <w:bookmarkStart w:id="0" w:name="_Hlk85077086"/>
            <w:r w:rsidRPr="001D1664">
              <w:rPr>
                <w:rFonts w:ascii="Cambria" w:eastAsia="Batang" w:hAnsi="Cambria"/>
                <w:b/>
                <w:color w:val="000000"/>
                <w:sz w:val="20"/>
                <w:szCs w:val="20"/>
                <w:lang w:val="es-CO"/>
              </w:rPr>
              <w:t>Cláusula del Acuerdo</w:t>
            </w:r>
          </w:p>
        </w:tc>
        <w:tc>
          <w:tcPr>
            <w:tcW w:w="47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EEC2FE" w14:textId="09B5948F" w:rsidR="00136D54" w:rsidRPr="001D1664" w:rsidRDefault="00136D54" w:rsidP="00136D54">
            <w:pPr>
              <w:suppressAutoHyphens/>
              <w:spacing w:after="0" w:line="240" w:lineRule="auto"/>
              <w:jc w:val="center"/>
              <w:rPr>
                <w:rFonts w:ascii="Cambria" w:eastAsia="Batang" w:hAnsi="Cambria"/>
                <w:b/>
                <w:color w:val="000000"/>
                <w:sz w:val="20"/>
                <w:szCs w:val="20"/>
                <w:lang w:val="es-CO"/>
              </w:rPr>
            </w:pPr>
            <w:r w:rsidRPr="001D1664">
              <w:rPr>
                <w:rFonts w:ascii="Cambria" w:eastAsia="Batang" w:hAnsi="Cambria"/>
                <w:b/>
                <w:color w:val="000000"/>
                <w:sz w:val="20"/>
                <w:szCs w:val="20"/>
                <w:lang w:val="es-CO"/>
              </w:rPr>
              <w:t>Estado de Cumplimiento</w:t>
            </w:r>
          </w:p>
        </w:tc>
      </w:tr>
      <w:tr w:rsidR="00136D54" w:rsidRPr="001D1664" w14:paraId="53C9D8F8" w14:textId="77777777" w:rsidTr="001D1664">
        <w:tc>
          <w:tcPr>
            <w:tcW w:w="4565" w:type="dxa"/>
            <w:tcBorders>
              <w:top w:val="single" w:sz="4" w:space="0" w:color="auto"/>
              <w:left w:val="single" w:sz="4" w:space="0" w:color="auto"/>
              <w:bottom w:val="single" w:sz="4" w:space="0" w:color="auto"/>
              <w:right w:val="single" w:sz="4" w:space="0" w:color="auto"/>
            </w:tcBorders>
            <w:vAlign w:val="center"/>
          </w:tcPr>
          <w:p w14:paraId="07FBD03F" w14:textId="77777777" w:rsidR="00300DA5" w:rsidRPr="001D1664" w:rsidRDefault="00300DA5" w:rsidP="00300DA5">
            <w:pPr>
              <w:suppressAutoHyphens/>
              <w:spacing w:after="0" w:line="240" w:lineRule="auto"/>
              <w:jc w:val="both"/>
              <w:rPr>
                <w:rFonts w:ascii="Cambria" w:hAnsi="Cambria"/>
                <w:b/>
                <w:bCs/>
                <w:sz w:val="20"/>
                <w:szCs w:val="20"/>
                <w:lang w:val="es-CO"/>
              </w:rPr>
            </w:pPr>
            <w:r w:rsidRPr="001D1664">
              <w:rPr>
                <w:rFonts w:ascii="Cambria" w:hAnsi="Cambria"/>
                <w:b/>
                <w:bCs/>
                <w:sz w:val="20"/>
                <w:szCs w:val="20"/>
                <w:lang w:val="es-CO"/>
              </w:rPr>
              <w:t>CUARTA PARTE: RECONOCIMIENTO DE RESPONSABILIDAD.</w:t>
            </w:r>
          </w:p>
          <w:p w14:paraId="6270B197" w14:textId="77777777" w:rsidR="00300DA5" w:rsidRPr="001D1664" w:rsidRDefault="00300DA5" w:rsidP="00300DA5">
            <w:pPr>
              <w:suppressAutoHyphens/>
              <w:spacing w:after="0" w:line="240" w:lineRule="auto"/>
              <w:jc w:val="both"/>
              <w:rPr>
                <w:rFonts w:ascii="Cambria" w:hAnsi="Cambria"/>
                <w:b/>
                <w:bCs/>
                <w:sz w:val="20"/>
                <w:szCs w:val="20"/>
                <w:lang w:val="es-CO"/>
              </w:rPr>
            </w:pPr>
          </w:p>
          <w:p w14:paraId="1859CA3F" w14:textId="77777777" w:rsidR="00300DA5" w:rsidRPr="001D1664" w:rsidRDefault="00300DA5" w:rsidP="00300DA5">
            <w:pPr>
              <w:suppressAutoHyphens/>
              <w:spacing w:after="0" w:line="240" w:lineRule="auto"/>
              <w:jc w:val="both"/>
              <w:rPr>
                <w:rFonts w:ascii="Cambria" w:eastAsia="Batang" w:hAnsi="Cambria"/>
                <w:color w:val="000000"/>
                <w:sz w:val="20"/>
                <w:szCs w:val="20"/>
                <w:lang w:val="es-CO"/>
              </w:rPr>
            </w:pPr>
            <w:r w:rsidRPr="001D1664">
              <w:rPr>
                <w:rFonts w:ascii="Cambria" w:eastAsia="Batang" w:hAnsi="Cambria"/>
                <w:color w:val="000000"/>
                <w:sz w:val="20"/>
                <w:szCs w:val="20"/>
                <w:lang w:val="es-CO"/>
              </w:rPr>
              <w:t xml:space="preserve">El Estado Colombiano reconoce su responsabilidad por la violación al derecho a la igualdad (artículo 24), en relación con el derecho a la protección judicial (artículo 25) contenidos en la Convención Americana Sobre Derechos Humanos; ambos en relación con el artículo 1.1 del mismo instrumento, en razón de la contradicción de las decisiones emitidas por la jurisdicción contencioso administrativa. </w:t>
            </w:r>
          </w:p>
          <w:p w14:paraId="47B084F0" w14:textId="77777777" w:rsidR="00300DA5" w:rsidRPr="001D1664" w:rsidRDefault="00300DA5" w:rsidP="00300DA5">
            <w:pPr>
              <w:suppressAutoHyphens/>
              <w:spacing w:after="0" w:line="240" w:lineRule="auto"/>
              <w:jc w:val="both"/>
              <w:rPr>
                <w:rFonts w:ascii="Cambria" w:eastAsia="Batang" w:hAnsi="Cambria"/>
                <w:color w:val="000000"/>
                <w:sz w:val="20"/>
                <w:szCs w:val="20"/>
                <w:lang w:val="es-CO"/>
              </w:rPr>
            </w:pPr>
            <w:r w:rsidRPr="001D1664">
              <w:rPr>
                <w:rFonts w:ascii="Cambria" w:eastAsia="Batang" w:hAnsi="Cambria"/>
                <w:color w:val="000000"/>
                <w:sz w:val="20"/>
                <w:szCs w:val="20"/>
                <w:lang w:val="es-CO"/>
              </w:rPr>
              <w:t>Lo anterior, por cuanto las autoridades judiciales actuaron de manera diferente frente al mismo caso, otorgándole reparación a dos de los familiares del señor Edgar José Sánchez y negándosela al restante grupo familiar</w:t>
            </w:r>
          </w:p>
        </w:tc>
        <w:tc>
          <w:tcPr>
            <w:tcW w:w="4791" w:type="dxa"/>
            <w:tcBorders>
              <w:top w:val="single" w:sz="4" w:space="0" w:color="auto"/>
              <w:left w:val="single" w:sz="4" w:space="0" w:color="auto"/>
              <w:bottom w:val="single" w:sz="4" w:space="0" w:color="auto"/>
              <w:right w:val="single" w:sz="4" w:space="0" w:color="auto"/>
            </w:tcBorders>
            <w:vAlign w:val="center"/>
          </w:tcPr>
          <w:p w14:paraId="59E8D1EA" w14:textId="77777777" w:rsidR="00300DA5" w:rsidRPr="001D1664" w:rsidRDefault="00300DA5" w:rsidP="00300DA5">
            <w:pPr>
              <w:suppressAutoHyphens/>
              <w:spacing w:after="0" w:line="240" w:lineRule="auto"/>
              <w:jc w:val="center"/>
              <w:rPr>
                <w:rFonts w:ascii="Cambria" w:eastAsia="Batang" w:hAnsi="Cambria"/>
                <w:b/>
                <w:bCs/>
                <w:color w:val="000000"/>
                <w:sz w:val="20"/>
                <w:szCs w:val="20"/>
                <w:lang w:val="es-CO"/>
              </w:rPr>
            </w:pPr>
            <w:r w:rsidRPr="001D1664">
              <w:rPr>
                <w:rFonts w:ascii="Cambria" w:eastAsia="Batang" w:hAnsi="Cambria"/>
                <w:b/>
                <w:bCs/>
                <w:color w:val="000000"/>
                <w:sz w:val="20"/>
                <w:szCs w:val="20"/>
                <w:lang w:val="es-CO"/>
              </w:rPr>
              <w:t>Cláusula Declarativa</w:t>
            </w:r>
          </w:p>
        </w:tc>
      </w:tr>
      <w:tr w:rsidR="00136D54" w:rsidRPr="00454555" w14:paraId="61B16F9C" w14:textId="77777777" w:rsidTr="001D1664">
        <w:tc>
          <w:tcPr>
            <w:tcW w:w="9356" w:type="dxa"/>
            <w:gridSpan w:val="2"/>
            <w:tcBorders>
              <w:top w:val="single" w:sz="4" w:space="0" w:color="auto"/>
              <w:left w:val="single" w:sz="4" w:space="0" w:color="auto"/>
              <w:bottom w:val="single" w:sz="4" w:space="0" w:color="auto"/>
              <w:right w:val="single" w:sz="4" w:space="0" w:color="auto"/>
            </w:tcBorders>
            <w:vAlign w:val="center"/>
          </w:tcPr>
          <w:p w14:paraId="01958F91" w14:textId="77777777" w:rsidR="00300DA5" w:rsidRPr="001D1664" w:rsidRDefault="00300DA5" w:rsidP="00300DA5">
            <w:pPr>
              <w:suppressAutoHyphens/>
              <w:spacing w:after="0" w:line="240" w:lineRule="auto"/>
              <w:jc w:val="both"/>
              <w:rPr>
                <w:rFonts w:ascii="Cambria" w:eastAsia="Batang" w:hAnsi="Cambria"/>
                <w:color w:val="000000"/>
                <w:sz w:val="20"/>
                <w:szCs w:val="20"/>
                <w:lang w:val="es-CO"/>
              </w:rPr>
            </w:pPr>
            <w:r w:rsidRPr="001D1664">
              <w:rPr>
                <w:rFonts w:ascii="Cambria" w:hAnsi="Cambria"/>
                <w:b/>
                <w:bCs/>
                <w:sz w:val="20"/>
                <w:szCs w:val="20"/>
                <w:lang w:val="es-CO"/>
              </w:rPr>
              <w:t>QUINTA PARTE: MEDIDAS DE REPARACIÓN ACORDADAS ENTRE LAS PARTES</w:t>
            </w:r>
          </w:p>
        </w:tc>
      </w:tr>
      <w:tr w:rsidR="00136D54" w:rsidRPr="00454555" w14:paraId="61027FDB" w14:textId="77777777" w:rsidTr="001D1664">
        <w:tc>
          <w:tcPr>
            <w:tcW w:w="9356" w:type="dxa"/>
            <w:gridSpan w:val="2"/>
            <w:tcBorders>
              <w:top w:val="single" w:sz="4" w:space="0" w:color="auto"/>
              <w:left w:val="single" w:sz="4" w:space="0" w:color="auto"/>
              <w:bottom w:val="single" w:sz="4" w:space="0" w:color="auto"/>
              <w:right w:val="single" w:sz="4" w:space="0" w:color="auto"/>
            </w:tcBorders>
            <w:vAlign w:val="center"/>
          </w:tcPr>
          <w:p w14:paraId="6F13ADE1" w14:textId="77777777" w:rsidR="00300DA5" w:rsidRPr="001D1664" w:rsidRDefault="00300DA5" w:rsidP="00454555">
            <w:pPr>
              <w:numPr>
                <w:ilvl w:val="0"/>
                <w:numId w:val="4"/>
              </w:numPr>
              <w:suppressAutoHyphens/>
              <w:spacing w:after="0" w:line="240" w:lineRule="auto"/>
              <w:jc w:val="both"/>
              <w:rPr>
                <w:rFonts w:ascii="Cambria" w:hAnsi="Cambria"/>
                <w:b/>
                <w:bCs/>
                <w:sz w:val="20"/>
                <w:szCs w:val="20"/>
                <w:lang w:val="es-CO"/>
              </w:rPr>
            </w:pPr>
            <w:r w:rsidRPr="001D1664">
              <w:rPr>
                <w:rFonts w:ascii="Cambria" w:hAnsi="Cambria"/>
                <w:b/>
                <w:bCs/>
                <w:sz w:val="20"/>
                <w:szCs w:val="20"/>
                <w:lang w:val="es-CO"/>
              </w:rPr>
              <w:t>Medidas de Satisfacción y Rehabilitación</w:t>
            </w:r>
          </w:p>
        </w:tc>
      </w:tr>
      <w:tr w:rsidR="00136D54" w:rsidRPr="001D1664" w14:paraId="7D6853F7" w14:textId="77777777" w:rsidTr="001D1664">
        <w:tc>
          <w:tcPr>
            <w:tcW w:w="4565" w:type="dxa"/>
            <w:tcBorders>
              <w:top w:val="single" w:sz="4" w:space="0" w:color="auto"/>
              <w:left w:val="single" w:sz="4" w:space="0" w:color="auto"/>
              <w:bottom w:val="single" w:sz="4" w:space="0" w:color="auto"/>
              <w:right w:val="single" w:sz="4" w:space="0" w:color="auto"/>
            </w:tcBorders>
            <w:vAlign w:val="center"/>
          </w:tcPr>
          <w:p w14:paraId="37EFDCC9" w14:textId="77777777" w:rsidR="00300DA5" w:rsidRPr="001D1664" w:rsidRDefault="00300DA5" w:rsidP="00300DA5">
            <w:pPr>
              <w:suppressAutoHyphens/>
              <w:spacing w:after="0" w:line="240" w:lineRule="auto"/>
              <w:jc w:val="both"/>
              <w:rPr>
                <w:rFonts w:ascii="Cambria" w:eastAsia="Times New Roman" w:hAnsi="Cambria"/>
                <w:b/>
                <w:bCs/>
                <w:sz w:val="20"/>
                <w:szCs w:val="20"/>
                <w:lang w:val="es-CO"/>
              </w:rPr>
            </w:pPr>
            <w:r w:rsidRPr="001D1664">
              <w:rPr>
                <w:rFonts w:ascii="Cambria" w:eastAsia="Times New Roman" w:hAnsi="Cambria"/>
                <w:b/>
                <w:bCs/>
                <w:sz w:val="20"/>
                <w:szCs w:val="20"/>
                <w:lang w:val="es-CO"/>
              </w:rPr>
              <w:t xml:space="preserve">1.1 Acto de desagravio: </w:t>
            </w:r>
            <w:r w:rsidRPr="001D1664">
              <w:rPr>
                <w:rFonts w:ascii="Cambria" w:eastAsia="Times New Roman" w:hAnsi="Cambria"/>
                <w:sz w:val="20"/>
                <w:szCs w:val="20"/>
                <w:lang w:val="es-ES_tradnl"/>
              </w:rPr>
              <w:t>Colombia se compromete a realizar un acto público de reconocimiento de responsabilidad y de disculpas públicas encabezado por un alto funcionario del Estado, con la participación de autoridades públicas, los familiares de las víctimas y sus representantes, el cual será difundido a través de medios masivos de comunicación. El acto se realizará de conformidad con el reconocimiento de responsabilidad señalado en este Acuerdo</w:t>
            </w:r>
          </w:p>
        </w:tc>
        <w:tc>
          <w:tcPr>
            <w:tcW w:w="4791" w:type="dxa"/>
            <w:tcBorders>
              <w:top w:val="single" w:sz="4" w:space="0" w:color="auto"/>
              <w:left w:val="single" w:sz="4" w:space="0" w:color="auto"/>
              <w:bottom w:val="single" w:sz="4" w:space="0" w:color="auto"/>
              <w:right w:val="single" w:sz="4" w:space="0" w:color="auto"/>
            </w:tcBorders>
            <w:vAlign w:val="center"/>
            <w:hideMark/>
          </w:tcPr>
          <w:p w14:paraId="07F5D7E6" w14:textId="77777777" w:rsidR="00300DA5" w:rsidRPr="001D1664" w:rsidRDefault="00300DA5" w:rsidP="00300DA5">
            <w:pPr>
              <w:suppressAutoHyphens/>
              <w:spacing w:after="0" w:line="240" w:lineRule="auto"/>
              <w:jc w:val="center"/>
              <w:rPr>
                <w:rFonts w:ascii="Cambria" w:eastAsia="Batang" w:hAnsi="Cambria"/>
                <w:color w:val="000000"/>
                <w:sz w:val="20"/>
                <w:szCs w:val="20"/>
                <w:lang w:val="es-CO"/>
              </w:rPr>
            </w:pPr>
            <w:r w:rsidRPr="001D1664">
              <w:rPr>
                <w:rFonts w:ascii="Cambria" w:eastAsia="Batang" w:hAnsi="Cambria"/>
                <w:b/>
                <w:color w:val="000000"/>
                <w:sz w:val="20"/>
                <w:szCs w:val="20"/>
                <w:lang w:val="es-CO"/>
              </w:rPr>
              <w:t>Total</w:t>
            </w:r>
            <w:r w:rsidRPr="001D1664">
              <w:rPr>
                <w:rFonts w:ascii="Cambria" w:eastAsia="Batang" w:hAnsi="Cambria"/>
                <w:b/>
                <w:color w:val="000000"/>
                <w:sz w:val="20"/>
                <w:szCs w:val="20"/>
                <w:vertAlign w:val="superscript"/>
                <w:lang w:val="es-CO"/>
              </w:rPr>
              <w:footnoteReference w:id="2"/>
            </w:r>
          </w:p>
        </w:tc>
      </w:tr>
      <w:tr w:rsidR="00136D54" w:rsidRPr="001D1664" w14:paraId="52697932" w14:textId="77777777" w:rsidTr="001D1664">
        <w:trPr>
          <w:trHeight w:val="350"/>
        </w:trPr>
        <w:tc>
          <w:tcPr>
            <w:tcW w:w="4565" w:type="dxa"/>
            <w:tcBorders>
              <w:top w:val="single" w:sz="4" w:space="0" w:color="auto"/>
              <w:left w:val="single" w:sz="4" w:space="0" w:color="auto"/>
              <w:bottom w:val="single" w:sz="4" w:space="0" w:color="auto"/>
              <w:right w:val="single" w:sz="4" w:space="0" w:color="auto"/>
            </w:tcBorders>
          </w:tcPr>
          <w:p w14:paraId="266A1A86" w14:textId="77777777" w:rsidR="00136D54" w:rsidRPr="001D1664" w:rsidRDefault="00136D54" w:rsidP="00300DA5">
            <w:pPr>
              <w:suppressAutoHyphens/>
              <w:spacing w:after="0" w:line="240" w:lineRule="auto"/>
              <w:jc w:val="both"/>
              <w:rPr>
                <w:rFonts w:ascii="Cambria" w:eastAsia="Times New Roman" w:hAnsi="Cambria"/>
                <w:sz w:val="20"/>
                <w:szCs w:val="20"/>
                <w:lang w:val="es-CO"/>
              </w:rPr>
            </w:pPr>
            <w:r w:rsidRPr="001D1664">
              <w:rPr>
                <w:rFonts w:ascii="Cambria" w:eastAsia="Times New Roman" w:hAnsi="Cambria"/>
                <w:b/>
                <w:bCs/>
                <w:sz w:val="20"/>
                <w:szCs w:val="20"/>
                <w:lang w:val="es-CO"/>
              </w:rPr>
              <w:t>1.2</w:t>
            </w:r>
            <w:r w:rsidRPr="001D1664">
              <w:rPr>
                <w:rFonts w:ascii="Cambria" w:eastAsia="Times New Roman" w:hAnsi="Cambria"/>
                <w:sz w:val="20"/>
                <w:szCs w:val="20"/>
                <w:lang w:val="es-CO"/>
              </w:rPr>
              <w:t xml:space="preserve"> </w:t>
            </w:r>
            <w:r w:rsidRPr="001D1664">
              <w:rPr>
                <w:rFonts w:ascii="Cambria" w:eastAsia="Times New Roman" w:hAnsi="Cambria"/>
                <w:b/>
                <w:bCs/>
                <w:sz w:val="20"/>
                <w:szCs w:val="20"/>
                <w:lang w:val="es-CO"/>
              </w:rPr>
              <w:t>Atención médica y psicosocial:</w:t>
            </w:r>
            <w:r w:rsidRPr="001D1664">
              <w:rPr>
                <w:rFonts w:ascii="Cambria" w:eastAsia="Times New Roman" w:hAnsi="Cambria"/>
                <w:sz w:val="20"/>
                <w:szCs w:val="20"/>
                <w:lang w:val="es-CO"/>
              </w:rPr>
              <w:t xml:space="preserve"> </w:t>
            </w:r>
          </w:p>
          <w:p w14:paraId="4F8860D1" w14:textId="77777777" w:rsidR="00136D54" w:rsidRPr="001D1664" w:rsidRDefault="00136D54" w:rsidP="00300DA5">
            <w:pPr>
              <w:suppressAutoHyphens/>
              <w:spacing w:after="0" w:line="240" w:lineRule="auto"/>
              <w:ind w:left="44" w:hanging="44"/>
              <w:jc w:val="both"/>
              <w:rPr>
                <w:rFonts w:ascii="Cambria" w:eastAsia="Times New Roman" w:hAnsi="Cambria"/>
                <w:sz w:val="20"/>
                <w:szCs w:val="20"/>
                <w:lang w:val="es-CO"/>
              </w:rPr>
            </w:pPr>
            <w:r w:rsidRPr="001D1664">
              <w:rPr>
                <w:rFonts w:ascii="Cambria" w:eastAsia="Times New Roman" w:hAnsi="Cambria"/>
                <w:sz w:val="20"/>
                <w:szCs w:val="20"/>
                <w:lang w:val="es-CO"/>
              </w:rPr>
              <w:t>El Ministerio de Salud y Protección Social, en ejercicio de las competencias descritas en el Decreto Ley 4107 de 2011, coordinará las medidas de rehabilitación en salud constitutivas de una atención médica, psicológica y psicosocial a través del Sistema General de Seguridad Social en Salud y sus integrantes, que garantice un tratamiento adecuado, oportuno y prioritario y por el tiempo que sea necesario (según criterio médico), de acuerdo a las disposiciones legales en la materia.</w:t>
            </w:r>
          </w:p>
          <w:p w14:paraId="3DF71F79" w14:textId="77777777" w:rsidR="00136D54" w:rsidRPr="001D1664" w:rsidRDefault="00136D54" w:rsidP="00300DA5">
            <w:pPr>
              <w:suppressAutoHyphens/>
              <w:spacing w:after="0" w:line="240" w:lineRule="auto"/>
              <w:ind w:left="44" w:hanging="44"/>
              <w:jc w:val="both"/>
              <w:rPr>
                <w:rFonts w:ascii="Cambria" w:eastAsia="Times New Roman" w:hAnsi="Cambria"/>
                <w:sz w:val="20"/>
                <w:szCs w:val="20"/>
                <w:lang w:val="es-CO"/>
              </w:rPr>
            </w:pPr>
            <w:r w:rsidRPr="001D1664">
              <w:rPr>
                <w:rFonts w:ascii="Cambria" w:eastAsia="Times New Roman" w:hAnsi="Cambria"/>
                <w:sz w:val="20"/>
                <w:szCs w:val="20"/>
                <w:lang w:val="es-CO"/>
              </w:rPr>
              <w:t xml:space="preserve">Adicionalmente, si fuese necesario y bajo los criterios de voluntariedad y priorización, el Ministerio de Salud y Protección Social garantizará </w:t>
            </w:r>
            <w:r w:rsidRPr="001D1664">
              <w:rPr>
                <w:rFonts w:ascii="Cambria" w:eastAsia="Times New Roman" w:hAnsi="Cambria"/>
                <w:sz w:val="20"/>
                <w:szCs w:val="20"/>
                <w:lang w:val="es-CO"/>
              </w:rPr>
              <w:lastRenderedPageBreak/>
              <w:t xml:space="preserve">a las víctimas la implementación de la medida de rehabilitación entendida desde los componentes de atención integral en salud atención psicosocial, en el marco del Programa de Atención Psicosocial y Salud Integral a las víctimas – PAPSIVI. </w:t>
            </w:r>
          </w:p>
          <w:p w14:paraId="4C7F2DDD" w14:textId="77777777" w:rsidR="00136D54" w:rsidRPr="001D1664" w:rsidRDefault="00136D54" w:rsidP="00300DA5">
            <w:pPr>
              <w:suppressAutoHyphens/>
              <w:spacing w:after="0" w:line="240" w:lineRule="auto"/>
              <w:ind w:left="44" w:hanging="44"/>
              <w:jc w:val="both"/>
              <w:rPr>
                <w:rFonts w:ascii="Cambria" w:eastAsia="Times New Roman" w:hAnsi="Cambria"/>
                <w:sz w:val="20"/>
                <w:szCs w:val="20"/>
                <w:lang w:val="es-CO"/>
              </w:rPr>
            </w:pPr>
            <w:r w:rsidRPr="001D1664">
              <w:rPr>
                <w:rFonts w:ascii="Cambria" w:eastAsia="Times New Roman" w:hAnsi="Cambria"/>
                <w:sz w:val="20"/>
                <w:szCs w:val="20"/>
                <w:lang w:val="es-CO"/>
              </w:rPr>
              <w:t xml:space="preserve">En virtud del principio de territorialidad, esta medida de reparación se implementará en los términos señalados frente a los beneficiarios y beneficiarias que se encuentren en el territorio nacional. Para aquellas personas que residan fuera del país, su alcance incluirá únicamente la atención psicosocial. </w:t>
            </w:r>
          </w:p>
          <w:p w14:paraId="460F4702" w14:textId="77777777" w:rsidR="00136D54" w:rsidRPr="001D1664" w:rsidRDefault="00136D54" w:rsidP="00300DA5">
            <w:pPr>
              <w:suppressAutoHyphens/>
              <w:spacing w:after="0" w:line="240" w:lineRule="auto"/>
              <w:ind w:left="44" w:hanging="44"/>
              <w:jc w:val="both"/>
              <w:rPr>
                <w:rFonts w:ascii="Cambria" w:eastAsia="Times New Roman" w:hAnsi="Cambria"/>
                <w:sz w:val="20"/>
                <w:szCs w:val="20"/>
                <w:lang w:val="es-CO"/>
              </w:rPr>
            </w:pPr>
            <w:r w:rsidRPr="001D1664">
              <w:rPr>
                <w:rFonts w:ascii="Cambria" w:eastAsia="Times New Roman" w:hAnsi="Cambria"/>
                <w:sz w:val="20"/>
                <w:szCs w:val="20"/>
                <w:lang w:val="es-CO"/>
              </w:rPr>
              <w:t xml:space="preserve">El acceso a la atención psicosocial de las personas que se encuentren fuera del territorio nacional se garantizará a través de las herramientas virtuales a las que haya lugar, previa manifestación de su voluntad y de conformidad con los lineamientos expedidos por el Ministerio de Salud y Protección Social en la materia. </w:t>
            </w:r>
          </w:p>
          <w:p w14:paraId="5323FBC1" w14:textId="77777777" w:rsidR="00136D54" w:rsidRPr="001D1664" w:rsidRDefault="00136D54" w:rsidP="00300DA5">
            <w:pPr>
              <w:suppressAutoHyphens/>
              <w:spacing w:after="0" w:line="240" w:lineRule="auto"/>
              <w:ind w:left="44" w:hanging="44"/>
              <w:jc w:val="both"/>
              <w:rPr>
                <w:rFonts w:ascii="Cambria" w:eastAsia="Times New Roman" w:hAnsi="Cambria"/>
                <w:sz w:val="20"/>
                <w:szCs w:val="20"/>
                <w:lang w:val="es-CO"/>
              </w:rPr>
            </w:pPr>
            <w:r w:rsidRPr="001D1664">
              <w:rPr>
                <w:rFonts w:ascii="Cambria" w:eastAsia="Times New Roman" w:hAnsi="Cambria"/>
                <w:sz w:val="20"/>
                <w:szCs w:val="20"/>
                <w:lang w:val="es-CO"/>
              </w:rPr>
              <w:t>Estas medidas serán implementadas a partir de la firma del acuerdo de solución amistosa”</w:t>
            </w:r>
          </w:p>
        </w:tc>
        <w:tc>
          <w:tcPr>
            <w:tcW w:w="4791" w:type="dxa"/>
            <w:tcBorders>
              <w:top w:val="single" w:sz="4" w:space="0" w:color="auto"/>
              <w:left w:val="single" w:sz="4" w:space="0" w:color="auto"/>
              <w:bottom w:val="single" w:sz="4" w:space="0" w:color="auto"/>
              <w:right w:val="single" w:sz="4" w:space="0" w:color="auto"/>
            </w:tcBorders>
            <w:vAlign w:val="center"/>
            <w:hideMark/>
          </w:tcPr>
          <w:p w14:paraId="173E770A" w14:textId="046A9797" w:rsidR="00136D54" w:rsidRPr="001D1664" w:rsidRDefault="00136D54" w:rsidP="00136D54">
            <w:pPr>
              <w:suppressAutoHyphens/>
              <w:spacing w:after="0" w:line="240" w:lineRule="auto"/>
              <w:jc w:val="center"/>
              <w:rPr>
                <w:rFonts w:ascii="Cambria" w:eastAsia="Batang" w:hAnsi="Cambria"/>
                <w:color w:val="000000"/>
                <w:sz w:val="20"/>
                <w:szCs w:val="20"/>
                <w:lang w:val="es-CO"/>
              </w:rPr>
            </w:pPr>
            <w:r w:rsidRPr="001D1664">
              <w:rPr>
                <w:rFonts w:ascii="Cambria" w:eastAsia="Batang" w:hAnsi="Cambria"/>
                <w:b/>
                <w:bCs/>
                <w:color w:val="000000"/>
                <w:sz w:val="20"/>
                <w:szCs w:val="20"/>
                <w:lang w:val="es-CO"/>
              </w:rPr>
              <w:lastRenderedPageBreak/>
              <w:t>Total</w:t>
            </w:r>
            <w:r w:rsidRPr="001D1664">
              <w:rPr>
                <w:rStyle w:val="FootnoteReference"/>
                <w:rFonts w:ascii="Cambria" w:eastAsia="Batang" w:hAnsi="Cambria"/>
                <w:b/>
                <w:bCs/>
                <w:color w:val="000000"/>
                <w:sz w:val="20"/>
                <w:szCs w:val="20"/>
                <w:lang w:val="es-CO"/>
              </w:rPr>
              <w:footnoteReference w:id="3"/>
            </w:r>
          </w:p>
        </w:tc>
      </w:tr>
      <w:tr w:rsidR="00136D54" w:rsidRPr="001D1664" w14:paraId="78B17E1C" w14:textId="77777777" w:rsidTr="001D1664">
        <w:trPr>
          <w:trHeight w:val="969"/>
        </w:trPr>
        <w:tc>
          <w:tcPr>
            <w:tcW w:w="4565" w:type="dxa"/>
            <w:tcBorders>
              <w:top w:val="single" w:sz="4" w:space="0" w:color="auto"/>
              <w:left w:val="single" w:sz="4" w:space="0" w:color="auto"/>
              <w:bottom w:val="single" w:sz="4" w:space="0" w:color="auto"/>
              <w:right w:val="single" w:sz="4" w:space="0" w:color="auto"/>
            </w:tcBorders>
          </w:tcPr>
          <w:p w14:paraId="335B66B4" w14:textId="77777777" w:rsidR="00300DA5" w:rsidRPr="001D1664" w:rsidRDefault="00300DA5" w:rsidP="00454555">
            <w:pPr>
              <w:numPr>
                <w:ilvl w:val="0"/>
                <w:numId w:val="4"/>
              </w:numPr>
              <w:suppressAutoHyphens/>
              <w:spacing w:after="0" w:line="240" w:lineRule="auto"/>
              <w:ind w:left="44"/>
              <w:rPr>
                <w:rFonts w:ascii="Cambria" w:eastAsia="Batang" w:hAnsi="Cambria"/>
                <w:b/>
                <w:bCs/>
                <w:color w:val="000000"/>
                <w:sz w:val="20"/>
                <w:szCs w:val="20"/>
                <w:lang w:val="es-CO"/>
              </w:rPr>
            </w:pPr>
            <w:r w:rsidRPr="001D1664">
              <w:rPr>
                <w:rFonts w:ascii="Cambria" w:eastAsia="Batang" w:hAnsi="Cambria"/>
                <w:b/>
                <w:bCs/>
                <w:color w:val="000000"/>
                <w:sz w:val="20"/>
                <w:szCs w:val="20"/>
                <w:lang w:val="es-CO"/>
              </w:rPr>
              <w:t>Auxilio económico:</w:t>
            </w:r>
          </w:p>
          <w:p w14:paraId="547FE4AD" w14:textId="77777777" w:rsidR="00300DA5" w:rsidRPr="001D1664" w:rsidRDefault="00300DA5" w:rsidP="00300DA5">
            <w:pPr>
              <w:suppressAutoHyphens/>
              <w:spacing w:after="0" w:line="240" w:lineRule="auto"/>
              <w:ind w:left="44"/>
              <w:jc w:val="both"/>
              <w:rPr>
                <w:rFonts w:ascii="Cambria" w:eastAsia="Times New Roman" w:hAnsi="Cambria"/>
                <w:sz w:val="20"/>
                <w:szCs w:val="20"/>
                <w:lang w:val="es-CO"/>
              </w:rPr>
            </w:pPr>
            <w:r w:rsidRPr="001D1664">
              <w:rPr>
                <w:rFonts w:ascii="Cambria" w:eastAsia="Times New Roman" w:hAnsi="Cambria"/>
                <w:sz w:val="20"/>
                <w:szCs w:val="20"/>
                <w:lang w:val="es-CO"/>
              </w:rPr>
              <w:t>El Estado Colombiano a través del Ministerio de Educación Nacional y el Instituto Colombiano de Crédito Educativo y Estudios Técnicos en el Exterior ICETEX, otorgará un auxilio económico a Edgar José Sánchez Fuentes, hijo del señor Edgar José Sánchez Duarte, en adelante el “beneficiario”, quien no se favoreció de la reparación otorgada por la jurisdicción contencioso administrativa, con el objetivo de financiar un programa académico de nivel técnico profesional, tecnológico, universitario o de postgrado en una Institución de Educación Superior en Colombia reconocida por el Ministerio de Educación Nacional, en modalidad presencial, distancia o virtual.</w:t>
            </w:r>
          </w:p>
          <w:p w14:paraId="4974A028" w14:textId="77777777" w:rsidR="00300DA5" w:rsidRPr="001D1664" w:rsidRDefault="00300DA5" w:rsidP="00300DA5">
            <w:pPr>
              <w:suppressAutoHyphens/>
              <w:spacing w:after="0" w:line="240" w:lineRule="auto"/>
              <w:ind w:left="44"/>
              <w:jc w:val="both"/>
              <w:rPr>
                <w:rFonts w:ascii="Cambria" w:eastAsia="Times New Roman" w:hAnsi="Cambria"/>
                <w:sz w:val="20"/>
                <w:szCs w:val="20"/>
                <w:lang w:val="es-CO"/>
              </w:rPr>
            </w:pPr>
            <w:r w:rsidRPr="001D1664">
              <w:rPr>
                <w:rFonts w:ascii="Cambria" w:eastAsia="Times New Roman" w:hAnsi="Cambria"/>
                <w:sz w:val="20"/>
                <w:szCs w:val="20"/>
                <w:lang w:val="es-CO"/>
              </w:rPr>
              <w:t xml:space="preserve">El auxilio económico será otorgado una vez la Agencia Nacional de Defensa Jurídica del Estado o la Cancillería de Colombia, realicen las gestiones pertinentes para que el Ministerio de Hacienda y Crédito Público distribuya los recursos. </w:t>
            </w:r>
          </w:p>
          <w:p w14:paraId="1A30FA2C" w14:textId="77777777" w:rsidR="00300DA5" w:rsidRPr="001D1664" w:rsidRDefault="00300DA5" w:rsidP="00300DA5">
            <w:pPr>
              <w:suppressAutoHyphens/>
              <w:spacing w:after="0" w:line="240" w:lineRule="auto"/>
              <w:ind w:left="44"/>
              <w:jc w:val="both"/>
              <w:rPr>
                <w:rFonts w:ascii="Cambria" w:eastAsia="Times New Roman" w:hAnsi="Cambria"/>
                <w:sz w:val="20"/>
                <w:szCs w:val="20"/>
                <w:lang w:val="es-CO"/>
              </w:rPr>
            </w:pPr>
            <w:r w:rsidRPr="001D1664">
              <w:rPr>
                <w:rFonts w:ascii="Cambria" w:eastAsia="Times New Roman" w:hAnsi="Cambria"/>
                <w:sz w:val="20"/>
                <w:szCs w:val="20"/>
                <w:lang w:val="es-CO"/>
              </w:rPr>
              <w:t xml:space="preserve">El auxilio económico cubrirá el valor de la matrícula de los semestres de un programa académico de nivel técnico profesional, tecnológico, universitario o de postgrado, por un valor semestral de hasta once (11) SMMLV. Asimismo, se otorgará un recurso de sostenimiento semestral al beneficiario de dos (2) SMMLV si la Institución de Educación Superior se encuentra en su municipio de su residencia, o cuatro (4) SMMLV si la Institución de Educación </w:t>
            </w:r>
            <w:r w:rsidRPr="001D1664">
              <w:rPr>
                <w:rFonts w:ascii="Cambria" w:eastAsia="Times New Roman" w:hAnsi="Cambria"/>
                <w:sz w:val="20"/>
                <w:szCs w:val="20"/>
                <w:lang w:val="es-CO"/>
              </w:rPr>
              <w:lastRenderedPageBreak/>
              <w:t>Superior se encuentra fuera de su municipio de residencia.</w:t>
            </w:r>
          </w:p>
          <w:p w14:paraId="63FA2314" w14:textId="77777777" w:rsidR="00300DA5" w:rsidRPr="001D1664" w:rsidRDefault="00300DA5" w:rsidP="00300DA5">
            <w:pPr>
              <w:suppressAutoHyphens/>
              <w:spacing w:after="0" w:line="240" w:lineRule="auto"/>
              <w:ind w:left="44"/>
              <w:jc w:val="both"/>
              <w:rPr>
                <w:rFonts w:ascii="Cambria" w:eastAsia="Times New Roman" w:hAnsi="Cambria"/>
                <w:sz w:val="20"/>
                <w:szCs w:val="20"/>
                <w:lang w:val="es-CO"/>
              </w:rPr>
            </w:pPr>
            <w:r w:rsidRPr="001D1664">
              <w:rPr>
                <w:rFonts w:ascii="Cambria" w:eastAsia="Times New Roman" w:hAnsi="Cambria"/>
                <w:sz w:val="20"/>
                <w:szCs w:val="20"/>
                <w:lang w:val="es-CO"/>
              </w:rPr>
              <w:t xml:space="preserve">En el marco de la autonomía universitaria, el Ministerio de Educación Nacional se abstendrá de gestionar o solicitar ante cualquier Institución de Educación Superior, la admisión o adjudicación de cupos en programas académicos. El beneficiario deberá realizar los trámites pertinentes para ser admitido, asegurando su permanencia en la institución de Educación Superior, procurando un adecuado rendimiento académico. </w:t>
            </w:r>
          </w:p>
          <w:p w14:paraId="0E209FD8" w14:textId="77777777" w:rsidR="00300DA5" w:rsidRPr="001D1664" w:rsidRDefault="00300DA5" w:rsidP="00300DA5">
            <w:pPr>
              <w:suppressAutoHyphens/>
              <w:spacing w:after="0" w:line="240" w:lineRule="auto"/>
              <w:ind w:left="44"/>
              <w:jc w:val="both"/>
              <w:rPr>
                <w:rFonts w:ascii="Cambria" w:eastAsia="Times New Roman" w:hAnsi="Cambria"/>
                <w:sz w:val="20"/>
                <w:szCs w:val="20"/>
                <w:lang w:val="es-CO"/>
              </w:rPr>
            </w:pPr>
            <w:r w:rsidRPr="001D1664">
              <w:rPr>
                <w:rFonts w:ascii="Cambria" w:eastAsia="Times New Roman" w:hAnsi="Cambria"/>
                <w:sz w:val="20"/>
                <w:szCs w:val="20"/>
                <w:lang w:val="es-CO"/>
              </w:rPr>
              <w:t>El auxilio económico deberá utilizarse en un término no mayor a cinco (5) años contados desde la firma del presente acuerdo, o de lo contrario se tendrá por cumplida la gestión del Estado en su consecución”.</w:t>
            </w:r>
          </w:p>
        </w:tc>
        <w:tc>
          <w:tcPr>
            <w:tcW w:w="4791" w:type="dxa"/>
            <w:tcBorders>
              <w:top w:val="single" w:sz="4" w:space="0" w:color="auto"/>
              <w:left w:val="single" w:sz="4" w:space="0" w:color="auto"/>
              <w:bottom w:val="single" w:sz="4" w:space="0" w:color="auto"/>
              <w:right w:val="single" w:sz="4" w:space="0" w:color="auto"/>
            </w:tcBorders>
            <w:vAlign w:val="center"/>
          </w:tcPr>
          <w:p w14:paraId="14A0D253" w14:textId="77777777" w:rsidR="00300DA5" w:rsidRPr="001D1664" w:rsidRDefault="00300DA5" w:rsidP="00300DA5">
            <w:pPr>
              <w:suppressAutoHyphens/>
              <w:spacing w:after="0" w:line="240" w:lineRule="auto"/>
              <w:jc w:val="center"/>
              <w:rPr>
                <w:rFonts w:ascii="Cambria" w:eastAsia="Batang" w:hAnsi="Cambria"/>
                <w:b/>
                <w:color w:val="000000"/>
                <w:sz w:val="20"/>
                <w:szCs w:val="20"/>
                <w:lang w:val="es-CO"/>
              </w:rPr>
            </w:pPr>
            <w:r w:rsidRPr="001D1664">
              <w:rPr>
                <w:rFonts w:ascii="Cambria" w:eastAsia="Batang" w:hAnsi="Cambria"/>
                <w:b/>
                <w:bCs/>
                <w:color w:val="000000"/>
                <w:sz w:val="20"/>
                <w:szCs w:val="20"/>
                <w:lang w:val="es-CO"/>
              </w:rPr>
              <w:lastRenderedPageBreak/>
              <w:t>Total</w:t>
            </w:r>
            <w:r w:rsidRPr="001D1664">
              <w:rPr>
                <w:rFonts w:ascii="Cambria" w:eastAsia="Batang" w:hAnsi="Cambria"/>
                <w:b/>
                <w:bCs/>
                <w:color w:val="000000"/>
                <w:sz w:val="20"/>
                <w:szCs w:val="20"/>
                <w:vertAlign w:val="superscript"/>
                <w:lang w:val="es-CO"/>
              </w:rPr>
              <w:footnoteReference w:id="4"/>
            </w:r>
          </w:p>
        </w:tc>
      </w:tr>
      <w:tr w:rsidR="00136D54" w:rsidRPr="001D1664" w14:paraId="050E76C5" w14:textId="77777777" w:rsidTr="001D1664">
        <w:trPr>
          <w:trHeight w:val="969"/>
        </w:trPr>
        <w:tc>
          <w:tcPr>
            <w:tcW w:w="4565" w:type="dxa"/>
            <w:tcBorders>
              <w:top w:val="single" w:sz="4" w:space="0" w:color="auto"/>
              <w:left w:val="single" w:sz="4" w:space="0" w:color="auto"/>
              <w:bottom w:val="single" w:sz="4" w:space="0" w:color="auto"/>
              <w:right w:val="single" w:sz="4" w:space="0" w:color="auto"/>
            </w:tcBorders>
          </w:tcPr>
          <w:p w14:paraId="4C3FEEB5" w14:textId="77777777" w:rsidR="00136D54" w:rsidRPr="001D1664" w:rsidRDefault="00136D54" w:rsidP="00454555">
            <w:pPr>
              <w:numPr>
                <w:ilvl w:val="0"/>
                <w:numId w:val="4"/>
              </w:numPr>
              <w:suppressAutoHyphens/>
              <w:spacing w:after="0" w:line="240" w:lineRule="auto"/>
              <w:ind w:left="44"/>
              <w:jc w:val="both"/>
              <w:rPr>
                <w:rFonts w:ascii="Cambria" w:eastAsia="Batang" w:hAnsi="Cambria"/>
                <w:color w:val="000000"/>
                <w:sz w:val="20"/>
                <w:szCs w:val="20"/>
              </w:rPr>
            </w:pPr>
            <w:r w:rsidRPr="001D1664">
              <w:rPr>
                <w:rFonts w:ascii="Cambria" w:eastAsia="Batang" w:hAnsi="Cambria"/>
                <w:b/>
                <w:bCs/>
                <w:color w:val="000000"/>
                <w:sz w:val="20"/>
                <w:szCs w:val="20"/>
                <w:lang w:val="es-CO"/>
              </w:rPr>
              <w:t xml:space="preserve">Reparaciones económicas: </w:t>
            </w:r>
          </w:p>
          <w:p w14:paraId="4BB57D3B" w14:textId="77777777" w:rsidR="00136D54" w:rsidRPr="001D1664" w:rsidRDefault="00136D54" w:rsidP="00300DA5">
            <w:pPr>
              <w:suppressAutoHyphens/>
              <w:spacing w:after="0" w:line="240" w:lineRule="auto"/>
              <w:ind w:left="44"/>
              <w:jc w:val="both"/>
              <w:rPr>
                <w:rFonts w:ascii="Cambria" w:eastAsia="Batang" w:hAnsi="Cambria"/>
                <w:color w:val="000000"/>
                <w:sz w:val="20"/>
                <w:szCs w:val="20"/>
                <w:lang w:val="es-ES_tradnl"/>
              </w:rPr>
            </w:pPr>
            <w:r w:rsidRPr="001D1664">
              <w:rPr>
                <w:rFonts w:ascii="Cambria" w:eastAsia="Batang" w:hAnsi="Cambria"/>
                <w:color w:val="000000"/>
                <w:sz w:val="20"/>
                <w:szCs w:val="20"/>
                <w:lang w:val="es-ES_tradnl"/>
              </w:rPr>
              <w:t xml:space="preserve">El Ministerio de Defensa Nacional se compromete a indemnizar los perjuicios morales que se lleguen a probar por las violaciones reconocidas en el presente acuerdo a través del mecanismo establecido por la Ley 288 de 1996. </w:t>
            </w:r>
          </w:p>
          <w:p w14:paraId="0C92145B" w14:textId="77777777" w:rsidR="00136D54" w:rsidRPr="001D1664" w:rsidRDefault="00136D54" w:rsidP="00300DA5">
            <w:pPr>
              <w:suppressAutoHyphens/>
              <w:spacing w:after="0" w:line="240" w:lineRule="auto"/>
              <w:ind w:left="44"/>
              <w:jc w:val="both"/>
              <w:rPr>
                <w:rFonts w:ascii="Cambria" w:eastAsia="Batang" w:hAnsi="Cambria"/>
                <w:color w:val="000000"/>
                <w:sz w:val="20"/>
                <w:szCs w:val="20"/>
                <w:lang w:val="es-ES_tradnl"/>
              </w:rPr>
            </w:pPr>
            <w:r w:rsidRPr="001D1664">
              <w:rPr>
                <w:rFonts w:ascii="Cambria" w:eastAsia="Batang" w:hAnsi="Cambria"/>
                <w:color w:val="000000"/>
                <w:sz w:val="20"/>
                <w:szCs w:val="20"/>
                <w:lang w:val="es-ES_tradnl"/>
              </w:rPr>
              <w:t xml:space="preserve">El mecanismo en cuestión, se activará una vez se homologue el presente acuerdo de solución amistosa mediante la expedición del informe de artículo 49 de la CADH, con el propósito de reparar los perjuicios ocasionados a los familiares de las víctimas debidamente legitimados, que prueben las afectaciones generadas con ocasión de los hechos relacionados con el presente caso. </w:t>
            </w:r>
          </w:p>
          <w:p w14:paraId="5B23AB51" w14:textId="77777777" w:rsidR="00136D54" w:rsidRPr="001D1664" w:rsidRDefault="00136D54" w:rsidP="00300DA5">
            <w:pPr>
              <w:suppressAutoHyphens/>
              <w:spacing w:after="0" w:line="240" w:lineRule="auto"/>
              <w:ind w:left="44"/>
              <w:jc w:val="both"/>
              <w:rPr>
                <w:rFonts w:ascii="Cambria" w:eastAsia="Batang" w:hAnsi="Cambria"/>
                <w:color w:val="000000"/>
                <w:sz w:val="20"/>
                <w:szCs w:val="20"/>
                <w:lang w:val="es-ES_tradnl"/>
              </w:rPr>
            </w:pPr>
            <w:r w:rsidRPr="001D1664">
              <w:rPr>
                <w:rFonts w:ascii="Cambria" w:eastAsia="Batang" w:hAnsi="Cambria"/>
                <w:color w:val="000000"/>
                <w:sz w:val="20"/>
                <w:szCs w:val="20"/>
                <w:lang w:val="es-ES_tradnl"/>
              </w:rPr>
              <w:t xml:space="preserve">No se beneficiarán de esta medida quienes ya hayan sido reparados por la jurisdicción de lo contencioso administrativo. </w:t>
            </w:r>
          </w:p>
          <w:p w14:paraId="02702E7A" w14:textId="77777777" w:rsidR="00136D54" w:rsidRPr="001D1664" w:rsidRDefault="00136D54" w:rsidP="00300DA5">
            <w:pPr>
              <w:suppressAutoHyphens/>
              <w:spacing w:after="0" w:line="240" w:lineRule="auto"/>
              <w:ind w:left="44"/>
              <w:jc w:val="both"/>
              <w:rPr>
                <w:rFonts w:ascii="Cambria" w:eastAsia="Batang" w:hAnsi="Cambria"/>
                <w:b/>
                <w:bCs/>
                <w:color w:val="000000"/>
                <w:sz w:val="20"/>
                <w:szCs w:val="20"/>
                <w:lang w:val="es-CO"/>
              </w:rPr>
            </w:pPr>
            <w:r w:rsidRPr="001D1664">
              <w:rPr>
                <w:rFonts w:ascii="Cambria" w:eastAsia="Batang" w:hAnsi="Cambria"/>
                <w:color w:val="000000"/>
                <w:sz w:val="20"/>
                <w:szCs w:val="20"/>
                <w:lang w:val="es-ES_tradnl"/>
              </w:rPr>
              <w:t>Leído como fue el presente acuerdo y estando las partes enteradas del alcance y contenido legal del mismo, se firma el 14 de julio de 2020 en Bogotá D.C.</w:t>
            </w:r>
          </w:p>
        </w:tc>
        <w:tc>
          <w:tcPr>
            <w:tcW w:w="4791" w:type="dxa"/>
            <w:tcBorders>
              <w:top w:val="single" w:sz="4" w:space="0" w:color="auto"/>
              <w:left w:val="single" w:sz="4" w:space="0" w:color="auto"/>
              <w:bottom w:val="single" w:sz="4" w:space="0" w:color="auto"/>
              <w:right w:val="single" w:sz="4" w:space="0" w:color="auto"/>
            </w:tcBorders>
            <w:vAlign w:val="center"/>
          </w:tcPr>
          <w:p w14:paraId="5BAC88F1" w14:textId="637033A1" w:rsidR="00136D54" w:rsidRPr="001D1664" w:rsidRDefault="00136D54" w:rsidP="00136D54">
            <w:pPr>
              <w:suppressAutoHyphens/>
              <w:spacing w:after="0" w:line="240" w:lineRule="auto"/>
              <w:jc w:val="center"/>
              <w:rPr>
                <w:rFonts w:ascii="Cambria" w:eastAsia="Batang" w:hAnsi="Cambria"/>
                <w:bCs/>
                <w:color w:val="000000"/>
                <w:sz w:val="20"/>
                <w:szCs w:val="20"/>
                <w:lang w:val="es-ES"/>
              </w:rPr>
            </w:pPr>
            <w:r w:rsidRPr="001D1664">
              <w:rPr>
                <w:rFonts w:ascii="Cambria" w:eastAsia="Batang" w:hAnsi="Cambria"/>
                <w:b/>
                <w:bCs/>
                <w:color w:val="000000"/>
                <w:sz w:val="20"/>
                <w:szCs w:val="20"/>
                <w:lang w:val="es-CO"/>
              </w:rPr>
              <w:t>Total</w:t>
            </w:r>
            <w:r w:rsidRPr="001D1664">
              <w:rPr>
                <w:rStyle w:val="FootnoteReference"/>
                <w:rFonts w:ascii="Cambria" w:eastAsia="Batang" w:hAnsi="Cambria"/>
                <w:b/>
                <w:bCs/>
                <w:color w:val="000000"/>
                <w:sz w:val="20"/>
                <w:szCs w:val="20"/>
                <w:lang w:val="es-CO"/>
              </w:rPr>
              <w:footnoteReference w:id="5"/>
            </w:r>
          </w:p>
        </w:tc>
      </w:tr>
      <w:bookmarkEnd w:id="0"/>
    </w:tbl>
    <w:p w14:paraId="52EF0682" w14:textId="77777777" w:rsidR="00300DA5" w:rsidRPr="001D1664" w:rsidRDefault="00300DA5" w:rsidP="00A01DB8">
      <w:pPr>
        <w:suppressAutoHyphens/>
        <w:spacing w:after="0" w:line="240" w:lineRule="auto"/>
        <w:rPr>
          <w:rFonts w:ascii="Cambria" w:hAnsi="Cambria"/>
          <w:b/>
          <w:caps/>
          <w:color w:val="000000"/>
          <w:sz w:val="20"/>
          <w:szCs w:val="20"/>
          <w:lang w:val="es-ES"/>
        </w:rPr>
      </w:pPr>
    </w:p>
    <w:p w14:paraId="36D98371" w14:textId="77777777" w:rsidR="00300DA5" w:rsidRPr="001D1664" w:rsidRDefault="00300DA5" w:rsidP="00454555">
      <w:pPr>
        <w:numPr>
          <w:ilvl w:val="0"/>
          <w:numId w:val="6"/>
        </w:numPr>
        <w:suppressAutoHyphens/>
        <w:spacing w:after="0" w:line="240" w:lineRule="auto"/>
        <w:ind w:left="-90" w:firstLine="810"/>
        <w:rPr>
          <w:rFonts w:ascii="Cambria" w:hAnsi="Cambria"/>
          <w:b/>
          <w:caps/>
          <w:color w:val="000000"/>
          <w:sz w:val="20"/>
          <w:szCs w:val="20"/>
          <w:lang w:val="es-ES"/>
        </w:rPr>
      </w:pPr>
      <w:r w:rsidRPr="001D1664">
        <w:rPr>
          <w:rFonts w:ascii="Cambria" w:hAnsi="Cambria"/>
          <w:b/>
          <w:caps/>
          <w:color w:val="000000"/>
          <w:sz w:val="20"/>
          <w:szCs w:val="20"/>
          <w:lang w:val="es-ES"/>
        </w:rPr>
        <w:t>NIVEL DE CUMPLIMIENTO DEL CASO</w:t>
      </w:r>
    </w:p>
    <w:p w14:paraId="51945433" w14:textId="77777777" w:rsidR="00300DA5" w:rsidRPr="001D1664" w:rsidRDefault="00300DA5" w:rsidP="00300DA5">
      <w:pPr>
        <w:suppressAutoHyphens/>
        <w:spacing w:after="0" w:line="240" w:lineRule="auto"/>
        <w:ind w:left="1440" w:hanging="720"/>
        <w:rPr>
          <w:rFonts w:ascii="Cambria" w:hAnsi="Cambria"/>
          <w:b/>
          <w:caps/>
          <w:color w:val="000000"/>
          <w:sz w:val="20"/>
          <w:szCs w:val="20"/>
          <w:lang w:val="es-ES"/>
        </w:rPr>
      </w:pPr>
    </w:p>
    <w:p w14:paraId="426F13AD" w14:textId="106C9309" w:rsidR="00300DA5" w:rsidRPr="001D1664" w:rsidRDefault="00300DA5" w:rsidP="00454555">
      <w:pPr>
        <w:numPr>
          <w:ilvl w:val="0"/>
          <w:numId w:val="3"/>
        </w:numPr>
        <w:tabs>
          <w:tab w:val="left" w:pos="1440"/>
        </w:tabs>
        <w:suppressAutoHyphens/>
        <w:spacing w:after="0" w:line="240" w:lineRule="auto"/>
        <w:ind w:left="0" w:firstLine="720"/>
        <w:jc w:val="both"/>
        <w:rPr>
          <w:rFonts w:ascii="Cambria" w:eastAsia="Batang" w:hAnsi="Cambria" w:cs="Calibri Light"/>
          <w:color w:val="000000"/>
          <w:sz w:val="20"/>
          <w:szCs w:val="20"/>
          <w:lang w:val="es-ES"/>
        </w:rPr>
      </w:pPr>
      <w:r w:rsidRPr="001D1664">
        <w:rPr>
          <w:rFonts w:ascii="Cambria" w:eastAsia="Batang" w:hAnsi="Cambria" w:cs="Calibri Light"/>
          <w:color w:val="000000"/>
          <w:sz w:val="20"/>
          <w:szCs w:val="20"/>
          <w:lang w:val="es-ES"/>
        </w:rPr>
        <w:t xml:space="preserve">La Comisión </w:t>
      </w:r>
      <w:r w:rsidR="00A01DB8" w:rsidRPr="001D1664">
        <w:rPr>
          <w:rFonts w:ascii="Cambria" w:eastAsia="Batang" w:hAnsi="Cambria" w:cs="Calibri Light"/>
          <w:color w:val="000000"/>
          <w:sz w:val="20"/>
          <w:szCs w:val="20"/>
          <w:lang w:val="es-ES"/>
        </w:rPr>
        <w:t>declaró el cumplimiento total del asunto y el cese del seguimiento del acuerdo de solución amistosa en el Informe Anual 2024</w:t>
      </w:r>
      <w:r w:rsidRPr="001D1664">
        <w:rPr>
          <w:rFonts w:ascii="Cambria" w:eastAsia="Batang" w:hAnsi="Cambria" w:cs="Calibri Light"/>
          <w:color w:val="000000"/>
          <w:sz w:val="20"/>
          <w:szCs w:val="20"/>
          <w:lang w:val="es-ES"/>
        </w:rPr>
        <w:t xml:space="preserve">. </w:t>
      </w:r>
    </w:p>
    <w:p w14:paraId="3A52A3F2" w14:textId="77777777" w:rsidR="00300DA5" w:rsidRPr="001D1664" w:rsidRDefault="00300DA5" w:rsidP="00300DA5">
      <w:pPr>
        <w:spacing w:after="0" w:line="240" w:lineRule="auto"/>
        <w:jc w:val="both"/>
        <w:rPr>
          <w:rFonts w:ascii="Cambria" w:eastAsia="Times New Roman" w:hAnsi="Cambria"/>
          <w:sz w:val="20"/>
          <w:szCs w:val="20"/>
          <w:lang w:val="es-CO" w:eastAsia="es-ES_tradnl"/>
        </w:rPr>
      </w:pPr>
    </w:p>
    <w:p w14:paraId="0F685B6D" w14:textId="77777777" w:rsidR="00300DA5" w:rsidRPr="001D1664" w:rsidRDefault="00300DA5" w:rsidP="00454555">
      <w:pPr>
        <w:numPr>
          <w:ilvl w:val="0"/>
          <w:numId w:val="6"/>
        </w:numPr>
        <w:suppressAutoHyphens/>
        <w:spacing w:after="0" w:line="240" w:lineRule="auto"/>
        <w:ind w:left="-90" w:firstLine="810"/>
        <w:rPr>
          <w:rFonts w:ascii="Cambria" w:hAnsi="Cambria"/>
          <w:b/>
          <w:caps/>
          <w:color w:val="000000"/>
          <w:sz w:val="20"/>
          <w:szCs w:val="20"/>
          <w:lang w:val="es-ES"/>
        </w:rPr>
      </w:pPr>
      <w:r w:rsidRPr="001D1664">
        <w:rPr>
          <w:rFonts w:ascii="Cambria" w:hAnsi="Cambria"/>
          <w:b/>
          <w:caps/>
          <w:color w:val="000000"/>
          <w:sz w:val="20"/>
          <w:szCs w:val="20"/>
          <w:lang w:val="es-ES"/>
        </w:rPr>
        <w:t>resultados individuales y estructurales del caso</w:t>
      </w:r>
    </w:p>
    <w:p w14:paraId="31881647" w14:textId="77777777" w:rsidR="00300DA5" w:rsidRPr="001D1664" w:rsidRDefault="00300DA5" w:rsidP="00300DA5">
      <w:pPr>
        <w:suppressAutoHyphens/>
        <w:spacing w:after="0" w:line="240" w:lineRule="auto"/>
        <w:ind w:left="1440"/>
        <w:rPr>
          <w:rFonts w:ascii="Cambria" w:hAnsi="Cambria"/>
          <w:b/>
          <w:caps/>
          <w:color w:val="000000"/>
          <w:sz w:val="20"/>
          <w:szCs w:val="20"/>
          <w:lang w:val="es-CO"/>
        </w:rPr>
      </w:pPr>
    </w:p>
    <w:p w14:paraId="4CCB65AD" w14:textId="77777777" w:rsidR="00300DA5" w:rsidRPr="001D1664" w:rsidRDefault="00300DA5" w:rsidP="00454555">
      <w:pPr>
        <w:numPr>
          <w:ilvl w:val="0"/>
          <w:numId w:val="5"/>
        </w:numPr>
        <w:suppressAutoHyphens/>
        <w:spacing w:after="0" w:line="240" w:lineRule="auto"/>
        <w:ind w:left="1418" w:hanging="712"/>
        <w:contextualSpacing/>
        <w:jc w:val="both"/>
        <w:rPr>
          <w:rFonts w:ascii="Cambria" w:eastAsia="Batang" w:hAnsi="Cambria" w:cs="Calibri Light"/>
          <w:b/>
          <w:color w:val="000000"/>
          <w:sz w:val="20"/>
          <w:szCs w:val="20"/>
          <w:lang w:val="es-CO"/>
        </w:rPr>
      </w:pPr>
      <w:r w:rsidRPr="001D1664">
        <w:rPr>
          <w:rFonts w:ascii="Cambria" w:eastAsia="Batang" w:hAnsi="Cambria" w:cs="Calibri Light"/>
          <w:b/>
          <w:color w:val="000000"/>
          <w:sz w:val="20"/>
          <w:szCs w:val="20"/>
          <w:lang w:val="es-CO"/>
        </w:rPr>
        <w:t>Resultados individuales del caso</w:t>
      </w:r>
    </w:p>
    <w:p w14:paraId="2E6EC8AC" w14:textId="77777777" w:rsidR="00300DA5" w:rsidRPr="001D1664" w:rsidRDefault="00300DA5" w:rsidP="00300DA5">
      <w:pPr>
        <w:suppressAutoHyphens/>
        <w:spacing w:after="0" w:line="240" w:lineRule="auto"/>
        <w:ind w:left="1418"/>
        <w:contextualSpacing/>
        <w:jc w:val="both"/>
        <w:rPr>
          <w:rFonts w:ascii="Cambria" w:eastAsia="Batang" w:hAnsi="Cambria" w:cs="Calibri Light"/>
          <w:b/>
          <w:color w:val="000000"/>
          <w:sz w:val="20"/>
          <w:szCs w:val="20"/>
          <w:lang w:val="es-CO"/>
        </w:rPr>
      </w:pPr>
    </w:p>
    <w:p w14:paraId="32088D6B" w14:textId="77777777" w:rsidR="00300DA5" w:rsidRPr="001D1664" w:rsidRDefault="00300DA5" w:rsidP="00454555">
      <w:pPr>
        <w:numPr>
          <w:ilvl w:val="0"/>
          <w:numId w:val="1"/>
        </w:numPr>
        <w:suppressAutoHyphens/>
        <w:spacing w:after="0" w:line="240" w:lineRule="auto"/>
        <w:ind w:left="1440" w:hanging="720"/>
        <w:contextualSpacing/>
        <w:jc w:val="both"/>
        <w:rPr>
          <w:rFonts w:ascii="Cambria" w:eastAsia="Batang" w:hAnsi="Cambria"/>
          <w:color w:val="000000"/>
          <w:sz w:val="20"/>
          <w:szCs w:val="20"/>
          <w:lang w:val="es-ES_tradnl"/>
        </w:rPr>
      </w:pPr>
      <w:r w:rsidRPr="001D1664">
        <w:rPr>
          <w:rFonts w:ascii="Cambria" w:eastAsia="Batang" w:hAnsi="Cambria"/>
          <w:color w:val="000000"/>
          <w:sz w:val="20"/>
          <w:szCs w:val="20"/>
          <w:lang w:val="es-ES_tradnl"/>
        </w:rPr>
        <w:t>El Estado realizó el acto de desagravio el 3 de diciembre de 2020, mediante plataforma virtual en el contexto de la pandemia por COVID 19.</w:t>
      </w:r>
    </w:p>
    <w:p w14:paraId="0D26071C" w14:textId="77777777" w:rsidR="00300DA5" w:rsidRPr="001D1664" w:rsidRDefault="00300DA5" w:rsidP="00454555">
      <w:pPr>
        <w:numPr>
          <w:ilvl w:val="0"/>
          <w:numId w:val="1"/>
        </w:numPr>
        <w:suppressAutoHyphens/>
        <w:spacing w:after="0" w:line="240" w:lineRule="auto"/>
        <w:ind w:left="1440" w:hanging="720"/>
        <w:contextualSpacing/>
        <w:jc w:val="both"/>
        <w:rPr>
          <w:rFonts w:ascii="Cambria" w:eastAsia="Batang" w:hAnsi="Cambria"/>
          <w:color w:val="000000"/>
          <w:sz w:val="20"/>
          <w:szCs w:val="20"/>
          <w:lang w:val="es-ES_tradnl"/>
        </w:rPr>
      </w:pPr>
      <w:r w:rsidRPr="001D1664">
        <w:rPr>
          <w:rFonts w:ascii="Cambria" w:eastAsia="Batang" w:hAnsi="Cambria"/>
          <w:color w:val="000000"/>
          <w:sz w:val="20"/>
          <w:szCs w:val="20"/>
          <w:lang w:val="es-ES_tradnl"/>
        </w:rPr>
        <w:t xml:space="preserve">El Estado otorgó auxilio económico a Edgar José Sánchez Fuentes, hijo de Edgar José Sánchez Duarte, quien no se favoreció de la reparación otorgada por la jurisdicción contencioso administrativo, con el objeto de financiar un programa académico de nivel técnico profesional, </w:t>
      </w:r>
      <w:r w:rsidRPr="001D1664">
        <w:rPr>
          <w:rFonts w:ascii="Cambria" w:eastAsia="Batang" w:hAnsi="Cambria"/>
          <w:color w:val="000000"/>
          <w:sz w:val="20"/>
          <w:szCs w:val="20"/>
          <w:lang w:val="es-ES_tradnl"/>
        </w:rPr>
        <w:lastRenderedPageBreak/>
        <w:t>tecnológico, universitario o de postgrado en una Institución de Educación Superior en Colombia.</w:t>
      </w:r>
    </w:p>
    <w:p w14:paraId="06EB6A5C" w14:textId="6AC200D6" w:rsidR="00300DA5" w:rsidRPr="001D1664" w:rsidRDefault="00300DA5" w:rsidP="00454555">
      <w:pPr>
        <w:numPr>
          <w:ilvl w:val="0"/>
          <w:numId w:val="1"/>
        </w:numPr>
        <w:suppressAutoHyphens/>
        <w:spacing w:after="0" w:line="240" w:lineRule="auto"/>
        <w:ind w:left="1440" w:hanging="720"/>
        <w:contextualSpacing/>
        <w:jc w:val="both"/>
        <w:rPr>
          <w:rFonts w:ascii="Cambria" w:eastAsia="Batang" w:hAnsi="Cambria"/>
          <w:color w:val="000000"/>
          <w:sz w:val="20"/>
          <w:szCs w:val="20"/>
          <w:lang w:val="es-ES_tradnl"/>
        </w:rPr>
      </w:pPr>
      <w:r w:rsidRPr="001D1664">
        <w:rPr>
          <w:rFonts w:ascii="Cambria" w:eastAsia="Batang" w:hAnsi="Cambria"/>
          <w:color w:val="000000"/>
          <w:sz w:val="20"/>
          <w:szCs w:val="20"/>
          <w:lang w:val="es-ES_tradnl"/>
        </w:rPr>
        <w:t xml:space="preserve">El Estado realizó el pago indemnizatorio de $675,283,464 COP, a favor de Martha Fuentes </w:t>
      </w:r>
      <w:r w:rsidR="00A01DB8" w:rsidRPr="001D1664">
        <w:rPr>
          <w:rFonts w:ascii="Cambria" w:eastAsia="Batang" w:hAnsi="Cambria"/>
          <w:color w:val="000000"/>
          <w:sz w:val="20"/>
          <w:szCs w:val="20"/>
          <w:lang w:val="es-ES_tradnl"/>
        </w:rPr>
        <w:t>Gutiérrez</w:t>
      </w:r>
      <w:r w:rsidRPr="001D1664">
        <w:rPr>
          <w:rFonts w:ascii="Cambria" w:eastAsia="Batang" w:hAnsi="Cambria"/>
          <w:color w:val="000000"/>
          <w:sz w:val="20"/>
          <w:szCs w:val="20"/>
          <w:lang w:val="es-ES_tradnl"/>
        </w:rPr>
        <w:t xml:space="preserve">, Edgar </w:t>
      </w:r>
      <w:r w:rsidR="00A01DB8" w:rsidRPr="001D1664">
        <w:rPr>
          <w:rFonts w:ascii="Cambria" w:eastAsia="Batang" w:hAnsi="Cambria"/>
          <w:color w:val="000000"/>
          <w:sz w:val="20"/>
          <w:szCs w:val="20"/>
          <w:lang w:val="es-ES_tradnl"/>
        </w:rPr>
        <w:t>José</w:t>
      </w:r>
      <w:r w:rsidRPr="001D1664">
        <w:rPr>
          <w:rFonts w:ascii="Cambria" w:eastAsia="Batang" w:hAnsi="Cambria"/>
          <w:color w:val="000000"/>
          <w:sz w:val="20"/>
          <w:szCs w:val="20"/>
          <w:lang w:val="es-ES_tradnl"/>
        </w:rPr>
        <w:t xml:space="preserve"> </w:t>
      </w:r>
      <w:r w:rsidR="00A01DB8" w:rsidRPr="001D1664">
        <w:rPr>
          <w:rFonts w:ascii="Cambria" w:eastAsia="Batang" w:hAnsi="Cambria"/>
          <w:color w:val="000000"/>
          <w:sz w:val="20"/>
          <w:szCs w:val="20"/>
          <w:lang w:val="es-ES_tradnl"/>
        </w:rPr>
        <w:t>Sánchez</w:t>
      </w:r>
      <w:r w:rsidRPr="001D1664">
        <w:rPr>
          <w:rFonts w:ascii="Cambria" w:eastAsia="Batang" w:hAnsi="Cambria"/>
          <w:color w:val="000000"/>
          <w:sz w:val="20"/>
          <w:szCs w:val="20"/>
          <w:lang w:val="es-ES_tradnl"/>
        </w:rPr>
        <w:t xml:space="preserve"> Fuentes, </w:t>
      </w:r>
      <w:r w:rsidRPr="001D1664">
        <w:rPr>
          <w:rFonts w:ascii="Cambria" w:eastAsia="Batang" w:hAnsi="Cambria"/>
          <w:bCs/>
          <w:color w:val="000000"/>
          <w:sz w:val="20"/>
          <w:szCs w:val="20"/>
          <w:lang w:val="es-ES"/>
        </w:rPr>
        <w:t xml:space="preserve">Miladis Del Socorro Morales </w:t>
      </w:r>
      <w:r w:rsidR="00A01DB8" w:rsidRPr="001D1664">
        <w:rPr>
          <w:rFonts w:ascii="Cambria" w:eastAsia="Batang" w:hAnsi="Cambria"/>
          <w:bCs/>
          <w:color w:val="000000"/>
          <w:sz w:val="20"/>
          <w:szCs w:val="20"/>
          <w:lang w:val="es-ES"/>
        </w:rPr>
        <w:t>Gutiérrez</w:t>
      </w:r>
      <w:r w:rsidRPr="001D1664">
        <w:rPr>
          <w:rFonts w:ascii="Cambria" w:eastAsia="Batang" w:hAnsi="Cambria"/>
          <w:bCs/>
          <w:color w:val="000000"/>
          <w:sz w:val="20"/>
          <w:szCs w:val="20"/>
          <w:lang w:val="es-ES"/>
        </w:rPr>
        <w:t xml:space="preserve"> y Omar Enrique </w:t>
      </w:r>
      <w:r w:rsidR="00A01DB8" w:rsidRPr="001D1664">
        <w:rPr>
          <w:rFonts w:ascii="Cambria" w:eastAsia="Batang" w:hAnsi="Cambria"/>
          <w:bCs/>
          <w:color w:val="000000"/>
          <w:sz w:val="20"/>
          <w:szCs w:val="20"/>
          <w:lang w:val="es-ES"/>
        </w:rPr>
        <w:t>Liatón</w:t>
      </w:r>
      <w:r w:rsidRPr="001D1664">
        <w:rPr>
          <w:rFonts w:ascii="Cambria" w:eastAsia="Batang" w:hAnsi="Cambria"/>
          <w:bCs/>
          <w:color w:val="000000"/>
          <w:sz w:val="20"/>
          <w:szCs w:val="20"/>
          <w:lang w:val="es-ES"/>
        </w:rPr>
        <w:t xml:space="preserve"> Cortes.</w:t>
      </w:r>
    </w:p>
    <w:p w14:paraId="105BECD8" w14:textId="77777777" w:rsidR="00300DA5" w:rsidRPr="001D1664" w:rsidRDefault="00300DA5" w:rsidP="00300DA5">
      <w:pPr>
        <w:suppressAutoHyphens/>
        <w:spacing w:after="0" w:line="240" w:lineRule="auto"/>
        <w:ind w:left="1440"/>
        <w:contextualSpacing/>
        <w:jc w:val="both"/>
        <w:rPr>
          <w:rFonts w:ascii="Cambria" w:eastAsia="Batang" w:hAnsi="Cambria"/>
          <w:color w:val="000000"/>
          <w:sz w:val="20"/>
          <w:szCs w:val="20"/>
          <w:lang w:val="es-ES_tradnl"/>
        </w:rPr>
      </w:pPr>
    </w:p>
    <w:p w14:paraId="3199CE65" w14:textId="77777777" w:rsidR="00300DA5" w:rsidRPr="001D1664" w:rsidRDefault="00300DA5" w:rsidP="00454555">
      <w:pPr>
        <w:numPr>
          <w:ilvl w:val="0"/>
          <w:numId w:val="5"/>
        </w:numPr>
        <w:suppressAutoHyphens/>
        <w:spacing w:after="0" w:line="240" w:lineRule="auto"/>
        <w:ind w:left="1418" w:hanging="712"/>
        <w:contextualSpacing/>
        <w:jc w:val="both"/>
        <w:rPr>
          <w:rFonts w:ascii="Cambria" w:eastAsia="Batang" w:hAnsi="Cambria" w:cs="Calibri Light"/>
          <w:b/>
          <w:color w:val="000000"/>
          <w:sz w:val="20"/>
          <w:szCs w:val="20"/>
          <w:lang w:val="es-CO"/>
        </w:rPr>
      </w:pPr>
      <w:r w:rsidRPr="001D1664">
        <w:rPr>
          <w:rFonts w:ascii="Cambria" w:eastAsia="Batang" w:hAnsi="Cambria" w:cs="Calibri Light"/>
          <w:b/>
          <w:color w:val="000000"/>
          <w:sz w:val="20"/>
          <w:szCs w:val="20"/>
          <w:lang w:val="es-CO"/>
        </w:rPr>
        <w:t>Resultados estructurales del caso</w:t>
      </w:r>
    </w:p>
    <w:p w14:paraId="748FCDCF" w14:textId="77777777" w:rsidR="00300DA5" w:rsidRPr="001D1664" w:rsidRDefault="00300DA5" w:rsidP="00300DA5">
      <w:pPr>
        <w:suppressAutoHyphens/>
        <w:spacing w:after="0" w:line="240" w:lineRule="auto"/>
        <w:ind w:left="1066"/>
        <w:contextualSpacing/>
        <w:jc w:val="both"/>
        <w:rPr>
          <w:rFonts w:ascii="Cambria" w:eastAsia="Batang" w:hAnsi="Cambria"/>
          <w:color w:val="000000"/>
          <w:sz w:val="20"/>
          <w:szCs w:val="20"/>
          <w:lang w:val="es-ES_tradnl"/>
        </w:rPr>
      </w:pPr>
    </w:p>
    <w:p w14:paraId="4BD7653A" w14:textId="77777777" w:rsidR="00300DA5" w:rsidRPr="001D1664" w:rsidRDefault="00300DA5" w:rsidP="00454555">
      <w:pPr>
        <w:numPr>
          <w:ilvl w:val="0"/>
          <w:numId w:val="1"/>
        </w:numPr>
        <w:suppressAutoHyphens/>
        <w:spacing w:after="0" w:line="240" w:lineRule="auto"/>
        <w:ind w:left="1440" w:hanging="720"/>
        <w:contextualSpacing/>
        <w:jc w:val="both"/>
        <w:rPr>
          <w:rFonts w:ascii="Cambria" w:eastAsia="Batang" w:hAnsi="Cambria"/>
          <w:color w:val="000000"/>
          <w:sz w:val="20"/>
          <w:szCs w:val="20"/>
          <w:lang w:val="es-ES_tradnl"/>
        </w:rPr>
      </w:pPr>
      <w:r w:rsidRPr="001D1664">
        <w:rPr>
          <w:rFonts w:ascii="Cambria" w:eastAsia="Batang" w:hAnsi="Cambria"/>
          <w:color w:val="000000"/>
          <w:sz w:val="20"/>
          <w:szCs w:val="20"/>
          <w:lang w:val="es-ES_tradnl"/>
        </w:rPr>
        <w:t>Dicho acto de desagravio realizado el 3 de diciembre de 2020 fue difundido en la página web de la Agencia Nacional de Defensa Jurídica y en distintas redes sociales.</w:t>
      </w:r>
    </w:p>
    <w:p w14:paraId="3B4E0DA4" w14:textId="700D9F9B" w:rsidR="008E72CA" w:rsidRPr="001D1664" w:rsidRDefault="008E72CA" w:rsidP="00300DA5">
      <w:pPr>
        <w:suppressAutoHyphens/>
        <w:spacing w:after="0" w:line="240" w:lineRule="auto"/>
        <w:rPr>
          <w:rFonts w:ascii="Cambria" w:hAnsi="Cambria"/>
          <w:sz w:val="20"/>
          <w:szCs w:val="20"/>
          <w:lang w:val="es-ES"/>
        </w:rPr>
      </w:pPr>
    </w:p>
    <w:sectPr w:rsidR="008E72CA" w:rsidRPr="001D1664" w:rsidSect="007E4ED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113FA" w14:textId="77777777" w:rsidR="00EC2F8A" w:rsidRDefault="00EC2F8A" w:rsidP="00A343FF">
      <w:pPr>
        <w:spacing w:after="0" w:line="240" w:lineRule="auto"/>
      </w:pPr>
      <w:r>
        <w:separator/>
      </w:r>
    </w:p>
  </w:endnote>
  <w:endnote w:type="continuationSeparator" w:id="0">
    <w:p w14:paraId="6078E4ED" w14:textId="77777777" w:rsidR="00EC2F8A" w:rsidRDefault="00EC2F8A" w:rsidP="00A343FF">
      <w:pPr>
        <w:spacing w:after="0" w:line="240" w:lineRule="auto"/>
      </w:pPr>
      <w:r>
        <w:continuationSeparator/>
      </w:r>
    </w:p>
  </w:endnote>
  <w:endnote w:type="continuationNotice" w:id="1">
    <w:p w14:paraId="45FA8869" w14:textId="77777777" w:rsidR="00EC2F8A" w:rsidRDefault="00EC2F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AF33" w14:textId="77777777" w:rsidR="00106C59" w:rsidRDefault="00106C59">
    <w:pPr>
      <w:pStyle w:val="Footer"/>
    </w:pPr>
  </w:p>
  <w:p w14:paraId="3AF0EA2E" w14:textId="77777777" w:rsidR="00FC0266" w:rsidRDefault="00FC02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540DD" w14:textId="77777777" w:rsidR="00A72869" w:rsidRPr="0073374A" w:rsidRDefault="00A72869">
    <w:pPr>
      <w:pStyle w:val="Footer"/>
      <w:jc w:val="center"/>
      <w:rPr>
        <w:rFonts w:ascii="Cambria" w:hAnsi="Cambria"/>
        <w:color w:val="7F7F7F"/>
        <w:sz w:val="16"/>
      </w:rPr>
    </w:pPr>
    <w:r w:rsidRPr="0073374A">
      <w:rPr>
        <w:rFonts w:ascii="Cambria" w:hAnsi="Cambria"/>
        <w:color w:val="7F7F7F"/>
        <w:sz w:val="16"/>
      </w:rPr>
      <w:fldChar w:fldCharType="begin"/>
    </w:r>
    <w:r w:rsidRPr="0073374A">
      <w:rPr>
        <w:rFonts w:ascii="Cambria" w:hAnsi="Cambria"/>
        <w:color w:val="7F7F7F"/>
        <w:sz w:val="16"/>
      </w:rPr>
      <w:instrText xml:space="preserve"> PAGE   \* MERGEFORMAT </w:instrText>
    </w:r>
    <w:r w:rsidRPr="0073374A">
      <w:rPr>
        <w:rFonts w:ascii="Cambria" w:hAnsi="Cambria"/>
        <w:color w:val="7F7F7F"/>
        <w:sz w:val="16"/>
      </w:rPr>
      <w:fldChar w:fldCharType="separate"/>
    </w:r>
    <w:r w:rsidR="00106C59" w:rsidRPr="0073374A">
      <w:rPr>
        <w:rFonts w:ascii="Cambria" w:hAnsi="Cambria"/>
        <w:noProof/>
        <w:color w:val="7F7F7F"/>
        <w:sz w:val="16"/>
      </w:rPr>
      <w:t>2</w:t>
    </w:r>
    <w:r w:rsidRPr="0073374A">
      <w:rPr>
        <w:rFonts w:ascii="Cambria" w:hAnsi="Cambria"/>
        <w:noProof/>
        <w:color w:val="7F7F7F"/>
        <w:sz w:val="16"/>
      </w:rPr>
      <w:fldChar w:fldCharType="end"/>
    </w:r>
  </w:p>
  <w:p w14:paraId="4E062864" w14:textId="77777777" w:rsidR="001C0A6D" w:rsidRDefault="001C0A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E2F0" w14:textId="47625C4A" w:rsidR="00D222B7" w:rsidRDefault="00E659E5" w:rsidP="00CA3AA8">
    <w:pPr>
      <w:pStyle w:val="Footer"/>
      <w:spacing w:line="360" w:lineRule="auto"/>
      <w:jc w:val="right"/>
    </w:pPr>
    <w:r>
      <w:rPr>
        <w:noProof/>
      </w:rPr>
      <w:pict w14:anchorId="3D42D140">
        <v:rect id="_x0000_i1027" alt="" style="width:441.9pt;height:.05pt;mso-width-percent:0;mso-height-percent:0;mso-width-percent:0;mso-height-percent:0" o:hralign="center" o:hrstd="t" o:hr="t" fillcolor="#a0a0a0" stroked="f"/>
      </w:pict>
    </w:r>
  </w:p>
  <w:p w14:paraId="48E8CE2E" w14:textId="77777777" w:rsidR="00D13990" w:rsidRDefault="00911130" w:rsidP="00604F1C">
    <w:pPr>
      <w:pStyle w:val="Footer"/>
      <w:jc w:val="center"/>
    </w:pPr>
    <w:r w:rsidRPr="008A5CB5">
      <w:rPr>
        <w:noProof/>
      </w:rPr>
      <w:drawing>
        <wp:inline distT="0" distB="0" distL="0" distR="0" wp14:anchorId="2F2E600E" wp14:editId="2127D52D">
          <wp:extent cx="5120640" cy="311150"/>
          <wp:effectExtent l="0" t="0" r="0" b="0"/>
          <wp:docPr id="7" name="Picture 35" descr="C:\Users\mfontana\Documents\Eva Fontana\GRAFICA CIDH\cartas\logos\footer-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1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71E5F" w14:textId="77777777" w:rsidR="00EC2F8A" w:rsidRDefault="00EC2F8A" w:rsidP="00A343FF">
      <w:pPr>
        <w:spacing w:after="0" w:line="240" w:lineRule="auto"/>
      </w:pPr>
      <w:r>
        <w:separator/>
      </w:r>
    </w:p>
  </w:footnote>
  <w:footnote w:type="continuationSeparator" w:id="0">
    <w:p w14:paraId="299F93BC" w14:textId="77777777" w:rsidR="00EC2F8A" w:rsidRDefault="00EC2F8A" w:rsidP="00A343FF">
      <w:pPr>
        <w:spacing w:after="0" w:line="240" w:lineRule="auto"/>
      </w:pPr>
      <w:r>
        <w:continuationSeparator/>
      </w:r>
    </w:p>
  </w:footnote>
  <w:footnote w:type="continuationNotice" w:id="1">
    <w:p w14:paraId="362DFD3F" w14:textId="77777777" w:rsidR="00EC2F8A" w:rsidRDefault="00EC2F8A">
      <w:pPr>
        <w:spacing w:after="0" w:line="240" w:lineRule="auto"/>
      </w:pPr>
    </w:p>
  </w:footnote>
  <w:footnote w:id="2">
    <w:p w14:paraId="2153329F" w14:textId="174B7A40" w:rsidR="00300DA5" w:rsidRPr="00136D54" w:rsidRDefault="00300DA5" w:rsidP="00D058A3">
      <w:pPr>
        <w:pStyle w:val="NormalWeb"/>
        <w:spacing w:before="0" w:beforeAutospacing="0" w:after="0" w:afterAutospacing="0"/>
        <w:ind w:firstLine="709"/>
        <w:jc w:val="both"/>
        <w:rPr>
          <w:rFonts w:ascii="Cambria" w:hAnsi="Cambria"/>
          <w:sz w:val="16"/>
          <w:szCs w:val="16"/>
          <w:lang w:val="es-MX" w:eastAsia="es-ES_tradnl"/>
        </w:rPr>
      </w:pPr>
      <w:r w:rsidRPr="00136D54">
        <w:rPr>
          <w:rStyle w:val="FootnoteReference"/>
          <w:rFonts w:ascii="Cambria" w:hAnsi="Cambria"/>
          <w:sz w:val="16"/>
          <w:szCs w:val="16"/>
        </w:rPr>
        <w:footnoteRef/>
      </w:r>
      <w:r w:rsidRPr="00454555">
        <w:rPr>
          <w:rFonts w:ascii="Cambria" w:hAnsi="Cambria"/>
          <w:sz w:val="16"/>
          <w:szCs w:val="16"/>
          <w:lang w:val="pt-BR"/>
        </w:rPr>
        <w:t xml:space="preserve"> </w:t>
      </w:r>
      <w:r w:rsidR="00863192" w:rsidRPr="00454555">
        <w:rPr>
          <w:rFonts w:ascii="Cambria" w:hAnsi="Cambria"/>
          <w:sz w:val="16"/>
          <w:szCs w:val="16"/>
          <w:lang w:val="pt-BR"/>
        </w:rPr>
        <w:t xml:space="preserve">Ver </w:t>
      </w:r>
      <w:r w:rsidRPr="00454555">
        <w:rPr>
          <w:rFonts w:ascii="Cambria" w:hAnsi="Cambria"/>
          <w:color w:val="000000"/>
          <w:sz w:val="16"/>
          <w:szCs w:val="16"/>
          <w:lang w:val="pt-BR" w:eastAsia="es-ES_tradnl"/>
        </w:rPr>
        <w:t xml:space="preserve">CIDH, Informe No. 41/21. Caso 13.642. </w:t>
      </w:r>
      <w:r w:rsidRPr="00136D54">
        <w:rPr>
          <w:rFonts w:ascii="Cambria" w:hAnsi="Cambria"/>
          <w:color w:val="000000"/>
          <w:sz w:val="16"/>
          <w:szCs w:val="16"/>
          <w:lang w:val="es-ES_tradnl" w:eastAsia="es-ES_tradnl"/>
        </w:rPr>
        <w:t>Solución Amistosa. Edgar José Sánchez Duarte y Familia. Colombia. 20 de marzo de 2021.</w:t>
      </w:r>
      <w:r w:rsidR="00863192">
        <w:rPr>
          <w:rFonts w:ascii="Cambria" w:hAnsi="Cambria"/>
          <w:color w:val="000000"/>
          <w:sz w:val="16"/>
          <w:szCs w:val="16"/>
          <w:lang w:val="es-ES_tradnl" w:eastAsia="es-ES_tradnl"/>
        </w:rPr>
        <w:t xml:space="preserve"> Disponible en:</w:t>
      </w:r>
      <w:r w:rsidRPr="00136D54">
        <w:rPr>
          <w:rFonts w:ascii="Cambria" w:hAnsi="Cambria"/>
          <w:color w:val="000000"/>
          <w:sz w:val="16"/>
          <w:szCs w:val="16"/>
          <w:lang w:val="es-ES_tradnl" w:eastAsia="es-ES_tradnl"/>
        </w:rPr>
        <w:t xml:space="preserve"> </w:t>
      </w:r>
      <w:hyperlink r:id="rId1" w:history="1">
        <w:r w:rsidRPr="00136D54">
          <w:rPr>
            <w:rStyle w:val="Hyperlink"/>
            <w:rFonts w:ascii="Cambria" w:hAnsi="Cambria"/>
            <w:sz w:val="16"/>
            <w:szCs w:val="16"/>
            <w:lang w:val="es-ES_tradnl" w:eastAsia="es-ES_tradnl"/>
          </w:rPr>
          <w:t>https://www.oas.org/es/cidh/decisiones/2021/COSA13.642ES.pdf</w:t>
        </w:r>
      </w:hyperlink>
      <w:r w:rsidR="00863192">
        <w:rPr>
          <w:rFonts w:ascii="Cambria" w:hAnsi="Cambria"/>
          <w:color w:val="000000"/>
          <w:sz w:val="16"/>
          <w:szCs w:val="16"/>
          <w:lang w:val="es-ES_tradnl" w:eastAsia="es-ES_tradnl"/>
        </w:rPr>
        <w:t>.</w:t>
      </w:r>
    </w:p>
  </w:footnote>
  <w:footnote w:id="3">
    <w:p w14:paraId="08463B40" w14:textId="5FFB6080" w:rsidR="00136D54" w:rsidRPr="00136D54" w:rsidRDefault="00136D54" w:rsidP="00D058A3">
      <w:pPr>
        <w:pStyle w:val="FootnoteText"/>
        <w:spacing w:after="0" w:line="240" w:lineRule="auto"/>
        <w:ind w:firstLine="709"/>
        <w:jc w:val="both"/>
        <w:rPr>
          <w:rFonts w:ascii="Cambria" w:hAnsi="Cambria"/>
          <w:sz w:val="16"/>
          <w:szCs w:val="16"/>
          <w:lang w:val="es-ES_tradnl"/>
        </w:rPr>
      </w:pPr>
      <w:r w:rsidRPr="00136D54">
        <w:rPr>
          <w:rStyle w:val="FootnoteReference"/>
          <w:rFonts w:ascii="Cambria" w:hAnsi="Cambria"/>
          <w:sz w:val="16"/>
          <w:szCs w:val="16"/>
        </w:rPr>
        <w:footnoteRef/>
      </w:r>
      <w:r w:rsidRPr="00454555">
        <w:rPr>
          <w:rFonts w:ascii="Cambria" w:hAnsi="Cambria"/>
          <w:sz w:val="16"/>
          <w:szCs w:val="16"/>
          <w:lang w:val="es-CO"/>
        </w:rPr>
        <w:t xml:space="preserve"> </w:t>
      </w:r>
      <w:r w:rsidRPr="00136D54">
        <w:rPr>
          <w:rFonts w:ascii="Cambria" w:hAnsi="Cambria"/>
          <w:sz w:val="16"/>
          <w:szCs w:val="16"/>
          <w:lang w:val="es-ES_tradnl"/>
        </w:rPr>
        <w:t xml:space="preserve">Ver CIDH, Informe Anual 2024, Capítulo II, Sección C. Avances y retrocesos en materia de negociación e implementación de acuerdos de solución amistosa. Disponible en: </w:t>
      </w:r>
      <w:hyperlink r:id="rId2" w:history="1">
        <w:r w:rsidRPr="00136D54">
          <w:rPr>
            <w:rStyle w:val="Hyperlink"/>
            <w:rFonts w:ascii="Cambria" w:hAnsi="Cambria"/>
            <w:sz w:val="16"/>
            <w:szCs w:val="16"/>
            <w:lang w:val="es-ES_tradnl"/>
          </w:rPr>
          <w:t>https://www.oas.org/es/cidh/docs/anual/2024/capitulos/IA2024_2_ES.pdf</w:t>
        </w:r>
      </w:hyperlink>
      <w:r w:rsidRPr="00136D54">
        <w:rPr>
          <w:rFonts w:ascii="Cambria" w:hAnsi="Cambria"/>
          <w:sz w:val="16"/>
          <w:szCs w:val="16"/>
          <w:lang w:val="es-ES_tradnl"/>
        </w:rPr>
        <w:t>.</w:t>
      </w:r>
    </w:p>
  </w:footnote>
  <w:footnote w:id="4">
    <w:p w14:paraId="4925515F" w14:textId="16C430C1" w:rsidR="00300DA5" w:rsidRPr="00863192" w:rsidRDefault="00300DA5" w:rsidP="00D058A3">
      <w:pPr>
        <w:pStyle w:val="ListParagraph"/>
        <w:spacing w:after="0" w:line="240" w:lineRule="auto"/>
        <w:ind w:left="0" w:firstLine="709"/>
        <w:contextualSpacing w:val="0"/>
        <w:jc w:val="both"/>
        <w:rPr>
          <w:rFonts w:ascii="Cambria" w:eastAsia="Times New Roman" w:hAnsi="Cambria"/>
          <w:sz w:val="16"/>
          <w:szCs w:val="16"/>
          <w:lang w:val="es-AR"/>
        </w:rPr>
      </w:pPr>
      <w:r w:rsidRPr="00136D54">
        <w:rPr>
          <w:rStyle w:val="FootnoteReference"/>
          <w:rFonts w:ascii="Cambria" w:hAnsi="Cambria"/>
          <w:sz w:val="16"/>
          <w:szCs w:val="16"/>
        </w:rPr>
        <w:footnoteRef/>
      </w:r>
      <w:r w:rsidRPr="00136D54">
        <w:rPr>
          <w:rFonts w:ascii="Cambria" w:hAnsi="Cambria"/>
          <w:sz w:val="16"/>
          <w:szCs w:val="16"/>
          <w:lang w:val="es-US"/>
        </w:rPr>
        <w:t xml:space="preserve"> </w:t>
      </w:r>
      <w:r w:rsidRPr="00136D54">
        <w:rPr>
          <w:rFonts w:ascii="Cambria" w:eastAsia="Times New Roman" w:hAnsi="Cambria"/>
          <w:color w:val="000000"/>
          <w:sz w:val="16"/>
          <w:szCs w:val="16"/>
          <w:lang w:val="es-ES"/>
        </w:rPr>
        <w:t xml:space="preserve">Ver </w:t>
      </w:r>
      <w:r w:rsidRPr="00136D54">
        <w:rPr>
          <w:rFonts w:ascii="Cambria" w:eastAsia="Times New Roman" w:hAnsi="Cambria"/>
          <w:sz w:val="16"/>
          <w:szCs w:val="16"/>
          <w:lang w:val="es-ES"/>
        </w:rPr>
        <w:t xml:space="preserve">CIDH, </w:t>
      </w:r>
      <w:r w:rsidRPr="00863192">
        <w:rPr>
          <w:rFonts w:ascii="Cambria" w:eastAsia="Times New Roman" w:hAnsi="Cambria"/>
          <w:sz w:val="16"/>
          <w:szCs w:val="16"/>
          <w:lang w:val="es-ES"/>
        </w:rPr>
        <w:t>Informe Anual 2023, Capítulo II, Sección C</w:t>
      </w:r>
      <w:r w:rsidR="00863192">
        <w:rPr>
          <w:rFonts w:ascii="Cambria" w:eastAsia="Times New Roman" w:hAnsi="Cambria"/>
          <w:sz w:val="16"/>
          <w:szCs w:val="16"/>
          <w:lang w:val="es-ES"/>
        </w:rPr>
        <w:t>.</w:t>
      </w:r>
      <w:r w:rsidRPr="00863192">
        <w:rPr>
          <w:rFonts w:ascii="Cambria" w:eastAsia="Times New Roman" w:hAnsi="Cambria"/>
          <w:sz w:val="16"/>
          <w:szCs w:val="16"/>
          <w:lang w:val="es-ES"/>
        </w:rPr>
        <w:t xml:space="preserve"> Avances y retrocesos en materia de negociación e implementación de acuerdos de solución amistosa</w:t>
      </w:r>
      <w:r w:rsidR="00863192">
        <w:rPr>
          <w:rFonts w:ascii="Cambria" w:eastAsia="Times New Roman" w:hAnsi="Cambria"/>
          <w:sz w:val="16"/>
          <w:szCs w:val="16"/>
          <w:lang w:val="es-AR"/>
        </w:rPr>
        <w:t xml:space="preserve">. Disponible en </w:t>
      </w:r>
      <w:hyperlink r:id="rId3" w:history="1">
        <w:r w:rsidR="00863192" w:rsidRPr="00197828">
          <w:rPr>
            <w:rStyle w:val="Hyperlink"/>
            <w:rFonts w:ascii="Cambria" w:eastAsia="Times New Roman" w:hAnsi="Cambria"/>
            <w:sz w:val="16"/>
            <w:szCs w:val="16"/>
            <w:lang w:val="es-AR"/>
          </w:rPr>
          <w:t>https://www.oas.org/es/cidh/docs/anual/2023/capitulos/IA2023_Cap_2_SPA.PDF</w:t>
        </w:r>
      </w:hyperlink>
      <w:r w:rsidR="00863192">
        <w:rPr>
          <w:rFonts w:ascii="Cambria" w:eastAsia="Times New Roman" w:hAnsi="Cambria"/>
          <w:sz w:val="16"/>
          <w:szCs w:val="16"/>
          <w:lang w:val="es-AR"/>
        </w:rPr>
        <w:t xml:space="preserve">. </w:t>
      </w:r>
    </w:p>
  </w:footnote>
  <w:footnote w:id="5">
    <w:p w14:paraId="62798E37" w14:textId="6F184530" w:rsidR="00136D54" w:rsidRPr="00136D54" w:rsidRDefault="00136D54" w:rsidP="00D058A3">
      <w:pPr>
        <w:pStyle w:val="FootnoteText"/>
        <w:spacing w:after="0" w:line="240" w:lineRule="auto"/>
        <w:ind w:firstLine="709"/>
        <w:jc w:val="both"/>
        <w:rPr>
          <w:rFonts w:ascii="Cambria" w:hAnsi="Cambria"/>
          <w:sz w:val="16"/>
          <w:szCs w:val="16"/>
          <w:lang w:val="es-ES_tradnl"/>
        </w:rPr>
      </w:pPr>
      <w:r w:rsidRPr="00136D54">
        <w:rPr>
          <w:rStyle w:val="FootnoteReference"/>
          <w:rFonts w:ascii="Cambria" w:hAnsi="Cambria"/>
          <w:sz w:val="16"/>
          <w:szCs w:val="16"/>
        </w:rPr>
        <w:footnoteRef/>
      </w:r>
      <w:r w:rsidRPr="00454555">
        <w:rPr>
          <w:rFonts w:ascii="Cambria" w:hAnsi="Cambria"/>
          <w:sz w:val="16"/>
          <w:szCs w:val="16"/>
          <w:lang w:val="es-CO"/>
        </w:rPr>
        <w:t xml:space="preserve"> </w:t>
      </w:r>
      <w:r w:rsidRPr="00136D54">
        <w:rPr>
          <w:rFonts w:ascii="Cambria" w:hAnsi="Cambria"/>
          <w:sz w:val="16"/>
          <w:szCs w:val="16"/>
          <w:lang w:val="es-ES_tradnl"/>
        </w:rPr>
        <w:t xml:space="preserve">Ver CIDH, Informe Anual 2024, Capítulo II, Sección C. Avances y retrocesos en materia de negociación e implementación de acuerdos de solución amistosa. Disponible en: </w:t>
      </w:r>
      <w:hyperlink r:id="rId4" w:history="1">
        <w:r w:rsidRPr="00136D54">
          <w:rPr>
            <w:rStyle w:val="Hyperlink"/>
            <w:rFonts w:ascii="Cambria" w:hAnsi="Cambria"/>
            <w:sz w:val="16"/>
            <w:szCs w:val="16"/>
            <w:lang w:val="es-ES_tradnl"/>
          </w:rPr>
          <w:t>https://www.oas.org/es/cidh/docs/anual/2024/capitulos/IA2024_2_ES.pdf</w:t>
        </w:r>
      </w:hyperlink>
      <w:r w:rsidRPr="00136D54">
        <w:rPr>
          <w:rFonts w:ascii="Cambria" w:hAnsi="Cambria"/>
          <w:sz w:val="16"/>
          <w:szCs w:val="16"/>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A961C" w14:textId="77777777" w:rsidR="00106C59" w:rsidRDefault="00106C59">
    <w:pPr>
      <w:pStyle w:val="Header"/>
    </w:pPr>
  </w:p>
  <w:p w14:paraId="7A8D6957" w14:textId="77777777" w:rsidR="00FC0266" w:rsidRDefault="00FC02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A6343" w14:textId="51179071" w:rsidR="006F0429" w:rsidRDefault="00911130" w:rsidP="00234F67">
    <w:pPr>
      <w:pStyle w:val="Header"/>
      <w:jc w:val="center"/>
      <w:rPr>
        <w:lang w:val="es-ES_tradnl"/>
      </w:rPr>
    </w:pPr>
    <w:r>
      <w:rPr>
        <w:noProof/>
        <w:lang w:val="es-ES_tradnl"/>
      </w:rPr>
      <w:drawing>
        <wp:inline distT="0" distB="0" distL="0" distR="0" wp14:anchorId="4F57ACAC" wp14:editId="71881B59">
          <wp:extent cx="2286000" cy="12827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8270"/>
                  </a:xfrm>
                  <a:prstGeom prst="rect">
                    <a:avLst/>
                  </a:prstGeom>
                  <a:noFill/>
                  <a:ln>
                    <a:noFill/>
                  </a:ln>
                </pic:spPr>
              </pic:pic>
            </a:graphicData>
          </a:graphic>
        </wp:inline>
      </w:drawing>
    </w:r>
  </w:p>
  <w:p w14:paraId="3E45D931" w14:textId="4E37EE77" w:rsidR="00454555" w:rsidRPr="00234F67" w:rsidRDefault="00E659E5" w:rsidP="00234F67">
    <w:pPr>
      <w:pStyle w:val="Header"/>
      <w:jc w:val="center"/>
      <w:rPr>
        <w:lang w:val="es-ES_tradnl"/>
      </w:rPr>
    </w:pPr>
    <w:bookmarkStart w:id="1" w:name="_Hlk204342513"/>
    <w:r>
      <w:rPr>
        <w:noProof/>
      </w:rPr>
      <w:pict w14:anchorId="18AA096A">
        <v:rect id="_x0000_i1025" alt="" style="width:441.9pt;height:.05pt;mso-width-percent:0;mso-height-percent:0;mso-width-percent:0;mso-height-percent:0" o:hralign="center" o:hrstd="t" o:hr="t" fillcolor="#a0a0a0" stroked="f"/>
      </w:pict>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DC37" w14:textId="0FD5FDB0" w:rsidR="00234F67" w:rsidRDefault="00234F67" w:rsidP="00234F67">
    <w:pPr>
      <w:pStyle w:val="Header"/>
    </w:pPr>
    <w:r w:rsidRPr="008A5CB5">
      <w:rPr>
        <w:noProof/>
      </w:rPr>
      <w:drawing>
        <wp:inline distT="0" distB="0" distL="0" distR="0" wp14:anchorId="37DC95C8" wp14:editId="246AFE5D">
          <wp:extent cx="2352675" cy="452120"/>
          <wp:effectExtent l="0" t="0" r="0" b="0"/>
          <wp:docPr id="3" name="Picture 1" descr="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2120"/>
                  </a:xfrm>
                  <a:prstGeom prst="rect">
                    <a:avLst/>
                  </a:prstGeom>
                  <a:noFill/>
                  <a:ln>
                    <a:noFill/>
                  </a:ln>
                </pic:spPr>
              </pic:pic>
            </a:graphicData>
          </a:graphic>
        </wp:inline>
      </w:drawing>
    </w:r>
    <w:r>
      <w:tab/>
    </w:r>
    <w:r>
      <w:tab/>
    </w:r>
    <w:r>
      <w:rPr>
        <w:noProof/>
      </w:rPr>
      <w:drawing>
        <wp:inline distT="0" distB="0" distL="0" distR="0" wp14:anchorId="37ACEE0F" wp14:editId="003578BD">
          <wp:extent cx="1943100" cy="495300"/>
          <wp:effectExtent l="0" t="0" r="0" b="0"/>
          <wp:docPr id="55000548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780C5555" w14:textId="5C08CCEA" w:rsidR="00D13990" w:rsidRDefault="00E659E5" w:rsidP="00D13990">
    <w:pPr>
      <w:pStyle w:val="Header"/>
    </w:pPr>
    <w:r>
      <w:rPr>
        <w:noProof/>
      </w:rPr>
      <w:pict w14:anchorId="1E65A27C">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91754"/>
    <w:multiLevelType w:val="hybridMultilevel"/>
    <w:tmpl w:val="BBF0671E"/>
    <w:lvl w:ilvl="0" w:tplc="04090015">
      <w:start w:val="1"/>
      <w:numFmt w:val="upp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17500734"/>
    <w:multiLevelType w:val="multilevel"/>
    <w:tmpl w:val="1BDAC532"/>
    <w:lvl w:ilvl="0">
      <w:start w:val="1"/>
      <w:numFmt w:val="decimal"/>
      <w:lvlText w:val="%1."/>
      <w:lvlJc w:val="left"/>
      <w:pPr>
        <w:ind w:left="1080" w:hanging="360"/>
      </w:pPr>
      <w:rPr>
        <w:rFonts w:ascii="Cambria" w:hAnsi="Cambria" w:hint="default"/>
        <w:sz w:val="20"/>
        <w:szCs w:val="20"/>
      </w:rPr>
    </w:lvl>
    <w:lvl w:ilvl="1">
      <w:start w:val="1"/>
      <w:numFmt w:val="decimal"/>
      <w:isLgl/>
      <w:lvlText w:val="%1.%2"/>
      <w:lvlJc w:val="left"/>
      <w:pPr>
        <w:ind w:left="36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90490"/>
    <w:multiLevelType w:val="multilevel"/>
    <w:tmpl w:val="01BCC258"/>
    <w:lvl w:ilvl="0">
      <w:start w:val="1"/>
      <w:numFmt w:val="upperRoman"/>
      <w:lvlText w:val="%1."/>
      <w:lvlJc w:val="left"/>
      <w:pPr>
        <w:tabs>
          <w:tab w:val="num" w:pos="720"/>
        </w:tabs>
        <w:ind w:left="1440" w:hanging="72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1A607C2"/>
    <w:multiLevelType w:val="hybridMultilevel"/>
    <w:tmpl w:val="47D04940"/>
    <w:lvl w:ilvl="0" w:tplc="7C345A0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49570A6"/>
    <w:multiLevelType w:val="multilevel"/>
    <w:tmpl w:val="6EF4020A"/>
    <w:lvl w:ilvl="0">
      <w:start w:val="1"/>
      <w:numFmt w:val="decimal"/>
      <w:pStyle w:val="IASubttulo3"/>
      <w:lvlText w:val="%1."/>
      <w:lvlJc w:val="left"/>
      <w:pPr>
        <w:tabs>
          <w:tab w:val="num" w:pos="720"/>
        </w:tabs>
        <w:ind w:left="1440" w:hanging="72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8326322">
    <w:abstractNumId w:val="2"/>
  </w:num>
  <w:num w:numId="2" w16cid:durableId="511534976">
    <w:abstractNumId w:val="5"/>
  </w:num>
  <w:num w:numId="3" w16cid:durableId="1700620559">
    <w:abstractNumId w:val="1"/>
  </w:num>
  <w:num w:numId="4" w16cid:durableId="692615819">
    <w:abstractNumId w:val="4"/>
  </w:num>
  <w:num w:numId="5" w16cid:durableId="41249544">
    <w:abstractNumId w:val="0"/>
  </w:num>
  <w:num w:numId="6" w16cid:durableId="13825607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121F"/>
    <w:rsid w:val="00004375"/>
    <w:rsid w:val="0001720F"/>
    <w:rsid w:val="00025979"/>
    <w:rsid w:val="00031E01"/>
    <w:rsid w:val="00033B04"/>
    <w:rsid w:val="00035689"/>
    <w:rsid w:val="00037EE7"/>
    <w:rsid w:val="0005228B"/>
    <w:rsid w:val="0006625E"/>
    <w:rsid w:val="00074C00"/>
    <w:rsid w:val="00082741"/>
    <w:rsid w:val="00082B16"/>
    <w:rsid w:val="000840A1"/>
    <w:rsid w:val="00087C10"/>
    <w:rsid w:val="000A1EFD"/>
    <w:rsid w:val="000D73E4"/>
    <w:rsid w:val="000F4520"/>
    <w:rsid w:val="0010578C"/>
    <w:rsid w:val="00106C59"/>
    <w:rsid w:val="00136D54"/>
    <w:rsid w:val="00151983"/>
    <w:rsid w:val="0015583C"/>
    <w:rsid w:val="00163E52"/>
    <w:rsid w:val="00183508"/>
    <w:rsid w:val="00193906"/>
    <w:rsid w:val="001C0A6D"/>
    <w:rsid w:val="001C230A"/>
    <w:rsid w:val="001D1546"/>
    <w:rsid w:val="001D1664"/>
    <w:rsid w:val="001F495A"/>
    <w:rsid w:val="0021669C"/>
    <w:rsid w:val="00217A39"/>
    <w:rsid w:val="00217F58"/>
    <w:rsid w:val="00234F67"/>
    <w:rsid w:val="00250058"/>
    <w:rsid w:val="0025651E"/>
    <w:rsid w:val="002659F6"/>
    <w:rsid w:val="002A1ED6"/>
    <w:rsid w:val="002A39B2"/>
    <w:rsid w:val="002A7539"/>
    <w:rsid w:val="002B0B2A"/>
    <w:rsid w:val="002C446E"/>
    <w:rsid w:val="00300DA5"/>
    <w:rsid w:val="00301A2A"/>
    <w:rsid w:val="0030543F"/>
    <w:rsid w:val="0032092C"/>
    <w:rsid w:val="003358E6"/>
    <w:rsid w:val="00336E4E"/>
    <w:rsid w:val="003412B2"/>
    <w:rsid w:val="00360412"/>
    <w:rsid w:val="00363E14"/>
    <w:rsid w:val="00393310"/>
    <w:rsid w:val="003A00B1"/>
    <w:rsid w:val="003D4630"/>
    <w:rsid w:val="003E3690"/>
    <w:rsid w:val="003E4B42"/>
    <w:rsid w:val="003F417D"/>
    <w:rsid w:val="0040037B"/>
    <w:rsid w:val="00403841"/>
    <w:rsid w:val="0041423F"/>
    <w:rsid w:val="00450646"/>
    <w:rsid w:val="00454555"/>
    <w:rsid w:val="004633EB"/>
    <w:rsid w:val="0047175E"/>
    <w:rsid w:val="00483B3C"/>
    <w:rsid w:val="00483CF7"/>
    <w:rsid w:val="00486911"/>
    <w:rsid w:val="004A15BA"/>
    <w:rsid w:val="004A4561"/>
    <w:rsid w:val="004A4FAC"/>
    <w:rsid w:val="004C4D9C"/>
    <w:rsid w:val="004D7999"/>
    <w:rsid w:val="004F3B49"/>
    <w:rsid w:val="00513A38"/>
    <w:rsid w:val="00525898"/>
    <w:rsid w:val="00533294"/>
    <w:rsid w:val="00537F2F"/>
    <w:rsid w:val="005664CA"/>
    <w:rsid w:val="0058688A"/>
    <w:rsid w:val="00590BCD"/>
    <w:rsid w:val="0059345C"/>
    <w:rsid w:val="005B23B6"/>
    <w:rsid w:val="005C4307"/>
    <w:rsid w:val="005C5563"/>
    <w:rsid w:val="005D1113"/>
    <w:rsid w:val="005D1DC2"/>
    <w:rsid w:val="005E11CE"/>
    <w:rsid w:val="005E6CF2"/>
    <w:rsid w:val="005F4AAA"/>
    <w:rsid w:val="00604132"/>
    <w:rsid w:val="00604F1C"/>
    <w:rsid w:val="00627C9D"/>
    <w:rsid w:val="00650D57"/>
    <w:rsid w:val="006518D8"/>
    <w:rsid w:val="006753A9"/>
    <w:rsid w:val="006929AA"/>
    <w:rsid w:val="0069586A"/>
    <w:rsid w:val="006964C0"/>
    <w:rsid w:val="006A592E"/>
    <w:rsid w:val="006A66AC"/>
    <w:rsid w:val="006A6CAF"/>
    <w:rsid w:val="006B3D07"/>
    <w:rsid w:val="006D2360"/>
    <w:rsid w:val="006D623A"/>
    <w:rsid w:val="006E0736"/>
    <w:rsid w:val="006F0429"/>
    <w:rsid w:val="0070714C"/>
    <w:rsid w:val="0073374A"/>
    <w:rsid w:val="00741FC9"/>
    <w:rsid w:val="00745807"/>
    <w:rsid w:val="00751991"/>
    <w:rsid w:val="007546B7"/>
    <w:rsid w:val="007779B2"/>
    <w:rsid w:val="0078116D"/>
    <w:rsid w:val="00783682"/>
    <w:rsid w:val="0078691F"/>
    <w:rsid w:val="007A6889"/>
    <w:rsid w:val="007B23CA"/>
    <w:rsid w:val="007B6F7C"/>
    <w:rsid w:val="007C2CC3"/>
    <w:rsid w:val="007C351D"/>
    <w:rsid w:val="007D543E"/>
    <w:rsid w:val="007E3059"/>
    <w:rsid w:val="007E346D"/>
    <w:rsid w:val="007E4ED5"/>
    <w:rsid w:val="007E7421"/>
    <w:rsid w:val="007F5A92"/>
    <w:rsid w:val="007F5F4E"/>
    <w:rsid w:val="007F7616"/>
    <w:rsid w:val="0080116E"/>
    <w:rsid w:val="008012A4"/>
    <w:rsid w:val="008060DE"/>
    <w:rsid w:val="00807BAA"/>
    <w:rsid w:val="008437F1"/>
    <w:rsid w:val="00847C08"/>
    <w:rsid w:val="00853897"/>
    <w:rsid w:val="00854C6B"/>
    <w:rsid w:val="008550EF"/>
    <w:rsid w:val="00863192"/>
    <w:rsid w:val="008776EB"/>
    <w:rsid w:val="0089637D"/>
    <w:rsid w:val="008A3BA4"/>
    <w:rsid w:val="008E1A23"/>
    <w:rsid w:val="008E72CA"/>
    <w:rsid w:val="00911130"/>
    <w:rsid w:val="00913BF3"/>
    <w:rsid w:val="00917950"/>
    <w:rsid w:val="00931D14"/>
    <w:rsid w:val="009331A5"/>
    <w:rsid w:val="00933A89"/>
    <w:rsid w:val="00944F57"/>
    <w:rsid w:val="009477D5"/>
    <w:rsid w:val="009603DF"/>
    <w:rsid w:val="00977EF7"/>
    <w:rsid w:val="00985247"/>
    <w:rsid w:val="009A542A"/>
    <w:rsid w:val="009B480D"/>
    <w:rsid w:val="009C4D87"/>
    <w:rsid w:val="009D20DE"/>
    <w:rsid w:val="009D3412"/>
    <w:rsid w:val="009D4C34"/>
    <w:rsid w:val="009D50E2"/>
    <w:rsid w:val="009F0FEB"/>
    <w:rsid w:val="009F1C70"/>
    <w:rsid w:val="009F4D7F"/>
    <w:rsid w:val="00A01DB8"/>
    <w:rsid w:val="00A04865"/>
    <w:rsid w:val="00A04F19"/>
    <w:rsid w:val="00A13D4B"/>
    <w:rsid w:val="00A25CA7"/>
    <w:rsid w:val="00A343FF"/>
    <w:rsid w:val="00A412C2"/>
    <w:rsid w:val="00A47FF7"/>
    <w:rsid w:val="00A558AC"/>
    <w:rsid w:val="00A67075"/>
    <w:rsid w:val="00A72869"/>
    <w:rsid w:val="00A77EA6"/>
    <w:rsid w:val="00A84954"/>
    <w:rsid w:val="00A92CB9"/>
    <w:rsid w:val="00A942E0"/>
    <w:rsid w:val="00AC2BAD"/>
    <w:rsid w:val="00AC7559"/>
    <w:rsid w:val="00AD1BAE"/>
    <w:rsid w:val="00AE1B0F"/>
    <w:rsid w:val="00AE6BE2"/>
    <w:rsid w:val="00AF0CEC"/>
    <w:rsid w:val="00B056D9"/>
    <w:rsid w:val="00B2161A"/>
    <w:rsid w:val="00B37978"/>
    <w:rsid w:val="00B46E94"/>
    <w:rsid w:val="00B5680B"/>
    <w:rsid w:val="00B703B3"/>
    <w:rsid w:val="00B75824"/>
    <w:rsid w:val="00B806AC"/>
    <w:rsid w:val="00B8676D"/>
    <w:rsid w:val="00B90B9D"/>
    <w:rsid w:val="00B91D8E"/>
    <w:rsid w:val="00B93993"/>
    <w:rsid w:val="00BE2369"/>
    <w:rsid w:val="00BF33B2"/>
    <w:rsid w:val="00C04C07"/>
    <w:rsid w:val="00C1382E"/>
    <w:rsid w:val="00C40F2C"/>
    <w:rsid w:val="00C5546C"/>
    <w:rsid w:val="00C70DD0"/>
    <w:rsid w:val="00C74AF5"/>
    <w:rsid w:val="00CA2777"/>
    <w:rsid w:val="00CA3AA8"/>
    <w:rsid w:val="00CB65EF"/>
    <w:rsid w:val="00CC4274"/>
    <w:rsid w:val="00CC722B"/>
    <w:rsid w:val="00CE4E6F"/>
    <w:rsid w:val="00D058A3"/>
    <w:rsid w:val="00D05BCC"/>
    <w:rsid w:val="00D13990"/>
    <w:rsid w:val="00D222B7"/>
    <w:rsid w:val="00D36A3D"/>
    <w:rsid w:val="00D5166A"/>
    <w:rsid w:val="00D60CAC"/>
    <w:rsid w:val="00D82E91"/>
    <w:rsid w:val="00DA4CEB"/>
    <w:rsid w:val="00DD4F27"/>
    <w:rsid w:val="00DD7443"/>
    <w:rsid w:val="00DF0FE5"/>
    <w:rsid w:val="00E04605"/>
    <w:rsid w:val="00E06D52"/>
    <w:rsid w:val="00E2035C"/>
    <w:rsid w:val="00E24DFC"/>
    <w:rsid w:val="00E26E89"/>
    <w:rsid w:val="00E274AA"/>
    <w:rsid w:val="00E3040C"/>
    <w:rsid w:val="00E30888"/>
    <w:rsid w:val="00E43B1F"/>
    <w:rsid w:val="00E5030A"/>
    <w:rsid w:val="00E52331"/>
    <w:rsid w:val="00E62255"/>
    <w:rsid w:val="00E659E5"/>
    <w:rsid w:val="00E77756"/>
    <w:rsid w:val="00E82EF8"/>
    <w:rsid w:val="00EB3ACF"/>
    <w:rsid w:val="00EC03C5"/>
    <w:rsid w:val="00EC2F8A"/>
    <w:rsid w:val="00EC64BF"/>
    <w:rsid w:val="00ED4C58"/>
    <w:rsid w:val="00ED518E"/>
    <w:rsid w:val="00EF1BD7"/>
    <w:rsid w:val="00F0294F"/>
    <w:rsid w:val="00F06E69"/>
    <w:rsid w:val="00F07B09"/>
    <w:rsid w:val="00F16469"/>
    <w:rsid w:val="00F267EC"/>
    <w:rsid w:val="00F306C1"/>
    <w:rsid w:val="00F3661B"/>
    <w:rsid w:val="00F47E8A"/>
    <w:rsid w:val="00F52F31"/>
    <w:rsid w:val="00F54F60"/>
    <w:rsid w:val="00F66FEE"/>
    <w:rsid w:val="00F72E41"/>
    <w:rsid w:val="00F73F29"/>
    <w:rsid w:val="00F80DF4"/>
    <w:rsid w:val="00FB48F2"/>
    <w:rsid w:val="00FC0266"/>
    <w:rsid w:val="00FC66C2"/>
    <w:rsid w:val="00FD09E6"/>
    <w:rsid w:val="00FD7ED8"/>
    <w:rsid w:val="00FF46A4"/>
    <w:rsid w:val="00FF53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F1D97"/>
  <w15:chartTrackingRefBased/>
  <w15:docId w15:val="{F7221561-102B-004D-829C-7EDAF8C5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val="en-US"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basedOn w:val="Normal"/>
    <w:link w:val="FootnoteTextChar"/>
    <w:uiPriority w:val="99"/>
    <w:semiHidden/>
    <w:unhideWhenUsed/>
    <w:rsid w:val="007B23CA"/>
    <w:rPr>
      <w:sz w:val="20"/>
      <w:szCs w:val="20"/>
    </w:rPr>
  </w:style>
  <w:style w:type="character" w:customStyle="1" w:styleId="FootnoteTextChar">
    <w:name w:val="Footnote Text Char"/>
    <w:link w:val="FootnoteText"/>
    <w:uiPriority w:val="99"/>
    <w:semiHidden/>
    <w:rsid w:val="007B23CA"/>
    <w:rPr>
      <w:lang w:val="en-US" w:eastAsia="en-US"/>
    </w:rPr>
  </w:style>
  <w:style w:type="character" w:styleId="Hyperlink">
    <w:name w:val="Hyperlink"/>
    <w:uiPriority w:val="99"/>
    <w:unhideWhenUsed/>
    <w:rsid w:val="0073374A"/>
    <w:rPr>
      <w:color w:val="467886"/>
      <w:u w:val="single"/>
    </w:rPr>
  </w:style>
  <w:style w:type="character" w:styleId="UnresolvedMention">
    <w:name w:val="Unresolved Mention"/>
    <w:uiPriority w:val="99"/>
    <w:semiHidden/>
    <w:unhideWhenUsed/>
    <w:rsid w:val="0073374A"/>
    <w:rPr>
      <w:color w:val="605E5C"/>
      <w:shd w:val="clear" w:color="auto" w:fill="E1DFDD"/>
    </w:rPr>
  </w:style>
  <w:style w:type="paragraph" w:styleId="ListParagraph">
    <w:name w:val="List Paragraph"/>
    <w:aliases w:val="Párrafo de lista1,List Paragraph1,Colorful List - Accent 11,List Paragraph11,Lista vistosa - Énfasis 11,Parragrap,Superíndice,Dot pt,No Spacing1,List Paragraph Char Char Char,Indicator Text,Numbered Para 1,4 Párrafo de lista,Figuras"/>
    <w:basedOn w:val="Normal"/>
    <w:link w:val="ListParagraphChar"/>
    <w:uiPriority w:val="34"/>
    <w:qFormat/>
    <w:rsid w:val="00E43B1F"/>
    <w:pPr>
      <w:ind w:left="720"/>
      <w:contextualSpacing/>
    </w:pPr>
  </w:style>
  <w:style w:type="character" w:styleId="FollowedHyperlink">
    <w:name w:val="FollowedHyperlink"/>
    <w:basedOn w:val="DefaultParagraphFont"/>
    <w:uiPriority w:val="99"/>
    <w:semiHidden/>
    <w:unhideWhenUsed/>
    <w:rsid w:val="009F4D7F"/>
    <w:rPr>
      <w:color w:val="96607D" w:themeColor="followedHyperlink"/>
      <w:u w:val="single"/>
    </w:rPr>
  </w:style>
  <w:style w:type="character" w:customStyle="1" w:styleId="ListParagraphChar">
    <w:name w:val="List Paragraph Char"/>
    <w:aliases w:val="Párrafo de lista1 Char,List Paragraph1 Char,Colorful List - Accent 11 Char,List Paragraph11 Char,Lista vistosa - Énfasis 11 Char,Parragrap Char,Superíndice Char,Dot pt Char,No Spacing1 Char,List Paragraph Char Char Char Char"/>
    <w:link w:val="ListParagraph"/>
    <w:uiPriority w:val="34"/>
    <w:locked/>
    <w:rsid w:val="00627C9D"/>
    <w:rPr>
      <w:sz w:val="22"/>
      <w:szCs w:val="22"/>
      <w:lang w:val="en-US" w:eastAsia="en-US"/>
    </w:rPr>
  </w:style>
  <w:style w:type="paragraph" w:customStyle="1" w:styleId="IATtulo">
    <w:name w:val="IA   Título"/>
    <w:basedOn w:val="List"/>
    <w:link w:val="IATtuloChar"/>
    <w:qFormat/>
    <w:rsid w:val="00F3661B"/>
    <w:pPr>
      <w:suppressAutoHyphens/>
      <w:spacing w:after="240" w:line="240" w:lineRule="auto"/>
      <w:ind w:left="0" w:firstLine="0"/>
      <w:contextualSpacing w:val="0"/>
    </w:pPr>
    <w:rPr>
      <w:rFonts w:ascii="Cambria" w:hAnsi="Cambria"/>
      <w:b/>
      <w:caps/>
      <w:color w:val="000000"/>
    </w:rPr>
  </w:style>
  <w:style w:type="paragraph" w:customStyle="1" w:styleId="IASubttulo3">
    <w:name w:val="IA  Subtítulo 3"/>
    <w:basedOn w:val="List"/>
    <w:qFormat/>
    <w:rsid w:val="00F3661B"/>
    <w:pPr>
      <w:numPr>
        <w:numId w:val="2"/>
      </w:numPr>
      <w:tabs>
        <w:tab w:val="clear" w:pos="720"/>
        <w:tab w:val="num" w:pos="360"/>
      </w:tabs>
      <w:suppressAutoHyphens/>
      <w:spacing w:after="240" w:line="240" w:lineRule="auto"/>
      <w:ind w:left="283" w:hanging="283"/>
      <w:contextualSpacing w:val="0"/>
    </w:pPr>
    <w:rPr>
      <w:rFonts w:ascii="Cambria" w:hAnsi="Cambria"/>
      <w:b/>
      <w:color w:val="000000"/>
      <w:sz w:val="20"/>
    </w:rPr>
  </w:style>
  <w:style w:type="paragraph" w:styleId="List">
    <w:name w:val="List"/>
    <w:basedOn w:val="Normal"/>
    <w:uiPriority w:val="99"/>
    <w:semiHidden/>
    <w:unhideWhenUsed/>
    <w:rsid w:val="00F3661B"/>
    <w:pPr>
      <w:ind w:left="283" w:hanging="283"/>
      <w:contextualSpacing/>
    </w:pPr>
  </w:style>
  <w:style w:type="character" w:customStyle="1" w:styleId="IATtuloChar">
    <w:name w:val="IA   Título Char"/>
    <w:basedOn w:val="DefaultParagraphFont"/>
    <w:link w:val="IATtulo"/>
    <w:rsid w:val="00300DA5"/>
    <w:rPr>
      <w:rFonts w:ascii="Cambria" w:hAnsi="Cambria"/>
      <w:b/>
      <w:caps/>
      <w:color w:val="000000"/>
      <w:sz w:val="22"/>
      <w:szCs w:val="22"/>
      <w:lang w:val="en-US" w:eastAsia="en-US"/>
    </w:rPr>
  </w:style>
  <w:style w:type="character" w:styleId="CommentReference">
    <w:name w:val="annotation reference"/>
    <w:basedOn w:val="DefaultParagraphFont"/>
    <w:uiPriority w:val="99"/>
    <w:semiHidden/>
    <w:unhideWhenUsed/>
    <w:rsid w:val="003F417D"/>
    <w:rPr>
      <w:sz w:val="16"/>
      <w:szCs w:val="16"/>
    </w:rPr>
  </w:style>
  <w:style w:type="paragraph" w:styleId="CommentText">
    <w:name w:val="annotation text"/>
    <w:basedOn w:val="Normal"/>
    <w:link w:val="CommentTextChar"/>
    <w:uiPriority w:val="99"/>
    <w:semiHidden/>
    <w:unhideWhenUsed/>
    <w:rsid w:val="003F417D"/>
    <w:pPr>
      <w:spacing w:line="240" w:lineRule="auto"/>
    </w:pPr>
    <w:rPr>
      <w:sz w:val="20"/>
      <w:szCs w:val="20"/>
    </w:rPr>
  </w:style>
  <w:style w:type="character" w:customStyle="1" w:styleId="CommentTextChar">
    <w:name w:val="Comment Text Char"/>
    <w:basedOn w:val="DefaultParagraphFont"/>
    <w:link w:val="CommentText"/>
    <w:uiPriority w:val="99"/>
    <w:semiHidden/>
    <w:rsid w:val="003F417D"/>
    <w:rPr>
      <w:lang w:val="en-US" w:eastAsia="en-US"/>
    </w:rPr>
  </w:style>
  <w:style w:type="paragraph" w:styleId="CommentSubject">
    <w:name w:val="annotation subject"/>
    <w:basedOn w:val="CommentText"/>
    <w:next w:val="CommentText"/>
    <w:link w:val="CommentSubjectChar"/>
    <w:uiPriority w:val="99"/>
    <w:semiHidden/>
    <w:unhideWhenUsed/>
    <w:rsid w:val="003F417D"/>
    <w:rPr>
      <w:b/>
      <w:bCs/>
    </w:rPr>
  </w:style>
  <w:style w:type="character" w:customStyle="1" w:styleId="CommentSubjectChar">
    <w:name w:val="Comment Subject Char"/>
    <w:basedOn w:val="CommentTextChar"/>
    <w:link w:val="CommentSubject"/>
    <w:uiPriority w:val="99"/>
    <w:semiHidden/>
    <w:rsid w:val="003F417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as.org/es/cidh/decisiones/2018/COAD190-07E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oas.org/es/cidh/decisiones/2021/COSA13.642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as.org/es/cidh/decisiones/2021/COSA13.642ES.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ocs/anual/2023/capitulos/IA2023_Cap_2_SPA.PDF" TargetMode="External"/><Relationship Id="rId2" Type="http://schemas.openxmlformats.org/officeDocument/2006/relationships/hyperlink" Target="https://www.oas.org/es/cidh/docs/anual/2024/capitulos/IA2024_2_ES.pdf" TargetMode="External"/><Relationship Id="rId1" Type="http://schemas.openxmlformats.org/officeDocument/2006/relationships/hyperlink" Target="https://www.oas.org/es/cidh/decisiones/2021/COSA13.642ES.pdf" TargetMode="External"/><Relationship Id="rId4" Type="http://schemas.openxmlformats.org/officeDocument/2006/relationships/hyperlink" Target="https://www.oas.org/es/cidh/docs/anual/2024/capitulos/IA2024_2_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C0C57-7561-48D7-A4DF-A7BD1607B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3.xml><?xml version="1.0" encoding="utf-8"?>
<ds:datastoreItem xmlns:ds="http://schemas.openxmlformats.org/officeDocument/2006/customXml" ds:itemID="{E52314F0-43F2-4FE7-BE46-EFAE1A965085}">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5.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Cartas-es.dotx</Template>
  <TotalTime>5</TotalTime>
  <Pages>5</Pages>
  <Words>1609</Words>
  <Characters>9172</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10760</CharactersWithSpaces>
  <SharedDoc>false</SharedDoc>
  <HLinks>
    <vt:vector size="72" baseType="variant">
      <vt:variant>
        <vt:i4>6357096</vt:i4>
      </vt:variant>
      <vt:variant>
        <vt:i4>6</vt:i4>
      </vt:variant>
      <vt:variant>
        <vt:i4>0</vt:i4>
      </vt:variant>
      <vt:variant>
        <vt:i4>5</vt:i4>
      </vt:variant>
      <vt:variant>
        <vt:lpwstr>http://www.oas.org/es/cidh/decisiones/2013/VESA12473ES.doc</vt:lpwstr>
      </vt:variant>
      <vt:variant>
        <vt:lpwstr/>
      </vt:variant>
      <vt:variant>
        <vt:i4>5505025</vt:i4>
      </vt:variant>
      <vt:variant>
        <vt:i4>3</vt:i4>
      </vt:variant>
      <vt:variant>
        <vt:i4>0</vt:i4>
      </vt:variant>
      <vt:variant>
        <vt:i4>5</vt:i4>
      </vt:variant>
      <vt:variant>
        <vt:lpwstr>http://www.cidh.oas.org/annualrep/2004sp/Venezuela.667.01.htm</vt:lpwstr>
      </vt:variant>
      <vt:variant>
        <vt:lpwstr/>
      </vt:variant>
      <vt:variant>
        <vt:i4>6684780</vt:i4>
      </vt:variant>
      <vt:variant>
        <vt:i4>0</vt:i4>
      </vt:variant>
      <vt:variant>
        <vt:i4>0</vt:i4>
      </vt:variant>
      <vt:variant>
        <vt:i4>5</vt:i4>
      </vt:variant>
      <vt:variant>
        <vt:lpwstr>http://www.oas.org/es/cidh/decisiones/2012/VESA11706ES.doc</vt:lpwstr>
      </vt:variant>
      <vt:variant>
        <vt:lpwstr/>
      </vt:variant>
      <vt:variant>
        <vt:i4>983041</vt:i4>
      </vt:variant>
      <vt:variant>
        <vt:i4>24</vt:i4>
      </vt:variant>
      <vt:variant>
        <vt:i4>0</vt:i4>
      </vt:variant>
      <vt:variant>
        <vt:i4>5</vt:i4>
      </vt:variant>
      <vt:variant>
        <vt:lpwstr>https://www.oas.org/es/cidh/docs/anual/2024/capitulos/IA2024_2_ES.pdf</vt:lpwstr>
      </vt:variant>
      <vt:variant>
        <vt:lpwstr/>
      </vt:variant>
      <vt:variant>
        <vt:i4>3276841</vt:i4>
      </vt:variant>
      <vt:variant>
        <vt:i4>21</vt:i4>
      </vt:variant>
      <vt:variant>
        <vt:i4>0</vt:i4>
      </vt:variant>
      <vt:variant>
        <vt:i4>5</vt:i4>
      </vt:variant>
      <vt:variant>
        <vt:lpwstr>http://www.oas.org/es/cidh/docs/anual/2018/docs/IA2018cap.2-es.pdf</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3276841</vt:i4>
      </vt:variant>
      <vt:variant>
        <vt:i4>15</vt:i4>
      </vt:variant>
      <vt:variant>
        <vt:i4>0</vt:i4>
      </vt:variant>
      <vt:variant>
        <vt:i4>5</vt:i4>
      </vt:variant>
      <vt:variant>
        <vt:lpwstr>http://www.oas.org/es/cidh/docs/anual/2018/docs/IA2018cap.2-es.pdf</vt:lpwstr>
      </vt:variant>
      <vt:variant>
        <vt:lpwstr/>
      </vt:variant>
      <vt:variant>
        <vt:i4>6815868</vt:i4>
      </vt:variant>
      <vt:variant>
        <vt:i4>12</vt:i4>
      </vt:variant>
      <vt:variant>
        <vt:i4>0</vt:i4>
      </vt:variant>
      <vt:variant>
        <vt:i4>5</vt:i4>
      </vt:variant>
      <vt:variant>
        <vt:lpwstr>http://www.oas.org/es/cidh/decisiones/amistosas.asp</vt:lpwstr>
      </vt:variant>
      <vt:variant>
        <vt:lpwstr/>
      </vt:variant>
      <vt:variant>
        <vt:i4>6815868</vt:i4>
      </vt:variant>
      <vt:variant>
        <vt:i4>9</vt:i4>
      </vt:variant>
      <vt:variant>
        <vt:i4>0</vt:i4>
      </vt:variant>
      <vt:variant>
        <vt:i4>5</vt:i4>
      </vt:variant>
      <vt:variant>
        <vt:lpwstr>http://www.oas.org/es/cidh/decisiones/amistosas.asp</vt:lpwstr>
      </vt:variant>
      <vt:variant>
        <vt:lpwstr/>
      </vt:variant>
      <vt:variant>
        <vt:i4>983041</vt:i4>
      </vt:variant>
      <vt:variant>
        <vt:i4>6</vt:i4>
      </vt:variant>
      <vt:variant>
        <vt:i4>0</vt:i4>
      </vt:variant>
      <vt:variant>
        <vt:i4>5</vt:i4>
      </vt:variant>
      <vt:variant>
        <vt:lpwstr>https://www.oas.org/es/cidh/docs/anual/2024/capitulos/IA2024_2_ES.pdf</vt:lpwstr>
      </vt:variant>
      <vt:variant>
        <vt:lpwstr/>
      </vt:variant>
      <vt:variant>
        <vt:i4>983041</vt:i4>
      </vt:variant>
      <vt:variant>
        <vt:i4>3</vt:i4>
      </vt:variant>
      <vt:variant>
        <vt:i4>0</vt:i4>
      </vt:variant>
      <vt:variant>
        <vt:i4>5</vt:i4>
      </vt:variant>
      <vt:variant>
        <vt:lpwstr>https://www.oas.org/es/cidh/docs/anual/2024/capitulos/IA2024_2_ES.pdf</vt:lpwstr>
      </vt:variant>
      <vt:variant>
        <vt:lpwstr/>
      </vt:variant>
      <vt:variant>
        <vt:i4>983041</vt:i4>
      </vt:variant>
      <vt:variant>
        <vt:i4>0</vt:i4>
      </vt:variant>
      <vt:variant>
        <vt:i4>0</vt:i4>
      </vt:variant>
      <vt:variant>
        <vt:i4>5</vt:i4>
      </vt:variant>
      <vt:variant>
        <vt:lpwstr>https://www.oas.org/es/cidh/docs/anual/2024/capitulos/IA2024_2_ES.pdf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Seminario, Javier</cp:lastModifiedBy>
  <cp:revision>4</cp:revision>
  <cp:lastPrinted>2025-08-26T18:24:00Z</cp:lastPrinted>
  <dcterms:created xsi:type="dcterms:W3CDTF">2025-07-25T18:12:00Z</dcterms:created>
  <dcterms:modified xsi:type="dcterms:W3CDTF">2025-08-26T18:24:00Z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Montero, Erika</vt:lpwstr>
  </property>
  <property fmtid="{D5CDD505-2E9C-101B-9397-08002B2CF9AE}" pid="3" name="Order">
    <vt:lpwstr>73200.0000000000</vt:lpwstr>
  </property>
  <property fmtid="{D5CDD505-2E9C-101B-9397-08002B2CF9AE}" pid="4" name="display_urn:schemas-microsoft-com:office:office#Author">
    <vt:lpwstr>Montero, Erika</vt:lpwstr>
  </property>
  <property fmtid="{D5CDD505-2E9C-101B-9397-08002B2CF9AE}" pid="5" name="ContentTypeId">
    <vt:lpwstr>0x010100D589DCDDB8A16B44BDC2A7128ECAC845</vt:lpwstr>
  </property>
</Properties>
</file>