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F7B33" w14:textId="77777777" w:rsidR="002659F6" w:rsidRPr="00C6263A" w:rsidRDefault="002659F6" w:rsidP="00C6263A">
      <w:pPr>
        <w:suppressAutoHyphens/>
        <w:spacing w:after="0" w:line="240" w:lineRule="auto"/>
        <w:ind w:right="-270"/>
        <w:jc w:val="center"/>
        <w:rPr>
          <w:rFonts w:ascii="Cambria" w:eastAsia="Batang" w:hAnsi="Cambria"/>
          <w:b/>
          <w:sz w:val="24"/>
          <w:szCs w:val="24"/>
          <w:lang w:val="es-CO"/>
        </w:rPr>
      </w:pPr>
    </w:p>
    <w:p w14:paraId="532EB7EA" w14:textId="4890DD28" w:rsidR="002659F6" w:rsidRPr="00C6263A" w:rsidRDefault="002659F6" w:rsidP="00C6263A">
      <w:pPr>
        <w:suppressAutoHyphens/>
        <w:spacing w:after="0" w:line="240" w:lineRule="auto"/>
        <w:ind w:right="-270"/>
        <w:jc w:val="center"/>
        <w:rPr>
          <w:rFonts w:ascii="Cambria" w:eastAsia="Batang" w:hAnsi="Cambria"/>
          <w:b/>
          <w:sz w:val="24"/>
          <w:szCs w:val="24"/>
          <w:lang w:val="es-CO"/>
        </w:rPr>
      </w:pPr>
      <w:r w:rsidRPr="00C6263A">
        <w:rPr>
          <w:rFonts w:ascii="Cambria" w:eastAsia="Batang" w:hAnsi="Cambria"/>
          <w:b/>
          <w:sz w:val="24"/>
          <w:szCs w:val="24"/>
          <w:lang w:val="es-CO"/>
        </w:rPr>
        <w:t>FICHA TÉCNICA INFORMATIVA</w:t>
      </w:r>
    </w:p>
    <w:p w14:paraId="62ACF499" w14:textId="1E274D21" w:rsidR="00F3661B" w:rsidRPr="00C6263A" w:rsidRDefault="00F3661B" w:rsidP="00C6263A">
      <w:pPr>
        <w:suppressAutoHyphens/>
        <w:spacing w:after="0" w:line="240" w:lineRule="auto"/>
        <w:ind w:right="-270"/>
        <w:jc w:val="center"/>
        <w:rPr>
          <w:rFonts w:ascii="Cambria" w:eastAsia="Batang" w:hAnsi="Cambria"/>
          <w:b/>
          <w:sz w:val="24"/>
          <w:szCs w:val="24"/>
          <w:lang w:val="es-CO"/>
        </w:rPr>
      </w:pPr>
      <w:r w:rsidRPr="00C6263A">
        <w:rPr>
          <w:rFonts w:ascii="Cambria" w:eastAsia="Batang" w:hAnsi="Cambria"/>
          <w:b/>
          <w:sz w:val="24"/>
          <w:szCs w:val="24"/>
          <w:lang w:val="es-CO"/>
        </w:rPr>
        <w:t xml:space="preserve">CASO </w:t>
      </w:r>
      <w:r w:rsidR="00C6263A" w:rsidRPr="00C6263A">
        <w:rPr>
          <w:rFonts w:ascii="Cambria" w:eastAsia="Batang" w:hAnsi="Cambria"/>
          <w:b/>
          <w:sz w:val="24"/>
          <w:szCs w:val="24"/>
          <w:lang w:val="es-CO"/>
        </w:rPr>
        <w:t>13.775 GABRIEL ÁNGEL GÓMEZ MARTÍNEZ Y FAMILIA</w:t>
      </w:r>
    </w:p>
    <w:p w14:paraId="38A16E1F" w14:textId="59B5E423" w:rsidR="008E72CA" w:rsidRPr="00C6263A" w:rsidRDefault="008E72CA" w:rsidP="00C6263A">
      <w:pPr>
        <w:suppressAutoHyphens/>
        <w:spacing w:after="0" w:line="240" w:lineRule="auto"/>
        <w:ind w:right="-270"/>
        <w:jc w:val="center"/>
        <w:rPr>
          <w:rFonts w:ascii="Cambria" w:eastAsia="Batang" w:hAnsi="Cambria"/>
          <w:b/>
          <w:sz w:val="24"/>
          <w:szCs w:val="24"/>
          <w:lang w:val="es-CO"/>
        </w:rPr>
      </w:pPr>
      <w:r w:rsidRPr="00C6263A">
        <w:rPr>
          <w:rFonts w:ascii="Cambria" w:eastAsia="Batang" w:hAnsi="Cambria"/>
          <w:b/>
          <w:sz w:val="24"/>
          <w:szCs w:val="24"/>
          <w:lang w:val="es-CO"/>
        </w:rPr>
        <w:t>INFORME DE SOLUCIÓN AMISTOSA</w:t>
      </w:r>
      <w:r w:rsidR="00C6263A" w:rsidRPr="00C6263A">
        <w:rPr>
          <w:rFonts w:ascii="Cambria" w:eastAsia="Batang" w:hAnsi="Cambria"/>
          <w:b/>
          <w:sz w:val="24"/>
          <w:szCs w:val="24"/>
          <w:lang w:val="es-CO"/>
        </w:rPr>
        <w:t xml:space="preserve"> </w:t>
      </w:r>
      <w:hyperlink r:id="rId12" w:history="1">
        <w:r w:rsidR="00C6263A" w:rsidRPr="003F437F">
          <w:rPr>
            <w:rStyle w:val="Hyperlink"/>
            <w:rFonts w:ascii="Cambria" w:eastAsia="Batang" w:hAnsi="Cambria"/>
            <w:b/>
            <w:sz w:val="24"/>
            <w:szCs w:val="24"/>
            <w:lang w:val="es-CO"/>
          </w:rPr>
          <w:t>No. 63/22</w:t>
        </w:r>
      </w:hyperlink>
    </w:p>
    <w:p w14:paraId="1FDB7C2D" w14:textId="4237882A" w:rsidR="00F3661B" w:rsidRPr="00C6263A" w:rsidRDefault="002659F6" w:rsidP="00C6263A">
      <w:pPr>
        <w:suppressAutoHyphens/>
        <w:spacing w:after="0" w:line="240" w:lineRule="auto"/>
        <w:ind w:right="-270"/>
        <w:jc w:val="center"/>
        <w:rPr>
          <w:rFonts w:ascii="Cambria" w:eastAsia="Batang" w:hAnsi="Cambria"/>
          <w:b/>
          <w:sz w:val="24"/>
          <w:szCs w:val="24"/>
          <w:lang w:val="es-CO"/>
        </w:rPr>
      </w:pPr>
      <w:r w:rsidRPr="00C6263A">
        <w:rPr>
          <w:rFonts w:ascii="Cambria" w:eastAsia="Batang" w:hAnsi="Cambria"/>
          <w:b/>
          <w:sz w:val="24"/>
          <w:szCs w:val="24"/>
          <w:lang w:val="es-CO"/>
        </w:rPr>
        <w:t>CUMPLIMIENTO TOTAL</w:t>
      </w:r>
    </w:p>
    <w:p w14:paraId="7295383B" w14:textId="260ED645" w:rsidR="00035689" w:rsidRPr="00C6263A" w:rsidRDefault="008E72CA" w:rsidP="00C6263A">
      <w:pPr>
        <w:suppressAutoHyphens/>
        <w:spacing w:after="0" w:line="240" w:lineRule="auto"/>
        <w:ind w:right="-270"/>
        <w:jc w:val="center"/>
        <w:rPr>
          <w:rFonts w:ascii="Cambria" w:eastAsia="Batang" w:hAnsi="Cambria"/>
          <w:b/>
          <w:sz w:val="24"/>
          <w:szCs w:val="24"/>
          <w:lang w:val="es-CO"/>
        </w:rPr>
      </w:pPr>
      <w:r w:rsidRPr="00C6263A">
        <w:rPr>
          <w:rFonts w:ascii="Cambria" w:eastAsia="Batang" w:hAnsi="Cambria"/>
          <w:b/>
          <w:sz w:val="24"/>
          <w:szCs w:val="24"/>
          <w:lang w:val="es-CO"/>
        </w:rPr>
        <w:t>(</w:t>
      </w:r>
      <w:r w:rsidR="00033B04" w:rsidRPr="00C6263A">
        <w:rPr>
          <w:rFonts w:ascii="Cambria" w:eastAsia="Batang" w:hAnsi="Cambria"/>
          <w:b/>
          <w:sz w:val="24"/>
          <w:szCs w:val="24"/>
          <w:lang w:val="es-CO"/>
        </w:rPr>
        <w:t>COLOMBIA</w:t>
      </w:r>
      <w:r w:rsidRPr="00C6263A">
        <w:rPr>
          <w:rFonts w:ascii="Cambria" w:eastAsia="Batang" w:hAnsi="Cambria"/>
          <w:b/>
          <w:sz w:val="24"/>
          <w:szCs w:val="24"/>
          <w:lang w:val="es-CO"/>
        </w:rPr>
        <w:t>)</w:t>
      </w:r>
    </w:p>
    <w:p w14:paraId="2F8BF493" w14:textId="77777777" w:rsidR="00C6263A" w:rsidRPr="00041526" w:rsidRDefault="00C6263A" w:rsidP="00C6263A">
      <w:pPr>
        <w:suppressAutoHyphens/>
        <w:spacing w:after="0" w:line="240" w:lineRule="auto"/>
        <w:ind w:right="180"/>
        <w:rPr>
          <w:rFonts w:ascii="Cambria" w:hAnsi="Cambria"/>
          <w:b/>
          <w:bCs/>
          <w:sz w:val="20"/>
          <w:szCs w:val="20"/>
          <w:lang w:val="es-419"/>
        </w:rPr>
      </w:pPr>
    </w:p>
    <w:p w14:paraId="27327163" w14:textId="77777777" w:rsidR="00C6263A" w:rsidRPr="00041526" w:rsidRDefault="00C6263A" w:rsidP="00E81EAB">
      <w:pPr>
        <w:pStyle w:val="ListParagraph"/>
        <w:numPr>
          <w:ilvl w:val="1"/>
          <w:numId w:val="6"/>
        </w:numPr>
        <w:spacing w:after="0" w:line="240" w:lineRule="auto"/>
        <w:ind w:left="0" w:right="180" w:firstLine="720"/>
        <w:jc w:val="both"/>
        <w:rPr>
          <w:rFonts w:ascii="Cambria" w:eastAsiaTheme="minorHAnsi" w:hAnsi="Cambria" w:cstheme="minorBidi"/>
          <w:b/>
          <w:bCs/>
          <w:sz w:val="20"/>
          <w:szCs w:val="20"/>
          <w:lang w:val="es-419"/>
        </w:rPr>
      </w:pPr>
      <w:r w:rsidRPr="00041526">
        <w:rPr>
          <w:rFonts w:ascii="Cambria" w:eastAsiaTheme="minorHAnsi" w:hAnsi="Cambria" w:cstheme="minorBidi"/>
          <w:b/>
          <w:bCs/>
          <w:sz w:val="20"/>
          <w:szCs w:val="20"/>
          <w:lang w:val="es-419"/>
        </w:rPr>
        <w:t>RESUMEN DEL CASO</w:t>
      </w:r>
    </w:p>
    <w:p w14:paraId="5534AF77" w14:textId="77777777" w:rsidR="00C6263A" w:rsidRPr="00041526" w:rsidRDefault="00C6263A" w:rsidP="00C6263A">
      <w:pPr>
        <w:suppressAutoHyphens/>
        <w:spacing w:after="0" w:line="240" w:lineRule="auto"/>
        <w:ind w:right="180"/>
        <w:jc w:val="both"/>
        <w:rPr>
          <w:rFonts w:ascii="Cambria" w:hAnsi="Cambria"/>
          <w:sz w:val="20"/>
          <w:szCs w:val="20"/>
          <w:lang w:val="es-419"/>
        </w:rPr>
      </w:pPr>
    </w:p>
    <w:tbl>
      <w:tblPr>
        <w:tblW w:w="9719"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9"/>
      </w:tblGrid>
      <w:tr w:rsidR="00C6263A" w:rsidRPr="00E81EAB" w14:paraId="0E277E88" w14:textId="77777777" w:rsidTr="00E81EAB">
        <w:trPr>
          <w:trHeight w:val="5732"/>
        </w:trPr>
        <w:tc>
          <w:tcPr>
            <w:tcW w:w="9719" w:type="dxa"/>
            <w:shd w:val="clear" w:color="auto" w:fill="E7E6E6"/>
          </w:tcPr>
          <w:p w14:paraId="613C5387" w14:textId="77777777" w:rsidR="00C6263A" w:rsidRPr="00041526" w:rsidRDefault="00C6263A" w:rsidP="00B22024">
            <w:pPr>
              <w:suppressAutoHyphens/>
              <w:spacing w:after="0" w:line="240" w:lineRule="auto"/>
              <w:ind w:right="180"/>
              <w:jc w:val="both"/>
              <w:rPr>
                <w:rFonts w:ascii="Cambria" w:hAnsi="Cambria"/>
                <w:sz w:val="20"/>
                <w:szCs w:val="20"/>
                <w:lang w:val="es-419"/>
              </w:rPr>
            </w:pPr>
            <w:r w:rsidRPr="00041526">
              <w:rPr>
                <w:rFonts w:ascii="Cambria" w:hAnsi="Cambria"/>
                <w:b/>
                <w:bCs/>
                <w:sz w:val="20"/>
                <w:szCs w:val="20"/>
                <w:lang w:val="es-419"/>
              </w:rPr>
              <w:t>Víctima (s):</w:t>
            </w:r>
            <w:r w:rsidRPr="00041526">
              <w:rPr>
                <w:rFonts w:ascii="Cambria" w:hAnsi="Cambria"/>
                <w:sz w:val="20"/>
                <w:szCs w:val="20"/>
                <w:lang w:val="es-419"/>
              </w:rPr>
              <w:t xml:space="preserve"> Gabriel Ángel Gómez Martínez y familia</w:t>
            </w:r>
          </w:p>
          <w:p w14:paraId="625D4014" w14:textId="77777777" w:rsidR="00C6263A" w:rsidRPr="00041526" w:rsidRDefault="00C6263A" w:rsidP="00B22024">
            <w:pPr>
              <w:suppressAutoHyphens/>
              <w:spacing w:after="0" w:line="240" w:lineRule="auto"/>
              <w:ind w:right="180"/>
              <w:jc w:val="both"/>
              <w:rPr>
                <w:rFonts w:ascii="Cambria" w:hAnsi="Cambria"/>
                <w:sz w:val="20"/>
                <w:szCs w:val="20"/>
                <w:lang w:val="pt-BR"/>
              </w:rPr>
            </w:pPr>
            <w:r w:rsidRPr="00041526">
              <w:rPr>
                <w:rFonts w:ascii="Cambria" w:hAnsi="Cambria"/>
                <w:b/>
                <w:bCs/>
                <w:sz w:val="20"/>
                <w:szCs w:val="20"/>
                <w:lang w:val="pt-BR"/>
              </w:rPr>
              <w:t>Peticionario (s):</w:t>
            </w:r>
            <w:r w:rsidRPr="00041526">
              <w:rPr>
                <w:rFonts w:ascii="Cambria" w:hAnsi="Cambria"/>
                <w:sz w:val="20"/>
                <w:szCs w:val="20"/>
                <w:lang w:val="pt-BR"/>
              </w:rPr>
              <w:t xml:space="preserve"> Roberto Fernando Paz Salas</w:t>
            </w:r>
          </w:p>
          <w:p w14:paraId="2E701788" w14:textId="77777777" w:rsidR="00C6263A" w:rsidRPr="00041526" w:rsidRDefault="00C6263A" w:rsidP="00B22024">
            <w:pPr>
              <w:suppressAutoHyphens/>
              <w:spacing w:after="0" w:line="240" w:lineRule="auto"/>
              <w:ind w:right="180"/>
              <w:jc w:val="both"/>
              <w:rPr>
                <w:rFonts w:ascii="Cambria" w:hAnsi="Cambria"/>
                <w:sz w:val="20"/>
                <w:szCs w:val="20"/>
                <w:lang w:val="es-419"/>
              </w:rPr>
            </w:pPr>
            <w:r w:rsidRPr="00041526">
              <w:rPr>
                <w:rFonts w:ascii="Cambria" w:hAnsi="Cambria"/>
                <w:b/>
                <w:bCs/>
                <w:sz w:val="20"/>
                <w:szCs w:val="20"/>
                <w:lang w:val="es-419"/>
              </w:rPr>
              <w:t>Estado:</w:t>
            </w:r>
            <w:r w:rsidRPr="00041526">
              <w:rPr>
                <w:rFonts w:ascii="Cambria" w:hAnsi="Cambria"/>
                <w:sz w:val="20"/>
                <w:szCs w:val="20"/>
                <w:lang w:val="es-419"/>
              </w:rPr>
              <w:t xml:space="preserve"> Colombia </w:t>
            </w:r>
          </w:p>
          <w:p w14:paraId="1D439533" w14:textId="7208067C" w:rsidR="00C6263A" w:rsidRPr="00041526" w:rsidRDefault="00C6263A" w:rsidP="00B22024">
            <w:pPr>
              <w:suppressAutoHyphens/>
              <w:spacing w:after="0" w:line="240" w:lineRule="auto"/>
              <w:ind w:right="180"/>
              <w:jc w:val="both"/>
              <w:rPr>
                <w:rFonts w:ascii="Cambria" w:hAnsi="Cambria"/>
                <w:sz w:val="20"/>
                <w:szCs w:val="20"/>
                <w:lang w:val="es-419"/>
              </w:rPr>
            </w:pPr>
            <w:r w:rsidRPr="00041526">
              <w:rPr>
                <w:rFonts w:ascii="Cambria" w:hAnsi="Cambria"/>
                <w:b/>
                <w:bCs/>
                <w:sz w:val="20"/>
                <w:szCs w:val="20"/>
                <w:lang w:val="es-419"/>
              </w:rPr>
              <w:t>Fecha de inicio de las negociaciones:</w:t>
            </w:r>
            <w:r w:rsidRPr="00041526">
              <w:rPr>
                <w:rFonts w:ascii="Cambria" w:hAnsi="Cambria"/>
                <w:sz w:val="20"/>
                <w:szCs w:val="20"/>
                <w:lang w:val="es-419"/>
              </w:rPr>
              <w:t xml:space="preserve"> </w:t>
            </w:r>
            <w:r w:rsidR="00B22024" w:rsidRPr="00041526">
              <w:rPr>
                <w:rFonts w:ascii="Cambria" w:hAnsi="Cambria"/>
                <w:sz w:val="20"/>
                <w:szCs w:val="20"/>
                <w:lang w:val="es-419"/>
              </w:rPr>
              <w:t>9</w:t>
            </w:r>
            <w:r w:rsidRPr="00041526">
              <w:rPr>
                <w:rFonts w:ascii="Cambria" w:hAnsi="Cambria"/>
                <w:sz w:val="20"/>
                <w:szCs w:val="20"/>
                <w:lang w:val="es-419"/>
              </w:rPr>
              <w:t xml:space="preserve"> de junio de 2021</w:t>
            </w:r>
          </w:p>
          <w:p w14:paraId="44BF825F" w14:textId="77777777" w:rsidR="00C6263A" w:rsidRPr="00041526" w:rsidRDefault="00C6263A" w:rsidP="00B22024">
            <w:pPr>
              <w:suppressAutoHyphens/>
              <w:spacing w:after="0" w:line="240" w:lineRule="auto"/>
              <w:ind w:right="180"/>
              <w:jc w:val="both"/>
              <w:rPr>
                <w:rFonts w:ascii="Cambria" w:hAnsi="Cambria"/>
                <w:sz w:val="20"/>
                <w:szCs w:val="20"/>
                <w:lang w:val="es-419"/>
              </w:rPr>
            </w:pPr>
            <w:r w:rsidRPr="00041526">
              <w:rPr>
                <w:rFonts w:ascii="Cambria" w:hAnsi="Cambria"/>
                <w:b/>
                <w:bCs/>
                <w:sz w:val="20"/>
                <w:szCs w:val="20"/>
                <w:lang w:val="es-419"/>
              </w:rPr>
              <w:t>Fecha de Firma de ASA:</w:t>
            </w:r>
            <w:r w:rsidRPr="00041526">
              <w:rPr>
                <w:rFonts w:ascii="Cambria" w:hAnsi="Cambria"/>
                <w:sz w:val="20"/>
                <w:szCs w:val="20"/>
                <w:lang w:val="es-419"/>
              </w:rPr>
              <w:t xml:space="preserve"> 7 de septiembre de 2021</w:t>
            </w:r>
          </w:p>
          <w:p w14:paraId="01F93CE0" w14:textId="0471D7B6" w:rsidR="00C6263A" w:rsidRPr="00041526" w:rsidRDefault="00C6263A" w:rsidP="00B22024">
            <w:pPr>
              <w:suppressAutoHyphens/>
              <w:spacing w:after="0" w:line="240" w:lineRule="auto"/>
              <w:ind w:right="180"/>
              <w:jc w:val="both"/>
              <w:rPr>
                <w:rFonts w:ascii="Cambria" w:hAnsi="Cambria"/>
                <w:sz w:val="20"/>
                <w:szCs w:val="20"/>
                <w:lang w:val="es-419"/>
              </w:rPr>
            </w:pPr>
            <w:r w:rsidRPr="00041526">
              <w:rPr>
                <w:rFonts w:ascii="Cambria" w:hAnsi="Cambria"/>
                <w:b/>
                <w:bCs/>
                <w:sz w:val="20"/>
                <w:szCs w:val="20"/>
                <w:lang w:val="es-419"/>
              </w:rPr>
              <w:t>Informe de Admisibilidad N</w:t>
            </w:r>
            <w:r w:rsidR="006B1338">
              <w:rPr>
                <w:rFonts w:ascii="Cambria" w:hAnsi="Cambria"/>
                <w:b/>
                <w:bCs/>
                <w:sz w:val="20"/>
                <w:szCs w:val="20"/>
                <w:lang w:val="es-419"/>
              </w:rPr>
              <w:t>o</w:t>
            </w:r>
            <w:r w:rsidRPr="00041526">
              <w:rPr>
                <w:rFonts w:ascii="Cambria" w:hAnsi="Cambria"/>
                <w:b/>
                <w:bCs/>
                <w:sz w:val="20"/>
                <w:szCs w:val="20"/>
                <w:lang w:val="es-419"/>
              </w:rPr>
              <w:t>:</w:t>
            </w:r>
            <w:r w:rsidRPr="00041526">
              <w:rPr>
                <w:rFonts w:ascii="Cambria" w:hAnsi="Cambria"/>
                <w:sz w:val="20"/>
                <w:szCs w:val="20"/>
                <w:lang w:val="es-419"/>
              </w:rPr>
              <w:t xml:space="preserve"> </w:t>
            </w:r>
            <w:hyperlink r:id="rId13" w:history="1">
              <w:r w:rsidRPr="00041526">
                <w:rPr>
                  <w:rFonts w:ascii="Cambria" w:hAnsi="Cambria"/>
                  <w:b/>
                  <w:bCs/>
                  <w:color w:val="0563C1"/>
                  <w:sz w:val="20"/>
                  <w:szCs w:val="20"/>
                  <w:u w:val="single"/>
                  <w:lang w:val="es-419"/>
                </w:rPr>
                <w:t>45/19</w:t>
              </w:r>
            </w:hyperlink>
            <w:r w:rsidR="00B22024" w:rsidRPr="00E81EAB">
              <w:rPr>
                <w:rFonts w:ascii="Cambria" w:hAnsi="Cambria"/>
                <w:sz w:val="20"/>
                <w:szCs w:val="20"/>
                <w:lang w:val="es-CO"/>
              </w:rPr>
              <w:t>, publicado el 24 de abril de 2019</w:t>
            </w:r>
          </w:p>
          <w:p w14:paraId="51A0FFFE" w14:textId="5C7668F7" w:rsidR="00C6263A" w:rsidRPr="00041526" w:rsidRDefault="00C6263A" w:rsidP="00B22024">
            <w:pPr>
              <w:suppressAutoHyphens/>
              <w:spacing w:after="0" w:line="240" w:lineRule="auto"/>
              <w:ind w:right="180"/>
              <w:jc w:val="both"/>
              <w:rPr>
                <w:rFonts w:ascii="Cambria" w:hAnsi="Cambria"/>
                <w:sz w:val="20"/>
                <w:szCs w:val="20"/>
                <w:lang w:val="es-419"/>
              </w:rPr>
            </w:pPr>
            <w:r w:rsidRPr="00041526">
              <w:rPr>
                <w:rFonts w:ascii="Cambria" w:hAnsi="Cambria"/>
                <w:b/>
                <w:bCs/>
                <w:sz w:val="20"/>
                <w:szCs w:val="20"/>
                <w:lang w:val="es-419"/>
              </w:rPr>
              <w:t>Informe de Acuerdo de Solución Amistosa N</w:t>
            </w:r>
            <w:r w:rsidR="006B1338">
              <w:rPr>
                <w:rFonts w:ascii="Cambria" w:hAnsi="Cambria"/>
                <w:b/>
                <w:bCs/>
                <w:sz w:val="20"/>
                <w:szCs w:val="20"/>
                <w:lang w:val="es-419"/>
              </w:rPr>
              <w:t>o</w:t>
            </w:r>
            <w:r w:rsidRPr="00041526">
              <w:rPr>
                <w:rFonts w:ascii="Cambria" w:hAnsi="Cambria"/>
                <w:b/>
                <w:bCs/>
                <w:sz w:val="20"/>
                <w:szCs w:val="20"/>
                <w:lang w:val="es-419"/>
              </w:rPr>
              <w:t>:</w:t>
            </w:r>
            <w:r w:rsidRPr="00041526">
              <w:rPr>
                <w:rFonts w:ascii="Cambria" w:hAnsi="Cambria"/>
                <w:sz w:val="20"/>
                <w:szCs w:val="20"/>
                <w:lang w:val="es-419"/>
              </w:rPr>
              <w:t xml:space="preserve"> </w:t>
            </w:r>
            <w:hyperlink r:id="rId14" w:history="1">
              <w:r w:rsidRPr="00041526">
                <w:rPr>
                  <w:rFonts w:ascii="Cambria" w:hAnsi="Cambria"/>
                  <w:b/>
                  <w:bCs/>
                  <w:color w:val="0563C1"/>
                  <w:sz w:val="20"/>
                  <w:szCs w:val="20"/>
                  <w:u w:val="single"/>
                  <w:lang w:val="es-419"/>
                </w:rPr>
                <w:t>63/22</w:t>
              </w:r>
            </w:hyperlink>
            <w:r w:rsidR="00B22024" w:rsidRPr="00E81EAB">
              <w:rPr>
                <w:rFonts w:ascii="Cambria" w:hAnsi="Cambria"/>
                <w:b/>
                <w:bCs/>
                <w:sz w:val="20"/>
                <w:szCs w:val="20"/>
                <w:lang w:val="es-CO"/>
              </w:rPr>
              <w:t>,</w:t>
            </w:r>
            <w:r w:rsidRPr="00041526">
              <w:rPr>
                <w:rFonts w:ascii="Cambria" w:hAnsi="Cambria"/>
                <w:sz w:val="20"/>
                <w:szCs w:val="20"/>
                <w:lang w:val="es-419"/>
              </w:rPr>
              <w:t xml:space="preserve"> publicado el 10 de mayo de 2022</w:t>
            </w:r>
          </w:p>
          <w:p w14:paraId="288989F8" w14:textId="77777777" w:rsidR="00C6263A" w:rsidRPr="00041526" w:rsidRDefault="00C6263A" w:rsidP="00B22024">
            <w:pPr>
              <w:suppressAutoHyphens/>
              <w:spacing w:after="0" w:line="240" w:lineRule="auto"/>
              <w:ind w:right="180"/>
              <w:jc w:val="both"/>
              <w:rPr>
                <w:rFonts w:ascii="Cambria" w:hAnsi="Cambria"/>
                <w:sz w:val="20"/>
                <w:szCs w:val="20"/>
                <w:lang w:val="es-419"/>
              </w:rPr>
            </w:pPr>
            <w:r w:rsidRPr="00041526">
              <w:rPr>
                <w:rFonts w:ascii="Cambria" w:hAnsi="Cambria"/>
                <w:b/>
                <w:bCs/>
                <w:sz w:val="20"/>
                <w:szCs w:val="20"/>
                <w:lang w:val="es-419"/>
              </w:rPr>
              <w:t>Duración estimada de la fase de negociación:</w:t>
            </w:r>
            <w:r w:rsidRPr="00041526">
              <w:rPr>
                <w:rFonts w:ascii="Cambria" w:hAnsi="Cambria"/>
                <w:sz w:val="20"/>
                <w:szCs w:val="20"/>
                <w:lang w:val="es-419"/>
              </w:rPr>
              <w:t xml:space="preserve"> 11 meses </w:t>
            </w:r>
          </w:p>
          <w:p w14:paraId="3F7EBFA4" w14:textId="38EDACD9" w:rsidR="00C6263A" w:rsidRPr="00041526" w:rsidRDefault="00C6263A" w:rsidP="00B22024">
            <w:pPr>
              <w:suppressAutoHyphens/>
              <w:spacing w:after="0" w:line="240" w:lineRule="auto"/>
              <w:jc w:val="both"/>
              <w:rPr>
                <w:rFonts w:ascii="Cambria" w:hAnsi="Cambria"/>
                <w:sz w:val="20"/>
                <w:szCs w:val="20"/>
                <w:lang w:val="es-419"/>
              </w:rPr>
            </w:pPr>
            <w:r w:rsidRPr="00041526">
              <w:rPr>
                <w:rFonts w:ascii="Cambria" w:hAnsi="Cambria"/>
                <w:b/>
                <w:bCs/>
                <w:sz w:val="20"/>
                <w:szCs w:val="20"/>
                <w:lang w:val="es-419"/>
              </w:rPr>
              <w:t xml:space="preserve">Relatoría vinculada: </w:t>
            </w:r>
            <w:r w:rsidRPr="00041526">
              <w:rPr>
                <w:rFonts w:ascii="Cambria" w:hAnsi="Cambria"/>
                <w:sz w:val="20"/>
                <w:szCs w:val="20"/>
                <w:lang w:val="es-419"/>
              </w:rPr>
              <w:t>Memoria, Verdad y Justicia</w:t>
            </w:r>
          </w:p>
          <w:p w14:paraId="7C8ADA87" w14:textId="77777777" w:rsidR="00C6263A" w:rsidRPr="00041526" w:rsidRDefault="00C6263A" w:rsidP="00B22024">
            <w:pPr>
              <w:suppressAutoHyphens/>
              <w:spacing w:after="0" w:line="240" w:lineRule="auto"/>
              <w:ind w:right="180"/>
              <w:jc w:val="both"/>
              <w:rPr>
                <w:rFonts w:ascii="Cambria" w:hAnsi="Cambria"/>
                <w:sz w:val="20"/>
                <w:szCs w:val="20"/>
                <w:lang w:val="es-419"/>
              </w:rPr>
            </w:pPr>
            <w:r w:rsidRPr="00041526">
              <w:rPr>
                <w:rFonts w:ascii="Cambria" w:hAnsi="Cambria"/>
                <w:b/>
                <w:bCs/>
                <w:sz w:val="20"/>
                <w:szCs w:val="20"/>
                <w:lang w:val="es-419"/>
              </w:rPr>
              <w:t>Temas:</w:t>
            </w:r>
            <w:r w:rsidRPr="00041526">
              <w:rPr>
                <w:rFonts w:ascii="Cambria" w:hAnsi="Cambria"/>
                <w:sz w:val="20"/>
                <w:szCs w:val="20"/>
                <w:lang w:val="es-419"/>
              </w:rPr>
              <w:t xml:space="preserve"> Vida / Integridad Personal/Garantías Judiciales/Protección judicial</w:t>
            </w:r>
          </w:p>
          <w:p w14:paraId="75EE7915" w14:textId="77777777" w:rsidR="00C6263A" w:rsidRPr="00041526" w:rsidRDefault="00C6263A" w:rsidP="00B22024">
            <w:pPr>
              <w:suppressAutoHyphens/>
              <w:spacing w:after="0" w:line="240" w:lineRule="auto"/>
              <w:ind w:right="73"/>
              <w:jc w:val="both"/>
              <w:rPr>
                <w:rFonts w:ascii="Cambria" w:hAnsi="Cambria"/>
                <w:sz w:val="20"/>
                <w:szCs w:val="20"/>
                <w:lang w:val="es-419"/>
              </w:rPr>
            </w:pPr>
          </w:p>
          <w:p w14:paraId="58A80733" w14:textId="77777777" w:rsidR="00C6263A" w:rsidRPr="00041526" w:rsidRDefault="00C6263A" w:rsidP="00B22024">
            <w:pPr>
              <w:suppressAutoHyphens/>
              <w:spacing w:after="0" w:line="240" w:lineRule="auto"/>
              <w:ind w:right="73"/>
              <w:jc w:val="both"/>
              <w:rPr>
                <w:rFonts w:ascii="Cambria" w:hAnsi="Cambria"/>
                <w:sz w:val="20"/>
                <w:szCs w:val="20"/>
                <w:lang w:val="es-419"/>
              </w:rPr>
            </w:pPr>
            <w:r w:rsidRPr="00041526">
              <w:rPr>
                <w:rFonts w:ascii="Cambria" w:hAnsi="Cambria"/>
                <w:b/>
                <w:bCs/>
                <w:sz w:val="20"/>
                <w:szCs w:val="20"/>
                <w:lang w:val="es-419"/>
              </w:rPr>
              <w:t>Hechos:</w:t>
            </w:r>
            <w:r w:rsidRPr="00041526">
              <w:rPr>
                <w:rFonts w:ascii="Cambria" w:hAnsi="Cambria"/>
                <w:sz w:val="20"/>
                <w:szCs w:val="20"/>
                <w:lang w:val="es-419"/>
              </w:rPr>
              <w:t xml:space="preserve"> Según lo manifestado por la parte peticionaria, el 16 de mayo de 1999, el señor Gabriel Ángel Gómez Martínez, un oficial de construcción que vivía en el corregimiento de Nutibara, habría sido perseguido y atacado presuntamente por elementos paramilitares armados con machetes mientras se encontraba jugando un partido de fútbol. El asesinato se habría perpetrado en el acto junto a otras dos personas frente a espectadores en las tribunas. En ese sentido y de acuerdo con la información proporcionada, las investigaciones por los hechos descritos se encontrarían una suspendida y otra archivada. La parte peticionaria manifestó que el homicidio de la presunta víctima se encontraría en total impunidad y que habrían pasado casi 20 años sin que se individualizara a los responsables, ni se reparara integralmente a sus familiares.  </w:t>
            </w:r>
          </w:p>
          <w:p w14:paraId="41291102" w14:textId="77777777" w:rsidR="00C6263A" w:rsidRPr="00041526" w:rsidRDefault="00C6263A" w:rsidP="00B22024">
            <w:pPr>
              <w:suppressAutoHyphens/>
              <w:spacing w:after="0" w:line="240" w:lineRule="auto"/>
              <w:ind w:right="73"/>
              <w:jc w:val="both"/>
              <w:rPr>
                <w:rFonts w:ascii="Cambria" w:hAnsi="Cambria"/>
                <w:sz w:val="20"/>
                <w:szCs w:val="20"/>
                <w:lang w:val="es-419"/>
              </w:rPr>
            </w:pPr>
          </w:p>
          <w:p w14:paraId="5F7E5FA1" w14:textId="77777777" w:rsidR="00C6263A" w:rsidRPr="00041526" w:rsidRDefault="00C6263A" w:rsidP="00B22024">
            <w:pPr>
              <w:suppressAutoHyphens/>
              <w:spacing w:after="0" w:line="240" w:lineRule="auto"/>
              <w:ind w:right="73"/>
              <w:jc w:val="both"/>
              <w:rPr>
                <w:rFonts w:ascii="Cambria" w:hAnsi="Cambria"/>
                <w:b/>
                <w:bCs/>
                <w:sz w:val="20"/>
                <w:szCs w:val="20"/>
                <w:lang w:val="es-419"/>
              </w:rPr>
            </w:pPr>
            <w:r w:rsidRPr="00041526">
              <w:rPr>
                <w:rFonts w:ascii="Cambria" w:hAnsi="Cambria"/>
                <w:b/>
                <w:bCs/>
                <w:sz w:val="20"/>
                <w:szCs w:val="20"/>
                <w:lang w:val="es-419"/>
              </w:rPr>
              <w:t>Derechos declarados admisibles</w:t>
            </w:r>
            <w:r w:rsidRPr="00041526">
              <w:rPr>
                <w:rFonts w:ascii="Cambria" w:hAnsi="Cambria"/>
                <w:sz w:val="20"/>
                <w:szCs w:val="20"/>
                <w:lang w:val="es-419"/>
              </w:rPr>
              <w:t>: El 24 de abril de 2019, la CIDH se declaró competente para analizar la presunta violación de los derechos reconocidos en los artículos 4 (vida), 5 (integridad personal), 8 (garantías judiciales) y 25 (protección judicial) en concordancia con el artículo 1.1 y 2 de la Convención Americana sobre Derechos Humanos.</w:t>
            </w:r>
          </w:p>
        </w:tc>
      </w:tr>
    </w:tbl>
    <w:p w14:paraId="1C2DCF1F" w14:textId="77777777" w:rsidR="00C6263A" w:rsidRPr="00041526" w:rsidRDefault="00C6263A" w:rsidP="00C6263A">
      <w:pPr>
        <w:suppressAutoHyphens/>
        <w:spacing w:after="0" w:line="240" w:lineRule="auto"/>
        <w:ind w:right="180"/>
        <w:jc w:val="both"/>
        <w:rPr>
          <w:rFonts w:ascii="Cambria" w:hAnsi="Cambria"/>
          <w:sz w:val="20"/>
          <w:szCs w:val="20"/>
          <w:lang w:val="es-419"/>
        </w:rPr>
      </w:pPr>
    </w:p>
    <w:p w14:paraId="246F9614" w14:textId="77777777" w:rsidR="00C6263A" w:rsidRPr="00041526" w:rsidRDefault="00C6263A" w:rsidP="00E81EAB">
      <w:pPr>
        <w:pStyle w:val="ListParagraph"/>
        <w:numPr>
          <w:ilvl w:val="1"/>
          <w:numId w:val="6"/>
        </w:numPr>
        <w:spacing w:after="0" w:line="240" w:lineRule="auto"/>
        <w:ind w:left="0" w:right="180" w:firstLine="720"/>
        <w:jc w:val="both"/>
        <w:rPr>
          <w:rFonts w:ascii="Cambria" w:hAnsi="Cambria"/>
          <w:b/>
          <w:bCs/>
          <w:sz w:val="20"/>
          <w:szCs w:val="20"/>
          <w:lang w:val="es-419"/>
        </w:rPr>
      </w:pPr>
      <w:r w:rsidRPr="00041526">
        <w:rPr>
          <w:rFonts w:ascii="Cambria" w:eastAsiaTheme="minorHAnsi" w:hAnsi="Cambria" w:cstheme="minorBidi"/>
          <w:b/>
          <w:bCs/>
          <w:sz w:val="20"/>
          <w:szCs w:val="20"/>
          <w:lang w:val="es-419"/>
        </w:rPr>
        <w:t>ACTIVIDAD PROCESAL</w:t>
      </w:r>
    </w:p>
    <w:p w14:paraId="67DD517C" w14:textId="77777777" w:rsidR="00C6263A" w:rsidRPr="00041526" w:rsidRDefault="00C6263A" w:rsidP="00C6263A">
      <w:pPr>
        <w:tabs>
          <w:tab w:val="left" w:pos="720"/>
        </w:tabs>
        <w:suppressAutoHyphens/>
        <w:spacing w:after="0" w:line="240" w:lineRule="auto"/>
        <w:jc w:val="both"/>
        <w:rPr>
          <w:rFonts w:ascii="Cambria" w:hAnsi="Cambria"/>
          <w:sz w:val="20"/>
          <w:szCs w:val="20"/>
          <w:lang w:val="es-419"/>
        </w:rPr>
      </w:pPr>
    </w:p>
    <w:p w14:paraId="308BE22E" w14:textId="43AF3A67" w:rsidR="00C6263A" w:rsidRPr="00041526" w:rsidRDefault="00996A1D" w:rsidP="00E81EAB">
      <w:pPr>
        <w:pStyle w:val="ListParagraph"/>
        <w:numPr>
          <w:ilvl w:val="0"/>
          <w:numId w:val="3"/>
        </w:numPr>
        <w:spacing w:after="0" w:line="240" w:lineRule="auto"/>
        <w:ind w:left="0" w:firstLine="720"/>
        <w:jc w:val="both"/>
        <w:rPr>
          <w:rFonts w:ascii="Cambria" w:eastAsiaTheme="minorHAnsi" w:hAnsi="Cambria" w:cstheme="minorBidi"/>
          <w:sz w:val="20"/>
          <w:szCs w:val="20"/>
          <w:lang w:val="es-419"/>
        </w:rPr>
      </w:pPr>
      <w:r w:rsidRPr="00041526">
        <w:rPr>
          <w:rFonts w:ascii="Cambria" w:eastAsiaTheme="minorHAnsi" w:hAnsi="Cambria" w:cstheme="minorBidi"/>
          <w:sz w:val="20"/>
          <w:szCs w:val="20"/>
          <w:lang w:val="es-419"/>
        </w:rPr>
        <w:t>El 7 de septiembre de 2021, las partes firmaron un acuerdo de solución amistosa</w:t>
      </w:r>
      <w:r w:rsidR="00C6263A" w:rsidRPr="00041526">
        <w:rPr>
          <w:rFonts w:ascii="Cambria" w:eastAsiaTheme="minorHAnsi" w:hAnsi="Cambria" w:cstheme="minorBidi"/>
          <w:sz w:val="20"/>
          <w:szCs w:val="20"/>
          <w:lang w:val="es-419"/>
        </w:rPr>
        <w:t>.</w:t>
      </w:r>
    </w:p>
    <w:p w14:paraId="0170DA47" w14:textId="77777777" w:rsidR="00C6263A" w:rsidRPr="00041526" w:rsidRDefault="00C6263A" w:rsidP="00C6263A">
      <w:pPr>
        <w:pStyle w:val="ListParagraph"/>
        <w:spacing w:after="0" w:line="240" w:lineRule="auto"/>
        <w:jc w:val="both"/>
        <w:rPr>
          <w:rFonts w:ascii="Cambria" w:eastAsiaTheme="minorHAnsi" w:hAnsi="Cambria" w:cstheme="minorBidi"/>
          <w:sz w:val="20"/>
          <w:szCs w:val="20"/>
          <w:lang w:val="es-419"/>
        </w:rPr>
      </w:pPr>
    </w:p>
    <w:p w14:paraId="617287EB" w14:textId="24F8B4D4" w:rsidR="00C6263A" w:rsidRPr="00041526" w:rsidRDefault="00996A1D" w:rsidP="00E81EAB">
      <w:pPr>
        <w:pStyle w:val="ListParagraph"/>
        <w:numPr>
          <w:ilvl w:val="0"/>
          <w:numId w:val="3"/>
        </w:numPr>
        <w:spacing w:after="0" w:line="240" w:lineRule="auto"/>
        <w:ind w:left="0" w:firstLine="720"/>
        <w:jc w:val="both"/>
        <w:rPr>
          <w:rFonts w:ascii="Cambria" w:eastAsiaTheme="minorHAnsi" w:hAnsi="Cambria" w:cstheme="minorBidi"/>
          <w:sz w:val="20"/>
          <w:szCs w:val="20"/>
          <w:lang w:val="es-419"/>
        </w:rPr>
      </w:pPr>
      <w:r w:rsidRPr="00041526">
        <w:rPr>
          <w:rFonts w:ascii="Cambria" w:eastAsiaTheme="minorHAnsi" w:hAnsi="Cambria" w:cstheme="minorBidi"/>
          <w:sz w:val="20"/>
          <w:szCs w:val="20"/>
          <w:lang w:val="es-419"/>
        </w:rPr>
        <w:t>El 10 de mayo de 2022, la CIDH aprobó el acuerdo suscrito por las partes, mediante el Informe No. 63/22</w:t>
      </w:r>
      <w:r w:rsidR="00C6263A" w:rsidRPr="00041526">
        <w:rPr>
          <w:rFonts w:ascii="Cambria" w:eastAsiaTheme="minorHAnsi" w:hAnsi="Cambria" w:cstheme="minorBidi"/>
          <w:sz w:val="20"/>
          <w:szCs w:val="20"/>
          <w:lang w:val="es-419"/>
        </w:rPr>
        <w:t>.</w:t>
      </w:r>
    </w:p>
    <w:p w14:paraId="67F768E3" w14:textId="77777777" w:rsidR="00C6263A" w:rsidRPr="00041526" w:rsidRDefault="00C6263A" w:rsidP="00C6263A">
      <w:pPr>
        <w:tabs>
          <w:tab w:val="left" w:pos="720"/>
        </w:tabs>
        <w:suppressAutoHyphens/>
        <w:spacing w:after="0" w:line="240" w:lineRule="auto"/>
        <w:jc w:val="both"/>
        <w:rPr>
          <w:rFonts w:ascii="Cambria" w:hAnsi="Cambria"/>
          <w:sz w:val="20"/>
          <w:szCs w:val="20"/>
          <w:lang w:val="es-419"/>
        </w:rPr>
      </w:pPr>
    </w:p>
    <w:p w14:paraId="197FB119" w14:textId="77777777" w:rsidR="00C6263A" w:rsidRPr="00041526" w:rsidRDefault="00C6263A" w:rsidP="00E81EAB">
      <w:pPr>
        <w:pStyle w:val="ListParagraph"/>
        <w:numPr>
          <w:ilvl w:val="1"/>
          <w:numId w:val="6"/>
        </w:numPr>
        <w:spacing w:after="0" w:line="240" w:lineRule="auto"/>
        <w:ind w:left="0" w:right="180" w:firstLine="720"/>
        <w:jc w:val="both"/>
        <w:rPr>
          <w:rFonts w:ascii="Cambria" w:eastAsiaTheme="minorHAnsi" w:hAnsi="Cambria" w:cstheme="minorBidi"/>
          <w:b/>
          <w:bCs/>
          <w:sz w:val="20"/>
          <w:szCs w:val="20"/>
          <w:lang w:val="es-419"/>
        </w:rPr>
      </w:pPr>
      <w:r w:rsidRPr="00041526">
        <w:rPr>
          <w:rFonts w:ascii="Cambria" w:eastAsiaTheme="minorHAnsi" w:hAnsi="Cambria" w:cstheme="minorBidi"/>
          <w:b/>
          <w:bCs/>
          <w:sz w:val="20"/>
          <w:szCs w:val="20"/>
          <w:lang w:val="es-419"/>
        </w:rPr>
        <w:t>ANÁLISIS DEL CUMPLIMIENTO DE LAS CLÁUSULAS DEL ACUERDO DE SOLUCIÓN AMISTOSA</w:t>
      </w:r>
    </w:p>
    <w:p w14:paraId="52B9BD62" w14:textId="77777777" w:rsidR="00C6263A" w:rsidRPr="00041526" w:rsidRDefault="00C6263A" w:rsidP="00C6263A">
      <w:pPr>
        <w:suppressAutoHyphens/>
        <w:spacing w:after="0" w:line="240" w:lineRule="auto"/>
        <w:ind w:left="720"/>
        <w:contextualSpacing/>
        <w:jc w:val="both"/>
        <w:textAlignment w:val="baseline"/>
        <w:rPr>
          <w:rFonts w:ascii="Cambria" w:eastAsia="Times New Roman" w:hAnsi="Cambria" w:cs="Segoe UI"/>
          <w:sz w:val="20"/>
          <w:szCs w:val="20"/>
          <w:lang w:val="es-419"/>
        </w:rPr>
      </w:pPr>
    </w:p>
    <w:tbl>
      <w:tblPr>
        <w:tblW w:w="9640"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80"/>
        <w:gridCol w:w="4960"/>
      </w:tblGrid>
      <w:tr w:rsidR="00996A1D" w:rsidRPr="00041526" w14:paraId="4733D5BE" w14:textId="77777777" w:rsidTr="0019340A">
        <w:tc>
          <w:tcPr>
            <w:tcW w:w="46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AA3465F" w14:textId="77777777" w:rsidR="00996A1D" w:rsidRPr="00041526" w:rsidRDefault="00996A1D" w:rsidP="00C6263A">
            <w:pPr>
              <w:spacing w:after="0" w:line="240" w:lineRule="auto"/>
              <w:jc w:val="center"/>
              <w:textAlignment w:val="baseline"/>
              <w:rPr>
                <w:rFonts w:ascii="Cambria" w:eastAsia="MS Mincho" w:hAnsi="Cambria" w:cs="Segoe UI"/>
                <w:b/>
                <w:bCs/>
                <w:color w:val="000000"/>
                <w:sz w:val="20"/>
                <w:szCs w:val="20"/>
                <w:lang w:val="es-VE"/>
              </w:rPr>
            </w:pPr>
            <w:r w:rsidRPr="00041526">
              <w:rPr>
                <w:rFonts w:ascii="Cambria" w:eastAsia="MS Mincho" w:hAnsi="Cambria"/>
                <w:b/>
                <w:bCs/>
                <w:sz w:val="20"/>
                <w:szCs w:val="20"/>
                <w:lang w:val="es-VE"/>
              </w:rPr>
              <w:t>Cláusulas del Acuerdo </w:t>
            </w:r>
          </w:p>
        </w:tc>
        <w:tc>
          <w:tcPr>
            <w:tcW w:w="49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8AD9B83" w14:textId="036A04A0" w:rsidR="00996A1D" w:rsidRPr="00041526" w:rsidRDefault="00996A1D" w:rsidP="00996A1D">
            <w:pPr>
              <w:spacing w:after="0" w:line="240" w:lineRule="auto"/>
              <w:ind w:left="344"/>
              <w:jc w:val="center"/>
              <w:textAlignment w:val="baseline"/>
              <w:rPr>
                <w:rFonts w:ascii="Cambria" w:eastAsia="MS Mincho" w:hAnsi="Cambria" w:cs="Segoe UI"/>
                <w:b/>
                <w:bCs/>
                <w:color w:val="000000"/>
                <w:sz w:val="20"/>
                <w:szCs w:val="20"/>
                <w:lang w:val="es-VE"/>
              </w:rPr>
            </w:pPr>
            <w:r w:rsidRPr="00041526">
              <w:rPr>
                <w:rFonts w:ascii="Cambria" w:eastAsia="MS Mincho" w:hAnsi="Cambria"/>
                <w:b/>
                <w:bCs/>
                <w:sz w:val="20"/>
                <w:szCs w:val="20"/>
                <w:lang w:val="es-VE"/>
              </w:rPr>
              <w:t>Estado de Cumplimiento</w:t>
            </w:r>
          </w:p>
        </w:tc>
      </w:tr>
      <w:tr w:rsidR="00996A1D" w:rsidRPr="00041526" w14:paraId="23036E5E" w14:textId="77777777" w:rsidTr="0019340A">
        <w:trPr>
          <w:trHeight w:val="210"/>
        </w:trPr>
        <w:tc>
          <w:tcPr>
            <w:tcW w:w="4680" w:type="dxa"/>
            <w:tcBorders>
              <w:top w:val="single" w:sz="6" w:space="0" w:color="auto"/>
              <w:left w:val="single" w:sz="6" w:space="0" w:color="auto"/>
              <w:bottom w:val="single" w:sz="6" w:space="0" w:color="auto"/>
              <w:right w:val="single" w:sz="6" w:space="0" w:color="auto"/>
            </w:tcBorders>
            <w:shd w:val="clear" w:color="auto" w:fill="auto"/>
          </w:tcPr>
          <w:p w14:paraId="2A9BBC1B" w14:textId="77777777" w:rsidR="00C6263A" w:rsidRPr="00041526" w:rsidRDefault="00C6263A" w:rsidP="00C6263A">
            <w:pPr>
              <w:spacing w:after="0" w:line="240" w:lineRule="auto"/>
              <w:ind w:left="172" w:right="164"/>
              <w:jc w:val="both"/>
              <w:textAlignment w:val="baseline"/>
              <w:rPr>
                <w:rFonts w:ascii="Cambria" w:eastAsia="MS Mincho" w:hAnsi="Cambria"/>
                <w:color w:val="000000"/>
                <w:sz w:val="20"/>
                <w:szCs w:val="20"/>
                <w:lang w:val="es-VE"/>
              </w:rPr>
            </w:pPr>
            <w:r w:rsidRPr="00041526">
              <w:rPr>
                <w:rFonts w:ascii="Cambria" w:eastAsia="MS Mincho" w:hAnsi="Cambria"/>
                <w:b/>
                <w:bCs/>
                <w:color w:val="000000"/>
                <w:sz w:val="20"/>
                <w:szCs w:val="20"/>
                <w:lang w:val="es-VE"/>
              </w:rPr>
              <w:t>Cuarta Parte: Reconocimiento de Responsabilidad.</w:t>
            </w:r>
            <w:r w:rsidRPr="00041526">
              <w:rPr>
                <w:rFonts w:ascii="Cambria" w:eastAsia="MS Mincho" w:hAnsi="Cambria"/>
                <w:color w:val="000000"/>
                <w:sz w:val="20"/>
                <w:szCs w:val="20"/>
                <w:lang w:val="es-VE"/>
              </w:rPr>
              <w:t xml:space="preserve"> </w:t>
            </w:r>
            <w:r w:rsidRPr="00041526">
              <w:rPr>
                <w:rFonts w:ascii="Cambria" w:eastAsia="MS Mincho" w:hAnsi="Cambria" w:cs="Segoe UI"/>
                <w:sz w:val="20"/>
                <w:szCs w:val="20"/>
                <w:lang w:val="es-VE"/>
              </w:rPr>
              <w:t xml:space="preserve">El Estado colombiano reconoce su responsabilidad internacional por la violación de los derechos reconocidos en los artículos 8 (garantías judiciales) y 25 (protección judicial) de la Convención Americana sobre Derechos </w:t>
            </w:r>
            <w:r w:rsidRPr="00041526">
              <w:rPr>
                <w:rFonts w:ascii="Cambria" w:eastAsia="MS Mincho" w:hAnsi="Cambria" w:cs="Segoe UI"/>
                <w:sz w:val="20"/>
                <w:szCs w:val="20"/>
                <w:lang w:val="es-VE"/>
              </w:rPr>
              <w:lastRenderedPageBreak/>
              <w:t>Humanos en relación con el artículo 1.1 del mismo instrumento, en perjuicio de los familiares del señor Gabriel Ángel Gómez Martínez, por la falta de diligencia en la investigación de los hechos sucedidos.</w:t>
            </w:r>
          </w:p>
        </w:tc>
        <w:tc>
          <w:tcPr>
            <w:tcW w:w="4960" w:type="dxa"/>
            <w:tcBorders>
              <w:top w:val="single" w:sz="6" w:space="0" w:color="auto"/>
              <w:left w:val="single" w:sz="6" w:space="0" w:color="auto"/>
              <w:bottom w:val="single" w:sz="6" w:space="0" w:color="auto"/>
              <w:right w:val="single" w:sz="6" w:space="0" w:color="auto"/>
            </w:tcBorders>
            <w:shd w:val="clear" w:color="auto" w:fill="auto"/>
            <w:vAlign w:val="center"/>
          </w:tcPr>
          <w:p w14:paraId="338C28BB" w14:textId="77777777" w:rsidR="00C6263A" w:rsidRPr="00041526" w:rsidRDefault="00C6263A" w:rsidP="00C6263A">
            <w:pPr>
              <w:spacing w:after="0" w:line="240" w:lineRule="auto"/>
              <w:jc w:val="center"/>
              <w:textAlignment w:val="baseline"/>
              <w:rPr>
                <w:rFonts w:ascii="Cambria" w:eastAsia="MS Mincho" w:hAnsi="Cambria"/>
                <w:b/>
                <w:bCs/>
                <w:sz w:val="20"/>
                <w:szCs w:val="20"/>
                <w:lang w:val="es-VE"/>
              </w:rPr>
            </w:pPr>
            <w:r w:rsidRPr="00041526">
              <w:rPr>
                <w:rFonts w:ascii="Cambria" w:eastAsia="MS Mincho" w:hAnsi="Cambria"/>
                <w:b/>
                <w:bCs/>
                <w:sz w:val="20"/>
                <w:szCs w:val="20"/>
                <w:lang w:val="es-VE"/>
              </w:rPr>
              <w:lastRenderedPageBreak/>
              <w:t>Cláusula Declarativa </w:t>
            </w:r>
          </w:p>
        </w:tc>
      </w:tr>
      <w:tr w:rsidR="00996A1D" w:rsidRPr="00041526" w14:paraId="0A0C9BB7" w14:textId="77777777" w:rsidTr="0019340A">
        <w:tc>
          <w:tcPr>
            <w:tcW w:w="96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5ADDD38" w14:textId="77777777" w:rsidR="00C6263A" w:rsidRPr="00041526" w:rsidRDefault="00C6263A" w:rsidP="00C6263A">
            <w:pPr>
              <w:spacing w:after="0" w:line="240" w:lineRule="auto"/>
              <w:textAlignment w:val="baseline"/>
              <w:rPr>
                <w:rFonts w:ascii="Cambria" w:eastAsia="MS Mincho" w:hAnsi="Cambria" w:cs="Segoe UI"/>
                <w:b/>
                <w:bCs/>
                <w:color w:val="000000"/>
                <w:sz w:val="20"/>
                <w:szCs w:val="20"/>
                <w:lang w:val="es-VE"/>
              </w:rPr>
            </w:pPr>
            <w:r w:rsidRPr="00041526">
              <w:rPr>
                <w:rFonts w:ascii="Cambria" w:eastAsia="MS Mincho" w:hAnsi="Cambria" w:cs="Segoe UI"/>
                <w:b/>
                <w:bCs/>
                <w:color w:val="000000"/>
                <w:sz w:val="20"/>
                <w:szCs w:val="20"/>
                <w:lang w:val="es-VE"/>
              </w:rPr>
              <w:t xml:space="preserve">    Quinta Parte: Medidas de Satisfacción</w:t>
            </w:r>
          </w:p>
        </w:tc>
      </w:tr>
      <w:tr w:rsidR="00996A1D" w:rsidRPr="00041526" w14:paraId="79736F13" w14:textId="77777777" w:rsidTr="0019340A">
        <w:trPr>
          <w:trHeight w:val="45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0BE8450" w14:textId="77777777" w:rsidR="00C6263A" w:rsidRPr="00041526" w:rsidRDefault="00C6263A" w:rsidP="00E81EAB">
            <w:pPr>
              <w:numPr>
                <w:ilvl w:val="2"/>
                <w:numId w:val="2"/>
              </w:numPr>
              <w:suppressAutoHyphens/>
              <w:spacing w:after="0" w:line="240" w:lineRule="auto"/>
              <w:ind w:left="172" w:right="164" w:firstLine="8"/>
              <w:jc w:val="both"/>
              <w:textAlignment w:val="baseline"/>
              <w:rPr>
                <w:rFonts w:ascii="Cambria" w:eastAsia="MS Mincho" w:hAnsi="Cambria" w:cs="Segoe UI"/>
                <w:color w:val="000000"/>
                <w:sz w:val="20"/>
                <w:szCs w:val="20"/>
                <w:lang w:val="es-VE"/>
              </w:rPr>
            </w:pPr>
            <w:r w:rsidRPr="00041526">
              <w:rPr>
                <w:rFonts w:ascii="Cambria" w:eastAsia="MS Mincho" w:hAnsi="Cambria" w:cs="Segoe UI"/>
                <w:b/>
                <w:bCs/>
                <w:color w:val="000000"/>
                <w:sz w:val="20"/>
                <w:szCs w:val="20"/>
                <w:lang w:val="es-VE"/>
              </w:rPr>
              <w:t>Acto de Reconocimiento de Responsabilidad:</w:t>
            </w:r>
            <w:r w:rsidRPr="00041526">
              <w:rPr>
                <w:rFonts w:ascii="Cambria" w:eastAsia="MS Mincho" w:hAnsi="Cambria" w:cs="Segoe UI"/>
                <w:color w:val="000000"/>
                <w:sz w:val="20"/>
                <w:szCs w:val="20"/>
                <w:lang w:val="es-VE"/>
              </w:rPr>
              <w:t xml:space="preserve"> El Estado colombiano realizará un Acto Privado de Reconocimiento de Responsabilidad, de manera virtual, con la participación de los familiares del señor Gabriel Ángel Gómez y sus representantes. El acto se realizará de conformidad con el reconocimiento de responsabilidad señalado en este Acuerdo. La presente medida estará a cargo de la Agencia Nacional de Defensa Jurídica del Estado</w:t>
            </w:r>
            <w:r w:rsidRPr="00041526">
              <w:rPr>
                <w:rFonts w:ascii="Cambria" w:eastAsia="MS Mincho" w:hAnsi="Cambria" w:cs="Segoe UI"/>
                <w:sz w:val="20"/>
                <w:szCs w:val="20"/>
                <w:lang w:val="es-VE"/>
              </w:rPr>
              <w:t>. </w:t>
            </w:r>
          </w:p>
        </w:tc>
        <w:tc>
          <w:tcPr>
            <w:tcW w:w="4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E6B9D1" w14:textId="77777777" w:rsidR="00C6263A" w:rsidRPr="00041526" w:rsidRDefault="00C6263A" w:rsidP="00C6263A">
            <w:pPr>
              <w:spacing w:after="0" w:line="240" w:lineRule="auto"/>
              <w:jc w:val="center"/>
              <w:textAlignment w:val="baseline"/>
              <w:rPr>
                <w:rFonts w:ascii="Cambria" w:eastAsia="MS Mincho" w:hAnsi="Cambria" w:cs="Segoe UI"/>
                <w:b/>
                <w:bCs/>
                <w:color w:val="000000"/>
                <w:sz w:val="20"/>
                <w:szCs w:val="20"/>
                <w:lang w:val="es-VE"/>
              </w:rPr>
            </w:pPr>
            <w:r w:rsidRPr="00041526">
              <w:rPr>
                <w:rFonts w:ascii="Cambria" w:eastAsia="MS Mincho" w:hAnsi="Cambria"/>
                <w:b/>
                <w:bCs/>
                <w:sz w:val="20"/>
                <w:szCs w:val="20"/>
                <w:lang w:val="es-VE"/>
              </w:rPr>
              <w:t>Total</w:t>
            </w:r>
            <w:r w:rsidRPr="00041526">
              <w:rPr>
                <w:rFonts w:ascii="Cambria" w:eastAsia="MS Mincho" w:hAnsi="Cambria"/>
                <w:b/>
                <w:bCs/>
                <w:sz w:val="20"/>
                <w:szCs w:val="20"/>
                <w:vertAlign w:val="superscript"/>
                <w:lang w:val="es-VE"/>
              </w:rPr>
              <w:footnoteReference w:id="2"/>
            </w:r>
          </w:p>
        </w:tc>
      </w:tr>
      <w:tr w:rsidR="00996A1D" w:rsidRPr="00041526" w14:paraId="4085F607" w14:textId="77777777" w:rsidTr="0019340A">
        <w:trPr>
          <w:trHeight w:val="228"/>
        </w:trPr>
        <w:tc>
          <w:tcPr>
            <w:tcW w:w="4680" w:type="dxa"/>
            <w:tcBorders>
              <w:top w:val="single" w:sz="6" w:space="0" w:color="auto"/>
              <w:left w:val="single" w:sz="6" w:space="0" w:color="auto"/>
              <w:bottom w:val="single" w:sz="4" w:space="0" w:color="auto"/>
              <w:right w:val="single" w:sz="6" w:space="0" w:color="auto"/>
            </w:tcBorders>
            <w:shd w:val="clear" w:color="auto" w:fill="auto"/>
            <w:hideMark/>
          </w:tcPr>
          <w:p w14:paraId="5C79182C" w14:textId="77777777" w:rsidR="00C6263A" w:rsidRPr="00041526" w:rsidRDefault="00C6263A" w:rsidP="00E81EAB">
            <w:pPr>
              <w:numPr>
                <w:ilvl w:val="2"/>
                <w:numId w:val="2"/>
              </w:numPr>
              <w:suppressAutoHyphens/>
              <w:spacing w:after="0" w:line="240" w:lineRule="auto"/>
              <w:ind w:left="172" w:right="164" w:firstLine="8"/>
              <w:jc w:val="both"/>
              <w:textAlignment w:val="baseline"/>
              <w:rPr>
                <w:rFonts w:ascii="Cambria" w:eastAsia="MS Mincho" w:hAnsi="Cambria" w:cs="Segoe UI"/>
                <w:color w:val="000000"/>
                <w:sz w:val="20"/>
                <w:szCs w:val="20"/>
                <w:lang w:val="es-VE"/>
              </w:rPr>
            </w:pPr>
            <w:r w:rsidRPr="00041526">
              <w:rPr>
                <w:rFonts w:ascii="Cambria" w:eastAsia="MS Mincho" w:hAnsi="Cambria" w:cs="Segoe UI"/>
                <w:b/>
                <w:bCs/>
                <w:color w:val="000000"/>
                <w:sz w:val="20"/>
                <w:szCs w:val="20"/>
                <w:lang w:val="es-VE"/>
              </w:rPr>
              <w:t xml:space="preserve">Publicación del Informe de Artículo 49: </w:t>
            </w:r>
            <w:r w:rsidRPr="00041526">
              <w:rPr>
                <w:rFonts w:ascii="Cambria" w:eastAsia="MS Mincho" w:hAnsi="Cambria" w:cs="Segoe UI"/>
                <w:color w:val="000000"/>
                <w:sz w:val="20"/>
                <w:szCs w:val="20"/>
                <w:lang w:val="es-VE"/>
              </w:rPr>
              <w:t>El Estado Colombiano realizará la publicación de los apartes pertinentes del informe de solución amistosa una vez sea emitido por la Comisión Interamericana de Derechos Humanos, en la página web de la Agencia Nacional de Defensa Jurídica del Estado, por el término de seis (6) meses.</w:t>
            </w:r>
            <w:r w:rsidRPr="00041526">
              <w:rPr>
                <w:rFonts w:ascii="Cambria" w:eastAsia="MS Mincho" w:hAnsi="Cambria" w:cs="Segoe UI"/>
                <w:sz w:val="20"/>
                <w:szCs w:val="20"/>
                <w:lang w:val="es-VE"/>
              </w:rPr>
              <w:t> </w:t>
            </w:r>
          </w:p>
        </w:tc>
        <w:tc>
          <w:tcPr>
            <w:tcW w:w="496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2CA13BF5" w14:textId="77777777" w:rsidR="00C6263A" w:rsidRPr="00041526" w:rsidRDefault="00C6263A" w:rsidP="00C6263A">
            <w:pPr>
              <w:suppressAutoHyphens/>
              <w:spacing w:after="0" w:line="240" w:lineRule="auto"/>
              <w:ind w:left="130" w:right="187"/>
              <w:jc w:val="center"/>
              <w:rPr>
                <w:rFonts w:ascii="Cambria" w:hAnsi="Cambria" w:cs="Segoe UI"/>
                <w:color w:val="000000"/>
                <w:sz w:val="20"/>
                <w:szCs w:val="20"/>
                <w:lang w:val="es-VE"/>
              </w:rPr>
            </w:pPr>
            <w:r w:rsidRPr="00041526">
              <w:rPr>
                <w:rFonts w:ascii="Cambria" w:eastAsia="MS Mincho" w:hAnsi="Cambria" w:cs="Segoe UI"/>
                <w:b/>
                <w:bCs/>
                <w:sz w:val="20"/>
                <w:szCs w:val="20"/>
                <w:lang w:val="es-VE"/>
              </w:rPr>
              <w:t>Total</w:t>
            </w:r>
            <w:r w:rsidRPr="00041526">
              <w:rPr>
                <w:rFonts w:ascii="Cambria" w:eastAsia="MS Mincho" w:hAnsi="Cambria" w:cs="Segoe UI"/>
                <w:b/>
                <w:bCs/>
                <w:sz w:val="20"/>
                <w:szCs w:val="20"/>
                <w:vertAlign w:val="superscript"/>
                <w:lang w:val="es-VE"/>
              </w:rPr>
              <w:footnoteReference w:id="3"/>
            </w:r>
          </w:p>
        </w:tc>
      </w:tr>
      <w:tr w:rsidR="00996A1D" w:rsidRPr="00041526" w14:paraId="04C6F692" w14:textId="77777777" w:rsidTr="0019340A">
        <w:trPr>
          <w:trHeight w:val="195"/>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E3C4414" w14:textId="77777777" w:rsidR="00996A1D" w:rsidRPr="00041526" w:rsidRDefault="00996A1D" w:rsidP="00C6263A">
            <w:pPr>
              <w:spacing w:after="0" w:line="240" w:lineRule="auto"/>
              <w:ind w:left="172" w:right="164" w:firstLine="8"/>
              <w:jc w:val="both"/>
              <w:textAlignment w:val="baseline"/>
              <w:rPr>
                <w:rFonts w:ascii="Cambria" w:eastAsia="MS Mincho" w:hAnsi="Cambria" w:cs="Segoe UI"/>
                <w:color w:val="000000"/>
                <w:sz w:val="20"/>
                <w:szCs w:val="20"/>
                <w:lang w:val="es-VE"/>
              </w:rPr>
            </w:pPr>
            <w:r w:rsidRPr="00041526">
              <w:rPr>
                <w:rFonts w:ascii="Cambria" w:eastAsia="MS Mincho" w:hAnsi="Cambria"/>
                <w:b/>
                <w:bCs/>
                <w:color w:val="000000"/>
                <w:sz w:val="20"/>
                <w:szCs w:val="20"/>
                <w:lang w:val="es-VE"/>
              </w:rPr>
              <w:t>Sexta Parte: Medidas de Compensación.</w:t>
            </w:r>
            <w:r w:rsidRPr="00041526">
              <w:rPr>
                <w:rFonts w:ascii="Cambria" w:eastAsia="MS Mincho" w:hAnsi="Cambria"/>
                <w:color w:val="000000"/>
                <w:sz w:val="20"/>
                <w:szCs w:val="20"/>
                <w:lang w:val="es-VE"/>
              </w:rPr>
              <w:t> </w:t>
            </w:r>
            <w:r w:rsidRPr="00041526">
              <w:rPr>
                <w:rFonts w:ascii="Cambria" w:eastAsia="MS Mincho" w:hAnsi="Cambria" w:cs="Segoe UI"/>
                <w:color w:val="000000"/>
                <w:sz w:val="20"/>
                <w:szCs w:val="20"/>
                <w:lang w:val="es-VE"/>
              </w:rPr>
              <w:t>El Estado se compromete a dar inicio al trámite de la Ley 288 de 1996 “Por medio de la cual se establecen instrumentos para la indemnización de perjuicio a las víctimas de violaciones de derechos humanos en virtud de lo dispuesto por determinados órganos internacionales de Derechos Humanos”, una vez se homologue el presente acuerdo de solución amistosa mediante la expedición del Informe de Artículo 49 de la Convención Americana sobre Derechos Humanos, con el propósito de reparar los perjuicios ocasionados a los familiares de las víctimas como consecuencia de las afectaciones generadas por los hechos del presente caso. La Agencia Nacional de Defensa Jurídica del Estado será la entidad encargada de asumir el trámite de la Ley 288 de 1996. Para efectos de la indemnización, se acudirá a los criterios y montos reconocidos por la jurisprudencia vigente del Consejo de Estado</w:t>
            </w:r>
          </w:p>
        </w:tc>
        <w:tc>
          <w:tcPr>
            <w:tcW w:w="4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673E1F" w14:textId="1A6420E5" w:rsidR="00996A1D" w:rsidRPr="00041526" w:rsidRDefault="00996A1D" w:rsidP="00996A1D">
            <w:pPr>
              <w:spacing w:after="0" w:line="240" w:lineRule="auto"/>
              <w:jc w:val="center"/>
              <w:textAlignment w:val="baseline"/>
              <w:rPr>
                <w:rFonts w:ascii="Cambria" w:eastAsia="MS Mincho" w:hAnsi="Cambria" w:cs="Segoe UI"/>
                <w:color w:val="000000"/>
                <w:sz w:val="20"/>
                <w:szCs w:val="20"/>
                <w:lang w:val="es-ES"/>
              </w:rPr>
            </w:pPr>
            <w:r w:rsidRPr="00041526">
              <w:rPr>
                <w:rFonts w:ascii="Cambria" w:eastAsia="MS Mincho" w:hAnsi="Cambria"/>
                <w:b/>
                <w:bCs/>
                <w:sz w:val="20"/>
                <w:szCs w:val="20"/>
                <w:lang w:val="es-VE"/>
              </w:rPr>
              <w:t>Total</w:t>
            </w:r>
            <w:r w:rsidRPr="00041526">
              <w:rPr>
                <w:rStyle w:val="FootnoteReference"/>
                <w:rFonts w:ascii="Cambria" w:eastAsia="MS Mincho" w:hAnsi="Cambria"/>
                <w:b/>
                <w:bCs/>
                <w:sz w:val="20"/>
                <w:szCs w:val="20"/>
                <w:lang w:val="es-VE"/>
              </w:rPr>
              <w:footnoteReference w:id="4"/>
            </w:r>
          </w:p>
        </w:tc>
      </w:tr>
      <w:tr w:rsidR="00996A1D" w:rsidRPr="00041526" w14:paraId="56A5DDC5" w14:textId="77777777" w:rsidTr="0019340A">
        <w:trPr>
          <w:trHeight w:val="210"/>
        </w:trPr>
        <w:tc>
          <w:tcPr>
            <w:tcW w:w="4680" w:type="dxa"/>
            <w:tcBorders>
              <w:top w:val="single" w:sz="6" w:space="0" w:color="auto"/>
              <w:left w:val="single" w:sz="6" w:space="0" w:color="auto"/>
              <w:bottom w:val="single" w:sz="6" w:space="0" w:color="auto"/>
              <w:right w:val="single" w:sz="6" w:space="0" w:color="auto"/>
            </w:tcBorders>
            <w:shd w:val="clear" w:color="auto" w:fill="auto"/>
          </w:tcPr>
          <w:p w14:paraId="5FEDE134" w14:textId="77777777" w:rsidR="00C6263A" w:rsidRPr="00041526" w:rsidRDefault="00C6263A" w:rsidP="00C6263A">
            <w:pPr>
              <w:spacing w:after="0" w:line="240" w:lineRule="auto"/>
              <w:ind w:left="172" w:right="164" w:firstLine="8"/>
              <w:jc w:val="both"/>
              <w:textAlignment w:val="baseline"/>
              <w:rPr>
                <w:rFonts w:ascii="Cambria" w:eastAsia="MS Mincho" w:hAnsi="Cambria"/>
                <w:color w:val="000000"/>
                <w:sz w:val="20"/>
                <w:szCs w:val="20"/>
                <w:lang w:val="es-VE"/>
              </w:rPr>
            </w:pPr>
            <w:r w:rsidRPr="00041526">
              <w:rPr>
                <w:rFonts w:ascii="Cambria" w:eastAsia="MS Mincho" w:hAnsi="Cambria"/>
                <w:b/>
                <w:bCs/>
                <w:color w:val="000000"/>
                <w:sz w:val="20"/>
                <w:szCs w:val="20"/>
                <w:lang w:val="es-VE"/>
              </w:rPr>
              <w:t>Séptima Parte: Homologación y Seguimiento</w:t>
            </w:r>
            <w:r w:rsidRPr="00041526">
              <w:rPr>
                <w:rFonts w:ascii="Cambria" w:eastAsia="MS Mincho" w:hAnsi="Cambria"/>
                <w:color w:val="000000"/>
                <w:sz w:val="20"/>
                <w:szCs w:val="20"/>
                <w:lang w:val="es-VE"/>
              </w:rPr>
              <w:t xml:space="preserve">. </w:t>
            </w:r>
            <w:r w:rsidRPr="00041526">
              <w:rPr>
                <w:rFonts w:ascii="Cambria" w:eastAsia="MS Mincho" w:hAnsi="Cambria" w:cs="Segoe UI"/>
                <w:color w:val="000000"/>
                <w:sz w:val="20"/>
                <w:szCs w:val="20"/>
                <w:lang w:val="es-VE"/>
              </w:rPr>
              <w:t>Las partes le solicitan a la Comisión Interamericana la homologación del presente Acuerdo y su seguimiento.</w:t>
            </w:r>
            <w:r w:rsidRPr="00041526">
              <w:rPr>
                <w:rFonts w:ascii="Cambria" w:eastAsia="MS Mincho" w:hAnsi="Cambria"/>
                <w:color w:val="000000"/>
                <w:sz w:val="20"/>
                <w:szCs w:val="20"/>
                <w:lang w:val="es-VE"/>
              </w:rPr>
              <w:t xml:space="preserve"> </w:t>
            </w:r>
          </w:p>
        </w:tc>
        <w:tc>
          <w:tcPr>
            <w:tcW w:w="4960" w:type="dxa"/>
            <w:tcBorders>
              <w:top w:val="single" w:sz="6" w:space="0" w:color="auto"/>
              <w:left w:val="single" w:sz="6" w:space="0" w:color="auto"/>
              <w:bottom w:val="single" w:sz="6" w:space="0" w:color="auto"/>
              <w:right w:val="single" w:sz="6" w:space="0" w:color="auto"/>
            </w:tcBorders>
            <w:shd w:val="clear" w:color="auto" w:fill="auto"/>
            <w:vAlign w:val="center"/>
          </w:tcPr>
          <w:p w14:paraId="43E58180" w14:textId="77777777" w:rsidR="00C6263A" w:rsidRPr="00041526" w:rsidRDefault="00C6263A" w:rsidP="00C6263A">
            <w:pPr>
              <w:spacing w:after="0" w:line="240" w:lineRule="auto"/>
              <w:jc w:val="center"/>
              <w:textAlignment w:val="baseline"/>
              <w:rPr>
                <w:rFonts w:ascii="Cambria" w:eastAsia="MS Mincho" w:hAnsi="Cambria"/>
                <w:b/>
                <w:bCs/>
                <w:sz w:val="20"/>
                <w:szCs w:val="20"/>
                <w:lang w:val="es-VE"/>
              </w:rPr>
            </w:pPr>
            <w:r w:rsidRPr="00041526">
              <w:rPr>
                <w:rFonts w:ascii="Cambria" w:eastAsia="MS Mincho" w:hAnsi="Cambria"/>
                <w:b/>
                <w:bCs/>
                <w:sz w:val="20"/>
                <w:szCs w:val="20"/>
                <w:lang w:val="es-VE"/>
              </w:rPr>
              <w:t>Cláusula Declarativa </w:t>
            </w:r>
          </w:p>
        </w:tc>
      </w:tr>
    </w:tbl>
    <w:p w14:paraId="24A57D2F" w14:textId="77777777" w:rsidR="00C6263A" w:rsidRPr="00041526" w:rsidRDefault="00C6263A" w:rsidP="00996A1D">
      <w:pPr>
        <w:spacing w:after="0" w:line="240" w:lineRule="auto"/>
        <w:contextualSpacing/>
        <w:jc w:val="both"/>
        <w:rPr>
          <w:rFonts w:ascii="Cambria" w:hAnsi="Cambria"/>
          <w:b/>
          <w:bCs/>
          <w:sz w:val="20"/>
          <w:szCs w:val="20"/>
          <w:lang w:val="es-419"/>
        </w:rPr>
      </w:pPr>
    </w:p>
    <w:p w14:paraId="7BC02872" w14:textId="77777777" w:rsidR="00C6263A" w:rsidRPr="00041526" w:rsidRDefault="00C6263A" w:rsidP="00E81EAB">
      <w:pPr>
        <w:pStyle w:val="ListParagraph"/>
        <w:numPr>
          <w:ilvl w:val="1"/>
          <w:numId w:val="6"/>
        </w:numPr>
        <w:spacing w:after="0" w:line="240" w:lineRule="auto"/>
        <w:ind w:left="0" w:right="180" w:firstLine="720"/>
        <w:jc w:val="both"/>
        <w:rPr>
          <w:rFonts w:ascii="Cambria" w:eastAsiaTheme="minorHAnsi" w:hAnsi="Cambria" w:cstheme="minorBidi"/>
          <w:b/>
          <w:bCs/>
          <w:sz w:val="20"/>
          <w:szCs w:val="20"/>
          <w:lang w:val="es-419"/>
        </w:rPr>
      </w:pPr>
      <w:r w:rsidRPr="00041526">
        <w:rPr>
          <w:rFonts w:ascii="Cambria" w:eastAsiaTheme="minorHAnsi" w:hAnsi="Cambria" w:cstheme="minorBidi"/>
          <w:b/>
          <w:bCs/>
          <w:sz w:val="20"/>
          <w:szCs w:val="20"/>
          <w:lang w:val="es-419"/>
        </w:rPr>
        <w:lastRenderedPageBreak/>
        <w:t>NIVEL DE CUMPLIMIENTO DEL CASO</w:t>
      </w:r>
    </w:p>
    <w:p w14:paraId="3C9EEBCA" w14:textId="77777777" w:rsidR="00C6263A" w:rsidRPr="00041526" w:rsidRDefault="00C6263A" w:rsidP="00996A1D">
      <w:pPr>
        <w:spacing w:after="0" w:line="240" w:lineRule="auto"/>
        <w:jc w:val="both"/>
        <w:rPr>
          <w:rFonts w:ascii="Cambria" w:eastAsiaTheme="minorHAnsi" w:hAnsi="Cambria" w:cstheme="minorBidi"/>
          <w:sz w:val="20"/>
          <w:szCs w:val="20"/>
          <w:lang w:val="es-419"/>
        </w:rPr>
      </w:pPr>
    </w:p>
    <w:p w14:paraId="37C86C3D" w14:textId="78C07888" w:rsidR="00C6263A" w:rsidRPr="00041526" w:rsidRDefault="00C6263A" w:rsidP="00E81EAB">
      <w:pPr>
        <w:pStyle w:val="ListParagraph"/>
        <w:numPr>
          <w:ilvl w:val="0"/>
          <w:numId w:val="3"/>
        </w:numPr>
        <w:spacing w:after="0" w:line="240" w:lineRule="auto"/>
        <w:ind w:left="0" w:firstLine="720"/>
        <w:jc w:val="both"/>
        <w:rPr>
          <w:rFonts w:ascii="Cambria" w:eastAsiaTheme="minorHAnsi" w:hAnsi="Cambria" w:cstheme="minorBidi"/>
          <w:sz w:val="20"/>
          <w:szCs w:val="20"/>
          <w:lang w:val="es-419"/>
        </w:rPr>
      </w:pPr>
      <w:r w:rsidRPr="00041526">
        <w:rPr>
          <w:rFonts w:ascii="Cambria" w:eastAsiaTheme="minorHAnsi" w:hAnsi="Cambria" w:cstheme="minorBidi"/>
          <w:sz w:val="20"/>
          <w:szCs w:val="20"/>
          <w:lang w:val="es-419"/>
        </w:rPr>
        <w:t xml:space="preserve">La Comisión </w:t>
      </w:r>
      <w:r w:rsidR="00996A1D" w:rsidRPr="00041526">
        <w:rPr>
          <w:rFonts w:ascii="Cambria" w:eastAsiaTheme="minorHAnsi" w:hAnsi="Cambria" w:cstheme="minorBidi"/>
          <w:sz w:val="20"/>
          <w:szCs w:val="20"/>
          <w:lang w:val="es-419"/>
        </w:rPr>
        <w:t>declaró el cumplimiento total del asunto y el cese del seguimiento del acuerdo de solución amistosa en el Informe Anual de 2024.</w:t>
      </w:r>
    </w:p>
    <w:p w14:paraId="1EED416B" w14:textId="2EE4ED70" w:rsidR="00C6263A" w:rsidRPr="00041526" w:rsidRDefault="00C6263A" w:rsidP="00C6263A">
      <w:pPr>
        <w:suppressAutoHyphens/>
        <w:spacing w:after="0" w:line="240" w:lineRule="auto"/>
        <w:ind w:firstLine="720"/>
        <w:jc w:val="both"/>
        <w:rPr>
          <w:rFonts w:ascii="Cambria" w:hAnsi="Cambria"/>
          <w:b/>
          <w:bCs/>
          <w:sz w:val="20"/>
          <w:szCs w:val="20"/>
          <w:lang w:val="es-419"/>
        </w:rPr>
      </w:pPr>
    </w:p>
    <w:p w14:paraId="0EF376DF" w14:textId="77777777" w:rsidR="00C6263A" w:rsidRPr="00041526" w:rsidRDefault="00C6263A" w:rsidP="00E81EAB">
      <w:pPr>
        <w:pStyle w:val="ListParagraph"/>
        <w:numPr>
          <w:ilvl w:val="1"/>
          <w:numId w:val="6"/>
        </w:numPr>
        <w:spacing w:after="0" w:line="240" w:lineRule="auto"/>
        <w:ind w:left="0" w:right="180" w:firstLine="720"/>
        <w:jc w:val="both"/>
        <w:rPr>
          <w:rFonts w:ascii="Cambria" w:eastAsiaTheme="minorHAnsi" w:hAnsi="Cambria" w:cstheme="minorBidi"/>
          <w:b/>
          <w:bCs/>
          <w:sz w:val="20"/>
          <w:szCs w:val="20"/>
          <w:lang w:val="es-419"/>
        </w:rPr>
      </w:pPr>
      <w:r w:rsidRPr="00041526">
        <w:rPr>
          <w:rFonts w:ascii="Cambria" w:eastAsiaTheme="minorHAnsi" w:hAnsi="Cambria" w:cstheme="minorBidi"/>
          <w:b/>
          <w:bCs/>
          <w:sz w:val="20"/>
          <w:szCs w:val="20"/>
          <w:lang w:val="es-419"/>
        </w:rPr>
        <w:t>RESULTADOS INDIVIDUALES Y ESTRUCTURALES DEL CASO</w:t>
      </w:r>
    </w:p>
    <w:p w14:paraId="2D240A0D" w14:textId="77777777" w:rsidR="00C6263A" w:rsidRPr="00041526" w:rsidRDefault="00C6263A" w:rsidP="00C6263A">
      <w:pPr>
        <w:suppressAutoHyphens/>
        <w:spacing w:after="0" w:line="240" w:lineRule="auto"/>
        <w:jc w:val="both"/>
        <w:rPr>
          <w:rFonts w:ascii="Cambria" w:hAnsi="Cambria"/>
          <w:b/>
          <w:bCs/>
          <w:sz w:val="20"/>
          <w:szCs w:val="20"/>
          <w:lang w:val="es-419"/>
        </w:rPr>
      </w:pPr>
    </w:p>
    <w:p w14:paraId="5AA261AC" w14:textId="77777777" w:rsidR="00C6263A" w:rsidRPr="00041526" w:rsidRDefault="00C6263A" w:rsidP="00E81EAB">
      <w:pPr>
        <w:pStyle w:val="ListParagraph"/>
        <w:numPr>
          <w:ilvl w:val="0"/>
          <w:numId w:val="4"/>
        </w:numPr>
        <w:spacing w:after="0" w:line="240" w:lineRule="auto"/>
        <w:ind w:firstLine="0"/>
        <w:jc w:val="both"/>
        <w:rPr>
          <w:rFonts w:ascii="Cambria" w:hAnsi="Cambria"/>
          <w:b/>
          <w:bCs/>
          <w:sz w:val="20"/>
          <w:szCs w:val="20"/>
          <w:lang w:val="es-419"/>
        </w:rPr>
      </w:pPr>
      <w:r w:rsidRPr="00041526">
        <w:rPr>
          <w:rFonts w:ascii="Cambria" w:eastAsiaTheme="minorHAnsi" w:hAnsi="Cambria" w:cstheme="minorBidi"/>
          <w:b/>
          <w:bCs/>
          <w:sz w:val="20"/>
          <w:szCs w:val="20"/>
          <w:lang w:val="es-419"/>
        </w:rPr>
        <w:t>Resultados individuales del caso </w:t>
      </w:r>
    </w:p>
    <w:p w14:paraId="2289F23B" w14:textId="77777777" w:rsidR="00C6263A" w:rsidRPr="00041526" w:rsidRDefault="00C6263A" w:rsidP="00C6263A">
      <w:pPr>
        <w:suppressAutoHyphens/>
        <w:spacing w:after="0" w:line="240" w:lineRule="auto"/>
        <w:jc w:val="both"/>
        <w:rPr>
          <w:rFonts w:ascii="Cambria" w:hAnsi="Cambria"/>
          <w:sz w:val="20"/>
          <w:szCs w:val="20"/>
          <w:lang w:val="es-419"/>
        </w:rPr>
      </w:pPr>
      <w:r w:rsidRPr="00041526">
        <w:rPr>
          <w:rFonts w:ascii="Cambria" w:hAnsi="Cambria"/>
          <w:sz w:val="20"/>
          <w:szCs w:val="20"/>
          <w:lang w:val="es-419"/>
        </w:rPr>
        <w:t> </w:t>
      </w:r>
    </w:p>
    <w:p w14:paraId="211E86BF" w14:textId="77777777" w:rsidR="00C6263A" w:rsidRPr="00041526" w:rsidRDefault="00C6263A" w:rsidP="00E81EAB">
      <w:pPr>
        <w:numPr>
          <w:ilvl w:val="0"/>
          <w:numId w:val="5"/>
        </w:numPr>
        <w:suppressAutoHyphens/>
        <w:spacing w:after="0" w:line="240" w:lineRule="auto"/>
        <w:ind w:left="1440" w:hanging="720"/>
        <w:contextualSpacing/>
        <w:jc w:val="both"/>
        <w:rPr>
          <w:rFonts w:ascii="Cambria" w:hAnsi="Cambria"/>
          <w:sz w:val="20"/>
          <w:szCs w:val="20"/>
          <w:lang w:val="es-419"/>
        </w:rPr>
      </w:pPr>
      <w:r w:rsidRPr="00041526">
        <w:rPr>
          <w:rFonts w:ascii="Cambria" w:hAnsi="Cambria"/>
          <w:sz w:val="20"/>
          <w:szCs w:val="20"/>
          <w:lang w:val="es-419"/>
        </w:rPr>
        <w:t>El Estado realizó un acto privado de disculpas a los familiares de la víctima.</w:t>
      </w:r>
    </w:p>
    <w:p w14:paraId="2B24018A" w14:textId="77777777" w:rsidR="00C6263A" w:rsidRPr="00041526" w:rsidRDefault="00C6263A" w:rsidP="00E81EAB">
      <w:pPr>
        <w:numPr>
          <w:ilvl w:val="0"/>
          <w:numId w:val="5"/>
        </w:numPr>
        <w:suppressAutoHyphens/>
        <w:spacing w:after="0" w:line="240" w:lineRule="auto"/>
        <w:ind w:left="1440" w:hanging="720"/>
        <w:contextualSpacing/>
        <w:jc w:val="both"/>
        <w:rPr>
          <w:rFonts w:ascii="Cambria" w:hAnsi="Cambria"/>
          <w:sz w:val="20"/>
          <w:szCs w:val="20"/>
          <w:lang w:val="es-419"/>
        </w:rPr>
      </w:pPr>
      <w:r w:rsidRPr="00041526">
        <w:rPr>
          <w:rFonts w:ascii="Cambria" w:hAnsi="Cambria"/>
          <w:sz w:val="20"/>
          <w:szCs w:val="20"/>
          <w:lang w:val="es-419"/>
        </w:rPr>
        <w:t xml:space="preserve">El Estado colombiano reconoció su responsabilidad internacional por omisión, respecto a la violación de los derechos reconocidos en los artículos 8 (garantías judiciales) y 25 (protección judicial) de la Convención Americana sobre Derechos Humanos en relación con el artículo 1.1 del mismo instrumento, en perjuicio de los familiares del señor Gabriel Ángel Gómez Martínez, por la falta de diligencia en la investigación de los hechos sucedidos. </w:t>
      </w:r>
    </w:p>
    <w:p w14:paraId="1F5BCECC" w14:textId="77777777" w:rsidR="00C6263A" w:rsidRPr="00041526" w:rsidRDefault="00C6263A" w:rsidP="00E81EAB">
      <w:pPr>
        <w:numPr>
          <w:ilvl w:val="0"/>
          <w:numId w:val="5"/>
        </w:numPr>
        <w:suppressAutoHyphens/>
        <w:spacing w:after="0" w:line="240" w:lineRule="auto"/>
        <w:ind w:left="1440" w:hanging="720"/>
        <w:contextualSpacing/>
        <w:jc w:val="both"/>
        <w:rPr>
          <w:rFonts w:ascii="Cambria" w:hAnsi="Cambria"/>
          <w:sz w:val="20"/>
          <w:szCs w:val="20"/>
          <w:lang w:val="es-ES_tradnl"/>
        </w:rPr>
      </w:pPr>
      <w:r w:rsidRPr="00041526">
        <w:rPr>
          <w:rFonts w:ascii="Cambria" w:hAnsi="Cambria"/>
          <w:sz w:val="20"/>
          <w:szCs w:val="20"/>
          <w:lang w:val="es-ES_tradnl"/>
        </w:rPr>
        <w:t xml:space="preserve">El Estado avanzó con el trámite de la Ley 288 de 1996 </w:t>
      </w:r>
      <w:r w:rsidRPr="00041526">
        <w:rPr>
          <w:rFonts w:ascii="Cambria" w:eastAsia="Batang" w:hAnsi="Cambria"/>
          <w:color w:val="000000"/>
          <w:sz w:val="20"/>
          <w:szCs w:val="20"/>
          <w:lang w:val="es-ES_tradnl"/>
        </w:rPr>
        <w:t xml:space="preserve">y realizó el pago de la indemnización a los beneficiarios del acuerdo de solución amistosa mediante </w:t>
      </w:r>
      <w:r w:rsidRPr="00041526">
        <w:rPr>
          <w:rFonts w:ascii="Cambria" w:eastAsia="Batang" w:hAnsi="Cambria"/>
          <w:bCs/>
          <w:color w:val="000000"/>
          <w:sz w:val="20"/>
          <w:szCs w:val="20"/>
          <w:lang w:val="es-ES"/>
        </w:rPr>
        <w:t>Resolución No. 699 de 30 de septiembre de 2024 por un monto total de $518.221.794,37 por concepto de daño moral y lucro cesante</w:t>
      </w:r>
      <w:r w:rsidRPr="00041526">
        <w:rPr>
          <w:rFonts w:ascii="Cambria" w:hAnsi="Cambria"/>
          <w:sz w:val="20"/>
          <w:szCs w:val="20"/>
          <w:lang w:val="es-US"/>
        </w:rPr>
        <w:t>.</w:t>
      </w:r>
    </w:p>
    <w:p w14:paraId="20191C69" w14:textId="77777777" w:rsidR="00C6263A" w:rsidRPr="00041526" w:rsidRDefault="00C6263A" w:rsidP="00C6263A">
      <w:pPr>
        <w:pStyle w:val="ListParagraph"/>
        <w:spacing w:after="0" w:line="240" w:lineRule="auto"/>
        <w:jc w:val="both"/>
        <w:rPr>
          <w:rFonts w:ascii="Cambria" w:eastAsiaTheme="minorHAnsi" w:hAnsi="Cambria" w:cstheme="minorBidi"/>
          <w:b/>
          <w:bCs/>
          <w:sz w:val="20"/>
          <w:szCs w:val="20"/>
          <w:lang w:val="es-419"/>
        </w:rPr>
      </w:pPr>
    </w:p>
    <w:p w14:paraId="7E63B9BD" w14:textId="77777777" w:rsidR="00C6263A" w:rsidRPr="00041526" w:rsidRDefault="00C6263A" w:rsidP="00E81EAB">
      <w:pPr>
        <w:pStyle w:val="ListParagraph"/>
        <w:numPr>
          <w:ilvl w:val="0"/>
          <w:numId w:val="4"/>
        </w:numPr>
        <w:spacing w:after="0" w:line="240" w:lineRule="auto"/>
        <w:ind w:firstLine="0"/>
        <w:jc w:val="both"/>
        <w:rPr>
          <w:rFonts w:ascii="Cambria" w:eastAsiaTheme="minorHAnsi" w:hAnsi="Cambria" w:cstheme="minorBidi"/>
          <w:b/>
          <w:bCs/>
          <w:sz w:val="20"/>
          <w:szCs w:val="20"/>
          <w:lang w:val="es-419"/>
        </w:rPr>
      </w:pPr>
      <w:r w:rsidRPr="00041526">
        <w:rPr>
          <w:rFonts w:ascii="Cambria" w:eastAsiaTheme="minorHAnsi" w:hAnsi="Cambria" w:cstheme="minorBidi"/>
          <w:b/>
          <w:bCs/>
          <w:sz w:val="20"/>
          <w:szCs w:val="20"/>
          <w:lang w:val="es-419"/>
        </w:rPr>
        <w:t>Resultados estructurales del caso</w:t>
      </w:r>
    </w:p>
    <w:p w14:paraId="52D98072" w14:textId="77777777" w:rsidR="00C6263A" w:rsidRPr="00041526" w:rsidRDefault="00C6263A" w:rsidP="00C6263A">
      <w:pPr>
        <w:tabs>
          <w:tab w:val="left" w:pos="1440"/>
        </w:tabs>
        <w:suppressAutoHyphens/>
        <w:spacing w:after="0" w:line="240" w:lineRule="auto"/>
        <w:ind w:left="1440"/>
        <w:contextualSpacing/>
        <w:jc w:val="both"/>
        <w:rPr>
          <w:rFonts w:ascii="Cambria" w:hAnsi="Cambria"/>
          <w:sz w:val="20"/>
          <w:szCs w:val="20"/>
          <w:lang w:val="es-CO"/>
        </w:rPr>
      </w:pPr>
    </w:p>
    <w:p w14:paraId="3B4E0DA4" w14:textId="724E268E" w:rsidR="008E72CA" w:rsidRPr="00041526" w:rsidRDefault="00C6263A" w:rsidP="00E81EAB">
      <w:pPr>
        <w:numPr>
          <w:ilvl w:val="0"/>
          <w:numId w:val="5"/>
        </w:numPr>
        <w:suppressAutoHyphens/>
        <w:spacing w:after="0" w:line="240" w:lineRule="auto"/>
        <w:ind w:left="1440" w:hanging="720"/>
        <w:contextualSpacing/>
        <w:jc w:val="both"/>
        <w:rPr>
          <w:rFonts w:ascii="Cambria" w:eastAsia="Batang" w:hAnsi="Cambria"/>
          <w:sz w:val="20"/>
          <w:szCs w:val="20"/>
          <w:lang w:val="es-ES"/>
        </w:rPr>
      </w:pPr>
      <w:r w:rsidRPr="00041526">
        <w:rPr>
          <w:rFonts w:ascii="Cambria" w:eastAsia="Batang" w:hAnsi="Cambria"/>
          <w:color w:val="000000"/>
          <w:sz w:val="20"/>
          <w:szCs w:val="20"/>
          <w:lang w:val="es-ES"/>
        </w:rPr>
        <w:t>El Estado publicó el Informe artículo 49, en la página web de la Agencia Nacional de Defensa Jurídica del Estado</w:t>
      </w:r>
      <w:r w:rsidRPr="00041526">
        <w:rPr>
          <w:rFonts w:ascii="Cambria" w:eastAsia="Batang" w:hAnsi="Cambria"/>
          <w:sz w:val="20"/>
          <w:szCs w:val="20"/>
          <w:lang w:val="es-ES"/>
        </w:rPr>
        <w:t>.</w:t>
      </w:r>
    </w:p>
    <w:sectPr w:rsidR="008E72CA" w:rsidRPr="00041526" w:rsidSect="007E4ED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693A4" w14:textId="77777777" w:rsidR="00B56CD7" w:rsidRDefault="00B56CD7" w:rsidP="00A343FF">
      <w:pPr>
        <w:spacing w:after="0" w:line="240" w:lineRule="auto"/>
      </w:pPr>
      <w:r>
        <w:separator/>
      </w:r>
    </w:p>
  </w:endnote>
  <w:endnote w:type="continuationSeparator" w:id="0">
    <w:p w14:paraId="0D2C1082" w14:textId="77777777" w:rsidR="00B56CD7" w:rsidRDefault="00B56CD7" w:rsidP="00A343FF">
      <w:pPr>
        <w:spacing w:after="0" w:line="240" w:lineRule="auto"/>
      </w:pPr>
      <w:r>
        <w:continuationSeparator/>
      </w:r>
    </w:p>
  </w:endnote>
  <w:endnote w:type="continuationNotice" w:id="1">
    <w:p w14:paraId="0DBE7DED" w14:textId="77777777" w:rsidR="00B56CD7" w:rsidRDefault="00B56C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AF33" w14:textId="77777777" w:rsidR="00106C59" w:rsidRDefault="00106C59">
    <w:pPr>
      <w:pStyle w:val="Footer"/>
    </w:pPr>
  </w:p>
  <w:p w14:paraId="3AF0EA2E" w14:textId="77777777" w:rsidR="00FC0266" w:rsidRDefault="00FC02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40DD" w14:textId="77777777" w:rsidR="00A72869" w:rsidRPr="0073374A" w:rsidRDefault="00A72869">
    <w:pPr>
      <w:pStyle w:val="Footer"/>
      <w:jc w:val="center"/>
      <w:rPr>
        <w:rFonts w:ascii="Cambria" w:hAnsi="Cambria"/>
        <w:color w:val="7F7F7F"/>
        <w:sz w:val="16"/>
      </w:rPr>
    </w:pPr>
    <w:r w:rsidRPr="0073374A">
      <w:rPr>
        <w:rFonts w:ascii="Cambria" w:hAnsi="Cambria"/>
        <w:color w:val="7F7F7F"/>
        <w:sz w:val="16"/>
      </w:rPr>
      <w:fldChar w:fldCharType="begin"/>
    </w:r>
    <w:r w:rsidRPr="0073374A">
      <w:rPr>
        <w:rFonts w:ascii="Cambria" w:hAnsi="Cambria"/>
        <w:color w:val="7F7F7F"/>
        <w:sz w:val="16"/>
      </w:rPr>
      <w:instrText xml:space="preserve"> PAGE   \* MERGEFORMAT </w:instrText>
    </w:r>
    <w:r w:rsidRPr="0073374A">
      <w:rPr>
        <w:rFonts w:ascii="Cambria" w:hAnsi="Cambria"/>
        <w:color w:val="7F7F7F"/>
        <w:sz w:val="16"/>
      </w:rPr>
      <w:fldChar w:fldCharType="separate"/>
    </w:r>
    <w:r w:rsidR="00106C59" w:rsidRPr="0073374A">
      <w:rPr>
        <w:rFonts w:ascii="Cambria" w:hAnsi="Cambria"/>
        <w:noProof/>
        <w:color w:val="7F7F7F"/>
        <w:sz w:val="16"/>
      </w:rPr>
      <w:t>2</w:t>
    </w:r>
    <w:r w:rsidRPr="0073374A">
      <w:rPr>
        <w:rFonts w:ascii="Cambria" w:hAnsi="Cambria"/>
        <w:noProof/>
        <w:color w:val="7F7F7F"/>
        <w:sz w:val="16"/>
      </w:rPr>
      <w:fldChar w:fldCharType="end"/>
    </w:r>
  </w:p>
  <w:p w14:paraId="4E062864" w14:textId="77777777" w:rsidR="001C0A6D" w:rsidRDefault="001C0A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E2F0" w14:textId="179E54BD" w:rsidR="00D222B7" w:rsidRDefault="007835DD" w:rsidP="00CA3AA8">
    <w:pPr>
      <w:pStyle w:val="Footer"/>
      <w:spacing w:line="360" w:lineRule="auto"/>
      <w:jc w:val="right"/>
    </w:pPr>
    <w:r>
      <w:rPr>
        <w:noProof/>
      </w:rPr>
      <w:pict w14:anchorId="53A90E81">
        <v:rect id="_x0000_i1027" alt="" style="width:441.9pt;height:.05pt;mso-width-percent:0;mso-height-percent:0;mso-width-percent:0;mso-height-percent:0" o:hralign="center" o:hrstd="t" o:hr="t" fillcolor="#a0a0a0" stroked="f"/>
      </w:pict>
    </w:r>
  </w:p>
  <w:p w14:paraId="48E8CE2E" w14:textId="77777777" w:rsidR="00D13990" w:rsidRDefault="00911130" w:rsidP="00604F1C">
    <w:pPr>
      <w:pStyle w:val="Footer"/>
      <w:jc w:val="center"/>
    </w:pPr>
    <w:r w:rsidRPr="008A5CB5">
      <w:rPr>
        <w:noProof/>
      </w:rPr>
      <w:drawing>
        <wp:inline distT="0" distB="0" distL="0" distR="0" wp14:anchorId="2F2E600E" wp14:editId="2127D52D">
          <wp:extent cx="5120640" cy="311150"/>
          <wp:effectExtent l="0" t="0" r="0" b="0"/>
          <wp:docPr id="7" name="Picture 35" descr="C:\Users\mfontana\Documents\Eva Fontana\GRAFICA CIDH\cartas\logos\footer-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1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39DF5" w14:textId="77777777" w:rsidR="00B56CD7" w:rsidRDefault="00B56CD7" w:rsidP="00A343FF">
      <w:pPr>
        <w:spacing w:after="0" w:line="240" w:lineRule="auto"/>
      </w:pPr>
      <w:r>
        <w:separator/>
      </w:r>
    </w:p>
  </w:footnote>
  <w:footnote w:type="continuationSeparator" w:id="0">
    <w:p w14:paraId="2D220FBF" w14:textId="77777777" w:rsidR="00B56CD7" w:rsidRDefault="00B56CD7" w:rsidP="00A343FF">
      <w:pPr>
        <w:spacing w:after="0" w:line="240" w:lineRule="auto"/>
      </w:pPr>
      <w:r>
        <w:continuationSeparator/>
      </w:r>
    </w:p>
  </w:footnote>
  <w:footnote w:type="continuationNotice" w:id="1">
    <w:p w14:paraId="65C24C31" w14:textId="77777777" w:rsidR="00B56CD7" w:rsidRDefault="00B56CD7">
      <w:pPr>
        <w:spacing w:after="0" w:line="240" w:lineRule="auto"/>
      </w:pPr>
    </w:p>
  </w:footnote>
  <w:footnote w:id="2">
    <w:p w14:paraId="773586D7" w14:textId="5FA7B8B6" w:rsidR="00C6263A" w:rsidRPr="00996A1D" w:rsidRDefault="00C6263A" w:rsidP="00996A1D">
      <w:pPr>
        <w:pStyle w:val="FootnoteText"/>
        <w:spacing w:after="0" w:line="240" w:lineRule="auto"/>
        <w:ind w:firstLine="709"/>
        <w:jc w:val="both"/>
        <w:rPr>
          <w:rFonts w:ascii="Cambria" w:hAnsi="Cambria"/>
          <w:sz w:val="16"/>
          <w:szCs w:val="16"/>
          <w:lang w:val="es-419"/>
        </w:rPr>
      </w:pPr>
      <w:r w:rsidRPr="00996A1D">
        <w:rPr>
          <w:rStyle w:val="FootnoteReference"/>
          <w:rFonts w:ascii="Cambria" w:hAnsi="Cambria"/>
          <w:sz w:val="16"/>
          <w:szCs w:val="16"/>
        </w:rPr>
        <w:footnoteRef/>
      </w:r>
      <w:r w:rsidRPr="00E81EAB">
        <w:rPr>
          <w:rFonts w:ascii="Cambria" w:hAnsi="Cambria"/>
          <w:sz w:val="16"/>
          <w:szCs w:val="16"/>
          <w:lang w:val="pt-BR"/>
        </w:rPr>
        <w:t xml:space="preserve"> </w:t>
      </w:r>
      <w:r w:rsidR="00996A1D" w:rsidRPr="00E81EAB">
        <w:rPr>
          <w:rFonts w:ascii="Cambria" w:hAnsi="Cambria"/>
          <w:sz w:val="16"/>
          <w:szCs w:val="16"/>
          <w:lang w:val="pt-BR"/>
        </w:rPr>
        <w:t xml:space="preserve">Ver </w:t>
      </w:r>
      <w:r w:rsidRPr="00E81EAB">
        <w:rPr>
          <w:rFonts w:ascii="Cambria" w:hAnsi="Cambria"/>
          <w:color w:val="000000"/>
          <w:sz w:val="16"/>
          <w:szCs w:val="16"/>
          <w:shd w:val="clear" w:color="auto" w:fill="FFFFFF"/>
          <w:lang w:val="pt-BR"/>
        </w:rPr>
        <w:t xml:space="preserve">CIDH, Informe No. 63/22, Caso 13.775. </w:t>
      </w:r>
      <w:r w:rsidRPr="00996A1D">
        <w:rPr>
          <w:rFonts w:ascii="Cambria" w:hAnsi="Cambria"/>
          <w:color w:val="000000"/>
          <w:sz w:val="16"/>
          <w:szCs w:val="16"/>
          <w:shd w:val="clear" w:color="auto" w:fill="FFFFFF"/>
          <w:lang w:val="es-419"/>
        </w:rPr>
        <w:t>Solución Amistosa. Gabriel Ángel Gómez Martínez y Familia. Colombia. 10 de mayo de 2022.</w:t>
      </w:r>
      <w:r w:rsidR="00996A1D">
        <w:rPr>
          <w:rFonts w:ascii="Cambria" w:hAnsi="Cambria"/>
          <w:color w:val="000000"/>
          <w:sz w:val="16"/>
          <w:szCs w:val="16"/>
          <w:shd w:val="clear" w:color="auto" w:fill="FFFFFF"/>
          <w:lang w:val="es-419"/>
        </w:rPr>
        <w:t xml:space="preserve"> Disponible en:</w:t>
      </w:r>
      <w:r w:rsidRPr="00996A1D">
        <w:rPr>
          <w:rStyle w:val="normaltextrun"/>
          <w:rFonts w:ascii="Cambria" w:hAnsi="Cambria"/>
          <w:color w:val="000000"/>
          <w:sz w:val="16"/>
          <w:szCs w:val="16"/>
          <w:shd w:val="clear" w:color="auto" w:fill="FFFFFF"/>
          <w:lang w:val="es-US"/>
        </w:rPr>
        <w:t> </w:t>
      </w:r>
      <w:hyperlink r:id="rId1" w:history="1">
        <w:r w:rsidRPr="00996A1D">
          <w:rPr>
            <w:rStyle w:val="Hyperlink"/>
            <w:rFonts w:ascii="Cambria" w:hAnsi="Cambria"/>
            <w:sz w:val="16"/>
            <w:szCs w:val="16"/>
            <w:shd w:val="clear" w:color="auto" w:fill="FFFFFF"/>
            <w:lang w:val="es-US"/>
          </w:rPr>
          <w:t>https://www.oas.org/es/cidh/decisiones/2022/COSA13.775ES.pdf</w:t>
        </w:r>
      </w:hyperlink>
      <w:r w:rsidR="00996A1D" w:rsidRPr="00E81EAB">
        <w:rPr>
          <w:rFonts w:ascii="Cambria" w:hAnsi="Cambria"/>
          <w:sz w:val="16"/>
          <w:szCs w:val="16"/>
          <w:lang w:val="es-CO"/>
        </w:rPr>
        <w:t>.</w:t>
      </w:r>
      <w:r w:rsidRPr="00996A1D">
        <w:rPr>
          <w:rStyle w:val="normaltextrun"/>
          <w:rFonts w:ascii="Cambria" w:hAnsi="Cambria"/>
          <w:color w:val="000000"/>
          <w:sz w:val="16"/>
          <w:szCs w:val="16"/>
          <w:shd w:val="clear" w:color="auto" w:fill="FFFFFF"/>
          <w:lang w:val="es-US"/>
        </w:rPr>
        <w:t xml:space="preserve"> </w:t>
      </w:r>
    </w:p>
  </w:footnote>
  <w:footnote w:id="3">
    <w:p w14:paraId="5B82DB97" w14:textId="77777777" w:rsidR="00C6263A" w:rsidRPr="00996A1D" w:rsidRDefault="00C6263A" w:rsidP="00996A1D">
      <w:pPr>
        <w:pStyle w:val="FootnoteText"/>
        <w:spacing w:after="0" w:line="240" w:lineRule="auto"/>
        <w:ind w:firstLine="709"/>
        <w:jc w:val="both"/>
        <w:rPr>
          <w:rFonts w:ascii="Cambria" w:hAnsi="Cambria"/>
          <w:sz w:val="16"/>
          <w:szCs w:val="16"/>
          <w:lang w:val="es-419"/>
        </w:rPr>
      </w:pPr>
      <w:r w:rsidRPr="00996A1D">
        <w:rPr>
          <w:rStyle w:val="FootnoteReference"/>
          <w:rFonts w:ascii="Cambria" w:hAnsi="Cambria"/>
          <w:sz w:val="16"/>
          <w:szCs w:val="16"/>
        </w:rPr>
        <w:footnoteRef/>
      </w:r>
      <w:r w:rsidRPr="00996A1D">
        <w:rPr>
          <w:rFonts w:ascii="Cambria" w:hAnsi="Cambria"/>
          <w:sz w:val="16"/>
          <w:szCs w:val="16"/>
          <w:lang w:val="es-US"/>
        </w:rPr>
        <w:t xml:space="preserve"> Ver CIDH, Informe Anual 2022, Capítulo II, Sección C. Avances y retrocesos en materia de negociación e implementación de acuerdos de solución amistosa. Disponible en: </w:t>
      </w:r>
      <w:hyperlink r:id="rId2" w:tgtFrame="_blank" w:tooltip="https://www.oas.org/es/cidh/docs/anual/2022/capitulos/4-ia2022_cap_2_es.pdf" w:history="1">
        <w:r w:rsidRPr="00996A1D">
          <w:rPr>
            <w:rStyle w:val="Hyperlink"/>
            <w:rFonts w:ascii="Cambria" w:hAnsi="Cambria"/>
            <w:sz w:val="16"/>
            <w:szCs w:val="16"/>
            <w:lang w:val="es-US"/>
          </w:rPr>
          <w:t>https://www.oas.org/es/cidh/docs/anual/2022/capitulos/4-IA2022_Cap_2_ES.pdf</w:t>
        </w:r>
      </w:hyperlink>
      <w:r w:rsidRPr="00996A1D">
        <w:rPr>
          <w:rFonts w:ascii="Cambria" w:hAnsi="Cambria"/>
          <w:sz w:val="16"/>
          <w:szCs w:val="16"/>
          <w:lang w:val="es-US"/>
        </w:rPr>
        <w:t>.</w:t>
      </w:r>
    </w:p>
  </w:footnote>
  <w:footnote w:id="4">
    <w:p w14:paraId="0E4EA68B" w14:textId="78CED0C8" w:rsidR="00996A1D" w:rsidRPr="00996A1D" w:rsidRDefault="00996A1D" w:rsidP="00996A1D">
      <w:pPr>
        <w:pStyle w:val="FootnoteText"/>
        <w:spacing w:after="0" w:line="240" w:lineRule="auto"/>
        <w:ind w:firstLine="709"/>
        <w:jc w:val="both"/>
        <w:rPr>
          <w:rFonts w:ascii="Cambria" w:hAnsi="Cambria"/>
          <w:sz w:val="16"/>
          <w:szCs w:val="16"/>
          <w:lang w:val="es-ES_tradnl"/>
        </w:rPr>
      </w:pPr>
      <w:r w:rsidRPr="00996A1D">
        <w:rPr>
          <w:rStyle w:val="FootnoteReference"/>
          <w:rFonts w:ascii="Cambria" w:hAnsi="Cambria"/>
          <w:sz w:val="16"/>
          <w:szCs w:val="16"/>
        </w:rPr>
        <w:footnoteRef/>
      </w:r>
      <w:r w:rsidRPr="00E81EAB">
        <w:rPr>
          <w:rFonts w:ascii="Cambria" w:hAnsi="Cambria"/>
          <w:sz w:val="16"/>
          <w:szCs w:val="16"/>
          <w:lang w:val="es-CO"/>
        </w:rPr>
        <w:t xml:space="preserve"> </w:t>
      </w:r>
      <w:r w:rsidRPr="00996A1D">
        <w:rPr>
          <w:rFonts w:ascii="Cambria" w:hAnsi="Cambria"/>
          <w:sz w:val="16"/>
          <w:szCs w:val="16"/>
          <w:lang w:val="es-ES_tradnl"/>
        </w:rPr>
        <w:t xml:space="preserve">Ver CIDH, Informe Anual 2024, Capítulo II, Sección C. Avances y retrocesos en materia de negociación e implementación de acuerdos de solución amistosa. Disponible en: </w:t>
      </w:r>
      <w:hyperlink r:id="rId3" w:history="1">
        <w:r w:rsidRPr="00996A1D">
          <w:rPr>
            <w:rStyle w:val="Hyperlink"/>
            <w:rFonts w:ascii="Cambria" w:hAnsi="Cambria"/>
            <w:sz w:val="16"/>
            <w:szCs w:val="16"/>
            <w:lang w:val="es-ES_tradnl"/>
          </w:rPr>
          <w:t>https://www.oas.org/es/cidh/docs/anual/2024/capitulos/IA2024_2_ES.pdf</w:t>
        </w:r>
      </w:hyperlink>
      <w:r w:rsidRPr="00996A1D">
        <w:rPr>
          <w:rFonts w:ascii="Cambria" w:hAnsi="Cambria"/>
          <w:sz w:val="16"/>
          <w:szCs w:val="16"/>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961C" w14:textId="77777777" w:rsidR="00106C59" w:rsidRDefault="00106C59">
    <w:pPr>
      <w:pStyle w:val="Header"/>
    </w:pPr>
  </w:p>
  <w:p w14:paraId="7A8D6957" w14:textId="77777777" w:rsidR="00FC0266" w:rsidRDefault="00FC02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56F9A" w14:textId="77777777" w:rsidR="00E81EAB" w:rsidRDefault="00E81EAB" w:rsidP="00E81EAB">
    <w:pPr>
      <w:pStyle w:val="Header"/>
      <w:tabs>
        <w:tab w:val="left" w:pos="7171"/>
      </w:tabs>
      <w:rPr>
        <w:lang w:val="es-ES_tradnl"/>
      </w:rPr>
    </w:pPr>
    <w:r>
      <w:rPr>
        <w:lang w:val="es-ES_tradnl"/>
      </w:rPr>
      <w:tab/>
    </w:r>
    <w:r w:rsidR="00911130">
      <w:rPr>
        <w:noProof/>
        <w:lang w:val="es-ES_tradnl"/>
      </w:rPr>
      <w:drawing>
        <wp:inline distT="0" distB="0" distL="0" distR="0" wp14:anchorId="4F57ACAC" wp14:editId="71881B59">
          <wp:extent cx="2286000" cy="12827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8270"/>
                  </a:xfrm>
                  <a:prstGeom prst="rect">
                    <a:avLst/>
                  </a:prstGeom>
                  <a:noFill/>
                  <a:ln>
                    <a:noFill/>
                  </a:ln>
                </pic:spPr>
              </pic:pic>
            </a:graphicData>
          </a:graphic>
        </wp:inline>
      </w:drawing>
    </w:r>
  </w:p>
  <w:p w14:paraId="605A6343" w14:textId="24908E33" w:rsidR="006F0429" w:rsidRPr="00234F67" w:rsidRDefault="007835DD" w:rsidP="00E81EAB">
    <w:pPr>
      <w:pStyle w:val="Header"/>
      <w:tabs>
        <w:tab w:val="left" w:pos="7171"/>
      </w:tabs>
      <w:rPr>
        <w:lang w:val="es-ES_tradnl"/>
      </w:rPr>
    </w:pPr>
    <w:r>
      <w:rPr>
        <w:noProof/>
      </w:rPr>
      <w:pict w14:anchorId="390C366C">
        <v:rect id="_x0000_i1025" alt="" style="width:441.9pt;height:.05pt;mso-width-percent:0;mso-height-percent:0;mso-width-percent:0;mso-height-percent:0" o:hralign="center" o:hrstd="t" o:hr="t" fillcolor="#a0a0a0" stroked="f"/>
      </w:pict>
    </w:r>
    <w:r w:rsidR="00E81EAB">
      <w:rPr>
        <w:lang w:val="es-ES_tradn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DC37" w14:textId="0FD5FDB0" w:rsidR="00234F67" w:rsidRDefault="00234F67" w:rsidP="00234F67">
    <w:pPr>
      <w:pStyle w:val="Header"/>
    </w:pPr>
    <w:r w:rsidRPr="008A5CB5">
      <w:rPr>
        <w:noProof/>
      </w:rPr>
      <w:drawing>
        <wp:inline distT="0" distB="0" distL="0" distR="0" wp14:anchorId="37DC95C8" wp14:editId="246AFE5D">
          <wp:extent cx="2352675" cy="452120"/>
          <wp:effectExtent l="0" t="0" r="0" b="0"/>
          <wp:docPr id="3" name="Picture 1"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2120"/>
                  </a:xfrm>
                  <a:prstGeom prst="rect">
                    <a:avLst/>
                  </a:prstGeom>
                  <a:noFill/>
                  <a:ln>
                    <a:noFill/>
                  </a:ln>
                </pic:spPr>
              </pic:pic>
            </a:graphicData>
          </a:graphic>
        </wp:inline>
      </w:drawing>
    </w:r>
    <w:r>
      <w:tab/>
    </w:r>
    <w:r>
      <w:tab/>
    </w:r>
    <w:r>
      <w:rPr>
        <w:noProof/>
      </w:rPr>
      <w:drawing>
        <wp:inline distT="0" distB="0" distL="0" distR="0" wp14:anchorId="37ACEE0F" wp14:editId="003578BD">
          <wp:extent cx="1943100" cy="495300"/>
          <wp:effectExtent l="0" t="0" r="0" b="0"/>
          <wp:docPr id="55000548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780C5555" w14:textId="5C08CCEA" w:rsidR="00D13990" w:rsidRDefault="007835DD" w:rsidP="00D13990">
    <w:pPr>
      <w:pStyle w:val="Header"/>
    </w:pPr>
    <w:r>
      <w:rPr>
        <w:noProof/>
      </w:rPr>
      <w:pict w14:anchorId="1E65A27C">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61104"/>
    <w:multiLevelType w:val="hybridMultilevel"/>
    <w:tmpl w:val="63A2DA80"/>
    <w:lvl w:ilvl="0" w:tplc="1B82B6A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E3A45"/>
    <w:multiLevelType w:val="multilevel"/>
    <w:tmpl w:val="81FE5B3C"/>
    <w:lvl w:ilvl="0">
      <w:start w:val="1"/>
      <w:numFmt w:val="decimal"/>
      <w:lvlText w:val="%1."/>
      <w:lvlJc w:val="left"/>
      <w:pPr>
        <w:tabs>
          <w:tab w:val="num" w:pos="720"/>
        </w:tabs>
        <w:ind w:left="720" w:hanging="360"/>
      </w:pPr>
      <w:rPr>
        <w:rFonts w:ascii="Cambria" w:hAnsi="Cambria" w:hint="default"/>
      </w:rPr>
    </w:lvl>
    <w:lvl w:ilvl="1">
      <w:start w:val="1"/>
      <w:numFmt w:val="upperRoman"/>
      <w:lvlText w:val="%2."/>
      <w:lvlJc w:val="left"/>
      <w:pPr>
        <w:ind w:left="1800" w:hanging="720"/>
      </w:pPr>
      <w:rPr>
        <w:rFonts w:ascii="Cambria" w:hAnsi="Cambria" w:hint="default"/>
        <w:b/>
        <w:sz w:val="20"/>
      </w:rPr>
    </w:lvl>
    <w:lvl w:ilvl="2">
      <w:start w:val="1"/>
      <w:numFmt w:val="lowerRoman"/>
      <w:lvlText w:val="%3."/>
      <w:lvlJc w:val="left"/>
      <w:pPr>
        <w:ind w:left="6120" w:hanging="720"/>
      </w:pPr>
      <w:rPr>
        <w:rFonts w:ascii="Cambria" w:hAnsi="Cambria" w:hint="default"/>
        <w:b/>
        <w:sz w:val="20"/>
      </w:rPr>
    </w:lvl>
    <w:lvl w:ilvl="3">
      <w:start w:val="4"/>
      <w:numFmt w:val="upperRoman"/>
      <w:lvlText w:val="%4&gt;"/>
      <w:lvlJc w:val="left"/>
      <w:pPr>
        <w:ind w:left="3240" w:hanging="720"/>
      </w:pPr>
      <w:rPr>
        <w:rFonts w:cs="Calibri Light"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49548F"/>
    <w:multiLevelType w:val="multilevel"/>
    <w:tmpl w:val="33A6F3C0"/>
    <w:lvl w:ilvl="0">
      <w:start w:val="1"/>
      <w:numFmt w:val="decimal"/>
      <w:lvlText w:val="%1."/>
      <w:lvlJc w:val="left"/>
      <w:pPr>
        <w:tabs>
          <w:tab w:val="num" w:pos="720"/>
        </w:tabs>
        <w:ind w:left="720" w:hanging="360"/>
      </w:pPr>
      <w:rPr>
        <w:rFonts w:ascii="Cambria" w:hAnsi="Cambria" w:hint="default"/>
        <w:b w:val="0"/>
        <w:bCs w:val="0"/>
      </w:rPr>
    </w:lvl>
    <w:lvl w:ilvl="1">
      <w:start w:val="1"/>
      <w:numFmt w:val="upperRoman"/>
      <w:lvlText w:val="%2."/>
      <w:lvlJc w:val="left"/>
      <w:pPr>
        <w:ind w:left="1800" w:hanging="720"/>
      </w:pPr>
      <w:rPr>
        <w:rFonts w:ascii="Cambria" w:hAnsi="Cambria" w:hint="default"/>
        <w:b/>
        <w:sz w:val="20"/>
      </w:rPr>
    </w:lvl>
    <w:lvl w:ilvl="2">
      <w:start w:val="1"/>
      <w:numFmt w:val="lowerRoman"/>
      <w:lvlText w:val="%3."/>
      <w:lvlJc w:val="left"/>
      <w:pPr>
        <w:ind w:left="6120" w:hanging="720"/>
      </w:pPr>
      <w:rPr>
        <w:rFonts w:ascii="Cambria" w:hAnsi="Cambria" w:hint="default"/>
        <w:b/>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426321"/>
    <w:multiLevelType w:val="hybridMultilevel"/>
    <w:tmpl w:val="5284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9570A6"/>
    <w:multiLevelType w:val="multilevel"/>
    <w:tmpl w:val="6EF4020A"/>
    <w:lvl w:ilvl="0">
      <w:start w:val="1"/>
      <w:numFmt w:val="decimal"/>
      <w:pStyle w:val="IASubttulo3"/>
      <w:lvlText w:val="%1."/>
      <w:lvlJc w:val="left"/>
      <w:pPr>
        <w:tabs>
          <w:tab w:val="num" w:pos="720"/>
        </w:tabs>
        <w:ind w:left="1440" w:hanging="72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ED34362"/>
    <w:multiLevelType w:val="hybridMultilevel"/>
    <w:tmpl w:val="E3DAE8C0"/>
    <w:lvl w:ilvl="0" w:tplc="A88C816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534976">
    <w:abstractNumId w:val="4"/>
  </w:num>
  <w:num w:numId="2" w16cid:durableId="45763542">
    <w:abstractNumId w:val="1"/>
  </w:num>
  <w:num w:numId="3" w16cid:durableId="159006191">
    <w:abstractNumId w:val="0"/>
  </w:num>
  <w:num w:numId="4" w16cid:durableId="925650356">
    <w:abstractNumId w:val="5"/>
  </w:num>
  <w:num w:numId="5" w16cid:durableId="755900953">
    <w:abstractNumId w:val="3"/>
  </w:num>
  <w:num w:numId="6" w16cid:durableId="139889762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121F"/>
    <w:rsid w:val="00004375"/>
    <w:rsid w:val="00013D1F"/>
    <w:rsid w:val="0001720F"/>
    <w:rsid w:val="00031E01"/>
    <w:rsid w:val="00033B04"/>
    <w:rsid w:val="00035689"/>
    <w:rsid w:val="00037EE7"/>
    <w:rsid w:val="00041526"/>
    <w:rsid w:val="0005228B"/>
    <w:rsid w:val="0006625E"/>
    <w:rsid w:val="00074C00"/>
    <w:rsid w:val="00082741"/>
    <w:rsid w:val="00082B16"/>
    <w:rsid w:val="000840A1"/>
    <w:rsid w:val="000A1EFD"/>
    <w:rsid w:val="000D73E4"/>
    <w:rsid w:val="000F4520"/>
    <w:rsid w:val="0010578C"/>
    <w:rsid w:val="00106C59"/>
    <w:rsid w:val="00124D39"/>
    <w:rsid w:val="00136D54"/>
    <w:rsid w:val="00151983"/>
    <w:rsid w:val="0015583C"/>
    <w:rsid w:val="00163E52"/>
    <w:rsid w:val="00183508"/>
    <w:rsid w:val="0019340A"/>
    <w:rsid w:val="00193906"/>
    <w:rsid w:val="001C0A6D"/>
    <w:rsid w:val="001C230A"/>
    <w:rsid w:val="001F495A"/>
    <w:rsid w:val="0021669C"/>
    <w:rsid w:val="00217A39"/>
    <w:rsid w:val="00217F58"/>
    <w:rsid w:val="00234F67"/>
    <w:rsid w:val="00250058"/>
    <w:rsid w:val="0025651E"/>
    <w:rsid w:val="002659F6"/>
    <w:rsid w:val="002A1ED6"/>
    <w:rsid w:val="002A39B2"/>
    <w:rsid w:val="002A7539"/>
    <w:rsid w:val="002B0B2A"/>
    <w:rsid w:val="002C1046"/>
    <w:rsid w:val="002C446E"/>
    <w:rsid w:val="002C76AC"/>
    <w:rsid w:val="00300DA5"/>
    <w:rsid w:val="00301A2A"/>
    <w:rsid w:val="0030543F"/>
    <w:rsid w:val="0032092C"/>
    <w:rsid w:val="003358E6"/>
    <w:rsid w:val="00336E4E"/>
    <w:rsid w:val="003412B2"/>
    <w:rsid w:val="00360412"/>
    <w:rsid w:val="00363E14"/>
    <w:rsid w:val="00393310"/>
    <w:rsid w:val="003A00B1"/>
    <w:rsid w:val="003D4630"/>
    <w:rsid w:val="003E3690"/>
    <w:rsid w:val="003E4B42"/>
    <w:rsid w:val="003F417D"/>
    <w:rsid w:val="003F437F"/>
    <w:rsid w:val="0040037B"/>
    <w:rsid w:val="00403841"/>
    <w:rsid w:val="0041423F"/>
    <w:rsid w:val="00450646"/>
    <w:rsid w:val="004633EB"/>
    <w:rsid w:val="0047175E"/>
    <w:rsid w:val="00483B3C"/>
    <w:rsid w:val="00483CF7"/>
    <w:rsid w:val="00486911"/>
    <w:rsid w:val="004A15BA"/>
    <w:rsid w:val="004A4561"/>
    <w:rsid w:val="004A4FAC"/>
    <w:rsid w:val="004C4D9C"/>
    <w:rsid w:val="004D7999"/>
    <w:rsid w:val="004F3B49"/>
    <w:rsid w:val="00513A38"/>
    <w:rsid w:val="00525898"/>
    <w:rsid w:val="00537F2F"/>
    <w:rsid w:val="005664CA"/>
    <w:rsid w:val="0058688A"/>
    <w:rsid w:val="00590BCD"/>
    <w:rsid w:val="0059345C"/>
    <w:rsid w:val="005B23B6"/>
    <w:rsid w:val="005B4E62"/>
    <w:rsid w:val="005C4307"/>
    <w:rsid w:val="005C5563"/>
    <w:rsid w:val="005D1113"/>
    <w:rsid w:val="005D1DC2"/>
    <w:rsid w:val="005E11CE"/>
    <w:rsid w:val="005E6CF2"/>
    <w:rsid w:val="005F4AAA"/>
    <w:rsid w:val="00604132"/>
    <w:rsid w:val="00604F1C"/>
    <w:rsid w:val="00627C9D"/>
    <w:rsid w:val="0063220A"/>
    <w:rsid w:val="00650D57"/>
    <w:rsid w:val="006518D8"/>
    <w:rsid w:val="006753A9"/>
    <w:rsid w:val="006929AA"/>
    <w:rsid w:val="0069586A"/>
    <w:rsid w:val="006964C0"/>
    <w:rsid w:val="006A592E"/>
    <w:rsid w:val="006A6CAF"/>
    <w:rsid w:val="006B1338"/>
    <w:rsid w:val="006B3D07"/>
    <w:rsid w:val="006D2360"/>
    <w:rsid w:val="006E0736"/>
    <w:rsid w:val="006E23B9"/>
    <w:rsid w:val="006F0429"/>
    <w:rsid w:val="0070714C"/>
    <w:rsid w:val="0073374A"/>
    <w:rsid w:val="00741FC9"/>
    <w:rsid w:val="00745807"/>
    <w:rsid w:val="007546B7"/>
    <w:rsid w:val="007779B2"/>
    <w:rsid w:val="0078116D"/>
    <w:rsid w:val="007835DD"/>
    <w:rsid w:val="00783682"/>
    <w:rsid w:val="0078691F"/>
    <w:rsid w:val="007A6889"/>
    <w:rsid w:val="007B23CA"/>
    <w:rsid w:val="007B6F7C"/>
    <w:rsid w:val="007C2CC3"/>
    <w:rsid w:val="007C351D"/>
    <w:rsid w:val="007D543E"/>
    <w:rsid w:val="007E3059"/>
    <w:rsid w:val="007E346D"/>
    <w:rsid w:val="007E4ED5"/>
    <w:rsid w:val="007E7421"/>
    <w:rsid w:val="007F5A92"/>
    <w:rsid w:val="007F5F4E"/>
    <w:rsid w:val="007F7616"/>
    <w:rsid w:val="0080116E"/>
    <w:rsid w:val="008012A4"/>
    <w:rsid w:val="008060DE"/>
    <w:rsid w:val="00807BAA"/>
    <w:rsid w:val="00823877"/>
    <w:rsid w:val="008437F1"/>
    <w:rsid w:val="00853897"/>
    <w:rsid w:val="00854C6B"/>
    <w:rsid w:val="008550EF"/>
    <w:rsid w:val="00863192"/>
    <w:rsid w:val="008776EB"/>
    <w:rsid w:val="0089016B"/>
    <w:rsid w:val="0089637D"/>
    <w:rsid w:val="008A3BA4"/>
    <w:rsid w:val="008D3166"/>
    <w:rsid w:val="008E1A23"/>
    <w:rsid w:val="008E72CA"/>
    <w:rsid w:val="00911130"/>
    <w:rsid w:val="00913BF3"/>
    <w:rsid w:val="00917950"/>
    <w:rsid w:val="00931D14"/>
    <w:rsid w:val="009331A5"/>
    <w:rsid w:val="00933A89"/>
    <w:rsid w:val="00936FD6"/>
    <w:rsid w:val="00944F57"/>
    <w:rsid w:val="009477D5"/>
    <w:rsid w:val="009603DF"/>
    <w:rsid w:val="00977EF7"/>
    <w:rsid w:val="00996A1D"/>
    <w:rsid w:val="009A542A"/>
    <w:rsid w:val="009B480D"/>
    <w:rsid w:val="009C4D87"/>
    <w:rsid w:val="009D20DE"/>
    <w:rsid w:val="009D3412"/>
    <w:rsid w:val="009D3B59"/>
    <w:rsid w:val="009D4C34"/>
    <w:rsid w:val="009D50E2"/>
    <w:rsid w:val="009F0FEB"/>
    <w:rsid w:val="009F1C70"/>
    <w:rsid w:val="009F4D7F"/>
    <w:rsid w:val="009F5033"/>
    <w:rsid w:val="00A01DB8"/>
    <w:rsid w:val="00A04865"/>
    <w:rsid w:val="00A04F19"/>
    <w:rsid w:val="00A13D4B"/>
    <w:rsid w:val="00A25CA7"/>
    <w:rsid w:val="00A343FF"/>
    <w:rsid w:val="00A412C2"/>
    <w:rsid w:val="00A47FF7"/>
    <w:rsid w:val="00A558AC"/>
    <w:rsid w:val="00A72869"/>
    <w:rsid w:val="00A77EA6"/>
    <w:rsid w:val="00A84954"/>
    <w:rsid w:val="00A92CB9"/>
    <w:rsid w:val="00A942E0"/>
    <w:rsid w:val="00AC1D91"/>
    <w:rsid w:val="00AC2BAD"/>
    <w:rsid w:val="00AC7559"/>
    <w:rsid w:val="00AD5A1F"/>
    <w:rsid w:val="00AE1B0F"/>
    <w:rsid w:val="00AE6BE2"/>
    <w:rsid w:val="00AF0CEC"/>
    <w:rsid w:val="00B056D9"/>
    <w:rsid w:val="00B2161A"/>
    <w:rsid w:val="00B22024"/>
    <w:rsid w:val="00B37978"/>
    <w:rsid w:val="00B46E94"/>
    <w:rsid w:val="00B5680B"/>
    <w:rsid w:val="00B56CD7"/>
    <w:rsid w:val="00B703B3"/>
    <w:rsid w:val="00B75824"/>
    <w:rsid w:val="00B806AC"/>
    <w:rsid w:val="00B90B9D"/>
    <w:rsid w:val="00B91D8E"/>
    <w:rsid w:val="00B93993"/>
    <w:rsid w:val="00BE2369"/>
    <w:rsid w:val="00BF33B2"/>
    <w:rsid w:val="00C04C07"/>
    <w:rsid w:val="00C1382E"/>
    <w:rsid w:val="00C345B0"/>
    <w:rsid w:val="00C40F2C"/>
    <w:rsid w:val="00C5546C"/>
    <w:rsid w:val="00C6263A"/>
    <w:rsid w:val="00C70DD0"/>
    <w:rsid w:val="00C74AF5"/>
    <w:rsid w:val="00CA2777"/>
    <w:rsid w:val="00CA3AA8"/>
    <w:rsid w:val="00CB65EF"/>
    <w:rsid w:val="00CC4274"/>
    <w:rsid w:val="00CC722B"/>
    <w:rsid w:val="00CE4E6F"/>
    <w:rsid w:val="00D05BCC"/>
    <w:rsid w:val="00D13990"/>
    <w:rsid w:val="00D222B7"/>
    <w:rsid w:val="00D36A3D"/>
    <w:rsid w:val="00D5166A"/>
    <w:rsid w:val="00D60CAC"/>
    <w:rsid w:val="00D73768"/>
    <w:rsid w:val="00D82E91"/>
    <w:rsid w:val="00DA4CEB"/>
    <w:rsid w:val="00DD4F27"/>
    <w:rsid w:val="00DD7443"/>
    <w:rsid w:val="00DF0FE5"/>
    <w:rsid w:val="00E04605"/>
    <w:rsid w:val="00E06D52"/>
    <w:rsid w:val="00E2035C"/>
    <w:rsid w:val="00E24DFC"/>
    <w:rsid w:val="00E26E89"/>
    <w:rsid w:val="00E274AA"/>
    <w:rsid w:val="00E276DE"/>
    <w:rsid w:val="00E3040C"/>
    <w:rsid w:val="00E30888"/>
    <w:rsid w:val="00E43B1F"/>
    <w:rsid w:val="00E5030A"/>
    <w:rsid w:val="00E52331"/>
    <w:rsid w:val="00E62255"/>
    <w:rsid w:val="00E77756"/>
    <w:rsid w:val="00E81EAB"/>
    <w:rsid w:val="00E82EF8"/>
    <w:rsid w:val="00EB3ACF"/>
    <w:rsid w:val="00EC03C5"/>
    <w:rsid w:val="00EC64BF"/>
    <w:rsid w:val="00ED4C58"/>
    <w:rsid w:val="00ED518E"/>
    <w:rsid w:val="00EF1BD7"/>
    <w:rsid w:val="00F0294F"/>
    <w:rsid w:val="00F06E69"/>
    <w:rsid w:val="00F07B09"/>
    <w:rsid w:val="00F16469"/>
    <w:rsid w:val="00F267EC"/>
    <w:rsid w:val="00F306C1"/>
    <w:rsid w:val="00F3661B"/>
    <w:rsid w:val="00F47E8A"/>
    <w:rsid w:val="00F52F31"/>
    <w:rsid w:val="00F54F60"/>
    <w:rsid w:val="00F66FEE"/>
    <w:rsid w:val="00F72E41"/>
    <w:rsid w:val="00F80DF4"/>
    <w:rsid w:val="00FB48F2"/>
    <w:rsid w:val="00FC0266"/>
    <w:rsid w:val="00FC66C2"/>
    <w:rsid w:val="00FD09E6"/>
    <w:rsid w:val="00FD7ED8"/>
    <w:rsid w:val="00FF46A4"/>
    <w:rsid w:val="00FF5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F1D97"/>
  <w15:chartTrackingRefBased/>
  <w15:docId w15:val="{F7221561-102B-004D-829C-7EDAF8C5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basedOn w:val="Normal"/>
    <w:link w:val="FootnoteTextChar"/>
    <w:uiPriority w:val="99"/>
    <w:semiHidden/>
    <w:unhideWhenUsed/>
    <w:rsid w:val="007B23CA"/>
    <w:rPr>
      <w:sz w:val="20"/>
      <w:szCs w:val="20"/>
    </w:rPr>
  </w:style>
  <w:style w:type="character" w:customStyle="1" w:styleId="FootnoteTextChar">
    <w:name w:val="Footnote Text Char"/>
    <w:link w:val="FootnoteText"/>
    <w:uiPriority w:val="99"/>
    <w:semiHidden/>
    <w:rsid w:val="007B23CA"/>
    <w:rPr>
      <w:lang w:val="en-US" w:eastAsia="en-US"/>
    </w:rPr>
  </w:style>
  <w:style w:type="character" w:styleId="Hyperlink">
    <w:name w:val="Hyperlink"/>
    <w:uiPriority w:val="99"/>
    <w:unhideWhenUsed/>
    <w:rsid w:val="0073374A"/>
    <w:rPr>
      <w:color w:val="467886"/>
      <w:u w:val="single"/>
    </w:rPr>
  </w:style>
  <w:style w:type="character" w:styleId="UnresolvedMention">
    <w:name w:val="Unresolved Mention"/>
    <w:uiPriority w:val="99"/>
    <w:semiHidden/>
    <w:unhideWhenUsed/>
    <w:rsid w:val="0073374A"/>
    <w:rPr>
      <w:color w:val="605E5C"/>
      <w:shd w:val="clear" w:color="auto" w:fill="E1DFDD"/>
    </w:rPr>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
    <w:basedOn w:val="Normal"/>
    <w:link w:val="ListParagraphChar"/>
    <w:uiPriority w:val="34"/>
    <w:qFormat/>
    <w:rsid w:val="00E43B1F"/>
    <w:pPr>
      <w:ind w:left="720"/>
      <w:contextualSpacing/>
    </w:pPr>
  </w:style>
  <w:style w:type="character" w:styleId="FollowedHyperlink">
    <w:name w:val="FollowedHyperlink"/>
    <w:basedOn w:val="DefaultParagraphFont"/>
    <w:uiPriority w:val="99"/>
    <w:semiHidden/>
    <w:unhideWhenUsed/>
    <w:rsid w:val="009F4D7F"/>
    <w:rPr>
      <w:color w:val="96607D" w:themeColor="followedHyperlink"/>
      <w:u w:val="single"/>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
    <w:link w:val="ListParagraph"/>
    <w:uiPriority w:val="34"/>
    <w:locked/>
    <w:rsid w:val="00627C9D"/>
    <w:rPr>
      <w:sz w:val="22"/>
      <w:szCs w:val="22"/>
      <w:lang w:val="en-US" w:eastAsia="en-US"/>
    </w:rPr>
  </w:style>
  <w:style w:type="paragraph" w:customStyle="1" w:styleId="IATtulo">
    <w:name w:val="IA   Título"/>
    <w:basedOn w:val="List"/>
    <w:link w:val="IATtuloChar"/>
    <w:qFormat/>
    <w:rsid w:val="00F3661B"/>
    <w:pPr>
      <w:suppressAutoHyphens/>
      <w:spacing w:after="240" w:line="240" w:lineRule="auto"/>
      <w:ind w:left="0" w:firstLine="0"/>
      <w:contextualSpacing w:val="0"/>
    </w:pPr>
    <w:rPr>
      <w:rFonts w:ascii="Cambria" w:hAnsi="Cambria"/>
      <w:b/>
      <w:caps/>
      <w:color w:val="000000"/>
    </w:rPr>
  </w:style>
  <w:style w:type="paragraph" w:customStyle="1" w:styleId="IASubttulo3">
    <w:name w:val="IA  Subtítulo 3"/>
    <w:basedOn w:val="List"/>
    <w:qFormat/>
    <w:rsid w:val="00F3661B"/>
    <w:pPr>
      <w:numPr>
        <w:numId w:val="1"/>
      </w:numPr>
      <w:tabs>
        <w:tab w:val="clear" w:pos="720"/>
        <w:tab w:val="num" w:pos="360"/>
      </w:tabs>
      <w:suppressAutoHyphens/>
      <w:spacing w:after="240" w:line="240" w:lineRule="auto"/>
      <w:ind w:left="283" w:hanging="283"/>
      <w:contextualSpacing w:val="0"/>
    </w:pPr>
    <w:rPr>
      <w:rFonts w:ascii="Cambria" w:hAnsi="Cambria"/>
      <w:b/>
      <w:color w:val="000000"/>
      <w:sz w:val="20"/>
    </w:rPr>
  </w:style>
  <w:style w:type="paragraph" w:styleId="List">
    <w:name w:val="List"/>
    <w:basedOn w:val="Normal"/>
    <w:uiPriority w:val="99"/>
    <w:semiHidden/>
    <w:unhideWhenUsed/>
    <w:rsid w:val="00F3661B"/>
    <w:pPr>
      <w:ind w:left="283" w:hanging="283"/>
      <w:contextualSpacing/>
    </w:pPr>
  </w:style>
  <w:style w:type="character" w:customStyle="1" w:styleId="IATtuloChar">
    <w:name w:val="IA   Título Char"/>
    <w:basedOn w:val="DefaultParagraphFont"/>
    <w:link w:val="IATtulo"/>
    <w:rsid w:val="00300DA5"/>
    <w:rPr>
      <w:rFonts w:ascii="Cambria" w:hAnsi="Cambria"/>
      <w:b/>
      <w:caps/>
      <w:color w:val="000000"/>
      <w:sz w:val="22"/>
      <w:szCs w:val="22"/>
      <w:lang w:val="en-US" w:eastAsia="en-US"/>
    </w:rPr>
  </w:style>
  <w:style w:type="character" w:styleId="CommentReference">
    <w:name w:val="annotation reference"/>
    <w:basedOn w:val="DefaultParagraphFont"/>
    <w:uiPriority w:val="99"/>
    <w:semiHidden/>
    <w:unhideWhenUsed/>
    <w:rsid w:val="003F417D"/>
    <w:rPr>
      <w:sz w:val="16"/>
      <w:szCs w:val="16"/>
    </w:rPr>
  </w:style>
  <w:style w:type="paragraph" w:styleId="CommentText">
    <w:name w:val="annotation text"/>
    <w:basedOn w:val="Normal"/>
    <w:link w:val="CommentTextChar"/>
    <w:uiPriority w:val="99"/>
    <w:semiHidden/>
    <w:unhideWhenUsed/>
    <w:rsid w:val="003F417D"/>
    <w:pPr>
      <w:spacing w:line="240" w:lineRule="auto"/>
    </w:pPr>
    <w:rPr>
      <w:sz w:val="20"/>
      <w:szCs w:val="20"/>
    </w:rPr>
  </w:style>
  <w:style w:type="character" w:customStyle="1" w:styleId="CommentTextChar">
    <w:name w:val="Comment Text Char"/>
    <w:basedOn w:val="DefaultParagraphFont"/>
    <w:link w:val="CommentText"/>
    <w:uiPriority w:val="99"/>
    <w:semiHidden/>
    <w:rsid w:val="003F417D"/>
    <w:rPr>
      <w:lang w:val="en-US" w:eastAsia="en-US"/>
    </w:rPr>
  </w:style>
  <w:style w:type="paragraph" w:styleId="CommentSubject">
    <w:name w:val="annotation subject"/>
    <w:basedOn w:val="CommentText"/>
    <w:next w:val="CommentText"/>
    <w:link w:val="CommentSubjectChar"/>
    <w:uiPriority w:val="99"/>
    <w:semiHidden/>
    <w:unhideWhenUsed/>
    <w:rsid w:val="003F417D"/>
    <w:rPr>
      <w:b/>
      <w:bCs/>
    </w:rPr>
  </w:style>
  <w:style w:type="character" w:customStyle="1" w:styleId="CommentSubjectChar">
    <w:name w:val="Comment Subject Char"/>
    <w:basedOn w:val="CommentTextChar"/>
    <w:link w:val="CommentSubject"/>
    <w:uiPriority w:val="99"/>
    <w:semiHidden/>
    <w:rsid w:val="003F417D"/>
    <w:rPr>
      <w:b/>
      <w:bCs/>
      <w:lang w:val="en-US" w:eastAsia="en-US"/>
    </w:rPr>
  </w:style>
  <w:style w:type="character" w:customStyle="1" w:styleId="normaltextrun">
    <w:name w:val="normaltextrun"/>
    <w:basedOn w:val="DefaultParagraphFont"/>
    <w:rsid w:val="00C62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s/cidh/decisiones/2019/COAD289-09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oas.org/es/cidh/decisiones/2022/COSA13.775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as.org/es/cidh/decisiones/2022/COSA13.775ES.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ocs/anual/2024/capitulos/IA2024_2_ES.pdf" TargetMode="External"/><Relationship Id="rId2" Type="http://schemas.openxmlformats.org/officeDocument/2006/relationships/hyperlink" Target="https://www.oas.org/es/cidh/docs/anual/2022/capitulos/4-IA2022_Cap_2_ES.pdf" TargetMode="External"/><Relationship Id="rId1" Type="http://schemas.openxmlformats.org/officeDocument/2006/relationships/hyperlink" Target="https://www.oas.org/es/cidh/decisiones/2022/COSA13.775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2.xml><?xml version="1.0" encoding="utf-8"?>
<ds:datastoreItem xmlns:ds="http://schemas.openxmlformats.org/officeDocument/2006/customXml" ds:itemID="{E56FF515-3106-4E03-AFF1-FBD97B8A4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C64E7-8B52-4521-A976-CD6A20313E3E}">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5.xml><?xml version="1.0" encoding="utf-8"?>
<ds:datastoreItem xmlns:ds="http://schemas.openxmlformats.org/officeDocument/2006/customXml" ds:itemID="{67B860E9-D705-4CC0-8F2E-B8214DB7B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Cartas-es.dotx</Template>
  <TotalTime>1</TotalTime>
  <Pages>3</Pages>
  <Words>910</Words>
  <Characters>5188</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6086</CharactersWithSpaces>
  <SharedDoc>false</SharedDoc>
  <HLinks>
    <vt:vector size="72" baseType="variant">
      <vt:variant>
        <vt:i4>6357096</vt:i4>
      </vt:variant>
      <vt:variant>
        <vt:i4>6</vt:i4>
      </vt:variant>
      <vt:variant>
        <vt:i4>0</vt:i4>
      </vt:variant>
      <vt:variant>
        <vt:i4>5</vt:i4>
      </vt:variant>
      <vt:variant>
        <vt:lpwstr>http://www.oas.org/es/cidh/decisiones/2013/VESA12473ES.doc</vt:lpwstr>
      </vt:variant>
      <vt:variant>
        <vt:lpwstr/>
      </vt:variant>
      <vt:variant>
        <vt:i4>5505025</vt:i4>
      </vt:variant>
      <vt:variant>
        <vt:i4>3</vt:i4>
      </vt:variant>
      <vt:variant>
        <vt:i4>0</vt:i4>
      </vt:variant>
      <vt:variant>
        <vt:i4>5</vt:i4>
      </vt:variant>
      <vt:variant>
        <vt:lpwstr>http://www.cidh.oas.org/annualrep/2004sp/Venezuela.667.01.htm</vt:lpwstr>
      </vt:variant>
      <vt:variant>
        <vt:lpwstr/>
      </vt:variant>
      <vt:variant>
        <vt:i4>6684780</vt:i4>
      </vt:variant>
      <vt:variant>
        <vt:i4>0</vt:i4>
      </vt:variant>
      <vt:variant>
        <vt:i4>0</vt:i4>
      </vt:variant>
      <vt:variant>
        <vt:i4>5</vt:i4>
      </vt:variant>
      <vt:variant>
        <vt:lpwstr>http://www.oas.org/es/cidh/decisiones/2012/VESA11706ES.doc</vt:lpwstr>
      </vt:variant>
      <vt:variant>
        <vt:lpwstr/>
      </vt:variant>
      <vt:variant>
        <vt:i4>983041</vt:i4>
      </vt:variant>
      <vt:variant>
        <vt:i4>24</vt:i4>
      </vt:variant>
      <vt:variant>
        <vt:i4>0</vt:i4>
      </vt:variant>
      <vt:variant>
        <vt:i4>5</vt:i4>
      </vt:variant>
      <vt:variant>
        <vt:lpwstr>https://www.oas.org/es/cidh/docs/anual/2024/capitulos/IA2024_2_ES.pdf</vt:lpwstr>
      </vt:variant>
      <vt:variant>
        <vt:lpwstr/>
      </vt:variant>
      <vt:variant>
        <vt:i4>3276841</vt:i4>
      </vt:variant>
      <vt:variant>
        <vt:i4>21</vt:i4>
      </vt:variant>
      <vt:variant>
        <vt:i4>0</vt:i4>
      </vt:variant>
      <vt:variant>
        <vt:i4>5</vt:i4>
      </vt:variant>
      <vt:variant>
        <vt:lpwstr>http://www.oas.org/es/cidh/docs/anual/2018/docs/IA2018cap.2-es.pdf</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3276841</vt:i4>
      </vt:variant>
      <vt:variant>
        <vt:i4>15</vt:i4>
      </vt:variant>
      <vt:variant>
        <vt:i4>0</vt:i4>
      </vt:variant>
      <vt:variant>
        <vt:i4>5</vt:i4>
      </vt:variant>
      <vt:variant>
        <vt:lpwstr>http://www.oas.org/es/cidh/docs/anual/2018/docs/IA2018cap.2-es.pdf</vt:lpwstr>
      </vt:variant>
      <vt:variant>
        <vt:lpwstr/>
      </vt:variant>
      <vt:variant>
        <vt:i4>6815868</vt:i4>
      </vt:variant>
      <vt:variant>
        <vt:i4>12</vt:i4>
      </vt:variant>
      <vt:variant>
        <vt:i4>0</vt:i4>
      </vt:variant>
      <vt:variant>
        <vt:i4>5</vt:i4>
      </vt:variant>
      <vt:variant>
        <vt:lpwstr>http://www.oas.org/es/cidh/decisiones/amistosas.asp</vt:lpwstr>
      </vt:variant>
      <vt:variant>
        <vt:lpwstr/>
      </vt:variant>
      <vt:variant>
        <vt:i4>6815868</vt:i4>
      </vt:variant>
      <vt:variant>
        <vt:i4>9</vt:i4>
      </vt:variant>
      <vt:variant>
        <vt:i4>0</vt:i4>
      </vt:variant>
      <vt:variant>
        <vt:i4>5</vt:i4>
      </vt:variant>
      <vt:variant>
        <vt:lpwstr>http://www.oas.org/es/cidh/decisiones/amistosas.asp</vt:lpwstr>
      </vt:variant>
      <vt:variant>
        <vt:lpwstr/>
      </vt:variant>
      <vt:variant>
        <vt:i4>983041</vt:i4>
      </vt:variant>
      <vt:variant>
        <vt:i4>6</vt:i4>
      </vt:variant>
      <vt:variant>
        <vt:i4>0</vt:i4>
      </vt:variant>
      <vt:variant>
        <vt:i4>5</vt:i4>
      </vt:variant>
      <vt:variant>
        <vt:lpwstr>https://www.oas.org/es/cidh/docs/anual/2024/capitulos/IA2024_2_ES.pdf</vt:lpwstr>
      </vt:variant>
      <vt:variant>
        <vt:lpwstr/>
      </vt:variant>
      <vt:variant>
        <vt:i4>983041</vt:i4>
      </vt:variant>
      <vt:variant>
        <vt:i4>3</vt:i4>
      </vt:variant>
      <vt:variant>
        <vt:i4>0</vt:i4>
      </vt:variant>
      <vt:variant>
        <vt:i4>5</vt:i4>
      </vt:variant>
      <vt:variant>
        <vt:lpwstr>https://www.oas.org/es/cidh/docs/anual/2024/capitulos/IA2024_2_ES.pdf</vt:lpwstr>
      </vt:variant>
      <vt:variant>
        <vt:lpwstr/>
      </vt:variant>
      <vt:variant>
        <vt:i4>983041</vt:i4>
      </vt:variant>
      <vt:variant>
        <vt:i4>0</vt:i4>
      </vt:variant>
      <vt:variant>
        <vt:i4>0</vt:i4>
      </vt:variant>
      <vt:variant>
        <vt:i4>5</vt:i4>
      </vt:variant>
      <vt:variant>
        <vt:lpwstr>https://www.oas.org/es/cidh/docs/anual/2024/capitulos/IA2024_2_ES.pdf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Seminario, Javier</cp:lastModifiedBy>
  <cp:revision>4</cp:revision>
  <cp:lastPrinted>2025-08-26T18:24:00Z</cp:lastPrinted>
  <dcterms:created xsi:type="dcterms:W3CDTF">2025-07-28T17:33:00Z</dcterms:created>
  <dcterms:modified xsi:type="dcterms:W3CDTF">2025-08-26T18:24:00Z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Montero, Erika</vt:lpwstr>
  </property>
  <property fmtid="{D5CDD505-2E9C-101B-9397-08002B2CF9AE}" pid="3" name="Order">
    <vt:lpwstr>73200.0000000000</vt:lpwstr>
  </property>
  <property fmtid="{D5CDD505-2E9C-101B-9397-08002B2CF9AE}" pid="4" name="display_urn:schemas-microsoft-com:office:office#Author">
    <vt:lpwstr>Montero, Erika</vt:lpwstr>
  </property>
  <property fmtid="{D5CDD505-2E9C-101B-9397-08002B2CF9AE}" pid="5" name="ContentTypeId">
    <vt:lpwstr>0x010100D589DCDDB8A16B44BDC2A7128ECAC845</vt:lpwstr>
  </property>
</Properties>
</file>