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035689" w:rsidRDefault="002659F6" w:rsidP="00035689">
      <w:pPr>
        <w:suppressAutoHyphens/>
        <w:spacing w:after="0" w:line="240" w:lineRule="auto"/>
        <w:ind w:right="-270"/>
        <w:jc w:val="center"/>
        <w:rPr>
          <w:rFonts w:ascii="Cambria" w:eastAsia="Batang" w:hAnsi="Cambria"/>
          <w:b/>
          <w:sz w:val="24"/>
          <w:szCs w:val="24"/>
          <w:lang w:val="es-CO"/>
        </w:rPr>
      </w:pPr>
    </w:p>
    <w:p w14:paraId="532EB7EA" w14:textId="4890DD28" w:rsidR="002659F6" w:rsidRPr="00035689" w:rsidRDefault="002659F6" w:rsidP="00035689">
      <w:pPr>
        <w:suppressAutoHyphens/>
        <w:spacing w:after="0" w:line="240" w:lineRule="auto"/>
        <w:ind w:right="-270"/>
        <w:jc w:val="center"/>
        <w:rPr>
          <w:rFonts w:ascii="Cambria" w:eastAsia="Batang" w:hAnsi="Cambria"/>
          <w:b/>
          <w:sz w:val="24"/>
          <w:szCs w:val="24"/>
          <w:lang w:val="es-CO"/>
        </w:rPr>
      </w:pPr>
      <w:r w:rsidRPr="00035689">
        <w:rPr>
          <w:rFonts w:ascii="Cambria" w:eastAsia="Batang" w:hAnsi="Cambria"/>
          <w:b/>
          <w:sz w:val="24"/>
          <w:szCs w:val="24"/>
          <w:lang w:val="es-CO"/>
        </w:rPr>
        <w:t>FICHA TÉCNICA INFORMATIVA</w:t>
      </w:r>
    </w:p>
    <w:p w14:paraId="50BCF049" w14:textId="77777777" w:rsidR="00033B04" w:rsidRPr="00035689" w:rsidRDefault="00033B04" w:rsidP="00035689">
      <w:pPr>
        <w:suppressAutoHyphens/>
        <w:spacing w:after="0" w:line="240" w:lineRule="auto"/>
        <w:ind w:right="-270"/>
        <w:jc w:val="center"/>
        <w:rPr>
          <w:rFonts w:ascii="Cambria" w:eastAsia="Batang" w:hAnsi="Cambria"/>
          <w:b/>
          <w:sz w:val="24"/>
          <w:szCs w:val="24"/>
          <w:lang w:val="es-CO"/>
        </w:rPr>
      </w:pPr>
      <w:r w:rsidRPr="00035689">
        <w:rPr>
          <w:rFonts w:ascii="Cambria" w:eastAsia="Batang" w:hAnsi="Cambria"/>
          <w:b/>
          <w:sz w:val="24"/>
          <w:szCs w:val="24"/>
          <w:lang w:val="es-CO"/>
        </w:rPr>
        <w:t xml:space="preserve">PETICIÓN 799-06 ISIDORO LEÓN RAMÍREZ, </w:t>
      </w:r>
    </w:p>
    <w:p w14:paraId="562F8166" w14:textId="77777777" w:rsidR="00033B04" w:rsidRPr="00BA0A62" w:rsidRDefault="00033B04" w:rsidP="00035689">
      <w:pPr>
        <w:suppressAutoHyphens/>
        <w:spacing w:after="0" w:line="240" w:lineRule="auto"/>
        <w:ind w:right="-270"/>
        <w:jc w:val="center"/>
        <w:rPr>
          <w:rFonts w:ascii="Cambria" w:eastAsia="Batang" w:hAnsi="Cambria"/>
          <w:b/>
          <w:sz w:val="24"/>
          <w:szCs w:val="24"/>
          <w:lang w:val="pt-BR"/>
        </w:rPr>
      </w:pPr>
      <w:r w:rsidRPr="00BA0A62">
        <w:rPr>
          <w:rFonts w:ascii="Cambria" w:eastAsia="Batang" w:hAnsi="Cambria"/>
          <w:b/>
          <w:sz w:val="24"/>
          <w:szCs w:val="24"/>
          <w:lang w:val="pt-BR"/>
        </w:rPr>
        <w:t xml:space="preserve">POMPILIO DE JESÚS CARDONA ESCOBAR, </w:t>
      </w:r>
    </w:p>
    <w:p w14:paraId="1D1F6FD3" w14:textId="77777777" w:rsidR="00033B04" w:rsidRPr="00035689" w:rsidRDefault="00033B04" w:rsidP="00035689">
      <w:pPr>
        <w:suppressAutoHyphens/>
        <w:spacing w:after="0" w:line="240" w:lineRule="auto"/>
        <w:ind w:right="-270"/>
        <w:jc w:val="center"/>
        <w:rPr>
          <w:rFonts w:ascii="Cambria" w:eastAsia="Batang" w:hAnsi="Cambria"/>
          <w:b/>
          <w:sz w:val="24"/>
          <w:szCs w:val="24"/>
          <w:lang w:val="es-CO"/>
        </w:rPr>
      </w:pPr>
      <w:r w:rsidRPr="00035689">
        <w:rPr>
          <w:rFonts w:ascii="Cambria" w:eastAsia="Batang" w:hAnsi="Cambria"/>
          <w:b/>
          <w:sz w:val="24"/>
          <w:szCs w:val="24"/>
          <w:lang w:val="es-CO"/>
        </w:rPr>
        <w:t xml:space="preserve">LUIS FERNANDO VELÁSQUEZ LONDOÑO Y OTROS </w:t>
      </w:r>
    </w:p>
    <w:p w14:paraId="38A16E1F" w14:textId="334326D7" w:rsidR="008E72CA" w:rsidRPr="00035689" w:rsidRDefault="008E72CA" w:rsidP="00035689">
      <w:pPr>
        <w:suppressAutoHyphens/>
        <w:spacing w:after="0" w:line="240" w:lineRule="auto"/>
        <w:ind w:right="-270"/>
        <w:jc w:val="center"/>
        <w:rPr>
          <w:rFonts w:ascii="Cambria" w:eastAsia="Batang" w:hAnsi="Cambria"/>
          <w:b/>
          <w:sz w:val="24"/>
          <w:szCs w:val="24"/>
          <w:lang w:val="es-CO"/>
        </w:rPr>
      </w:pPr>
      <w:r w:rsidRPr="00035689">
        <w:rPr>
          <w:rFonts w:ascii="Cambria" w:eastAsia="Batang" w:hAnsi="Cambria"/>
          <w:b/>
          <w:sz w:val="24"/>
          <w:szCs w:val="24"/>
          <w:lang w:val="es-CO"/>
        </w:rPr>
        <w:t>INFORME DE SOLUCIÓN AMISTOSA</w:t>
      </w:r>
      <w:r w:rsidR="00033B04" w:rsidRPr="00035689">
        <w:rPr>
          <w:rFonts w:ascii="Cambria" w:eastAsia="Batang" w:hAnsi="Cambria"/>
          <w:b/>
          <w:sz w:val="24"/>
          <w:szCs w:val="24"/>
          <w:lang w:val="es-CO"/>
        </w:rPr>
        <w:t xml:space="preserve"> </w:t>
      </w:r>
      <w:hyperlink r:id="rId12" w:history="1">
        <w:r w:rsidR="00033B04" w:rsidRPr="0000121F">
          <w:rPr>
            <w:rStyle w:val="Hyperlink"/>
            <w:rFonts w:ascii="Cambria" w:eastAsia="Batang" w:hAnsi="Cambria"/>
            <w:b/>
            <w:sz w:val="24"/>
            <w:szCs w:val="24"/>
            <w:lang w:val="es-CO"/>
          </w:rPr>
          <w:t>No. 93/18</w:t>
        </w:r>
      </w:hyperlink>
    </w:p>
    <w:p w14:paraId="05750906" w14:textId="734045F8" w:rsidR="002659F6" w:rsidRPr="00035689" w:rsidRDefault="002659F6" w:rsidP="00035689">
      <w:pPr>
        <w:suppressAutoHyphens/>
        <w:spacing w:after="0" w:line="240" w:lineRule="auto"/>
        <w:ind w:right="-270"/>
        <w:jc w:val="center"/>
        <w:rPr>
          <w:rFonts w:ascii="Cambria" w:eastAsia="Batang" w:hAnsi="Cambria"/>
          <w:b/>
          <w:sz w:val="24"/>
          <w:szCs w:val="24"/>
          <w:lang w:val="es-CO"/>
        </w:rPr>
      </w:pPr>
      <w:r w:rsidRPr="00035689">
        <w:rPr>
          <w:rFonts w:ascii="Cambria" w:eastAsia="Batang" w:hAnsi="Cambria"/>
          <w:b/>
          <w:sz w:val="24"/>
          <w:szCs w:val="24"/>
          <w:lang w:val="es-CO"/>
        </w:rPr>
        <w:t>CUMPLIMIENTO TOTAL</w:t>
      </w:r>
    </w:p>
    <w:p w14:paraId="7598254F" w14:textId="2CEE02C1" w:rsidR="008E72CA" w:rsidRPr="00035689" w:rsidRDefault="008E72CA" w:rsidP="00035689">
      <w:pPr>
        <w:suppressAutoHyphens/>
        <w:spacing w:after="0" w:line="240" w:lineRule="auto"/>
        <w:ind w:right="-270"/>
        <w:jc w:val="center"/>
        <w:rPr>
          <w:rFonts w:ascii="Cambria" w:eastAsia="Batang" w:hAnsi="Cambria"/>
          <w:b/>
          <w:sz w:val="24"/>
          <w:szCs w:val="24"/>
          <w:lang w:val="es-CO"/>
        </w:rPr>
      </w:pPr>
      <w:r w:rsidRPr="00035689">
        <w:rPr>
          <w:rFonts w:ascii="Cambria" w:eastAsia="Batang" w:hAnsi="Cambria"/>
          <w:b/>
          <w:sz w:val="24"/>
          <w:szCs w:val="24"/>
          <w:lang w:val="es-CO"/>
        </w:rPr>
        <w:t>(</w:t>
      </w:r>
      <w:r w:rsidR="00033B04" w:rsidRPr="00035689">
        <w:rPr>
          <w:rFonts w:ascii="Cambria" w:eastAsia="Batang" w:hAnsi="Cambria"/>
          <w:b/>
          <w:sz w:val="24"/>
          <w:szCs w:val="24"/>
          <w:lang w:val="es-CO"/>
        </w:rPr>
        <w:t>COLOMBIA</w:t>
      </w:r>
      <w:r w:rsidRPr="00035689">
        <w:rPr>
          <w:rFonts w:ascii="Cambria" w:eastAsia="Batang" w:hAnsi="Cambria"/>
          <w:b/>
          <w:sz w:val="24"/>
          <w:szCs w:val="24"/>
          <w:lang w:val="es-CO"/>
        </w:rPr>
        <w:t>)</w:t>
      </w:r>
    </w:p>
    <w:p w14:paraId="7295383B" w14:textId="77777777" w:rsidR="00035689" w:rsidRPr="000746D6" w:rsidRDefault="00035689" w:rsidP="00627C9D">
      <w:pPr>
        <w:spacing w:after="0" w:line="240" w:lineRule="auto"/>
        <w:ind w:left="-270" w:right="-270"/>
        <w:jc w:val="both"/>
        <w:rPr>
          <w:rFonts w:ascii="Cambria" w:hAnsi="Cambria"/>
          <w:b/>
          <w:color w:val="000000"/>
          <w:sz w:val="20"/>
          <w:szCs w:val="20"/>
          <w:lang w:val="es-CO"/>
        </w:rPr>
      </w:pPr>
    </w:p>
    <w:p w14:paraId="619B22D2" w14:textId="77777777" w:rsidR="00035689" w:rsidRPr="000746D6" w:rsidRDefault="00035689" w:rsidP="00035689">
      <w:pPr>
        <w:numPr>
          <w:ilvl w:val="0"/>
          <w:numId w:val="43"/>
        </w:numPr>
        <w:suppressAutoHyphens/>
        <w:spacing w:after="0" w:line="240" w:lineRule="auto"/>
        <w:ind w:left="1440"/>
        <w:rPr>
          <w:rFonts w:ascii="Cambria" w:hAnsi="Cambria" w:cs="Calibri Light"/>
          <w:b/>
          <w:color w:val="000000"/>
          <w:sz w:val="20"/>
          <w:szCs w:val="20"/>
          <w:lang w:val="es-CO"/>
        </w:rPr>
      </w:pPr>
      <w:r w:rsidRPr="000746D6">
        <w:rPr>
          <w:rFonts w:ascii="Cambria" w:hAnsi="Cambria" w:cs="Calibri Light"/>
          <w:b/>
          <w:color w:val="000000"/>
          <w:sz w:val="20"/>
          <w:szCs w:val="20"/>
          <w:lang w:val="es-CO"/>
        </w:rPr>
        <w:t xml:space="preserve">RESUMEN DEL CASO </w:t>
      </w:r>
    </w:p>
    <w:p w14:paraId="1793C801" w14:textId="77777777" w:rsidR="00035689" w:rsidRPr="000746D6" w:rsidRDefault="00035689" w:rsidP="00035689">
      <w:pPr>
        <w:suppressAutoHyphens/>
        <w:spacing w:after="0" w:line="240" w:lineRule="auto"/>
        <w:ind w:left="720"/>
        <w:rPr>
          <w:rFonts w:ascii="Cambria" w:hAnsi="Cambria" w:cs="Calibri Light"/>
          <w:b/>
          <w:color w:val="000000"/>
          <w:sz w:val="20"/>
          <w:szCs w:val="2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035689" w:rsidRPr="00617071" w14:paraId="4A9B4BDD" w14:textId="77777777" w:rsidTr="00765A6A">
        <w:trPr>
          <w:jc w:val="center"/>
        </w:trPr>
        <w:tc>
          <w:tcPr>
            <w:tcW w:w="9576" w:type="dxa"/>
            <w:shd w:val="clear" w:color="auto" w:fill="F2F2F2"/>
          </w:tcPr>
          <w:p w14:paraId="1B6C8F8E" w14:textId="72FBDC8C" w:rsidR="00035689" w:rsidRPr="000746D6" w:rsidRDefault="00035689" w:rsidP="00035689">
            <w:pPr>
              <w:spacing w:after="0" w:line="240" w:lineRule="auto"/>
              <w:jc w:val="both"/>
              <w:rPr>
                <w:rFonts w:ascii="Cambria" w:hAnsi="Cambria"/>
                <w:color w:val="000000"/>
                <w:sz w:val="20"/>
                <w:szCs w:val="20"/>
                <w:lang w:val="es-CO"/>
              </w:rPr>
            </w:pPr>
            <w:r w:rsidRPr="000746D6">
              <w:rPr>
                <w:rFonts w:ascii="Cambria" w:hAnsi="Cambria"/>
                <w:b/>
                <w:color w:val="000000"/>
                <w:sz w:val="20"/>
                <w:szCs w:val="20"/>
                <w:lang w:val="es-CO"/>
              </w:rPr>
              <w:t>Víctima (s):</w:t>
            </w:r>
            <w:r w:rsidRPr="000746D6">
              <w:rPr>
                <w:rFonts w:ascii="Cambria" w:hAnsi="Cambria"/>
                <w:color w:val="000000"/>
                <w:sz w:val="20"/>
                <w:szCs w:val="20"/>
                <w:lang w:val="es-CO"/>
              </w:rPr>
              <w:t xml:space="preserve"> Isidoro León Ramírez Ciro</w:t>
            </w:r>
            <w:r w:rsidR="001276B5" w:rsidRPr="000746D6">
              <w:rPr>
                <w:rFonts w:ascii="Cambria" w:hAnsi="Cambria"/>
                <w:color w:val="000000"/>
                <w:sz w:val="20"/>
                <w:szCs w:val="20"/>
                <w:lang w:val="es-CO"/>
              </w:rPr>
              <w:t>, Pompilio de Jesús Cardona Escobar, Luis Fernando Velásquez Londoño</w:t>
            </w:r>
            <w:r w:rsidRPr="000746D6">
              <w:rPr>
                <w:rFonts w:ascii="Cambria" w:hAnsi="Cambria"/>
                <w:color w:val="000000"/>
                <w:sz w:val="20"/>
                <w:szCs w:val="20"/>
                <w:lang w:val="es-CO"/>
              </w:rPr>
              <w:t xml:space="preserve"> y otros</w:t>
            </w:r>
          </w:p>
          <w:p w14:paraId="2ECBEF1D" w14:textId="77777777" w:rsidR="00035689" w:rsidRPr="000746D6" w:rsidRDefault="00035689" w:rsidP="00035689">
            <w:pPr>
              <w:spacing w:after="0" w:line="240" w:lineRule="auto"/>
              <w:jc w:val="both"/>
              <w:rPr>
                <w:rFonts w:ascii="Cambria" w:hAnsi="Cambria"/>
                <w:b/>
                <w:color w:val="000000"/>
                <w:sz w:val="20"/>
                <w:szCs w:val="20"/>
                <w:lang w:val="es-CO"/>
              </w:rPr>
            </w:pPr>
            <w:r w:rsidRPr="000746D6">
              <w:rPr>
                <w:rFonts w:ascii="Cambria" w:hAnsi="Cambria"/>
                <w:b/>
                <w:color w:val="000000"/>
                <w:sz w:val="20"/>
                <w:szCs w:val="20"/>
                <w:lang w:val="es-CO"/>
              </w:rPr>
              <w:t xml:space="preserve">Peticionario (s): </w:t>
            </w:r>
            <w:r w:rsidRPr="000746D6">
              <w:rPr>
                <w:rFonts w:ascii="Cambria" w:hAnsi="Cambria"/>
                <w:color w:val="000000"/>
                <w:sz w:val="20"/>
                <w:szCs w:val="20"/>
                <w:lang w:val="es-CO"/>
              </w:rPr>
              <w:t>Centro Jurídico de Derechos Humanos de Antioquia</w:t>
            </w:r>
          </w:p>
          <w:p w14:paraId="60A0EBAC" w14:textId="77777777" w:rsidR="00035689" w:rsidRPr="000746D6" w:rsidRDefault="00035689" w:rsidP="00035689">
            <w:pPr>
              <w:spacing w:after="0" w:line="240" w:lineRule="auto"/>
              <w:jc w:val="both"/>
              <w:rPr>
                <w:rFonts w:ascii="Cambria" w:hAnsi="Cambria"/>
                <w:color w:val="000000"/>
                <w:sz w:val="20"/>
                <w:szCs w:val="20"/>
                <w:lang w:val="es-CO"/>
              </w:rPr>
            </w:pPr>
            <w:r w:rsidRPr="000746D6">
              <w:rPr>
                <w:rFonts w:ascii="Cambria" w:hAnsi="Cambria"/>
                <w:b/>
                <w:color w:val="000000"/>
                <w:sz w:val="20"/>
                <w:szCs w:val="20"/>
                <w:lang w:val="es-CO"/>
              </w:rPr>
              <w:t>Estado:</w:t>
            </w:r>
            <w:r w:rsidRPr="000746D6">
              <w:rPr>
                <w:rFonts w:ascii="Cambria" w:hAnsi="Cambria"/>
                <w:color w:val="000000"/>
                <w:sz w:val="20"/>
                <w:szCs w:val="20"/>
                <w:lang w:val="es-CO"/>
              </w:rPr>
              <w:t xml:space="preserve"> Colombia</w:t>
            </w:r>
          </w:p>
          <w:p w14:paraId="187E11E9" w14:textId="672AEC9D" w:rsidR="00035689" w:rsidRPr="000746D6" w:rsidRDefault="00035689" w:rsidP="00035689">
            <w:pPr>
              <w:tabs>
                <w:tab w:val="left" w:pos="9270"/>
              </w:tabs>
              <w:suppressAutoHyphens/>
              <w:spacing w:after="0" w:line="240" w:lineRule="auto"/>
              <w:jc w:val="both"/>
              <w:rPr>
                <w:rFonts w:ascii="Cambria" w:eastAsia="Batang" w:hAnsi="Cambria"/>
                <w:color w:val="000000"/>
                <w:sz w:val="20"/>
                <w:szCs w:val="20"/>
                <w:lang w:val="es-CO"/>
              </w:rPr>
            </w:pPr>
            <w:r w:rsidRPr="000746D6">
              <w:rPr>
                <w:rFonts w:ascii="Cambria" w:hAnsi="Cambria"/>
                <w:b/>
                <w:bCs/>
                <w:color w:val="000000"/>
                <w:sz w:val="20"/>
                <w:szCs w:val="20"/>
                <w:lang w:val="es-CO"/>
              </w:rPr>
              <w:t xml:space="preserve">Fecha de inicio de las negociaciones: </w:t>
            </w:r>
            <w:r w:rsidRPr="000746D6">
              <w:rPr>
                <w:rFonts w:ascii="Cambria" w:hAnsi="Cambria"/>
                <w:bCs/>
                <w:color w:val="000000"/>
                <w:sz w:val="20"/>
                <w:szCs w:val="20"/>
                <w:lang w:val="es-CO"/>
              </w:rPr>
              <w:t>3 de marzo de 2017</w:t>
            </w:r>
          </w:p>
          <w:p w14:paraId="3781C4C1" w14:textId="77777777" w:rsidR="00035689" w:rsidRPr="000746D6" w:rsidRDefault="00035689" w:rsidP="00035689">
            <w:pPr>
              <w:spacing w:after="0" w:line="240" w:lineRule="auto"/>
              <w:jc w:val="both"/>
              <w:rPr>
                <w:rFonts w:ascii="Cambria" w:hAnsi="Cambria"/>
                <w:color w:val="000000"/>
                <w:sz w:val="20"/>
                <w:szCs w:val="20"/>
                <w:lang w:val="es-CO"/>
              </w:rPr>
            </w:pPr>
            <w:r w:rsidRPr="000746D6">
              <w:rPr>
                <w:rFonts w:ascii="Cambria" w:hAnsi="Cambria"/>
                <w:b/>
                <w:bCs/>
                <w:color w:val="000000"/>
                <w:sz w:val="20"/>
                <w:szCs w:val="20"/>
                <w:lang w:val="es-CO"/>
              </w:rPr>
              <w:t xml:space="preserve">Fecha de Firma de ASA: </w:t>
            </w:r>
            <w:r w:rsidRPr="000746D6">
              <w:rPr>
                <w:rFonts w:ascii="Cambria" w:hAnsi="Cambria"/>
                <w:bCs/>
                <w:color w:val="000000"/>
                <w:sz w:val="20"/>
                <w:szCs w:val="20"/>
                <w:lang w:val="es-CO"/>
              </w:rPr>
              <w:t>7 de mayo de 2018</w:t>
            </w:r>
          </w:p>
          <w:p w14:paraId="0865E0EE" w14:textId="1C7E7462" w:rsidR="00035689" w:rsidRPr="000746D6" w:rsidRDefault="00035689" w:rsidP="00035689">
            <w:pPr>
              <w:spacing w:after="0" w:line="240" w:lineRule="auto"/>
              <w:jc w:val="both"/>
              <w:rPr>
                <w:rFonts w:ascii="Cambria" w:hAnsi="Cambria"/>
                <w:color w:val="000000"/>
                <w:sz w:val="20"/>
                <w:szCs w:val="20"/>
                <w:lang w:val="es-CO"/>
              </w:rPr>
            </w:pPr>
            <w:r w:rsidRPr="000746D6">
              <w:rPr>
                <w:rFonts w:ascii="Cambria" w:hAnsi="Cambria"/>
                <w:b/>
                <w:color w:val="000000"/>
                <w:sz w:val="20"/>
                <w:szCs w:val="20"/>
                <w:lang w:val="es-CO"/>
              </w:rPr>
              <w:t>Informe de Acuerdo de Solución Amistosa</w:t>
            </w:r>
            <w:r w:rsidR="00783A3A">
              <w:rPr>
                <w:rFonts w:ascii="Cambria" w:hAnsi="Cambria"/>
                <w:b/>
                <w:color w:val="000000"/>
                <w:sz w:val="20"/>
                <w:szCs w:val="20"/>
                <w:lang w:val="es-CO"/>
              </w:rPr>
              <w:t xml:space="preserve"> No.</w:t>
            </w:r>
            <w:r w:rsidRPr="000746D6">
              <w:rPr>
                <w:rFonts w:ascii="Cambria" w:hAnsi="Cambria"/>
                <w:b/>
                <w:color w:val="000000"/>
                <w:sz w:val="20"/>
                <w:szCs w:val="20"/>
                <w:lang w:val="es-CO"/>
              </w:rPr>
              <w:t xml:space="preserve">: </w:t>
            </w:r>
            <w:hyperlink r:id="rId13" w:history="1">
              <w:r w:rsidRPr="000746D6">
                <w:rPr>
                  <w:rFonts w:ascii="Cambria" w:hAnsi="Cambria"/>
                  <w:b/>
                  <w:color w:val="0563C1"/>
                  <w:sz w:val="20"/>
                  <w:szCs w:val="20"/>
                  <w:u w:val="single"/>
                  <w:lang w:val="es-CO"/>
                </w:rPr>
                <w:t>93/18</w:t>
              </w:r>
            </w:hyperlink>
            <w:r w:rsidRPr="000746D6">
              <w:rPr>
                <w:rFonts w:ascii="Cambria" w:hAnsi="Cambria"/>
                <w:color w:val="000000"/>
                <w:sz w:val="20"/>
                <w:szCs w:val="20"/>
                <w:lang w:val="es-CO"/>
              </w:rPr>
              <w:t>, publicado el 23 de agosto de 2018</w:t>
            </w:r>
          </w:p>
          <w:p w14:paraId="4772C282" w14:textId="77777777" w:rsidR="00035689" w:rsidRPr="000746D6" w:rsidRDefault="00035689" w:rsidP="00035689">
            <w:pPr>
              <w:spacing w:after="0" w:line="240" w:lineRule="auto"/>
              <w:jc w:val="both"/>
              <w:rPr>
                <w:rFonts w:ascii="Cambria" w:hAnsi="Cambria"/>
                <w:b/>
                <w:bCs/>
                <w:color w:val="000000"/>
                <w:sz w:val="20"/>
                <w:szCs w:val="20"/>
                <w:lang w:val="es-CO"/>
              </w:rPr>
            </w:pPr>
            <w:r w:rsidRPr="000746D6">
              <w:rPr>
                <w:rFonts w:ascii="Cambria" w:hAnsi="Cambria"/>
                <w:b/>
                <w:bCs/>
                <w:color w:val="000000"/>
                <w:sz w:val="20"/>
                <w:szCs w:val="20"/>
                <w:lang w:val="es-CO"/>
              </w:rPr>
              <w:t xml:space="preserve">Duración estimada de la fase de negociación: </w:t>
            </w:r>
            <w:r w:rsidRPr="000746D6">
              <w:rPr>
                <w:rFonts w:ascii="Cambria" w:hAnsi="Cambria"/>
                <w:bCs/>
                <w:color w:val="000000"/>
                <w:sz w:val="20"/>
                <w:szCs w:val="20"/>
                <w:lang w:val="es-CO"/>
              </w:rPr>
              <w:t xml:space="preserve">5 meses </w:t>
            </w:r>
          </w:p>
          <w:p w14:paraId="189CC9F9" w14:textId="77777777" w:rsidR="00035689" w:rsidRPr="000746D6" w:rsidRDefault="00035689" w:rsidP="00035689">
            <w:pPr>
              <w:spacing w:after="0" w:line="240" w:lineRule="auto"/>
              <w:jc w:val="both"/>
              <w:rPr>
                <w:rFonts w:ascii="Cambria" w:hAnsi="Cambria"/>
                <w:color w:val="000000"/>
                <w:sz w:val="20"/>
                <w:szCs w:val="20"/>
                <w:lang w:val="es-CO"/>
              </w:rPr>
            </w:pPr>
            <w:r w:rsidRPr="000746D6">
              <w:rPr>
                <w:rFonts w:ascii="Cambria" w:hAnsi="Cambria"/>
                <w:b/>
                <w:color w:val="000000"/>
                <w:sz w:val="20"/>
                <w:szCs w:val="20"/>
                <w:lang w:val="es-CO"/>
              </w:rPr>
              <w:t>Relatoría vinculada:</w:t>
            </w:r>
            <w:r w:rsidRPr="000746D6">
              <w:rPr>
                <w:rFonts w:ascii="Cambria" w:hAnsi="Cambria"/>
                <w:color w:val="000000"/>
                <w:sz w:val="20"/>
                <w:szCs w:val="20"/>
                <w:lang w:val="es-CO"/>
              </w:rPr>
              <w:t xml:space="preserve"> Relatoría sobre los Derechos de las Personas Privadas de Libertad</w:t>
            </w:r>
          </w:p>
          <w:p w14:paraId="51FD19A4" w14:textId="77777777" w:rsidR="00035689" w:rsidRPr="000746D6" w:rsidRDefault="00035689" w:rsidP="00035689">
            <w:pPr>
              <w:spacing w:after="0" w:line="240" w:lineRule="auto"/>
              <w:jc w:val="both"/>
              <w:rPr>
                <w:rFonts w:ascii="Cambria" w:hAnsi="Cambria"/>
                <w:color w:val="000000"/>
                <w:sz w:val="20"/>
                <w:szCs w:val="20"/>
                <w:lang w:val="es-CO"/>
              </w:rPr>
            </w:pPr>
            <w:r w:rsidRPr="000746D6">
              <w:rPr>
                <w:rFonts w:ascii="Cambria" w:hAnsi="Cambria"/>
                <w:b/>
                <w:color w:val="000000"/>
                <w:sz w:val="20"/>
                <w:szCs w:val="20"/>
                <w:lang w:val="es-CO"/>
              </w:rPr>
              <w:t xml:space="preserve">Temas: </w:t>
            </w:r>
            <w:r w:rsidRPr="000746D6">
              <w:rPr>
                <w:rFonts w:ascii="Cambria" w:hAnsi="Cambria"/>
                <w:color w:val="000000"/>
                <w:sz w:val="20"/>
                <w:szCs w:val="20"/>
                <w:lang w:val="es-CO"/>
              </w:rPr>
              <w:t xml:space="preserve">Personas privadas de libertad/ Ejecuciones sumarias, extrajudiciales o arbitrarias/ Investigación/ Impunidad/ Protección judicial/ Garantías judiciales </w:t>
            </w:r>
          </w:p>
          <w:p w14:paraId="75CD8DA7" w14:textId="77777777" w:rsidR="00035689" w:rsidRPr="000746D6" w:rsidRDefault="00035689" w:rsidP="00035689">
            <w:pPr>
              <w:spacing w:after="0" w:line="240" w:lineRule="auto"/>
              <w:jc w:val="both"/>
              <w:rPr>
                <w:rFonts w:ascii="Cambria" w:hAnsi="Cambria"/>
                <w:color w:val="000000"/>
                <w:sz w:val="20"/>
                <w:szCs w:val="20"/>
                <w:lang w:val="es-CO"/>
              </w:rPr>
            </w:pPr>
          </w:p>
          <w:p w14:paraId="69C04124" w14:textId="77777777" w:rsidR="00035689" w:rsidRPr="000746D6" w:rsidRDefault="00035689" w:rsidP="00035689">
            <w:pPr>
              <w:spacing w:after="0" w:line="240" w:lineRule="auto"/>
              <w:jc w:val="both"/>
              <w:rPr>
                <w:rFonts w:ascii="Cambria" w:hAnsi="Cambria"/>
                <w:color w:val="000000"/>
                <w:sz w:val="20"/>
                <w:szCs w:val="20"/>
                <w:lang w:val="es-CO"/>
              </w:rPr>
            </w:pPr>
            <w:r w:rsidRPr="000746D6">
              <w:rPr>
                <w:rFonts w:ascii="Cambria" w:hAnsi="Cambria"/>
                <w:b/>
                <w:color w:val="000000"/>
                <w:sz w:val="20"/>
                <w:szCs w:val="20"/>
                <w:lang w:val="es-CO"/>
              </w:rPr>
              <w:t xml:space="preserve">Hechos: </w:t>
            </w:r>
            <w:r w:rsidRPr="000746D6">
              <w:rPr>
                <w:rFonts w:ascii="Cambria" w:hAnsi="Cambria"/>
                <w:sz w:val="20"/>
                <w:szCs w:val="20"/>
                <w:lang w:val="es-CO"/>
              </w:rPr>
              <w:t>La parte peticionaria alegó que e</w:t>
            </w:r>
            <w:r w:rsidRPr="000746D6">
              <w:rPr>
                <w:rFonts w:ascii="Cambria" w:hAnsi="Cambria"/>
                <w:color w:val="000000"/>
                <w:sz w:val="20"/>
                <w:szCs w:val="20"/>
                <w:lang w:val="es-CO"/>
              </w:rPr>
              <w:t xml:space="preserve">l 6 de diciembre de 1993, los señores Isidoro León Ramírez Ciro, Pompilio de Jesús Cardona Escobar y Luis Fernando Velásquez Londoño, fueron detenidos por la policía e internados en la cárcel del Municipio de Granada, por orden del Juez Primero Promiscuo Municipal de esa localidad, sindicados por el delito de hurto. El 8 de diciembre de 1993, dos días después de haber sido detenidos, diez hombres armados ingresaron a la cárcel y secuestraron a seis detenidos, entre los cuales se encontraban los señores Ramírez, Cardona y Velásquez. Ese mismo día fueron ejecutados extrajudicialmente, en áreas rurales de los Municipios de Granada y Santuario. El 11 de noviembre de 1994, los familiares de las víctimas presentaron una acción de reparación directa ante el Tribunal Administrativo de Antioquia, el cual el 11 de octubre de 2002 dictó sentencia declarando la responsabilidad administrativa de la Policía y del Instituto Nacional Penitenciario y Carcelario (INPEC), condenándolos a pagar las indemnizaciones correspondientes. </w:t>
            </w:r>
          </w:p>
          <w:p w14:paraId="0F8FFD7D" w14:textId="77777777" w:rsidR="00035689" w:rsidRPr="000746D6" w:rsidRDefault="00035689" w:rsidP="00035689">
            <w:pPr>
              <w:spacing w:after="0" w:line="240" w:lineRule="auto"/>
              <w:jc w:val="both"/>
              <w:rPr>
                <w:rFonts w:ascii="Cambria" w:hAnsi="Cambria"/>
                <w:color w:val="000000"/>
                <w:sz w:val="20"/>
                <w:szCs w:val="20"/>
                <w:lang w:val="es-CO"/>
              </w:rPr>
            </w:pPr>
          </w:p>
          <w:p w14:paraId="21FC5E1B" w14:textId="77777777" w:rsidR="00035689" w:rsidRPr="000746D6" w:rsidRDefault="00035689" w:rsidP="00035689">
            <w:pPr>
              <w:spacing w:after="0" w:line="240" w:lineRule="auto"/>
              <w:jc w:val="both"/>
              <w:rPr>
                <w:rFonts w:ascii="Cambria" w:hAnsi="Cambria"/>
                <w:color w:val="000000"/>
                <w:sz w:val="20"/>
                <w:szCs w:val="20"/>
                <w:lang w:val="es-CO"/>
              </w:rPr>
            </w:pPr>
            <w:r w:rsidRPr="000746D6">
              <w:rPr>
                <w:rFonts w:ascii="Cambria" w:hAnsi="Cambria"/>
                <w:color w:val="000000"/>
                <w:sz w:val="20"/>
                <w:szCs w:val="20"/>
                <w:lang w:val="es-CO"/>
              </w:rPr>
              <w:t>La parte peticionaria indicó que ni la Procuraduría General de la Nación ni ninguna otra entidad de control del Estado iniciaron acciones disciplinarias en contra de los responsables de las omisiones que hicieron posible la ejecución extrajudicial de los señores Isidoro León Ramírez Ciro, Pompilio de Jesús Cardona Escobar y Luis Fernando Velásquez Londoño. De igual manera se señaló que ni la justicia penal ordinaria, ni la justicia penal militar adelantaron las investigaciones necesarias que condujeran al esclarecimiento de los hechos.</w:t>
            </w:r>
          </w:p>
          <w:p w14:paraId="69B30667" w14:textId="77777777" w:rsidR="00035689" w:rsidRPr="000746D6" w:rsidRDefault="00035689" w:rsidP="00035689">
            <w:pPr>
              <w:spacing w:after="0" w:line="240" w:lineRule="auto"/>
              <w:jc w:val="both"/>
              <w:rPr>
                <w:rFonts w:ascii="Cambria" w:hAnsi="Cambria"/>
                <w:color w:val="000000"/>
                <w:sz w:val="20"/>
                <w:szCs w:val="20"/>
                <w:lang w:val="es-CO"/>
              </w:rPr>
            </w:pPr>
          </w:p>
          <w:p w14:paraId="14097A08" w14:textId="77777777" w:rsidR="00035689" w:rsidRPr="000746D6" w:rsidRDefault="00035689" w:rsidP="00035689">
            <w:pPr>
              <w:spacing w:after="0" w:line="240" w:lineRule="auto"/>
              <w:jc w:val="both"/>
              <w:rPr>
                <w:rFonts w:ascii="Cambria" w:hAnsi="Cambria"/>
                <w:color w:val="000000"/>
                <w:sz w:val="20"/>
                <w:szCs w:val="20"/>
                <w:lang w:val="es-CO"/>
              </w:rPr>
            </w:pPr>
            <w:r w:rsidRPr="000746D6">
              <w:rPr>
                <w:rFonts w:ascii="Cambria" w:hAnsi="Cambria"/>
                <w:b/>
                <w:color w:val="000000"/>
                <w:sz w:val="20"/>
                <w:szCs w:val="20"/>
                <w:lang w:val="es-CO"/>
              </w:rPr>
              <w:t>Derechos alegados:</w:t>
            </w:r>
            <w:r w:rsidRPr="000746D6">
              <w:rPr>
                <w:rFonts w:ascii="Cambria" w:hAnsi="Cambria"/>
                <w:color w:val="000000"/>
                <w:sz w:val="20"/>
                <w:szCs w:val="20"/>
                <w:lang w:val="es-CO"/>
              </w:rPr>
              <w:t xml:space="preserve"> La parte peticionaria alegó la violación de los derechos contenidos en los artículos 4 (a la vida), 8 (a las garantías judiciales) y 25 (a la protección judicial) de la Convención Americana sobre Derechos Humanos (en adelante “la Convención” o la “Convención Americana”) en concordancia con los artículos 1 y 2 del mismo instrumento.</w:t>
            </w:r>
          </w:p>
        </w:tc>
      </w:tr>
    </w:tbl>
    <w:p w14:paraId="42BA37A6" w14:textId="77777777" w:rsidR="00035689" w:rsidRPr="000746D6" w:rsidRDefault="00035689" w:rsidP="00035689">
      <w:pPr>
        <w:suppressAutoHyphens/>
        <w:spacing w:after="0" w:line="240" w:lineRule="auto"/>
        <w:ind w:left="1440"/>
        <w:contextualSpacing/>
        <w:jc w:val="both"/>
        <w:rPr>
          <w:rFonts w:ascii="Cambria" w:hAnsi="Cambria" w:cs="Calibri Light"/>
          <w:b/>
          <w:color w:val="000000"/>
          <w:sz w:val="20"/>
          <w:szCs w:val="20"/>
          <w:lang w:val="es-CO"/>
        </w:rPr>
      </w:pPr>
    </w:p>
    <w:p w14:paraId="7CF5B763" w14:textId="77777777" w:rsidR="00035689" w:rsidRPr="000746D6" w:rsidRDefault="00035689" w:rsidP="00035689">
      <w:pPr>
        <w:numPr>
          <w:ilvl w:val="0"/>
          <w:numId w:val="43"/>
        </w:numPr>
        <w:suppressAutoHyphens/>
        <w:spacing w:after="0" w:line="240" w:lineRule="auto"/>
        <w:ind w:left="1440"/>
        <w:contextualSpacing/>
        <w:jc w:val="both"/>
        <w:rPr>
          <w:rFonts w:ascii="Cambria" w:hAnsi="Cambria" w:cs="Calibri Light"/>
          <w:b/>
          <w:color w:val="000000"/>
          <w:sz w:val="20"/>
          <w:szCs w:val="20"/>
          <w:lang w:val="es-CO"/>
        </w:rPr>
      </w:pPr>
      <w:r w:rsidRPr="000746D6">
        <w:rPr>
          <w:rFonts w:ascii="Cambria" w:hAnsi="Cambria"/>
          <w:b/>
          <w:color w:val="000000"/>
          <w:sz w:val="20"/>
          <w:szCs w:val="20"/>
          <w:lang w:val="es-CO"/>
        </w:rPr>
        <w:t>ACTIVIDAD PROCESAL</w:t>
      </w:r>
    </w:p>
    <w:p w14:paraId="79895A3B" w14:textId="77777777" w:rsidR="00035689" w:rsidRPr="000746D6" w:rsidRDefault="00035689" w:rsidP="00035689">
      <w:pPr>
        <w:suppressAutoHyphens/>
        <w:spacing w:after="0" w:line="240" w:lineRule="auto"/>
        <w:jc w:val="both"/>
        <w:rPr>
          <w:rFonts w:ascii="Cambria" w:hAnsi="Cambria" w:cs="Calibri Light"/>
          <w:color w:val="000000"/>
          <w:sz w:val="20"/>
          <w:szCs w:val="20"/>
          <w:lang w:val="es-CO"/>
        </w:rPr>
      </w:pPr>
    </w:p>
    <w:p w14:paraId="63679E7A" w14:textId="415ABDCF" w:rsidR="00650D57" w:rsidRPr="000746D6" w:rsidRDefault="00650D57" w:rsidP="00650D57">
      <w:pPr>
        <w:numPr>
          <w:ilvl w:val="0"/>
          <w:numId w:val="41"/>
        </w:numPr>
        <w:suppressAutoHyphens/>
        <w:spacing w:after="0" w:line="240" w:lineRule="auto"/>
        <w:ind w:left="0" w:firstLine="720"/>
        <w:jc w:val="both"/>
        <w:rPr>
          <w:rFonts w:ascii="Cambria" w:hAnsi="Cambria" w:cs="Calibri Light"/>
          <w:color w:val="000000"/>
          <w:sz w:val="20"/>
          <w:szCs w:val="20"/>
          <w:lang w:val="es-CO"/>
        </w:rPr>
      </w:pPr>
      <w:r w:rsidRPr="000746D6">
        <w:rPr>
          <w:rFonts w:ascii="Cambria" w:hAnsi="Cambria" w:cs="Calibri Light"/>
          <w:color w:val="000000"/>
          <w:sz w:val="20"/>
          <w:szCs w:val="20"/>
          <w:lang w:val="es-CO"/>
        </w:rPr>
        <w:t>El 7 de mayo de 2018, las partes firmaron un acuerdo de solución amistosa.</w:t>
      </w:r>
    </w:p>
    <w:p w14:paraId="0BFC76B0" w14:textId="77777777" w:rsidR="00650D57" w:rsidRPr="000746D6" w:rsidRDefault="00650D57" w:rsidP="00650D57">
      <w:pPr>
        <w:suppressAutoHyphens/>
        <w:spacing w:after="0" w:line="240" w:lineRule="auto"/>
        <w:ind w:left="720"/>
        <w:jc w:val="both"/>
        <w:rPr>
          <w:rFonts w:ascii="Cambria" w:hAnsi="Cambria" w:cs="Calibri Light"/>
          <w:color w:val="000000"/>
          <w:sz w:val="20"/>
          <w:szCs w:val="20"/>
          <w:lang w:val="es-CO"/>
        </w:rPr>
      </w:pPr>
    </w:p>
    <w:p w14:paraId="255780A5" w14:textId="2386E6D9" w:rsidR="00035689" w:rsidRPr="000746D6" w:rsidRDefault="00650D57" w:rsidP="00650D57">
      <w:pPr>
        <w:numPr>
          <w:ilvl w:val="0"/>
          <w:numId w:val="41"/>
        </w:numPr>
        <w:suppressAutoHyphens/>
        <w:spacing w:after="0" w:line="240" w:lineRule="auto"/>
        <w:ind w:left="0" w:firstLine="720"/>
        <w:jc w:val="both"/>
        <w:rPr>
          <w:rFonts w:ascii="Cambria" w:hAnsi="Cambria" w:cs="Calibri Light"/>
          <w:color w:val="000000"/>
          <w:sz w:val="20"/>
          <w:szCs w:val="20"/>
          <w:lang w:val="es-CO"/>
        </w:rPr>
      </w:pPr>
      <w:r w:rsidRPr="000746D6">
        <w:rPr>
          <w:rFonts w:ascii="Cambria" w:hAnsi="Cambria" w:cs="Calibri Light"/>
          <w:color w:val="000000"/>
          <w:sz w:val="20"/>
          <w:szCs w:val="20"/>
          <w:lang w:val="es-CO"/>
        </w:rPr>
        <w:lastRenderedPageBreak/>
        <w:t>El 23 de agosto de 2018, la CIDH aprobó el acuerdo suscrito por las partes, mediante el Informe No. 93/18</w:t>
      </w:r>
      <w:r w:rsidR="00035689" w:rsidRPr="000746D6">
        <w:rPr>
          <w:rFonts w:ascii="Cambria" w:hAnsi="Cambria" w:cs="Calibri Light"/>
          <w:color w:val="000000"/>
          <w:sz w:val="20"/>
          <w:szCs w:val="20"/>
          <w:lang w:val="es-CO"/>
        </w:rPr>
        <w:t xml:space="preserve">. </w:t>
      </w:r>
    </w:p>
    <w:p w14:paraId="3EF86F73" w14:textId="77777777" w:rsidR="00035689" w:rsidRPr="000746D6" w:rsidRDefault="00035689" w:rsidP="00035689">
      <w:pPr>
        <w:suppressAutoHyphens/>
        <w:spacing w:after="0" w:line="240" w:lineRule="auto"/>
        <w:ind w:firstLine="720"/>
        <w:jc w:val="both"/>
        <w:rPr>
          <w:rFonts w:ascii="Cambria" w:hAnsi="Cambria" w:cs="Calibri Light"/>
          <w:color w:val="000000"/>
          <w:sz w:val="20"/>
          <w:szCs w:val="20"/>
          <w:lang w:val="es-CO"/>
        </w:rPr>
      </w:pPr>
    </w:p>
    <w:p w14:paraId="5BD8634C" w14:textId="77777777" w:rsidR="00035689" w:rsidRPr="000746D6" w:rsidRDefault="00035689" w:rsidP="00627C9D">
      <w:pPr>
        <w:numPr>
          <w:ilvl w:val="0"/>
          <w:numId w:val="43"/>
        </w:numPr>
        <w:suppressAutoHyphens/>
        <w:spacing w:after="0" w:line="240" w:lineRule="auto"/>
        <w:ind w:left="0" w:firstLine="720"/>
        <w:contextualSpacing/>
        <w:jc w:val="both"/>
        <w:rPr>
          <w:rFonts w:ascii="Cambria" w:hAnsi="Cambria"/>
          <w:b/>
          <w:color w:val="000000"/>
          <w:sz w:val="20"/>
          <w:szCs w:val="20"/>
          <w:lang w:val="es-CO"/>
        </w:rPr>
      </w:pPr>
      <w:r w:rsidRPr="000746D6">
        <w:rPr>
          <w:rFonts w:ascii="Cambria" w:hAnsi="Cambria"/>
          <w:b/>
          <w:color w:val="000000"/>
          <w:sz w:val="20"/>
          <w:szCs w:val="20"/>
          <w:lang w:val="es-CO"/>
        </w:rPr>
        <w:t xml:space="preserve">ANÁLISIS DEL CUMPLIMIENTO DE LAS CLÁUSULAS DEL ACUERDO DE SOLUCIÓN AMISTOSA </w:t>
      </w:r>
    </w:p>
    <w:p w14:paraId="17663041" w14:textId="77777777" w:rsidR="00035689" w:rsidRPr="000746D6" w:rsidRDefault="00035689" w:rsidP="00035689">
      <w:pPr>
        <w:suppressAutoHyphens/>
        <w:spacing w:after="0" w:line="240" w:lineRule="auto"/>
        <w:ind w:firstLine="720"/>
        <w:contextualSpacing/>
        <w:jc w:val="both"/>
        <w:rPr>
          <w:rFonts w:ascii="Cambria" w:hAnsi="Cambria" w:cs="Calibri Light"/>
          <w:b/>
          <w:color w:val="000000"/>
          <w:sz w:val="20"/>
          <w:szCs w:val="20"/>
          <w:shd w:val="clear" w:color="auto" w:fill="FFFF00"/>
          <w:lang w:val="es-CO"/>
        </w:rPr>
      </w:pP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046"/>
      </w:tblGrid>
      <w:tr w:rsidR="00F80DF4" w:rsidRPr="000746D6" w14:paraId="769048EB" w14:textId="77777777" w:rsidTr="00FF53EB">
        <w:tc>
          <w:tcPr>
            <w:tcW w:w="44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55F8B1" w14:textId="77777777" w:rsidR="00F80DF4" w:rsidRPr="000746D6" w:rsidRDefault="00F80DF4" w:rsidP="00035689">
            <w:pPr>
              <w:tabs>
                <w:tab w:val="center" w:pos="2049"/>
              </w:tabs>
              <w:suppressAutoHyphens/>
              <w:spacing w:after="0" w:line="240" w:lineRule="auto"/>
              <w:jc w:val="center"/>
              <w:rPr>
                <w:rFonts w:ascii="Cambria" w:hAnsi="Cambria"/>
                <w:b/>
                <w:color w:val="000000"/>
                <w:sz w:val="20"/>
                <w:szCs w:val="20"/>
                <w:lang w:val="es-CO"/>
              </w:rPr>
            </w:pPr>
            <w:r w:rsidRPr="000746D6">
              <w:rPr>
                <w:rFonts w:ascii="Cambria" w:hAnsi="Cambria"/>
                <w:b/>
                <w:color w:val="000000"/>
                <w:sz w:val="20"/>
                <w:szCs w:val="20"/>
                <w:lang w:val="es-CO"/>
              </w:rPr>
              <w:t>Cláusula del Acuerdo</w:t>
            </w:r>
          </w:p>
        </w:tc>
        <w:tc>
          <w:tcPr>
            <w:tcW w:w="50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D8E7F" w14:textId="5F4169E3" w:rsidR="00F80DF4" w:rsidRPr="000746D6" w:rsidRDefault="00F80DF4" w:rsidP="00F80DF4">
            <w:pPr>
              <w:suppressAutoHyphens/>
              <w:spacing w:after="0" w:line="240" w:lineRule="auto"/>
              <w:jc w:val="center"/>
              <w:rPr>
                <w:rFonts w:ascii="Cambria" w:hAnsi="Cambria"/>
                <w:b/>
                <w:color w:val="000000"/>
                <w:sz w:val="20"/>
                <w:szCs w:val="20"/>
                <w:lang w:val="es-CO"/>
              </w:rPr>
            </w:pPr>
            <w:r w:rsidRPr="000746D6">
              <w:rPr>
                <w:rFonts w:ascii="Cambria" w:hAnsi="Cambria"/>
                <w:b/>
                <w:color w:val="000000"/>
                <w:sz w:val="20"/>
                <w:szCs w:val="20"/>
                <w:lang w:val="es-CO"/>
              </w:rPr>
              <w:t>Estado de Cumplimiento</w:t>
            </w:r>
          </w:p>
        </w:tc>
      </w:tr>
      <w:tr w:rsidR="00035689" w:rsidRPr="000746D6" w14:paraId="76A08ED3" w14:textId="77777777" w:rsidTr="00765A6A">
        <w:tc>
          <w:tcPr>
            <w:tcW w:w="9469" w:type="dxa"/>
            <w:gridSpan w:val="2"/>
            <w:tcBorders>
              <w:top w:val="single" w:sz="4" w:space="0" w:color="auto"/>
              <w:left w:val="single" w:sz="4" w:space="0" w:color="auto"/>
              <w:bottom w:val="single" w:sz="4" w:space="0" w:color="auto"/>
              <w:right w:val="single" w:sz="4" w:space="0" w:color="auto"/>
            </w:tcBorders>
            <w:vAlign w:val="center"/>
          </w:tcPr>
          <w:p w14:paraId="184A54B6" w14:textId="77777777" w:rsidR="00035689" w:rsidRPr="000746D6" w:rsidRDefault="00035689" w:rsidP="00035689">
            <w:pPr>
              <w:suppressAutoHyphens/>
              <w:spacing w:after="0" w:line="240" w:lineRule="auto"/>
              <w:rPr>
                <w:rFonts w:ascii="Cambria" w:hAnsi="Cambria"/>
                <w:b/>
                <w:color w:val="000000"/>
                <w:sz w:val="20"/>
                <w:szCs w:val="20"/>
                <w:lang w:val="es-CO"/>
              </w:rPr>
            </w:pPr>
            <w:r w:rsidRPr="000746D6">
              <w:rPr>
                <w:rFonts w:ascii="Cambria" w:hAnsi="Cambria"/>
                <w:b/>
                <w:bCs/>
                <w:color w:val="000000"/>
                <w:sz w:val="20"/>
                <w:szCs w:val="20"/>
                <w:lang w:val="es-CO"/>
              </w:rPr>
              <w:t xml:space="preserve">PRIMERO.- Reconocimiento de Responsabilidad </w:t>
            </w:r>
          </w:p>
        </w:tc>
      </w:tr>
      <w:tr w:rsidR="00035689" w:rsidRPr="000746D6" w14:paraId="0C0F9D3E" w14:textId="77777777" w:rsidTr="00FF53EB">
        <w:tc>
          <w:tcPr>
            <w:tcW w:w="4423" w:type="dxa"/>
            <w:tcBorders>
              <w:top w:val="single" w:sz="4" w:space="0" w:color="auto"/>
              <w:left w:val="single" w:sz="4" w:space="0" w:color="auto"/>
              <w:bottom w:val="single" w:sz="4" w:space="0" w:color="auto"/>
              <w:right w:val="single" w:sz="4" w:space="0" w:color="auto"/>
            </w:tcBorders>
            <w:vAlign w:val="center"/>
          </w:tcPr>
          <w:p w14:paraId="08942426" w14:textId="77777777" w:rsidR="00035689" w:rsidRPr="000746D6" w:rsidRDefault="00035689" w:rsidP="00035689">
            <w:pPr>
              <w:tabs>
                <w:tab w:val="left" w:pos="3921"/>
              </w:tabs>
              <w:suppressAutoHyphens/>
              <w:spacing w:after="0" w:line="240" w:lineRule="auto"/>
              <w:ind w:right="69"/>
              <w:jc w:val="both"/>
              <w:rPr>
                <w:rFonts w:ascii="Cambria" w:eastAsia="Times New Roman" w:hAnsi="Cambria"/>
                <w:bCs/>
                <w:color w:val="000000"/>
                <w:kern w:val="36"/>
                <w:sz w:val="20"/>
                <w:szCs w:val="20"/>
                <w:lang w:val="es-CO"/>
              </w:rPr>
            </w:pPr>
            <w:r w:rsidRPr="000746D6">
              <w:rPr>
                <w:rFonts w:ascii="Cambria" w:eastAsia="Times New Roman" w:hAnsi="Cambria"/>
                <w:bCs/>
                <w:color w:val="000000"/>
                <w:kern w:val="36"/>
                <w:sz w:val="20"/>
                <w:szCs w:val="20"/>
                <w:lang w:val="es-CO"/>
              </w:rPr>
              <w:t xml:space="preserve">Considerando que el 8 de diciembre de 1993, los señores Isidoro León Ramírez Ciro, Fernando Velásquez Londoño y Pompilio de Jesús Cardona Escobar fueron sustraídos de la cárcel municipal de Granada Antioquia y que por estos hechos el Tribunal Contencioso Administrativo de Antioquía y la Sección Tercera del Consejo de Estado condenaron al Estado colombiano por el daño especial causado a víctimas, por el incumplimiento de deber de protección, seguridad y custodia de las autoridades internas y el desconocimiento de los principios de razonabilidad y proporcionalidad en el caso concreto, se reconoce la responsabilidad internacional en los siguientes términos: </w:t>
            </w:r>
          </w:p>
          <w:p w14:paraId="363B8412" w14:textId="77777777" w:rsidR="00035689" w:rsidRPr="000746D6" w:rsidRDefault="00035689" w:rsidP="00035689">
            <w:pPr>
              <w:tabs>
                <w:tab w:val="left" w:pos="3921"/>
              </w:tabs>
              <w:suppressAutoHyphens/>
              <w:spacing w:after="0" w:line="240" w:lineRule="auto"/>
              <w:ind w:right="69"/>
              <w:jc w:val="both"/>
              <w:rPr>
                <w:rFonts w:ascii="Cambria" w:eastAsia="Times New Roman" w:hAnsi="Cambria"/>
                <w:bCs/>
                <w:color w:val="000000"/>
                <w:kern w:val="36"/>
                <w:sz w:val="20"/>
                <w:szCs w:val="20"/>
                <w:lang w:val="es-CO"/>
              </w:rPr>
            </w:pPr>
            <w:r w:rsidRPr="000746D6">
              <w:rPr>
                <w:rFonts w:ascii="Cambria" w:eastAsia="Times New Roman" w:hAnsi="Cambria"/>
                <w:bCs/>
                <w:color w:val="000000"/>
                <w:kern w:val="36"/>
                <w:sz w:val="20"/>
                <w:szCs w:val="20"/>
                <w:lang w:val="es-CO"/>
              </w:rPr>
              <w:t xml:space="preserve">El Estado colombiano reconoce la responsabilidad internacional por la vulneración de los derechos consagrados en los artículos 4 (derecho a la vida) y 5.1. (derecho a la integridad personal), de la Convención Americana de Derechos Humanos- CADH, en relación con los artículos 8 (derecho a las garantías judiciales) y 25 (derecho a la protección judicial), debido a la falta de debida diligencia en el esclarecimiento de los hechos de los que fueron víctimas los señores Isidoro Ramírez Ciro, Fernando Velásquez Londoño y Pompilio de Jesús Cardona Escobar. </w:t>
            </w:r>
          </w:p>
          <w:p w14:paraId="2FF1BF31" w14:textId="5D24E41E" w:rsidR="00035689" w:rsidRPr="000746D6" w:rsidRDefault="00035689" w:rsidP="00035689">
            <w:pPr>
              <w:tabs>
                <w:tab w:val="left" w:pos="3921"/>
              </w:tabs>
              <w:suppressAutoHyphens/>
              <w:spacing w:after="0" w:line="240" w:lineRule="auto"/>
              <w:ind w:right="69"/>
              <w:jc w:val="both"/>
              <w:rPr>
                <w:rFonts w:ascii="Cambria" w:eastAsia="Times New Roman" w:hAnsi="Cambria"/>
                <w:bCs/>
                <w:color w:val="000000"/>
                <w:kern w:val="36"/>
                <w:sz w:val="20"/>
                <w:szCs w:val="20"/>
                <w:lang w:val="es-CO"/>
              </w:rPr>
            </w:pPr>
            <w:r w:rsidRPr="000746D6">
              <w:rPr>
                <w:rFonts w:ascii="Cambria" w:eastAsia="Times New Roman" w:hAnsi="Cambria"/>
                <w:bCs/>
                <w:color w:val="000000"/>
                <w:kern w:val="36"/>
                <w:sz w:val="20"/>
                <w:szCs w:val="20"/>
                <w:lang w:val="es-CO"/>
              </w:rPr>
              <w:t>Asimismo, el Estado reconoce responsabilidad por la violación de los artículos 8 (derecho a las garantías judiciales) y 25 (derecho a la protección judicial) consagrados en la CADH, en relación con la obligación general establecida en el artículo 1.1 del mismo instrumento, en favor de los familiares de las víctimas, toda vez que los procesos penales excedieron el plazo razonable.</w:t>
            </w:r>
          </w:p>
        </w:tc>
        <w:tc>
          <w:tcPr>
            <w:tcW w:w="5046" w:type="dxa"/>
            <w:tcBorders>
              <w:top w:val="single" w:sz="4" w:space="0" w:color="auto"/>
              <w:left w:val="single" w:sz="4" w:space="0" w:color="auto"/>
              <w:bottom w:val="single" w:sz="4" w:space="0" w:color="auto"/>
              <w:right w:val="single" w:sz="4" w:space="0" w:color="auto"/>
            </w:tcBorders>
            <w:vAlign w:val="center"/>
          </w:tcPr>
          <w:p w14:paraId="68407684" w14:textId="5DC83AEE" w:rsidR="00035689" w:rsidRPr="000746D6" w:rsidRDefault="00035689" w:rsidP="00035689">
            <w:pPr>
              <w:suppressAutoHyphens/>
              <w:spacing w:after="0" w:line="240" w:lineRule="auto"/>
              <w:jc w:val="center"/>
              <w:rPr>
                <w:rFonts w:ascii="Cambria" w:hAnsi="Cambria"/>
                <w:color w:val="000000"/>
                <w:sz w:val="20"/>
                <w:szCs w:val="20"/>
                <w:u w:val="single"/>
                <w:lang w:val="es-CO"/>
              </w:rPr>
            </w:pPr>
            <w:r w:rsidRPr="000746D6">
              <w:rPr>
                <w:rFonts w:ascii="Cambria" w:hAnsi="Cambria"/>
                <w:b/>
                <w:color w:val="000000"/>
                <w:sz w:val="20"/>
                <w:szCs w:val="20"/>
                <w:lang w:val="es-CO"/>
              </w:rPr>
              <w:t xml:space="preserve">Cláusula </w:t>
            </w:r>
            <w:r w:rsidR="00F80DF4" w:rsidRPr="000746D6">
              <w:rPr>
                <w:rFonts w:ascii="Cambria" w:hAnsi="Cambria"/>
                <w:b/>
                <w:color w:val="000000"/>
                <w:sz w:val="20"/>
                <w:szCs w:val="20"/>
                <w:lang w:val="es-CO"/>
              </w:rPr>
              <w:t>D</w:t>
            </w:r>
            <w:r w:rsidRPr="000746D6">
              <w:rPr>
                <w:rFonts w:ascii="Cambria" w:hAnsi="Cambria"/>
                <w:b/>
                <w:color w:val="000000"/>
                <w:sz w:val="20"/>
                <w:szCs w:val="20"/>
                <w:lang w:val="es-CO"/>
              </w:rPr>
              <w:t>eclarativa</w:t>
            </w:r>
          </w:p>
        </w:tc>
      </w:tr>
      <w:tr w:rsidR="00035689" w:rsidRPr="000746D6" w14:paraId="58E6514A" w14:textId="77777777" w:rsidTr="00765A6A">
        <w:tc>
          <w:tcPr>
            <w:tcW w:w="9469" w:type="dxa"/>
            <w:gridSpan w:val="2"/>
            <w:tcBorders>
              <w:top w:val="single" w:sz="4" w:space="0" w:color="auto"/>
              <w:left w:val="single" w:sz="4" w:space="0" w:color="auto"/>
              <w:bottom w:val="single" w:sz="4" w:space="0" w:color="auto"/>
              <w:right w:val="single" w:sz="4" w:space="0" w:color="auto"/>
            </w:tcBorders>
            <w:vAlign w:val="center"/>
          </w:tcPr>
          <w:p w14:paraId="4E100D98" w14:textId="77777777" w:rsidR="00035689" w:rsidRPr="000746D6" w:rsidRDefault="00035689" w:rsidP="00035689">
            <w:pPr>
              <w:suppressAutoHyphens/>
              <w:spacing w:after="0" w:line="240" w:lineRule="auto"/>
              <w:rPr>
                <w:rFonts w:ascii="Cambria" w:hAnsi="Cambria"/>
                <w:b/>
                <w:color w:val="000000"/>
                <w:sz w:val="20"/>
                <w:szCs w:val="20"/>
                <w:lang w:val="es-CO"/>
              </w:rPr>
            </w:pPr>
            <w:r w:rsidRPr="000746D6">
              <w:rPr>
                <w:rFonts w:ascii="Cambria" w:hAnsi="Cambria"/>
                <w:b/>
                <w:color w:val="000000"/>
                <w:sz w:val="20"/>
                <w:szCs w:val="20"/>
                <w:lang w:val="es-CO"/>
              </w:rPr>
              <w:t>SEGUNDO.- Medidas en Materia de Justicia</w:t>
            </w:r>
          </w:p>
        </w:tc>
      </w:tr>
      <w:tr w:rsidR="00FF53EB" w:rsidRPr="000746D6" w14:paraId="530F4D2B" w14:textId="77777777" w:rsidTr="00783682">
        <w:trPr>
          <w:trHeight w:val="609"/>
        </w:trPr>
        <w:tc>
          <w:tcPr>
            <w:tcW w:w="4423" w:type="dxa"/>
            <w:tcBorders>
              <w:top w:val="single" w:sz="4" w:space="0" w:color="auto"/>
              <w:left w:val="single" w:sz="4" w:space="0" w:color="auto"/>
              <w:bottom w:val="single" w:sz="4" w:space="0" w:color="auto"/>
              <w:right w:val="single" w:sz="4" w:space="0" w:color="auto"/>
            </w:tcBorders>
            <w:hideMark/>
          </w:tcPr>
          <w:p w14:paraId="4930F071" w14:textId="3D32D36C" w:rsidR="00FF53EB" w:rsidRPr="000746D6" w:rsidRDefault="00FF53EB" w:rsidP="00035689">
            <w:pPr>
              <w:suppressAutoHyphens/>
              <w:spacing w:after="0" w:line="240" w:lineRule="auto"/>
              <w:ind w:right="72"/>
              <w:jc w:val="both"/>
              <w:rPr>
                <w:rFonts w:ascii="Cambria" w:eastAsia="Times New Roman" w:hAnsi="Cambria"/>
                <w:bCs/>
                <w:color w:val="000000"/>
                <w:kern w:val="36"/>
                <w:sz w:val="20"/>
                <w:szCs w:val="20"/>
                <w:lang w:val="es-CO"/>
              </w:rPr>
            </w:pPr>
            <w:r w:rsidRPr="000746D6">
              <w:rPr>
                <w:rFonts w:ascii="Cambria" w:eastAsia="Times New Roman" w:hAnsi="Cambria"/>
                <w:bCs/>
                <w:color w:val="000000"/>
                <w:kern w:val="36"/>
                <w:sz w:val="20"/>
                <w:szCs w:val="20"/>
                <w:lang w:val="es-CO"/>
              </w:rPr>
              <w:t>El Estado se compromete a continuar con su obligación de investigar, juzgar y sancionar a los responsables de los hechos</w:t>
            </w:r>
            <w:r w:rsidR="00783682" w:rsidRPr="000746D6">
              <w:rPr>
                <w:rFonts w:ascii="Cambria" w:eastAsia="Times New Roman" w:hAnsi="Cambria"/>
                <w:bCs/>
                <w:color w:val="000000"/>
                <w:kern w:val="36"/>
                <w:sz w:val="20"/>
                <w:szCs w:val="20"/>
                <w:lang w:val="es-CO"/>
              </w:rPr>
              <w:t>.</w:t>
            </w:r>
          </w:p>
        </w:tc>
        <w:tc>
          <w:tcPr>
            <w:tcW w:w="5046" w:type="dxa"/>
            <w:tcBorders>
              <w:top w:val="single" w:sz="4" w:space="0" w:color="auto"/>
              <w:left w:val="single" w:sz="4" w:space="0" w:color="auto"/>
              <w:bottom w:val="single" w:sz="4" w:space="0" w:color="auto"/>
              <w:right w:val="single" w:sz="4" w:space="0" w:color="auto"/>
            </w:tcBorders>
            <w:vAlign w:val="center"/>
            <w:hideMark/>
          </w:tcPr>
          <w:p w14:paraId="7388681E" w14:textId="4F49FBB1" w:rsidR="00FF53EB" w:rsidRPr="000746D6" w:rsidRDefault="00FF53EB" w:rsidP="00FF53EB">
            <w:pPr>
              <w:suppressAutoHyphens/>
              <w:spacing w:after="0" w:line="240" w:lineRule="auto"/>
              <w:jc w:val="center"/>
              <w:rPr>
                <w:rFonts w:ascii="Cambria" w:eastAsia="Batang" w:hAnsi="Cambria"/>
                <w:color w:val="000000"/>
                <w:sz w:val="20"/>
                <w:szCs w:val="20"/>
                <w:lang w:val="es-CO"/>
              </w:rPr>
            </w:pPr>
            <w:r w:rsidRPr="000746D6">
              <w:rPr>
                <w:rFonts w:ascii="Cambria" w:hAnsi="Cambria"/>
                <w:b/>
                <w:color w:val="000000"/>
                <w:sz w:val="20"/>
                <w:szCs w:val="20"/>
                <w:lang w:val="es-CO"/>
              </w:rPr>
              <w:t>Total</w:t>
            </w:r>
            <w:r w:rsidR="00F16469" w:rsidRPr="000746D6">
              <w:rPr>
                <w:rStyle w:val="FootnoteReference"/>
                <w:rFonts w:ascii="Cambria" w:hAnsi="Cambria"/>
                <w:b/>
                <w:color w:val="000000"/>
                <w:sz w:val="20"/>
                <w:szCs w:val="20"/>
                <w:lang w:val="es-CO"/>
              </w:rPr>
              <w:footnoteReference w:id="2"/>
            </w:r>
          </w:p>
        </w:tc>
      </w:tr>
      <w:tr w:rsidR="00035689" w:rsidRPr="000746D6" w14:paraId="46FF136E" w14:textId="77777777" w:rsidTr="00765A6A">
        <w:trPr>
          <w:trHeight w:val="197"/>
        </w:trPr>
        <w:tc>
          <w:tcPr>
            <w:tcW w:w="9469" w:type="dxa"/>
            <w:gridSpan w:val="2"/>
            <w:tcBorders>
              <w:top w:val="single" w:sz="4" w:space="0" w:color="auto"/>
              <w:left w:val="single" w:sz="4" w:space="0" w:color="auto"/>
              <w:bottom w:val="single" w:sz="4" w:space="0" w:color="auto"/>
              <w:right w:val="single" w:sz="4" w:space="0" w:color="auto"/>
            </w:tcBorders>
          </w:tcPr>
          <w:p w14:paraId="0D1057A5" w14:textId="77777777" w:rsidR="00035689" w:rsidRPr="000746D6" w:rsidRDefault="00035689" w:rsidP="00035689">
            <w:pPr>
              <w:suppressAutoHyphens/>
              <w:spacing w:after="0" w:line="240" w:lineRule="auto"/>
              <w:jc w:val="both"/>
              <w:rPr>
                <w:rFonts w:ascii="Cambria" w:hAnsi="Cambria"/>
                <w:b/>
                <w:color w:val="000000"/>
                <w:sz w:val="20"/>
                <w:szCs w:val="20"/>
                <w:lang w:val="es-CO"/>
              </w:rPr>
            </w:pPr>
            <w:r w:rsidRPr="000746D6">
              <w:rPr>
                <w:rFonts w:ascii="Cambria" w:hAnsi="Cambria"/>
                <w:b/>
                <w:color w:val="000000"/>
                <w:sz w:val="20"/>
                <w:szCs w:val="20"/>
                <w:lang w:val="es-CO"/>
              </w:rPr>
              <w:t>TERCERO.- Medidas de Satisfacción</w:t>
            </w:r>
          </w:p>
        </w:tc>
      </w:tr>
      <w:tr w:rsidR="00035689" w:rsidRPr="000746D6" w14:paraId="4C28E64C" w14:textId="77777777" w:rsidTr="00FF53EB">
        <w:trPr>
          <w:trHeight w:val="558"/>
        </w:trPr>
        <w:tc>
          <w:tcPr>
            <w:tcW w:w="4423" w:type="dxa"/>
            <w:tcBorders>
              <w:top w:val="single" w:sz="4" w:space="0" w:color="auto"/>
              <w:left w:val="single" w:sz="4" w:space="0" w:color="auto"/>
              <w:bottom w:val="single" w:sz="4" w:space="0" w:color="auto"/>
              <w:right w:val="single" w:sz="4" w:space="0" w:color="auto"/>
            </w:tcBorders>
          </w:tcPr>
          <w:p w14:paraId="42994F88" w14:textId="77777777" w:rsidR="00035689" w:rsidRPr="000746D6" w:rsidRDefault="00035689" w:rsidP="00035689">
            <w:pPr>
              <w:suppressAutoHyphens/>
              <w:spacing w:after="0" w:line="240" w:lineRule="auto"/>
              <w:ind w:right="72"/>
              <w:jc w:val="both"/>
              <w:rPr>
                <w:rFonts w:ascii="Cambria" w:eastAsia="Times New Roman" w:hAnsi="Cambria"/>
                <w:bCs/>
                <w:color w:val="000000"/>
                <w:kern w:val="36"/>
                <w:sz w:val="20"/>
                <w:szCs w:val="20"/>
                <w:lang w:val="es-CO"/>
              </w:rPr>
            </w:pPr>
            <w:r w:rsidRPr="000746D6">
              <w:rPr>
                <w:rFonts w:ascii="Cambria" w:eastAsia="Times New Roman" w:hAnsi="Cambria"/>
                <w:bCs/>
                <w:color w:val="000000"/>
                <w:kern w:val="36"/>
                <w:sz w:val="20"/>
                <w:szCs w:val="20"/>
                <w:lang w:val="es-CO"/>
              </w:rPr>
              <w:lastRenderedPageBreak/>
              <w:t xml:space="preserve">El Estado de Colombia se compromete a realizar un acto privado de reconocimiento de responsabilidad por los hechos del presente caso. Asimismo, hará entrega a los familiares de las víctimas de una carta en donde se reconozca responsabilidad por los hechos acaecidos. La materialización de esta medida será concertada con las víctimas y sus representantes. </w:t>
            </w:r>
          </w:p>
          <w:p w14:paraId="0E8CF5D1" w14:textId="77777777" w:rsidR="00035689" w:rsidRPr="000746D6" w:rsidRDefault="00035689" w:rsidP="00035689">
            <w:pPr>
              <w:suppressAutoHyphens/>
              <w:spacing w:after="0" w:line="240" w:lineRule="auto"/>
              <w:ind w:right="72"/>
              <w:jc w:val="both"/>
              <w:rPr>
                <w:rFonts w:ascii="Cambria" w:eastAsia="Times New Roman" w:hAnsi="Cambria"/>
                <w:bCs/>
                <w:color w:val="000000"/>
                <w:kern w:val="36"/>
                <w:sz w:val="20"/>
                <w:szCs w:val="20"/>
                <w:lang w:val="es-CO"/>
              </w:rPr>
            </w:pPr>
            <w:r w:rsidRPr="000746D6">
              <w:rPr>
                <w:rFonts w:ascii="Cambria" w:eastAsia="Times New Roman" w:hAnsi="Cambria"/>
                <w:bCs/>
                <w:color w:val="000000"/>
                <w:kern w:val="36"/>
                <w:sz w:val="20"/>
                <w:szCs w:val="20"/>
                <w:lang w:val="es-CO"/>
              </w:rPr>
              <w:t xml:space="preserve">El apoyo logístico y técnico de estas medidas estará a cargo de la Consejería Presidencia para los Derechos Humanos. </w:t>
            </w:r>
          </w:p>
        </w:tc>
        <w:tc>
          <w:tcPr>
            <w:tcW w:w="5046" w:type="dxa"/>
            <w:tcBorders>
              <w:top w:val="single" w:sz="4" w:space="0" w:color="auto"/>
              <w:left w:val="single" w:sz="4" w:space="0" w:color="auto"/>
              <w:bottom w:val="single" w:sz="4" w:space="0" w:color="auto"/>
              <w:right w:val="single" w:sz="4" w:space="0" w:color="auto"/>
            </w:tcBorders>
            <w:vAlign w:val="center"/>
          </w:tcPr>
          <w:p w14:paraId="50BF0B7F" w14:textId="77777777" w:rsidR="00035689" w:rsidRPr="000746D6" w:rsidRDefault="00035689" w:rsidP="00035689">
            <w:pPr>
              <w:suppressAutoHyphens/>
              <w:spacing w:after="0" w:line="240" w:lineRule="auto"/>
              <w:jc w:val="center"/>
              <w:rPr>
                <w:rFonts w:ascii="Cambria" w:hAnsi="Cambria"/>
                <w:color w:val="000000"/>
                <w:sz w:val="20"/>
                <w:szCs w:val="20"/>
                <w:lang w:val="es-CO"/>
              </w:rPr>
            </w:pPr>
            <w:r w:rsidRPr="000746D6">
              <w:rPr>
                <w:rFonts w:ascii="Cambria" w:hAnsi="Cambria"/>
                <w:b/>
                <w:color w:val="000000"/>
                <w:sz w:val="20"/>
                <w:szCs w:val="20"/>
                <w:lang w:val="es-CO"/>
              </w:rPr>
              <w:t>Total</w:t>
            </w:r>
            <w:r w:rsidRPr="000746D6">
              <w:rPr>
                <w:rFonts w:ascii="Cambria" w:hAnsi="Cambria"/>
                <w:b/>
                <w:color w:val="000000"/>
                <w:sz w:val="20"/>
                <w:szCs w:val="20"/>
                <w:vertAlign w:val="superscript"/>
                <w:lang w:val="es-CO"/>
              </w:rPr>
              <w:footnoteReference w:id="3"/>
            </w:r>
          </w:p>
        </w:tc>
      </w:tr>
      <w:tr w:rsidR="00035689" w:rsidRPr="000746D6" w14:paraId="22132167" w14:textId="77777777" w:rsidTr="00765A6A">
        <w:trPr>
          <w:trHeight w:val="278"/>
        </w:trPr>
        <w:tc>
          <w:tcPr>
            <w:tcW w:w="9469" w:type="dxa"/>
            <w:gridSpan w:val="2"/>
            <w:tcBorders>
              <w:top w:val="single" w:sz="4" w:space="0" w:color="auto"/>
              <w:left w:val="single" w:sz="4" w:space="0" w:color="auto"/>
              <w:bottom w:val="single" w:sz="4" w:space="0" w:color="auto"/>
              <w:right w:val="single" w:sz="4" w:space="0" w:color="auto"/>
            </w:tcBorders>
          </w:tcPr>
          <w:p w14:paraId="5817BF4F" w14:textId="77777777" w:rsidR="00035689" w:rsidRPr="000746D6" w:rsidRDefault="00035689" w:rsidP="00035689">
            <w:pPr>
              <w:suppressAutoHyphens/>
              <w:spacing w:after="0" w:line="240" w:lineRule="auto"/>
              <w:jc w:val="both"/>
              <w:rPr>
                <w:rFonts w:ascii="Cambria" w:hAnsi="Cambria"/>
                <w:b/>
                <w:color w:val="000000"/>
                <w:sz w:val="20"/>
                <w:szCs w:val="20"/>
                <w:lang w:val="es-CO"/>
              </w:rPr>
            </w:pPr>
            <w:r w:rsidRPr="000746D6">
              <w:rPr>
                <w:rFonts w:ascii="Cambria" w:hAnsi="Cambria"/>
                <w:b/>
                <w:color w:val="000000"/>
                <w:sz w:val="20"/>
                <w:szCs w:val="20"/>
                <w:lang w:val="es-CO"/>
              </w:rPr>
              <w:t>CUARTO.- Reparación Pecuniaria</w:t>
            </w:r>
          </w:p>
        </w:tc>
      </w:tr>
      <w:tr w:rsidR="00FF53EB" w:rsidRPr="000746D6" w14:paraId="41CFC652" w14:textId="77777777" w:rsidTr="002911D6">
        <w:trPr>
          <w:trHeight w:val="494"/>
        </w:trPr>
        <w:tc>
          <w:tcPr>
            <w:tcW w:w="4423" w:type="dxa"/>
            <w:tcBorders>
              <w:top w:val="single" w:sz="4" w:space="0" w:color="auto"/>
              <w:left w:val="single" w:sz="4" w:space="0" w:color="auto"/>
              <w:bottom w:val="single" w:sz="4" w:space="0" w:color="auto"/>
              <w:right w:val="single" w:sz="4" w:space="0" w:color="auto"/>
            </w:tcBorders>
          </w:tcPr>
          <w:p w14:paraId="52F52EE1" w14:textId="77777777" w:rsidR="00FF53EB" w:rsidRPr="000746D6" w:rsidRDefault="00FF53EB" w:rsidP="00035689">
            <w:pPr>
              <w:suppressAutoHyphens/>
              <w:spacing w:after="0" w:line="240" w:lineRule="auto"/>
              <w:ind w:right="72"/>
              <w:jc w:val="both"/>
              <w:rPr>
                <w:rFonts w:ascii="Cambria" w:eastAsia="Times New Roman" w:hAnsi="Cambria"/>
                <w:bCs/>
                <w:color w:val="000000"/>
                <w:kern w:val="36"/>
                <w:sz w:val="20"/>
                <w:szCs w:val="20"/>
                <w:lang w:val="es-CO"/>
              </w:rPr>
            </w:pPr>
            <w:r w:rsidRPr="000746D6">
              <w:rPr>
                <w:rFonts w:ascii="Cambria" w:eastAsia="Times New Roman" w:hAnsi="Cambria"/>
                <w:bCs/>
                <w:color w:val="000000"/>
                <w:kern w:val="36"/>
                <w:sz w:val="20"/>
                <w:szCs w:val="20"/>
                <w:lang w:val="es-CO"/>
              </w:rPr>
              <w:t>El Estado se compromete a que una vez homologado el presente acuerdo de solución amistosa mediante la expedición del informe de artículo 49 de la CADH, se dará aplicación a la Ley 288 de 1996, con el propósito de reparar los perjuicios inmateriales a favor de los señores Edgar de Jesús Muñoz Orjuela y Goblis Anyelo Muñoz Orjuela, hijos de crianza del señor Luis Fernando Velásquez Londoño, quienes no han sido indemnizados a través de la Jurisdicción Contencioso Administrativa. Las entidades encargadas de adelantar el trámite de Ley 288 de 1996 serán la Policía Nacional y el Instituto Nacional Penitenciario y Carcelario (INPEC), de conformidad con lo establecido en el Decreto 507 de 2016.</w:t>
            </w:r>
          </w:p>
        </w:tc>
        <w:tc>
          <w:tcPr>
            <w:tcW w:w="5046" w:type="dxa"/>
            <w:tcBorders>
              <w:top w:val="single" w:sz="4" w:space="0" w:color="auto"/>
              <w:left w:val="single" w:sz="4" w:space="0" w:color="auto"/>
              <w:bottom w:val="single" w:sz="4" w:space="0" w:color="auto"/>
              <w:right w:val="single" w:sz="4" w:space="0" w:color="auto"/>
            </w:tcBorders>
            <w:vAlign w:val="center"/>
          </w:tcPr>
          <w:p w14:paraId="4E66336D" w14:textId="4F0D0B1D" w:rsidR="00FF53EB" w:rsidRPr="000746D6" w:rsidRDefault="00FF53EB" w:rsidP="00FF53EB">
            <w:pPr>
              <w:suppressAutoHyphens/>
              <w:spacing w:after="0" w:line="240" w:lineRule="auto"/>
              <w:jc w:val="center"/>
              <w:rPr>
                <w:rFonts w:ascii="Cambria" w:hAnsi="Cambria"/>
                <w:color w:val="000000"/>
                <w:sz w:val="20"/>
                <w:szCs w:val="20"/>
                <w:lang w:val="es-CO"/>
              </w:rPr>
            </w:pPr>
            <w:r w:rsidRPr="000746D6">
              <w:rPr>
                <w:rFonts w:ascii="Cambria" w:hAnsi="Cambria"/>
                <w:b/>
                <w:color w:val="000000"/>
                <w:sz w:val="20"/>
                <w:szCs w:val="20"/>
                <w:lang w:val="es-CO"/>
              </w:rPr>
              <w:t>Total</w:t>
            </w:r>
            <w:r w:rsidR="00F16469" w:rsidRPr="000746D6">
              <w:rPr>
                <w:rStyle w:val="FootnoteReference"/>
                <w:rFonts w:ascii="Cambria" w:hAnsi="Cambria"/>
                <w:b/>
                <w:color w:val="000000"/>
                <w:sz w:val="20"/>
                <w:szCs w:val="20"/>
                <w:lang w:val="es-CO"/>
              </w:rPr>
              <w:footnoteReference w:id="4"/>
            </w:r>
          </w:p>
        </w:tc>
      </w:tr>
    </w:tbl>
    <w:p w14:paraId="2A41E84B" w14:textId="77777777" w:rsidR="00035689" w:rsidRPr="000746D6" w:rsidRDefault="00035689" w:rsidP="003E4B42">
      <w:pPr>
        <w:suppressAutoHyphens/>
        <w:autoSpaceDE w:val="0"/>
        <w:autoSpaceDN w:val="0"/>
        <w:adjustRightInd w:val="0"/>
        <w:spacing w:after="0" w:line="240" w:lineRule="auto"/>
        <w:jc w:val="both"/>
        <w:rPr>
          <w:rFonts w:ascii="Cambria" w:hAnsi="Cambria"/>
          <w:color w:val="000000"/>
          <w:sz w:val="20"/>
          <w:szCs w:val="20"/>
          <w:lang w:val="es-CO"/>
        </w:rPr>
      </w:pPr>
    </w:p>
    <w:p w14:paraId="3D794E00" w14:textId="77777777" w:rsidR="00035689" w:rsidRPr="000746D6" w:rsidRDefault="00035689" w:rsidP="00627C9D">
      <w:pPr>
        <w:pStyle w:val="ListParagraph"/>
        <w:numPr>
          <w:ilvl w:val="0"/>
          <w:numId w:val="43"/>
        </w:numPr>
        <w:spacing w:after="0" w:line="240" w:lineRule="auto"/>
        <w:ind w:left="1440"/>
        <w:jc w:val="both"/>
        <w:rPr>
          <w:rFonts w:ascii="Cambria" w:eastAsiaTheme="minorHAnsi" w:hAnsi="Cambria" w:cstheme="minorBidi"/>
          <w:b/>
          <w:color w:val="000000"/>
          <w:sz w:val="20"/>
          <w:szCs w:val="20"/>
          <w:lang w:val="es-CO"/>
        </w:rPr>
      </w:pPr>
      <w:r w:rsidRPr="000746D6">
        <w:rPr>
          <w:rFonts w:ascii="Cambria" w:eastAsiaTheme="minorHAnsi" w:hAnsi="Cambria" w:cstheme="minorBidi"/>
          <w:b/>
          <w:color w:val="000000"/>
          <w:sz w:val="20"/>
          <w:szCs w:val="20"/>
          <w:lang w:val="es-CO"/>
        </w:rPr>
        <w:t xml:space="preserve">NIVEL DE CUMPLIMIENTO DEL CASO </w:t>
      </w:r>
    </w:p>
    <w:p w14:paraId="71B23E26" w14:textId="77777777" w:rsidR="00035689" w:rsidRPr="000746D6" w:rsidRDefault="00035689" w:rsidP="00035689">
      <w:pPr>
        <w:suppressAutoHyphens/>
        <w:autoSpaceDE w:val="0"/>
        <w:autoSpaceDN w:val="0"/>
        <w:adjustRightInd w:val="0"/>
        <w:spacing w:after="0" w:line="240" w:lineRule="auto"/>
        <w:ind w:firstLine="720"/>
        <w:jc w:val="both"/>
        <w:rPr>
          <w:rFonts w:ascii="Cambria" w:hAnsi="Cambria" w:cs="Calibri Light"/>
          <w:sz w:val="20"/>
          <w:szCs w:val="20"/>
          <w:lang w:val="es-CO"/>
        </w:rPr>
      </w:pPr>
      <w:r w:rsidRPr="000746D6">
        <w:rPr>
          <w:rFonts w:ascii="Cambria" w:hAnsi="Cambria" w:cs="Calibri Light"/>
          <w:color w:val="FF0000"/>
          <w:sz w:val="20"/>
          <w:szCs w:val="20"/>
          <w:lang w:val="es-CO"/>
        </w:rPr>
        <w:t xml:space="preserve"> </w:t>
      </w:r>
    </w:p>
    <w:p w14:paraId="52FFD8E0" w14:textId="417AF78C" w:rsidR="00035689" w:rsidRPr="000746D6" w:rsidRDefault="003E4B42" w:rsidP="00035689">
      <w:pPr>
        <w:numPr>
          <w:ilvl w:val="0"/>
          <w:numId w:val="41"/>
        </w:numPr>
        <w:suppressAutoHyphens/>
        <w:spacing w:after="0" w:line="240" w:lineRule="auto"/>
        <w:ind w:left="0" w:firstLine="720"/>
        <w:contextualSpacing/>
        <w:jc w:val="both"/>
        <w:rPr>
          <w:rFonts w:ascii="Cambria" w:hAnsi="Cambria"/>
          <w:sz w:val="20"/>
          <w:szCs w:val="20"/>
          <w:lang w:val="es-CO"/>
        </w:rPr>
      </w:pPr>
      <w:r w:rsidRPr="000746D6">
        <w:rPr>
          <w:rFonts w:ascii="Cambria" w:hAnsi="Cambria"/>
          <w:sz w:val="20"/>
          <w:szCs w:val="20"/>
          <w:lang w:val="es-CO"/>
        </w:rPr>
        <w:t>La Comisión declaró el cumplimiento total del asunto y el cese del seguimiento del acuerdo de solución amistosa en el Informe Anual de 2024</w:t>
      </w:r>
      <w:r w:rsidR="00035689" w:rsidRPr="000746D6">
        <w:rPr>
          <w:rFonts w:ascii="Cambria" w:hAnsi="Cambria"/>
          <w:sz w:val="20"/>
          <w:szCs w:val="20"/>
          <w:lang w:val="es-CO"/>
        </w:rPr>
        <w:t xml:space="preserve">. </w:t>
      </w:r>
    </w:p>
    <w:p w14:paraId="3C2FD966" w14:textId="77777777" w:rsidR="00035689" w:rsidRPr="000746D6" w:rsidRDefault="00035689" w:rsidP="00035689">
      <w:pPr>
        <w:suppressAutoHyphens/>
        <w:autoSpaceDE w:val="0"/>
        <w:autoSpaceDN w:val="0"/>
        <w:adjustRightInd w:val="0"/>
        <w:spacing w:after="0" w:line="240" w:lineRule="auto"/>
        <w:jc w:val="both"/>
        <w:rPr>
          <w:rFonts w:ascii="Cambria" w:hAnsi="Cambria"/>
          <w:color w:val="000000"/>
          <w:sz w:val="20"/>
          <w:szCs w:val="20"/>
          <w:lang w:val="es-CO"/>
        </w:rPr>
      </w:pPr>
    </w:p>
    <w:p w14:paraId="12B3F799" w14:textId="77777777" w:rsidR="00035689" w:rsidRPr="000746D6" w:rsidRDefault="00035689" w:rsidP="00627C9D">
      <w:pPr>
        <w:pStyle w:val="ListParagraph"/>
        <w:numPr>
          <w:ilvl w:val="0"/>
          <w:numId w:val="43"/>
        </w:numPr>
        <w:spacing w:after="0" w:line="240" w:lineRule="auto"/>
        <w:ind w:left="1440"/>
        <w:jc w:val="both"/>
        <w:rPr>
          <w:rFonts w:ascii="Cambria" w:eastAsiaTheme="minorHAnsi" w:hAnsi="Cambria" w:cstheme="minorBidi"/>
          <w:b/>
          <w:color w:val="000000"/>
          <w:sz w:val="20"/>
          <w:szCs w:val="20"/>
          <w:lang w:val="es-CO"/>
        </w:rPr>
      </w:pPr>
      <w:r w:rsidRPr="000746D6">
        <w:rPr>
          <w:rFonts w:ascii="Cambria" w:eastAsiaTheme="minorHAnsi" w:hAnsi="Cambria" w:cstheme="minorBidi"/>
          <w:b/>
          <w:color w:val="000000"/>
          <w:sz w:val="20"/>
          <w:szCs w:val="20"/>
          <w:lang w:val="es-CO"/>
        </w:rPr>
        <w:t xml:space="preserve">RESULTADOS INDIVIDUALES Y ESTRUCTURALES DEL CASO </w:t>
      </w:r>
    </w:p>
    <w:p w14:paraId="1D2E5E62" w14:textId="77777777" w:rsidR="00035689" w:rsidRPr="000746D6" w:rsidRDefault="00035689" w:rsidP="00035689">
      <w:pPr>
        <w:suppressAutoHyphens/>
        <w:spacing w:after="0" w:line="240" w:lineRule="auto"/>
        <w:ind w:firstLine="720"/>
        <w:contextualSpacing/>
        <w:jc w:val="both"/>
        <w:rPr>
          <w:rFonts w:ascii="Cambria" w:hAnsi="Cambria" w:cs="Calibri Light"/>
          <w:b/>
          <w:color w:val="000000"/>
          <w:sz w:val="20"/>
          <w:szCs w:val="20"/>
          <w:lang w:val="es-CO"/>
        </w:rPr>
      </w:pPr>
    </w:p>
    <w:p w14:paraId="16E7991D" w14:textId="4BC60E47" w:rsidR="00035689" w:rsidRPr="000746D6" w:rsidRDefault="00035689" w:rsidP="00035689">
      <w:pPr>
        <w:numPr>
          <w:ilvl w:val="0"/>
          <w:numId w:val="44"/>
        </w:numPr>
        <w:suppressAutoHyphens/>
        <w:spacing w:after="0" w:line="240" w:lineRule="auto"/>
        <w:ind w:left="1440" w:hanging="720"/>
        <w:contextualSpacing/>
        <w:jc w:val="both"/>
        <w:rPr>
          <w:rFonts w:ascii="Cambria" w:hAnsi="Cambria" w:cs="Calibri Light"/>
          <w:b/>
          <w:color w:val="000000"/>
          <w:sz w:val="20"/>
          <w:szCs w:val="20"/>
          <w:lang w:val="es-CO"/>
        </w:rPr>
      </w:pPr>
      <w:r w:rsidRPr="000746D6">
        <w:rPr>
          <w:rFonts w:ascii="Cambria" w:hAnsi="Cambria" w:cs="Calibri Light"/>
          <w:b/>
          <w:color w:val="000000"/>
          <w:sz w:val="20"/>
          <w:szCs w:val="20"/>
          <w:lang w:val="es-CO"/>
        </w:rPr>
        <w:t>Resultados individuales del caso</w:t>
      </w:r>
    </w:p>
    <w:p w14:paraId="4DE9BA43" w14:textId="77777777" w:rsidR="00035689" w:rsidRPr="000746D6" w:rsidRDefault="00035689" w:rsidP="00035689">
      <w:pPr>
        <w:suppressAutoHyphens/>
        <w:spacing w:after="0" w:line="240" w:lineRule="auto"/>
        <w:ind w:firstLine="720"/>
        <w:contextualSpacing/>
        <w:jc w:val="both"/>
        <w:rPr>
          <w:rFonts w:ascii="Cambria" w:hAnsi="Cambria" w:cs="Calibri Light"/>
          <w:b/>
          <w:color w:val="000000"/>
          <w:sz w:val="20"/>
          <w:szCs w:val="20"/>
          <w:lang w:val="es-CO"/>
        </w:rPr>
      </w:pPr>
    </w:p>
    <w:p w14:paraId="1A9B762E" w14:textId="77777777" w:rsidR="00035689" w:rsidRPr="000746D6" w:rsidRDefault="00035689" w:rsidP="00035689">
      <w:pPr>
        <w:numPr>
          <w:ilvl w:val="0"/>
          <w:numId w:val="42"/>
        </w:numPr>
        <w:suppressAutoHyphens/>
        <w:spacing w:after="0" w:line="240" w:lineRule="auto"/>
        <w:ind w:left="1440" w:hanging="720"/>
        <w:contextualSpacing/>
        <w:jc w:val="both"/>
        <w:rPr>
          <w:rFonts w:ascii="Cambria" w:hAnsi="Cambria" w:cs="Calibri Light"/>
          <w:b/>
          <w:color w:val="000000"/>
          <w:sz w:val="20"/>
          <w:szCs w:val="20"/>
          <w:lang w:val="es-CO"/>
        </w:rPr>
      </w:pPr>
      <w:r w:rsidRPr="000746D6">
        <w:rPr>
          <w:rFonts w:ascii="Cambria" w:hAnsi="Cambria"/>
          <w:color w:val="000000"/>
          <w:sz w:val="20"/>
          <w:szCs w:val="20"/>
          <w:lang w:val="es-CO"/>
        </w:rPr>
        <w:t>Se realizó el reconocimiento de la responsabilidad internacional por los hechos cometidos;</w:t>
      </w:r>
    </w:p>
    <w:p w14:paraId="59119462" w14:textId="77777777" w:rsidR="00035689" w:rsidRPr="000746D6" w:rsidRDefault="00035689" w:rsidP="00035689">
      <w:pPr>
        <w:numPr>
          <w:ilvl w:val="0"/>
          <w:numId w:val="42"/>
        </w:numPr>
        <w:suppressAutoHyphens/>
        <w:spacing w:after="0" w:line="240" w:lineRule="auto"/>
        <w:ind w:left="1440" w:hanging="720"/>
        <w:contextualSpacing/>
        <w:jc w:val="both"/>
        <w:rPr>
          <w:rFonts w:ascii="Cambria" w:hAnsi="Cambria" w:cs="Calibri Light"/>
          <w:b/>
          <w:color w:val="000000"/>
          <w:sz w:val="20"/>
          <w:szCs w:val="20"/>
          <w:lang w:val="es-CO"/>
        </w:rPr>
      </w:pPr>
      <w:r w:rsidRPr="000746D6">
        <w:rPr>
          <w:rFonts w:ascii="Cambria" w:hAnsi="Cambria"/>
          <w:color w:val="000000"/>
          <w:sz w:val="20"/>
          <w:szCs w:val="20"/>
          <w:lang w:val="es-CO"/>
        </w:rPr>
        <w:t xml:space="preserve">El Estado hizo entrega de una carta de disculpas a los familiares de Isidoro León Ramírez Ciro, Pompilio de Jesús Cardona Escobar y Luis Fernando Velásquez Londoño. </w:t>
      </w:r>
    </w:p>
    <w:p w14:paraId="3B4E0DA4" w14:textId="3ACC144D" w:rsidR="008E72CA" w:rsidRPr="000746D6" w:rsidRDefault="00035689" w:rsidP="00035689">
      <w:pPr>
        <w:numPr>
          <w:ilvl w:val="0"/>
          <w:numId w:val="42"/>
        </w:numPr>
        <w:suppressAutoHyphens/>
        <w:spacing w:after="0" w:line="240" w:lineRule="auto"/>
        <w:ind w:left="1440" w:hanging="720"/>
        <w:contextualSpacing/>
        <w:jc w:val="both"/>
        <w:rPr>
          <w:rFonts w:ascii="Cambria" w:hAnsi="Cambria" w:cs="Calibri Light"/>
          <w:bCs/>
          <w:color w:val="000000"/>
          <w:sz w:val="20"/>
          <w:szCs w:val="20"/>
          <w:lang w:val="es-CO"/>
        </w:rPr>
      </w:pPr>
      <w:r w:rsidRPr="000746D6">
        <w:rPr>
          <w:rFonts w:ascii="Cambria" w:hAnsi="Cambria" w:cs="Calibri Light"/>
          <w:bCs/>
          <w:color w:val="000000"/>
          <w:sz w:val="20"/>
          <w:szCs w:val="20"/>
          <w:lang w:val="es-CO"/>
        </w:rPr>
        <w:t>Se otorgó una compensación económica a dos beneficiarios por un monto de $250.248.488,00 COP, por concepto de perjuicios morales e intereses moratorios.</w:t>
      </w:r>
    </w:p>
    <w:sectPr w:rsidR="008E72CA" w:rsidRPr="000746D6" w:rsidSect="007E4ED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4D6EB" w14:textId="77777777" w:rsidR="00C059CD" w:rsidRDefault="00C059CD" w:rsidP="00A343FF">
      <w:pPr>
        <w:spacing w:after="0" w:line="240" w:lineRule="auto"/>
      </w:pPr>
      <w:r>
        <w:separator/>
      </w:r>
    </w:p>
  </w:endnote>
  <w:endnote w:type="continuationSeparator" w:id="0">
    <w:p w14:paraId="469FF3D4" w14:textId="77777777" w:rsidR="00C059CD" w:rsidRDefault="00C059CD" w:rsidP="00A343FF">
      <w:pPr>
        <w:spacing w:after="0" w:line="240" w:lineRule="auto"/>
      </w:pPr>
      <w:r>
        <w:continuationSeparator/>
      </w:r>
    </w:p>
  </w:endnote>
  <w:endnote w:type="continuationNotice" w:id="1">
    <w:p w14:paraId="6E2D72C0" w14:textId="77777777" w:rsidR="00C059CD" w:rsidRDefault="00C05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2B6126FB" w:rsidR="00D222B7" w:rsidRDefault="00962590" w:rsidP="00CA3AA8">
    <w:pPr>
      <w:pStyle w:val="Footer"/>
      <w:spacing w:line="360" w:lineRule="auto"/>
      <w:jc w:val="right"/>
    </w:pPr>
    <w:r>
      <w:rPr>
        <w:noProof/>
      </w:rPr>
      <w:pict w14:anchorId="4C7B25AC">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60444" w14:textId="77777777" w:rsidR="00C059CD" w:rsidRDefault="00C059CD" w:rsidP="00A343FF">
      <w:pPr>
        <w:spacing w:after="0" w:line="240" w:lineRule="auto"/>
      </w:pPr>
      <w:r>
        <w:separator/>
      </w:r>
    </w:p>
  </w:footnote>
  <w:footnote w:type="continuationSeparator" w:id="0">
    <w:p w14:paraId="1D5D4FB2" w14:textId="77777777" w:rsidR="00C059CD" w:rsidRDefault="00C059CD" w:rsidP="00A343FF">
      <w:pPr>
        <w:spacing w:after="0" w:line="240" w:lineRule="auto"/>
      </w:pPr>
      <w:r>
        <w:continuationSeparator/>
      </w:r>
    </w:p>
  </w:footnote>
  <w:footnote w:type="continuationNotice" w:id="1">
    <w:p w14:paraId="368337BB" w14:textId="77777777" w:rsidR="00C059CD" w:rsidRDefault="00C059CD">
      <w:pPr>
        <w:spacing w:after="0" w:line="240" w:lineRule="auto"/>
      </w:pPr>
    </w:p>
  </w:footnote>
  <w:footnote w:id="2">
    <w:p w14:paraId="644991FC" w14:textId="568041AB" w:rsidR="00F16469" w:rsidRPr="00BA0A62" w:rsidRDefault="00F16469" w:rsidP="00BA0A62">
      <w:pPr>
        <w:pStyle w:val="FootnoteText"/>
        <w:spacing w:after="0" w:line="240" w:lineRule="auto"/>
        <w:ind w:firstLine="706"/>
        <w:jc w:val="both"/>
        <w:rPr>
          <w:rFonts w:ascii="Cambria" w:hAnsi="Cambria"/>
          <w:sz w:val="16"/>
          <w:szCs w:val="16"/>
          <w:lang w:val="es-ES_tradnl"/>
        </w:rPr>
      </w:pPr>
      <w:r w:rsidRPr="00BA0A62">
        <w:rPr>
          <w:rStyle w:val="FootnoteReference"/>
          <w:rFonts w:ascii="Cambria" w:hAnsi="Cambria"/>
          <w:sz w:val="16"/>
          <w:szCs w:val="16"/>
        </w:rPr>
        <w:footnoteRef/>
      </w:r>
      <w:r w:rsidRPr="00BA0A62">
        <w:rPr>
          <w:rFonts w:ascii="Cambria" w:hAnsi="Cambria"/>
          <w:sz w:val="16"/>
          <w:szCs w:val="16"/>
          <w:lang w:val="es-CO"/>
        </w:rPr>
        <w:t xml:space="preserve"> </w:t>
      </w:r>
      <w:r w:rsidRPr="00BA0A62">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1" w:history="1">
        <w:r w:rsidRPr="00BA0A62">
          <w:rPr>
            <w:rStyle w:val="Hyperlink"/>
            <w:rFonts w:ascii="Cambria" w:hAnsi="Cambria"/>
            <w:sz w:val="16"/>
            <w:szCs w:val="16"/>
            <w:lang w:val="es-ES_tradnl"/>
          </w:rPr>
          <w:t>https://www.oas.org/es/cidh/docs/anual/2024/capitulos/IA2024_2_ES.pdf</w:t>
        </w:r>
      </w:hyperlink>
      <w:r w:rsidRPr="00BA0A62">
        <w:rPr>
          <w:rFonts w:ascii="Cambria" w:hAnsi="Cambria"/>
          <w:sz w:val="16"/>
          <w:szCs w:val="16"/>
          <w:lang w:val="es-ES_tradnl"/>
        </w:rPr>
        <w:t>.</w:t>
      </w:r>
    </w:p>
  </w:footnote>
  <w:footnote w:id="3">
    <w:p w14:paraId="128C4C41" w14:textId="1AE97D90" w:rsidR="00035689" w:rsidRPr="00F16469" w:rsidRDefault="00035689" w:rsidP="00B823EF">
      <w:pPr>
        <w:spacing w:after="0" w:line="240" w:lineRule="auto"/>
        <w:ind w:firstLine="709"/>
        <w:jc w:val="both"/>
        <w:rPr>
          <w:rFonts w:ascii="Cambria" w:hAnsi="Cambria"/>
          <w:sz w:val="16"/>
          <w:szCs w:val="16"/>
          <w:lang w:val="es-VE"/>
        </w:rPr>
      </w:pPr>
      <w:r w:rsidRPr="00F16469">
        <w:rPr>
          <w:rStyle w:val="FootnoteReference"/>
          <w:rFonts w:ascii="Cambria" w:hAnsi="Cambria"/>
          <w:sz w:val="16"/>
          <w:szCs w:val="16"/>
        </w:rPr>
        <w:footnoteRef/>
      </w:r>
      <w:r w:rsidRPr="00F16469">
        <w:rPr>
          <w:rFonts w:ascii="Cambria" w:hAnsi="Cambria"/>
          <w:sz w:val="16"/>
          <w:szCs w:val="16"/>
          <w:lang w:val="es-ES"/>
        </w:rPr>
        <w:t xml:space="preserve"> </w:t>
      </w:r>
      <w:r w:rsidRPr="00F16469">
        <w:rPr>
          <w:rFonts w:ascii="Cambria" w:hAnsi="Cambria"/>
          <w:color w:val="000000"/>
          <w:sz w:val="16"/>
          <w:szCs w:val="16"/>
          <w:lang w:val="es-ES"/>
        </w:rPr>
        <w:t>Ver CIDH, Informe Anual 2019, Capítulo II, Sección G. Soluciones Amistosas</w:t>
      </w:r>
      <w:r w:rsidR="00F16469">
        <w:rPr>
          <w:rFonts w:ascii="Cambria" w:hAnsi="Cambria"/>
          <w:color w:val="000000"/>
          <w:sz w:val="16"/>
          <w:szCs w:val="16"/>
          <w:lang w:val="es-ES"/>
        </w:rPr>
        <w:t>.</w:t>
      </w:r>
      <w:r w:rsidRPr="00F16469">
        <w:rPr>
          <w:rFonts w:ascii="Cambria" w:hAnsi="Cambria"/>
          <w:color w:val="000000"/>
          <w:sz w:val="16"/>
          <w:szCs w:val="16"/>
          <w:lang w:val="es-ES"/>
        </w:rPr>
        <w:t xml:space="preserve"> </w:t>
      </w:r>
      <w:r w:rsidRPr="00F16469">
        <w:rPr>
          <w:rFonts w:ascii="Cambria" w:hAnsi="Cambria"/>
          <w:color w:val="000000"/>
          <w:sz w:val="16"/>
          <w:szCs w:val="16"/>
          <w:lang w:val="es-CO"/>
        </w:rPr>
        <w:t xml:space="preserve">Disponible en: </w:t>
      </w:r>
      <w:hyperlink r:id="rId2" w:history="1">
        <w:r w:rsidRPr="00F16469">
          <w:rPr>
            <w:rStyle w:val="Hyperlink"/>
            <w:rFonts w:ascii="Cambria" w:hAnsi="Cambria"/>
            <w:sz w:val="16"/>
            <w:szCs w:val="16"/>
            <w:lang w:val="es-VE"/>
          </w:rPr>
          <w:t>http://www.oas.org/es/cidh/docs/anual/2019/docs/IA2019cap2-es.pdf</w:t>
        </w:r>
      </w:hyperlink>
      <w:r w:rsidR="00F16469" w:rsidRPr="00BA0A62">
        <w:rPr>
          <w:rFonts w:ascii="Cambria" w:hAnsi="Cambria"/>
          <w:sz w:val="16"/>
          <w:szCs w:val="16"/>
          <w:lang w:val="es-CO"/>
        </w:rPr>
        <w:t>.</w:t>
      </w:r>
    </w:p>
  </w:footnote>
  <w:footnote w:id="4">
    <w:p w14:paraId="42702C47" w14:textId="1ACBE4B1" w:rsidR="00F16469" w:rsidRPr="00F16469" w:rsidRDefault="00F16469" w:rsidP="00B823EF">
      <w:pPr>
        <w:pStyle w:val="FootnoteText"/>
        <w:spacing w:after="0" w:line="240" w:lineRule="auto"/>
        <w:ind w:firstLine="709"/>
        <w:jc w:val="both"/>
        <w:rPr>
          <w:rFonts w:ascii="Cambria" w:hAnsi="Cambria"/>
          <w:sz w:val="16"/>
          <w:szCs w:val="16"/>
          <w:lang w:val="es-ES_tradnl"/>
        </w:rPr>
      </w:pPr>
      <w:r w:rsidRPr="00F16469">
        <w:rPr>
          <w:rStyle w:val="FootnoteReference"/>
          <w:rFonts w:ascii="Cambria" w:hAnsi="Cambria"/>
          <w:sz w:val="16"/>
          <w:szCs w:val="16"/>
        </w:rPr>
        <w:footnoteRef/>
      </w:r>
      <w:r w:rsidRPr="00BA0A62">
        <w:rPr>
          <w:rFonts w:ascii="Cambria" w:hAnsi="Cambria"/>
          <w:sz w:val="16"/>
          <w:szCs w:val="16"/>
          <w:lang w:val="es-CO"/>
        </w:rPr>
        <w:t xml:space="preserve"> </w:t>
      </w:r>
      <w:r w:rsidRPr="00F16469">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3" w:history="1">
        <w:r w:rsidRPr="00F16469">
          <w:rPr>
            <w:rStyle w:val="Hyperlink"/>
            <w:rFonts w:ascii="Cambria" w:hAnsi="Cambria"/>
            <w:sz w:val="16"/>
            <w:szCs w:val="16"/>
            <w:lang w:val="es-ES_tradnl"/>
          </w:rPr>
          <w:t>https://www.oas.org/es/cidh/docs/anual/2024/capitulos/IA2024_2_ES.pdf</w:t>
        </w:r>
      </w:hyperlink>
      <w:r w:rsidRPr="00F16469">
        <w:rPr>
          <w:rFonts w:ascii="Cambria" w:hAnsi="Cambria"/>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2C4B19A3" w14:textId="5BB5631D" w:rsidR="00767C53" w:rsidRPr="00234F67" w:rsidRDefault="00962590" w:rsidP="00234F67">
    <w:pPr>
      <w:pStyle w:val="Header"/>
      <w:jc w:val="center"/>
      <w:rPr>
        <w:lang w:val="es-ES_tradnl"/>
      </w:rPr>
    </w:pPr>
    <w:bookmarkStart w:id="0" w:name="_Hlk204342513"/>
    <w:r>
      <w:rPr>
        <w:noProof/>
      </w:rPr>
      <w:pict w14:anchorId="5823425A">
        <v:rect id="_x0000_i1025" alt="" style="width:441.9pt;height:.05pt;mso-width-percent:0;mso-height-percent:0;mso-width-percent:0;mso-height-percent:0" o:hralign="center" o:hrstd="t" o:hr="t" fillcolor="#a0a0a0" stroked="f"/>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962590"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DF9E3CF2"/>
    <w:lvl w:ilvl="0" w:tplc="9E0841B2">
      <w:start w:val="1"/>
      <w:numFmt w:val="decimal"/>
      <w:lvlText w:val="%1."/>
      <w:lvlJc w:val="left"/>
      <w:pPr>
        <w:ind w:left="1080" w:hanging="360"/>
      </w:pPr>
      <w:rPr>
        <w:rFonts w:ascii="Cambria" w:hAnsi="Cambria" w:hint="default"/>
        <w:b w:val="0"/>
        <w:bCs/>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7E93694"/>
    <w:multiLevelType w:val="hybridMultilevel"/>
    <w:tmpl w:val="7D72E0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F6593"/>
    <w:multiLevelType w:val="hybridMultilevel"/>
    <w:tmpl w:val="4BF44DBE"/>
    <w:lvl w:ilvl="0" w:tplc="33E68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F434FF"/>
    <w:multiLevelType w:val="hybridMultilevel"/>
    <w:tmpl w:val="9ADA14CE"/>
    <w:lvl w:ilvl="0" w:tplc="C80E52C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D4758"/>
    <w:multiLevelType w:val="hybridMultilevel"/>
    <w:tmpl w:val="0562B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1079C"/>
    <w:multiLevelType w:val="hybridMultilevel"/>
    <w:tmpl w:val="2592D1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7753E"/>
    <w:multiLevelType w:val="hybridMultilevel"/>
    <w:tmpl w:val="092094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09368FA"/>
    <w:multiLevelType w:val="hybridMultilevel"/>
    <w:tmpl w:val="2252F3F6"/>
    <w:lvl w:ilvl="0" w:tplc="D08879B2">
      <w:start w:val="1"/>
      <w:numFmt w:val="decimal"/>
      <w:lvlText w:val="%1."/>
      <w:lvlJc w:val="left"/>
      <w:pPr>
        <w:ind w:left="1080" w:hanging="360"/>
      </w:pPr>
      <w:rPr>
        <w:rFonts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15F0249"/>
    <w:multiLevelType w:val="hybridMultilevel"/>
    <w:tmpl w:val="3EE2D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C2161"/>
    <w:multiLevelType w:val="hybridMultilevel"/>
    <w:tmpl w:val="64DA8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C513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7126C2"/>
    <w:multiLevelType w:val="hybridMultilevel"/>
    <w:tmpl w:val="31C4AB46"/>
    <w:lvl w:ilvl="0" w:tplc="097E69EC">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40E60"/>
    <w:multiLevelType w:val="hybridMultilevel"/>
    <w:tmpl w:val="E9109E80"/>
    <w:lvl w:ilvl="0" w:tplc="B892574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E6975"/>
    <w:multiLevelType w:val="hybridMultilevel"/>
    <w:tmpl w:val="27B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A304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B6E30"/>
    <w:multiLevelType w:val="hybridMultilevel"/>
    <w:tmpl w:val="0E6A4088"/>
    <w:lvl w:ilvl="0" w:tplc="FFFFFFFF">
      <w:start w:val="1"/>
      <w:numFmt w:val="decimal"/>
      <w:lvlText w:val="%1."/>
      <w:lvlJc w:val="left"/>
      <w:pPr>
        <w:ind w:left="1080" w:hanging="360"/>
      </w:pPr>
      <w:rPr>
        <w:rFonts w:ascii="Cambria" w:hAnsi="Cambria"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FE6C7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191C38"/>
    <w:multiLevelType w:val="hybridMultilevel"/>
    <w:tmpl w:val="9F1EC0FE"/>
    <w:lvl w:ilvl="0" w:tplc="845897D0">
      <w:start w:val="1"/>
      <w:numFmt w:val="decimal"/>
      <w:lvlText w:val="%1."/>
      <w:lvlJc w:val="left"/>
      <w:pPr>
        <w:ind w:left="720" w:hanging="360"/>
      </w:pPr>
      <w:rPr>
        <w:rFonts w:hint="default"/>
        <w:b w:val="0"/>
        <w:i w:val="0"/>
      </w:rPr>
    </w:lvl>
    <w:lvl w:ilvl="1" w:tplc="298AE862">
      <w:numFmt w:val="bullet"/>
      <w:lvlText w:val="-"/>
      <w:lvlJc w:val="left"/>
      <w:pPr>
        <w:ind w:left="1440" w:hanging="360"/>
      </w:pPr>
      <w:rPr>
        <w:rFonts w:ascii="Cambria" w:eastAsia="MS Mincho" w:hAnsi="Cambria"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F5969"/>
    <w:multiLevelType w:val="hybridMultilevel"/>
    <w:tmpl w:val="22125A18"/>
    <w:lvl w:ilvl="0" w:tplc="B9FA1C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D0C93"/>
    <w:multiLevelType w:val="hybridMultilevel"/>
    <w:tmpl w:val="D9367D4C"/>
    <w:lvl w:ilvl="0" w:tplc="57D8734E">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773E0A"/>
    <w:multiLevelType w:val="hybridMultilevel"/>
    <w:tmpl w:val="E236E11C"/>
    <w:lvl w:ilvl="0" w:tplc="A12C92E4">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34C63"/>
    <w:multiLevelType w:val="hybridMultilevel"/>
    <w:tmpl w:val="AF247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E6D06"/>
    <w:multiLevelType w:val="hybridMultilevel"/>
    <w:tmpl w:val="C58E7C9C"/>
    <w:lvl w:ilvl="0" w:tplc="E586DA4C">
      <w:start w:val="1"/>
      <w:numFmt w:val="decimal"/>
      <w:lvlText w:val="%1."/>
      <w:lvlJc w:val="left"/>
      <w:pPr>
        <w:ind w:left="720" w:hanging="360"/>
      </w:pPr>
      <w:rPr>
        <w:rFonts w:hint="default"/>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C74FD"/>
    <w:multiLevelType w:val="hybridMultilevel"/>
    <w:tmpl w:val="748EFF64"/>
    <w:lvl w:ilvl="0" w:tplc="2E2809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301AD"/>
    <w:multiLevelType w:val="hybridMultilevel"/>
    <w:tmpl w:val="717E8A60"/>
    <w:lvl w:ilvl="0" w:tplc="ADD442F4">
      <w:start w:val="2"/>
      <w:numFmt w:val="upperRoman"/>
      <w:lvlText w:val="%1."/>
      <w:lvlJc w:val="left"/>
      <w:pPr>
        <w:ind w:left="1428"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54F51"/>
    <w:multiLevelType w:val="hybridMultilevel"/>
    <w:tmpl w:val="22428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EF7659"/>
    <w:multiLevelType w:val="hybridMultilevel"/>
    <w:tmpl w:val="111CA60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60A85"/>
    <w:multiLevelType w:val="hybridMultilevel"/>
    <w:tmpl w:val="C0EE0A10"/>
    <w:lvl w:ilvl="0" w:tplc="54CED304">
      <w:start w:val="1"/>
      <w:numFmt w:val="decimal"/>
      <w:lvlText w:val="%1."/>
      <w:lvlJc w:val="left"/>
      <w:pPr>
        <w:ind w:left="1080" w:hanging="360"/>
      </w:pPr>
      <w:rPr>
        <w:rFonts w:ascii="Cambria" w:hAnsi="Cambria" w:hint="default"/>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43B3FAB"/>
    <w:multiLevelType w:val="hybridMultilevel"/>
    <w:tmpl w:val="829614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num w:numId="1" w16cid:durableId="1515539260">
    <w:abstractNumId w:val="45"/>
  </w:num>
  <w:num w:numId="2" w16cid:durableId="205144741">
    <w:abstractNumId w:val="3"/>
  </w:num>
  <w:num w:numId="3" w16cid:durableId="13307895">
    <w:abstractNumId w:val="44"/>
  </w:num>
  <w:num w:numId="4" w16cid:durableId="932861224">
    <w:abstractNumId w:val="23"/>
  </w:num>
  <w:num w:numId="5" w16cid:durableId="474954479">
    <w:abstractNumId w:val="34"/>
  </w:num>
  <w:num w:numId="6" w16cid:durableId="322321131">
    <w:abstractNumId w:val="41"/>
  </w:num>
  <w:num w:numId="7" w16cid:durableId="168326322">
    <w:abstractNumId w:val="7"/>
  </w:num>
  <w:num w:numId="8" w16cid:durableId="635722951">
    <w:abstractNumId w:val="16"/>
  </w:num>
  <w:num w:numId="9" w16cid:durableId="258684545">
    <w:abstractNumId w:val="39"/>
  </w:num>
  <w:num w:numId="10" w16cid:durableId="950165754">
    <w:abstractNumId w:val="40"/>
  </w:num>
  <w:num w:numId="11" w16cid:durableId="403334762">
    <w:abstractNumId w:val="28"/>
  </w:num>
  <w:num w:numId="12" w16cid:durableId="1094783055">
    <w:abstractNumId w:val="38"/>
  </w:num>
  <w:num w:numId="13" w16cid:durableId="1751386615">
    <w:abstractNumId w:val="21"/>
  </w:num>
  <w:num w:numId="14" w16cid:durableId="186918672">
    <w:abstractNumId w:val="17"/>
  </w:num>
  <w:num w:numId="15" w16cid:durableId="936909278">
    <w:abstractNumId w:val="19"/>
  </w:num>
  <w:num w:numId="16" w16cid:durableId="567040671">
    <w:abstractNumId w:val="8"/>
  </w:num>
  <w:num w:numId="17" w16cid:durableId="672145349">
    <w:abstractNumId w:val="0"/>
  </w:num>
  <w:num w:numId="18" w16cid:durableId="1853034730">
    <w:abstractNumId w:val="37"/>
  </w:num>
  <w:num w:numId="19" w16cid:durableId="1694531131">
    <w:abstractNumId w:val="36"/>
  </w:num>
  <w:num w:numId="20" w16cid:durableId="262495912">
    <w:abstractNumId w:val="12"/>
  </w:num>
  <w:num w:numId="21" w16cid:durableId="1635671162">
    <w:abstractNumId w:val="27"/>
  </w:num>
  <w:num w:numId="22" w16cid:durableId="659891190">
    <w:abstractNumId w:val="26"/>
  </w:num>
  <w:num w:numId="23" w16cid:durableId="1741437431">
    <w:abstractNumId w:val="11"/>
  </w:num>
  <w:num w:numId="24" w16cid:durableId="2124180026">
    <w:abstractNumId w:val="32"/>
  </w:num>
  <w:num w:numId="25" w16cid:durableId="20984600">
    <w:abstractNumId w:val="35"/>
  </w:num>
  <w:num w:numId="26" w16cid:durableId="1296375134">
    <w:abstractNumId w:val="1"/>
  </w:num>
  <w:num w:numId="27" w16cid:durableId="1117454701">
    <w:abstractNumId w:val="43"/>
  </w:num>
  <w:num w:numId="28" w16cid:durableId="1829786194">
    <w:abstractNumId w:val="18"/>
  </w:num>
  <w:num w:numId="29" w16cid:durableId="11422449">
    <w:abstractNumId w:val="14"/>
  </w:num>
  <w:num w:numId="30" w16cid:durableId="1198816124">
    <w:abstractNumId w:val="42"/>
  </w:num>
  <w:num w:numId="31" w16cid:durableId="781073804">
    <w:abstractNumId w:val="15"/>
  </w:num>
  <w:num w:numId="32" w16cid:durableId="1077631074">
    <w:abstractNumId w:val="13"/>
  </w:num>
  <w:num w:numId="33" w16cid:durableId="107699588">
    <w:abstractNumId w:val="24"/>
  </w:num>
  <w:num w:numId="34" w16cid:durableId="1329868686">
    <w:abstractNumId w:val="22"/>
  </w:num>
  <w:num w:numId="35" w16cid:durableId="136652855">
    <w:abstractNumId w:val="30"/>
  </w:num>
  <w:num w:numId="36" w16cid:durableId="2097941018">
    <w:abstractNumId w:val="10"/>
  </w:num>
  <w:num w:numId="37" w16cid:durableId="954824443">
    <w:abstractNumId w:val="20"/>
  </w:num>
  <w:num w:numId="38" w16cid:durableId="1379625316">
    <w:abstractNumId w:val="31"/>
  </w:num>
  <w:num w:numId="39" w16cid:durableId="812523369">
    <w:abstractNumId w:val="33"/>
  </w:num>
  <w:num w:numId="40" w16cid:durableId="1847281040">
    <w:abstractNumId w:val="9"/>
  </w:num>
  <w:num w:numId="41" w16cid:durableId="1818452918">
    <w:abstractNumId w:val="25"/>
  </w:num>
  <w:num w:numId="42" w16cid:durableId="87846061">
    <w:abstractNumId w:val="6"/>
  </w:num>
  <w:num w:numId="43" w16cid:durableId="1968508367">
    <w:abstractNumId w:val="29"/>
  </w:num>
  <w:num w:numId="44" w16cid:durableId="1845585809">
    <w:abstractNumId w:val="2"/>
  </w:num>
  <w:num w:numId="45" w16cid:durableId="1096712124">
    <w:abstractNumId w:val="4"/>
  </w:num>
  <w:num w:numId="46" w16cid:durableId="415826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121F"/>
    <w:rsid w:val="00004375"/>
    <w:rsid w:val="0001720F"/>
    <w:rsid w:val="00033B04"/>
    <w:rsid w:val="00035689"/>
    <w:rsid w:val="00037EE7"/>
    <w:rsid w:val="0005228B"/>
    <w:rsid w:val="0006625E"/>
    <w:rsid w:val="000746D6"/>
    <w:rsid w:val="00082741"/>
    <w:rsid w:val="000840A1"/>
    <w:rsid w:val="000A1EFD"/>
    <w:rsid w:val="000D73E4"/>
    <w:rsid w:val="000F4520"/>
    <w:rsid w:val="0010578C"/>
    <w:rsid w:val="00106C59"/>
    <w:rsid w:val="001276B5"/>
    <w:rsid w:val="00151983"/>
    <w:rsid w:val="0015583C"/>
    <w:rsid w:val="00163E52"/>
    <w:rsid w:val="00183508"/>
    <w:rsid w:val="00193906"/>
    <w:rsid w:val="001C0A6D"/>
    <w:rsid w:val="001C230A"/>
    <w:rsid w:val="001F495A"/>
    <w:rsid w:val="0021669C"/>
    <w:rsid w:val="00217A39"/>
    <w:rsid w:val="00217F58"/>
    <w:rsid w:val="002248C7"/>
    <w:rsid w:val="00234F67"/>
    <w:rsid w:val="00250058"/>
    <w:rsid w:val="0025651E"/>
    <w:rsid w:val="002659F6"/>
    <w:rsid w:val="002A1ED6"/>
    <w:rsid w:val="002A39B2"/>
    <w:rsid w:val="002A7539"/>
    <w:rsid w:val="002B0B2A"/>
    <w:rsid w:val="002C446E"/>
    <w:rsid w:val="00301A2A"/>
    <w:rsid w:val="0030543F"/>
    <w:rsid w:val="0032092C"/>
    <w:rsid w:val="003358E6"/>
    <w:rsid w:val="00336E4E"/>
    <w:rsid w:val="003412B2"/>
    <w:rsid w:val="00360412"/>
    <w:rsid w:val="00363E14"/>
    <w:rsid w:val="00393310"/>
    <w:rsid w:val="003A00B1"/>
    <w:rsid w:val="003D4630"/>
    <w:rsid w:val="003E3690"/>
    <w:rsid w:val="003E4B42"/>
    <w:rsid w:val="0040037B"/>
    <w:rsid w:val="00403841"/>
    <w:rsid w:val="0041423F"/>
    <w:rsid w:val="00450646"/>
    <w:rsid w:val="004633EB"/>
    <w:rsid w:val="0047175E"/>
    <w:rsid w:val="00483B3C"/>
    <w:rsid w:val="00483CF7"/>
    <w:rsid w:val="00486911"/>
    <w:rsid w:val="004A15BA"/>
    <w:rsid w:val="004A4561"/>
    <w:rsid w:val="004C4D9C"/>
    <w:rsid w:val="004D7999"/>
    <w:rsid w:val="004F3B49"/>
    <w:rsid w:val="00513A38"/>
    <w:rsid w:val="00525898"/>
    <w:rsid w:val="00533294"/>
    <w:rsid w:val="00537F2F"/>
    <w:rsid w:val="005664CA"/>
    <w:rsid w:val="0058688A"/>
    <w:rsid w:val="00590BCD"/>
    <w:rsid w:val="0059345C"/>
    <w:rsid w:val="005B23B6"/>
    <w:rsid w:val="005C4307"/>
    <w:rsid w:val="005C5563"/>
    <w:rsid w:val="005D1113"/>
    <w:rsid w:val="005D1DC2"/>
    <w:rsid w:val="005E11CE"/>
    <w:rsid w:val="005E6CF2"/>
    <w:rsid w:val="005F4AAA"/>
    <w:rsid w:val="00604132"/>
    <w:rsid w:val="00604F1C"/>
    <w:rsid w:val="00604F61"/>
    <w:rsid w:val="00617071"/>
    <w:rsid w:val="00627C9D"/>
    <w:rsid w:val="00650D57"/>
    <w:rsid w:val="006518D8"/>
    <w:rsid w:val="006753A9"/>
    <w:rsid w:val="0069586A"/>
    <w:rsid w:val="006964C0"/>
    <w:rsid w:val="006A592E"/>
    <w:rsid w:val="006A6CAF"/>
    <w:rsid w:val="006B3D07"/>
    <w:rsid w:val="006D2360"/>
    <w:rsid w:val="006D4FA0"/>
    <w:rsid w:val="006E0736"/>
    <w:rsid w:val="006F0429"/>
    <w:rsid w:val="0070714C"/>
    <w:rsid w:val="0073374A"/>
    <w:rsid w:val="00741FC9"/>
    <w:rsid w:val="00745807"/>
    <w:rsid w:val="007546B7"/>
    <w:rsid w:val="00767C53"/>
    <w:rsid w:val="007779B2"/>
    <w:rsid w:val="0078116D"/>
    <w:rsid w:val="00783682"/>
    <w:rsid w:val="00783A3A"/>
    <w:rsid w:val="0078691F"/>
    <w:rsid w:val="007A6889"/>
    <w:rsid w:val="007B23CA"/>
    <w:rsid w:val="007B6F7C"/>
    <w:rsid w:val="007C2CC3"/>
    <w:rsid w:val="007C351D"/>
    <w:rsid w:val="007D543E"/>
    <w:rsid w:val="007E3059"/>
    <w:rsid w:val="007E346D"/>
    <w:rsid w:val="007E4ED5"/>
    <w:rsid w:val="007E7421"/>
    <w:rsid w:val="007F5A92"/>
    <w:rsid w:val="007F5F4E"/>
    <w:rsid w:val="007F7616"/>
    <w:rsid w:val="0080116E"/>
    <w:rsid w:val="008012A4"/>
    <w:rsid w:val="008060DE"/>
    <w:rsid w:val="00807BAA"/>
    <w:rsid w:val="00853897"/>
    <w:rsid w:val="00854C6B"/>
    <w:rsid w:val="008550EF"/>
    <w:rsid w:val="008776EB"/>
    <w:rsid w:val="0089637D"/>
    <w:rsid w:val="008A3BA4"/>
    <w:rsid w:val="008E1A23"/>
    <w:rsid w:val="008E72CA"/>
    <w:rsid w:val="00911130"/>
    <w:rsid w:val="00913BF3"/>
    <w:rsid w:val="00917950"/>
    <w:rsid w:val="00931D14"/>
    <w:rsid w:val="009331A5"/>
    <w:rsid w:val="00933A89"/>
    <w:rsid w:val="00944F57"/>
    <w:rsid w:val="009477D5"/>
    <w:rsid w:val="00962590"/>
    <w:rsid w:val="00977EF7"/>
    <w:rsid w:val="009A542A"/>
    <w:rsid w:val="009B480D"/>
    <w:rsid w:val="009C4D87"/>
    <w:rsid w:val="009D20DE"/>
    <w:rsid w:val="009D3412"/>
    <w:rsid w:val="009D4C34"/>
    <w:rsid w:val="009D50E2"/>
    <w:rsid w:val="009F0FEB"/>
    <w:rsid w:val="009F1C70"/>
    <w:rsid w:val="009F4D7F"/>
    <w:rsid w:val="00A04865"/>
    <w:rsid w:val="00A04F19"/>
    <w:rsid w:val="00A13D4B"/>
    <w:rsid w:val="00A25CA7"/>
    <w:rsid w:val="00A343FF"/>
    <w:rsid w:val="00A412C2"/>
    <w:rsid w:val="00A47FF7"/>
    <w:rsid w:val="00A558AC"/>
    <w:rsid w:val="00A72869"/>
    <w:rsid w:val="00A77EA6"/>
    <w:rsid w:val="00A84954"/>
    <w:rsid w:val="00A92CB9"/>
    <w:rsid w:val="00A942E0"/>
    <w:rsid w:val="00AC2BAD"/>
    <w:rsid w:val="00AC7559"/>
    <w:rsid w:val="00AE1B0F"/>
    <w:rsid w:val="00AE6BE2"/>
    <w:rsid w:val="00AF0CEC"/>
    <w:rsid w:val="00B056D9"/>
    <w:rsid w:val="00B2161A"/>
    <w:rsid w:val="00B34CC4"/>
    <w:rsid w:val="00B46E94"/>
    <w:rsid w:val="00B5680B"/>
    <w:rsid w:val="00B65A1B"/>
    <w:rsid w:val="00B75824"/>
    <w:rsid w:val="00B806AC"/>
    <w:rsid w:val="00B823EF"/>
    <w:rsid w:val="00B90B9D"/>
    <w:rsid w:val="00B91D8E"/>
    <w:rsid w:val="00B93993"/>
    <w:rsid w:val="00BA0A62"/>
    <w:rsid w:val="00BE2369"/>
    <w:rsid w:val="00BF33B2"/>
    <w:rsid w:val="00C04C07"/>
    <w:rsid w:val="00C059CD"/>
    <w:rsid w:val="00C1382E"/>
    <w:rsid w:val="00C40F2C"/>
    <w:rsid w:val="00C5546C"/>
    <w:rsid w:val="00C74AF5"/>
    <w:rsid w:val="00CA2777"/>
    <w:rsid w:val="00CA3AA8"/>
    <w:rsid w:val="00CB65EF"/>
    <w:rsid w:val="00CC4274"/>
    <w:rsid w:val="00CC722B"/>
    <w:rsid w:val="00CE4E6F"/>
    <w:rsid w:val="00D05BCC"/>
    <w:rsid w:val="00D13990"/>
    <w:rsid w:val="00D222B7"/>
    <w:rsid w:val="00D36A3D"/>
    <w:rsid w:val="00D5166A"/>
    <w:rsid w:val="00D60CAC"/>
    <w:rsid w:val="00D82E91"/>
    <w:rsid w:val="00DA4CEB"/>
    <w:rsid w:val="00DD4F27"/>
    <w:rsid w:val="00DD7443"/>
    <w:rsid w:val="00DD7E88"/>
    <w:rsid w:val="00DF0FE5"/>
    <w:rsid w:val="00E04605"/>
    <w:rsid w:val="00E06D52"/>
    <w:rsid w:val="00E2035C"/>
    <w:rsid w:val="00E24DFC"/>
    <w:rsid w:val="00E26E89"/>
    <w:rsid w:val="00E274AA"/>
    <w:rsid w:val="00E3040C"/>
    <w:rsid w:val="00E30888"/>
    <w:rsid w:val="00E43B1F"/>
    <w:rsid w:val="00E5030A"/>
    <w:rsid w:val="00E51AD2"/>
    <w:rsid w:val="00E52331"/>
    <w:rsid w:val="00E62255"/>
    <w:rsid w:val="00E77756"/>
    <w:rsid w:val="00E82EF8"/>
    <w:rsid w:val="00EB3ACF"/>
    <w:rsid w:val="00EC03C5"/>
    <w:rsid w:val="00EC64BF"/>
    <w:rsid w:val="00ED4C58"/>
    <w:rsid w:val="00ED518E"/>
    <w:rsid w:val="00EF1BD7"/>
    <w:rsid w:val="00F0294F"/>
    <w:rsid w:val="00F06E69"/>
    <w:rsid w:val="00F07B09"/>
    <w:rsid w:val="00F16469"/>
    <w:rsid w:val="00F267EC"/>
    <w:rsid w:val="00F306C1"/>
    <w:rsid w:val="00F47E8A"/>
    <w:rsid w:val="00F52F31"/>
    <w:rsid w:val="00F54F60"/>
    <w:rsid w:val="00F66FEE"/>
    <w:rsid w:val="00F72E41"/>
    <w:rsid w:val="00F80DF4"/>
    <w:rsid w:val="00FB48F2"/>
    <w:rsid w:val="00FC0266"/>
    <w:rsid w:val="00FC66C2"/>
    <w:rsid w:val="00FD09E6"/>
    <w:rsid w:val="00FD7ED8"/>
    <w:rsid w:val="00FF46A4"/>
    <w:rsid w:val="00FF5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
    <w:basedOn w:val="Normal"/>
    <w:link w:val="ListParagraphChar"/>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
    <w:link w:val="ListParagraph"/>
    <w:uiPriority w:val="34"/>
    <w:locked/>
    <w:rsid w:val="00627C9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s/cidh/decisiones/2018/COSA799-06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as.org/es/cidh/decisiones/2018/COSA799-06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4/capitulos/IA2024_2_ES.pdf" TargetMode="External"/><Relationship Id="rId2" Type="http://schemas.openxmlformats.org/officeDocument/2006/relationships/hyperlink" Target="http://www.oas.org/es/cidh/docs/anual/2019/docs/IA2019cap2-es.pdf" TargetMode="External"/><Relationship Id="rId1" Type="http://schemas.openxmlformats.org/officeDocument/2006/relationships/hyperlink" Target="https://www.oas.org/es/cidh/docs/anual/2024/capitulos/IA2024_2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A47D-FB32-4D3A-B203-EA98BA537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3.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4.xml><?xml version="1.0" encoding="utf-8"?>
<ds:datastoreItem xmlns:ds="http://schemas.openxmlformats.org/officeDocument/2006/customXml" ds:itemID="{BDEC3549-EB59-4262-ABDC-8B5728941DD6}">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3</Pages>
  <Words>1065</Words>
  <Characters>6071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7122</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5</cp:revision>
  <cp:lastPrinted>2025-08-26T18:24:00Z</cp:lastPrinted>
  <dcterms:created xsi:type="dcterms:W3CDTF">2025-07-25T17:53:00Z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