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B65B1E" w:rsidRDefault="002659F6" w:rsidP="00B65B1E">
      <w:pPr>
        <w:suppressAutoHyphens/>
        <w:spacing w:after="0" w:line="240" w:lineRule="auto"/>
        <w:ind w:right="-270"/>
        <w:jc w:val="center"/>
        <w:rPr>
          <w:rFonts w:ascii="Cambria" w:eastAsia="Batang" w:hAnsi="Cambria"/>
          <w:b/>
          <w:sz w:val="24"/>
          <w:szCs w:val="24"/>
          <w:lang w:val="es-CO"/>
        </w:rPr>
      </w:pPr>
    </w:p>
    <w:p w14:paraId="532EB7EA" w14:textId="4890DD28" w:rsidR="002659F6" w:rsidRPr="00B65B1E" w:rsidRDefault="002659F6" w:rsidP="00B65B1E">
      <w:pPr>
        <w:suppressAutoHyphens/>
        <w:spacing w:after="0" w:line="240" w:lineRule="auto"/>
        <w:ind w:right="-270"/>
        <w:jc w:val="center"/>
        <w:rPr>
          <w:rFonts w:ascii="Cambria" w:eastAsia="Batang" w:hAnsi="Cambria"/>
          <w:b/>
          <w:sz w:val="24"/>
          <w:szCs w:val="24"/>
          <w:lang w:val="es-CO"/>
        </w:rPr>
      </w:pPr>
      <w:r w:rsidRPr="00B65B1E">
        <w:rPr>
          <w:rFonts w:ascii="Cambria" w:eastAsia="Batang" w:hAnsi="Cambria"/>
          <w:b/>
          <w:sz w:val="24"/>
          <w:szCs w:val="24"/>
          <w:lang w:val="es-CO"/>
        </w:rPr>
        <w:t>FICHA TÉCNICA INFORMATIVA</w:t>
      </w:r>
    </w:p>
    <w:p w14:paraId="62ACF499" w14:textId="6A6EB31E" w:rsidR="00F3661B" w:rsidRPr="00B65B1E" w:rsidRDefault="00F3661B" w:rsidP="00B65B1E">
      <w:pPr>
        <w:suppressAutoHyphens/>
        <w:spacing w:after="0" w:line="240" w:lineRule="auto"/>
        <w:ind w:right="-270"/>
        <w:jc w:val="center"/>
        <w:rPr>
          <w:rFonts w:ascii="Cambria" w:eastAsia="Batang" w:hAnsi="Cambria"/>
          <w:b/>
          <w:sz w:val="24"/>
          <w:szCs w:val="24"/>
          <w:lang w:val="es-CO"/>
        </w:rPr>
      </w:pPr>
      <w:r w:rsidRPr="00B65B1E">
        <w:rPr>
          <w:rFonts w:ascii="Cambria" w:eastAsia="Batang" w:hAnsi="Cambria"/>
          <w:b/>
          <w:sz w:val="24"/>
          <w:szCs w:val="24"/>
          <w:lang w:val="es-CO"/>
        </w:rPr>
        <w:t xml:space="preserve">CASO </w:t>
      </w:r>
      <w:r w:rsidR="00B65B1E" w:rsidRPr="00B65B1E">
        <w:rPr>
          <w:rFonts w:ascii="Cambria" w:eastAsia="Batang" w:hAnsi="Cambria"/>
          <w:b/>
          <w:sz w:val="24"/>
          <w:szCs w:val="24"/>
          <w:lang w:val="es-CO"/>
        </w:rPr>
        <w:t>12.732 RICHARD CONRAD SOLÓRZANO CONTRERAS</w:t>
      </w:r>
    </w:p>
    <w:p w14:paraId="38A16E1F" w14:textId="1195F329" w:rsidR="008E72CA" w:rsidRPr="00CE08DC" w:rsidRDefault="008E72CA" w:rsidP="00B65B1E">
      <w:pPr>
        <w:suppressAutoHyphens/>
        <w:spacing w:after="0" w:line="240" w:lineRule="auto"/>
        <w:ind w:right="-270"/>
        <w:jc w:val="center"/>
        <w:rPr>
          <w:rFonts w:ascii="Cambria" w:eastAsia="Batang" w:hAnsi="Cambria"/>
          <w:b/>
          <w:sz w:val="24"/>
          <w:szCs w:val="24"/>
          <w:lang w:val="es-CO"/>
        </w:rPr>
      </w:pPr>
      <w:r w:rsidRPr="00B65B1E">
        <w:rPr>
          <w:rFonts w:ascii="Cambria" w:eastAsia="Batang" w:hAnsi="Cambria"/>
          <w:b/>
          <w:sz w:val="24"/>
          <w:szCs w:val="24"/>
          <w:lang w:val="es-CO"/>
        </w:rPr>
        <w:t xml:space="preserve">INFORME DE </w:t>
      </w:r>
      <w:r w:rsidRPr="00CE08DC">
        <w:rPr>
          <w:rFonts w:ascii="Cambria" w:eastAsia="Batang" w:hAnsi="Cambria"/>
          <w:b/>
          <w:sz w:val="24"/>
          <w:szCs w:val="24"/>
          <w:lang w:val="es-CO"/>
        </w:rPr>
        <w:t>SOLUCIÓN AMISTOSA</w:t>
      </w:r>
      <w:r w:rsidR="00B65B1E" w:rsidRPr="00CE08DC">
        <w:rPr>
          <w:rFonts w:ascii="Cambria" w:eastAsia="Batang" w:hAnsi="Cambria"/>
          <w:b/>
          <w:sz w:val="24"/>
          <w:szCs w:val="24"/>
          <w:lang w:val="es-CO"/>
        </w:rPr>
        <w:t xml:space="preserve"> </w:t>
      </w:r>
      <w:hyperlink r:id="rId12" w:history="1">
        <w:r w:rsidR="00B65B1E" w:rsidRPr="00CE08DC">
          <w:rPr>
            <w:rStyle w:val="Hyperlink"/>
            <w:rFonts w:ascii="Cambria" w:eastAsia="Batang" w:hAnsi="Cambria"/>
            <w:b/>
            <w:sz w:val="24"/>
            <w:szCs w:val="24"/>
            <w:lang w:val="es-CO"/>
          </w:rPr>
          <w:t>No. 86/20</w:t>
        </w:r>
      </w:hyperlink>
    </w:p>
    <w:p w14:paraId="1FDB7C2D" w14:textId="1CB14E92" w:rsidR="00F3661B" w:rsidRPr="00CE08DC" w:rsidRDefault="002659F6" w:rsidP="00B65B1E">
      <w:pPr>
        <w:suppressAutoHyphens/>
        <w:spacing w:after="0" w:line="240" w:lineRule="auto"/>
        <w:ind w:right="-270"/>
        <w:jc w:val="center"/>
        <w:rPr>
          <w:rFonts w:ascii="Cambria" w:eastAsia="Batang" w:hAnsi="Cambria"/>
          <w:b/>
          <w:sz w:val="24"/>
          <w:szCs w:val="24"/>
          <w:lang w:val="es-CO"/>
        </w:rPr>
      </w:pPr>
      <w:r w:rsidRPr="00CE08DC">
        <w:rPr>
          <w:rFonts w:ascii="Cambria" w:eastAsia="Batang" w:hAnsi="Cambria"/>
          <w:b/>
          <w:sz w:val="24"/>
          <w:szCs w:val="24"/>
          <w:lang w:val="es-CO"/>
        </w:rPr>
        <w:t xml:space="preserve">CUMPLIMIENTO </w:t>
      </w:r>
      <w:r w:rsidR="00B65B1E" w:rsidRPr="00CE08DC">
        <w:rPr>
          <w:rFonts w:ascii="Cambria" w:eastAsia="Batang" w:hAnsi="Cambria"/>
          <w:b/>
          <w:sz w:val="24"/>
          <w:szCs w:val="24"/>
          <w:lang w:val="es-CO"/>
        </w:rPr>
        <w:t>PARCIAL</w:t>
      </w:r>
    </w:p>
    <w:p w14:paraId="7295383B" w14:textId="73A11AB7" w:rsidR="00035689" w:rsidRPr="00B65B1E" w:rsidRDefault="008E72CA" w:rsidP="00B65B1E">
      <w:pPr>
        <w:suppressAutoHyphens/>
        <w:spacing w:after="0" w:line="240" w:lineRule="auto"/>
        <w:ind w:right="-270"/>
        <w:jc w:val="center"/>
        <w:rPr>
          <w:rFonts w:ascii="Cambria" w:eastAsia="Batang" w:hAnsi="Cambria"/>
          <w:b/>
          <w:sz w:val="24"/>
          <w:szCs w:val="24"/>
          <w:lang w:val="es-CO"/>
        </w:rPr>
      </w:pPr>
      <w:r w:rsidRPr="00CE08DC">
        <w:rPr>
          <w:rFonts w:ascii="Cambria" w:eastAsia="Batang" w:hAnsi="Cambria"/>
          <w:b/>
          <w:sz w:val="24"/>
          <w:szCs w:val="24"/>
          <w:lang w:val="es-CO"/>
        </w:rPr>
        <w:t>(</w:t>
      </w:r>
      <w:r w:rsidR="00B65B1E" w:rsidRPr="00CE08DC">
        <w:rPr>
          <w:rFonts w:ascii="Cambria" w:eastAsia="Batang" w:hAnsi="Cambria"/>
          <w:b/>
          <w:sz w:val="24"/>
          <w:szCs w:val="24"/>
          <w:lang w:val="es-CO"/>
        </w:rPr>
        <w:t>GUATEMALA</w:t>
      </w:r>
      <w:r w:rsidRPr="00CE08DC">
        <w:rPr>
          <w:rFonts w:ascii="Cambria" w:eastAsia="Batang" w:hAnsi="Cambria"/>
          <w:b/>
          <w:sz w:val="24"/>
          <w:szCs w:val="24"/>
          <w:lang w:val="es-CO"/>
        </w:rPr>
        <w:t>)</w:t>
      </w:r>
    </w:p>
    <w:p w14:paraId="654C9EBF" w14:textId="77777777" w:rsidR="00B65B1E" w:rsidRPr="00B65B1E" w:rsidRDefault="00B65B1E" w:rsidP="00B65B1E">
      <w:pPr>
        <w:suppressAutoHyphens/>
        <w:spacing w:after="0" w:line="240" w:lineRule="auto"/>
        <w:ind w:right="-270"/>
        <w:jc w:val="center"/>
        <w:rPr>
          <w:rFonts w:ascii="Cambria" w:eastAsia="Batang" w:hAnsi="Cambria" w:cs="Arial"/>
          <w:b/>
          <w:color w:val="000000"/>
          <w:sz w:val="20"/>
          <w:szCs w:val="20"/>
          <w:lang w:val="es-CO"/>
        </w:rPr>
      </w:pPr>
    </w:p>
    <w:p w14:paraId="4772F9E6" w14:textId="77777777" w:rsidR="00B65B1E" w:rsidRPr="00B65B1E" w:rsidRDefault="00B65B1E" w:rsidP="007E7EEA">
      <w:pPr>
        <w:numPr>
          <w:ilvl w:val="0"/>
          <w:numId w:val="3"/>
        </w:numPr>
        <w:suppressAutoHyphens/>
        <w:spacing w:after="0" w:line="240" w:lineRule="auto"/>
        <w:ind w:firstLine="0"/>
        <w:rPr>
          <w:rFonts w:ascii="Cambria" w:eastAsia="Batang" w:hAnsi="Cambria" w:cs="Calibri Light"/>
          <w:b/>
          <w:color w:val="000000"/>
          <w:sz w:val="20"/>
          <w:szCs w:val="20"/>
          <w:lang w:val="es-CO"/>
        </w:rPr>
      </w:pPr>
      <w:r w:rsidRPr="00B65B1E">
        <w:rPr>
          <w:rFonts w:ascii="Cambria" w:eastAsia="Batang" w:hAnsi="Cambria" w:cs="Calibri Light"/>
          <w:b/>
          <w:color w:val="000000"/>
          <w:sz w:val="20"/>
          <w:szCs w:val="20"/>
          <w:lang w:val="es-CO"/>
        </w:rPr>
        <w:t xml:space="preserve">RESUMEN DEL CASO </w:t>
      </w:r>
    </w:p>
    <w:p w14:paraId="20E9D7B4" w14:textId="77777777" w:rsidR="00B65B1E" w:rsidRPr="00B65B1E" w:rsidRDefault="00B65B1E" w:rsidP="00B65B1E">
      <w:pPr>
        <w:suppressAutoHyphens/>
        <w:spacing w:after="0" w:line="240" w:lineRule="auto"/>
        <w:rPr>
          <w:rFonts w:ascii="Cambria" w:eastAsia="Batang" w:hAnsi="Cambria" w:cs="Calibri Light"/>
          <w:b/>
          <w:color w:val="000000"/>
          <w:sz w:val="20"/>
          <w:szCs w:val="2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B65B1E" w:rsidRPr="007E7EEA" w14:paraId="2408C49A" w14:textId="77777777" w:rsidTr="00B508B7">
        <w:trPr>
          <w:trHeight w:val="5003"/>
          <w:jc w:val="center"/>
        </w:trPr>
        <w:tc>
          <w:tcPr>
            <w:tcW w:w="9576" w:type="dxa"/>
            <w:shd w:val="clear" w:color="auto" w:fill="F2F2F2"/>
          </w:tcPr>
          <w:p w14:paraId="4604E47D" w14:textId="77777777" w:rsidR="00B65B1E" w:rsidRPr="00B65B1E" w:rsidRDefault="00B65B1E" w:rsidP="00B65B1E">
            <w:pPr>
              <w:tabs>
                <w:tab w:val="left" w:pos="9270"/>
              </w:tabs>
              <w:suppressAutoHyphens/>
              <w:spacing w:after="0" w:line="240" w:lineRule="auto"/>
              <w:jc w:val="both"/>
              <w:rPr>
                <w:rFonts w:ascii="Cambria" w:eastAsia="Batang" w:hAnsi="Cambria" w:cs="Arial"/>
                <w:color w:val="000000"/>
                <w:sz w:val="20"/>
                <w:szCs w:val="20"/>
                <w:lang w:val="es-CO"/>
              </w:rPr>
            </w:pPr>
            <w:r w:rsidRPr="00B65B1E">
              <w:rPr>
                <w:rFonts w:ascii="Cambria" w:eastAsia="Batang" w:hAnsi="Cambria" w:cs="Arial"/>
                <w:b/>
                <w:color w:val="000000"/>
                <w:sz w:val="20"/>
                <w:szCs w:val="20"/>
                <w:lang w:val="es-CO"/>
              </w:rPr>
              <w:t>Víctima (s):</w:t>
            </w:r>
            <w:r w:rsidRPr="00B65B1E">
              <w:rPr>
                <w:rFonts w:ascii="Cambria" w:eastAsia="Batang" w:hAnsi="Cambria" w:cs="Arial"/>
                <w:color w:val="000000"/>
                <w:sz w:val="20"/>
                <w:szCs w:val="20"/>
                <w:lang w:val="es-CO"/>
              </w:rPr>
              <w:t xml:space="preserve"> Richard Conrad Solórzano Contreras</w:t>
            </w:r>
          </w:p>
          <w:p w14:paraId="44BE6FEB" w14:textId="77777777" w:rsidR="00B65B1E" w:rsidRPr="00B65B1E" w:rsidRDefault="00B65B1E" w:rsidP="00B65B1E">
            <w:pPr>
              <w:tabs>
                <w:tab w:val="left" w:pos="9270"/>
              </w:tabs>
              <w:suppressAutoHyphens/>
              <w:spacing w:after="0" w:line="240" w:lineRule="auto"/>
              <w:jc w:val="both"/>
              <w:rPr>
                <w:rFonts w:ascii="Cambria" w:eastAsia="Batang" w:hAnsi="Cambria" w:cs="Arial"/>
                <w:bCs/>
                <w:color w:val="000000"/>
                <w:sz w:val="20"/>
                <w:szCs w:val="20"/>
                <w:lang w:val="es-CO"/>
              </w:rPr>
            </w:pPr>
            <w:r w:rsidRPr="00B65B1E">
              <w:rPr>
                <w:rFonts w:ascii="Cambria" w:eastAsia="Batang" w:hAnsi="Cambria" w:cs="Arial"/>
                <w:b/>
                <w:color w:val="000000"/>
                <w:sz w:val="20"/>
                <w:szCs w:val="20"/>
                <w:lang w:val="es-CO"/>
              </w:rPr>
              <w:t xml:space="preserve">Peticionario (s): </w:t>
            </w:r>
            <w:r w:rsidRPr="00B65B1E">
              <w:rPr>
                <w:rFonts w:ascii="Cambria" w:eastAsia="Batang" w:hAnsi="Cambria" w:cs="Arial"/>
                <w:bCs/>
                <w:color w:val="000000"/>
                <w:sz w:val="20"/>
                <w:szCs w:val="20"/>
                <w:lang w:val="es-CO"/>
              </w:rPr>
              <w:t>Mario Conrado Solórzano Puac</w:t>
            </w:r>
          </w:p>
          <w:p w14:paraId="58D86269" w14:textId="77777777" w:rsidR="00B65B1E" w:rsidRPr="00B65B1E" w:rsidRDefault="00B65B1E" w:rsidP="00B65B1E">
            <w:pPr>
              <w:tabs>
                <w:tab w:val="left" w:pos="9270"/>
              </w:tabs>
              <w:suppressAutoHyphens/>
              <w:spacing w:after="0" w:line="240" w:lineRule="auto"/>
              <w:jc w:val="both"/>
              <w:rPr>
                <w:rFonts w:ascii="Cambria" w:eastAsia="Batang" w:hAnsi="Cambria" w:cs="Arial"/>
                <w:color w:val="000000"/>
                <w:sz w:val="20"/>
                <w:szCs w:val="20"/>
                <w:lang w:val="es-CO"/>
              </w:rPr>
            </w:pPr>
            <w:r w:rsidRPr="00B65B1E">
              <w:rPr>
                <w:rFonts w:ascii="Cambria" w:eastAsia="Batang" w:hAnsi="Cambria" w:cs="Arial"/>
                <w:b/>
                <w:color w:val="000000"/>
                <w:sz w:val="20"/>
                <w:szCs w:val="20"/>
                <w:lang w:val="es-CO"/>
              </w:rPr>
              <w:t>Estado:</w:t>
            </w:r>
            <w:r w:rsidRPr="00B65B1E">
              <w:rPr>
                <w:rFonts w:ascii="Cambria" w:eastAsia="Batang" w:hAnsi="Cambria" w:cs="Arial"/>
                <w:color w:val="000000"/>
                <w:sz w:val="20"/>
                <w:szCs w:val="20"/>
                <w:lang w:val="es-CO"/>
              </w:rPr>
              <w:t xml:space="preserve"> Guatemala</w:t>
            </w:r>
          </w:p>
          <w:p w14:paraId="00444066" w14:textId="58F4DCA7" w:rsidR="00B65B1E" w:rsidRPr="00B65B1E" w:rsidRDefault="00B65B1E" w:rsidP="00B65B1E">
            <w:pPr>
              <w:tabs>
                <w:tab w:val="left" w:pos="9270"/>
              </w:tabs>
              <w:suppressAutoHyphens/>
              <w:spacing w:after="0" w:line="240" w:lineRule="auto"/>
              <w:jc w:val="both"/>
              <w:rPr>
                <w:rFonts w:ascii="Cambria" w:eastAsia="Batang" w:hAnsi="Cambria" w:cs="Arial"/>
                <w:color w:val="000000"/>
                <w:sz w:val="20"/>
                <w:szCs w:val="20"/>
                <w:lang w:val="es-CO"/>
              </w:rPr>
            </w:pPr>
            <w:r w:rsidRPr="00B65B1E">
              <w:rPr>
                <w:rFonts w:ascii="Cambria" w:hAnsi="Cambria" w:cs="Arial"/>
                <w:b/>
                <w:bCs/>
                <w:color w:val="000000"/>
                <w:sz w:val="20"/>
                <w:szCs w:val="20"/>
                <w:lang w:val="es-CO"/>
              </w:rPr>
              <w:t xml:space="preserve">Fecha de inicio de las negociaciones: </w:t>
            </w:r>
            <w:r w:rsidRPr="00B65B1E">
              <w:rPr>
                <w:rFonts w:ascii="Cambria" w:hAnsi="Cambria" w:cs="Arial"/>
                <w:color w:val="000000"/>
                <w:sz w:val="20"/>
                <w:szCs w:val="20"/>
                <w:lang w:val="es-CO"/>
              </w:rPr>
              <w:t>N/</w:t>
            </w:r>
            <w:r>
              <w:rPr>
                <w:rFonts w:ascii="Cambria" w:hAnsi="Cambria" w:cs="Arial"/>
                <w:color w:val="000000"/>
                <w:sz w:val="20"/>
                <w:szCs w:val="20"/>
                <w:lang w:val="es-CO"/>
              </w:rPr>
              <w:t>A</w:t>
            </w:r>
          </w:p>
          <w:p w14:paraId="55672BE5" w14:textId="77777777" w:rsidR="00B65B1E" w:rsidRPr="00B65B1E" w:rsidRDefault="00B65B1E" w:rsidP="00B65B1E">
            <w:pPr>
              <w:tabs>
                <w:tab w:val="left" w:pos="9270"/>
              </w:tabs>
              <w:suppressAutoHyphens/>
              <w:spacing w:after="0" w:line="240" w:lineRule="auto"/>
              <w:jc w:val="both"/>
              <w:rPr>
                <w:rFonts w:ascii="Cambria" w:hAnsi="Cambria" w:cs="Arial"/>
                <w:color w:val="000000"/>
                <w:sz w:val="20"/>
                <w:szCs w:val="20"/>
                <w:lang w:val="es-CO"/>
              </w:rPr>
            </w:pPr>
            <w:r w:rsidRPr="00B65B1E">
              <w:rPr>
                <w:rFonts w:ascii="Cambria" w:hAnsi="Cambria" w:cs="Arial"/>
                <w:b/>
                <w:bCs/>
                <w:color w:val="000000"/>
                <w:sz w:val="20"/>
                <w:szCs w:val="20"/>
                <w:lang w:val="es-CO"/>
              </w:rPr>
              <w:t xml:space="preserve">Fecha de Firma de ASA: </w:t>
            </w:r>
            <w:r w:rsidRPr="00B65B1E">
              <w:rPr>
                <w:rFonts w:ascii="Cambria" w:hAnsi="Cambria" w:cs="Arial"/>
                <w:color w:val="000000"/>
                <w:sz w:val="20"/>
                <w:szCs w:val="20"/>
                <w:lang w:val="es-CO"/>
              </w:rPr>
              <w:t>17 de diciembre de 2011</w:t>
            </w:r>
          </w:p>
          <w:p w14:paraId="720BDBCA" w14:textId="00F42E0F" w:rsidR="00B65B1E" w:rsidRPr="00B65B1E" w:rsidRDefault="00B65B1E" w:rsidP="00B65B1E">
            <w:pPr>
              <w:tabs>
                <w:tab w:val="left" w:pos="9270"/>
              </w:tabs>
              <w:suppressAutoHyphens/>
              <w:spacing w:after="0" w:line="240" w:lineRule="auto"/>
              <w:jc w:val="both"/>
              <w:rPr>
                <w:rFonts w:ascii="Cambria" w:hAnsi="Cambria" w:cs="Arial"/>
                <w:color w:val="000000"/>
                <w:sz w:val="20"/>
                <w:szCs w:val="20"/>
                <w:lang w:val="es-CO"/>
              </w:rPr>
            </w:pPr>
            <w:r w:rsidRPr="00B65B1E">
              <w:rPr>
                <w:rFonts w:ascii="Cambria" w:hAnsi="Cambria" w:cs="Arial"/>
                <w:b/>
                <w:bCs/>
                <w:color w:val="000000"/>
                <w:sz w:val="20"/>
                <w:szCs w:val="20"/>
                <w:lang w:val="es-CO"/>
              </w:rPr>
              <w:t xml:space="preserve">Informe de Admisibilidad </w:t>
            </w:r>
            <w:r w:rsidRPr="00B65B1E">
              <w:rPr>
                <w:rFonts w:ascii="Cambria" w:eastAsia="Batang" w:hAnsi="Cambria" w:cs="Arial"/>
                <w:b/>
                <w:bCs/>
                <w:color w:val="000000"/>
                <w:sz w:val="20"/>
                <w:szCs w:val="20"/>
                <w:lang w:val="es-CO"/>
              </w:rPr>
              <w:t>No</w:t>
            </w:r>
            <w:r w:rsidRPr="00B65B1E">
              <w:rPr>
                <w:rFonts w:ascii="Cambria" w:hAnsi="Cambria" w:cs="Arial"/>
                <w:b/>
                <w:bCs/>
                <w:color w:val="000000"/>
                <w:sz w:val="20"/>
                <w:szCs w:val="20"/>
                <w:lang w:val="es-CO"/>
              </w:rPr>
              <w:t>:</w:t>
            </w:r>
            <w:r w:rsidRPr="00B65B1E">
              <w:rPr>
                <w:rFonts w:ascii="Cambria" w:hAnsi="Cambria" w:cs="Arial"/>
                <w:color w:val="000000"/>
                <w:sz w:val="20"/>
                <w:szCs w:val="20"/>
                <w:lang w:val="es-CO"/>
              </w:rPr>
              <w:t xml:space="preserve"> </w:t>
            </w:r>
            <w:hyperlink r:id="rId13" w:history="1">
              <w:r w:rsidRPr="007E7EEA">
                <w:rPr>
                  <w:rStyle w:val="Hyperlink"/>
                  <w:rFonts w:ascii="Cambria" w:hAnsi="Cambria" w:cs="Arial"/>
                  <w:b/>
                  <w:bCs/>
                  <w:sz w:val="20"/>
                  <w:szCs w:val="20"/>
                  <w:lang w:val="es-CO"/>
                </w:rPr>
                <w:t>103/09</w:t>
              </w:r>
            </w:hyperlink>
            <w:r w:rsidRPr="00B65B1E">
              <w:rPr>
                <w:rFonts w:ascii="Cambria" w:hAnsi="Cambria" w:cs="Arial"/>
                <w:color w:val="000000"/>
                <w:sz w:val="20"/>
                <w:szCs w:val="20"/>
                <w:lang w:val="es-CO"/>
              </w:rPr>
              <w:t>, publicado el 29 de octubre de 2009</w:t>
            </w:r>
          </w:p>
          <w:p w14:paraId="4BFBB650" w14:textId="5A8A407E" w:rsidR="00B65B1E" w:rsidRPr="00B65B1E" w:rsidRDefault="00B65B1E" w:rsidP="00B65B1E">
            <w:pPr>
              <w:tabs>
                <w:tab w:val="left" w:pos="9270"/>
              </w:tabs>
              <w:suppressAutoHyphens/>
              <w:spacing w:after="0" w:line="240" w:lineRule="auto"/>
              <w:jc w:val="both"/>
              <w:rPr>
                <w:rFonts w:ascii="Cambria" w:eastAsia="Batang" w:hAnsi="Cambria" w:cs="Arial"/>
                <w:b/>
                <w:color w:val="000000"/>
                <w:sz w:val="20"/>
                <w:szCs w:val="20"/>
                <w:lang w:val="es-CO"/>
              </w:rPr>
            </w:pPr>
            <w:r w:rsidRPr="00B65B1E">
              <w:rPr>
                <w:rFonts w:ascii="Cambria" w:eastAsia="Batang" w:hAnsi="Cambria" w:cs="Arial"/>
                <w:b/>
                <w:color w:val="000000"/>
                <w:sz w:val="20"/>
                <w:szCs w:val="20"/>
                <w:lang w:val="es-CO"/>
              </w:rPr>
              <w:t xml:space="preserve">Informe de Acuerdo de Solución </w:t>
            </w:r>
            <w:r w:rsidRPr="00060C0A">
              <w:rPr>
                <w:rFonts w:ascii="Cambria" w:eastAsia="Batang" w:hAnsi="Cambria" w:cs="Arial"/>
                <w:b/>
                <w:color w:val="000000"/>
                <w:sz w:val="20"/>
                <w:szCs w:val="20"/>
                <w:lang w:val="es-CO"/>
              </w:rPr>
              <w:t>Amistosa No</w:t>
            </w:r>
            <w:r w:rsidRPr="00B65B1E">
              <w:rPr>
                <w:rFonts w:ascii="Cambria" w:eastAsia="Batang" w:hAnsi="Cambria" w:cs="Arial"/>
                <w:bCs/>
                <w:color w:val="000000"/>
                <w:sz w:val="20"/>
                <w:szCs w:val="20"/>
                <w:lang w:val="es-CO"/>
              </w:rPr>
              <w:t xml:space="preserve">: </w:t>
            </w:r>
            <w:hyperlink r:id="rId14" w:history="1">
              <w:r w:rsidRPr="00B65B1E">
                <w:rPr>
                  <w:rFonts w:ascii="Cambria" w:eastAsia="Batang" w:hAnsi="Cambria" w:cs="Arial"/>
                  <w:b/>
                  <w:bCs/>
                  <w:color w:val="0000FF"/>
                  <w:sz w:val="20"/>
                  <w:szCs w:val="20"/>
                  <w:u w:val="single"/>
                  <w:lang w:val="es-CO"/>
                </w:rPr>
                <w:t>86/20</w:t>
              </w:r>
            </w:hyperlink>
            <w:r w:rsidRPr="00B65B1E">
              <w:rPr>
                <w:rFonts w:ascii="Cambria" w:eastAsia="Batang" w:hAnsi="Cambria" w:cs="Arial"/>
                <w:b/>
                <w:bCs/>
                <w:color w:val="000000"/>
                <w:sz w:val="20"/>
                <w:szCs w:val="20"/>
                <w:lang w:val="es-CO"/>
              </w:rPr>
              <w:t>,</w:t>
            </w:r>
            <w:r w:rsidRPr="00B65B1E">
              <w:rPr>
                <w:rFonts w:ascii="Cambria" w:eastAsia="Batang" w:hAnsi="Cambria" w:cs="Arial"/>
                <w:bCs/>
                <w:color w:val="000000"/>
                <w:sz w:val="20"/>
                <w:szCs w:val="20"/>
                <w:lang w:val="es-CO"/>
              </w:rPr>
              <w:t xml:space="preserve"> publicado el 1 de junio de 2020</w:t>
            </w:r>
          </w:p>
          <w:p w14:paraId="128E047D" w14:textId="77777777" w:rsidR="00B65B1E" w:rsidRPr="00B65B1E" w:rsidRDefault="00B65B1E" w:rsidP="00B65B1E">
            <w:pPr>
              <w:tabs>
                <w:tab w:val="left" w:pos="9270"/>
              </w:tabs>
              <w:suppressAutoHyphens/>
              <w:spacing w:after="0" w:line="240" w:lineRule="auto"/>
              <w:jc w:val="both"/>
              <w:rPr>
                <w:rFonts w:ascii="Cambria" w:hAnsi="Cambria" w:cs="Arial"/>
                <w:color w:val="000000"/>
                <w:sz w:val="20"/>
                <w:szCs w:val="20"/>
                <w:lang w:val="es-CO"/>
              </w:rPr>
            </w:pPr>
            <w:r w:rsidRPr="00B65B1E">
              <w:rPr>
                <w:rFonts w:ascii="Cambria" w:hAnsi="Cambria" w:cs="Arial"/>
                <w:b/>
                <w:bCs/>
                <w:color w:val="000000"/>
                <w:sz w:val="20"/>
                <w:szCs w:val="20"/>
                <w:lang w:val="es-CO"/>
              </w:rPr>
              <w:t xml:space="preserve">Duración estimada de la fase de negociación: </w:t>
            </w:r>
            <w:r w:rsidRPr="00B65B1E">
              <w:rPr>
                <w:rFonts w:ascii="Cambria" w:hAnsi="Cambria" w:cs="Arial"/>
                <w:color w:val="000000"/>
                <w:sz w:val="20"/>
                <w:szCs w:val="20"/>
                <w:lang w:val="es-CO"/>
              </w:rPr>
              <w:t>8 años y 6 meses</w:t>
            </w:r>
          </w:p>
          <w:p w14:paraId="6D4EF8B0" w14:textId="77777777" w:rsidR="00B65B1E" w:rsidRPr="00B65B1E" w:rsidRDefault="00B65B1E" w:rsidP="00B65B1E">
            <w:pPr>
              <w:tabs>
                <w:tab w:val="left" w:pos="9270"/>
              </w:tabs>
              <w:suppressAutoHyphens/>
              <w:spacing w:after="0" w:line="240" w:lineRule="auto"/>
              <w:jc w:val="both"/>
              <w:rPr>
                <w:rFonts w:ascii="Cambria" w:eastAsia="Batang" w:hAnsi="Cambria" w:cs="Arial"/>
                <w:color w:val="000000"/>
                <w:sz w:val="20"/>
                <w:szCs w:val="20"/>
                <w:lang w:val="es-CO"/>
              </w:rPr>
            </w:pPr>
            <w:r w:rsidRPr="00B65B1E">
              <w:rPr>
                <w:rFonts w:ascii="Cambria" w:eastAsia="Batang" w:hAnsi="Cambria" w:cs="Arial"/>
                <w:b/>
                <w:color w:val="000000"/>
                <w:sz w:val="20"/>
                <w:szCs w:val="20"/>
                <w:lang w:val="es-CO"/>
              </w:rPr>
              <w:t>Relatoría vinculada:</w:t>
            </w:r>
            <w:r w:rsidRPr="00B65B1E">
              <w:rPr>
                <w:rFonts w:ascii="Cambria" w:eastAsia="Batang" w:hAnsi="Cambria" w:cs="Arial"/>
                <w:color w:val="000000"/>
                <w:sz w:val="20"/>
                <w:szCs w:val="20"/>
                <w:lang w:val="es-CO"/>
              </w:rPr>
              <w:t xml:space="preserve"> Relatoría sobre los Derechos de la Niñez</w:t>
            </w:r>
          </w:p>
          <w:p w14:paraId="09A76A82" w14:textId="77777777" w:rsidR="00B65B1E" w:rsidRPr="00B65B1E" w:rsidRDefault="00B65B1E" w:rsidP="00B65B1E">
            <w:pPr>
              <w:tabs>
                <w:tab w:val="left" w:pos="9270"/>
              </w:tabs>
              <w:suppressAutoHyphens/>
              <w:spacing w:after="0" w:line="240" w:lineRule="auto"/>
              <w:jc w:val="both"/>
              <w:rPr>
                <w:rFonts w:ascii="Cambria" w:eastAsia="Batang" w:hAnsi="Cambria" w:cs="Arial"/>
                <w:color w:val="000000"/>
                <w:sz w:val="20"/>
                <w:szCs w:val="20"/>
                <w:lang w:val="es-CO"/>
              </w:rPr>
            </w:pPr>
            <w:r w:rsidRPr="00B65B1E">
              <w:rPr>
                <w:rFonts w:ascii="Cambria" w:eastAsia="Batang" w:hAnsi="Cambria" w:cs="Arial"/>
                <w:b/>
                <w:color w:val="000000"/>
                <w:sz w:val="20"/>
                <w:szCs w:val="20"/>
                <w:lang w:val="es-CO"/>
              </w:rPr>
              <w:t xml:space="preserve">Temas: </w:t>
            </w:r>
            <w:r w:rsidRPr="00B65B1E">
              <w:rPr>
                <w:rFonts w:ascii="Cambria" w:eastAsia="Batang" w:hAnsi="Cambria" w:cs="Arial"/>
                <w:color w:val="000000"/>
                <w:sz w:val="20"/>
                <w:szCs w:val="20"/>
                <w:lang w:val="es-CO"/>
              </w:rPr>
              <w:t>Derecho a la Vida/ Derechos de Niños, Niñas y Adolescentes/ Garantías Judiciales/ Investigación y Debida Diligencia/ Protección Judicial</w:t>
            </w:r>
          </w:p>
          <w:p w14:paraId="76ADA65C" w14:textId="77777777" w:rsidR="00B65B1E" w:rsidRPr="00B65B1E" w:rsidRDefault="00B65B1E" w:rsidP="00B65B1E">
            <w:pPr>
              <w:tabs>
                <w:tab w:val="left" w:pos="9270"/>
              </w:tabs>
              <w:suppressAutoHyphens/>
              <w:spacing w:after="0" w:line="240" w:lineRule="auto"/>
              <w:jc w:val="both"/>
              <w:rPr>
                <w:rFonts w:ascii="Cambria" w:eastAsia="Batang" w:hAnsi="Cambria" w:cs="Arial"/>
                <w:color w:val="000000"/>
                <w:sz w:val="20"/>
                <w:szCs w:val="20"/>
                <w:lang w:val="es-CO"/>
              </w:rPr>
            </w:pPr>
          </w:p>
          <w:p w14:paraId="7ED40CE8" w14:textId="04D8FBD7" w:rsidR="00B65B1E" w:rsidRPr="00B65B1E" w:rsidRDefault="00B65B1E" w:rsidP="00B65B1E">
            <w:pPr>
              <w:autoSpaceDE w:val="0"/>
              <w:autoSpaceDN w:val="0"/>
              <w:adjustRightInd w:val="0"/>
              <w:spacing w:after="0" w:line="240" w:lineRule="auto"/>
              <w:jc w:val="both"/>
              <w:rPr>
                <w:rFonts w:ascii="Cambria" w:eastAsia="Times New Roman" w:hAnsi="Cambria" w:cs="Univers"/>
                <w:bCs/>
                <w:color w:val="000000"/>
                <w:sz w:val="20"/>
                <w:szCs w:val="20"/>
                <w:lang w:val="es-CO" w:eastAsia="es-MX"/>
              </w:rPr>
            </w:pPr>
            <w:r w:rsidRPr="00B65B1E">
              <w:rPr>
                <w:rFonts w:ascii="Cambria" w:eastAsia="Batang" w:hAnsi="Cambria" w:cs="Univers"/>
                <w:b/>
                <w:color w:val="000000"/>
                <w:sz w:val="20"/>
                <w:szCs w:val="20"/>
                <w:lang w:val="es-CO"/>
              </w:rPr>
              <w:t>Hechos:</w:t>
            </w:r>
            <w:r w:rsidRPr="00B65B1E">
              <w:rPr>
                <w:rFonts w:ascii="Cambria" w:eastAsia="Batang" w:hAnsi="Cambria" w:cs="Univers"/>
                <w:bCs/>
                <w:color w:val="000000"/>
                <w:sz w:val="20"/>
                <w:szCs w:val="20"/>
                <w:lang w:val="es-CO"/>
              </w:rPr>
              <w:t xml:space="preserve"> La parte peticionaria alega la falta de debida diligencia en la investigación, presunta negligencia y actos de encubrimiento ejercidos por agentes estatales en el proceso penal abierto por el homicidio de su hijo Richard Conrad Solórzano Contreras de 16 años, hecho que tuvo lugar el 10 de marzo de 2003. Denunció también que ciertas autoridades participaron en acciones destinadas a encubrir la responsabilidad y paradero del presunto responsable. Que el personal médico del hospital público que atendió a su hijo herido donde murió poco después, no le brindó la asistencia médica que le correspondía. En cuanto a los requisitos de admisibilidad, alegó que se habrían agotado los recursos de la jurisdicción interna.</w:t>
            </w:r>
          </w:p>
          <w:p w14:paraId="2800194B" w14:textId="77777777" w:rsidR="00B65B1E" w:rsidRPr="00B65B1E" w:rsidRDefault="00B65B1E" w:rsidP="00B65B1E">
            <w:pPr>
              <w:tabs>
                <w:tab w:val="left" w:pos="9270"/>
              </w:tabs>
              <w:suppressAutoHyphens/>
              <w:spacing w:after="0" w:line="240" w:lineRule="auto"/>
              <w:jc w:val="both"/>
              <w:rPr>
                <w:rFonts w:ascii="Cambria" w:eastAsia="Batang" w:hAnsi="Cambria" w:cs="Arial"/>
                <w:color w:val="000000"/>
                <w:sz w:val="20"/>
                <w:szCs w:val="20"/>
                <w:lang w:val="es-CO"/>
              </w:rPr>
            </w:pPr>
          </w:p>
          <w:p w14:paraId="26D71336" w14:textId="77777777" w:rsidR="00B65B1E" w:rsidRPr="00B65B1E" w:rsidRDefault="00B65B1E" w:rsidP="00B65B1E">
            <w:pPr>
              <w:tabs>
                <w:tab w:val="left" w:pos="9270"/>
              </w:tabs>
              <w:suppressAutoHyphens/>
              <w:spacing w:after="0" w:line="240" w:lineRule="auto"/>
              <w:jc w:val="both"/>
              <w:rPr>
                <w:rFonts w:ascii="Cambria" w:eastAsia="Batang" w:hAnsi="Cambria" w:cs="Arial"/>
                <w:bCs/>
                <w:color w:val="000000"/>
                <w:sz w:val="20"/>
                <w:szCs w:val="20"/>
                <w:lang w:val="es-CO"/>
              </w:rPr>
            </w:pPr>
            <w:r w:rsidRPr="00B65B1E">
              <w:rPr>
                <w:rFonts w:ascii="Cambria" w:eastAsia="Batang" w:hAnsi="Cambria" w:cs="Arial"/>
                <w:b/>
                <w:color w:val="000000"/>
                <w:sz w:val="20"/>
                <w:szCs w:val="20"/>
                <w:lang w:val="es-CO"/>
              </w:rPr>
              <w:t xml:space="preserve">Derechos declarados admisibles: </w:t>
            </w:r>
            <w:r w:rsidRPr="00B65B1E">
              <w:rPr>
                <w:rFonts w:ascii="Cambria" w:eastAsia="Batang" w:hAnsi="Cambria" w:cs="Arial"/>
                <w:bCs/>
                <w:color w:val="000000"/>
                <w:sz w:val="20"/>
                <w:szCs w:val="20"/>
                <w:lang w:val="es-CO"/>
              </w:rPr>
              <w:t>La Comisión concluyó que era competente para</w:t>
            </w:r>
            <w:r w:rsidRPr="00B65B1E">
              <w:rPr>
                <w:rFonts w:ascii="Cambria" w:eastAsia="Batang" w:hAnsi="Cambria" w:cs="Arial"/>
                <w:b/>
                <w:color w:val="000000"/>
                <w:sz w:val="20"/>
                <w:szCs w:val="20"/>
                <w:lang w:val="es-CO"/>
              </w:rPr>
              <w:t xml:space="preserve"> </w:t>
            </w:r>
            <w:r w:rsidRPr="00B65B1E">
              <w:rPr>
                <w:rFonts w:ascii="Cambria" w:eastAsia="Batang" w:hAnsi="Cambria" w:cs="Arial"/>
                <w:bCs/>
                <w:color w:val="000000"/>
                <w:sz w:val="20"/>
                <w:szCs w:val="20"/>
                <w:lang w:val="es-CO"/>
              </w:rPr>
              <w:t>conocer el presente caso y que la pretensión era admisible conforme a los artículos 8 (garantías judiciales) y 25 (protección judicial) contenidos en la Convención Americana.</w:t>
            </w:r>
          </w:p>
        </w:tc>
      </w:tr>
    </w:tbl>
    <w:p w14:paraId="7F6B1472" w14:textId="77777777" w:rsidR="00B65B1E" w:rsidRPr="00B65B1E" w:rsidRDefault="00B65B1E" w:rsidP="00B65B1E">
      <w:pPr>
        <w:suppressAutoHyphens/>
        <w:spacing w:after="0" w:line="240" w:lineRule="auto"/>
        <w:contextualSpacing/>
        <w:jc w:val="both"/>
        <w:rPr>
          <w:rFonts w:ascii="Cambria" w:eastAsia="Batang" w:hAnsi="Cambria" w:cs="Calibri Light"/>
          <w:b/>
          <w:color w:val="000000"/>
          <w:sz w:val="20"/>
          <w:szCs w:val="20"/>
          <w:lang w:val="es-CO"/>
        </w:rPr>
      </w:pPr>
    </w:p>
    <w:p w14:paraId="49FC44B6" w14:textId="77777777" w:rsidR="00B65B1E" w:rsidRPr="00B65B1E" w:rsidRDefault="00B65B1E" w:rsidP="007E7EEA">
      <w:pPr>
        <w:numPr>
          <w:ilvl w:val="0"/>
          <w:numId w:val="4"/>
        </w:numPr>
        <w:suppressAutoHyphens/>
        <w:spacing w:after="0" w:line="240" w:lineRule="auto"/>
        <w:ind w:left="1440"/>
        <w:contextualSpacing/>
        <w:jc w:val="both"/>
        <w:rPr>
          <w:rFonts w:ascii="Cambria" w:eastAsia="Batang" w:hAnsi="Cambria" w:cs="Calibri Light"/>
          <w:b/>
          <w:color w:val="000000"/>
          <w:sz w:val="20"/>
          <w:szCs w:val="20"/>
          <w:lang w:val="es-CO"/>
        </w:rPr>
      </w:pPr>
      <w:r w:rsidRPr="00B65B1E">
        <w:rPr>
          <w:rFonts w:ascii="Cambria" w:eastAsia="Batang" w:hAnsi="Cambria" w:cs="Arial"/>
          <w:b/>
          <w:color w:val="000000"/>
          <w:sz w:val="20"/>
          <w:szCs w:val="20"/>
          <w:lang w:val="es-CO"/>
        </w:rPr>
        <w:t>ACTIVIDAD PROCESAL</w:t>
      </w:r>
    </w:p>
    <w:p w14:paraId="6DE4D826" w14:textId="77777777" w:rsidR="00B65B1E" w:rsidRPr="00B65B1E" w:rsidRDefault="00B65B1E" w:rsidP="00B65B1E">
      <w:pPr>
        <w:tabs>
          <w:tab w:val="left" w:pos="1440"/>
        </w:tabs>
        <w:suppressAutoHyphens/>
        <w:spacing w:after="0" w:line="240" w:lineRule="auto"/>
        <w:jc w:val="both"/>
        <w:rPr>
          <w:rFonts w:ascii="Cambria" w:eastAsia="Batang" w:hAnsi="Cambria" w:cs="Calibri Light"/>
          <w:b/>
          <w:color w:val="000000"/>
          <w:sz w:val="20"/>
          <w:szCs w:val="20"/>
          <w:lang w:val="es-CO"/>
        </w:rPr>
      </w:pPr>
    </w:p>
    <w:p w14:paraId="7F45286E" w14:textId="39B06D52" w:rsidR="00B65B1E" w:rsidRPr="00B65B1E" w:rsidRDefault="00B65B1E" w:rsidP="007E7EEA">
      <w:pPr>
        <w:numPr>
          <w:ilvl w:val="0"/>
          <w:numId w:val="7"/>
        </w:numPr>
        <w:suppressAutoHyphens/>
        <w:spacing w:after="0" w:line="240" w:lineRule="auto"/>
        <w:ind w:left="0" w:firstLine="720"/>
        <w:contextualSpacing/>
        <w:jc w:val="both"/>
        <w:rPr>
          <w:rFonts w:ascii="Cambria" w:hAnsi="Cambria" w:cs="Calibri Light"/>
          <w:color w:val="000000"/>
          <w:sz w:val="20"/>
          <w:szCs w:val="20"/>
          <w:lang w:val="es-CO"/>
        </w:rPr>
      </w:pPr>
      <w:bookmarkStart w:id="0" w:name="_Hlk86933880"/>
      <w:r>
        <w:rPr>
          <w:rFonts w:ascii="Cambria" w:eastAsia="Batang" w:hAnsi="Cambria" w:cs="Calibri Light"/>
          <w:color w:val="000000"/>
          <w:sz w:val="20"/>
          <w:szCs w:val="20"/>
          <w:lang w:val="es-CO"/>
        </w:rPr>
        <w:t>El 17 de diciembre de 2011, las partes firmaron un acuerdo de solución amistosa</w:t>
      </w:r>
      <w:r w:rsidRPr="00B65B1E">
        <w:rPr>
          <w:rFonts w:ascii="Cambria" w:hAnsi="Cambria" w:cs="Calibri Light"/>
          <w:color w:val="000000"/>
          <w:sz w:val="20"/>
          <w:szCs w:val="20"/>
          <w:lang w:val="es-CO"/>
        </w:rPr>
        <w:t>.</w:t>
      </w:r>
    </w:p>
    <w:p w14:paraId="1B2D031E" w14:textId="77777777" w:rsidR="00B65B1E" w:rsidRPr="00B65B1E" w:rsidRDefault="00B65B1E" w:rsidP="00B65B1E">
      <w:pPr>
        <w:suppressAutoHyphens/>
        <w:spacing w:after="0" w:line="240" w:lineRule="auto"/>
        <w:ind w:firstLine="720"/>
        <w:jc w:val="both"/>
        <w:rPr>
          <w:rFonts w:ascii="Cambria" w:hAnsi="Cambria" w:cs="Calibri Light"/>
          <w:color w:val="000000"/>
          <w:sz w:val="20"/>
          <w:szCs w:val="20"/>
          <w:lang w:val="es-CO"/>
        </w:rPr>
      </w:pPr>
    </w:p>
    <w:p w14:paraId="28DD52D1" w14:textId="4DC02463" w:rsidR="00B65B1E" w:rsidRPr="00B65B1E" w:rsidRDefault="00B65B1E" w:rsidP="007E7EEA">
      <w:pPr>
        <w:numPr>
          <w:ilvl w:val="0"/>
          <w:numId w:val="7"/>
        </w:numPr>
        <w:suppressAutoHyphens/>
        <w:spacing w:after="0" w:line="240" w:lineRule="auto"/>
        <w:ind w:left="0" w:firstLine="720"/>
        <w:contextualSpacing/>
        <w:jc w:val="both"/>
        <w:rPr>
          <w:rFonts w:ascii="Cambria" w:hAnsi="Cambria" w:cs="Calibri Light"/>
          <w:color w:val="000000"/>
          <w:sz w:val="20"/>
          <w:szCs w:val="20"/>
          <w:lang w:val="es-CO"/>
        </w:rPr>
      </w:pPr>
      <w:r>
        <w:rPr>
          <w:rFonts w:ascii="Cambria" w:hAnsi="Cambria" w:cs="Calibri Light"/>
          <w:color w:val="000000"/>
          <w:sz w:val="20"/>
          <w:szCs w:val="20"/>
          <w:lang w:val="es-CO"/>
        </w:rPr>
        <w:t>El 1 de junio de 2020, la CIDH aprobó el acuerdo suscrito por las partes, mediante el Informe No. 86/20</w:t>
      </w:r>
      <w:r w:rsidRPr="00B65B1E">
        <w:rPr>
          <w:rFonts w:ascii="Cambria" w:hAnsi="Cambria" w:cs="Calibri Light"/>
          <w:color w:val="000000"/>
          <w:sz w:val="20"/>
          <w:szCs w:val="20"/>
          <w:lang w:val="es-CO"/>
        </w:rPr>
        <w:t>.</w:t>
      </w:r>
    </w:p>
    <w:bookmarkEnd w:id="0"/>
    <w:p w14:paraId="15B05118" w14:textId="77777777" w:rsidR="00B65B1E" w:rsidRPr="00B65B1E" w:rsidRDefault="00B65B1E" w:rsidP="00B65B1E">
      <w:pPr>
        <w:suppressAutoHyphens/>
        <w:spacing w:after="0" w:line="240" w:lineRule="auto"/>
        <w:jc w:val="both"/>
        <w:rPr>
          <w:rFonts w:ascii="Cambria" w:eastAsia="Batang" w:hAnsi="Cambria" w:cs="Arial"/>
          <w:b/>
          <w:sz w:val="20"/>
          <w:szCs w:val="20"/>
          <w:lang w:val="es-CO"/>
        </w:rPr>
      </w:pPr>
    </w:p>
    <w:p w14:paraId="2823C615" w14:textId="77777777" w:rsidR="00B65B1E" w:rsidRPr="00B65B1E" w:rsidRDefault="00B65B1E" w:rsidP="007E7EEA">
      <w:pPr>
        <w:numPr>
          <w:ilvl w:val="0"/>
          <w:numId w:val="4"/>
        </w:numPr>
        <w:suppressAutoHyphens/>
        <w:spacing w:after="0" w:line="240" w:lineRule="auto"/>
        <w:ind w:left="0" w:firstLine="720"/>
        <w:contextualSpacing/>
        <w:jc w:val="both"/>
        <w:rPr>
          <w:rFonts w:ascii="Cambria" w:eastAsia="Batang" w:hAnsi="Cambria" w:cs="Arial"/>
          <w:b/>
          <w:sz w:val="20"/>
          <w:szCs w:val="20"/>
          <w:lang w:val="es-CO"/>
        </w:rPr>
      </w:pPr>
      <w:r w:rsidRPr="00B65B1E">
        <w:rPr>
          <w:rFonts w:ascii="Cambria" w:eastAsia="Batang" w:hAnsi="Cambria" w:cs="Arial"/>
          <w:b/>
          <w:sz w:val="20"/>
          <w:szCs w:val="20"/>
          <w:lang w:val="es-CO"/>
        </w:rPr>
        <w:t>ANÁLISIS DEL CUMPLIMIENTO DE LAS CLÁUSULAS DEL ACUERDO DE SOLUCIÓN AMISTOSA</w:t>
      </w:r>
    </w:p>
    <w:p w14:paraId="7F72EE97" w14:textId="77777777" w:rsidR="00B65B1E" w:rsidRPr="00B65B1E" w:rsidRDefault="00B65B1E" w:rsidP="00B65B1E">
      <w:pPr>
        <w:suppressAutoHyphens/>
        <w:spacing w:after="0" w:line="240" w:lineRule="auto"/>
        <w:rPr>
          <w:rFonts w:ascii="Cambria" w:eastAsia="Batang" w:hAnsi="Cambria" w:cs="Arial"/>
          <w:color w:val="000000"/>
          <w:sz w:val="20"/>
          <w:szCs w:val="20"/>
          <w:lang w:val="es-CO"/>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820"/>
      </w:tblGrid>
      <w:tr w:rsidR="005D0356" w:rsidRPr="00B65B1E" w14:paraId="67695DF6" w14:textId="77777777" w:rsidTr="005D0356">
        <w:tc>
          <w:tcPr>
            <w:tcW w:w="44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380453" w14:textId="77777777" w:rsidR="00B65B1E" w:rsidRPr="00B65B1E" w:rsidRDefault="00B65B1E" w:rsidP="00B65B1E">
            <w:pPr>
              <w:tabs>
                <w:tab w:val="center" w:pos="2049"/>
              </w:tabs>
              <w:suppressAutoHyphens/>
              <w:spacing w:after="0" w:line="240" w:lineRule="auto"/>
              <w:jc w:val="center"/>
              <w:rPr>
                <w:rFonts w:ascii="Cambria" w:eastAsia="Batang" w:hAnsi="Cambria" w:cs="Arial"/>
                <w:b/>
                <w:color w:val="000000"/>
                <w:sz w:val="20"/>
                <w:szCs w:val="20"/>
                <w:lang w:val="es-CO"/>
              </w:rPr>
            </w:pPr>
            <w:r w:rsidRPr="00B65B1E">
              <w:rPr>
                <w:rFonts w:ascii="Cambria" w:eastAsia="Batang" w:hAnsi="Cambria" w:cs="Arial"/>
                <w:b/>
                <w:color w:val="000000"/>
                <w:sz w:val="20"/>
                <w:szCs w:val="20"/>
                <w:lang w:val="es-CO"/>
              </w:rPr>
              <w:t>Cláusula del Acuerdo</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5531EF" w14:textId="579C96FA" w:rsidR="00B65B1E" w:rsidRPr="00B65B1E" w:rsidRDefault="00B65B1E" w:rsidP="00B65B1E">
            <w:pPr>
              <w:suppressAutoHyphens/>
              <w:spacing w:after="0" w:line="240" w:lineRule="auto"/>
              <w:jc w:val="center"/>
              <w:rPr>
                <w:rFonts w:ascii="Cambria" w:eastAsia="Batang" w:hAnsi="Cambria" w:cs="Arial"/>
                <w:b/>
                <w:color w:val="000000"/>
                <w:sz w:val="20"/>
                <w:szCs w:val="20"/>
                <w:lang w:val="es-CO"/>
              </w:rPr>
            </w:pPr>
            <w:r w:rsidRPr="00B65B1E">
              <w:rPr>
                <w:rFonts w:ascii="Cambria" w:eastAsia="Batang" w:hAnsi="Cambria" w:cs="Arial"/>
                <w:b/>
                <w:color w:val="000000"/>
                <w:sz w:val="20"/>
                <w:szCs w:val="20"/>
                <w:lang w:val="es-CO"/>
              </w:rPr>
              <w:t>Estado de Cumplimiento</w:t>
            </w:r>
          </w:p>
        </w:tc>
      </w:tr>
      <w:tr w:rsidR="005D0356" w:rsidRPr="007E7EEA" w14:paraId="3E7A22DA" w14:textId="77777777" w:rsidTr="005D0356">
        <w:trPr>
          <w:trHeight w:val="526"/>
        </w:trPr>
        <w:tc>
          <w:tcPr>
            <w:tcW w:w="9243" w:type="dxa"/>
            <w:gridSpan w:val="2"/>
            <w:tcBorders>
              <w:top w:val="single" w:sz="4" w:space="0" w:color="auto"/>
              <w:left w:val="single" w:sz="4" w:space="0" w:color="auto"/>
              <w:right w:val="single" w:sz="4" w:space="0" w:color="auto"/>
            </w:tcBorders>
            <w:vAlign w:val="center"/>
          </w:tcPr>
          <w:p w14:paraId="504692CA" w14:textId="77777777" w:rsidR="00B65B1E" w:rsidRPr="00B65B1E" w:rsidRDefault="00B65B1E" w:rsidP="00B65B1E">
            <w:pPr>
              <w:suppressAutoHyphens/>
              <w:spacing w:after="0" w:line="240" w:lineRule="auto"/>
              <w:rPr>
                <w:rFonts w:ascii="Cambria" w:eastAsia="Batang" w:hAnsi="Cambria" w:cs="Arial"/>
                <w:b/>
                <w:color w:val="000000"/>
                <w:sz w:val="20"/>
                <w:szCs w:val="20"/>
                <w:lang w:val="es-CO"/>
              </w:rPr>
            </w:pPr>
            <w:r w:rsidRPr="00B65B1E">
              <w:rPr>
                <w:rFonts w:ascii="Cambria" w:eastAsia="Batang" w:hAnsi="Cambria" w:cs="Arial"/>
                <w:b/>
                <w:bCs/>
                <w:color w:val="000000"/>
                <w:sz w:val="20"/>
                <w:szCs w:val="20"/>
                <w:lang w:val="es-CO"/>
              </w:rPr>
              <w:t>I. CLÁUSULA. COMPROMISOS ASUMIDOS POR EL ESTADO DE GUATEMALA</w:t>
            </w:r>
          </w:p>
        </w:tc>
      </w:tr>
      <w:tr w:rsidR="005D0356" w:rsidRPr="00B65B1E" w14:paraId="3179490B" w14:textId="77777777" w:rsidTr="005D0356">
        <w:trPr>
          <w:trHeight w:val="2015"/>
        </w:trPr>
        <w:tc>
          <w:tcPr>
            <w:tcW w:w="4423" w:type="dxa"/>
            <w:tcBorders>
              <w:top w:val="single" w:sz="4" w:space="0" w:color="auto"/>
              <w:left w:val="single" w:sz="4" w:space="0" w:color="auto"/>
              <w:bottom w:val="single" w:sz="4" w:space="0" w:color="auto"/>
              <w:right w:val="single" w:sz="4" w:space="0" w:color="auto"/>
            </w:tcBorders>
          </w:tcPr>
          <w:p w14:paraId="6E97EC5E" w14:textId="77777777" w:rsidR="00B65B1E" w:rsidRPr="00B65B1E" w:rsidRDefault="00B65B1E" w:rsidP="007E7EEA">
            <w:pPr>
              <w:numPr>
                <w:ilvl w:val="0"/>
                <w:numId w:val="6"/>
              </w:numPr>
              <w:suppressAutoHyphens/>
              <w:spacing w:after="0" w:line="240" w:lineRule="auto"/>
              <w:ind w:left="72" w:right="72" w:hanging="72"/>
              <w:jc w:val="both"/>
              <w:rPr>
                <w:rFonts w:ascii="Cambria" w:eastAsia="Times New Roman" w:hAnsi="Cambria" w:cs="Arial"/>
                <w:b/>
                <w:color w:val="000000"/>
                <w:kern w:val="36"/>
                <w:sz w:val="20"/>
                <w:szCs w:val="20"/>
                <w:lang w:val="es-CO"/>
              </w:rPr>
            </w:pPr>
            <w:r w:rsidRPr="00B65B1E">
              <w:rPr>
                <w:rFonts w:ascii="Cambria" w:eastAsia="Times New Roman" w:hAnsi="Cambria" w:cs="Arial"/>
                <w:b/>
                <w:color w:val="000000"/>
                <w:kern w:val="36"/>
                <w:sz w:val="20"/>
                <w:szCs w:val="20"/>
                <w:lang w:val="es-CO"/>
              </w:rPr>
              <w:lastRenderedPageBreak/>
              <w:t>RECONOCIMIENTO DE LOS HECHOS.</w:t>
            </w:r>
          </w:p>
          <w:p w14:paraId="5553D6EC" w14:textId="77777777" w:rsidR="00B65B1E" w:rsidRPr="00B65B1E" w:rsidRDefault="00B65B1E" w:rsidP="00B65B1E">
            <w:pPr>
              <w:suppressAutoHyphens/>
              <w:spacing w:after="0" w:line="240" w:lineRule="auto"/>
              <w:ind w:right="72"/>
              <w:jc w:val="both"/>
              <w:rPr>
                <w:rFonts w:ascii="Cambria" w:eastAsia="Times New Roman" w:hAnsi="Cambria" w:cs="Arial"/>
                <w:b/>
                <w:color w:val="000000"/>
                <w:kern w:val="36"/>
                <w:sz w:val="20"/>
                <w:szCs w:val="20"/>
                <w:lang w:val="es-CO"/>
              </w:rPr>
            </w:pPr>
          </w:p>
          <w:p w14:paraId="0C68F07B" w14:textId="77777777" w:rsidR="00B65B1E" w:rsidRPr="00B65B1E" w:rsidRDefault="00B65B1E" w:rsidP="00B65B1E">
            <w:pPr>
              <w:suppressAutoHyphens/>
              <w:spacing w:after="0" w:line="240" w:lineRule="auto"/>
              <w:ind w:right="72"/>
              <w:jc w:val="both"/>
              <w:rPr>
                <w:rFonts w:ascii="Cambria" w:eastAsia="Times New Roman" w:hAnsi="Cambria" w:cs="Arial"/>
                <w:bCs/>
                <w:color w:val="000000"/>
                <w:kern w:val="36"/>
                <w:sz w:val="20"/>
                <w:szCs w:val="20"/>
                <w:lang w:val="es-CO"/>
              </w:rPr>
            </w:pPr>
            <w:r w:rsidRPr="00B65B1E">
              <w:rPr>
                <w:rFonts w:ascii="Cambria" w:eastAsia="Times New Roman" w:hAnsi="Cambria" w:cs="Arial"/>
                <w:b/>
                <w:color w:val="000000"/>
                <w:kern w:val="36"/>
                <w:sz w:val="20"/>
                <w:szCs w:val="20"/>
                <w:lang w:val="es-CO"/>
              </w:rPr>
              <w:t>a)</w:t>
            </w:r>
            <w:r w:rsidRPr="00B65B1E">
              <w:rPr>
                <w:rFonts w:ascii="Cambria" w:eastAsia="Times New Roman" w:hAnsi="Cambria" w:cs="Arial"/>
                <w:bCs/>
                <w:color w:val="000000"/>
                <w:kern w:val="36"/>
                <w:sz w:val="20"/>
                <w:szCs w:val="20"/>
                <w:lang w:val="es-CO"/>
              </w:rPr>
              <w:t xml:space="preserve"> El Estado realizará un acto público de reconocimiento de responsabilidad internacional y solicitud de perdón en el municipio de Coatepeque, departamento de Quetzaltenango, 5 ciudad natal de la víctima, el cual será dirigido por la Presidenta de la Comisión Presidencial coordinadora de la Política del Ejecutivo en materia de Derechos Humanos COPREDEH. De acuerdo con lo solicitado por el peticionario, se hará una invitación especial al Procurador General de la Nación y al Director de la Policía Nacional Civil, para que asistan a dicho acto de reconocimiento de responsabilidad internacional. Asimismo, hará las gestiones pertinentes para que este acto público se lleve a cabo en el Teatro Municipal de la Cultura del Municipio de Coatepeque.</w:t>
            </w:r>
          </w:p>
          <w:p w14:paraId="30DE62DF" w14:textId="77777777" w:rsidR="00B65B1E" w:rsidRPr="00B65B1E" w:rsidRDefault="00B65B1E" w:rsidP="00B65B1E">
            <w:pPr>
              <w:suppressAutoHyphens/>
              <w:spacing w:after="0" w:line="240" w:lineRule="auto"/>
              <w:ind w:right="72"/>
              <w:jc w:val="both"/>
              <w:rPr>
                <w:rFonts w:ascii="Cambria" w:eastAsia="Times New Roman" w:hAnsi="Cambria" w:cs="Arial"/>
                <w:bCs/>
                <w:color w:val="000000"/>
                <w:kern w:val="36"/>
                <w:sz w:val="20"/>
                <w:szCs w:val="20"/>
                <w:lang w:val="es-CO"/>
              </w:rPr>
            </w:pPr>
            <w:r w:rsidRPr="00B65B1E">
              <w:rPr>
                <w:rFonts w:ascii="Cambria" w:eastAsia="Times New Roman" w:hAnsi="Cambria" w:cs="Arial"/>
                <w:b/>
                <w:color w:val="000000"/>
                <w:kern w:val="36"/>
                <w:sz w:val="20"/>
                <w:szCs w:val="20"/>
                <w:lang w:val="es-CO"/>
              </w:rPr>
              <w:t>b)</w:t>
            </w:r>
            <w:r w:rsidRPr="00B65B1E">
              <w:rPr>
                <w:rFonts w:ascii="Cambria" w:eastAsia="Times New Roman" w:hAnsi="Cambria" w:cs="Arial"/>
                <w:bCs/>
                <w:color w:val="000000"/>
                <w:kern w:val="36"/>
                <w:sz w:val="20"/>
                <w:szCs w:val="20"/>
                <w:lang w:val="es-CO"/>
              </w:rPr>
              <w:t xml:space="preserve"> El Estado editará un documental de 7 minutos que contenga un resumen del referido acto para ser transmitido por una sola vez en los canales de cable local.</w:t>
            </w:r>
          </w:p>
          <w:p w14:paraId="5E83C3BA" w14:textId="77777777" w:rsidR="00B65B1E" w:rsidRPr="00B65B1E" w:rsidRDefault="00B65B1E" w:rsidP="00B65B1E">
            <w:pPr>
              <w:suppressAutoHyphens/>
              <w:spacing w:after="0" w:line="240" w:lineRule="auto"/>
              <w:ind w:right="72"/>
              <w:jc w:val="both"/>
              <w:rPr>
                <w:rFonts w:ascii="Cambria" w:eastAsia="Times New Roman" w:hAnsi="Cambria" w:cs="Arial"/>
                <w:bCs/>
                <w:color w:val="000000"/>
                <w:kern w:val="36"/>
                <w:sz w:val="20"/>
                <w:szCs w:val="20"/>
                <w:lang w:val="es-CO"/>
              </w:rPr>
            </w:pPr>
            <w:r w:rsidRPr="00B65B1E">
              <w:rPr>
                <w:rFonts w:ascii="Cambria" w:eastAsia="Times New Roman" w:hAnsi="Cambria" w:cs="Arial"/>
                <w:b/>
                <w:color w:val="000000"/>
                <w:kern w:val="36"/>
                <w:sz w:val="20"/>
                <w:szCs w:val="20"/>
                <w:lang w:val="es-CO"/>
              </w:rPr>
              <w:t>c)</w:t>
            </w:r>
            <w:r w:rsidRPr="00B65B1E">
              <w:rPr>
                <w:rFonts w:ascii="Cambria" w:eastAsia="Times New Roman" w:hAnsi="Cambria" w:cs="Arial"/>
                <w:bCs/>
                <w:color w:val="000000"/>
                <w:kern w:val="36"/>
                <w:sz w:val="20"/>
                <w:szCs w:val="20"/>
                <w:lang w:val="es-CO"/>
              </w:rPr>
              <w:t xml:space="preserve"> El Estado publicará un resumen de los hechos que dieron origen al presente caso en el Diario de Centro América y en el Diario El Quetzalteco.</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09F7C87" w14:textId="2D58D362" w:rsidR="00B65B1E" w:rsidRPr="00B65B1E" w:rsidRDefault="00B65B1E" w:rsidP="00B65B1E">
            <w:pPr>
              <w:suppressAutoHyphens/>
              <w:spacing w:after="0" w:line="240" w:lineRule="auto"/>
              <w:jc w:val="center"/>
              <w:rPr>
                <w:rFonts w:ascii="Cambria" w:eastAsia="Batang" w:hAnsi="Cambria" w:cs="Arial"/>
                <w:b/>
                <w:bCs/>
                <w:color w:val="000000"/>
                <w:sz w:val="20"/>
                <w:szCs w:val="20"/>
                <w:vertAlign w:val="superscript"/>
                <w:lang w:val="es-CO"/>
              </w:rPr>
            </w:pPr>
            <w:r w:rsidRPr="00B65B1E">
              <w:rPr>
                <w:rFonts w:ascii="Cambria" w:eastAsia="Batang" w:hAnsi="Cambria" w:cs="Arial"/>
                <w:b/>
                <w:bCs/>
                <w:color w:val="000000"/>
                <w:sz w:val="20"/>
                <w:szCs w:val="20"/>
                <w:lang w:val="es-CO"/>
              </w:rPr>
              <w:t>Total</w:t>
            </w:r>
            <w:r w:rsidRPr="00B65B1E">
              <w:rPr>
                <w:rFonts w:ascii="Cambria" w:eastAsia="Batang" w:hAnsi="Cambria" w:cs="Arial"/>
                <w:b/>
                <w:bCs/>
                <w:color w:val="000000"/>
                <w:sz w:val="20"/>
                <w:szCs w:val="20"/>
                <w:vertAlign w:val="superscript"/>
                <w:lang w:val="es-CO"/>
              </w:rPr>
              <w:footnoteReference w:id="2"/>
            </w:r>
          </w:p>
        </w:tc>
      </w:tr>
      <w:tr w:rsidR="005D0356" w:rsidRPr="00B65B1E" w14:paraId="02EABDC7" w14:textId="77777777" w:rsidTr="005D0356">
        <w:trPr>
          <w:trHeight w:val="350"/>
        </w:trPr>
        <w:tc>
          <w:tcPr>
            <w:tcW w:w="4423" w:type="dxa"/>
            <w:tcBorders>
              <w:top w:val="single" w:sz="4" w:space="0" w:color="auto"/>
              <w:left w:val="single" w:sz="4" w:space="0" w:color="auto"/>
              <w:bottom w:val="single" w:sz="4" w:space="0" w:color="auto"/>
              <w:right w:val="single" w:sz="4" w:space="0" w:color="auto"/>
            </w:tcBorders>
          </w:tcPr>
          <w:p w14:paraId="14F40A88" w14:textId="77777777" w:rsidR="00B65B1E" w:rsidRPr="00B65B1E" w:rsidRDefault="00B65B1E" w:rsidP="007E7EEA">
            <w:pPr>
              <w:numPr>
                <w:ilvl w:val="0"/>
                <w:numId w:val="6"/>
              </w:numPr>
              <w:suppressAutoHyphens/>
              <w:spacing w:after="0" w:line="240" w:lineRule="auto"/>
              <w:ind w:left="342" w:right="72"/>
              <w:jc w:val="both"/>
              <w:rPr>
                <w:rFonts w:ascii="Cambria" w:eastAsia="Times New Roman" w:hAnsi="Cambria" w:cs="Arial"/>
                <w:b/>
                <w:bCs/>
                <w:color w:val="000000"/>
                <w:kern w:val="36"/>
                <w:sz w:val="20"/>
                <w:szCs w:val="20"/>
                <w:lang w:val="es-CO"/>
              </w:rPr>
            </w:pPr>
            <w:r w:rsidRPr="00B65B1E">
              <w:rPr>
                <w:rFonts w:ascii="Cambria" w:eastAsia="Times New Roman" w:hAnsi="Cambria" w:cs="Arial"/>
                <w:b/>
                <w:bCs/>
                <w:color w:val="000000"/>
                <w:kern w:val="36"/>
                <w:sz w:val="20"/>
                <w:szCs w:val="20"/>
                <w:lang w:val="es-CO"/>
              </w:rPr>
              <w:t>JUSTICIA.</w:t>
            </w:r>
          </w:p>
          <w:p w14:paraId="7144CD95" w14:textId="77777777" w:rsidR="00B65B1E" w:rsidRPr="00B65B1E" w:rsidRDefault="00B65B1E" w:rsidP="00B65B1E">
            <w:pPr>
              <w:suppressAutoHyphens/>
              <w:spacing w:after="0" w:line="240" w:lineRule="auto"/>
              <w:ind w:right="72"/>
              <w:jc w:val="both"/>
              <w:rPr>
                <w:rFonts w:ascii="Cambria" w:eastAsia="Times New Roman" w:hAnsi="Cambria" w:cs="Arial"/>
                <w:b/>
                <w:bCs/>
                <w:color w:val="000000"/>
                <w:kern w:val="36"/>
                <w:sz w:val="20"/>
                <w:szCs w:val="20"/>
                <w:lang w:val="es-CO"/>
              </w:rPr>
            </w:pPr>
          </w:p>
          <w:p w14:paraId="778FC696" w14:textId="77777777" w:rsidR="00B65B1E" w:rsidRPr="00B65B1E" w:rsidRDefault="00B65B1E" w:rsidP="00B65B1E">
            <w:pPr>
              <w:suppressAutoHyphens/>
              <w:spacing w:after="0" w:line="240" w:lineRule="auto"/>
              <w:ind w:right="72"/>
              <w:jc w:val="both"/>
              <w:rPr>
                <w:rFonts w:ascii="Cambria" w:eastAsia="Times New Roman" w:hAnsi="Cambria" w:cs="Arial"/>
                <w:color w:val="000000"/>
                <w:kern w:val="36"/>
                <w:sz w:val="20"/>
                <w:szCs w:val="20"/>
                <w:lang w:val="es-CO"/>
              </w:rPr>
            </w:pPr>
            <w:r w:rsidRPr="00B65B1E">
              <w:rPr>
                <w:rFonts w:ascii="Cambria" w:eastAsia="Times New Roman" w:hAnsi="Cambria" w:cs="Arial"/>
                <w:color w:val="000000"/>
                <w:kern w:val="36"/>
                <w:sz w:val="20"/>
                <w:szCs w:val="20"/>
                <w:lang w:val="es-CO"/>
              </w:rPr>
              <w:t>El Estado se compromete a instalar un Comité de Impulso, el cual será integrado por las instituciones de justicia que estén conociendo el proceso de investigación abierto por la muerte del joven estudiante, Richard Conrad Solórzano Contreras, esto con el objeto de impulsar dichos procesos, así como dar seguimiento a los procesos administrativos seguidos en contra de los empleados y funcionarios públicos señalados por el peticionario como responsables de la negligencia cometidas en las primeras diligencias de investigación.</w:t>
            </w:r>
          </w:p>
        </w:tc>
        <w:tc>
          <w:tcPr>
            <w:tcW w:w="4820" w:type="dxa"/>
            <w:tcBorders>
              <w:top w:val="single" w:sz="4" w:space="0" w:color="auto"/>
              <w:left w:val="single" w:sz="4" w:space="0" w:color="auto"/>
              <w:bottom w:val="single" w:sz="4" w:space="0" w:color="auto"/>
              <w:right w:val="single" w:sz="4" w:space="0" w:color="auto"/>
            </w:tcBorders>
            <w:vAlign w:val="center"/>
          </w:tcPr>
          <w:p w14:paraId="61C25343" w14:textId="77777777" w:rsidR="00B65B1E" w:rsidRPr="00B65B1E" w:rsidRDefault="00B65B1E" w:rsidP="00B65B1E">
            <w:pPr>
              <w:suppressAutoHyphens/>
              <w:spacing w:after="0" w:line="240" w:lineRule="auto"/>
              <w:jc w:val="center"/>
              <w:rPr>
                <w:rFonts w:ascii="Cambria" w:eastAsia="Batang" w:hAnsi="Cambria" w:cs="Arial"/>
                <w:b/>
                <w:color w:val="000000"/>
                <w:sz w:val="20"/>
                <w:szCs w:val="20"/>
                <w:lang w:val="es-CO"/>
              </w:rPr>
            </w:pPr>
            <w:r w:rsidRPr="00B65B1E">
              <w:rPr>
                <w:rFonts w:ascii="Cambria" w:eastAsia="Batang" w:hAnsi="Cambria" w:cs="Arial"/>
                <w:b/>
                <w:color w:val="000000"/>
                <w:sz w:val="20"/>
                <w:szCs w:val="20"/>
                <w:lang w:val="es-CO"/>
              </w:rPr>
              <w:t>Parcial</w:t>
            </w:r>
          </w:p>
          <w:p w14:paraId="77012B65" w14:textId="77777777" w:rsidR="00B65B1E" w:rsidRPr="00B65B1E" w:rsidRDefault="00B65B1E" w:rsidP="00B65B1E">
            <w:pPr>
              <w:suppressAutoHyphens/>
              <w:spacing w:after="0" w:line="240" w:lineRule="auto"/>
              <w:jc w:val="center"/>
              <w:rPr>
                <w:rFonts w:ascii="Cambria" w:eastAsia="Batang" w:hAnsi="Cambria" w:cs="Arial"/>
                <w:bCs/>
                <w:color w:val="000000"/>
                <w:sz w:val="20"/>
                <w:szCs w:val="20"/>
                <w:lang w:val="es-CO"/>
              </w:rPr>
            </w:pPr>
            <w:r w:rsidRPr="00B65B1E">
              <w:rPr>
                <w:rFonts w:ascii="Cambria" w:eastAsia="Batang" w:hAnsi="Cambria" w:cs="Arial"/>
                <w:b/>
                <w:color w:val="000000"/>
                <w:sz w:val="20"/>
                <w:szCs w:val="20"/>
                <w:lang w:val="es-CO"/>
              </w:rPr>
              <w:t>Cese de Supervisión</w:t>
            </w:r>
            <w:r w:rsidRPr="00B65B1E">
              <w:rPr>
                <w:rFonts w:ascii="Cambria" w:eastAsia="Batang" w:hAnsi="Cambria" w:cs="Arial"/>
                <w:b/>
                <w:color w:val="000000"/>
                <w:sz w:val="20"/>
                <w:szCs w:val="20"/>
                <w:vertAlign w:val="superscript"/>
                <w:lang w:val="es-CO"/>
              </w:rPr>
              <w:footnoteReference w:id="3"/>
            </w:r>
          </w:p>
        </w:tc>
      </w:tr>
      <w:tr w:rsidR="005D0356" w:rsidRPr="00B65B1E" w14:paraId="5D2B97D8" w14:textId="77777777" w:rsidTr="005D0356">
        <w:trPr>
          <w:trHeight w:val="1205"/>
        </w:trPr>
        <w:tc>
          <w:tcPr>
            <w:tcW w:w="4423" w:type="dxa"/>
            <w:tcBorders>
              <w:top w:val="single" w:sz="4" w:space="0" w:color="auto"/>
              <w:left w:val="single" w:sz="4" w:space="0" w:color="auto"/>
              <w:right w:val="single" w:sz="4" w:space="0" w:color="auto"/>
            </w:tcBorders>
          </w:tcPr>
          <w:p w14:paraId="027F26FB" w14:textId="77777777" w:rsidR="00B65B1E" w:rsidRPr="00B65B1E" w:rsidRDefault="00B65B1E" w:rsidP="007E7EEA">
            <w:pPr>
              <w:numPr>
                <w:ilvl w:val="0"/>
                <w:numId w:val="6"/>
              </w:numPr>
              <w:suppressAutoHyphens/>
              <w:spacing w:after="0" w:line="240" w:lineRule="auto"/>
              <w:ind w:left="-36" w:right="72" w:firstLine="36"/>
              <w:jc w:val="both"/>
              <w:rPr>
                <w:rFonts w:ascii="Cambria" w:eastAsia="Times New Roman" w:hAnsi="Cambria" w:cs="Arial"/>
                <w:b/>
                <w:color w:val="000000"/>
                <w:kern w:val="36"/>
                <w:sz w:val="20"/>
                <w:szCs w:val="20"/>
                <w:lang w:val="es-CO"/>
              </w:rPr>
            </w:pPr>
            <w:r w:rsidRPr="00B65B1E">
              <w:rPr>
                <w:rFonts w:ascii="Cambria" w:eastAsia="Times New Roman" w:hAnsi="Cambria" w:cs="Arial"/>
                <w:b/>
                <w:color w:val="000000"/>
                <w:kern w:val="36"/>
                <w:sz w:val="20"/>
                <w:szCs w:val="20"/>
                <w:lang w:val="es-CO"/>
              </w:rPr>
              <w:t>MEDIDAS DE DIGNIFICACIÓN.</w:t>
            </w:r>
          </w:p>
          <w:p w14:paraId="63071AB0" w14:textId="77777777" w:rsidR="00B65B1E" w:rsidRPr="00B65B1E" w:rsidRDefault="00B65B1E" w:rsidP="00B65B1E">
            <w:pPr>
              <w:suppressAutoHyphens/>
              <w:spacing w:after="0" w:line="240" w:lineRule="auto"/>
              <w:ind w:right="72"/>
              <w:jc w:val="both"/>
              <w:rPr>
                <w:rFonts w:ascii="Cambria" w:eastAsia="Times New Roman" w:hAnsi="Cambria" w:cs="Arial"/>
                <w:b/>
                <w:color w:val="000000"/>
                <w:kern w:val="36"/>
                <w:sz w:val="20"/>
                <w:szCs w:val="20"/>
                <w:lang w:val="es-CO"/>
              </w:rPr>
            </w:pPr>
          </w:p>
          <w:p w14:paraId="2297C8EC" w14:textId="77777777" w:rsidR="00B65B1E" w:rsidRPr="00B65B1E" w:rsidRDefault="00B65B1E" w:rsidP="00B65B1E">
            <w:pPr>
              <w:suppressAutoHyphens/>
              <w:spacing w:after="0" w:line="240" w:lineRule="auto"/>
              <w:ind w:right="72"/>
              <w:jc w:val="both"/>
              <w:rPr>
                <w:rFonts w:ascii="Cambria" w:eastAsia="Times New Roman" w:hAnsi="Cambria" w:cs="Arial"/>
                <w:bCs/>
                <w:color w:val="000000"/>
                <w:kern w:val="36"/>
                <w:sz w:val="20"/>
                <w:szCs w:val="20"/>
                <w:lang w:val="es-CO"/>
              </w:rPr>
            </w:pPr>
            <w:r w:rsidRPr="00B65B1E">
              <w:rPr>
                <w:rFonts w:ascii="Cambria" w:eastAsia="Times New Roman" w:hAnsi="Cambria" w:cs="Arial"/>
                <w:b/>
                <w:color w:val="000000"/>
                <w:kern w:val="36"/>
                <w:sz w:val="20"/>
                <w:szCs w:val="20"/>
                <w:lang w:val="es-CO"/>
              </w:rPr>
              <w:t xml:space="preserve">a) </w:t>
            </w:r>
            <w:r w:rsidRPr="00B65B1E">
              <w:rPr>
                <w:rFonts w:ascii="Cambria" w:eastAsia="Times New Roman" w:hAnsi="Cambria" w:cs="Arial"/>
                <w:bCs/>
                <w:color w:val="000000"/>
                <w:kern w:val="36"/>
                <w:sz w:val="20"/>
                <w:szCs w:val="20"/>
                <w:lang w:val="es-CO"/>
              </w:rPr>
              <w:t xml:space="preserve">El Estado gestionará ante las autoridades municipales de Coatepeque que se autorice el nombramiento del Teatro Municipal de la Cultura de ese municipio con el nombre de Richard Conrad Solórzano Contreras y en su defecto, el nombramiento de la 6a calle zona 1, frente al Parque Central de Coatepeque u otro </w:t>
            </w:r>
            <w:r w:rsidRPr="00B65B1E">
              <w:rPr>
                <w:rFonts w:ascii="Cambria" w:eastAsia="Times New Roman" w:hAnsi="Cambria" w:cs="Arial"/>
                <w:bCs/>
                <w:color w:val="000000"/>
                <w:kern w:val="36"/>
                <w:sz w:val="20"/>
                <w:szCs w:val="20"/>
                <w:lang w:val="es-CO"/>
              </w:rPr>
              <w:lastRenderedPageBreak/>
              <w:t>lugar, con el nombre de la víctima. Al contar con las autorizaciones correspondientes se colocará en el lugar una placa conmemorativa.</w:t>
            </w:r>
          </w:p>
          <w:p w14:paraId="3403C2A7" w14:textId="77777777" w:rsidR="00B65B1E" w:rsidRPr="00B65B1E" w:rsidRDefault="00B65B1E" w:rsidP="00B65B1E">
            <w:pPr>
              <w:suppressAutoHyphens/>
              <w:spacing w:after="0" w:line="240" w:lineRule="auto"/>
              <w:ind w:right="72"/>
              <w:jc w:val="both"/>
              <w:rPr>
                <w:rFonts w:ascii="Cambria" w:eastAsia="Times New Roman" w:hAnsi="Cambria" w:cs="Arial"/>
                <w:b/>
                <w:color w:val="000000"/>
                <w:kern w:val="36"/>
                <w:sz w:val="20"/>
                <w:szCs w:val="20"/>
                <w:lang w:val="es-CO"/>
              </w:rPr>
            </w:pPr>
            <w:r w:rsidRPr="00B65B1E">
              <w:rPr>
                <w:rFonts w:ascii="Cambria" w:eastAsia="Times New Roman" w:hAnsi="Cambria" w:cs="Arial"/>
                <w:b/>
                <w:color w:val="000000"/>
                <w:kern w:val="36"/>
                <w:sz w:val="20"/>
                <w:szCs w:val="20"/>
                <w:lang w:val="es-CO"/>
              </w:rPr>
              <w:t xml:space="preserve">b) </w:t>
            </w:r>
            <w:r w:rsidRPr="00B65B1E">
              <w:rPr>
                <w:rFonts w:ascii="Cambria" w:eastAsia="Times New Roman" w:hAnsi="Cambria" w:cs="Arial"/>
                <w:bCs/>
                <w:color w:val="000000"/>
                <w:kern w:val="36"/>
                <w:sz w:val="20"/>
                <w:szCs w:val="20"/>
                <w:lang w:val="es-CO"/>
              </w:rPr>
              <w:t>El Estado gestionará ante las instituciones correspondientes el otorgamiento en usufructo de un bien inmueble estatal, con la finalidad de que ahí funcione la Fundación Richard Conrad Solórzano Contreras.</w:t>
            </w:r>
          </w:p>
        </w:tc>
        <w:tc>
          <w:tcPr>
            <w:tcW w:w="4820" w:type="dxa"/>
            <w:tcBorders>
              <w:top w:val="single" w:sz="4" w:space="0" w:color="auto"/>
              <w:left w:val="single" w:sz="4" w:space="0" w:color="auto"/>
              <w:right w:val="single" w:sz="4" w:space="0" w:color="auto"/>
            </w:tcBorders>
            <w:vAlign w:val="center"/>
          </w:tcPr>
          <w:p w14:paraId="6149E725" w14:textId="77777777" w:rsidR="00B65B1E" w:rsidRPr="00B65B1E" w:rsidRDefault="00B65B1E" w:rsidP="00B65B1E">
            <w:pPr>
              <w:suppressAutoHyphens/>
              <w:spacing w:after="0" w:line="240" w:lineRule="auto"/>
              <w:jc w:val="center"/>
              <w:rPr>
                <w:rFonts w:ascii="Cambria" w:eastAsia="Batang" w:hAnsi="Cambria" w:cs="Arial"/>
                <w:b/>
                <w:color w:val="000000"/>
                <w:sz w:val="20"/>
                <w:szCs w:val="20"/>
                <w:lang w:val="es-CO"/>
              </w:rPr>
            </w:pPr>
            <w:r w:rsidRPr="00B65B1E">
              <w:rPr>
                <w:rFonts w:ascii="Cambria" w:eastAsia="Batang" w:hAnsi="Cambria" w:cs="Arial"/>
                <w:b/>
                <w:color w:val="000000"/>
                <w:sz w:val="20"/>
                <w:szCs w:val="20"/>
                <w:lang w:val="es-CO"/>
              </w:rPr>
              <w:lastRenderedPageBreak/>
              <w:t>Parcial</w:t>
            </w:r>
          </w:p>
          <w:p w14:paraId="702882B7" w14:textId="13A70801" w:rsidR="00B65B1E" w:rsidRPr="00B65B1E" w:rsidRDefault="00B65B1E" w:rsidP="00B65B1E">
            <w:pPr>
              <w:suppressAutoHyphens/>
              <w:spacing w:after="0" w:line="240" w:lineRule="auto"/>
              <w:jc w:val="center"/>
              <w:rPr>
                <w:rFonts w:ascii="Cambria" w:eastAsia="Batang" w:hAnsi="Cambria" w:cs="Arial"/>
                <w:b/>
                <w:color w:val="000000"/>
                <w:sz w:val="20"/>
                <w:szCs w:val="20"/>
                <w:lang w:val="es-CO"/>
              </w:rPr>
            </w:pPr>
            <w:r w:rsidRPr="00B65B1E">
              <w:rPr>
                <w:rFonts w:ascii="Cambria" w:eastAsia="Batang" w:hAnsi="Cambria" w:cs="Arial"/>
                <w:b/>
                <w:color w:val="000000"/>
                <w:sz w:val="20"/>
                <w:szCs w:val="20"/>
                <w:lang w:val="es-CO"/>
              </w:rPr>
              <w:t>Cese de Supervisión</w:t>
            </w:r>
            <w:r>
              <w:rPr>
                <w:rStyle w:val="FootnoteReference"/>
                <w:rFonts w:ascii="Cambria" w:eastAsia="Batang" w:hAnsi="Cambria" w:cs="Arial"/>
                <w:b/>
                <w:color w:val="000000"/>
                <w:sz w:val="20"/>
                <w:szCs w:val="20"/>
                <w:lang w:val="es-CO"/>
              </w:rPr>
              <w:footnoteReference w:id="4"/>
            </w:r>
          </w:p>
        </w:tc>
      </w:tr>
      <w:tr w:rsidR="005D0356" w:rsidRPr="00B65B1E" w14:paraId="6EA8E0E8" w14:textId="77777777" w:rsidTr="005D0356">
        <w:trPr>
          <w:trHeight w:val="2508"/>
        </w:trPr>
        <w:tc>
          <w:tcPr>
            <w:tcW w:w="4423" w:type="dxa"/>
            <w:tcBorders>
              <w:top w:val="single" w:sz="4" w:space="0" w:color="auto"/>
              <w:left w:val="single" w:sz="4" w:space="0" w:color="auto"/>
              <w:right w:val="single" w:sz="4" w:space="0" w:color="auto"/>
            </w:tcBorders>
          </w:tcPr>
          <w:p w14:paraId="6C6D32ED" w14:textId="77777777" w:rsidR="00B65B1E" w:rsidRPr="00B65B1E" w:rsidRDefault="00B65B1E" w:rsidP="007E7EEA">
            <w:pPr>
              <w:numPr>
                <w:ilvl w:val="0"/>
                <w:numId w:val="6"/>
              </w:numPr>
              <w:suppressAutoHyphens/>
              <w:spacing w:after="0" w:line="240" w:lineRule="auto"/>
              <w:ind w:right="72" w:hanging="648"/>
              <w:jc w:val="both"/>
              <w:rPr>
                <w:rFonts w:ascii="Cambria" w:eastAsia="Times New Roman" w:hAnsi="Cambria" w:cs="Arial"/>
                <w:b/>
                <w:color w:val="000000"/>
                <w:kern w:val="36"/>
                <w:sz w:val="20"/>
                <w:szCs w:val="20"/>
                <w:lang w:val="es-CO"/>
              </w:rPr>
            </w:pPr>
            <w:r w:rsidRPr="00B65B1E">
              <w:rPr>
                <w:rFonts w:ascii="Cambria" w:eastAsia="Times New Roman" w:hAnsi="Cambria" w:cs="Arial"/>
                <w:b/>
                <w:color w:val="000000"/>
                <w:kern w:val="36"/>
                <w:sz w:val="20"/>
                <w:szCs w:val="20"/>
                <w:lang w:val="es-CO"/>
              </w:rPr>
              <w:t>REPARACIÓN ECONÓMICA.</w:t>
            </w:r>
          </w:p>
          <w:p w14:paraId="344798CC" w14:textId="77777777" w:rsidR="00B65B1E" w:rsidRPr="00B65B1E" w:rsidRDefault="00B65B1E" w:rsidP="00B65B1E">
            <w:pPr>
              <w:suppressAutoHyphens/>
              <w:spacing w:after="0" w:line="240" w:lineRule="auto"/>
              <w:ind w:right="72"/>
              <w:jc w:val="both"/>
              <w:rPr>
                <w:rFonts w:ascii="Cambria" w:eastAsia="Times New Roman" w:hAnsi="Cambria" w:cs="Arial"/>
                <w:b/>
                <w:color w:val="000000"/>
                <w:kern w:val="36"/>
                <w:sz w:val="20"/>
                <w:szCs w:val="20"/>
                <w:lang w:val="es-CO"/>
              </w:rPr>
            </w:pPr>
          </w:p>
          <w:p w14:paraId="39BD96C3" w14:textId="77777777" w:rsidR="00B65B1E" w:rsidRPr="00B65B1E" w:rsidRDefault="00B65B1E" w:rsidP="00B65B1E">
            <w:pPr>
              <w:suppressAutoHyphens/>
              <w:spacing w:after="0" w:line="240" w:lineRule="auto"/>
              <w:ind w:right="72"/>
              <w:jc w:val="both"/>
              <w:rPr>
                <w:rFonts w:ascii="Cambria" w:eastAsia="Times New Roman" w:hAnsi="Cambria" w:cs="Arial"/>
                <w:bCs/>
                <w:color w:val="000000"/>
                <w:kern w:val="36"/>
                <w:sz w:val="20"/>
                <w:szCs w:val="20"/>
                <w:lang w:val="es-CO"/>
              </w:rPr>
            </w:pPr>
            <w:r w:rsidRPr="00B65B1E">
              <w:rPr>
                <w:rFonts w:ascii="Cambria" w:eastAsia="Times New Roman" w:hAnsi="Cambria" w:cs="Arial"/>
                <w:bCs/>
                <w:color w:val="000000"/>
                <w:kern w:val="36"/>
                <w:sz w:val="20"/>
                <w:szCs w:val="20"/>
                <w:lang w:val="es-CO"/>
              </w:rPr>
              <w:t>Las partes en el presente Acuerdo de Solución Amistosa, reconocen la voluntad mutua demostrada en convenir un monto que permita reparar económicamente a los familiares de Richard Conrad Solórzano Contreras, por lo que el Estado se compromete a pagar al peticionario y su familia integrada por: Mario Conrado Solórzano Puac, Milton Josue, Edinson Geovany, Jaquelin Xiomara, Jorge Mario y Abner Alexander, todos de apellidos Solórzano Contreras, la indemnización de […] 3, la cual ha sido determinada mediante valuación actuarial realizada por consultor independiente, con el objeto de establecer el pago que corresponde a la reparación económica de los daños materiales e inmateriales o</w:t>
            </w:r>
            <w:r w:rsidRPr="00B65B1E">
              <w:rPr>
                <w:rFonts w:ascii="Cambria" w:hAnsi="Cambria" w:cs="Arial"/>
                <w:sz w:val="20"/>
                <w:szCs w:val="20"/>
                <w:lang w:val="es-CO"/>
              </w:rPr>
              <w:t xml:space="preserve"> </w:t>
            </w:r>
            <w:r w:rsidRPr="00B65B1E">
              <w:rPr>
                <w:rFonts w:ascii="Cambria" w:eastAsia="Times New Roman" w:hAnsi="Cambria" w:cs="Arial"/>
                <w:bCs/>
                <w:color w:val="000000"/>
                <w:kern w:val="36"/>
                <w:sz w:val="20"/>
                <w:szCs w:val="20"/>
                <w:lang w:val="es-CO"/>
              </w:rPr>
              <w:t xml:space="preserve">morales respectivos </w:t>
            </w:r>
          </w:p>
        </w:tc>
        <w:tc>
          <w:tcPr>
            <w:tcW w:w="4820" w:type="dxa"/>
            <w:tcBorders>
              <w:top w:val="single" w:sz="4" w:space="0" w:color="auto"/>
              <w:left w:val="single" w:sz="4" w:space="0" w:color="auto"/>
              <w:right w:val="single" w:sz="4" w:space="0" w:color="auto"/>
            </w:tcBorders>
            <w:vAlign w:val="center"/>
          </w:tcPr>
          <w:p w14:paraId="394D89B6" w14:textId="77777777" w:rsidR="00B65B1E" w:rsidRPr="00B65B1E" w:rsidRDefault="00B65B1E" w:rsidP="00B65B1E">
            <w:pPr>
              <w:suppressAutoHyphens/>
              <w:spacing w:after="0" w:line="240" w:lineRule="auto"/>
              <w:jc w:val="center"/>
              <w:rPr>
                <w:rFonts w:ascii="Cambria" w:eastAsia="Batang" w:hAnsi="Cambria" w:cs="Arial"/>
                <w:sz w:val="20"/>
                <w:szCs w:val="20"/>
                <w:vertAlign w:val="superscript"/>
                <w:lang w:val="es-CO"/>
              </w:rPr>
            </w:pPr>
            <w:r w:rsidRPr="00B65B1E">
              <w:rPr>
                <w:rFonts w:ascii="Cambria" w:eastAsia="Batang" w:hAnsi="Cambria" w:cs="Arial"/>
                <w:b/>
                <w:bCs/>
                <w:sz w:val="20"/>
                <w:szCs w:val="20"/>
                <w:lang w:val="es-CO"/>
              </w:rPr>
              <w:t>Total</w:t>
            </w:r>
            <w:r w:rsidRPr="00B65B1E">
              <w:rPr>
                <w:rFonts w:ascii="Cambria" w:eastAsia="Batang" w:hAnsi="Cambria" w:cs="Arial"/>
                <w:b/>
                <w:bCs/>
                <w:sz w:val="20"/>
                <w:szCs w:val="20"/>
                <w:vertAlign w:val="superscript"/>
                <w:lang w:val="es-CO"/>
              </w:rPr>
              <w:footnoteReference w:id="5"/>
            </w:r>
          </w:p>
        </w:tc>
      </w:tr>
    </w:tbl>
    <w:p w14:paraId="309132FD" w14:textId="77777777" w:rsidR="00B65B1E" w:rsidRPr="00B65B1E" w:rsidRDefault="00B65B1E" w:rsidP="004A29BC">
      <w:pPr>
        <w:suppressAutoHyphens/>
        <w:spacing w:after="0" w:line="240" w:lineRule="auto"/>
        <w:contextualSpacing/>
        <w:rPr>
          <w:rFonts w:ascii="Cambria" w:hAnsi="Cambria" w:cs="Arial"/>
          <w:color w:val="000000"/>
          <w:sz w:val="20"/>
          <w:szCs w:val="20"/>
          <w:lang w:val="es-CO"/>
        </w:rPr>
      </w:pPr>
    </w:p>
    <w:p w14:paraId="4D5DD313" w14:textId="77777777" w:rsidR="00B65B1E" w:rsidRPr="00B65B1E" w:rsidRDefault="00B65B1E" w:rsidP="007E7EEA">
      <w:pPr>
        <w:numPr>
          <w:ilvl w:val="0"/>
          <w:numId w:val="4"/>
        </w:numPr>
        <w:suppressAutoHyphens/>
        <w:autoSpaceDE w:val="0"/>
        <w:autoSpaceDN w:val="0"/>
        <w:adjustRightInd w:val="0"/>
        <w:spacing w:after="0" w:line="240" w:lineRule="auto"/>
        <w:ind w:left="1440"/>
        <w:jc w:val="both"/>
        <w:rPr>
          <w:rFonts w:ascii="Cambria" w:eastAsia="Batang" w:hAnsi="Cambria" w:cs="Arial"/>
          <w:color w:val="000000"/>
          <w:sz w:val="20"/>
          <w:szCs w:val="20"/>
          <w:lang w:val="es-CO"/>
        </w:rPr>
      </w:pPr>
      <w:r w:rsidRPr="00B65B1E">
        <w:rPr>
          <w:rFonts w:ascii="Cambria" w:eastAsia="Batang" w:hAnsi="Cambria" w:cs="Calibri Light"/>
          <w:b/>
          <w:color w:val="000000"/>
          <w:sz w:val="20"/>
          <w:szCs w:val="20"/>
          <w:lang w:val="es-CO"/>
        </w:rPr>
        <w:t xml:space="preserve">NIVEL DE CUMPLIMIENTO DEL CASO </w:t>
      </w:r>
    </w:p>
    <w:p w14:paraId="23775E77" w14:textId="77777777" w:rsidR="00B65B1E" w:rsidRPr="00B65B1E" w:rsidRDefault="00B65B1E" w:rsidP="00B65B1E">
      <w:pPr>
        <w:suppressAutoHyphens/>
        <w:spacing w:after="0" w:line="240" w:lineRule="auto"/>
        <w:jc w:val="both"/>
        <w:rPr>
          <w:rFonts w:ascii="Cambria" w:eastAsia="Batang" w:hAnsi="Cambria" w:cs="Arial"/>
          <w:color w:val="000000"/>
          <w:sz w:val="20"/>
          <w:szCs w:val="20"/>
          <w:lang w:val="es-CO"/>
        </w:rPr>
      </w:pPr>
    </w:p>
    <w:p w14:paraId="6D367587" w14:textId="6E461753" w:rsidR="00B65B1E" w:rsidRPr="004A29BC" w:rsidRDefault="00B65B1E" w:rsidP="007E7EEA">
      <w:pPr>
        <w:numPr>
          <w:ilvl w:val="0"/>
          <w:numId w:val="7"/>
        </w:numPr>
        <w:suppressAutoHyphens/>
        <w:spacing w:after="0" w:line="240" w:lineRule="auto"/>
        <w:ind w:left="0" w:firstLine="720"/>
        <w:contextualSpacing/>
        <w:jc w:val="both"/>
        <w:rPr>
          <w:rFonts w:ascii="Cambria" w:eastAsia="Batang" w:hAnsi="Cambria" w:cs="Calibri Light"/>
          <w:b/>
          <w:color w:val="000000"/>
          <w:sz w:val="20"/>
          <w:szCs w:val="20"/>
          <w:lang w:val="es-CO"/>
        </w:rPr>
      </w:pPr>
      <w:bookmarkStart w:id="1" w:name="_Hlk86934409"/>
      <w:r w:rsidRPr="00B65B1E">
        <w:rPr>
          <w:rFonts w:ascii="Cambria" w:eastAsia="Batang" w:hAnsi="Cambria" w:cs="Calibri Light"/>
          <w:color w:val="000000"/>
          <w:sz w:val="20"/>
          <w:szCs w:val="20"/>
          <w:lang w:val="es-CO"/>
        </w:rPr>
        <w:t xml:space="preserve">La Comisión </w:t>
      </w:r>
      <w:bookmarkEnd w:id="1"/>
      <w:r w:rsidR="004A29BC">
        <w:rPr>
          <w:rFonts w:ascii="Cambria" w:eastAsia="Batang" w:hAnsi="Cambria" w:cs="Calibri Light"/>
          <w:color w:val="000000"/>
          <w:sz w:val="20"/>
          <w:szCs w:val="20"/>
          <w:lang w:val="es-CO"/>
        </w:rPr>
        <w:t>declaró el cumplimiento parcial del asunto y el cese del seguimiento del acuerdo de solución amistosa en el Informe Anual 2024.</w:t>
      </w:r>
    </w:p>
    <w:p w14:paraId="4EC114A6" w14:textId="77777777" w:rsidR="004A29BC" w:rsidRPr="00B65B1E" w:rsidRDefault="004A29BC" w:rsidP="004A29BC">
      <w:pPr>
        <w:suppressAutoHyphens/>
        <w:spacing w:after="0" w:line="240" w:lineRule="auto"/>
        <w:contextualSpacing/>
        <w:jc w:val="both"/>
        <w:rPr>
          <w:rFonts w:ascii="Cambria" w:eastAsia="Batang" w:hAnsi="Cambria" w:cs="Calibri Light"/>
          <w:b/>
          <w:color w:val="000000"/>
          <w:sz w:val="20"/>
          <w:szCs w:val="20"/>
          <w:lang w:val="es-CO"/>
        </w:rPr>
      </w:pPr>
    </w:p>
    <w:p w14:paraId="5D47BA25" w14:textId="77777777" w:rsidR="00B65B1E" w:rsidRPr="00B65B1E" w:rsidRDefault="00B65B1E" w:rsidP="007E7EEA">
      <w:pPr>
        <w:numPr>
          <w:ilvl w:val="0"/>
          <w:numId w:val="4"/>
        </w:numPr>
        <w:suppressAutoHyphens/>
        <w:spacing w:after="0" w:line="240" w:lineRule="auto"/>
        <w:ind w:left="0" w:firstLine="720"/>
        <w:contextualSpacing/>
        <w:jc w:val="both"/>
        <w:rPr>
          <w:rFonts w:ascii="Cambria" w:eastAsia="Batang" w:hAnsi="Cambria" w:cs="Calibri Light"/>
          <w:color w:val="000000"/>
          <w:sz w:val="20"/>
          <w:szCs w:val="20"/>
          <w:lang w:val="es-CO"/>
        </w:rPr>
      </w:pPr>
      <w:r w:rsidRPr="00B65B1E">
        <w:rPr>
          <w:rFonts w:ascii="Cambria" w:eastAsia="Batang" w:hAnsi="Cambria" w:cs="Calibri Light"/>
          <w:b/>
          <w:color w:val="000000"/>
          <w:sz w:val="20"/>
          <w:szCs w:val="20"/>
          <w:lang w:val="es-CO"/>
        </w:rPr>
        <w:t xml:space="preserve">RESULTADOS INDIVIDUALES Y ESTRUCTURALES DEL CASO </w:t>
      </w:r>
    </w:p>
    <w:p w14:paraId="23BD1242" w14:textId="77777777" w:rsidR="00B65B1E" w:rsidRPr="00B65B1E" w:rsidRDefault="00B65B1E" w:rsidP="00B65B1E">
      <w:pPr>
        <w:suppressAutoHyphens/>
        <w:spacing w:after="0" w:line="240" w:lineRule="auto"/>
        <w:ind w:left="1440"/>
        <w:contextualSpacing/>
        <w:jc w:val="both"/>
        <w:rPr>
          <w:rFonts w:ascii="Cambria" w:eastAsia="Batang" w:hAnsi="Cambria" w:cs="Calibri Light"/>
          <w:b/>
          <w:color w:val="000000"/>
          <w:sz w:val="20"/>
          <w:szCs w:val="20"/>
          <w:lang w:val="es-CO"/>
        </w:rPr>
      </w:pPr>
    </w:p>
    <w:p w14:paraId="27722846" w14:textId="77777777" w:rsidR="00B65B1E" w:rsidRPr="00B65B1E" w:rsidRDefault="00B65B1E" w:rsidP="007E7EEA">
      <w:pPr>
        <w:numPr>
          <w:ilvl w:val="0"/>
          <w:numId w:val="5"/>
        </w:numPr>
        <w:suppressAutoHyphens/>
        <w:spacing w:after="0" w:line="240" w:lineRule="auto"/>
        <w:ind w:firstLine="0"/>
        <w:contextualSpacing/>
        <w:jc w:val="both"/>
        <w:rPr>
          <w:rFonts w:ascii="Cambria" w:eastAsia="Batang" w:hAnsi="Cambria" w:cs="Calibri Light"/>
          <w:b/>
          <w:color w:val="000000"/>
          <w:sz w:val="20"/>
          <w:szCs w:val="20"/>
          <w:lang w:val="es-CO"/>
        </w:rPr>
      </w:pPr>
      <w:r w:rsidRPr="00B65B1E">
        <w:rPr>
          <w:rFonts w:ascii="Cambria" w:eastAsia="Batang" w:hAnsi="Cambria" w:cs="Calibri Light"/>
          <w:b/>
          <w:color w:val="000000"/>
          <w:sz w:val="20"/>
          <w:szCs w:val="20"/>
          <w:lang w:val="es-CO"/>
        </w:rPr>
        <w:t>Resultados individuales del caso</w:t>
      </w:r>
    </w:p>
    <w:p w14:paraId="617FC50B" w14:textId="77777777" w:rsidR="00B65B1E" w:rsidRPr="00B65B1E" w:rsidRDefault="00B65B1E" w:rsidP="00B65B1E">
      <w:pPr>
        <w:suppressAutoHyphens/>
        <w:spacing w:after="0" w:line="240" w:lineRule="auto"/>
        <w:ind w:left="720"/>
        <w:contextualSpacing/>
        <w:jc w:val="both"/>
        <w:rPr>
          <w:rFonts w:ascii="Cambria" w:eastAsia="Batang" w:hAnsi="Cambria" w:cs="Calibri Light"/>
          <w:b/>
          <w:color w:val="000000"/>
          <w:sz w:val="20"/>
          <w:szCs w:val="20"/>
          <w:lang w:val="es-CO"/>
        </w:rPr>
      </w:pPr>
    </w:p>
    <w:p w14:paraId="7DB71900" w14:textId="77777777" w:rsidR="00B65B1E" w:rsidRPr="00B65B1E" w:rsidRDefault="00B65B1E" w:rsidP="007E7EEA">
      <w:pPr>
        <w:numPr>
          <w:ilvl w:val="0"/>
          <w:numId w:val="1"/>
        </w:numPr>
        <w:suppressAutoHyphens/>
        <w:spacing w:after="0" w:line="240" w:lineRule="auto"/>
        <w:contextualSpacing/>
        <w:jc w:val="both"/>
        <w:rPr>
          <w:rFonts w:ascii="Cambria" w:eastAsia="Batang" w:hAnsi="Cambria" w:cs="Calibri Light"/>
          <w:b/>
          <w:color w:val="000000"/>
          <w:sz w:val="20"/>
          <w:szCs w:val="20"/>
          <w:lang w:val="es-CO"/>
        </w:rPr>
      </w:pPr>
      <w:r w:rsidRPr="00B65B1E">
        <w:rPr>
          <w:rFonts w:ascii="Cambria" w:eastAsia="Batang" w:hAnsi="Cambria" w:cs="Calibri Light"/>
          <w:bCs/>
          <w:color w:val="000000"/>
          <w:sz w:val="20"/>
          <w:szCs w:val="20"/>
          <w:lang w:val="es-CO"/>
        </w:rPr>
        <w:t>El Estado realizó el pago correspondiente a la reparación económica, según lo acordado en el laudo arbitral.</w:t>
      </w:r>
    </w:p>
    <w:p w14:paraId="74470551" w14:textId="77777777" w:rsidR="00B65B1E" w:rsidRPr="00B65B1E" w:rsidRDefault="00B65B1E" w:rsidP="007E7EEA">
      <w:pPr>
        <w:numPr>
          <w:ilvl w:val="0"/>
          <w:numId w:val="1"/>
        </w:numPr>
        <w:suppressAutoHyphens/>
        <w:spacing w:after="0" w:line="240" w:lineRule="auto"/>
        <w:contextualSpacing/>
        <w:jc w:val="both"/>
        <w:rPr>
          <w:rFonts w:ascii="Cambria" w:eastAsia="Batang" w:hAnsi="Cambria" w:cs="Calibri Light"/>
          <w:b/>
          <w:color w:val="000000"/>
          <w:sz w:val="20"/>
          <w:szCs w:val="20"/>
          <w:lang w:val="es-CO"/>
        </w:rPr>
      </w:pPr>
      <w:r w:rsidRPr="00B65B1E">
        <w:rPr>
          <w:rFonts w:ascii="Cambria" w:eastAsia="Batang" w:hAnsi="Cambria" w:cs="Calibri Light"/>
          <w:bCs/>
          <w:color w:val="000000"/>
          <w:sz w:val="20"/>
          <w:szCs w:val="20"/>
          <w:lang w:val="es-CO"/>
        </w:rPr>
        <w:t>El Estado realizó un acto público de reconocimiento y solicitud de perdón en el Teatro Municipal, el cual fue transmitido en los canales locales.</w:t>
      </w:r>
    </w:p>
    <w:p w14:paraId="63A3D90D" w14:textId="77777777" w:rsidR="00B65B1E" w:rsidRPr="00B65B1E" w:rsidRDefault="00B65B1E" w:rsidP="00B65B1E">
      <w:pPr>
        <w:suppressAutoHyphens/>
        <w:spacing w:after="0" w:line="240" w:lineRule="auto"/>
        <w:contextualSpacing/>
        <w:jc w:val="both"/>
        <w:rPr>
          <w:rFonts w:ascii="Cambria" w:eastAsia="Batang" w:hAnsi="Cambria" w:cs="Arial"/>
          <w:color w:val="000000"/>
          <w:sz w:val="20"/>
          <w:szCs w:val="20"/>
          <w:lang w:val="es-CO"/>
        </w:rPr>
      </w:pPr>
    </w:p>
    <w:p w14:paraId="1FCAC5D4" w14:textId="77777777" w:rsidR="00B65B1E" w:rsidRPr="00B65B1E" w:rsidRDefault="00B65B1E" w:rsidP="007E7EEA">
      <w:pPr>
        <w:numPr>
          <w:ilvl w:val="0"/>
          <w:numId w:val="5"/>
        </w:numPr>
        <w:suppressAutoHyphens/>
        <w:spacing w:after="0" w:line="240" w:lineRule="auto"/>
        <w:ind w:firstLine="0"/>
        <w:contextualSpacing/>
        <w:jc w:val="both"/>
        <w:rPr>
          <w:rFonts w:ascii="Cambria" w:eastAsia="Batang" w:hAnsi="Cambria" w:cs="Calibri Light"/>
          <w:b/>
          <w:color w:val="000000"/>
          <w:sz w:val="20"/>
          <w:szCs w:val="20"/>
          <w:lang w:val="es-CO"/>
        </w:rPr>
      </w:pPr>
      <w:r w:rsidRPr="00B65B1E">
        <w:rPr>
          <w:rFonts w:ascii="Cambria" w:eastAsia="Batang" w:hAnsi="Cambria" w:cs="Calibri Light"/>
          <w:b/>
          <w:color w:val="000000"/>
          <w:sz w:val="20"/>
          <w:szCs w:val="20"/>
          <w:lang w:val="es-CO"/>
        </w:rPr>
        <w:t>Resultados estructurales del caso</w:t>
      </w:r>
    </w:p>
    <w:p w14:paraId="41142464" w14:textId="77777777" w:rsidR="00B65B1E" w:rsidRPr="00B65B1E" w:rsidRDefault="00B65B1E" w:rsidP="00B65B1E">
      <w:pPr>
        <w:suppressAutoHyphens/>
        <w:spacing w:after="0" w:line="240" w:lineRule="auto"/>
        <w:ind w:left="720"/>
        <w:contextualSpacing/>
        <w:jc w:val="both"/>
        <w:rPr>
          <w:rFonts w:ascii="Cambria" w:eastAsia="Batang" w:hAnsi="Cambria" w:cs="Calibri Light"/>
          <w:b/>
          <w:color w:val="000000"/>
          <w:sz w:val="20"/>
          <w:szCs w:val="20"/>
          <w:lang w:val="es-CO"/>
        </w:rPr>
      </w:pPr>
    </w:p>
    <w:p w14:paraId="3CC4EA05" w14:textId="77777777" w:rsidR="00B65B1E" w:rsidRPr="00B65B1E" w:rsidRDefault="00B65B1E" w:rsidP="007E7EEA">
      <w:pPr>
        <w:numPr>
          <w:ilvl w:val="0"/>
          <w:numId w:val="1"/>
        </w:numPr>
        <w:suppressAutoHyphens/>
        <w:spacing w:after="0" w:line="240" w:lineRule="auto"/>
        <w:ind w:left="1418" w:hanging="425"/>
        <w:contextualSpacing/>
        <w:jc w:val="both"/>
        <w:rPr>
          <w:rFonts w:ascii="Cambria" w:eastAsia="Batang" w:hAnsi="Cambria" w:cs="Calibri Light"/>
          <w:b/>
          <w:color w:val="000000"/>
          <w:sz w:val="20"/>
          <w:szCs w:val="20"/>
          <w:lang w:val="es-CO"/>
        </w:rPr>
      </w:pPr>
      <w:r w:rsidRPr="00B65B1E">
        <w:rPr>
          <w:rFonts w:ascii="Cambria" w:eastAsia="Batang" w:hAnsi="Cambria" w:cs="Calibri Light"/>
          <w:bCs/>
          <w:color w:val="000000"/>
          <w:sz w:val="20"/>
          <w:szCs w:val="20"/>
          <w:lang w:val="es-CO"/>
        </w:rPr>
        <w:t xml:space="preserve">El Estado realizó la Instalación de placa conmemorativa el día 26 de junio de 2014, según lo acordado. </w:t>
      </w:r>
    </w:p>
    <w:p w14:paraId="3B4E0DA4" w14:textId="55C61DE9" w:rsidR="008E72CA" w:rsidRPr="004A29BC" w:rsidRDefault="00B65B1E" w:rsidP="007E7EEA">
      <w:pPr>
        <w:numPr>
          <w:ilvl w:val="0"/>
          <w:numId w:val="1"/>
        </w:numPr>
        <w:suppressAutoHyphens/>
        <w:spacing w:after="0" w:line="240" w:lineRule="auto"/>
        <w:ind w:left="1418" w:hanging="425"/>
        <w:contextualSpacing/>
        <w:jc w:val="both"/>
        <w:rPr>
          <w:rFonts w:ascii="Cambria" w:eastAsia="Batang" w:hAnsi="Cambria" w:cs="Calibri Light"/>
          <w:bCs/>
          <w:color w:val="000000"/>
          <w:sz w:val="20"/>
          <w:szCs w:val="20"/>
          <w:lang w:val="es-CO"/>
        </w:rPr>
      </w:pPr>
      <w:r w:rsidRPr="00B65B1E">
        <w:rPr>
          <w:rFonts w:ascii="Cambria" w:eastAsia="Batang" w:hAnsi="Cambria" w:cs="Calibri Light"/>
          <w:bCs/>
          <w:color w:val="000000"/>
          <w:sz w:val="20"/>
          <w:szCs w:val="20"/>
          <w:lang w:val="es-CO"/>
        </w:rPr>
        <w:t>El Estado realizó cambio de nombre “10</w:t>
      </w:r>
      <w:r w:rsidRPr="00B65B1E">
        <w:rPr>
          <w:rFonts w:ascii="Cambria" w:eastAsia="Batang" w:hAnsi="Cambria" w:cs="Calibri Light"/>
          <w:bCs/>
          <w:color w:val="000000"/>
          <w:sz w:val="20"/>
          <w:szCs w:val="20"/>
          <w:vertAlign w:val="superscript"/>
          <w:lang w:val="es-CO"/>
        </w:rPr>
        <w:t>a</w:t>
      </w:r>
      <w:r w:rsidRPr="00B65B1E">
        <w:rPr>
          <w:rFonts w:ascii="Cambria" w:eastAsia="Batang" w:hAnsi="Cambria" w:cs="Calibri Light"/>
          <w:bCs/>
          <w:color w:val="000000"/>
          <w:sz w:val="20"/>
          <w:szCs w:val="20"/>
          <w:lang w:val="es-CO"/>
        </w:rPr>
        <w:t xml:space="preserve"> Avenida zona 2 barrio el Jardín” a “Estudiante Richard Solórzano”, según lo acordado.</w:t>
      </w:r>
    </w:p>
    <w:sectPr w:rsidR="008E72CA" w:rsidRPr="004A29BC" w:rsidSect="007E4E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CF93" w14:textId="77777777" w:rsidR="0035598C" w:rsidRDefault="0035598C" w:rsidP="00A343FF">
      <w:pPr>
        <w:spacing w:after="0" w:line="240" w:lineRule="auto"/>
      </w:pPr>
      <w:r>
        <w:separator/>
      </w:r>
    </w:p>
  </w:endnote>
  <w:endnote w:type="continuationSeparator" w:id="0">
    <w:p w14:paraId="07B12940" w14:textId="77777777" w:rsidR="0035598C" w:rsidRDefault="0035598C" w:rsidP="00A343FF">
      <w:pPr>
        <w:spacing w:after="0" w:line="240" w:lineRule="auto"/>
      </w:pPr>
      <w:r>
        <w:continuationSeparator/>
      </w:r>
    </w:p>
  </w:endnote>
  <w:endnote w:type="continuationNotice" w:id="1">
    <w:p w14:paraId="3087229E" w14:textId="77777777" w:rsidR="0035598C" w:rsidRDefault="00355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5C24AE1A" w:rsidR="00D222B7" w:rsidRDefault="006C2ACF" w:rsidP="00CA3AA8">
    <w:pPr>
      <w:pStyle w:val="Footer"/>
      <w:spacing w:line="360" w:lineRule="auto"/>
      <w:jc w:val="right"/>
    </w:pPr>
    <w:r>
      <w:rPr>
        <w:noProof/>
      </w:rPr>
      <w:pict w14:anchorId="6BE570C9">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8EBA" w14:textId="77777777" w:rsidR="0035598C" w:rsidRDefault="0035598C" w:rsidP="00A343FF">
      <w:pPr>
        <w:spacing w:after="0" w:line="240" w:lineRule="auto"/>
      </w:pPr>
      <w:r>
        <w:separator/>
      </w:r>
    </w:p>
  </w:footnote>
  <w:footnote w:type="continuationSeparator" w:id="0">
    <w:p w14:paraId="458AC99C" w14:textId="77777777" w:rsidR="0035598C" w:rsidRDefault="0035598C" w:rsidP="00A343FF">
      <w:pPr>
        <w:spacing w:after="0" w:line="240" w:lineRule="auto"/>
      </w:pPr>
      <w:r>
        <w:continuationSeparator/>
      </w:r>
    </w:p>
  </w:footnote>
  <w:footnote w:type="continuationNotice" w:id="1">
    <w:p w14:paraId="60F182DC" w14:textId="77777777" w:rsidR="0035598C" w:rsidRDefault="0035598C">
      <w:pPr>
        <w:spacing w:after="0" w:line="240" w:lineRule="auto"/>
      </w:pPr>
    </w:p>
  </w:footnote>
  <w:footnote w:id="2">
    <w:p w14:paraId="1DDA53DB" w14:textId="78DF96A7" w:rsidR="00B65B1E" w:rsidRPr="00B65B1E" w:rsidRDefault="00B65B1E" w:rsidP="00B65B1E">
      <w:pPr>
        <w:pStyle w:val="FootnoteText"/>
        <w:spacing w:after="0" w:line="240" w:lineRule="auto"/>
        <w:ind w:firstLine="709"/>
        <w:jc w:val="both"/>
        <w:rPr>
          <w:rFonts w:ascii="Cambria" w:hAnsi="Cambria"/>
          <w:sz w:val="16"/>
          <w:szCs w:val="16"/>
          <w:lang w:val="es-CO"/>
        </w:rPr>
      </w:pPr>
      <w:r w:rsidRPr="00B65B1E">
        <w:rPr>
          <w:rStyle w:val="FootnoteReference"/>
          <w:rFonts w:ascii="Cambria" w:hAnsi="Cambria"/>
          <w:sz w:val="16"/>
          <w:szCs w:val="16"/>
        </w:rPr>
        <w:footnoteRef/>
      </w:r>
      <w:r w:rsidRPr="007E7EEA">
        <w:rPr>
          <w:rFonts w:ascii="Cambria" w:hAnsi="Cambria"/>
          <w:sz w:val="16"/>
          <w:szCs w:val="16"/>
          <w:lang w:val="pt-BR"/>
        </w:rPr>
        <w:t xml:space="preserve"> </w:t>
      </w:r>
      <w:r w:rsidR="008D4280" w:rsidRPr="007E7EEA">
        <w:rPr>
          <w:rFonts w:ascii="Cambria" w:hAnsi="Cambria"/>
          <w:sz w:val="16"/>
          <w:szCs w:val="16"/>
          <w:lang w:val="pt-BR"/>
        </w:rPr>
        <w:t xml:space="preserve">Ver </w:t>
      </w:r>
      <w:r w:rsidRPr="007E7EEA">
        <w:rPr>
          <w:rFonts w:ascii="Cambria" w:hAnsi="Cambria"/>
          <w:sz w:val="16"/>
          <w:szCs w:val="16"/>
          <w:lang w:val="pt-BR"/>
        </w:rPr>
        <w:t xml:space="preserve">CIDH, Informe No. 86/20 Caso 12.732. </w:t>
      </w:r>
      <w:r w:rsidRPr="00B65B1E">
        <w:rPr>
          <w:rFonts w:ascii="Cambria" w:hAnsi="Cambria"/>
          <w:sz w:val="16"/>
          <w:szCs w:val="16"/>
          <w:lang w:val="es-CO"/>
        </w:rPr>
        <w:t>Solución Amistosa. Richard Conrad Solórzano Contreras. Guatemala. 1 de junio de 2020. Disponible en</w:t>
      </w:r>
      <w:r w:rsidR="008D4280">
        <w:rPr>
          <w:rFonts w:ascii="Cambria" w:hAnsi="Cambria"/>
          <w:sz w:val="16"/>
          <w:szCs w:val="16"/>
          <w:lang w:val="es-CO"/>
        </w:rPr>
        <w:t>:</w:t>
      </w:r>
      <w:r w:rsidRPr="00B65B1E">
        <w:rPr>
          <w:rFonts w:ascii="Cambria" w:hAnsi="Cambria"/>
          <w:sz w:val="16"/>
          <w:szCs w:val="16"/>
          <w:lang w:val="es-CO"/>
        </w:rPr>
        <w:t xml:space="preserve"> </w:t>
      </w:r>
      <w:hyperlink r:id="rId1" w:history="1">
        <w:r w:rsidRPr="00B65B1E">
          <w:rPr>
            <w:rStyle w:val="Hyperlink"/>
            <w:rFonts w:ascii="Cambria" w:hAnsi="Cambria"/>
            <w:sz w:val="16"/>
            <w:szCs w:val="16"/>
            <w:lang w:val="es-CO"/>
          </w:rPr>
          <w:t>http://www.oas.org/es/cidh/decisiones/2020/gusa12732es.pdf</w:t>
        </w:r>
      </w:hyperlink>
      <w:r w:rsidR="008D4280">
        <w:rPr>
          <w:rStyle w:val="Hyperlink"/>
          <w:rFonts w:ascii="Cambria" w:hAnsi="Cambria"/>
          <w:sz w:val="16"/>
          <w:szCs w:val="16"/>
          <w:lang w:val="es-CO"/>
        </w:rPr>
        <w:t>.</w:t>
      </w:r>
      <w:r w:rsidRPr="00B65B1E">
        <w:rPr>
          <w:rFonts w:ascii="Cambria" w:hAnsi="Cambria"/>
          <w:sz w:val="16"/>
          <w:szCs w:val="16"/>
          <w:lang w:val="es-CO"/>
        </w:rPr>
        <w:t xml:space="preserve"> </w:t>
      </w:r>
    </w:p>
  </w:footnote>
  <w:footnote w:id="3">
    <w:p w14:paraId="5BCFC608" w14:textId="6D64B408" w:rsidR="00B65B1E" w:rsidRPr="00B65B1E" w:rsidRDefault="00B65B1E" w:rsidP="00B65B1E">
      <w:pPr>
        <w:pStyle w:val="FootnoteText"/>
        <w:spacing w:after="0" w:line="240" w:lineRule="auto"/>
        <w:ind w:firstLine="709"/>
        <w:jc w:val="both"/>
        <w:rPr>
          <w:rFonts w:ascii="Cambria" w:hAnsi="Cambria"/>
          <w:sz w:val="16"/>
          <w:szCs w:val="16"/>
          <w:lang w:val="es-AR"/>
        </w:rPr>
      </w:pPr>
      <w:r w:rsidRPr="00B65B1E">
        <w:rPr>
          <w:rStyle w:val="FootnoteReference"/>
          <w:rFonts w:ascii="Cambria" w:hAnsi="Cambria"/>
          <w:sz w:val="16"/>
          <w:szCs w:val="16"/>
        </w:rPr>
        <w:footnoteRef/>
      </w:r>
      <w:r w:rsidRPr="00B65B1E">
        <w:rPr>
          <w:rFonts w:ascii="Cambria" w:hAnsi="Cambria"/>
          <w:sz w:val="16"/>
          <w:szCs w:val="16"/>
          <w:lang w:val="es-AR"/>
        </w:rPr>
        <w:t xml:space="preserve"> Ver CIDH, </w:t>
      </w:r>
      <w:r w:rsidRPr="008D4280">
        <w:rPr>
          <w:rFonts w:ascii="Cambria" w:hAnsi="Cambria"/>
          <w:sz w:val="16"/>
          <w:szCs w:val="16"/>
          <w:lang w:val="es-AR"/>
        </w:rPr>
        <w:t>Informe Anual 2023, Capítulo II, Sección C</w:t>
      </w:r>
      <w:r w:rsidR="008D4280">
        <w:rPr>
          <w:rFonts w:ascii="Cambria" w:hAnsi="Cambria"/>
          <w:sz w:val="16"/>
          <w:szCs w:val="16"/>
          <w:lang w:val="es-AR"/>
        </w:rPr>
        <w:t>.</w:t>
      </w:r>
      <w:r w:rsidRPr="008D4280">
        <w:rPr>
          <w:rFonts w:ascii="Cambria" w:hAnsi="Cambria"/>
          <w:sz w:val="16"/>
          <w:szCs w:val="16"/>
          <w:lang w:val="es-AR"/>
        </w:rPr>
        <w:t xml:space="preserve"> Avances y retrocesos en materia de negociación e implementación de acuerdos de solución amistosa</w:t>
      </w:r>
      <w:r w:rsidRPr="00B65B1E">
        <w:rPr>
          <w:rFonts w:ascii="Cambria" w:hAnsi="Cambria"/>
          <w:sz w:val="16"/>
          <w:szCs w:val="16"/>
          <w:lang w:val="es-AR"/>
        </w:rPr>
        <w:t>.</w:t>
      </w:r>
      <w:r w:rsidR="008D4280">
        <w:rPr>
          <w:rFonts w:ascii="Cambria" w:hAnsi="Cambria"/>
          <w:sz w:val="16"/>
          <w:szCs w:val="16"/>
          <w:lang w:val="es-AR"/>
        </w:rPr>
        <w:t xml:space="preserve"> Disponible en: </w:t>
      </w:r>
      <w:hyperlink r:id="rId2" w:history="1">
        <w:r w:rsidR="008D4280" w:rsidRPr="00197828">
          <w:rPr>
            <w:rStyle w:val="Hyperlink"/>
            <w:rFonts w:ascii="Cambria" w:hAnsi="Cambria"/>
            <w:sz w:val="16"/>
            <w:szCs w:val="16"/>
            <w:lang w:val="es-AR"/>
          </w:rPr>
          <w:t>https://www.oas.org/es/cidh/docs/anual/2023/capitulos/IA2023_Cap_2_SPA.PDF</w:t>
        </w:r>
      </w:hyperlink>
      <w:r w:rsidR="008D4280">
        <w:rPr>
          <w:rFonts w:ascii="Cambria" w:hAnsi="Cambria"/>
          <w:sz w:val="16"/>
          <w:szCs w:val="16"/>
          <w:lang w:val="es-AR"/>
        </w:rPr>
        <w:t xml:space="preserve">. </w:t>
      </w:r>
    </w:p>
  </w:footnote>
  <w:footnote w:id="4">
    <w:p w14:paraId="09EAC990" w14:textId="6491E869" w:rsidR="00B65B1E" w:rsidRPr="00B65B1E" w:rsidRDefault="00B65B1E" w:rsidP="00B65B1E">
      <w:pPr>
        <w:pStyle w:val="FootnoteText"/>
        <w:spacing w:after="0" w:line="240" w:lineRule="auto"/>
        <w:ind w:firstLine="709"/>
        <w:jc w:val="both"/>
        <w:rPr>
          <w:rFonts w:ascii="Cambria" w:hAnsi="Cambria"/>
          <w:sz w:val="16"/>
          <w:szCs w:val="16"/>
          <w:lang w:val="es-ES_tradnl"/>
        </w:rPr>
      </w:pPr>
      <w:r w:rsidRPr="00B65B1E">
        <w:rPr>
          <w:rStyle w:val="FootnoteReference"/>
          <w:rFonts w:ascii="Cambria" w:hAnsi="Cambria"/>
          <w:sz w:val="16"/>
          <w:szCs w:val="16"/>
        </w:rPr>
        <w:footnoteRef/>
      </w:r>
      <w:r w:rsidRPr="007E7EEA">
        <w:rPr>
          <w:rFonts w:ascii="Cambria" w:hAnsi="Cambria"/>
          <w:sz w:val="16"/>
          <w:szCs w:val="16"/>
          <w:lang w:val="es-CO"/>
        </w:rPr>
        <w:t xml:space="preserve"> </w:t>
      </w:r>
      <w:r w:rsidRPr="00B65B1E">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3" w:history="1">
        <w:r w:rsidRPr="00B65B1E">
          <w:rPr>
            <w:rStyle w:val="Hyperlink"/>
            <w:rFonts w:ascii="Cambria" w:hAnsi="Cambria"/>
            <w:sz w:val="16"/>
            <w:szCs w:val="16"/>
            <w:lang w:val="es-ES_tradnl"/>
          </w:rPr>
          <w:t>https://www.oas.org/es/cidh/docs/anual/2024/capitulos/IA2024_2_ES.pdf</w:t>
        </w:r>
      </w:hyperlink>
      <w:r w:rsidRPr="007E7EEA">
        <w:rPr>
          <w:rFonts w:ascii="Cambria" w:hAnsi="Cambria"/>
          <w:sz w:val="16"/>
          <w:szCs w:val="16"/>
          <w:lang w:val="es-CO"/>
        </w:rPr>
        <w:t>.</w:t>
      </w:r>
    </w:p>
  </w:footnote>
  <w:footnote w:id="5">
    <w:p w14:paraId="3F0DCD00" w14:textId="4C87A17C" w:rsidR="00B65B1E" w:rsidRPr="00B65B1E" w:rsidRDefault="00B65B1E" w:rsidP="00B65B1E">
      <w:pPr>
        <w:pStyle w:val="FootnoteText"/>
        <w:spacing w:after="0" w:line="240" w:lineRule="auto"/>
        <w:ind w:firstLine="709"/>
        <w:jc w:val="both"/>
        <w:rPr>
          <w:rFonts w:ascii="Cambria" w:hAnsi="Cambria"/>
          <w:sz w:val="16"/>
          <w:szCs w:val="16"/>
          <w:lang w:val="es-CO"/>
        </w:rPr>
      </w:pPr>
      <w:r w:rsidRPr="00B65B1E">
        <w:rPr>
          <w:rStyle w:val="FootnoteReference"/>
          <w:rFonts w:ascii="Cambria" w:hAnsi="Cambria"/>
          <w:sz w:val="16"/>
          <w:szCs w:val="16"/>
        </w:rPr>
        <w:footnoteRef/>
      </w:r>
      <w:r w:rsidRPr="00B65B1E">
        <w:rPr>
          <w:rFonts w:ascii="Cambria" w:hAnsi="Cambria"/>
          <w:sz w:val="16"/>
          <w:szCs w:val="16"/>
          <w:lang w:val="es-CO"/>
        </w:rPr>
        <w:t xml:space="preserve"> </w:t>
      </w:r>
      <w:r w:rsidR="008D4280">
        <w:rPr>
          <w:rFonts w:ascii="Cambria" w:hAnsi="Cambria"/>
          <w:sz w:val="16"/>
          <w:szCs w:val="16"/>
          <w:lang w:val="es-CO"/>
        </w:rPr>
        <w:t xml:space="preserve">Ver </w:t>
      </w:r>
      <w:r w:rsidRPr="00B65B1E">
        <w:rPr>
          <w:rFonts w:ascii="Cambria" w:hAnsi="Cambria"/>
          <w:sz w:val="16"/>
          <w:szCs w:val="16"/>
          <w:lang w:val="es-CO"/>
        </w:rPr>
        <w:t xml:space="preserve">CIDH, Informe No. 86/20 Caso 12.732. Solución Amistosa. Richard Conrad Solórzano Contreras. Guatemala. 1 de junio de 2020. Disponible en </w:t>
      </w:r>
      <w:hyperlink r:id="rId4" w:history="1">
        <w:r w:rsidRPr="00B65B1E">
          <w:rPr>
            <w:rStyle w:val="Hyperlink"/>
            <w:rFonts w:ascii="Cambria" w:hAnsi="Cambria"/>
            <w:sz w:val="16"/>
            <w:szCs w:val="16"/>
            <w:lang w:val="es-CO"/>
          </w:rPr>
          <w:t>http://www.oas.org/es/cidh/decisiones/2020/gusa12732es.pdf</w:t>
        </w:r>
      </w:hyperlink>
      <w:r w:rsidR="008D4280">
        <w:rPr>
          <w:rStyle w:val="Hyperlink"/>
          <w:rFonts w:ascii="Cambria" w:hAnsi="Cambria"/>
          <w:sz w:val="16"/>
          <w:szCs w:val="16"/>
          <w:lang w:val="es-CO"/>
        </w:rPr>
        <w:t>.</w:t>
      </w:r>
      <w:r w:rsidRPr="00B65B1E">
        <w:rPr>
          <w:rFonts w:ascii="Cambria" w:hAnsi="Cambria"/>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5C2673C1" w14:textId="388AA91B" w:rsidR="007E7EEA" w:rsidRPr="00234F67" w:rsidRDefault="006C2ACF" w:rsidP="00234F67">
    <w:pPr>
      <w:pStyle w:val="Header"/>
      <w:jc w:val="center"/>
      <w:rPr>
        <w:lang w:val="es-ES_tradnl"/>
      </w:rPr>
    </w:pPr>
    <w:bookmarkStart w:id="2" w:name="_Hlk204342513"/>
    <w:r>
      <w:rPr>
        <w:noProof/>
      </w:rPr>
      <w:pict w14:anchorId="4A33993E">
        <v:rect id="_x0000_i1025" alt="" style="width:441.9pt;height:.05pt;mso-width-percent:0;mso-height-percent:0;mso-width-percent:0;mso-height-percent:0" o:hralign="center" o:hrstd="t" o:hr="t" fillcolor="#a0a0a0" stroked="f"/>
      </w:pic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6C2ACF"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6B3"/>
    <w:multiLevelType w:val="hybridMultilevel"/>
    <w:tmpl w:val="31645930"/>
    <w:lvl w:ilvl="0" w:tplc="060653D6">
      <w:start w:val="1"/>
      <w:numFmt w:val="decimal"/>
      <w:lvlText w:val="%1."/>
      <w:lvlJc w:val="left"/>
      <w:pPr>
        <w:ind w:left="1080" w:hanging="360"/>
      </w:pPr>
      <w:rPr>
        <w:rFonts w:ascii="Cambria" w:eastAsia="Batang" w:hAnsi="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F30BF"/>
    <w:multiLevelType w:val="hybridMultilevel"/>
    <w:tmpl w:val="9E8CF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7753E"/>
    <w:multiLevelType w:val="hybridMultilevel"/>
    <w:tmpl w:val="092094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F327DAA"/>
    <w:multiLevelType w:val="hybridMultilevel"/>
    <w:tmpl w:val="564C2810"/>
    <w:lvl w:ilvl="0" w:tplc="66AC60D4">
      <w:start w:val="2"/>
      <w:numFmt w:val="upperRoman"/>
      <w:lvlText w:val="%1."/>
      <w:lvlJc w:val="left"/>
      <w:pPr>
        <w:ind w:left="1712"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E74AE"/>
    <w:multiLevelType w:val="hybridMultilevel"/>
    <w:tmpl w:val="827E8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9570A6"/>
    <w:multiLevelType w:val="multilevel"/>
    <w:tmpl w:val="6EF4020A"/>
    <w:lvl w:ilvl="0">
      <w:start w:val="1"/>
      <w:numFmt w:val="decimal"/>
      <w:pStyle w:val="IASubttulo3"/>
      <w:lvlText w:val="%1."/>
      <w:lvlJc w:val="left"/>
      <w:pPr>
        <w:tabs>
          <w:tab w:val="num" w:pos="720"/>
        </w:tabs>
        <w:ind w:left="1440" w:hanging="72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EE26E1D"/>
    <w:multiLevelType w:val="hybridMultilevel"/>
    <w:tmpl w:val="25BAA4B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040671">
    <w:abstractNumId w:val="2"/>
  </w:num>
  <w:num w:numId="2" w16cid:durableId="511534976">
    <w:abstractNumId w:val="5"/>
  </w:num>
  <w:num w:numId="3" w16cid:durableId="417944192">
    <w:abstractNumId w:val="6"/>
  </w:num>
  <w:num w:numId="4" w16cid:durableId="1527862820">
    <w:abstractNumId w:val="3"/>
  </w:num>
  <w:num w:numId="5" w16cid:durableId="600600505">
    <w:abstractNumId w:val="1"/>
  </w:num>
  <w:num w:numId="6" w16cid:durableId="638387541">
    <w:abstractNumId w:val="4"/>
  </w:num>
  <w:num w:numId="7" w16cid:durableId="205862037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121F"/>
    <w:rsid w:val="00004375"/>
    <w:rsid w:val="0001720F"/>
    <w:rsid w:val="00031E01"/>
    <w:rsid w:val="00033B04"/>
    <w:rsid w:val="00035689"/>
    <w:rsid w:val="00037EE7"/>
    <w:rsid w:val="0005228B"/>
    <w:rsid w:val="00060C0A"/>
    <w:rsid w:val="0006625E"/>
    <w:rsid w:val="00074C00"/>
    <w:rsid w:val="00082741"/>
    <w:rsid w:val="00082B16"/>
    <w:rsid w:val="000840A1"/>
    <w:rsid w:val="000A1EFD"/>
    <w:rsid w:val="000D73E4"/>
    <w:rsid w:val="000F4520"/>
    <w:rsid w:val="0010578C"/>
    <w:rsid w:val="00106C59"/>
    <w:rsid w:val="00136D54"/>
    <w:rsid w:val="00151983"/>
    <w:rsid w:val="0015583C"/>
    <w:rsid w:val="00163E52"/>
    <w:rsid w:val="00183508"/>
    <w:rsid w:val="001C0A6D"/>
    <w:rsid w:val="001C230A"/>
    <w:rsid w:val="001F495A"/>
    <w:rsid w:val="0021669C"/>
    <w:rsid w:val="00217A39"/>
    <w:rsid w:val="00217F58"/>
    <w:rsid w:val="00234F67"/>
    <w:rsid w:val="00250058"/>
    <w:rsid w:val="0025651E"/>
    <w:rsid w:val="002659F6"/>
    <w:rsid w:val="002A1ED6"/>
    <w:rsid w:val="002A39B2"/>
    <w:rsid w:val="002A7539"/>
    <w:rsid w:val="002B0B2A"/>
    <w:rsid w:val="002C446E"/>
    <w:rsid w:val="002C76AC"/>
    <w:rsid w:val="00300DA5"/>
    <w:rsid w:val="00301A2A"/>
    <w:rsid w:val="0030543F"/>
    <w:rsid w:val="0032092C"/>
    <w:rsid w:val="003358E6"/>
    <w:rsid w:val="00336E4E"/>
    <w:rsid w:val="003412B2"/>
    <w:rsid w:val="0035598C"/>
    <w:rsid w:val="00360412"/>
    <w:rsid w:val="00363E14"/>
    <w:rsid w:val="00393310"/>
    <w:rsid w:val="003A00B1"/>
    <w:rsid w:val="003D4630"/>
    <w:rsid w:val="003E3690"/>
    <w:rsid w:val="003E4B42"/>
    <w:rsid w:val="003F417D"/>
    <w:rsid w:val="003F437F"/>
    <w:rsid w:val="0040037B"/>
    <w:rsid w:val="00403841"/>
    <w:rsid w:val="0041423F"/>
    <w:rsid w:val="00414346"/>
    <w:rsid w:val="00450646"/>
    <w:rsid w:val="004633EB"/>
    <w:rsid w:val="0047175E"/>
    <w:rsid w:val="00483B3C"/>
    <w:rsid w:val="00483CF7"/>
    <w:rsid w:val="00486911"/>
    <w:rsid w:val="004A15BA"/>
    <w:rsid w:val="004A29BC"/>
    <w:rsid w:val="004A4561"/>
    <w:rsid w:val="004A4FAC"/>
    <w:rsid w:val="004C4D9C"/>
    <w:rsid w:val="004D7999"/>
    <w:rsid w:val="004F3B49"/>
    <w:rsid w:val="00513A38"/>
    <w:rsid w:val="00525898"/>
    <w:rsid w:val="00537F2F"/>
    <w:rsid w:val="005664CA"/>
    <w:rsid w:val="005834BD"/>
    <w:rsid w:val="0058688A"/>
    <w:rsid w:val="00590BCD"/>
    <w:rsid w:val="0059345C"/>
    <w:rsid w:val="005B23B6"/>
    <w:rsid w:val="005C4307"/>
    <w:rsid w:val="005C5563"/>
    <w:rsid w:val="005D0356"/>
    <w:rsid w:val="005D1113"/>
    <w:rsid w:val="005D1DC2"/>
    <w:rsid w:val="005E11CE"/>
    <w:rsid w:val="005E6CF2"/>
    <w:rsid w:val="005F4AAA"/>
    <w:rsid w:val="00604132"/>
    <w:rsid w:val="00604F1C"/>
    <w:rsid w:val="0061516F"/>
    <w:rsid w:val="00627C9D"/>
    <w:rsid w:val="00631A43"/>
    <w:rsid w:val="00650D57"/>
    <w:rsid w:val="006518D8"/>
    <w:rsid w:val="006753A9"/>
    <w:rsid w:val="006929AA"/>
    <w:rsid w:val="0069586A"/>
    <w:rsid w:val="006964C0"/>
    <w:rsid w:val="006A592E"/>
    <w:rsid w:val="006A6CAF"/>
    <w:rsid w:val="006B3D07"/>
    <w:rsid w:val="006C2ACF"/>
    <w:rsid w:val="006D2360"/>
    <w:rsid w:val="006E0736"/>
    <w:rsid w:val="006E23B9"/>
    <w:rsid w:val="006F0429"/>
    <w:rsid w:val="0070714C"/>
    <w:rsid w:val="0073374A"/>
    <w:rsid w:val="00741FC9"/>
    <w:rsid w:val="00745807"/>
    <w:rsid w:val="007546B7"/>
    <w:rsid w:val="007779B2"/>
    <w:rsid w:val="0078116D"/>
    <w:rsid w:val="00783682"/>
    <w:rsid w:val="0078691F"/>
    <w:rsid w:val="007A6889"/>
    <w:rsid w:val="007B23CA"/>
    <w:rsid w:val="007B6F7C"/>
    <w:rsid w:val="007C2CC3"/>
    <w:rsid w:val="007C351D"/>
    <w:rsid w:val="007D543E"/>
    <w:rsid w:val="007E0A0A"/>
    <w:rsid w:val="007E3059"/>
    <w:rsid w:val="007E346D"/>
    <w:rsid w:val="007E4ED5"/>
    <w:rsid w:val="007E7421"/>
    <w:rsid w:val="007E7EEA"/>
    <w:rsid w:val="007F5A92"/>
    <w:rsid w:val="007F5F4E"/>
    <w:rsid w:val="007F7616"/>
    <w:rsid w:val="0080116E"/>
    <w:rsid w:val="008012A4"/>
    <w:rsid w:val="008060DE"/>
    <w:rsid w:val="00807BAA"/>
    <w:rsid w:val="008134EF"/>
    <w:rsid w:val="00823877"/>
    <w:rsid w:val="008437F1"/>
    <w:rsid w:val="00853897"/>
    <w:rsid w:val="00854C6B"/>
    <w:rsid w:val="008550EF"/>
    <w:rsid w:val="00863192"/>
    <w:rsid w:val="008776EB"/>
    <w:rsid w:val="0089637D"/>
    <w:rsid w:val="008A3BA4"/>
    <w:rsid w:val="008D3166"/>
    <w:rsid w:val="008D4280"/>
    <w:rsid w:val="008E1A23"/>
    <w:rsid w:val="008E72CA"/>
    <w:rsid w:val="00911130"/>
    <w:rsid w:val="00913BF3"/>
    <w:rsid w:val="00917950"/>
    <w:rsid w:val="00931D14"/>
    <w:rsid w:val="009331A5"/>
    <w:rsid w:val="00933A89"/>
    <w:rsid w:val="00936FD6"/>
    <w:rsid w:val="00944F57"/>
    <w:rsid w:val="009477D5"/>
    <w:rsid w:val="009603DF"/>
    <w:rsid w:val="00977EF7"/>
    <w:rsid w:val="0099114B"/>
    <w:rsid w:val="00996A1D"/>
    <w:rsid w:val="009A542A"/>
    <w:rsid w:val="009B480D"/>
    <w:rsid w:val="009C4D87"/>
    <w:rsid w:val="009D20DE"/>
    <w:rsid w:val="009D3412"/>
    <w:rsid w:val="009D3B59"/>
    <w:rsid w:val="009D4C34"/>
    <w:rsid w:val="009D50E2"/>
    <w:rsid w:val="009F0FEB"/>
    <w:rsid w:val="009F1C70"/>
    <w:rsid w:val="009F4D7F"/>
    <w:rsid w:val="009F5033"/>
    <w:rsid w:val="00A01DB8"/>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D5A1F"/>
    <w:rsid w:val="00AE1B0F"/>
    <w:rsid w:val="00AE6BE2"/>
    <w:rsid w:val="00AF0CEC"/>
    <w:rsid w:val="00B036BC"/>
    <w:rsid w:val="00B056D9"/>
    <w:rsid w:val="00B2161A"/>
    <w:rsid w:val="00B22024"/>
    <w:rsid w:val="00B37978"/>
    <w:rsid w:val="00B46E94"/>
    <w:rsid w:val="00B5680B"/>
    <w:rsid w:val="00B65B1E"/>
    <w:rsid w:val="00B703B3"/>
    <w:rsid w:val="00B7274D"/>
    <w:rsid w:val="00B75824"/>
    <w:rsid w:val="00B806AC"/>
    <w:rsid w:val="00B85F13"/>
    <w:rsid w:val="00B90B9D"/>
    <w:rsid w:val="00B91D8E"/>
    <w:rsid w:val="00B93993"/>
    <w:rsid w:val="00BA4AC9"/>
    <w:rsid w:val="00BE2369"/>
    <w:rsid w:val="00BE26A4"/>
    <w:rsid w:val="00BF33B2"/>
    <w:rsid w:val="00C00953"/>
    <w:rsid w:val="00C04C07"/>
    <w:rsid w:val="00C1382E"/>
    <w:rsid w:val="00C345B0"/>
    <w:rsid w:val="00C40F2C"/>
    <w:rsid w:val="00C5546C"/>
    <w:rsid w:val="00C6263A"/>
    <w:rsid w:val="00C70DD0"/>
    <w:rsid w:val="00C74AF5"/>
    <w:rsid w:val="00CA2777"/>
    <w:rsid w:val="00CA3AA8"/>
    <w:rsid w:val="00CB65EF"/>
    <w:rsid w:val="00CC4274"/>
    <w:rsid w:val="00CC722B"/>
    <w:rsid w:val="00CE08DC"/>
    <w:rsid w:val="00CE4E6F"/>
    <w:rsid w:val="00D05BCC"/>
    <w:rsid w:val="00D13990"/>
    <w:rsid w:val="00D222B7"/>
    <w:rsid w:val="00D36A3D"/>
    <w:rsid w:val="00D5166A"/>
    <w:rsid w:val="00D60CAC"/>
    <w:rsid w:val="00D65C8F"/>
    <w:rsid w:val="00D73768"/>
    <w:rsid w:val="00D82E91"/>
    <w:rsid w:val="00DA4CEB"/>
    <w:rsid w:val="00DD4F27"/>
    <w:rsid w:val="00DD5F5A"/>
    <w:rsid w:val="00DD7443"/>
    <w:rsid w:val="00DF0FE5"/>
    <w:rsid w:val="00E04605"/>
    <w:rsid w:val="00E06D52"/>
    <w:rsid w:val="00E2035C"/>
    <w:rsid w:val="00E24DFC"/>
    <w:rsid w:val="00E26E89"/>
    <w:rsid w:val="00E274AA"/>
    <w:rsid w:val="00E3040C"/>
    <w:rsid w:val="00E30888"/>
    <w:rsid w:val="00E43B1F"/>
    <w:rsid w:val="00E5030A"/>
    <w:rsid w:val="00E52331"/>
    <w:rsid w:val="00E62255"/>
    <w:rsid w:val="00E77756"/>
    <w:rsid w:val="00E82EF8"/>
    <w:rsid w:val="00EB3ACF"/>
    <w:rsid w:val="00EC03C5"/>
    <w:rsid w:val="00EC0A97"/>
    <w:rsid w:val="00EC64BF"/>
    <w:rsid w:val="00ED4C58"/>
    <w:rsid w:val="00ED518E"/>
    <w:rsid w:val="00EF1BD7"/>
    <w:rsid w:val="00F0294F"/>
    <w:rsid w:val="00F06E69"/>
    <w:rsid w:val="00F07B09"/>
    <w:rsid w:val="00F16469"/>
    <w:rsid w:val="00F267EC"/>
    <w:rsid w:val="00F306C1"/>
    <w:rsid w:val="00F3661B"/>
    <w:rsid w:val="00F47E8A"/>
    <w:rsid w:val="00F52F31"/>
    <w:rsid w:val="00F54F60"/>
    <w:rsid w:val="00F66FEE"/>
    <w:rsid w:val="00F72E41"/>
    <w:rsid w:val="00F80DF4"/>
    <w:rsid w:val="00FB48F2"/>
    <w:rsid w:val="00FC0266"/>
    <w:rsid w:val="00FC66C2"/>
    <w:rsid w:val="00FD09E6"/>
    <w:rsid w:val="00FD7ED8"/>
    <w:rsid w:val="00FF46A4"/>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
    <w:basedOn w:val="Normal"/>
    <w:link w:val="ListParagraphChar"/>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
    <w:link w:val="ListParagraph"/>
    <w:uiPriority w:val="34"/>
    <w:locked/>
    <w:rsid w:val="00627C9D"/>
    <w:rPr>
      <w:sz w:val="22"/>
      <w:szCs w:val="22"/>
      <w:lang w:val="en-US" w:eastAsia="en-US"/>
    </w:rPr>
  </w:style>
  <w:style w:type="paragraph" w:customStyle="1" w:styleId="IATtulo">
    <w:name w:val="IA   Título"/>
    <w:basedOn w:val="List"/>
    <w:link w:val="IATtuloChar"/>
    <w:qFormat/>
    <w:rsid w:val="00F3661B"/>
    <w:pPr>
      <w:suppressAutoHyphens/>
      <w:spacing w:after="240" w:line="240" w:lineRule="auto"/>
      <w:ind w:left="0" w:firstLine="0"/>
      <w:contextualSpacing w:val="0"/>
    </w:pPr>
    <w:rPr>
      <w:rFonts w:ascii="Cambria" w:hAnsi="Cambria"/>
      <w:b/>
      <w:caps/>
      <w:color w:val="000000"/>
    </w:rPr>
  </w:style>
  <w:style w:type="paragraph" w:customStyle="1" w:styleId="IASubttulo3">
    <w:name w:val="IA  Subtítulo 3"/>
    <w:basedOn w:val="List"/>
    <w:qFormat/>
    <w:rsid w:val="00F3661B"/>
    <w:pPr>
      <w:numPr>
        <w:numId w:val="2"/>
      </w:numPr>
      <w:tabs>
        <w:tab w:val="clear" w:pos="720"/>
        <w:tab w:val="num" w:pos="360"/>
      </w:tabs>
      <w:suppressAutoHyphens/>
      <w:spacing w:after="240" w:line="240" w:lineRule="auto"/>
      <w:ind w:left="283" w:hanging="283"/>
      <w:contextualSpacing w:val="0"/>
    </w:pPr>
    <w:rPr>
      <w:rFonts w:ascii="Cambria" w:hAnsi="Cambria"/>
      <w:b/>
      <w:color w:val="000000"/>
      <w:sz w:val="20"/>
    </w:rPr>
  </w:style>
  <w:style w:type="paragraph" w:styleId="List">
    <w:name w:val="List"/>
    <w:basedOn w:val="Normal"/>
    <w:uiPriority w:val="99"/>
    <w:semiHidden/>
    <w:unhideWhenUsed/>
    <w:rsid w:val="00F3661B"/>
    <w:pPr>
      <w:ind w:left="283" w:hanging="283"/>
      <w:contextualSpacing/>
    </w:pPr>
  </w:style>
  <w:style w:type="character" w:customStyle="1" w:styleId="IATtuloChar">
    <w:name w:val="IA   Título Char"/>
    <w:basedOn w:val="DefaultParagraphFont"/>
    <w:link w:val="IATtulo"/>
    <w:rsid w:val="00300DA5"/>
    <w:rPr>
      <w:rFonts w:ascii="Cambria" w:hAnsi="Cambria"/>
      <w:b/>
      <w:caps/>
      <w:color w:val="000000"/>
      <w:sz w:val="22"/>
      <w:szCs w:val="22"/>
      <w:lang w:val="en-US" w:eastAsia="en-US"/>
    </w:rPr>
  </w:style>
  <w:style w:type="character" w:styleId="CommentReference">
    <w:name w:val="annotation reference"/>
    <w:basedOn w:val="DefaultParagraphFont"/>
    <w:uiPriority w:val="99"/>
    <w:semiHidden/>
    <w:unhideWhenUsed/>
    <w:rsid w:val="003F417D"/>
    <w:rPr>
      <w:sz w:val="16"/>
      <w:szCs w:val="16"/>
    </w:rPr>
  </w:style>
  <w:style w:type="paragraph" w:styleId="CommentText">
    <w:name w:val="annotation text"/>
    <w:basedOn w:val="Normal"/>
    <w:link w:val="CommentTextChar"/>
    <w:uiPriority w:val="99"/>
    <w:semiHidden/>
    <w:unhideWhenUsed/>
    <w:rsid w:val="003F417D"/>
    <w:pPr>
      <w:spacing w:line="240" w:lineRule="auto"/>
    </w:pPr>
    <w:rPr>
      <w:sz w:val="20"/>
      <w:szCs w:val="20"/>
    </w:rPr>
  </w:style>
  <w:style w:type="character" w:customStyle="1" w:styleId="CommentTextChar">
    <w:name w:val="Comment Text Char"/>
    <w:basedOn w:val="DefaultParagraphFont"/>
    <w:link w:val="CommentText"/>
    <w:uiPriority w:val="99"/>
    <w:semiHidden/>
    <w:rsid w:val="003F417D"/>
    <w:rPr>
      <w:lang w:val="en-US" w:eastAsia="en-US"/>
    </w:rPr>
  </w:style>
  <w:style w:type="paragraph" w:styleId="CommentSubject">
    <w:name w:val="annotation subject"/>
    <w:basedOn w:val="CommentText"/>
    <w:next w:val="CommentText"/>
    <w:link w:val="CommentSubjectChar"/>
    <w:uiPriority w:val="99"/>
    <w:semiHidden/>
    <w:unhideWhenUsed/>
    <w:rsid w:val="003F417D"/>
    <w:rPr>
      <w:b/>
      <w:bCs/>
    </w:rPr>
  </w:style>
  <w:style w:type="character" w:customStyle="1" w:styleId="CommentSubjectChar">
    <w:name w:val="Comment Subject Char"/>
    <w:basedOn w:val="CommentTextChar"/>
    <w:link w:val="CommentSubject"/>
    <w:uiPriority w:val="99"/>
    <w:semiHidden/>
    <w:rsid w:val="003F417D"/>
    <w:rPr>
      <w:b/>
      <w:bCs/>
      <w:lang w:val="en-US" w:eastAsia="en-US"/>
    </w:rPr>
  </w:style>
  <w:style w:type="character" w:customStyle="1" w:styleId="normaltextrun">
    <w:name w:val="normaltextrun"/>
    <w:basedOn w:val="DefaultParagraphFont"/>
    <w:rsid w:val="00C6263A"/>
  </w:style>
  <w:style w:type="character" w:customStyle="1" w:styleId="ui-provider">
    <w:name w:val="ui-provider"/>
    <w:basedOn w:val="DefaultParagraphFont"/>
    <w:rsid w:val="0081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dh.oas.org/annualrep/2009sp/Guatemala581-03.sp.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s/cidh/decisiones/2020/gusa12732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s.org/es/cidh/decisiones/2020/gusa12732e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4/capitulos/IA2024_2_ES.pdf" TargetMode="External"/><Relationship Id="rId2" Type="http://schemas.openxmlformats.org/officeDocument/2006/relationships/hyperlink" Target="https://www.oas.org/es/cidh/docs/anual/2023/capitulos/IA2023_Cap_2_SPA.PDF" TargetMode="External"/><Relationship Id="rId1" Type="http://schemas.openxmlformats.org/officeDocument/2006/relationships/hyperlink" Target="http://www.oas.org/es/cidh/decisiones/2020/gusa12732es.pdf" TargetMode="External"/><Relationship Id="rId4" Type="http://schemas.openxmlformats.org/officeDocument/2006/relationships/hyperlink" Target="http://www.oas.org/es/cidh/decisiones/2020/gusa12732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2.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3.xml><?xml version="1.0" encoding="utf-8"?>
<ds:datastoreItem xmlns:ds="http://schemas.openxmlformats.org/officeDocument/2006/customXml" ds:itemID="{A7CBBBF0-1B83-4CB4-B49D-59A9031629A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971F44E-6DB7-4F1E-B1EC-C50408D6D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3</Pages>
  <Words>937</Words>
  <Characters>5343</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6268</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2025-08-26T18:24:00Z</cp:lastPrinted>
  <dcterms:created xsi:type="dcterms:W3CDTF">2025-07-28T17:50:00Z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