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F7B33" w14:textId="77777777" w:rsidR="002659F6" w:rsidRPr="00C91286" w:rsidRDefault="002659F6" w:rsidP="00C91286">
      <w:pPr>
        <w:suppressAutoHyphens/>
        <w:spacing w:after="0" w:line="240" w:lineRule="auto"/>
        <w:ind w:right="-270"/>
        <w:jc w:val="center"/>
        <w:rPr>
          <w:rFonts w:ascii="Cambria" w:eastAsia="Batang" w:hAnsi="Cambria"/>
          <w:b/>
          <w:sz w:val="24"/>
          <w:szCs w:val="24"/>
          <w:lang w:val="es-CO"/>
        </w:rPr>
      </w:pPr>
    </w:p>
    <w:p w14:paraId="532EB7EA" w14:textId="4890DD28" w:rsidR="002659F6" w:rsidRPr="00C91286" w:rsidRDefault="002659F6" w:rsidP="00C91286">
      <w:pPr>
        <w:suppressAutoHyphens/>
        <w:spacing w:after="0" w:line="240" w:lineRule="auto"/>
        <w:ind w:right="-270"/>
        <w:jc w:val="center"/>
        <w:rPr>
          <w:rFonts w:ascii="Cambria" w:eastAsia="Batang" w:hAnsi="Cambria"/>
          <w:b/>
          <w:sz w:val="24"/>
          <w:szCs w:val="24"/>
          <w:lang w:val="es-CO"/>
        </w:rPr>
      </w:pPr>
      <w:r w:rsidRPr="00C91286">
        <w:rPr>
          <w:rFonts w:ascii="Cambria" w:eastAsia="Batang" w:hAnsi="Cambria"/>
          <w:b/>
          <w:sz w:val="24"/>
          <w:szCs w:val="24"/>
          <w:lang w:val="es-CO"/>
        </w:rPr>
        <w:t>FICHA TÉCNICA INFORMATIVA</w:t>
      </w:r>
    </w:p>
    <w:p w14:paraId="7FC811CA" w14:textId="62DA21ED" w:rsidR="00C12516" w:rsidRPr="00C91286" w:rsidRDefault="00C12516" w:rsidP="00C91286">
      <w:pPr>
        <w:suppressAutoHyphens/>
        <w:spacing w:after="0" w:line="240" w:lineRule="auto"/>
        <w:ind w:right="-270"/>
        <w:jc w:val="center"/>
        <w:rPr>
          <w:rFonts w:ascii="Cambria" w:eastAsia="Batang" w:hAnsi="Cambria"/>
          <w:b/>
          <w:sz w:val="24"/>
          <w:szCs w:val="24"/>
          <w:lang w:val="es-CO"/>
        </w:rPr>
      </w:pPr>
      <w:r w:rsidRPr="00C91286">
        <w:rPr>
          <w:rFonts w:ascii="Cambria" w:eastAsia="Batang" w:hAnsi="Cambria"/>
          <w:b/>
          <w:sz w:val="24"/>
          <w:szCs w:val="24"/>
          <w:lang w:val="es-CO"/>
        </w:rPr>
        <w:t xml:space="preserve">PETICIÓN 735-07 ISMAEL MONDRAGÓN MOLINA </w:t>
      </w:r>
    </w:p>
    <w:p w14:paraId="38A16E1F" w14:textId="21FFC3A9" w:rsidR="008E72CA" w:rsidRPr="00C91286" w:rsidRDefault="008E72CA" w:rsidP="00C91286">
      <w:pPr>
        <w:suppressAutoHyphens/>
        <w:spacing w:after="0" w:line="240" w:lineRule="auto"/>
        <w:ind w:right="-270"/>
        <w:jc w:val="center"/>
        <w:rPr>
          <w:rFonts w:ascii="Cambria" w:eastAsia="Batang" w:hAnsi="Cambria"/>
          <w:b/>
          <w:sz w:val="24"/>
          <w:szCs w:val="24"/>
          <w:lang w:val="es-CO"/>
        </w:rPr>
      </w:pPr>
      <w:r w:rsidRPr="00C91286">
        <w:rPr>
          <w:rFonts w:ascii="Cambria" w:eastAsia="Batang" w:hAnsi="Cambria"/>
          <w:b/>
          <w:sz w:val="24"/>
          <w:szCs w:val="24"/>
          <w:lang w:val="es-CO"/>
        </w:rPr>
        <w:t>INFORME DE SOLUCIÓN AMISTOSA</w:t>
      </w:r>
      <w:r w:rsidR="00C12516" w:rsidRPr="00C91286">
        <w:rPr>
          <w:rFonts w:ascii="Cambria" w:eastAsia="Batang" w:hAnsi="Cambria"/>
          <w:b/>
          <w:sz w:val="24"/>
          <w:szCs w:val="24"/>
          <w:lang w:val="es-CO"/>
        </w:rPr>
        <w:t xml:space="preserve"> </w:t>
      </w:r>
      <w:hyperlink r:id="rId12" w:history="1">
        <w:r w:rsidR="00C12516" w:rsidRPr="00C91286">
          <w:rPr>
            <w:rStyle w:val="Hyperlink"/>
            <w:rFonts w:ascii="Cambria" w:eastAsia="Batang" w:hAnsi="Cambria"/>
            <w:b/>
            <w:sz w:val="24"/>
            <w:szCs w:val="24"/>
            <w:lang w:val="es-CO"/>
          </w:rPr>
          <w:t>No. 110/20</w:t>
        </w:r>
      </w:hyperlink>
    </w:p>
    <w:p w14:paraId="1FDB7C2D" w14:textId="6104E4E9" w:rsidR="00F3661B" w:rsidRPr="00C91286" w:rsidRDefault="002659F6" w:rsidP="00C91286">
      <w:pPr>
        <w:suppressAutoHyphens/>
        <w:spacing w:after="0" w:line="240" w:lineRule="auto"/>
        <w:ind w:right="-270"/>
        <w:jc w:val="center"/>
        <w:rPr>
          <w:rFonts w:ascii="Cambria" w:eastAsia="Batang" w:hAnsi="Cambria"/>
          <w:b/>
          <w:sz w:val="24"/>
          <w:szCs w:val="24"/>
          <w:lang w:val="es-CO"/>
        </w:rPr>
      </w:pPr>
      <w:r w:rsidRPr="00C91286">
        <w:rPr>
          <w:rFonts w:ascii="Cambria" w:eastAsia="Batang" w:hAnsi="Cambria"/>
          <w:b/>
          <w:sz w:val="24"/>
          <w:szCs w:val="24"/>
          <w:lang w:val="es-CO"/>
        </w:rPr>
        <w:t xml:space="preserve">CUMPLIMIENTO </w:t>
      </w:r>
      <w:r w:rsidR="00DE5210" w:rsidRPr="00C91286">
        <w:rPr>
          <w:rFonts w:ascii="Cambria" w:eastAsia="Batang" w:hAnsi="Cambria"/>
          <w:b/>
          <w:sz w:val="24"/>
          <w:szCs w:val="24"/>
          <w:lang w:val="es-CO"/>
        </w:rPr>
        <w:t>TOTAL</w:t>
      </w:r>
    </w:p>
    <w:p w14:paraId="7295383B" w14:textId="1399590F" w:rsidR="00035689" w:rsidRPr="00C91286" w:rsidRDefault="008E72CA" w:rsidP="00C91286">
      <w:pPr>
        <w:suppressAutoHyphens/>
        <w:spacing w:after="0" w:line="240" w:lineRule="auto"/>
        <w:ind w:right="-270"/>
        <w:jc w:val="center"/>
        <w:rPr>
          <w:rFonts w:ascii="Cambria" w:eastAsia="Batang" w:hAnsi="Cambria"/>
          <w:b/>
          <w:sz w:val="24"/>
          <w:szCs w:val="24"/>
          <w:lang w:val="es-CO"/>
        </w:rPr>
      </w:pPr>
      <w:r w:rsidRPr="00C91286">
        <w:rPr>
          <w:rFonts w:ascii="Cambria" w:eastAsia="Batang" w:hAnsi="Cambria"/>
          <w:b/>
          <w:sz w:val="24"/>
          <w:szCs w:val="24"/>
          <w:lang w:val="es-CO"/>
        </w:rPr>
        <w:t>(</w:t>
      </w:r>
      <w:r w:rsidR="00C12516" w:rsidRPr="00C91286">
        <w:rPr>
          <w:rFonts w:ascii="Cambria" w:eastAsia="Batang" w:hAnsi="Cambria"/>
          <w:b/>
          <w:sz w:val="24"/>
          <w:szCs w:val="24"/>
          <w:lang w:val="es-CO"/>
        </w:rPr>
        <w:t>MÉXICO</w:t>
      </w:r>
      <w:r w:rsidRPr="00C91286">
        <w:rPr>
          <w:rFonts w:ascii="Cambria" w:eastAsia="Batang" w:hAnsi="Cambria"/>
          <w:b/>
          <w:sz w:val="24"/>
          <w:szCs w:val="24"/>
          <w:lang w:val="es-CO"/>
        </w:rPr>
        <w:t>)</w:t>
      </w:r>
    </w:p>
    <w:p w14:paraId="6AEC1E75" w14:textId="77777777" w:rsidR="00C91286" w:rsidRPr="00C91286" w:rsidRDefault="00C91286" w:rsidP="00C91286">
      <w:pPr>
        <w:suppressAutoHyphens/>
        <w:spacing w:after="0" w:line="240" w:lineRule="auto"/>
        <w:ind w:left="720"/>
        <w:jc w:val="center"/>
        <w:rPr>
          <w:rFonts w:ascii="Cambria" w:eastAsia="Batang" w:hAnsi="Cambria" w:cs="Calibri Light"/>
          <w:b/>
          <w:color w:val="000000"/>
          <w:sz w:val="20"/>
          <w:szCs w:val="20"/>
          <w:lang w:val="es-AR"/>
        </w:rPr>
      </w:pPr>
    </w:p>
    <w:p w14:paraId="7F594CE9" w14:textId="77777777" w:rsidR="00C91286" w:rsidRPr="00C91286" w:rsidRDefault="00C91286" w:rsidP="0026148D">
      <w:pPr>
        <w:numPr>
          <w:ilvl w:val="0"/>
          <w:numId w:val="2"/>
        </w:numPr>
        <w:suppressAutoHyphens/>
        <w:spacing w:after="0" w:line="240" w:lineRule="auto"/>
        <w:ind w:left="0" w:firstLine="720"/>
        <w:rPr>
          <w:rFonts w:ascii="Cambria" w:eastAsia="Batang" w:hAnsi="Cambria" w:cs="Calibri Light"/>
          <w:b/>
          <w:color w:val="000000"/>
          <w:sz w:val="20"/>
          <w:szCs w:val="20"/>
          <w:lang w:val="es-AR"/>
        </w:rPr>
      </w:pPr>
      <w:r w:rsidRPr="00C91286">
        <w:rPr>
          <w:rFonts w:ascii="Cambria" w:eastAsia="Batang" w:hAnsi="Cambria" w:cs="Calibri Light"/>
          <w:b/>
          <w:color w:val="000000"/>
          <w:sz w:val="20"/>
          <w:szCs w:val="20"/>
          <w:lang w:val="es-AR"/>
        </w:rPr>
        <w:t xml:space="preserve">RESUMEN DEL CASO </w:t>
      </w:r>
    </w:p>
    <w:p w14:paraId="1FE881C1" w14:textId="77777777" w:rsidR="00C91286" w:rsidRPr="00C91286" w:rsidRDefault="00C91286" w:rsidP="00C91286">
      <w:pPr>
        <w:suppressAutoHyphens/>
        <w:spacing w:after="0" w:line="240" w:lineRule="auto"/>
        <w:rPr>
          <w:rFonts w:ascii="Cambria" w:eastAsia="Batang" w:hAnsi="Cambria" w:cs="Calibri Light"/>
          <w:b/>
          <w:color w:val="000000"/>
          <w:sz w:val="20"/>
          <w:szCs w:val="20"/>
          <w:lang w:val="es-A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C91286" w:rsidRPr="0072147B" w14:paraId="02EDD07E" w14:textId="77777777" w:rsidTr="00C42FC5">
        <w:trPr>
          <w:jc w:val="center"/>
        </w:trPr>
        <w:tc>
          <w:tcPr>
            <w:tcW w:w="9576" w:type="dxa"/>
            <w:shd w:val="clear" w:color="auto" w:fill="F2F2F2"/>
          </w:tcPr>
          <w:p w14:paraId="35C68D60" w14:textId="1B4D98DF" w:rsidR="00C91286" w:rsidRPr="00C91286" w:rsidRDefault="00C91286" w:rsidP="00C91286">
            <w:pPr>
              <w:spacing w:after="0" w:line="240" w:lineRule="auto"/>
              <w:jc w:val="both"/>
              <w:rPr>
                <w:rFonts w:ascii="Cambria" w:eastAsia="Times New Roman" w:hAnsi="Cambria"/>
                <w:sz w:val="20"/>
                <w:szCs w:val="20"/>
                <w:lang w:val="es-AR"/>
              </w:rPr>
            </w:pPr>
            <w:r w:rsidRPr="00C91286">
              <w:rPr>
                <w:rFonts w:ascii="Cambria" w:eastAsia="Batang" w:hAnsi="Cambria"/>
                <w:b/>
                <w:color w:val="000000"/>
                <w:sz w:val="20"/>
                <w:szCs w:val="20"/>
                <w:lang w:val="es-AR"/>
              </w:rPr>
              <w:t>Víctima (s):</w:t>
            </w:r>
            <w:r w:rsidRPr="00C91286">
              <w:rPr>
                <w:rFonts w:ascii="Cambria" w:eastAsia="Batang" w:hAnsi="Cambria"/>
                <w:color w:val="000000"/>
                <w:sz w:val="20"/>
                <w:szCs w:val="20"/>
                <w:lang w:val="es-AR"/>
              </w:rPr>
              <w:t xml:space="preserve"> </w:t>
            </w:r>
            <w:r w:rsidRPr="00C91286">
              <w:rPr>
                <w:rFonts w:ascii="Cambria" w:hAnsi="Cambria"/>
                <w:sz w:val="20"/>
                <w:szCs w:val="20"/>
                <w:lang w:val="es-AR"/>
              </w:rPr>
              <w:t xml:space="preserve">Ismael Mondragón </w:t>
            </w:r>
            <w:r>
              <w:rPr>
                <w:rFonts w:ascii="Cambria" w:hAnsi="Cambria"/>
                <w:sz w:val="20"/>
                <w:szCs w:val="20"/>
                <w:lang w:val="es-AR"/>
              </w:rPr>
              <w:t>Molina</w:t>
            </w:r>
          </w:p>
          <w:p w14:paraId="1D2A6190" w14:textId="77777777" w:rsidR="00C91286" w:rsidRPr="00C91286" w:rsidRDefault="00C91286" w:rsidP="00C91286">
            <w:pPr>
              <w:spacing w:after="0" w:line="240" w:lineRule="auto"/>
              <w:jc w:val="both"/>
              <w:rPr>
                <w:rFonts w:ascii="Cambria" w:hAnsi="Cambria"/>
                <w:sz w:val="20"/>
                <w:szCs w:val="20"/>
                <w:lang w:val="es-AR"/>
              </w:rPr>
            </w:pPr>
            <w:r w:rsidRPr="00C91286">
              <w:rPr>
                <w:rFonts w:ascii="Cambria" w:eastAsia="Batang" w:hAnsi="Cambria"/>
                <w:b/>
                <w:color w:val="000000"/>
                <w:sz w:val="20"/>
                <w:szCs w:val="20"/>
                <w:lang w:val="es-AR"/>
              </w:rPr>
              <w:t xml:space="preserve">Peticionario (s): </w:t>
            </w:r>
            <w:r w:rsidRPr="00C91286">
              <w:rPr>
                <w:rFonts w:ascii="Cambria" w:hAnsi="Cambria"/>
                <w:sz w:val="20"/>
                <w:szCs w:val="20"/>
                <w:lang w:val="es-AR"/>
              </w:rPr>
              <w:t xml:space="preserve">Edgar Mondragón Bustamante </w:t>
            </w:r>
          </w:p>
          <w:p w14:paraId="7DED81F0" w14:textId="77777777" w:rsidR="00C91286" w:rsidRPr="00C91286" w:rsidRDefault="00C91286" w:rsidP="00C91286">
            <w:pPr>
              <w:spacing w:after="0" w:line="240" w:lineRule="auto"/>
              <w:jc w:val="both"/>
              <w:rPr>
                <w:rFonts w:ascii="Cambria" w:eastAsia="Times New Roman" w:hAnsi="Cambria"/>
                <w:sz w:val="20"/>
                <w:szCs w:val="20"/>
                <w:lang w:val="es-AR"/>
              </w:rPr>
            </w:pPr>
            <w:r w:rsidRPr="00C91286">
              <w:rPr>
                <w:rFonts w:ascii="Cambria" w:eastAsia="Batang" w:hAnsi="Cambria"/>
                <w:b/>
                <w:color w:val="000000"/>
                <w:sz w:val="20"/>
                <w:szCs w:val="20"/>
                <w:lang w:val="es-AR"/>
              </w:rPr>
              <w:t>Estado:</w:t>
            </w:r>
            <w:r w:rsidRPr="00C91286">
              <w:rPr>
                <w:rFonts w:ascii="Cambria" w:eastAsia="Batang" w:hAnsi="Cambria"/>
                <w:color w:val="000000"/>
                <w:sz w:val="20"/>
                <w:szCs w:val="20"/>
                <w:lang w:val="es-AR"/>
              </w:rPr>
              <w:t xml:space="preserve"> México</w:t>
            </w:r>
          </w:p>
          <w:p w14:paraId="1B9ECFF9" w14:textId="77777777" w:rsidR="00C91286" w:rsidRPr="00C91286" w:rsidRDefault="00C91286" w:rsidP="00C91286">
            <w:pPr>
              <w:spacing w:after="0" w:line="240" w:lineRule="auto"/>
              <w:jc w:val="both"/>
              <w:rPr>
                <w:rFonts w:ascii="Cambria" w:eastAsia="Times New Roman" w:hAnsi="Cambria"/>
                <w:sz w:val="20"/>
                <w:szCs w:val="20"/>
                <w:lang w:val="es-AR"/>
              </w:rPr>
            </w:pPr>
            <w:r w:rsidRPr="00C91286">
              <w:rPr>
                <w:rFonts w:ascii="Cambria" w:hAnsi="Cambria"/>
                <w:b/>
                <w:bCs/>
                <w:color w:val="000000"/>
                <w:sz w:val="20"/>
                <w:szCs w:val="20"/>
                <w:lang w:val="es-AR"/>
              </w:rPr>
              <w:t>Fecha de inicio de las negociaciones</w:t>
            </w:r>
            <w:r w:rsidRPr="00C91286">
              <w:rPr>
                <w:rFonts w:ascii="Cambria" w:hAnsi="Cambria"/>
                <w:color w:val="000000"/>
                <w:sz w:val="20"/>
                <w:szCs w:val="20"/>
                <w:lang w:val="es-AR"/>
              </w:rPr>
              <w:t>: 5 de diciembre de 2016</w:t>
            </w:r>
          </w:p>
          <w:p w14:paraId="369D39A2" w14:textId="77777777" w:rsidR="00C91286" w:rsidRPr="00C91286" w:rsidRDefault="00C91286" w:rsidP="00C91286">
            <w:pPr>
              <w:spacing w:after="0" w:line="240" w:lineRule="auto"/>
              <w:jc w:val="both"/>
              <w:rPr>
                <w:rFonts w:ascii="Cambria" w:hAnsi="Cambria"/>
                <w:color w:val="000000"/>
                <w:sz w:val="20"/>
                <w:szCs w:val="20"/>
                <w:lang w:val="es-AR"/>
              </w:rPr>
            </w:pPr>
            <w:r w:rsidRPr="00C91286">
              <w:rPr>
                <w:rFonts w:ascii="Cambria" w:hAnsi="Cambria"/>
                <w:b/>
                <w:bCs/>
                <w:color w:val="000000"/>
                <w:sz w:val="20"/>
                <w:szCs w:val="20"/>
                <w:lang w:val="es-AR"/>
              </w:rPr>
              <w:t xml:space="preserve">Fecha de Firma de ASA: </w:t>
            </w:r>
            <w:r w:rsidRPr="00C91286">
              <w:rPr>
                <w:rFonts w:ascii="Cambria" w:hAnsi="Cambria"/>
                <w:color w:val="000000"/>
                <w:sz w:val="20"/>
                <w:szCs w:val="20"/>
                <w:lang w:val="es-AR"/>
              </w:rPr>
              <w:t>14 de marzo de 2018</w:t>
            </w:r>
          </w:p>
          <w:p w14:paraId="48B8BBD7" w14:textId="3F1BF3C4" w:rsidR="00C91286" w:rsidRPr="00C91286" w:rsidRDefault="00C91286" w:rsidP="00C91286">
            <w:pPr>
              <w:spacing w:after="0" w:line="240" w:lineRule="auto"/>
              <w:jc w:val="both"/>
              <w:rPr>
                <w:rFonts w:ascii="Cambria" w:eastAsia="Batang" w:hAnsi="Cambria"/>
                <w:color w:val="000000"/>
                <w:sz w:val="20"/>
                <w:szCs w:val="20"/>
                <w:lang w:val="es-AR"/>
              </w:rPr>
            </w:pPr>
            <w:r w:rsidRPr="00C91286">
              <w:rPr>
                <w:rFonts w:ascii="Cambria" w:eastAsia="Batang" w:hAnsi="Cambria"/>
                <w:b/>
                <w:color w:val="000000"/>
                <w:sz w:val="20"/>
                <w:szCs w:val="20"/>
                <w:lang w:val="es-AR"/>
              </w:rPr>
              <w:t>Informe de Acuerdo de Solución Amistosa N</w:t>
            </w:r>
            <w:r w:rsidR="00C4320C">
              <w:rPr>
                <w:rFonts w:ascii="Cambria" w:eastAsia="Batang" w:hAnsi="Cambria"/>
                <w:b/>
                <w:color w:val="000000"/>
                <w:sz w:val="20"/>
                <w:szCs w:val="20"/>
                <w:lang w:val="es-AR"/>
              </w:rPr>
              <w:t>o</w:t>
            </w:r>
            <w:r w:rsidRPr="00C91286">
              <w:rPr>
                <w:rFonts w:ascii="Cambria" w:eastAsia="Batang" w:hAnsi="Cambria"/>
                <w:b/>
                <w:color w:val="000000"/>
                <w:sz w:val="20"/>
                <w:szCs w:val="20"/>
                <w:lang w:val="es-AR"/>
              </w:rPr>
              <w:t xml:space="preserve">: </w:t>
            </w:r>
            <w:hyperlink r:id="rId13" w:history="1">
              <w:r w:rsidRPr="00C91286">
                <w:rPr>
                  <w:rFonts w:ascii="Cambria" w:eastAsia="Batang" w:hAnsi="Cambria"/>
                  <w:b/>
                  <w:color w:val="0563C1"/>
                  <w:sz w:val="20"/>
                  <w:szCs w:val="20"/>
                  <w:u w:val="single"/>
                  <w:lang w:val="es-AR"/>
                </w:rPr>
                <w:t>110/20</w:t>
              </w:r>
              <w:r>
                <w:rPr>
                  <w:rFonts w:ascii="Cambria" w:eastAsia="Batang" w:hAnsi="Cambria"/>
                  <w:b/>
                  <w:color w:val="0563C1"/>
                  <w:sz w:val="20"/>
                  <w:szCs w:val="20"/>
                  <w:u w:val="single"/>
                  <w:lang w:val="es-AR"/>
                </w:rPr>
                <w:t>,</w:t>
              </w:r>
              <w:r w:rsidRPr="00C91286">
                <w:rPr>
                  <w:rFonts w:ascii="Cambria" w:eastAsia="Batang" w:hAnsi="Cambria"/>
                  <w:b/>
                  <w:color w:val="0563C1"/>
                  <w:sz w:val="20"/>
                  <w:szCs w:val="20"/>
                  <w:u w:val="single"/>
                  <w:lang w:val="es-AR"/>
                </w:rPr>
                <w:t xml:space="preserve"> </w:t>
              </w:r>
            </w:hyperlink>
            <w:r w:rsidRPr="00C91286">
              <w:rPr>
                <w:rFonts w:ascii="Cambria" w:eastAsia="Batang" w:hAnsi="Cambria"/>
                <w:color w:val="000000"/>
                <w:sz w:val="20"/>
                <w:szCs w:val="20"/>
                <w:lang w:val="es-AR"/>
              </w:rPr>
              <w:t>publicado el 9 de junio de 2020</w:t>
            </w:r>
          </w:p>
          <w:p w14:paraId="720B0596" w14:textId="77777777" w:rsidR="00C91286" w:rsidRPr="00C91286" w:rsidRDefault="00C91286" w:rsidP="00C91286">
            <w:pPr>
              <w:spacing w:after="0" w:line="240" w:lineRule="auto"/>
              <w:jc w:val="both"/>
              <w:rPr>
                <w:rFonts w:ascii="Cambria" w:hAnsi="Cambria"/>
                <w:color w:val="000000"/>
                <w:sz w:val="20"/>
                <w:szCs w:val="20"/>
                <w:lang w:val="es-AR"/>
              </w:rPr>
            </w:pPr>
            <w:r w:rsidRPr="00C91286">
              <w:rPr>
                <w:rFonts w:ascii="Cambria" w:hAnsi="Cambria"/>
                <w:b/>
                <w:bCs/>
                <w:color w:val="000000"/>
                <w:sz w:val="20"/>
                <w:szCs w:val="20"/>
                <w:lang w:val="es-AR"/>
              </w:rPr>
              <w:t xml:space="preserve">Duración estimada de la fase de negociación: </w:t>
            </w:r>
            <w:r w:rsidRPr="00C91286">
              <w:rPr>
                <w:rFonts w:ascii="Cambria" w:hAnsi="Cambria"/>
                <w:bCs/>
                <w:color w:val="000000"/>
                <w:sz w:val="20"/>
                <w:szCs w:val="20"/>
                <w:lang w:val="es-AR"/>
              </w:rPr>
              <w:t>3</w:t>
            </w:r>
            <w:r w:rsidRPr="00C91286">
              <w:rPr>
                <w:rFonts w:ascii="Cambria" w:hAnsi="Cambria"/>
                <w:color w:val="000000"/>
                <w:sz w:val="20"/>
                <w:szCs w:val="20"/>
                <w:lang w:val="es-AR"/>
              </w:rPr>
              <w:t xml:space="preserve"> años y 6 meses</w:t>
            </w:r>
          </w:p>
          <w:p w14:paraId="2BE24D92" w14:textId="77777777" w:rsidR="00C91286" w:rsidRPr="00C91286" w:rsidRDefault="00C91286" w:rsidP="00C91286">
            <w:pPr>
              <w:spacing w:after="0" w:line="240" w:lineRule="auto"/>
              <w:jc w:val="both"/>
              <w:rPr>
                <w:rFonts w:ascii="Cambria" w:eastAsia="Batang" w:hAnsi="Cambria"/>
                <w:color w:val="000000"/>
                <w:sz w:val="20"/>
                <w:szCs w:val="20"/>
                <w:lang w:val="es-AR"/>
              </w:rPr>
            </w:pPr>
            <w:r w:rsidRPr="00C91286">
              <w:rPr>
                <w:rFonts w:ascii="Cambria" w:eastAsia="Batang" w:hAnsi="Cambria"/>
                <w:b/>
                <w:color w:val="000000"/>
                <w:sz w:val="20"/>
                <w:szCs w:val="20"/>
                <w:lang w:val="es-AR"/>
              </w:rPr>
              <w:t>Relatoría vinculada:</w:t>
            </w:r>
            <w:r w:rsidRPr="00C91286">
              <w:rPr>
                <w:rFonts w:ascii="Cambria" w:eastAsia="Batang" w:hAnsi="Cambria"/>
                <w:bCs/>
                <w:color w:val="000000"/>
                <w:sz w:val="20"/>
                <w:szCs w:val="20"/>
                <w:lang w:val="es-AR"/>
              </w:rPr>
              <w:t xml:space="preserve"> Relatoría sobre los Derechos de la Niñez</w:t>
            </w:r>
          </w:p>
          <w:p w14:paraId="23C69A1B" w14:textId="77777777" w:rsidR="00C91286" w:rsidRPr="00C91286" w:rsidRDefault="00C91286" w:rsidP="00C91286">
            <w:pPr>
              <w:spacing w:after="0" w:line="240" w:lineRule="auto"/>
              <w:jc w:val="both"/>
              <w:rPr>
                <w:rFonts w:ascii="Cambria" w:eastAsia="Batang" w:hAnsi="Cambria"/>
                <w:bCs/>
                <w:color w:val="000000"/>
                <w:sz w:val="20"/>
                <w:szCs w:val="20"/>
                <w:lang w:val="es-AR"/>
              </w:rPr>
            </w:pPr>
            <w:r w:rsidRPr="00C91286">
              <w:rPr>
                <w:rFonts w:ascii="Cambria" w:eastAsia="Batang" w:hAnsi="Cambria"/>
                <w:b/>
                <w:color w:val="000000"/>
                <w:sz w:val="20"/>
                <w:szCs w:val="20"/>
                <w:lang w:val="es-AR"/>
              </w:rPr>
              <w:t xml:space="preserve">Temas: </w:t>
            </w:r>
            <w:r w:rsidRPr="00C91286">
              <w:rPr>
                <w:rFonts w:ascii="Cambria" w:eastAsia="Batang" w:hAnsi="Cambria"/>
                <w:color w:val="000000"/>
                <w:sz w:val="20"/>
                <w:szCs w:val="20"/>
                <w:lang w:val="es-AR"/>
              </w:rPr>
              <w:t>Derechos de Niños, Niñas y Adolescentes/</w:t>
            </w:r>
            <w:r w:rsidRPr="00C91286">
              <w:rPr>
                <w:rFonts w:ascii="Cambria" w:eastAsia="Batang" w:hAnsi="Cambria"/>
                <w:bCs/>
                <w:color w:val="000000"/>
                <w:sz w:val="20"/>
                <w:szCs w:val="20"/>
                <w:lang w:val="es-AR"/>
              </w:rPr>
              <w:t xml:space="preserve">Derecho a la Vida/ </w:t>
            </w:r>
            <w:r w:rsidRPr="00C91286">
              <w:rPr>
                <w:rFonts w:ascii="Cambria" w:eastAsia="Batang" w:hAnsi="Cambria"/>
                <w:color w:val="000000"/>
                <w:sz w:val="20"/>
                <w:szCs w:val="20"/>
                <w:lang w:val="es-ES"/>
              </w:rPr>
              <w:t>Garantías Judiciales/</w:t>
            </w:r>
            <w:r w:rsidRPr="00C91286">
              <w:rPr>
                <w:rFonts w:ascii="Cambria" w:eastAsia="Batang" w:hAnsi="Cambria"/>
                <w:bCs/>
                <w:color w:val="000000"/>
                <w:sz w:val="20"/>
                <w:szCs w:val="20"/>
                <w:lang w:val="es-AR"/>
              </w:rPr>
              <w:t xml:space="preserve"> Investigación y Debida Diligencia/ Protección Judicial</w:t>
            </w:r>
          </w:p>
          <w:p w14:paraId="1512BCE7" w14:textId="77777777" w:rsidR="00C91286" w:rsidRPr="00C91286" w:rsidRDefault="00C91286" w:rsidP="00C91286">
            <w:pPr>
              <w:spacing w:after="0" w:line="240" w:lineRule="auto"/>
              <w:jc w:val="both"/>
              <w:rPr>
                <w:rFonts w:ascii="Cambria" w:eastAsia="Batang" w:hAnsi="Cambria"/>
                <w:bCs/>
                <w:color w:val="000000"/>
                <w:sz w:val="20"/>
                <w:szCs w:val="20"/>
                <w:lang w:val="es-AR"/>
              </w:rPr>
            </w:pPr>
          </w:p>
          <w:p w14:paraId="0AE59B26" w14:textId="77777777" w:rsidR="00C91286" w:rsidRPr="00C91286" w:rsidRDefault="00C91286" w:rsidP="00C91286">
            <w:pPr>
              <w:spacing w:after="0" w:line="240" w:lineRule="auto"/>
              <w:jc w:val="both"/>
              <w:rPr>
                <w:rFonts w:ascii="Cambria" w:hAnsi="Cambria"/>
                <w:color w:val="000000"/>
                <w:sz w:val="20"/>
                <w:szCs w:val="20"/>
                <w:lang w:val="es-VE"/>
              </w:rPr>
            </w:pPr>
            <w:r w:rsidRPr="00C91286">
              <w:rPr>
                <w:rFonts w:ascii="Cambria" w:eastAsia="Batang" w:hAnsi="Cambria"/>
                <w:b/>
                <w:color w:val="000000"/>
                <w:sz w:val="20"/>
                <w:szCs w:val="20"/>
                <w:lang w:val="es-AR"/>
              </w:rPr>
              <w:t>Hechos:</w:t>
            </w:r>
            <w:r w:rsidRPr="00C91286">
              <w:rPr>
                <w:rFonts w:ascii="Cambria" w:eastAsia="Batang" w:hAnsi="Cambria"/>
                <w:color w:val="000000"/>
                <w:sz w:val="20"/>
                <w:szCs w:val="20"/>
                <w:lang w:val="es-AR"/>
              </w:rPr>
              <w:t xml:space="preserve"> </w:t>
            </w:r>
            <w:r w:rsidRPr="00C91286">
              <w:rPr>
                <w:rFonts w:ascii="Cambria" w:hAnsi="Cambria"/>
                <w:color w:val="000000"/>
                <w:sz w:val="20"/>
                <w:szCs w:val="20"/>
                <w:lang w:val="es-VE"/>
              </w:rPr>
              <w:t xml:space="preserve">El 6 de junio 2007, la Comisión Interamericana de Derechos Humanos recibió la petición presentada por el señor Edgar Mondragón Bustamante, en la cual se alegaba la responsabilidad internacional del Estado mexicano por la falta de investigación de la muerte de su hijo de 1 año y 11 meses de edad, Ismael Mondragón, como consecuencia de una negligencia médica durante una cirugía craneal en el Hospital Infantil del Estado de Sonora, institución de naturaleza pública. Posteriormente, el abogado Miguel Nava Alvarado se constituyó en co-peticionario. </w:t>
            </w:r>
          </w:p>
          <w:p w14:paraId="257DC13F" w14:textId="77777777" w:rsidR="00C91286" w:rsidRPr="00C91286" w:rsidRDefault="00C91286" w:rsidP="00C91286">
            <w:pPr>
              <w:spacing w:after="0" w:line="240" w:lineRule="auto"/>
              <w:jc w:val="both"/>
              <w:rPr>
                <w:rFonts w:ascii="Cambria" w:hAnsi="Cambria"/>
                <w:sz w:val="20"/>
                <w:szCs w:val="20"/>
                <w:lang w:val="es-AR"/>
              </w:rPr>
            </w:pPr>
          </w:p>
          <w:p w14:paraId="646B4974" w14:textId="77777777" w:rsidR="00C91286" w:rsidRPr="00C91286" w:rsidRDefault="00C91286" w:rsidP="00C91286">
            <w:pPr>
              <w:spacing w:after="0" w:line="240" w:lineRule="auto"/>
              <w:jc w:val="both"/>
              <w:rPr>
                <w:rFonts w:ascii="Cambria" w:hAnsi="Cambria"/>
                <w:sz w:val="20"/>
                <w:szCs w:val="20"/>
                <w:lang w:val="es-AR"/>
              </w:rPr>
            </w:pPr>
            <w:r w:rsidRPr="00C91286">
              <w:rPr>
                <w:rFonts w:ascii="Cambria" w:eastAsia="Batang" w:hAnsi="Cambria"/>
                <w:b/>
                <w:color w:val="000000"/>
                <w:sz w:val="20"/>
                <w:szCs w:val="20"/>
                <w:lang w:val="es-AR"/>
              </w:rPr>
              <w:t>Derechos alegados:</w:t>
            </w:r>
            <w:r w:rsidRPr="00C91286">
              <w:rPr>
                <w:rFonts w:ascii="Cambria" w:hAnsi="Cambria"/>
                <w:sz w:val="20"/>
                <w:szCs w:val="20"/>
                <w:lang w:val="es-AR"/>
              </w:rPr>
              <w:t xml:space="preserve"> Los peticionarios alegaron que la República de México violó los 4 (derecho a la vida), 5 (derecho a la integridad personal), y 19 (derechos del niño), de la Convención Americana sobre Derechos Humanos. </w:t>
            </w:r>
          </w:p>
        </w:tc>
      </w:tr>
    </w:tbl>
    <w:p w14:paraId="78643415" w14:textId="77777777" w:rsidR="00C91286" w:rsidRPr="00C91286" w:rsidRDefault="00C91286" w:rsidP="00C91286">
      <w:pPr>
        <w:suppressAutoHyphens/>
        <w:spacing w:after="0" w:line="240" w:lineRule="auto"/>
        <w:contextualSpacing/>
        <w:jc w:val="both"/>
        <w:rPr>
          <w:rFonts w:ascii="Cambria" w:eastAsia="Batang" w:hAnsi="Cambria" w:cs="Calibri Light"/>
          <w:b/>
          <w:color w:val="000000"/>
          <w:sz w:val="20"/>
          <w:szCs w:val="20"/>
          <w:lang w:val="es-AR"/>
        </w:rPr>
      </w:pPr>
    </w:p>
    <w:p w14:paraId="372F0052" w14:textId="77777777" w:rsidR="00C91286" w:rsidRPr="00C91286" w:rsidRDefault="00C91286" w:rsidP="0026148D">
      <w:pPr>
        <w:numPr>
          <w:ilvl w:val="0"/>
          <w:numId w:val="2"/>
        </w:numPr>
        <w:suppressAutoHyphens/>
        <w:spacing w:after="0" w:line="240" w:lineRule="auto"/>
        <w:ind w:left="0" w:firstLine="720"/>
        <w:contextualSpacing/>
        <w:jc w:val="both"/>
        <w:rPr>
          <w:rFonts w:ascii="Cambria" w:eastAsia="Batang" w:hAnsi="Cambria" w:cs="Calibri Light"/>
          <w:b/>
          <w:color w:val="000000"/>
          <w:sz w:val="20"/>
          <w:szCs w:val="20"/>
          <w:lang w:val="es-AR"/>
        </w:rPr>
      </w:pPr>
      <w:r w:rsidRPr="00C91286">
        <w:rPr>
          <w:rFonts w:ascii="Cambria" w:eastAsia="Batang" w:hAnsi="Cambria"/>
          <w:b/>
          <w:color w:val="000000"/>
          <w:sz w:val="20"/>
          <w:szCs w:val="20"/>
          <w:lang w:val="es-AR"/>
        </w:rPr>
        <w:t>ACTIVIDAD PROCESAL</w:t>
      </w:r>
    </w:p>
    <w:p w14:paraId="212C0968" w14:textId="77777777" w:rsidR="00C91286" w:rsidRPr="00C91286" w:rsidRDefault="00C91286" w:rsidP="00C91286">
      <w:pPr>
        <w:suppressAutoHyphens/>
        <w:spacing w:after="0" w:line="240" w:lineRule="auto"/>
        <w:ind w:firstLine="720"/>
        <w:contextualSpacing/>
        <w:jc w:val="both"/>
        <w:rPr>
          <w:rFonts w:ascii="Cambria" w:eastAsia="Batang" w:hAnsi="Cambria" w:cs="Calibri Light"/>
          <w:b/>
          <w:color w:val="000000"/>
          <w:sz w:val="20"/>
          <w:szCs w:val="20"/>
          <w:lang w:val="es-AR"/>
        </w:rPr>
      </w:pPr>
    </w:p>
    <w:p w14:paraId="3171966D" w14:textId="4A35DE0D" w:rsidR="00C91286" w:rsidRPr="00C91286" w:rsidRDefault="00C91286" w:rsidP="0026148D">
      <w:pPr>
        <w:numPr>
          <w:ilvl w:val="0"/>
          <w:numId w:val="7"/>
        </w:numPr>
        <w:tabs>
          <w:tab w:val="left" w:pos="1440"/>
        </w:tabs>
        <w:suppressAutoHyphens/>
        <w:spacing w:after="0" w:line="240" w:lineRule="auto"/>
        <w:ind w:left="0" w:firstLine="720"/>
        <w:contextualSpacing/>
        <w:jc w:val="both"/>
        <w:rPr>
          <w:rFonts w:ascii="Cambria" w:eastAsia="Batang" w:hAnsi="Cambria" w:cs="Calibri Light"/>
          <w:color w:val="000000"/>
          <w:sz w:val="20"/>
          <w:szCs w:val="20"/>
          <w:lang w:val="es-CO"/>
        </w:rPr>
      </w:pPr>
      <w:r>
        <w:rPr>
          <w:rFonts w:ascii="Cambria" w:hAnsi="Cambria" w:cs="Calibri Light"/>
          <w:color w:val="000000"/>
          <w:sz w:val="20"/>
          <w:szCs w:val="20"/>
          <w:lang w:val="es-ES"/>
        </w:rPr>
        <w:t>El 14 de marzo de 2018, las partes firmaron un acuerdo de solución amistosa</w:t>
      </w:r>
      <w:r w:rsidRPr="00C91286">
        <w:rPr>
          <w:rFonts w:ascii="Cambria" w:eastAsia="Batang" w:hAnsi="Cambria" w:cs="Calibri Light"/>
          <w:color w:val="000000"/>
          <w:sz w:val="20"/>
          <w:szCs w:val="20"/>
          <w:lang w:val="es-CO"/>
        </w:rPr>
        <w:t>.</w:t>
      </w:r>
    </w:p>
    <w:p w14:paraId="6DA49D8D" w14:textId="77777777" w:rsidR="00C91286" w:rsidRPr="00C91286" w:rsidRDefault="00C91286" w:rsidP="00C91286">
      <w:pPr>
        <w:tabs>
          <w:tab w:val="left" w:pos="1440"/>
        </w:tabs>
        <w:suppressAutoHyphens/>
        <w:spacing w:after="0" w:line="240" w:lineRule="auto"/>
        <w:ind w:left="720"/>
        <w:contextualSpacing/>
        <w:jc w:val="both"/>
        <w:rPr>
          <w:rFonts w:ascii="Cambria" w:eastAsia="Batang" w:hAnsi="Cambria" w:cs="Calibri Light"/>
          <w:color w:val="000000"/>
          <w:sz w:val="20"/>
          <w:szCs w:val="20"/>
          <w:lang w:val="es-CO"/>
        </w:rPr>
      </w:pPr>
    </w:p>
    <w:p w14:paraId="5F3D0EC6" w14:textId="076965CF" w:rsidR="00C91286" w:rsidRPr="00C91286" w:rsidRDefault="00C91286" w:rsidP="0026148D">
      <w:pPr>
        <w:numPr>
          <w:ilvl w:val="0"/>
          <w:numId w:val="7"/>
        </w:numPr>
        <w:tabs>
          <w:tab w:val="left" w:pos="1440"/>
        </w:tabs>
        <w:suppressAutoHyphens/>
        <w:spacing w:after="0" w:line="240" w:lineRule="auto"/>
        <w:ind w:left="0" w:firstLine="720"/>
        <w:contextualSpacing/>
        <w:jc w:val="both"/>
        <w:rPr>
          <w:rFonts w:ascii="Cambria" w:eastAsia="Batang" w:hAnsi="Cambria" w:cs="Calibri Light"/>
          <w:color w:val="000000"/>
          <w:sz w:val="20"/>
          <w:szCs w:val="20"/>
          <w:lang w:val="es-CO"/>
        </w:rPr>
      </w:pPr>
      <w:r w:rsidRPr="00C91286">
        <w:rPr>
          <w:rFonts w:ascii="Cambria" w:eastAsia="Batang" w:hAnsi="Cambria" w:cs="Calibri Light"/>
          <w:color w:val="000000"/>
          <w:sz w:val="20"/>
          <w:szCs w:val="20"/>
          <w:lang w:val="es-CO"/>
        </w:rPr>
        <w:t xml:space="preserve">El </w:t>
      </w:r>
      <w:r>
        <w:rPr>
          <w:rFonts w:ascii="Cambria" w:eastAsia="Batang" w:hAnsi="Cambria" w:cs="Calibri Light"/>
          <w:color w:val="000000"/>
          <w:sz w:val="20"/>
          <w:szCs w:val="20"/>
          <w:lang w:val="es-CO"/>
        </w:rPr>
        <w:t>9 de junio de 2020, la CIDH aprobó el acuerdo suscrito por las partes mediante el Informe No. 110/20</w:t>
      </w:r>
      <w:r w:rsidRPr="00C91286">
        <w:rPr>
          <w:rFonts w:ascii="Cambria" w:eastAsia="Batang" w:hAnsi="Cambria" w:cs="Calibri Light"/>
          <w:color w:val="000000"/>
          <w:sz w:val="20"/>
          <w:szCs w:val="20"/>
          <w:lang w:val="es-CO"/>
        </w:rPr>
        <w:t>.</w:t>
      </w:r>
    </w:p>
    <w:p w14:paraId="28FCC3E6" w14:textId="77777777" w:rsidR="00C91286" w:rsidRPr="00C91286" w:rsidRDefault="00C91286" w:rsidP="00C91286">
      <w:pPr>
        <w:tabs>
          <w:tab w:val="left" w:pos="1440"/>
        </w:tabs>
        <w:suppressAutoHyphens/>
        <w:spacing w:after="0" w:line="240" w:lineRule="auto"/>
        <w:jc w:val="both"/>
        <w:rPr>
          <w:rFonts w:ascii="Cambria" w:eastAsia="Batang" w:hAnsi="Cambria" w:cs="Calibri Light"/>
          <w:color w:val="000000"/>
          <w:sz w:val="20"/>
          <w:szCs w:val="20"/>
          <w:lang w:val="es-AR"/>
        </w:rPr>
      </w:pPr>
    </w:p>
    <w:p w14:paraId="03F40ABA" w14:textId="77777777" w:rsidR="00C91286" w:rsidRPr="00C91286" w:rsidRDefault="00C91286" w:rsidP="0026148D">
      <w:pPr>
        <w:numPr>
          <w:ilvl w:val="0"/>
          <w:numId w:val="2"/>
        </w:numPr>
        <w:tabs>
          <w:tab w:val="left" w:pos="720"/>
        </w:tabs>
        <w:suppressAutoHyphens/>
        <w:spacing w:after="0" w:line="240" w:lineRule="auto"/>
        <w:ind w:left="0" w:firstLine="720"/>
        <w:contextualSpacing/>
        <w:jc w:val="both"/>
        <w:rPr>
          <w:rFonts w:ascii="Cambria" w:eastAsia="Batang" w:hAnsi="Cambria" w:cs="Calibri Light"/>
          <w:b/>
          <w:color w:val="000000"/>
          <w:sz w:val="20"/>
          <w:szCs w:val="20"/>
          <w:lang w:val="es-AR"/>
        </w:rPr>
      </w:pPr>
      <w:r w:rsidRPr="00C91286">
        <w:rPr>
          <w:rFonts w:ascii="Cambria" w:eastAsia="Batang" w:hAnsi="Cambria" w:cs="Calibri Light"/>
          <w:b/>
          <w:color w:val="000000"/>
          <w:sz w:val="20"/>
          <w:szCs w:val="20"/>
          <w:lang w:val="es-AR"/>
        </w:rPr>
        <w:t>ANÁLISIS DEL CUMPLIMIENTO DE LAS CLÁUSULAS DEL ACUERDO DE SOLUCIÓN AMISTOSA</w:t>
      </w:r>
    </w:p>
    <w:p w14:paraId="444C2F94" w14:textId="77777777" w:rsidR="00C91286" w:rsidRPr="00C91286" w:rsidRDefault="00C91286" w:rsidP="00C91286">
      <w:pPr>
        <w:suppressAutoHyphens/>
        <w:spacing w:after="0" w:line="240" w:lineRule="auto"/>
        <w:rPr>
          <w:rFonts w:ascii="Cambria" w:eastAsia="Batang" w:hAnsi="Cambria"/>
          <w:color w:val="000000"/>
          <w:sz w:val="20"/>
          <w:szCs w:val="20"/>
          <w:lang w:val="es-AR"/>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7"/>
        <w:gridCol w:w="4841"/>
      </w:tblGrid>
      <w:tr w:rsidR="00606628" w:rsidRPr="00C91286" w14:paraId="6F86078E" w14:textId="77777777" w:rsidTr="00107FB3">
        <w:tc>
          <w:tcPr>
            <w:tcW w:w="46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CA0879" w14:textId="77777777" w:rsidR="00606628" w:rsidRPr="00C91286" w:rsidRDefault="00606628" w:rsidP="00C91286">
            <w:pPr>
              <w:tabs>
                <w:tab w:val="center" w:pos="2049"/>
              </w:tabs>
              <w:suppressAutoHyphens/>
              <w:spacing w:after="0" w:line="240" w:lineRule="auto"/>
              <w:jc w:val="center"/>
              <w:rPr>
                <w:rFonts w:ascii="Cambria" w:eastAsia="Batang" w:hAnsi="Cambria"/>
                <w:b/>
                <w:color w:val="000000"/>
                <w:sz w:val="20"/>
                <w:szCs w:val="20"/>
                <w:lang w:val="es-AR"/>
              </w:rPr>
            </w:pPr>
            <w:r w:rsidRPr="00C91286">
              <w:rPr>
                <w:rFonts w:ascii="Cambria" w:eastAsia="Batang" w:hAnsi="Cambria"/>
                <w:b/>
                <w:color w:val="000000"/>
                <w:sz w:val="20"/>
                <w:szCs w:val="20"/>
                <w:lang w:val="es-AR"/>
              </w:rPr>
              <w:t>Cláusula del Acuerdo</w:t>
            </w:r>
          </w:p>
        </w:tc>
        <w:tc>
          <w:tcPr>
            <w:tcW w:w="48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3CC609" w14:textId="1E0FC658" w:rsidR="00606628" w:rsidRPr="00C91286" w:rsidRDefault="00606628" w:rsidP="00606628">
            <w:pPr>
              <w:suppressAutoHyphens/>
              <w:spacing w:after="0" w:line="240" w:lineRule="auto"/>
              <w:jc w:val="center"/>
              <w:rPr>
                <w:rFonts w:ascii="Cambria" w:eastAsia="Batang" w:hAnsi="Cambria"/>
                <w:b/>
                <w:color w:val="000000"/>
                <w:sz w:val="20"/>
                <w:szCs w:val="20"/>
                <w:lang w:val="es-AR"/>
              </w:rPr>
            </w:pPr>
            <w:r w:rsidRPr="00C91286">
              <w:rPr>
                <w:rFonts w:ascii="Cambria" w:eastAsia="Batang" w:hAnsi="Cambria"/>
                <w:b/>
                <w:color w:val="000000"/>
                <w:sz w:val="20"/>
                <w:szCs w:val="20"/>
                <w:lang w:val="es-AR"/>
              </w:rPr>
              <w:t>Estado de Cumplimiento</w:t>
            </w:r>
          </w:p>
        </w:tc>
      </w:tr>
      <w:tr w:rsidR="00C91286" w:rsidRPr="00C91286" w14:paraId="4CF65D09" w14:textId="77777777" w:rsidTr="00C91286">
        <w:trPr>
          <w:trHeight w:val="341"/>
        </w:trPr>
        <w:tc>
          <w:tcPr>
            <w:tcW w:w="4657" w:type="dxa"/>
            <w:tcBorders>
              <w:top w:val="single" w:sz="4" w:space="0" w:color="auto"/>
              <w:left w:val="single" w:sz="4" w:space="0" w:color="auto"/>
              <w:bottom w:val="single" w:sz="4" w:space="0" w:color="auto"/>
              <w:right w:val="single" w:sz="4" w:space="0" w:color="auto"/>
            </w:tcBorders>
            <w:vAlign w:val="center"/>
          </w:tcPr>
          <w:p w14:paraId="03DCCCF3" w14:textId="77777777" w:rsidR="00C91286" w:rsidRPr="00C91286" w:rsidRDefault="00C91286" w:rsidP="0026148D">
            <w:pPr>
              <w:numPr>
                <w:ilvl w:val="0"/>
                <w:numId w:val="5"/>
              </w:numPr>
              <w:suppressAutoHyphens/>
              <w:spacing w:after="0" w:line="240" w:lineRule="auto"/>
              <w:ind w:left="251" w:hanging="270"/>
              <w:jc w:val="both"/>
              <w:rPr>
                <w:rFonts w:ascii="Cambria" w:hAnsi="Cambria"/>
                <w:b/>
                <w:bCs/>
                <w:sz w:val="20"/>
                <w:szCs w:val="20"/>
                <w:lang w:val="es-AR"/>
              </w:rPr>
            </w:pPr>
            <w:r w:rsidRPr="00C91286">
              <w:rPr>
                <w:rFonts w:ascii="Cambria" w:hAnsi="Cambria"/>
                <w:b/>
                <w:bCs/>
                <w:sz w:val="20"/>
                <w:szCs w:val="20"/>
                <w:lang w:val="es-AR"/>
              </w:rPr>
              <w:t>RECONOCIMIENTO DE RESPONSABILIDAD</w:t>
            </w:r>
          </w:p>
          <w:p w14:paraId="48AF2B37" w14:textId="77777777" w:rsidR="00C91286" w:rsidRPr="00C91286" w:rsidRDefault="00C91286" w:rsidP="00C91286">
            <w:pPr>
              <w:suppressAutoHyphens/>
              <w:spacing w:after="0" w:line="240" w:lineRule="auto"/>
              <w:jc w:val="both"/>
              <w:rPr>
                <w:rFonts w:ascii="Cambria" w:hAnsi="Cambria"/>
                <w:sz w:val="20"/>
                <w:szCs w:val="20"/>
                <w:lang w:val="es-AR"/>
              </w:rPr>
            </w:pPr>
            <w:r w:rsidRPr="00C91286">
              <w:rPr>
                <w:rFonts w:ascii="Cambria" w:hAnsi="Cambria"/>
                <w:sz w:val="20"/>
                <w:szCs w:val="20"/>
                <w:lang w:val="es-AR"/>
              </w:rPr>
              <w:t xml:space="preserve"> El </w:t>
            </w:r>
            <w:r w:rsidRPr="00C91286">
              <w:rPr>
                <w:rFonts w:ascii="Cambria" w:hAnsi="Cambria"/>
                <w:b/>
                <w:bCs/>
                <w:sz w:val="20"/>
                <w:szCs w:val="20"/>
                <w:lang w:val="es-AR"/>
              </w:rPr>
              <w:t>"ESTADO MEXICANO</w:t>
            </w:r>
            <w:r w:rsidRPr="00C91286">
              <w:rPr>
                <w:rFonts w:ascii="Cambria" w:hAnsi="Cambria"/>
                <w:sz w:val="20"/>
                <w:szCs w:val="20"/>
                <w:lang w:val="es-AR"/>
              </w:rPr>
              <w:t xml:space="preserve">" reconoce su responsabilidad internacional respecto a la violación a los derechos a la vida, la integridad personal y derechos del niño, artículos 4, 5 y 19 de la Convención Americana sobre Derechos Humanos en relación con la obligación general de respetar los derechos contenidos en el artículo I.I del mismo </w:t>
            </w:r>
            <w:r w:rsidRPr="00C91286">
              <w:rPr>
                <w:rFonts w:ascii="Cambria" w:hAnsi="Cambria"/>
                <w:sz w:val="20"/>
                <w:szCs w:val="20"/>
                <w:lang w:val="es-AR"/>
              </w:rPr>
              <w:lastRenderedPageBreak/>
              <w:t xml:space="preserve">instrumento, por los hechos ocurridos en agravio de Ismael Mondragón Molina. </w:t>
            </w:r>
          </w:p>
          <w:p w14:paraId="0319CBE1" w14:textId="77777777" w:rsidR="00C91286" w:rsidRPr="00C91286" w:rsidRDefault="00C91286" w:rsidP="00C91286">
            <w:pPr>
              <w:suppressAutoHyphens/>
              <w:spacing w:after="0" w:line="240" w:lineRule="auto"/>
              <w:jc w:val="both"/>
              <w:rPr>
                <w:rFonts w:ascii="Cambria" w:hAnsi="Cambria"/>
                <w:sz w:val="20"/>
                <w:szCs w:val="20"/>
                <w:lang w:val="es-AR"/>
              </w:rPr>
            </w:pPr>
            <w:r w:rsidRPr="00C91286">
              <w:rPr>
                <w:rFonts w:ascii="Cambria" w:hAnsi="Cambria"/>
                <w:sz w:val="20"/>
                <w:szCs w:val="20"/>
                <w:lang w:val="es-AR"/>
              </w:rPr>
              <w:t>El "</w:t>
            </w:r>
            <w:r w:rsidRPr="00C91286">
              <w:rPr>
                <w:rFonts w:ascii="Cambria" w:hAnsi="Cambria"/>
                <w:b/>
                <w:bCs/>
                <w:sz w:val="20"/>
                <w:szCs w:val="20"/>
                <w:lang w:val="es-AR"/>
              </w:rPr>
              <w:t>ESTADO MEXICANO</w:t>
            </w:r>
            <w:r w:rsidRPr="00C91286">
              <w:rPr>
                <w:rFonts w:ascii="Cambria" w:hAnsi="Cambria"/>
                <w:sz w:val="20"/>
                <w:szCs w:val="20"/>
                <w:lang w:val="es-AR"/>
              </w:rPr>
              <w:t xml:space="preserve">" reconoce que las violaciones expresadas en el párrafo anterior le son atribuibles y generan su responsabilidad internacional frente a "LAS VÍCTIMAS", así como la obligación de repararla. </w:t>
            </w:r>
          </w:p>
        </w:tc>
        <w:tc>
          <w:tcPr>
            <w:tcW w:w="4841" w:type="dxa"/>
            <w:tcBorders>
              <w:top w:val="single" w:sz="4" w:space="0" w:color="auto"/>
              <w:left w:val="single" w:sz="4" w:space="0" w:color="auto"/>
              <w:bottom w:val="single" w:sz="4" w:space="0" w:color="auto"/>
              <w:right w:val="single" w:sz="4" w:space="0" w:color="auto"/>
            </w:tcBorders>
            <w:vAlign w:val="center"/>
            <w:hideMark/>
          </w:tcPr>
          <w:p w14:paraId="0FAF23A0" w14:textId="77777777" w:rsidR="00C91286" w:rsidRPr="00C91286" w:rsidRDefault="00C91286" w:rsidP="00C91286">
            <w:pPr>
              <w:suppressAutoHyphens/>
              <w:spacing w:after="0" w:line="240" w:lineRule="auto"/>
              <w:jc w:val="center"/>
              <w:rPr>
                <w:rFonts w:ascii="Cambria" w:eastAsia="Batang" w:hAnsi="Cambria"/>
                <w:color w:val="000000"/>
                <w:sz w:val="20"/>
                <w:szCs w:val="20"/>
                <w:lang w:val="es-AR"/>
              </w:rPr>
            </w:pPr>
            <w:r w:rsidRPr="00C91286">
              <w:rPr>
                <w:rFonts w:ascii="Cambria" w:eastAsia="Batang" w:hAnsi="Cambria"/>
                <w:b/>
                <w:color w:val="000000"/>
                <w:sz w:val="20"/>
                <w:szCs w:val="20"/>
                <w:lang w:val="es-AR"/>
              </w:rPr>
              <w:lastRenderedPageBreak/>
              <w:t>Cláusula Declarativa</w:t>
            </w:r>
          </w:p>
        </w:tc>
      </w:tr>
      <w:tr w:rsidR="00C91286" w:rsidRPr="00C91286" w14:paraId="3E1FED21" w14:textId="77777777" w:rsidTr="00C91286">
        <w:trPr>
          <w:trHeight w:val="269"/>
        </w:trPr>
        <w:tc>
          <w:tcPr>
            <w:tcW w:w="9498" w:type="dxa"/>
            <w:gridSpan w:val="2"/>
            <w:tcBorders>
              <w:top w:val="single" w:sz="4" w:space="0" w:color="auto"/>
              <w:left w:val="single" w:sz="4" w:space="0" w:color="auto"/>
              <w:right w:val="single" w:sz="4" w:space="0" w:color="auto"/>
            </w:tcBorders>
          </w:tcPr>
          <w:p w14:paraId="225BFDAF" w14:textId="77777777" w:rsidR="00C91286" w:rsidRPr="00C91286" w:rsidRDefault="00C91286" w:rsidP="00C91286">
            <w:pPr>
              <w:suppressAutoHyphens/>
              <w:spacing w:after="0" w:line="240" w:lineRule="auto"/>
              <w:jc w:val="both"/>
              <w:rPr>
                <w:rFonts w:ascii="Cambria" w:eastAsia="Batang" w:hAnsi="Cambria"/>
                <w:b/>
                <w:bCs/>
                <w:color w:val="000000"/>
                <w:sz w:val="20"/>
                <w:szCs w:val="20"/>
                <w:lang w:val="es-AR"/>
              </w:rPr>
            </w:pPr>
            <w:r w:rsidRPr="00C91286">
              <w:rPr>
                <w:rFonts w:ascii="Cambria" w:hAnsi="Cambria"/>
                <w:b/>
                <w:bCs/>
                <w:sz w:val="20"/>
                <w:szCs w:val="20"/>
                <w:lang w:val="es-AR"/>
              </w:rPr>
              <w:t xml:space="preserve">A. MEDIDAS DE REHABILITACION </w:t>
            </w:r>
          </w:p>
        </w:tc>
      </w:tr>
      <w:tr w:rsidR="00C91286" w:rsidRPr="00C91286" w14:paraId="64C5C5F7" w14:textId="77777777" w:rsidTr="00C91286">
        <w:trPr>
          <w:trHeight w:val="1934"/>
        </w:trPr>
        <w:tc>
          <w:tcPr>
            <w:tcW w:w="4657" w:type="dxa"/>
            <w:tcBorders>
              <w:top w:val="single" w:sz="4" w:space="0" w:color="auto"/>
              <w:left w:val="single" w:sz="4" w:space="0" w:color="auto"/>
              <w:right w:val="single" w:sz="4" w:space="0" w:color="auto"/>
            </w:tcBorders>
          </w:tcPr>
          <w:p w14:paraId="69D8DA8F" w14:textId="77777777" w:rsidR="00C91286" w:rsidRPr="00C91286" w:rsidRDefault="00C91286" w:rsidP="00C91286">
            <w:pPr>
              <w:suppressAutoHyphens/>
              <w:spacing w:after="0" w:line="240" w:lineRule="auto"/>
              <w:jc w:val="both"/>
              <w:rPr>
                <w:rFonts w:ascii="Cambria" w:hAnsi="Cambria"/>
                <w:sz w:val="20"/>
                <w:szCs w:val="20"/>
                <w:lang w:val="es-AR"/>
              </w:rPr>
            </w:pPr>
            <w:r w:rsidRPr="00C91286">
              <w:rPr>
                <w:rFonts w:ascii="Cambria" w:hAnsi="Cambria"/>
                <w:b/>
                <w:bCs/>
                <w:sz w:val="20"/>
                <w:szCs w:val="20"/>
                <w:lang w:val="es-AR"/>
              </w:rPr>
              <w:t xml:space="preserve">Clausula 3.2 En materia de salud. </w:t>
            </w:r>
            <w:r w:rsidRPr="00C91286">
              <w:rPr>
                <w:rFonts w:ascii="Cambria" w:hAnsi="Cambria"/>
                <w:sz w:val="20"/>
                <w:szCs w:val="20"/>
                <w:lang w:val="es-AR"/>
              </w:rPr>
              <w:t>El "</w:t>
            </w:r>
            <w:r w:rsidRPr="00C91286">
              <w:rPr>
                <w:rFonts w:ascii="Cambria" w:hAnsi="Cambria"/>
                <w:b/>
                <w:bCs/>
                <w:sz w:val="20"/>
                <w:szCs w:val="20"/>
                <w:lang w:val="es-AR"/>
              </w:rPr>
              <w:t>ESTADO MEXICANO</w:t>
            </w:r>
            <w:r w:rsidRPr="00C91286">
              <w:rPr>
                <w:rFonts w:ascii="Cambria" w:hAnsi="Cambria"/>
                <w:sz w:val="20"/>
                <w:szCs w:val="20"/>
                <w:lang w:val="es-AR"/>
              </w:rPr>
              <w:t>" se obliga a otorgar a cada una de "</w:t>
            </w:r>
            <w:r w:rsidRPr="00C91286">
              <w:rPr>
                <w:rFonts w:ascii="Cambria" w:hAnsi="Cambria"/>
                <w:b/>
                <w:bCs/>
                <w:sz w:val="20"/>
                <w:szCs w:val="20"/>
                <w:lang w:val="es-AR"/>
              </w:rPr>
              <w:t>LAS VICTIMAS</w:t>
            </w:r>
            <w:r w:rsidRPr="00C91286">
              <w:rPr>
                <w:rFonts w:ascii="Cambria" w:hAnsi="Cambria"/>
                <w:sz w:val="20"/>
                <w:szCs w:val="20"/>
                <w:lang w:val="es-AR"/>
              </w:rPr>
              <w:t xml:space="preserve">" atención médica y psicológica adecuada, preferencial y gratuita, mediante el diseño de una ruta de salud personalizada, en la que se consideraron los datos de cada una de las y los beneficiarios, como su lugar de residencia y la accesibilidad de los servicios existentes en razón de la distancia. </w:t>
            </w:r>
          </w:p>
          <w:p w14:paraId="3F459C68" w14:textId="77777777" w:rsidR="00C91286" w:rsidRPr="00C91286" w:rsidRDefault="00C91286" w:rsidP="00C91286">
            <w:pPr>
              <w:suppressAutoHyphens/>
              <w:spacing w:after="0" w:line="240" w:lineRule="auto"/>
              <w:jc w:val="both"/>
              <w:rPr>
                <w:rFonts w:ascii="Cambria" w:hAnsi="Cambria"/>
                <w:sz w:val="20"/>
                <w:szCs w:val="20"/>
                <w:lang w:val="es-AR"/>
              </w:rPr>
            </w:pPr>
            <w:r w:rsidRPr="00C91286">
              <w:rPr>
                <w:rFonts w:ascii="Cambria" w:hAnsi="Cambria"/>
                <w:sz w:val="20"/>
                <w:szCs w:val="20"/>
                <w:lang w:val="es-AR"/>
              </w:rPr>
              <w:t>La atención se proporcionará a través de las instituciones públicos del "</w:t>
            </w:r>
            <w:r w:rsidRPr="00C91286">
              <w:rPr>
                <w:rFonts w:ascii="Cambria" w:hAnsi="Cambria"/>
                <w:b/>
                <w:bCs/>
                <w:sz w:val="20"/>
                <w:szCs w:val="20"/>
                <w:lang w:val="es-AR"/>
              </w:rPr>
              <w:t>ESTADO MEXICANO</w:t>
            </w:r>
            <w:r w:rsidRPr="00C91286">
              <w:rPr>
                <w:rFonts w:ascii="Cambria" w:hAnsi="Cambria"/>
                <w:sz w:val="20"/>
                <w:szCs w:val="20"/>
                <w:lang w:val="es-AR"/>
              </w:rPr>
              <w:t xml:space="preserve">". </w:t>
            </w:r>
          </w:p>
          <w:p w14:paraId="6C8E104E" w14:textId="77777777" w:rsidR="00C91286" w:rsidRPr="00C91286" w:rsidRDefault="00C91286" w:rsidP="00C91286">
            <w:pPr>
              <w:suppressAutoHyphens/>
              <w:spacing w:after="0" w:line="240" w:lineRule="auto"/>
              <w:jc w:val="both"/>
              <w:rPr>
                <w:rFonts w:ascii="Cambria" w:hAnsi="Cambria"/>
                <w:sz w:val="20"/>
                <w:szCs w:val="20"/>
                <w:lang w:val="es-AR"/>
              </w:rPr>
            </w:pPr>
            <w:r w:rsidRPr="00C91286">
              <w:rPr>
                <w:rFonts w:ascii="Cambria" w:hAnsi="Cambria"/>
                <w:sz w:val="20"/>
                <w:szCs w:val="20"/>
                <w:lang w:val="es-AR"/>
              </w:rPr>
              <w:t>El "</w:t>
            </w:r>
            <w:r w:rsidRPr="00C91286">
              <w:rPr>
                <w:rFonts w:ascii="Cambria" w:hAnsi="Cambria"/>
                <w:b/>
                <w:bCs/>
                <w:sz w:val="20"/>
                <w:szCs w:val="20"/>
                <w:lang w:val="es-AR"/>
              </w:rPr>
              <w:t>ESTADO MEXICANO</w:t>
            </w:r>
            <w:r w:rsidRPr="00C91286">
              <w:rPr>
                <w:rFonts w:ascii="Cambria" w:hAnsi="Cambria"/>
                <w:sz w:val="20"/>
                <w:szCs w:val="20"/>
                <w:lang w:val="es-AR"/>
              </w:rPr>
              <w:t xml:space="preserve">" facilitara el contacto del enlace directo en las instituciones públicos de salud en caso de alguna eventualidad respecto de la atención en salud que pueda presentarse. Este enlace deberá tener la capacidad de decisión e interlocución necesaria para su resolución. </w:t>
            </w:r>
          </w:p>
          <w:p w14:paraId="211467F7" w14:textId="77777777" w:rsidR="00C91286" w:rsidRPr="00C91286" w:rsidRDefault="00C91286" w:rsidP="00C91286">
            <w:pPr>
              <w:suppressAutoHyphens/>
              <w:spacing w:after="0" w:line="240" w:lineRule="auto"/>
              <w:jc w:val="both"/>
              <w:rPr>
                <w:rFonts w:ascii="Cambria" w:hAnsi="Cambria"/>
                <w:sz w:val="20"/>
                <w:szCs w:val="20"/>
                <w:lang w:val="es-AR"/>
              </w:rPr>
            </w:pPr>
            <w:r w:rsidRPr="00C91286">
              <w:rPr>
                <w:rFonts w:ascii="Cambria" w:hAnsi="Cambria"/>
                <w:b/>
                <w:bCs/>
                <w:sz w:val="20"/>
                <w:szCs w:val="20"/>
                <w:lang w:val="es-AR"/>
              </w:rPr>
              <w:t>Clausula 3.2.1 Acuerdo sobre la ruta de salud</w:t>
            </w:r>
            <w:r w:rsidRPr="00C91286">
              <w:rPr>
                <w:rFonts w:ascii="Cambria" w:hAnsi="Cambria"/>
                <w:sz w:val="20"/>
                <w:szCs w:val="20"/>
                <w:lang w:val="es-AR"/>
              </w:rPr>
              <w:t xml:space="preserve">. </w:t>
            </w:r>
          </w:p>
          <w:p w14:paraId="26E52A4D" w14:textId="77777777" w:rsidR="00C91286" w:rsidRPr="00C91286" w:rsidRDefault="00C91286" w:rsidP="00C91286">
            <w:pPr>
              <w:suppressAutoHyphens/>
              <w:spacing w:after="0" w:line="240" w:lineRule="auto"/>
              <w:jc w:val="both"/>
              <w:rPr>
                <w:rFonts w:ascii="Cambria" w:hAnsi="Cambria"/>
                <w:sz w:val="20"/>
                <w:szCs w:val="20"/>
                <w:lang w:val="es-AR"/>
              </w:rPr>
            </w:pPr>
            <w:r w:rsidRPr="00C91286">
              <w:rPr>
                <w:rFonts w:ascii="Cambria" w:hAnsi="Cambria"/>
                <w:sz w:val="20"/>
                <w:szCs w:val="20"/>
                <w:lang w:val="es-AR"/>
              </w:rPr>
              <w:t>Las necesidades particulares de atención a "LAS VÍCTIMAS" se encontrarán incorporadas al presente Acuerdo, a través del Anexo 1, mismo que será, consensado entre "LAS PARTES" en un plazo no mayor a 6 meses, contados a partir de la firma del presente acuerdo. "</w:t>
            </w:r>
            <w:r w:rsidRPr="00C91286">
              <w:rPr>
                <w:rFonts w:ascii="Cambria" w:hAnsi="Cambria"/>
                <w:b/>
                <w:bCs/>
                <w:sz w:val="20"/>
                <w:szCs w:val="20"/>
                <w:lang w:val="es-AR"/>
              </w:rPr>
              <w:t>LAS VICTIMAS</w:t>
            </w:r>
            <w:r w:rsidRPr="00C91286">
              <w:rPr>
                <w:rFonts w:ascii="Cambria" w:hAnsi="Cambria"/>
                <w:sz w:val="20"/>
                <w:szCs w:val="20"/>
                <w:lang w:val="es-AR"/>
              </w:rPr>
              <w:t>" a través de sus representantes, brindaran a la "</w:t>
            </w:r>
            <w:r w:rsidRPr="00C91286">
              <w:rPr>
                <w:rFonts w:ascii="Cambria" w:hAnsi="Cambria"/>
                <w:b/>
                <w:bCs/>
                <w:sz w:val="20"/>
                <w:szCs w:val="20"/>
                <w:lang w:val="es-AR"/>
              </w:rPr>
              <w:t>SEGOB</w:t>
            </w:r>
            <w:r w:rsidRPr="00C91286">
              <w:rPr>
                <w:rFonts w:ascii="Cambria" w:hAnsi="Cambria"/>
                <w:sz w:val="20"/>
                <w:szCs w:val="20"/>
                <w:lang w:val="es-AR"/>
              </w:rPr>
              <w:t>" toda la información necesaria para su registro, valoración y/o atención en las instituciones públicos de salud una vez que "</w:t>
            </w:r>
            <w:r w:rsidRPr="00C91286">
              <w:rPr>
                <w:rFonts w:ascii="Cambria" w:hAnsi="Cambria"/>
                <w:b/>
                <w:bCs/>
                <w:sz w:val="20"/>
                <w:szCs w:val="20"/>
                <w:lang w:val="es-AR"/>
              </w:rPr>
              <w:t>LAS PARTES</w:t>
            </w:r>
            <w:r w:rsidRPr="00C91286">
              <w:rPr>
                <w:rFonts w:ascii="Cambria" w:hAnsi="Cambria"/>
                <w:sz w:val="20"/>
                <w:szCs w:val="20"/>
                <w:lang w:val="es-AR"/>
              </w:rPr>
              <w:t>" acuerden los termino. A su vez "LAS VÍCTIMAS" se comprometen a acudir a las consultas, exámenes, evaluaciones, sesiones, tratamientos o cualquier clase de procedimiento que se establezca o se deriven de los acuerdos. El "</w:t>
            </w:r>
            <w:r w:rsidRPr="00C91286">
              <w:rPr>
                <w:rFonts w:ascii="Cambria" w:hAnsi="Cambria"/>
                <w:b/>
                <w:bCs/>
                <w:sz w:val="20"/>
                <w:szCs w:val="20"/>
                <w:lang w:val="es-AR"/>
              </w:rPr>
              <w:t>ESTADO MEXICANO</w:t>
            </w:r>
            <w:r w:rsidRPr="00C91286">
              <w:rPr>
                <w:rFonts w:ascii="Cambria" w:hAnsi="Cambria"/>
                <w:sz w:val="20"/>
                <w:szCs w:val="20"/>
                <w:lang w:val="es-AR"/>
              </w:rPr>
              <w:t xml:space="preserve">" otorgará las facilidades correspondientes para la prestación de los servicios en los termino de las normas legales aplicables. </w:t>
            </w:r>
          </w:p>
          <w:p w14:paraId="40948EF5" w14:textId="77777777" w:rsidR="00C91286" w:rsidRPr="00C91286" w:rsidRDefault="00C91286" w:rsidP="00C91286">
            <w:pPr>
              <w:suppressAutoHyphens/>
              <w:spacing w:after="0" w:line="240" w:lineRule="auto"/>
              <w:jc w:val="both"/>
              <w:rPr>
                <w:rFonts w:ascii="Cambria" w:hAnsi="Cambria"/>
                <w:b/>
                <w:bCs/>
                <w:sz w:val="20"/>
                <w:szCs w:val="20"/>
                <w:lang w:val="es-AR"/>
              </w:rPr>
            </w:pPr>
            <w:r w:rsidRPr="00C91286">
              <w:rPr>
                <w:rFonts w:ascii="Cambria" w:hAnsi="Cambria"/>
                <w:sz w:val="20"/>
                <w:szCs w:val="20"/>
                <w:lang w:val="es-AR"/>
              </w:rPr>
              <w:t>El "</w:t>
            </w:r>
            <w:r w:rsidRPr="00C91286">
              <w:rPr>
                <w:rFonts w:ascii="Cambria" w:hAnsi="Cambria"/>
                <w:b/>
                <w:bCs/>
                <w:sz w:val="20"/>
                <w:szCs w:val="20"/>
                <w:lang w:val="es-AR"/>
              </w:rPr>
              <w:t>ESTADO MEXICANO</w:t>
            </w:r>
            <w:r w:rsidRPr="00C91286">
              <w:rPr>
                <w:rFonts w:ascii="Cambria" w:hAnsi="Cambria"/>
                <w:sz w:val="20"/>
                <w:szCs w:val="20"/>
                <w:lang w:val="es-AR"/>
              </w:rPr>
              <w:t>" no estará obligado a proporcionar atención médica o psicológica a "</w:t>
            </w:r>
            <w:r w:rsidRPr="00C91286">
              <w:rPr>
                <w:rFonts w:ascii="Cambria" w:hAnsi="Cambria"/>
                <w:b/>
                <w:bCs/>
                <w:sz w:val="20"/>
                <w:szCs w:val="20"/>
                <w:lang w:val="es-AR"/>
              </w:rPr>
              <w:t>LAS VÍCTIMAS</w:t>
            </w:r>
            <w:r w:rsidRPr="00C91286">
              <w:rPr>
                <w:rFonts w:ascii="Cambria" w:hAnsi="Cambria"/>
                <w:sz w:val="20"/>
                <w:szCs w:val="20"/>
                <w:lang w:val="es-AR"/>
              </w:rPr>
              <w:t xml:space="preserve">" o a las y los familiares directos si estos deciden cambiar de forma temporal o permanente su residencia fuera del territorio nacional. Sin menoscabo de que la misma a pueda retornarse en caso de que estas retornen a territorio mexicano. </w:t>
            </w:r>
          </w:p>
        </w:tc>
        <w:tc>
          <w:tcPr>
            <w:tcW w:w="4841" w:type="dxa"/>
            <w:tcBorders>
              <w:top w:val="single" w:sz="4" w:space="0" w:color="auto"/>
              <w:left w:val="single" w:sz="4" w:space="0" w:color="auto"/>
              <w:right w:val="single" w:sz="4" w:space="0" w:color="auto"/>
            </w:tcBorders>
            <w:vAlign w:val="center"/>
          </w:tcPr>
          <w:p w14:paraId="37236AD2" w14:textId="5E38EB08" w:rsidR="00C91286" w:rsidRPr="00C91286" w:rsidRDefault="00C91286" w:rsidP="00606628">
            <w:pPr>
              <w:suppressAutoHyphens/>
              <w:spacing w:after="0" w:line="240" w:lineRule="auto"/>
              <w:jc w:val="center"/>
              <w:rPr>
                <w:rFonts w:ascii="Cambria" w:eastAsia="Batang" w:hAnsi="Cambria"/>
                <w:b/>
                <w:bCs/>
                <w:color w:val="000000"/>
                <w:sz w:val="20"/>
                <w:szCs w:val="20"/>
                <w:lang w:val="es-AR"/>
              </w:rPr>
            </w:pPr>
            <w:r w:rsidRPr="00C91286">
              <w:rPr>
                <w:rFonts w:ascii="Cambria" w:eastAsia="Batang" w:hAnsi="Cambria"/>
                <w:b/>
                <w:bCs/>
                <w:color w:val="000000"/>
                <w:sz w:val="20"/>
                <w:szCs w:val="20"/>
                <w:lang w:val="es-AR"/>
              </w:rPr>
              <w:t>Total</w:t>
            </w:r>
            <w:r w:rsidRPr="00C91286">
              <w:rPr>
                <w:rFonts w:ascii="Cambria" w:eastAsia="Batang" w:hAnsi="Cambria"/>
                <w:b/>
                <w:bCs/>
                <w:color w:val="000000"/>
                <w:sz w:val="20"/>
                <w:szCs w:val="20"/>
                <w:vertAlign w:val="superscript"/>
                <w:lang w:val="es-AR"/>
              </w:rPr>
              <w:footnoteReference w:id="2"/>
            </w:r>
          </w:p>
        </w:tc>
      </w:tr>
      <w:tr w:rsidR="00C91286" w:rsidRPr="00C91286" w14:paraId="4F9FF1EC" w14:textId="77777777" w:rsidTr="00C91286">
        <w:trPr>
          <w:trHeight w:val="971"/>
        </w:trPr>
        <w:tc>
          <w:tcPr>
            <w:tcW w:w="4657" w:type="dxa"/>
            <w:tcBorders>
              <w:top w:val="single" w:sz="4" w:space="0" w:color="auto"/>
              <w:left w:val="single" w:sz="4" w:space="0" w:color="auto"/>
              <w:bottom w:val="single" w:sz="4" w:space="0" w:color="auto"/>
              <w:right w:val="single" w:sz="4" w:space="0" w:color="auto"/>
            </w:tcBorders>
          </w:tcPr>
          <w:p w14:paraId="1248801B" w14:textId="77777777" w:rsidR="00C91286" w:rsidRPr="00C91286" w:rsidRDefault="00C91286" w:rsidP="00C91286">
            <w:pPr>
              <w:suppressAutoHyphens/>
              <w:spacing w:after="0" w:line="240" w:lineRule="auto"/>
              <w:jc w:val="both"/>
              <w:rPr>
                <w:rFonts w:ascii="Cambria" w:hAnsi="Cambria"/>
                <w:sz w:val="20"/>
                <w:szCs w:val="20"/>
                <w:lang w:val="es-AR"/>
              </w:rPr>
            </w:pPr>
            <w:r w:rsidRPr="00C91286">
              <w:rPr>
                <w:rFonts w:ascii="Cambria" w:hAnsi="Cambria"/>
                <w:b/>
                <w:bCs/>
                <w:color w:val="000000"/>
                <w:kern w:val="36"/>
                <w:sz w:val="20"/>
                <w:szCs w:val="20"/>
                <w:lang w:val="es-AR"/>
              </w:rPr>
              <w:lastRenderedPageBreak/>
              <w:t xml:space="preserve">III. A. </w:t>
            </w:r>
            <w:r w:rsidRPr="00C91286">
              <w:rPr>
                <w:rFonts w:ascii="Cambria" w:hAnsi="Cambria"/>
                <w:b/>
                <w:bCs/>
                <w:sz w:val="20"/>
                <w:szCs w:val="20"/>
                <w:lang w:val="es-AR"/>
              </w:rPr>
              <w:t xml:space="preserve"> Clausula 3.2.2 Incorporación al Seguro Popular</w:t>
            </w:r>
            <w:r w:rsidRPr="00C91286">
              <w:rPr>
                <w:rFonts w:ascii="Cambria" w:hAnsi="Cambria"/>
                <w:sz w:val="20"/>
                <w:szCs w:val="20"/>
                <w:lang w:val="es-AR"/>
              </w:rPr>
              <w:t>. El "</w:t>
            </w:r>
            <w:r w:rsidRPr="00C91286">
              <w:rPr>
                <w:rFonts w:ascii="Cambria" w:hAnsi="Cambria"/>
                <w:b/>
                <w:bCs/>
                <w:sz w:val="20"/>
                <w:szCs w:val="20"/>
                <w:lang w:val="es-AR"/>
              </w:rPr>
              <w:t>ESTADO MEXICANO</w:t>
            </w:r>
            <w:r w:rsidRPr="00C91286">
              <w:rPr>
                <w:rFonts w:ascii="Cambria" w:hAnsi="Cambria"/>
                <w:sz w:val="20"/>
                <w:szCs w:val="20"/>
                <w:lang w:val="es-AR"/>
              </w:rPr>
              <w:t>" incorporará a "</w:t>
            </w:r>
            <w:r w:rsidRPr="00C91286">
              <w:rPr>
                <w:rFonts w:ascii="Cambria" w:hAnsi="Cambria"/>
                <w:b/>
                <w:bCs/>
                <w:sz w:val="20"/>
                <w:szCs w:val="20"/>
                <w:lang w:val="es-AR"/>
              </w:rPr>
              <w:t>LAS VÍCTIMAS</w:t>
            </w:r>
            <w:r w:rsidRPr="00C91286">
              <w:rPr>
                <w:rFonts w:ascii="Cambria" w:hAnsi="Cambria"/>
                <w:sz w:val="20"/>
                <w:szCs w:val="20"/>
                <w:lang w:val="es-AR"/>
              </w:rPr>
              <w:t xml:space="preserve">", en caso procedente, al Seguro Popular, las cuales tendrían acceso a los servicios establecidos en la cobertura médica del mismo. </w:t>
            </w:r>
          </w:p>
        </w:tc>
        <w:tc>
          <w:tcPr>
            <w:tcW w:w="4841" w:type="dxa"/>
            <w:tcBorders>
              <w:top w:val="single" w:sz="4" w:space="0" w:color="auto"/>
              <w:left w:val="single" w:sz="4" w:space="0" w:color="auto"/>
              <w:bottom w:val="single" w:sz="4" w:space="0" w:color="auto"/>
              <w:right w:val="single" w:sz="4" w:space="0" w:color="auto"/>
            </w:tcBorders>
            <w:vAlign w:val="center"/>
          </w:tcPr>
          <w:p w14:paraId="02674A74" w14:textId="77777777" w:rsidR="00C91286" w:rsidRPr="00C91286" w:rsidRDefault="00C91286" w:rsidP="00C91286">
            <w:pPr>
              <w:suppressAutoHyphens/>
              <w:spacing w:after="0" w:line="240" w:lineRule="auto"/>
              <w:jc w:val="center"/>
              <w:rPr>
                <w:rFonts w:ascii="Cambria" w:eastAsia="Batang" w:hAnsi="Cambria"/>
                <w:b/>
                <w:bCs/>
                <w:color w:val="000000"/>
                <w:sz w:val="20"/>
                <w:szCs w:val="20"/>
                <w:lang w:val="es-AR"/>
              </w:rPr>
            </w:pPr>
            <w:r w:rsidRPr="00C91286">
              <w:rPr>
                <w:rFonts w:ascii="Cambria" w:eastAsia="Batang" w:hAnsi="Cambria"/>
                <w:b/>
                <w:bCs/>
                <w:color w:val="000000"/>
                <w:sz w:val="20"/>
                <w:szCs w:val="20"/>
                <w:lang w:val="es-AR"/>
              </w:rPr>
              <w:t>Total</w:t>
            </w:r>
            <w:r w:rsidRPr="00C91286">
              <w:rPr>
                <w:rFonts w:ascii="Cambria" w:eastAsia="Batang" w:hAnsi="Cambria"/>
                <w:b/>
                <w:bCs/>
                <w:color w:val="000000"/>
                <w:sz w:val="20"/>
                <w:szCs w:val="20"/>
                <w:vertAlign w:val="superscript"/>
                <w:lang w:val="es-AR"/>
              </w:rPr>
              <w:footnoteReference w:id="3"/>
            </w:r>
          </w:p>
        </w:tc>
      </w:tr>
      <w:tr w:rsidR="00C91286" w:rsidRPr="00C91286" w14:paraId="57FF1514" w14:textId="77777777" w:rsidTr="00C91286">
        <w:trPr>
          <w:trHeight w:val="971"/>
        </w:trPr>
        <w:tc>
          <w:tcPr>
            <w:tcW w:w="4657" w:type="dxa"/>
            <w:tcBorders>
              <w:top w:val="single" w:sz="4" w:space="0" w:color="auto"/>
              <w:left w:val="single" w:sz="4" w:space="0" w:color="auto"/>
              <w:bottom w:val="single" w:sz="4" w:space="0" w:color="auto"/>
              <w:right w:val="single" w:sz="4" w:space="0" w:color="auto"/>
            </w:tcBorders>
          </w:tcPr>
          <w:p w14:paraId="4610C3E7" w14:textId="77777777" w:rsidR="00C91286" w:rsidRPr="00C91286" w:rsidRDefault="00C91286" w:rsidP="00C91286">
            <w:pPr>
              <w:suppressAutoHyphens/>
              <w:spacing w:after="0" w:line="240" w:lineRule="auto"/>
              <w:jc w:val="both"/>
              <w:rPr>
                <w:rFonts w:ascii="Cambria" w:hAnsi="Cambria"/>
                <w:sz w:val="20"/>
                <w:szCs w:val="20"/>
                <w:lang w:val="es-AR"/>
              </w:rPr>
            </w:pPr>
            <w:r w:rsidRPr="00C91286">
              <w:rPr>
                <w:rFonts w:ascii="Cambria" w:hAnsi="Cambria"/>
                <w:b/>
                <w:bCs/>
                <w:sz w:val="20"/>
                <w:szCs w:val="20"/>
                <w:lang w:val="es-AR"/>
              </w:rPr>
              <w:t>Clausula 3.3 Otorgamiento de Becas</w:t>
            </w:r>
            <w:r w:rsidRPr="00C91286">
              <w:rPr>
                <w:rFonts w:ascii="Cambria" w:hAnsi="Cambria"/>
                <w:sz w:val="20"/>
                <w:szCs w:val="20"/>
                <w:lang w:val="es-AR"/>
              </w:rPr>
              <w:t>. "</w:t>
            </w:r>
            <w:r w:rsidRPr="00C91286">
              <w:rPr>
                <w:rFonts w:ascii="Cambria" w:hAnsi="Cambria"/>
                <w:b/>
                <w:bCs/>
                <w:sz w:val="20"/>
                <w:szCs w:val="20"/>
                <w:lang w:val="es-AR"/>
              </w:rPr>
              <w:t>LA ENTIDAD</w:t>
            </w:r>
            <w:r w:rsidRPr="00C91286">
              <w:rPr>
                <w:rFonts w:ascii="Cambria" w:hAnsi="Cambria"/>
                <w:sz w:val="20"/>
                <w:szCs w:val="20"/>
                <w:lang w:val="es-AR"/>
              </w:rPr>
              <w:t>" brindará las facilidades al señor Edgar Mondragón Bustamante, a Leslie Michelle Mondragón Molina y a Edgar Eduardo Mondragón Molina, a efecto de otorgar becas educativas, de conformidad con las leyes aplicables y a través de las instancias competentes. Las facilidades para el otorgamiento de las becas, persistirán hasta la educación universitaria.</w:t>
            </w:r>
          </w:p>
          <w:p w14:paraId="0C38453F" w14:textId="77777777" w:rsidR="00C91286" w:rsidRPr="00C91286" w:rsidRDefault="00C91286" w:rsidP="00C91286">
            <w:pPr>
              <w:suppressAutoHyphens/>
              <w:spacing w:after="0" w:line="240" w:lineRule="auto"/>
              <w:jc w:val="both"/>
              <w:rPr>
                <w:rFonts w:ascii="Cambria" w:hAnsi="Cambria"/>
                <w:b/>
                <w:bCs/>
                <w:sz w:val="20"/>
                <w:szCs w:val="20"/>
                <w:lang w:val="es-AR"/>
              </w:rPr>
            </w:pPr>
            <w:r w:rsidRPr="00C91286">
              <w:rPr>
                <w:rFonts w:ascii="Cambria" w:hAnsi="Cambria"/>
                <w:sz w:val="20"/>
                <w:szCs w:val="20"/>
                <w:lang w:val="es-AR"/>
              </w:rPr>
              <w:t>Una vez otorgadas las becas, esta medida estará sujeta al aprovechamiento escolar de los beneficiarios y podrá ser retirada si estos no cumplen con los estándares académicos, administrativos, disciplinarios o de cualquier otra índole que impongan las instituciones educativas a las que acudan, independientemente del nivel escolar. El "</w:t>
            </w:r>
            <w:r w:rsidRPr="00C91286">
              <w:rPr>
                <w:rFonts w:ascii="Cambria" w:hAnsi="Cambria"/>
                <w:b/>
                <w:bCs/>
                <w:sz w:val="20"/>
                <w:szCs w:val="20"/>
                <w:lang w:val="es-AR"/>
              </w:rPr>
              <w:t>ESTADO MEXICANO</w:t>
            </w:r>
            <w:r w:rsidRPr="00C91286">
              <w:rPr>
                <w:rFonts w:ascii="Cambria" w:hAnsi="Cambria"/>
                <w:sz w:val="20"/>
                <w:szCs w:val="20"/>
                <w:lang w:val="es-AR"/>
              </w:rPr>
              <w:t>" podrá liberarse de esta obligación si por causas imputables al señor Edgar Mondragón Bustamante, así como a Leslie Michelle Mondragón Molina y a Edgar Eduardo Mondragón Molina, no se cumple con los requisitos expresados en la presente cláusula.</w:t>
            </w:r>
          </w:p>
        </w:tc>
        <w:tc>
          <w:tcPr>
            <w:tcW w:w="4841" w:type="dxa"/>
            <w:tcBorders>
              <w:top w:val="single" w:sz="4" w:space="0" w:color="auto"/>
              <w:left w:val="single" w:sz="4" w:space="0" w:color="auto"/>
              <w:bottom w:val="single" w:sz="4" w:space="0" w:color="auto"/>
              <w:right w:val="single" w:sz="4" w:space="0" w:color="auto"/>
            </w:tcBorders>
            <w:vAlign w:val="center"/>
          </w:tcPr>
          <w:p w14:paraId="65C52A92" w14:textId="77777777" w:rsidR="00C91286" w:rsidRPr="00C91286" w:rsidRDefault="00C91286" w:rsidP="00C91286">
            <w:pPr>
              <w:suppressAutoHyphens/>
              <w:spacing w:after="0" w:line="240" w:lineRule="auto"/>
              <w:jc w:val="center"/>
              <w:rPr>
                <w:rFonts w:ascii="Cambria" w:eastAsia="Batang" w:hAnsi="Cambria"/>
                <w:b/>
                <w:color w:val="000000"/>
                <w:sz w:val="20"/>
                <w:szCs w:val="20"/>
                <w:lang w:val="es-AR"/>
              </w:rPr>
            </w:pPr>
            <w:r w:rsidRPr="00C91286">
              <w:rPr>
                <w:rFonts w:ascii="Cambria" w:eastAsia="Batang" w:hAnsi="Cambria"/>
                <w:b/>
                <w:color w:val="000000"/>
                <w:sz w:val="20"/>
                <w:szCs w:val="20"/>
                <w:lang w:val="es-AR"/>
              </w:rPr>
              <w:t>Total</w:t>
            </w:r>
            <w:r w:rsidRPr="00C91286">
              <w:rPr>
                <w:rFonts w:ascii="Cambria" w:eastAsia="Batang" w:hAnsi="Cambria"/>
                <w:b/>
                <w:color w:val="000000"/>
                <w:sz w:val="20"/>
                <w:szCs w:val="20"/>
                <w:vertAlign w:val="superscript"/>
                <w:lang w:val="es-AR"/>
              </w:rPr>
              <w:footnoteReference w:id="4"/>
            </w:r>
          </w:p>
        </w:tc>
      </w:tr>
      <w:tr w:rsidR="00606628" w:rsidRPr="00C91286" w14:paraId="69B196E2" w14:textId="77777777" w:rsidTr="00D77C99">
        <w:trPr>
          <w:trHeight w:val="458"/>
        </w:trPr>
        <w:tc>
          <w:tcPr>
            <w:tcW w:w="4657" w:type="dxa"/>
            <w:tcBorders>
              <w:top w:val="single" w:sz="4" w:space="0" w:color="auto"/>
              <w:left w:val="single" w:sz="4" w:space="0" w:color="auto"/>
              <w:bottom w:val="single" w:sz="4" w:space="0" w:color="auto"/>
              <w:right w:val="single" w:sz="4" w:space="0" w:color="auto"/>
            </w:tcBorders>
          </w:tcPr>
          <w:p w14:paraId="6FD88BA3" w14:textId="77777777" w:rsidR="00606628" w:rsidRPr="00C91286" w:rsidRDefault="00606628" w:rsidP="0026148D">
            <w:pPr>
              <w:numPr>
                <w:ilvl w:val="0"/>
                <w:numId w:val="6"/>
              </w:numPr>
              <w:suppressAutoHyphens/>
              <w:spacing w:after="0" w:line="240" w:lineRule="auto"/>
              <w:ind w:left="72" w:firstLine="0"/>
              <w:jc w:val="both"/>
              <w:rPr>
                <w:rFonts w:ascii="Cambria" w:hAnsi="Cambria"/>
                <w:b/>
                <w:bCs/>
                <w:sz w:val="20"/>
                <w:szCs w:val="20"/>
                <w:lang w:val="es-AR"/>
              </w:rPr>
            </w:pPr>
            <w:r w:rsidRPr="00C91286">
              <w:rPr>
                <w:rFonts w:ascii="Cambria" w:hAnsi="Cambria"/>
                <w:b/>
                <w:bCs/>
                <w:sz w:val="20"/>
                <w:szCs w:val="20"/>
                <w:lang w:val="es-AR"/>
              </w:rPr>
              <w:t xml:space="preserve">Medidas de satisfacción </w:t>
            </w:r>
          </w:p>
          <w:p w14:paraId="6171D137" w14:textId="77777777" w:rsidR="00606628" w:rsidRPr="00C91286" w:rsidRDefault="00606628" w:rsidP="00C91286">
            <w:pPr>
              <w:autoSpaceDE w:val="0"/>
              <w:autoSpaceDN w:val="0"/>
              <w:adjustRightInd w:val="0"/>
              <w:spacing w:after="0" w:line="240" w:lineRule="auto"/>
              <w:jc w:val="both"/>
              <w:rPr>
                <w:rFonts w:ascii="Cambria" w:hAnsi="Cambria" w:cs="Cambria"/>
                <w:color w:val="000000"/>
                <w:sz w:val="20"/>
                <w:szCs w:val="20"/>
                <w:lang w:val="es-AR" w:eastAsia="es-AR"/>
              </w:rPr>
            </w:pPr>
            <w:r w:rsidRPr="00C91286">
              <w:rPr>
                <w:rFonts w:ascii="Cambria" w:hAnsi="Cambria" w:cs="Cambria"/>
                <w:b/>
                <w:bCs/>
                <w:color w:val="000000"/>
                <w:sz w:val="20"/>
                <w:szCs w:val="20"/>
                <w:lang w:val="es-AR" w:eastAsia="es-AR"/>
              </w:rPr>
              <w:t>Cláusula 3.4 Acto de reconocimiento de responsabilidad</w:t>
            </w:r>
            <w:r w:rsidRPr="00C91286">
              <w:rPr>
                <w:rFonts w:ascii="Cambria" w:hAnsi="Cambria" w:cs="Cambria"/>
                <w:color w:val="000000"/>
                <w:sz w:val="20"/>
                <w:szCs w:val="20"/>
                <w:lang w:val="es-AR" w:eastAsia="es-AR"/>
              </w:rPr>
              <w:t>. El "</w:t>
            </w:r>
            <w:r w:rsidRPr="00C91286">
              <w:rPr>
                <w:rFonts w:ascii="Cambria" w:hAnsi="Cambria" w:cs="Cambria"/>
                <w:b/>
                <w:bCs/>
                <w:color w:val="000000"/>
                <w:sz w:val="20"/>
                <w:szCs w:val="20"/>
                <w:lang w:val="es-AR" w:eastAsia="es-AR"/>
              </w:rPr>
              <w:t>ESTADO MEXICANO</w:t>
            </w:r>
            <w:r w:rsidRPr="00C91286">
              <w:rPr>
                <w:rFonts w:ascii="Cambria" w:hAnsi="Cambria" w:cs="Cambria"/>
                <w:color w:val="000000"/>
                <w:sz w:val="20"/>
                <w:szCs w:val="20"/>
                <w:lang w:val="es-AR" w:eastAsia="es-AR"/>
              </w:rPr>
              <w:t xml:space="preserve">" realizará un acto público de reconocimiento de responsabilidad y disculpa pública en el que reconocerá que Ismael Mondragón Molina falleció a causa de mala práctica médica, atribuida a personal médico del Hospital Infantil del Estado de Sonora. </w:t>
            </w:r>
          </w:p>
          <w:p w14:paraId="6674257C" w14:textId="77777777" w:rsidR="00606628" w:rsidRPr="00C91286" w:rsidRDefault="00606628" w:rsidP="00C91286">
            <w:pPr>
              <w:autoSpaceDE w:val="0"/>
              <w:autoSpaceDN w:val="0"/>
              <w:adjustRightInd w:val="0"/>
              <w:spacing w:after="0" w:line="240" w:lineRule="auto"/>
              <w:jc w:val="both"/>
              <w:rPr>
                <w:rFonts w:ascii="Cambria" w:hAnsi="Cambria" w:cs="Cambria"/>
                <w:color w:val="000000"/>
                <w:sz w:val="20"/>
                <w:szCs w:val="20"/>
                <w:lang w:val="es-AR" w:eastAsia="es-AR"/>
              </w:rPr>
            </w:pPr>
          </w:p>
          <w:p w14:paraId="10CF0594" w14:textId="77777777" w:rsidR="00606628" w:rsidRPr="00C91286" w:rsidRDefault="00606628" w:rsidP="00C91286">
            <w:pPr>
              <w:autoSpaceDE w:val="0"/>
              <w:autoSpaceDN w:val="0"/>
              <w:adjustRightInd w:val="0"/>
              <w:spacing w:after="0" w:line="240" w:lineRule="auto"/>
              <w:jc w:val="both"/>
              <w:rPr>
                <w:rFonts w:ascii="Cambria" w:hAnsi="Cambria" w:cs="Cambria"/>
                <w:color w:val="000000"/>
                <w:sz w:val="20"/>
                <w:szCs w:val="20"/>
                <w:lang w:val="es-AR" w:eastAsia="es-AR"/>
              </w:rPr>
            </w:pPr>
            <w:r w:rsidRPr="00C91286">
              <w:rPr>
                <w:rFonts w:ascii="Cambria" w:hAnsi="Cambria" w:cs="Cambria"/>
                <w:color w:val="000000"/>
                <w:sz w:val="20"/>
                <w:szCs w:val="20"/>
                <w:lang w:val="es-AR" w:eastAsia="es-AR"/>
              </w:rPr>
              <w:t>El acto público de reconocimiento estará encabezado por el Subsecretario de Derechos Humanos de la "</w:t>
            </w:r>
            <w:r w:rsidRPr="00C91286">
              <w:rPr>
                <w:rFonts w:ascii="Cambria" w:hAnsi="Cambria" w:cs="Cambria"/>
                <w:b/>
                <w:bCs/>
                <w:color w:val="000000"/>
                <w:sz w:val="20"/>
                <w:szCs w:val="20"/>
                <w:lang w:val="es-AR" w:eastAsia="es-AR"/>
              </w:rPr>
              <w:t>SEGOB</w:t>
            </w:r>
            <w:r w:rsidRPr="00C91286">
              <w:rPr>
                <w:rFonts w:ascii="Cambria" w:hAnsi="Cambria" w:cs="Cambria"/>
                <w:color w:val="000000"/>
                <w:sz w:val="20"/>
                <w:szCs w:val="20"/>
                <w:lang w:val="es-AR" w:eastAsia="es-AR"/>
              </w:rPr>
              <w:t>'', así como por el Subsecretario para asuntos unilaterales y Derechos Humanos de la "</w:t>
            </w:r>
            <w:r w:rsidRPr="00C91286">
              <w:rPr>
                <w:rFonts w:ascii="Cambria" w:hAnsi="Cambria" w:cs="Cambria"/>
                <w:b/>
                <w:bCs/>
                <w:color w:val="000000"/>
                <w:sz w:val="20"/>
                <w:szCs w:val="20"/>
                <w:lang w:val="es-AR" w:eastAsia="es-AR"/>
              </w:rPr>
              <w:t>SRE</w:t>
            </w:r>
            <w:r w:rsidRPr="00C91286">
              <w:rPr>
                <w:rFonts w:ascii="Cambria" w:hAnsi="Cambria" w:cs="Cambria"/>
                <w:color w:val="000000"/>
                <w:sz w:val="20"/>
                <w:szCs w:val="20"/>
                <w:lang w:val="es-AR" w:eastAsia="es-AR"/>
              </w:rPr>
              <w:t xml:space="preserve">". Se realizará. la invitación a la Gobernadora del Estado de Sonora, para que asista a dicho acto o designe a un funcionario de alto nivel que acuda en su representación. </w:t>
            </w:r>
          </w:p>
          <w:p w14:paraId="7115B815" w14:textId="77777777" w:rsidR="00606628" w:rsidRPr="00C91286" w:rsidRDefault="00606628" w:rsidP="00C91286">
            <w:pPr>
              <w:autoSpaceDE w:val="0"/>
              <w:autoSpaceDN w:val="0"/>
              <w:adjustRightInd w:val="0"/>
              <w:spacing w:after="0" w:line="240" w:lineRule="auto"/>
              <w:jc w:val="both"/>
              <w:rPr>
                <w:rFonts w:ascii="Cambria" w:hAnsi="Cambria" w:cs="Cambria"/>
                <w:color w:val="000000"/>
                <w:sz w:val="20"/>
                <w:szCs w:val="20"/>
                <w:lang w:val="es-AR" w:eastAsia="es-AR"/>
              </w:rPr>
            </w:pPr>
          </w:p>
          <w:p w14:paraId="6943FC1B" w14:textId="77777777" w:rsidR="00606628" w:rsidRPr="00C91286" w:rsidRDefault="00606628" w:rsidP="00C91286">
            <w:pPr>
              <w:autoSpaceDE w:val="0"/>
              <w:autoSpaceDN w:val="0"/>
              <w:adjustRightInd w:val="0"/>
              <w:spacing w:after="0" w:line="240" w:lineRule="auto"/>
              <w:jc w:val="both"/>
              <w:rPr>
                <w:rFonts w:ascii="Cambria" w:hAnsi="Cambria" w:cs="Cambria"/>
                <w:color w:val="000000"/>
                <w:sz w:val="20"/>
                <w:szCs w:val="20"/>
                <w:lang w:val="es-AR" w:eastAsia="es-AR"/>
              </w:rPr>
            </w:pPr>
            <w:r w:rsidRPr="00C91286">
              <w:rPr>
                <w:rFonts w:ascii="Cambria" w:hAnsi="Cambria" w:cs="Cambria"/>
                <w:color w:val="000000"/>
                <w:sz w:val="20"/>
                <w:szCs w:val="20"/>
                <w:lang w:val="es-AR" w:eastAsia="es-AR"/>
              </w:rPr>
              <w:t xml:space="preserve">El contenido particular del acto de reconocimiento de responsabilidad se encontrará incorporado al presente Acuerdo en el Anexo 2, mismo que se pactará entre "LAS PARTES" de conformidad con lo </w:t>
            </w:r>
            <w:r w:rsidRPr="00C91286">
              <w:rPr>
                <w:rFonts w:ascii="Cambria" w:hAnsi="Cambria" w:cs="Cambria"/>
                <w:color w:val="000000"/>
                <w:sz w:val="20"/>
                <w:szCs w:val="20"/>
                <w:lang w:val="es-AR" w:eastAsia="es-AR"/>
              </w:rPr>
              <w:lastRenderedPageBreak/>
              <w:t>dispuesto en la presente cláusula y se realizará en un acto público con posterioridad a la firma del presente Acuerdo. El Anexo 2 deberá incluir la fecha, lugar y características generales del acto público de reconocimiento de responsabilidad. El "</w:t>
            </w:r>
            <w:r w:rsidRPr="00C91286">
              <w:rPr>
                <w:rFonts w:ascii="Cambria" w:hAnsi="Cambria" w:cs="Cambria"/>
                <w:b/>
                <w:bCs/>
                <w:color w:val="000000"/>
                <w:sz w:val="20"/>
                <w:szCs w:val="20"/>
                <w:lang w:val="es-AR" w:eastAsia="es-AR"/>
              </w:rPr>
              <w:t>ESTADO MEXICANO</w:t>
            </w:r>
            <w:r w:rsidRPr="00C91286">
              <w:rPr>
                <w:rFonts w:ascii="Cambria" w:hAnsi="Cambria" w:cs="Cambria"/>
                <w:color w:val="000000"/>
                <w:sz w:val="20"/>
                <w:szCs w:val="20"/>
                <w:lang w:val="es-AR" w:eastAsia="es-AR"/>
              </w:rPr>
              <w:t>" deberá ofrecer a "</w:t>
            </w:r>
            <w:r w:rsidRPr="00C91286">
              <w:rPr>
                <w:rFonts w:ascii="Cambria" w:hAnsi="Cambria" w:cs="Cambria"/>
                <w:b/>
                <w:bCs/>
                <w:color w:val="000000"/>
                <w:sz w:val="20"/>
                <w:szCs w:val="20"/>
                <w:lang w:val="es-AR" w:eastAsia="es-AR"/>
              </w:rPr>
              <w:t>LAS VÍCTIMAS</w:t>
            </w:r>
            <w:r w:rsidRPr="00C91286">
              <w:rPr>
                <w:rFonts w:ascii="Cambria" w:hAnsi="Cambria" w:cs="Cambria"/>
                <w:color w:val="000000"/>
                <w:sz w:val="20"/>
                <w:szCs w:val="20"/>
                <w:lang w:val="es-AR" w:eastAsia="es-AR"/>
              </w:rPr>
              <w:t>" o bien a "</w:t>
            </w:r>
            <w:r w:rsidRPr="00C91286">
              <w:rPr>
                <w:rFonts w:ascii="Cambria" w:hAnsi="Cambria" w:cs="Cambria"/>
                <w:b/>
                <w:bCs/>
                <w:color w:val="000000"/>
                <w:sz w:val="20"/>
                <w:szCs w:val="20"/>
                <w:lang w:val="es-AR" w:eastAsia="es-AR"/>
              </w:rPr>
              <w:t>LA REPRESENTACION</w:t>
            </w:r>
            <w:r w:rsidRPr="00C91286">
              <w:rPr>
                <w:rFonts w:ascii="Cambria" w:hAnsi="Cambria" w:cs="Cambria"/>
                <w:color w:val="000000"/>
                <w:sz w:val="20"/>
                <w:szCs w:val="20"/>
                <w:lang w:val="es-AR" w:eastAsia="es-AR"/>
              </w:rPr>
              <w:t xml:space="preserve">" una propuesta de acto de reconocimiento de responsabilidad qué será incorporada en el Anexo 2 dentro de los 3 meses siguientes a la firma del Acuerdo. </w:t>
            </w:r>
          </w:p>
          <w:p w14:paraId="702B8906" w14:textId="77777777" w:rsidR="00606628" w:rsidRPr="00C91286" w:rsidRDefault="00606628" w:rsidP="00C91286">
            <w:pPr>
              <w:suppressAutoHyphens/>
              <w:spacing w:after="0" w:line="240" w:lineRule="auto"/>
              <w:jc w:val="both"/>
              <w:rPr>
                <w:rFonts w:ascii="Cambria" w:hAnsi="Cambria"/>
                <w:b/>
                <w:bCs/>
                <w:sz w:val="20"/>
                <w:szCs w:val="20"/>
                <w:lang w:val="es-AR"/>
              </w:rPr>
            </w:pPr>
            <w:r w:rsidRPr="00C91286">
              <w:rPr>
                <w:rFonts w:ascii="Cambria" w:hAnsi="Cambria"/>
                <w:sz w:val="20"/>
                <w:szCs w:val="20"/>
                <w:lang w:val="es-AR"/>
              </w:rPr>
              <w:t>El acto público deberá celebrarse dentro de los 6 meses siguientes a que "</w:t>
            </w:r>
            <w:r w:rsidRPr="00C91286">
              <w:rPr>
                <w:rFonts w:ascii="Cambria" w:hAnsi="Cambria"/>
                <w:b/>
                <w:bCs/>
                <w:sz w:val="20"/>
                <w:szCs w:val="20"/>
                <w:lang w:val="es-AR"/>
              </w:rPr>
              <w:t>LAS PARTES</w:t>
            </w:r>
            <w:r w:rsidRPr="00C91286">
              <w:rPr>
                <w:rFonts w:ascii="Cambria" w:hAnsi="Cambria"/>
                <w:sz w:val="20"/>
                <w:szCs w:val="20"/>
                <w:lang w:val="es-AR"/>
              </w:rPr>
              <w:t>" hayan acordado los términos del Anexo 2.</w:t>
            </w:r>
          </w:p>
        </w:tc>
        <w:tc>
          <w:tcPr>
            <w:tcW w:w="4841" w:type="dxa"/>
            <w:tcBorders>
              <w:top w:val="single" w:sz="4" w:space="0" w:color="auto"/>
              <w:left w:val="single" w:sz="4" w:space="0" w:color="auto"/>
              <w:bottom w:val="single" w:sz="4" w:space="0" w:color="auto"/>
              <w:right w:val="single" w:sz="4" w:space="0" w:color="auto"/>
            </w:tcBorders>
            <w:vAlign w:val="center"/>
          </w:tcPr>
          <w:p w14:paraId="59C15A49" w14:textId="289195C6" w:rsidR="00606628" w:rsidRPr="00C91286" w:rsidRDefault="00606628" w:rsidP="00606628">
            <w:pPr>
              <w:suppressAutoHyphens/>
              <w:spacing w:after="0" w:line="240" w:lineRule="auto"/>
              <w:jc w:val="center"/>
              <w:rPr>
                <w:rFonts w:ascii="Cambria" w:hAnsi="Cambria"/>
                <w:color w:val="000000"/>
                <w:sz w:val="20"/>
                <w:szCs w:val="20"/>
                <w:lang w:val="es-VE"/>
              </w:rPr>
            </w:pPr>
            <w:r w:rsidRPr="00C91286">
              <w:rPr>
                <w:rFonts w:ascii="Cambria" w:eastAsia="Batang" w:hAnsi="Cambria"/>
                <w:b/>
                <w:color w:val="000000"/>
                <w:sz w:val="20"/>
                <w:szCs w:val="20"/>
                <w:lang w:val="es-AR"/>
              </w:rPr>
              <w:lastRenderedPageBreak/>
              <w:t>Total</w:t>
            </w:r>
            <w:r>
              <w:rPr>
                <w:rStyle w:val="FootnoteReference"/>
                <w:rFonts w:ascii="Cambria" w:eastAsia="Batang" w:hAnsi="Cambria"/>
                <w:b/>
                <w:color w:val="000000"/>
                <w:sz w:val="20"/>
                <w:szCs w:val="20"/>
                <w:lang w:val="es-AR"/>
              </w:rPr>
              <w:footnoteReference w:id="5"/>
            </w:r>
          </w:p>
        </w:tc>
      </w:tr>
      <w:tr w:rsidR="00606628" w:rsidRPr="00C91286" w14:paraId="3B55AEEB" w14:textId="77777777" w:rsidTr="00E620F0">
        <w:trPr>
          <w:trHeight w:val="971"/>
        </w:trPr>
        <w:tc>
          <w:tcPr>
            <w:tcW w:w="4657" w:type="dxa"/>
            <w:tcBorders>
              <w:top w:val="single" w:sz="4" w:space="0" w:color="auto"/>
              <w:left w:val="single" w:sz="4" w:space="0" w:color="auto"/>
              <w:bottom w:val="single" w:sz="4" w:space="0" w:color="auto"/>
              <w:right w:val="single" w:sz="4" w:space="0" w:color="auto"/>
            </w:tcBorders>
          </w:tcPr>
          <w:p w14:paraId="5CF63950" w14:textId="77777777" w:rsidR="00606628" w:rsidRPr="00C91286" w:rsidRDefault="00606628" w:rsidP="00C91286">
            <w:pPr>
              <w:suppressAutoHyphens/>
              <w:spacing w:after="0" w:line="240" w:lineRule="auto"/>
              <w:ind w:hanging="19"/>
              <w:jc w:val="both"/>
              <w:rPr>
                <w:rFonts w:ascii="Cambria" w:hAnsi="Cambria"/>
                <w:sz w:val="20"/>
                <w:szCs w:val="20"/>
                <w:lang w:val="es-AR"/>
              </w:rPr>
            </w:pPr>
            <w:r w:rsidRPr="00C91286">
              <w:rPr>
                <w:rFonts w:ascii="Cambria" w:hAnsi="Cambria"/>
                <w:b/>
                <w:bCs/>
                <w:sz w:val="20"/>
                <w:szCs w:val="20"/>
                <w:lang w:val="es-AR"/>
              </w:rPr>
              <w:t>Cláusula 3.4.1 Difusión del acto de reconocimiento de responsabilidad</w:t>
            </w:r>
            <w:r w:rsidRPr="00C91286">
              <w:rPr>
                <w:rFonts w:ascii="Cambria" w:hAnsi="Cambria"/>
                <w:sz w:val="20"/>
                <w:szCs w:val="20"/>
                <w:lang w:val="es-AR"/>
              </w:rPr>
              <w:t>. El acto público de reconocimiento de responsabilidad será difundido en los términos que se establezcan en el Anexo 2</w:t>
            </w:r>
            <w:r w:rsidRPr="00C91286">
              <w:rPr>
                <w:rFonts w:ascii="Cambria" w:hAnsi="Cambria"/>
                <w:sz w:val="20"/>
                <w:szCs w:val="20"/>
                <w:vertAlign w:val="superscript"/>
                <w:lang w:val="es-AR"/>
              </w:rPr>
              <w:footnoteReference w:id="6"/>
            </w:r>
            <w:r w:rsidRPr="00C91286">
              <w:rPr>
                <w:rFonts w:ascii="Cambria" w:hAnsi="Cambria"/>
                <w:sz w:val="20"/>
                <w:szCs w:val="20"/>
                <w:lang w:val="es-AR"/>
              </w:rPr>
              <w:t xml:space="preserve">. </w:t>
            </w:r>
          </w:p>
        </w:tc>
        <w:tc>
          <w:tcPr>
            <w:tcW w:w="4841" w:type="dxa"/>
            <w:tcBorders>
              <w:top w:val="single" w:sz="4" w:space="0" w:color="auto"/>
              <w:left w:val="single" w:sz="4" w:space="0" w:color="auto"/>
              <w:bottom w:val="single" w:sz="4" w:space="0" w:color="auto"/>
              <w:right w:val="single" w:sz="4" w:space="0" w:color="auto"/>
            </w:tcBorders>
            <w:vAlign w:val="center"/>
          </w:tcPr>
          <w:p w14:paraId="6ED34D9F" w14:textId="1CB1ACCA" w:rsidR="00606628" w:rsidRPr="00C91286" w:rsidRDefault="00606628" w:rsidP="00606628">
            <w:pPr>
              <w:suppressAutoHyphens/>
              <w:spacing w:after="0" w:line="240" w:lineRule="auto"/>
              <w:jc w:val="center"/>
              <w:rPr>
                <w:rFonts w:ascii="Cambria" w:eastAsia="Batang" w:hAnsi="Cambria"/>
                <w:b/>
                <w:color w:val="000000"/>
                <w:sz w:val="20"/>
                <w:szCs w:val="20"/>
                <w:lang w:val="es-AR"/>
              </w:rPr>
            </w:pPr>
            <w:r w:rsidRPr="00C91286">
              <w:rPr>
                <w:rFonts w:ascii="Cambria" w:eastAsia="Batang" w:hAnsi="Cambria"/>
                <w:b/>
                <w:color w:val="000000"/>
                <w:sz w:val="20"/>
                <w:szCs w:val="20"/>
                <w:lang w:val="es-AR"/>
              </w:rPr>
              <w:t>Total</w:t>
            </w:r>
            <w:r>
              <w:rPr>
                <w:rStyle w:val="FootnoteReference"/>
                <w:rFonts w:ascii="Cambria" w:eastAsia="Batang" w:hAnsi="Cambria"/>
                <w:b/>
                <w:color w:val="000000"/>
                <w:sz w:val="20"/>
                <w:szCs w:val="20"/>
                <w:lang w:val="es-AR"/>
              </w:rPr>
              <w:footnoteReference w:id="7"/>
            </w:r>
          </w:p>
        </w:tc>
      </w:tr>
      <w:tr w:rsidR="00C91286" w:rsidRPr="00C91286" w14:paraId="7746AA61" w14:textId="77777777" w:rsidTr="00C91286">
        <w:trPr>
          <w:trHeight w:val="971"/>
        </w:trPr>
        <w:tc>
          <w:tcPr>
            <w:tcW w:w="4657" w:type="dxa"/>
            <w:tcBorders>
              <w:top w:val="single" w:sz="4" w:space="0" w:color="auto"/>
              <w:left w:val="single" w:sz="4" w:space="0" w:color="auto"/>
              <w:bottom w:val="single" w:sz="4" w:space="0" w:color="auto"/>
              <w:right w:val="single" w:sz="4" w:space="0" w:color="auto"/>
            </w:tcBorders>
          </w:tcPr>
          <w:p w14:paraId="61244543" w14:textId="77777777" w:rsidR="00C91286" w:rsidRPr="00C91286" w:rsidRDefault="00C91286" w:rsidP="00C91286">
            <w:pPr>
              <w:suppressAutoHyphens/>
              <w:spacing w:after="0" w:line="240" w:lineRule="auto"/>
              <w:jc w:val="both"/>
              <w:rPr>
                <w:rFonts w:ascii="Cambria" w:hAnsi="Cambria"/>
                <w:sz w:val="20"/>
                <w:szCs w:val="20"/>
                <w:lang w:val="es-AR"/>
              </w:rPr>
            </w:pPr>
            <w:r w:rsidRPr="00C91286">
              <w:rPr>
                <w:rFonts w:ascii="Cambria" w:hAnsi="Cambria"/>
                <w:b/>
                <w:bCs/>
                <w:sz w:val="20"/>
                <w:szCs w:val="20"/>
                <w:lang w:val="es-AR"/>
              </w:rPr>
              <w:t xml:space="preserve">Clausula 3.5 Develación de placa y busto en el Hospital Infantil del Estado de Sonora. </w:t>
            </w:r>
            <w:r w:rsidRPr="00C91286">
              <w:rPr>
                <w:rFonts w:ascii="Cambria" w:hAnsi="Cambria"/>
                <w:sz w:val="20"/>
                <w:szCs w:val="20"/>
                <w:lang w:val="es-AR"/>
              </w:rPr>
              <w:t>Con la finalidad de honrar la memoria de Ismael Mondragón Molina, el "</w:t>
            </w:r>
            <w:r w:rsidRPr="00C91286">
              <w:rPr>
                <w:rFonts w:ascii="Cambria" w:hAnsi="Cambria"/>
                <w:b/>
                <w:bCs/>
                <w:sz w:val="20"/>
                <w:szCs w:val="20"/>
                <w:lang w:val="es-AR"/>
              </w:rPr>
              <w:t>ESTADO MEXICANO</w:t>
            </w:r>
            <w:r w:rsidRPr="00C91286">
              <w:rPr>
                <w:rFonts w:ascii="Cambria" w:hAnsi="Cambria"/>
                <w:sz w:val="20"/>
                <w:szCs w:val="20"/>
                <w:lang w:val="es-AR"/>
              </w:rPr>
              <w:t>", en particular las autoridades de salud de "</w:t>
            </w:r>
            <w:r w:rsidRPr="00C91286">
              <w:rPr>
                <w:rFonts w:ascii="Cambria" w:hAnsi="Cambria"/>
                <w:b/>
                <w:bCs/>
                <w:sz w:val="20"/>
                <w:szCs w:val="20"/>
                <w:lang w:val="es-AR"/>
              </w:rPr>
              <w:t>LA ENTIDAD''</w:t>
            </w:r>
            <w:r w:rsidRPr="00C91286">
              <w:rPr>
                <w:rFonts w:ascii="Cambria" w:hAnsi="Cambria"/>
                <w:sz w:val="20"/>
                <w:szCs w:val="20"/>
                <w:lang w:val="es-AR"/>
              </w:rPr>
              <w:t xml:space="preserve">, realizaran las gestiones para la colocación de una placa y busto en el Hospital Infantil del Estado de Sonora, misma que contendrá una leyenda conmemorativa. </w:t>
            </w:r>
          </w:p>
          <w:p w14:paraId="4781F7A7" w14:textId="77777777" w:rsidR="00C91286" w:rsidRPr="00C91286" w:rsidRDefault="00C91286" w:rsidP="00C91286">
            <w:pPr>
              <w:suppressAutoHyphens/>
              <w:spacing w:after="0" w:line="240" w:lineRule="auto"/>
              <w:jc w:val="both"/>
              <w:rPr>
                <w:rFonts w:ascii="Cambria" w:hAnsi="Cambria"/>
                <w:sz w:val="20"/>
                <w:szCs w:val="20"/>
                <w:lang w:val="es-AR"/>
              </w:rPr>
            </w:pPr>
            <w:r w:rsidRPr="00C91286">
              <w:rPr>
                <w:rFonts w:ascii="Cambria" w:hAnsi="Cambria"/>
                <w:sz w:val="20"/>
                <w:szCs w:val="20"/>
                <w:lang w:val="es-AR"/>
              </w:rPr>
              <w:t>El contenido particular de esta cláusula se encontrará incorporado al presente Acuerdo en el Anexo 3, y será consensado por "</w:t>
            </w:r>
            <w:r w:rsidRPr="00C91286">
              <w:rPr>
                <w:rFonts w:ascii="Cambria" w:hAnsi="Cambria"/>
                <w:b/>
                <w:bCs/>
                <w:sz w:val="20"/>
                <w:szCs w:val="20"/>
                <w:lang w:val="es-AR"/>
              </w:rPr>
              <w:t>LAS PA RTES</w:t>
            </w:r>
            <w:r w:rsidRPr="00C91286">
              <w:rPr>
                <w:rFonts w:ascii="Cambria" w:hAnsi="Cambria"/>
                <w:sz w:val="20"/>
                <w:szCs w:val="20"/>
                <w:lang w:val="es-AR"/>
              </w:rPr>
              <w:t xml:space="preserve">" en un plazo no mayor a 6 meses, contados a la firma del presente Acuerdo. </w:t>
            </w:r>
          </w:p>
        </w:tc>
        <w:tc>
          <w:tcPr>
            <w:tcW w:w="4841" w:type="dxa"/>
            <w:tcBorders>
              <w:top w:val="single" w:sz="4" w:space="0" w:color="auto"/>
              <w:left w:val="single" w:sz="4" w:space="0" w:color="auto"/>
              <w:bottom w:val="single" w:sz="4" w:space="0" w:color="auto"/>
              <w:right w:val="single" w:sz="4" w:space="0" w:color="auto"/>
            </w:tcBorders>
            <w:vAlign w:val="center"/>
          </w:tcPr>
          <w:p w14:paraId="6006931D" w14:textId="77777777" w:rsidR="00C91286" w:rsidRPr="00C91286" w:rsidRDefault="00C91286" w:rsidP="00C91286">
            <w:pPr>
              <w:suppressAutoHyphens/>
              <w:spacing w:after="0" w:line="240" w:lineRule="auto"/>
              <w:jc w:val="center"/>
              <w:rPr>
                <w:rFonts w:ascii="Cambria" w:eastAsia="Batang" w:hAnsi="Cambria"/>
                <w:b/>
                <w:color w:val="000000"/>
                <w:sz w:val="20"/>
                <w:szCs w:val="20"/>
                <w:lang w:val="es-CO"/>
              </w:rPr>
            </w:pPr>
            <w:r w:rsidRPr="00C91286">
              <w:rPr>
                <w:rFonts w:ascii="Cambria" w:eastAsia="Batang" w:hAnsi="Cambria"/>
                <w:b/>
                <w:color w:val="000000"/>
                <w:sz w:val="20"/>
                <w:szCs w:val="20"/>
                <w:lang w:val="es-AR"/>
              </w:rPr>
              <w:t>Total</w:t>
            </w:r>
            <w:r w:rsidRPr="00C91286">
              <w:rPr>
                <w:rFonts w:ascii="Cambria" w:eastAsia="Batang" w:hAnsi="Cambria"/>
                <w:b/>
                <w:color w:val="000000"/>
                <w:sz w:val="20"/>
                <w:szCs w:val="20"/>
                <w:vertAlign w:val="superscript"/>
                <w:lang w:val="es-AR"/>
              </w:rPr>
              <w:footnoteReference w:id="8"/>
            </w:r>
          </w:p>
        </w:tc>
      </w:tr>
      <w:tr w:rsidR="00C91286" w:rsidRPr="0072147B" w14:paraId="328EBE81" w14:textId="77777777" w:rsidTr="00C91286">
        <w:trPr>
          <w:trHeight w:val="269"/>
        </w:trPr>
        <w:tc>
          <w:tcPr>
            <w:tcW w:w="9498" w:type="dxa"/>
            <w:gridSpan w:val="2"/>
            <w:tcBorders>
              <w:top w:val="single" w:sz="4" w:space="0" w:color="auto"/>
              <w:left w:val="single" w:sz="4" w:space="0" w:color="auto"/>
              <w:bottom w:val="single" w:sz="4" w:space="0" w:color="auto"/>
              <w:right w:val="single" w:sz="4" w:space="0" w:color="auto"/>
            </w:tcBorders>
          </w:tcPr>
          <w:p w14:paraId="6D034C30" w14:textId="77777777" w:rsidR="00C91286" w:rsidRPr="00C91286" w:rsidRDefault="00C91286" w:rsidP="00C91286">
            <w:pPr>
              <w:suppressAutoHyphens/>
              <w:spacing w:after="0" w:line="240" w:lineRule="auto"/>
              <w:ind w:right="720"/>
              <w:contextualSpacing/>
              <w:jc w:val="both"/>
              <w:rPr>
                <w:rFonts w:ascii="Cambria" w:hAnsi="Cambria"/>
                <w:sz w:val="20"/>
                <w:szCs w:val="20"/>
                <w:lang w:val="es-AR"/>
              </w:rPr>
            </w:pPr>
            <w:r w:rsidRPr="00C91286">
              <w:rPr>
                <w:rFonts w:ascii="Cambria" w:hAnsi="Cambria"/>
                <w:b/>
                <w:sz w:val="20"/>
                <w:szCs w:val="20"/>
                <w:lang w:val="es-BO"/>
              </w:rPr>
              <w:t>C. GARANTÍAS DE NO REPETICIÓN</w:t>
            </w:r>
          </w:p>
        </w:tc>
      </w:tr>
      <w:tr w:rsidR="00C91286" w:rsidRPr="00C91286" w14:paraId="0A898D42" w14:textId="77777777" w:rsidTr="00C91286">
        <w:trPr>
          <w:trHeight w:val="971"/>
        </w:trPr>
        <w:tc>
          <w:tcPr>
            <w:tcW w:w="4657" w:type="dxa"/>
            <w:tcBorders>
              <w:top w:val="single" w:sz="4" w:space="0" w:color="auto"/>
              <w:left w:val="single" w:sz="4" w:space="0" w:color="auto"/>
              <w:bottom w:val="single" w:sz="4" w:space="0" w:color="auto"/>
              <w:right w:val="single" w:sz="4" w:space="0" w:color="auto"/>
            </w:tcBorders>
          </w:tcPr>
          <w:p w14:paraId="292F3873" w14:textId="77777777" w:rsidR="00C91286" w:rsidRPr="00C91286" w:rsidRDefault="00C91286" w:rsidP="00C91286">
            <w:pPr>
              <w:suppressAutoHyphens/>
              <w:spacing w:after="0" w:line="240" w:lineRule="auto"/>
              <w:rPr>
                <w:rFonts w:ascii="Cambria" w:hAnsi="Cambria"/>
                <w:b/>
                <w:bCs/>
                <w:sz w:val="20"/>
                <w:szCs w:val="20"/>
                <w:lang w:val="es-AR"/>
              </w:rPr>
            </w:pPr>
            <w:r w:rsidRPr="00C91286">
              <w:rPr>
                <w:rFonts w:ascii="Cambria" w:hAnsi="Cambria"/>
                <w:b/>
                <w:bCs/>
                <w:sz w:val="20"/>
                <w:szCs w:val="20"/>
                <w:lang w:val="es-AR"/>
              </w:rPr>
              <w:t>3.6 sobre cursos de capacitación</w:t>
            </w:r>
          </w:p>
          <w:p w14:paraId="13956899" w14:textId="77777777" w:rsidR="00C91286" w:rsidRPr="00C91286" w:rsidRDefault="00C91286" w:rsidP="00C91286">
            <w:pPr>
              <w:suppressAutoHyphens/>
              <w:spacing w:after="0" w:line="240" w:lineRule="auto"/>
              <w:jc w:val="both"/>
              <w:rPr>
                <w:rFonts w:ascii="Cambria" w:hAnsi="Cambria"/>
                <w:sz w:val="20"/>
                <w:szCs w:val="20"/>
                <w:lang w:val="es-AR"/>
              </w:rPr>
            </w:pPr>
            <w:r w:rsidRPr="00C91286">
              <w:rPr>
                <w:rFonts w:ascii="Cambria" w:hAnsi="Cambria"/>
                <w:sz w:val="20"/>
                <w:szCs w:val="20"/>
                <w:lang w:val="es-AR"/>
              </w:rPr>
              <w:t>Cursos de capacitación en materia de atención médica pediátrica y derechos humanos. Se deberá realizar un curso de capacitación dirigido a los médicos qué laboren en los hospitales infantiles públicos del Estado de Sonora, en materia de atención médica pediátrica y derechos humanos, en particular del derecho a la salud y sus alcances cuando existan menores de edad, tomando en cuenta los estándares del Sistema Interamericano a fin de evitar que se repitan los hechos del caso; donde se analicen casos prácticos con elementos similares a los aquí descritos.</w:t>
            </w:r>
          </w:p>
        </w:tc>
        <w:tc>
          <w:tcPr>
            <w:tcW w:w="4841" w:type="dxa"/>
            <w:tcBorders>
              <w:top w:val="single" w:sz="4" w:space="0" w:color="auto"/>
              <w:left w:val="single" w:sz="4" w:space="0" w:color="auto"/>
              <w:bottom w:val="single" w:sz="4" w:space="0" w:color="auto"/>
              <w:right w:val="single" w:sz="4" w:space="0" w:color="auto"/>
            </w:tcBorders>
            <w:vAlign w:val="center"/>
          </w:tcPr>
          <w:p w14:paraId="65DA80BC" w14:textId="77777777" w:rsidR="00C91286" w:rsidRPr="00C91286" w:rsidRDefault="00C91286" w:rsidP="00C91286">
            <w:pPr>
              <w:suppressAutoHyphens/>
              <w:spacing w:after="0" w:line="240" w:lineRule="auto"/>
              <w:jc w:val="center"/>
              <w:rPr>
                <w:rFonts w:ascii="Cambria" w:hAnsi="Cambria"/>
                <w:b/>
                <w:bCs/>
                <w:sz w:val="20"/>
                <w:szCs w:val="20"/>
                <w:lang w:val="es-AR"/>
              </w:rPr>
            </w:pPr>
            <w:r w:rsidRPr="00C91286">
              <w:rPr>
                <w:rFonts w:ascii="Cambria" w:hAnsi="Cambria"/>
                <w:b/>
                <w:bCs/>
                <w:sz w:val="20"/>
                <w:szCs w:val="20"/>
                <w:lang w:val="es-AR"/>
              </w:rPr>
              <w:t>Total</w:t>
            </w:r>
            <w:r w:rsidRPr="00C91286">
              <w:rPr>
                <w:rFonts w:ascii="Cambria" w:hAnsi="Cambria"/>
                <w:b/>
                <w:bCs/>
                <w:sz w:val="20"/>
                <w:szCs w:val="20"/>
                <w:vertAlign w:val="superscript"/>
                <w:lang w:val="es-AR"/>
              </w:rPr>
              <w:footnoteReference w:id="9"/>
            </w:r>
          </w:p>
        </w:tc>
      </w:tr>
      <w:tr w:rsidR="00C91286" w:rsidRPr="00C91286" w14:paraId="2322D254" w14:textId="77777777" w:rsidTr="00C91286">
        <w:trPr>
          <w:trHeight w:val="971"/>
        </w:trPr>
        <w:tc>
          <w:tcPr>
            <w:tcW w:w="4657" w:type="dxa"/>
            <w:tcBorders>
              <w:top w:val="single" w:sz="4" w:space="0" w:color="auto"/>
              <w:left w:val="single" w:sz="4" w:space="0" w:color="auto"/>
              <w:bottom w:val="single" w:sz="4" w:space="0" w:color="auto"/>
              <w:right w:val="single" w:sz="4" w:space="0" w:color="auto"/>
            </w:tcBorders>
          </w:tcPr>
          <w:p w14:paraId="59FCD219" w14:textId="77777777" w:rsidR="00C91286" w:rsidRPr="00C91286" w:rsidRDefault="00C91286" w:rsidP="00C91286">
            <w:pPr>
              <w:suppressAutoHyphens/>
              <w:spacing w:after="0" w:line="240" w:lineRule="auto"/>
              <w:jc w:val="both"/>
              <w:rPr>
                <w:rFonts w:ascii="Cambria" w:hAnsi="Cambria"/>
                <w:sz w:val="20"/>
                <w:szCs w:val="20"/>
                <w:lang w:val="es-AR"/>
              </w:rPr>
            </w:pPr>
            <w:r w:rsidRPr="00C91286">
              <w:rPr>
                <w:rFonts w:ascii="Cambria" w:hAnsi="Cambria"/>
                <w:b/>
                <w:bCs/>
                <w:sz w:val="20"/>
                <w:szCs w:val="20"/>
                <w:lang w:val="es-AR"/>
              </w:rPr>
              <w:lastRenderedPageBreak/>
              <w:t xml:space="preserve">D. INDEMNIZACIONES COMPENSATORIAS </w:t>
            </w:r>
          </w:p>
          <w:p w14:paraId="531500F7" w14:textId="77777777" w:rsidR="00C91286" w:rsidRPr="00C91286" w:rsidRDefault="00C91286" w:rsidP="00C91286">
            <w:pPr>
              <w:suppressAutoHyphens/>
              <w:spacing w:after="0" w:line="240" w:lineRule="auto"/>
              <w:jc w:val="both"/>
              <w:rPr>
                <w:rFonts w:ascii="Cambria" w:hAnsi="Cambria"/>
                <w:sz w:val="20"/>
                <w:szCs w:val="20"/>
                <w:lang w:val="es-AR"/>
              </w:rPr>
            </w:pPr>
            <w:r w:rsidRPr="00C91286">
              <w:rPr>
                <w:rFonts w:ascii="Cambria" w:hAnsi="Cambria"/>
                <w:b/>
                <w:bCs/>
                <w:sz w:val="20"/>
                <w:szCs w:val="20"/>
                <w:lang w:val="es-AR"/>
              </w:rPr>
              <w:t>Clausula 3.7 Compensación por daño material</w:t>
            </w:r>
            <w:r w:rsidRPr="00C91286">
              <w:rPr>
                <w:rFonts w:ascii="Cambria" w:hAnsi="Cambria"/>
                <w:sz w:val="20"/>
                <w:szCs w:val="20"/>
                <w:lang w:val="es-AR"/>
              </w:rPr>
              <w:t xml:space="preserve">: El Estado entregará, por concepto de daño material para las victimas indirectas. los C. Edgar Mondragón Bustamante, Elizabeth Molina Hernández, Leslie Michelle Mondragón Molina y Edgar Eduardo Mondragón Molina, las cantidades especificadas en el Anexo 4, del presente Acuerdo. </w:t>
            </w:r>
          </w:p>
        </w:tc>
        <w:tc>
          <w:tcPr>
            <w:tcW w:w="4841" w:type="dxa"/>
            <w:tcBorders>
              <w:top w:val="single" w:sz="4" w:space="0" w:color="auto"/>
              <w:left w:val="single" w:sz="4" w:space="0" w:color="auto"/>
              <w:bottom w:val="single" w:sz="4" w:space="0" w:color="auto"/>
              <w:right w:val="single" w:sz="4" w:space="0" w:color="auto"/>
            </w:tcBorders>
            <w:vAlign w:val="center"/>
          </w:tcPr>
          <w:p w14:paraId="67D2F58B" w14:textId="77777777" w:rsidR="00C91286" w:rsidRPr="00C91286" w:rsidRDefault="00C91286" w:rsidP="00C91286">
            <w:pPr>
              <w:suppressAutoHyphens/>
              <w:spacing w:after="0" w:line="240" w:lineRule="auto"/>
              <w:jc w:val="center"/>
              <w:rPr>
                <w:rFonts w:ascii="Cambria" w:eastAsia="Batang" w:hAnsi="Cambria"/>
                <w:b/>
                <w:color w:val="000000"/>
                <w:sz w:val="20"/>
                <w:szCs w:val="20"/>
                <w:lang w:val="es-AR"/>
              </w:rPr>
            </w:pPr>
            <w:r w:rsidRPr="00C91286">
              <w:rPr>
                <w:rFonts w:ascii="Cambria" w:eastAsia="Batang" w:hAnsi="Cambria"/>
                <w:b/>
                <w:color w:val="000000"/>
                <w:sz w:val="20"/>
                <w:szCs w:val="20"/>
                <w:lang w:val="es-AR"/>
              </w:rPr>
              <w:t>Total</w:t>
            </w:r>
            <w:r w:rsidRPr="00C91286">
              <w:rPr>
                <w:rFonts w:ascii="Cambria" w:eastAsia="Batang" w:hAnsi="Cambria"/>
                <w:b/>
                <w:color w:val="000000"/>
                <w:sz w:val="20"/>
                <w:szCs w:val="20"/>
                <w:vertAlign w:val="superscript"/>
                <w:lang w:val="es-AR"/>
              </w:rPr>
              <w:footnoteReference w:id="10"/>
            </w:r>
          </w:p>
        </w:tc>
      </w:tr>
      <w:tr w:rsidR="00C91286" w:rsidRPr="00C91286" w14:paraId="2EEE26F9" w14:textId="77777777" w:rsidTr="00C91286">
        <w:trPr>
          <w:trHeight w:val="1056"/>
        </w:trPr>
        <w:tc>
          <w:tcPr>
            <w:tcW w:w="4657" w:type="dxa"/>
            <w:tcBorders>
              <w:top w:val="single" w:sz="4" w:space="0" w:color="auto"/>
              <w:left w:val="single" w:sz="4" w:space="0" w:color="auto"/>
              <w:bottom w:val="single" w:sz="4" w:space="0" w:color="auto"/>
              <w:right w:val="single" w:sz="4" w:space="0" w:color="auto"/>
            </w:tcBorders>
          </w:tcPr>
          <w:p w14:paraId="09EBAB86" w14:textId="77777777" w:rsidR="00C91286" w:rsidRPr="00C91286" w:rsidRDefault="00C91286" w:rsidP="00C91286">
            <w:pPr>
              <w:suppressAutoHyphens/>
              <w:spacing w:after="0" w:line="240" w:lineRule="auto"/>
              <w:jc w:val="both"/>
              <w:rPr>
                <w:rFonts w:ascii="Cambria" w:hAnsi="Cambria"/>
                <w:sz w:val="20"/>
                <w:szCs w:val="20"/>
                <w:lang w:val="es-AR"/>
              </w:rPr>
            </w:pPr>
            <w:r w:rsidRPr="00C91286">
              <w:rPr>
                <w:rFonts w:ascii="Cambria" w:hAnsi="Cambria"/>
                <w:b/>
                <w:bCs/>
                <w:sz w:val="20"/>
                <w:szCs w:val="20"/>
                <w:lang w:val="es-AR"/>
              </w:rPr>
              <w:t>Cláusula 3.8. Compensación por daño inmaterial</w:t>
            </w:r>
            <w:r w:rsidRPr="00C91286">
              <w:rPr>
                <w:rFonts w:ascii="Cambria" w:hAnsi="Cambria"/>
                <w:sz w:val="20"/>
                <w:szCs w:val="20"/>
                <w:lang w:val="es-AR"/>
              </w:rPr>
              <w:t>: El "</w:t>
            </w:r>
            <w:r w:rsidRPr="00C91286">
              <w:rPr>
                <w:rFonts w:ascii="Cambria" w:hAnsi="Cambria"/>
                <w:b/>
                <w:bCs/>
                <w:sz w:val="20"/>
                <w:szCs w:val="20"/>
                <w:lang w:val="es-AR"/>
              </w:rPr>
              <w:t>ESTADO MEXICANO</w:t>
            </w:r>
            <w:r w:rsidRPr="00C91286">
              <w:rPr>
                <w:rFonts w:ascii="Cambria" w:hAnsi="Cambria"/>
                <w:sz w:val="20"/>
                <w:szCs w:val="20"/>
                <w:lang w:val="es-AR"/>
              </w:rPr>
              <w:t>" se compromete a otorgar una indemnización por concepto de daño inmaterial, de conformidad con las Reglas de Operación del "</w:t>
            </w:r>
            <w:r w:rsidRPr="00C91286">
              <w:rPr>
                <w:rFonts w:ascii="Cambria" w:hAnsi="Cambria"/>
                <w:b/>
                <w:bCs/>
                <w:sz w:val="20"/>
                <w:szCs w:val="20"/>
                <w:lang w:val="es-AR"/>
              </w:rPr>
              <w:t>Fideicomiso</w:t>
            </w:r>
            <w:r w:rsidRPr="00C91286">
              <w:rPr>
                <w:rFonts w:ascii="Cambria" w:hAnsi="Cambria"/>
                <w:sz w:val="20"/>
                <w:szCs w:val="20"/>
                <w:lang w:val="es-AR"/>
              </w:rPr>
              <w:t xml:space="preserve">". </w:t>
            </w:r>
          </w:p>
        </w:tc>
        <w:tc>
          <w:tcPr>
            <w:tcW w:w="4841" w:type="dxa"/>
            <w:tcBorders>
              <w:top w:val="single" w:sz="4" w:space="0" w:color="auto"/>
              <w:left w:val="single" w:sz="4" w:space="0" w:color="auto"/>
              <w:bottom w:val="single" w:sz="4" w:space="0" w:color="auto"/>
              <w:right w:val="single" w:sz="4" w:space="0" w:color="auto"/>
            </w:tcBorders>
            <w:vAlign w:val="center"/>
          </w:tcPr>
          <w:p w14:paraId="311FE057" w14:textId="77777777" w:rsidR="00C91286" w:rsidRPr="00C91286" w:rsidRDefault="00C91286" w:rsidP="00C91286">
            <w:pPr>
              <w:suppressAutoHyphens/>
              <w:spacing w:after="0" w:line="240" w:lineRule="auto"/>
              <w:jc w:val="center"/>
              <w:rPr>
                <w:rFonts w:ascii="Cambria" w:eastAsia="Batang" w:hAnsi="Cambria"/>
                <w:b/>
                <w:color w:val="000000"/>
                <w:sz w:val="20"/>
                <w:szCs w:val="20"/>
                <w:lang w:val="es-AR"/>
              </w:rPr>
            </w:pPr>
            <w:r w:rsidRPr="00C91286">
              <w:rPr>
                <w:rFonts w:ascii="Cambria" w:eastAsia="Batang" w:hAnsi="Cambria"/>
                <w:b/>
                <w:color w:val="000000"/>
                <w:sz w:val="20"/>
                <w:szCs w:val="20"/>
                <w:lang w:val="es-AR"/>
              </w:rPr>
              <w:t>Total</w:t>
            </w:r>
            <w:r w:rsidRPr="00C91286">
              <w:rPr>
                <w:rFonts w:ascii="Cambria" w:eastAsia="Batang" w:hAnsi="Cambria"/>
                <w:b/>
                <w:color w:val="000000"/>
                <w:sz w:val="20"/>
                <w:szCs w:val="20"/>
                <w:vertAlign w:val="superscript"/>
                <w:lang w:val="es-AR"/>
              </w:rPr>
              <w:footnoteReference w:id="11"/>
            </w:r>
          </w:p>
        </w:tc>
      </w:tr>
      <w:tr w:rsidR="00C91286" w:rsidRPr="00C91286" w14:paraId="4E7C9817" w14:textId="77777777" w:rsidTr="00C91286">
        <w:trPr>
          <w:trHeight w:val="2789"/>
        </w:trPr>
        <w:tc>
          <w:tcPr>
            <w:tcW w:w="4657" w:type="dxa"/>
            <w:tcBorders>
              <w:top w:val="single" w:sz="4" w:space="0" w:color="auto"/>
              <w:left w:val="single" w:sz="4" w:space="0" w:color="auto"/>
              <w:bottom w:val="single" w:sz="4" w:space="0" w:color="auto"/>
              <w:right w:val="single" w:sz="4" w:space="0" w:color="auto"/>
            </w:tcBorders>
          </w:tcPr>
          <w:p w14:paraId="0159EF3C" w14:textId="77777777" w:rsidR="00C91286" w:rsidRPr="00C91286" w:rsidRDefault="00C91286" w:rsidP="00C91286">
            <w:pPr>
              <w:suppressAutoHyphens/>
              <w:spacing w:after="0" w:line="240" w:lineRule="auto"/>
              <w:jc w:val="both"/>
              <w:rPr>
                <w:rFonts w:ascii="Cambria" w:hAnsi="Cambria"/>
                <w:sz w:val="20"/>
                <w:szCs w:val="20"/>
                <w:lang w:val="es-AR"/>
              </w:rPr>
            </w:pPr>
            <w:r w:rsidRPr="00C91286">
              <w:rPr>
                <w:rFonts w:ascii="Cambria" w:hAnsi="Cambria"/>
                <w:b/>
                <w:bCs/>
                <w:sz w:val="20"/>
                <w:szCs w:val="20"/>
                <w:lang w:val="es-AR"/>
              </w:rPr>
              <w:t>Cláusula 3.9. Modalidades de pago de las compensaciones</w:t>
            </w:r>
            <w:r w:rsidRPr="00C91286">
              <w:rPr>
                <w:rFonts w:ascii="Cambria" w:hAnsi="Cambria"/>
                <w:sz w:val="20"/>
                <w:szCs w:val="20"/>
                <w:lang w:val="es-AR"/>
              </w:rPr>
              <w:t>: Los montos contemplados serán pagados a "</w:t>
            </w:r>
            <w:r w:rsidRPr="00C91286">
              <w:rPr>
                <w:rFonts w:ascii="Cambria" w:hAnsi="Cambria"/>
                <w:b/>
                <w:bCs/>
                <w:sz w:val="20"/>
                <w:szCs w:val="20"/>
                <w:lang w:val="es-AR"/>
              </w:rPr>
              <w:t>LAS VÍCTIMAS</w:t>
            </w:r>
            <w:r w:rsidRPr="00C91286">
              <w:rPr>
                <w:rFonts w:ascii="Cambria" w:hAnsi="Cambria"/>
                <w:sz w:val="20"/>
                <w:szCs w:val="20"/>
                <w:lang w:val="es-AR"/>
              </w:rPr>
              <w:t xml:space="preserve">", dentro de los 6 meses siguientes a la firma del presente Acuerdo, siempre y cuando las mismas, cumplan con los requisitos indispensables de forma que prevé la legislación mexicana para su entrega. En caso de mora, se estará a lo dispuesto por las Reglas de Operación del Fideicomiso. </w:t>
            </w:r>
          </w:p>
          <w:p w14:paraId="723B7CED" w14:textId="77777777" w:rsidR="00C91286" w:rsidRPr="00C91286" w:rsidRDefault="00C91286" w:rsidP="00C91286">
            <w:pPr>
              <w:suppressAutoHyphens/>
              <w:spacing w:after="0" w:line="240" w:lineRule="auto"/>
              <w:jc w:val="both"/>
              <w:rPr>
                <w:rFonts w:ascii="Cambria" w:hAnsi="Cambria"/>
                <w:b/>
                <w:bCs/>
                <w:sz w:val="20"/>
                <w:szCs w:val="20"/>
                <w:lang w:val="es-AR"/>
              </w:rPr>
            </w:pPr>
            <w:r w:rsidRPr="00C91286">
              <w:rPr>
                <w:rFonts w:ascii="Cambria" w:hAnsi="Cambria"/>
                <w:sz w:val="20"/>
                <w:szCs w:val="20"/>
                <w:lang w:val="es-AR"/>
              </w:rPr>
              <w:t>Estos pagos serán erogados por una única ocasión y constituyen el monto total de reparaciones económicas que el "</w:t>
            </w:r>
            <w:r w:rsidRPr="00C91286">
              <w:rPr>
                <w:rFonts w:ascii="Cambria" w:hAnsi="Cambria"/>
                <w:b/>
                <w:bCs/>
                <w:sz w:val="20"/>
                <w:szCs w:val="20"/>
                <w:lang w:val="es-AR"/>
              </w:rPr>
              <w:t>ESTADO MEXICANO</w:t>
            </w:r>
            <w:r w:rsidRPr="00C91286">
              <w:rPr>
                <w:rFonts w:ascii="Cambria" w:hAnsi="Cambria"/>
                <w:sz w:val="20"/>
                <w:szCs w:val="20"/>
                <w:lang w:val="es-AR"/>
              </w:rPr>
              <w:t xml:space="preserve">" otorgará para resarcir el daño derivado de las violaciones expresadas en la Cláusula 2.1. </w:t>
            </w:r>
          </w:p>
        </w:tc>
        <w:tc>
          <w:tcPr>
            <w:tcW w:w="4841" w:type="dxa"/>
            <w:tcBorders>
              <w:top w:val="single" w:sz="4" w:space="0" w:color="auto"/>
              <w:left w:val="single" w:sz="4" w:space="0" w:color="auto"/>
              <w:bottom w:val="single" w:sz="4" w:space="0" w:color="auto"/>
              <w:right w:val="single" w:sz="4" w:space="0" w:color="auto"/>
            </w:tcBorders>
            <w:vAlign w:val="center"/>
          </w:tcPr>
          <w:p w14:paraId="6F348FC6" w14:textId="77777777" w:rsidR="00C91286" w:rsidRPr="00C91286" w:rsidRDefault="00C91286" w:rsidP="00C91286">
            <w:pPr>
              <w:suppressAutoHyphens/>
              <w:spacing w:after="0" w:line="240" w:lineRule="auto"/>
              <w:jc w:val="center"/>
              <w:rPr>
                <w:rFonts w:ascii="Cambria" w:eastAsia="Batang" w:hAnsi="Cambria"/>
                <w:b/>
                <w:color w:val="000000"/>
                <w:sz w:val="20"/>
                <w:szCs w:val="20"/>
                <w:lang w:val="es-AR"/>
              </w:rPr>
            </w:pPr>
            <w:r w:rsidRPr="00C91286">
              <w:rPr>
                <w:rFonts w:ascii="Cambria" w:eastAsia="Batang" w:hAnsi="Cambria"/>
                <w:b/>
                <w:color w:val="000000"/>
                <w:sz w:val="20"/>
                <w:szCs w:val="20"/>
                <w:lang w:val="es-AR"/>
              </w:rPr>
              <w:t>Total</w:t>
            </w:r>
            <w:r w:rsidRPr="00C91286">
              <w:rPr>
                <w:rFonts w:ascii="Cambria" w:eastAsia="Batang" w:hAnsi="Cambria"/>
                <w:b/>
                <w:color w:val="000000"/>
                <w:sz w:val="20"/>
                <w:szCs w:val="20"/>
                <w:vertAlign w:val="superscript"/>
                <w:lang w:val="es-AR"/>
              </w:rPr>
              <w:footnoteReference w:id="12"/>
            </w:r>
          </w:p>
        </w:tc>
      </w:tr>
      <w:tr w:rsidR="00C91286" w:rsidRPr="00C91286" w14:paraId="72BBE6F3" w14:textId="77777777" w:rsidTr="00C91286">
        <w:trPr>
          <w:trHeight w:val="701"/>
        </w:trPr>
        <w:tc>
          <w:tcPr>
            <w:tcW w:w="4657" w:type="dxa"/>
            <w:tcBorders>
              <w:top w:val="single" w:sz="4" w:space="0" w:color="auto"/>
              <w:left w:val="single" w:sz="4" w:space="0" w:color="auto"/>
              <w:bottom w:val="single" w:sz="4" w:space="0" w:color="auto"/>
              <w:right w:val="single" w:sz="4" w:space="0" w:color="auto"/>
            </w:tcBorders>
          </w:tcPr>
          <w:p w14:paraId="1CE37942" w14:textId="77777777" w:rsidR="00C91286" w:rsidRPr="00C91286" w:rsidRDefault="00C91286" w:rsidP="00C91286">
            <w:pPr>
              <w:suppressAutoHyphens/>
              <w:spacing w:after="0" w:line="240" w:lineRule="auto"/>
              <w:jc w:val="both"/>
              <w:rPr>
                <w:rFonts w:ascii="Cambria" w:hAnsi="Cambria"/>
                <w:sz w:val="20"/>
                <w:szCs w:val="20"/>
                <w:lang w:val="es-AR"/>
              </w:rPr>
            </w:pPr>
            <w:r w:rsidRPr="00C91286">
              <w:rPr>
                <w:rFonts w:ascii="Cambria" w:hAnsi="Cambria"/>
                <w:b/>
                <w:bCs/>
                <w:sz w:val="20"/>
                <w:szCs w:val="20"/>
                <w:lang w:val="es-AR"/>
              </w:rPr>
              <w:t>Cláusula 3.10. Entrega de Proyecto Productivo</w:t>
            </w:r>
            <w:r w:rsidRPr="00C91286">
              <w:rPr>
                <w:rFonts w:ascii="Cambria" w:hAnsi="Cambria"/>
                <w:sz w:val="20"/>
                <w:szCs w:val="20"/>
                <w:lang w:val="es-AR"/>
              </w:rPr>
              <w:t>. Como medida compensatoria el "</w:t>
            </w:r>
            <w:r w:rsidRPr="00C91286">
              <w:rPr>
                <w:rFonts w:ascii="Cambria" w:hAnsi="Cambria"/>
                <w:b/>
                <w:bCs/>
                <w:sz w:val="20"/>
                <w:szCs w:val="20"/>
                <w:lang w:val="es-AR"/>
              </w:rPr>
              <w:t>ESTADO MEXICANO</w:t>
            </w:r>
            <w:r w:rsidRPr="00C91286">
              <w:rPr>
                <w:rFonts w:ascii="Cambria" w:hAnsi="Cambria"/>
                <w:sz w:val="20"/>
                <w:szCs w:val="20"/>
                <w:lang w:val="es-AR"/>
              </w:rPr>
              <w:t xml:space="preserve">", a través de la </w:t>
            </w:r>
            <w:r w:rsidRPr="00C91286">
              <w:rPr>
                <w:rFonts w:ascii="Cambria" w:hAnsi="Cambria"/>
                <w:b/>
                <w:bCs/>
                <w:sz w:val="20"/>
                <w:szCs w:val="20"/>
                <w:lang w:val="es-AR"/>
              </w:rPr>
              <w:t>SEGOB</w:t>
            </w:r>
            <w:r w:rsidRPr="00C91286">
              <w:rPr>
                <w:rFonts w:ascii="Cambria" w:hAnsi="Cambria"/>
                <w:sz w:val="20"/>
                <w:szCs w:val="20"/>
                <w:lang w:val="es-AR"/>
              </w:rPr>
              <w:t>, se compromete a gestionar el acceso a posibles apoyos por concepto de "proyectos productivos" para "</w:t>
            </w:r>
            <w:r w:rsidRPr="00C91286">
              <w:rPr>
                <w:rFonts w:ascii="Cambria" w:hAnsi="Cambria"/>
                <w:b/>
                <w:bCs/>
                <w:sz w:val="20"/>
                <w:szCs w:val="20"/>
                <w:lang w:val="es-AR"/>
              </w:rPr>
              <w:t>LAS VÍCTIMAS</w:t>
            </w:r>
            <w:r w:rsidRPr="00C91286">
              <w:rPr>
                <w:rFonts w:ascii="Cambria" w:hAnsi="Cambria"/>
                <w:sz w:val="20"/>
                <w:szCs w:val="20"/>
                <w:lang w:val="es-AR"/>
              </w:rPr>
              <w:t xml:space="preserve">". El otorgamiento de los mismos estará sujeto a las normas y disposiciones que para tales efectos establezcan las dependencias que puedan otorgarlos en las entidades federativas que designen como su domicilio. </w:t>
            </w:r>
          </w:p>
          <w:p w14:paraId="5DAF96B7" w14:textId="77777777" w:rsidR="00C91286" w:rsidRPr="00C91286" w:rsidRDefault="00C91286" w:rsidP="00C91286">
            <w:pPr>
              <w:suppressAutoHyphens/>
              <w:spacing w:after="0" w:line="240" w:lineRule="auto"/>
              <w:jc w:val="both"/>
              <w:rPr>
                <w:rFonts w:ascii="Cambria" w:hAnsi="Cambria"/>
                <w:sz w:val="20"/>
                <w:szCs w:val="20"/>
                <w:lang w:val="es-AR"/>
              </w:rPr>
            </w:pPr>
            <w:r w:rsidRPr="00C91286">
              <w:rPr>
                <w:rFonts w:ascii="Cambria" w:hAnsi="Cambria"/>
                <w:sz w:val="20"/>
                <w:szCs w:val="20"/>
                <w:lang w:val="es-AR"/>
              </w:rPr>
              <w:t xml:space="preserve">El número de proyectos productivos a entregar, previo agotamiento de los requisitos preestablecidos, en ningún caso podrá exceder de uno por cada una de las victimas indirectas. </w:t>
            </w:r>
          </w:p>
        </w:tc>
        <w:tc>
          <w:tcPr>
            <w:tcW w:w="4841" w:type="dxa"/>
            <w:tcBorders>
              <w:top w:val="single" w:sz="4" w:space="0" w:color="auto"/>
              <w:left w:val="single" w:sz="4" w:space="0" w:color="auto"/>
              <w:bottom w:val="single" w:sz="4" w:space="0" w:color="auto"/>
              <w:right w:val="single" w:sz="4" w:space="0" w:color="auto"/>
            </w:tcBorders>
            <w:vAlign w:val="center"/>
          </w:tcPr>
          <w:p w14:paraId="47C885A5" w14:textId="63BA1E44" w:rsidR="00606628" w:rsidRPr="00C91286" w:rsidRDefault="00C91286" w:rsidP="00606628">
            <w:pPr>
              <w:suppressAutoHyphens/>
              <w:spacing w:after="0" w:line="240" w:lineRule="auto"/>
              <w:jc w:val="center"/>
              <w:rPr>
                <w:rFonts w:ascii="Cambria" w:eastAsia="Batang" w:hAnsi="Cambria"/>
                <w:b/>
                <w:color w:val="000000"/>
                <w:sz w:val="20"/>
                <w:szCs w:val="20"/>
                <w:lang w:val="es-AR"/>
              </w:rPr>
            </w:pPr>
            <w:r w:rsidRPr="00C91286">
              <w:rPr>
                <w:rFonts w:ascii="Cambria" w:eastAsia="Batang" w:hAnsi="Cambria"/>
                <w:b/>
                <w:color w:val="000000"/>
                <w:sz w:val="20"/>
                <w:szCs w:val="20"/>
                <w:lang w:val="es-AR"/>
              </w:rPr>
              <w:t>Total</w:t>
            </w:r>
            <w:r w:rsidRPr="00C91286">
              <w:rPr>
                <w:rFonts w:ascii="Cambria" w:eastAsia="Batang" w:hAnsi="Cambria"/>
                <w:b/>
                <w:color w:val="000000"/>
                <w:sz w:val="20"/>
                <w:szCs w:val="20"/>
                <w:vertAlign w:val="superscript"/>
                <w:lang w:val="es-AR"/>
              </w:rPr>
              <w:footnoteReference w:id="13"/>
            </w:r>
          </w:p>
        </w:tc>
      </w:tr>
    </w:tbl>
    <w:p w14:paraId="2D97FA94" w14:textId="77777777" w:rsidR="00C91286" w:rsidRPr="00C91286" w:rsidRDefault="00C91286" w:rsidP="00C91286">
      <w:pPr>
        <w:autoSpaceDE w:val="0"/>
        <w:autoSpaceDN w:val="0"/>
        <w:adjustRightInd w:val="0"/>
        <w:spacing w:after="0" w:line="240" w:lineRule="auto"/>
        <w:ind w:left="720"/>
        <w:contextualSpacing/>
        <w:jc w:val="both"/>
        <w:rPr>
          <w:rFonts w:ascii="Cambria" w:eastAsia="Batang" w:hAnsi="Cambria"/>
          <w:color w:val="000000"/>
          <w:sz w:val="20"/>
          <w:szCs w:val="20"/>
          <w:lang w:val="es-ES"/>
        </w:rPr>
      </w:pPr>
    </w:p>
    <w:p w14:paraId="1E612E80" w14:textId="56CB5FD5" w:rsidR="00C91286" w:rsidRPr="00C91286" w:rsidRDefault="00C91286" w:rsidP="0026148D">
      <w:pPr>
        <w:numPr>
          <w:ilvl w:val="0"/>
          <w:numId w:val="2"/>
        </w:numPr>
        <w:suppressAutoHyphens/>
        <w:autoSpaceDE w:val="0"/>
        <w:autoSpaceDN w:val="0"/>
        <w:adjustRightInd w:val="0"/>
        <w:spacing w:after="0" w:line="240" w:lineRule="auto"/>
        <w:ind w:left="0" w:firstLine="720"/>
        <w:contextualSpacing/>
        <w:jc w:val="both"/>
        <w:rPr>
          <w:rFonts w:ascii="Cambria" w:eastAsia="Batang" w:hAnsi="Cambria"/>
          <w:color w:val="000000"/>
          <w:sz w:val="20"/>
          <w:szCs w:val="20"/>
          <w:lang w:val="es-ES"/>
        </w:rPr>
      </w:pPr>
      <w:r w:rsidRPr="00C91286">
        <w:rPr>
          <w:rFonts w:ascii="Cambria" w:eastAsia="Batang" w:hAnsi="Cambria" w:cs="Calibri Light"/>
          <w:b/>
          <w:color w:val="000000"/>
          <w:sz w:val="20"/>
          <w:szCs w:val="20"/>
          <w:lang w:val="es-AR"/>
        </w:rPr>
        <w:t xml:space="preserve">NIVEL DE CUMPLIMIENTO DEL CASO </w:t>
      </w:r>
    </w:p>
    <w:p w14:paraId="1141A11F" w14:textId="77777777" w:rsidR="00C91286" w:rsidRPr="00C91286" w:rsidRDefault="00C91286" w:rsidP="00C91286">
      <w:pPr>
        <w:suppressAutoHyphens/>
        <w:spacing w:after="0" w:line="240" w:lineRule="auto"/>
        <w:ind w:left="720"/>
        <w:contextualSpacing/>
        <w:rPr>
          <w:rFonts w:ascii="Cambria" w:hAnsi="Cambria"/>
          <w:sz w:val="20"/>
          <w:szCs w:val="20"/>
          <w:lang w:val="es-AR"/>
        </w:rPr>
      </w:pPr>
    </w:p>
    <w:p w14:paraId="1DCED3B8" w14:textId="26C11BDC" w:rsidR="00C91286" w:rsidRPr="00C91286" w:rsidRDefault="00C91286" w:rsidP="0026148D">
      <w:pPr>
        <w:numPr>
          <w:ilvl w:val="0"/>
          <w:numId w:val="7"/>
        </w:numPr>
        <w:tabs>
          <w:tab w:val="left" w:pos="90"/>
        </w:tabs>
        <w:suppressAutoHyphens/>
        <w:autoSpaceDE w:val="0"/>
        <w:autoSpaceDN w:val="0"/>
        <w:adjustRightInd w:val="0"/>
        <w:spacing w:after="0" w:line="240" w:lineRule="auto"/>
        <w:ind w:left="0" w:firstLine="709"/>
        <w:jc w:val="both"/>
        <w:rPr>
          <w:rFonts w:ascii="Cambria" w:eastAsia="Batang" w:hAnsi="Cambria"/>
          <w:color w:val="000000"/>
          <w:sz w:val="20"/>
          <w:szCs w:val="20"/>
          <w:lang w:val="es-ES"/>
        </w:rPr>
      </w:pPr>
      <w:r w:rsidRPr="00C91286">
        <w:rPr>
          <w:rFonts w:ascii="Cambria" w:eastAsia="Batang" w:hAnsi="Cambria"/>
          <w:color w:val="000000"/>
          <w:sz w:val="20"/>
          <w:szCs w:val="20"/>
          <w:lang w:val="es-ES"/>
        </w:rPr>
        <w:t>La Comisión</w:t>
      </w:r>
      <w:r w:rsidR="00606628">
        <w:rPr>
          <w:rFonts w:ascii="Cambria" w:hAnsi="Cambria"/>
          <w:sz w:val="20"/>
          <w:szCs w:val="20"/>
          <w:lang w:val="es-AR"/>
        </w:rPr>
        <w:t xml:space="preserve"> declaró el cumplimiento total del asunto y el cese del seguimiento de</w:t>
      </w:r>
      <w:r w:rsidR="00033393">
        <w:rPr>
          <w:rFonts w:ascii="Cambria" w:hAnsi="Cambria"/>
          <w:sz w:val="20"/>
          <w:szCs w:val="20"/>
          <w:lang w:val="es-AR"/>
        </w:rPr>
        <w:t>l</w:t>
      </w:r>
      <w:r w:rsidR="00606628">
        <w:rPr>
          <w:rFonts w:ascii="Cambria" w:hAnsi="Cambria"/>
          <w:sz w:val="20"/>
          <w:szCs w:val="20"/>
          <w:lang w:val="es-AR"/>
        </w:rPr>
        <w:t xml:space="preserve"> acuerdo </w:t>
      </w:r>
      <w:r w:rsidR="00033393">
        <w:rPr>
          <w:rFonts w:ascii="Cambria" w:hAnsi="Cambria"/>
          <w:sz w:val="20"/>
          <w:szCs w:val="20"/>
          <w:lang w:val="es-AR"/>
        </w:rPr>
        <w:t>solución amistosa en el Informe Anual 2024.</w:t>
      </w:r>
    </w:p>
    <w:p w14:paraId="2FED9AD1" w14:textId="77777777" w:rsidR="00C91286" w:rsidRPr="00C91286" w:rsidRDefault="00C91286" w:rsidP="00C91286">
      <w:pPr>
        <w:spacing w:after="0" w:line="240" w:lineRule="auto"/>
        <w:jc w:val="both"/>
        <w:rPr>
          <w:rFonts w:ascii="Cambria" w:hAnsi="Cambria"/>
          <w:sz w:val="20"/>
          <w:szCs w:val="20"/>
          <w:lang w:val="es-ES"/>
        </w:rPr>
      </w:pPr>
    </w:p>
    <w:p w14:paraId="4959221C" w14:textId="77777777" w:rsidR="00C91286" w:rsidRPr="00C91286" w:rsidRDefault="00C91286" w:rsidP="0026148D">
      <w:pPr>
        <w:numPr>
          <w:ilvl w:val="0"/>
          <w:numId w:val="2"/>
        </w:numPr>
        <w:suppressAutoHyphens/>
        <w:spacing w:after="0" w:line="240" w:lineRule="auto"/>
        <w:contextualSpacing/>
        <w:jc w:val="both"/>
        <w:rPr>
          <w:rFonts w:ascii="Cambria" w:eastAsia="Batang" w:hAnsi="Cambria" w:cs="Calibri Light"/>
          <w:b/>
          <w:color w:val="000000"/>
          <w:sz w:val="20"/>
          <w:szCs w:val="20"/>
          <w:lang w:val="es-AR"/>
        </w:rPr>
      </w:pPr>
      <w:r w:rsidRPr="00C91286">
        <w:rPr>
          <w:rFonts w:ascii="Cambria" w:eastAsia="Batang" w:hAnsi="Cambria" w:cs="Calibri Light"/>
          <w:b/>
          <w:color w:val="000000"/>
          <w:sz w:val="20"/>
          <w:szCs w:val="20"/>
          <w:lang w:val="es-AR"/>
        </w:rPr>
        <w:lastRenderedPageBreak/>
        <w:t xml:space="preserve">RESULTADOS INDIVIDUALES Y ESTRUCTURALES DEL CASO </w:t>
      </w:r>
    </w:p>
    <w:p w14:paraId="7B7E725F" w14:textId="77777777" w:rsidR="00C91286" w:rsidRPr="00C91286" w:rsidRDefault="00C91286" w:rsidP="00C91286">
      <w:pPr>
        <w:suppressAutoHyphens/>
        <w:spacing w:after="0" w:line="240" w:lineRule="auto"/>
        <w:ind w:left="1440"/>
        <w:contextualSpacing/>
        <w:jc w:val="both"/>
        <w:rPr>
          <w:rFonts w:ascii="Cambria" w:eastAsia="Batang" w:hAnsi="Cambria" w:cs="Calibri Light"/>
          <w:b/>
          <w:color w:val="000000"/>
          <w:sz w:val="20"/>
          <w:szCs w:val="20"/>
          <w:lang w:val="es-AR"/>
        </w:rPr>
      </w:pPr>
    </w:p>
    <w:p w14:paraId="3CF69D6C" w14:textId="77777777" w:rsidR="00C91286" w:rsidRPr="00C91286" w:rsidRDefault="00C91286" w:rsidP="0026148D">
      <w:pPr>
        <w:numPr>
          <w:ilvl w:val="0"/>
          <w:numId w:val="3"/>
        </w:numPr>
        <w:suppressAutoHyphens/>
        <w:spacing w:after="0" w:line="240" w:lineRule="auto"/>
        <w:ind w:firstLine="0"/>
        <w:contextualSpacing/>
        <w:jc w:val="both"/>
        <w:rPr>
          <w:rFonts w:ascii="Cambria" w:eastAsia="Batang" w:hAnsi="Cambria" w:cs="Calibri Light"/>
          <w:b/>
          <w:color w:val="000000"/>
          <w:sz w:val="20"/>
          <w:szCs w:val="20"/>
          <w:lang w:val="es-AR"/>
        </w:rPr>
      </w:pPr>
      <w:r w:rsidRPr="00C91286">
        <w:rPr>
          <w:rFonts w:ascii="Cambria" w:eastAsia="Batang" w:hAnsi="Cambria" w:cs="Calibri Light"/>
          <w:b/>
          <w:color w:val="000000"/>
          <w:sz w:val="20"/>
          <w:szCs w:val="20"/>
          <w:lang w:val="es-AR"/>
        </w:rPr>
        <w:t>Resultados individuales del caso</w:t>
      </w:r>
    </w:p>
    <w:p w14:paraId="5C021C43" w14:textId="77777777" w:rsidR="00C91286" w:rsidRPr="00C91286" w:rsidRDefault="00C91286" w:rsidP="00C91286">
      <w:pPr>
        <w:suppressAutoHyphens/>
        <w:spacing w:after="0" w:line="240" w:lineRule="auto"/>
        <w:contextualSpacing/>
        <w:jc w:val="both"/>
        <w:rPr>
          <w:rFonts w:ascii="Cambria" w:eastAsia="Batang" w:hAnsi="Cambria" w:cs="Calibri Light"/>
          <w:b/>
          <w:color w:val="000000"/>
          <w:sz w:val="20"/>
          <w:szCs w:val="20"/>
          <w:lang w:val="es-AR"/>
        </w:rPr>
      </w:pPr>
    </w:p>
    <w:p w14:paraId="580322FC" w14:textId="77777777" w:rsidR="00C91286" w:rsidRPr="00C91286" w:rsidRDefault="00C91286" w:rsidP="0026148D">
      <w:pPr>
        <w:numPr>
          <w:ilvl w:val="0"/>
          <w:numId w:val="1"/>
        </w:numPr>
        <w:suppressAutoHyphens/>
        <w:spacing w:after="0" w:line="240" w:lineRule="auto"/>
        <w:ind w:left="1440" w:hanging="720"/>
        <w:contextualSpacing/>
        <w:jc w:val="both"/>
        <w:rPr>
          <w:rFonts w:ascii="Cambria" w:eastAsia="Batang" w:hAnsi="Cambria"/>
          <w:color w:val="000000"/>
          <w:sz w:val="20"/>
          <w:szCs w:val="20"/>
          <w:lang w:val="es-AR"/>
        </w:rPr>
      </w:pPr>
      <w:r w:rsidRPr="00C91286">
        <w:rPr>
          <w:rFonts w:ascii="Cambria" w:eastAsia="Batang" w:hAnsi="Cambria"/>
          <w:color w:val="000000"/>
          <w:sz w:val="20"/>
          <w:szCs w:val="20"/>
          <w:lang w:val="es-AR"/>
        </w:rPr>
        <w:t xml:space="preserve">El Estado otorgó las becas educativas en beneficio de Edgar Eduardo Mondragón. </w:t>
      </w:r>
    </w:p>
    <w:p w14:paraId="0B6205ED" w14:textId="77777777" w:rsidR="00C91286" w:rsidRPr="00C91286" w:rsidRDefault="00C91286" w:rsidP="0026148D">
      <w:pPr>
        <w:numPr>
          <w:ilvl w:val="0"/>
          <w:numId w:val="1"/>
        </w:numPr>
        <w:suppressAutoHyphens/>
        <w:spacing w:after="0" w:line="240" w:lineRule="auto"/>
        <w:ind w:left="1440" w:hanging="720"/>
        <w:contextualSpacing/>
        <w:jc w:val="both"/>
        <w:rPr>
          <w:rFonts w:ascii="Cambria" w:eastAsia="Batang" w:hAnsi="Cambria"/>
          <w:color w:val="000000"/>
          <w:sz w:val="20"/>
          <w:szCs w:val="20"/>
          <w:lang w:val="es-AR"/>
        </w:rPr>
      </w:pPr>
      <w:r w:rsidRPr="00C91286">
        <w:rPr>
          <w:rFonts w:ascii="Cambria" w:eastAsia="Batang" w:hAnsi="Cambria"/>
          <w:color w:val="000000"/>
          <w:sz w:val="20"/>
          <w:szCs w:val="20"/>
          <w:lang w:val="es-AR"/>
        </w:rPr>
        <w:t>El Estado otorgó la compensación económica derivado de los daños ocasionados por el hecho, en beneficio de las víctimas, según lo acordado.</w:t>
      </w:r>
    </w:p>
    <w:p w14:paraId="4A8A098C" w14:textId="77777777" w:rsidR="00C91286" w:rsidRPr="00C91286" w:rsidRDefault="00C91286" w:rsidP="0026148D">
      <w:pPr>
        <w:numPr>
          <w:ilvl w:val="0"/>
          <w:numId w:val="1"/>
        </w:numPr>
        <w:suppressAutoHyphens/>
        <w:spacing w:after="0" w:line="240" w:lineRule="auto"/>
        <w:ind w:left="1440" w:hanging="720"/>
        <w:contextualSpacing/>
        <w:jc w:val="both"/>
        <w:rPr>
          <w:rFonts w:ascii="Cambria" w:eastAsia="Batang" w:hAnsi="Cambria"/>
          <w:color w:val="000000"/>
          <w:sz w:val="20"/>
          <w:szCs w:val="20"/>
          <w:lang w:val="es-AR"/>
        </w:rPr>
      </w:pPr>
      <w:r w:rsidRPr="00C91286">
        <w:rPr>
          <w:rFonts w:ascii="Cambria" w:eastAsia="Batang" w:hAnsi="Cambria"/>
          <w:color w:val="000000"/>
          <w:sz w:val="20"/>
          <w:szCs w:val="20"/>
          <w:lang w:val="es-AR"/>
        </w:rPr>
        <w:t xml:space="preserve">El Estado incorporó a los beneficiarios del acuerdo en el seguro popular de salud. </w:t>
      </w:r>
    </w:p>
    <w:p w14:paraId="2C9D1F65" w14:textId="77777777" w:rsidR="00C91286" w:rsidRPr="00C91286" w:rsidRDefault="00C91286" w:rsidP="0026148D">
      <w:pPr>
        <w:numPr>
          <w:ilvl w:val="0"/>
          <w:numId w:val="1"/>
        </w:numPr>
        <w:suppressAutoHyphens/>
        <w:spacing w:after="0" w:line="240" w:lineRule="auto"/>
        <w:ind w:left="1440" w:hanging="720"/>
        <w:contextualSpacing/>
        <w:jc w:val="both"/>
        <w:rPr>
          <w:rFonts w:ascii="Cambria" w:eastAsia="Batang" w:hAnsi="Cambria"/>
          <w:color w:val="000000"/>
          <w:sz w:val="20"/>
          <w:szCs w:val="20"/>
          <w:lang w:val="es-AR"/>
        </w:rPr>
      </w:pPr>
      <w:r w:rsidRPr="00C91286">
        <w:rPr>
          <w:rFonts w:ascii="Cambria" w:eastAsia="Batang" w:hAnsi="Cambria"/>
          <w:color w:val="000000"/>
          <w:sz w:val="20"/>
          <w:szCs w:val="20"/>
          <w:lang w:val="es-AR"/>
        </w:rPr>
        <w:t xml:space="preserve">El Estado desembolsó el monto de </w:t>
      </w:r>
      <w:r w:rsidRPr="00C91286">
        <w:rPr>
          <w:rFonts w:ascii="Cambria" w:hAnsi="Cambria"/>
          <w:sz w:val="20"/>
          <w:szCs w:val="20"/>
          <w:lang w:val="es-CO"/>
        </w:rPr>
        <w:t xml:space="preserve">$1,436,365.00 (un millón, cuatrocientos treinta y seis mil, trescientos sesenta y cinco pesos) en favor del núcleo familiar por concepto de atención en salud y proyectos productivos. </w:t>
      </w:r>
    </w:p>
    <w:p w14:paraId="22CA2FDF" w14:textId="77777777" w:rsidR="00C91286" w:rsidRPr="00C91286" w:rsidRDefault="00C91286" w:rsidP="0026148D">
      <w:pPr>
        <w:numPr>
          <w:ilvl w:val="0"/>
          <w:numId w:val="1"/>
        </w:numPr>
        <w:suppressAutoHyphens/>
        <w:spacing w:after="0" w:line="240" w:lineRule="auto"/>
        <w:ind w:left="1440" w:hanging="720"/>
        <w:contextualSpacing/>
        <w:jc w:val="both"/>
        <w:rPr>
          <w:rFonts w:ascii="Cambria" w:eastAsia="Batang" w:hAnsi="Cambria"/>
          <w:color w:val="000000"/>
          <w:sz w:val="20"/>
          <w:szCs w:val="20"/>
          <w:lang w:val="es-AR"/>
        </w:rPr>
      </w:pPr>
      <w:r w:rsidRPr="00C91286">
        <w:rPr>
          <w:rFonts w:ascii="Cambria" w:hAnsi="Cambria"/>
          <w:sz w:val="20"/>
          <w:szCs w:val="20"/>
          <w:lang w:val="es-AR"/>
        </w:rPr>
        <w:t>Se realizó la develación de placa y busto en el Hospital Infantil del Estado de Sonora, que incluyó una leyenda en memoria del niño Ismael Mondragón.</w:t>
      </w:r>
    </w:p>
    <w:p w14:paraId="419B511C" w14:textId="77777777" w:rsidR="00C91286" w:rsidRPr="00C91286" w:rsidRDefault="00C91286" w:rsidP="0026148D">
      <w:pPr>
        <w:numPr>
          <w:ilvl w:val="0"/>
          <w:numId w:val="1"/>
        </w:numPr>
        <w:tabs>
          <w:tab w:val="left" w:pos="90"/>
        </w:tabs>
        <w:suppressAutoHyphens/>
        <w:spacing w:after="0" w:line="240" w:lineRule="auto"/>
        <w:ind w:left="1440" w:hanging="720"/>
        <w:contextualSpacing/>
        <w:jc w:val="both"/>
        <w:rPr>
          <w:rFonts w:ascii="Cambria" w:hAnsi="Cambria" w:cs="Calibri Light"/>
          <w:b/>
          <w:color w:val="000000"/>
          <w:sz w:val="20"/>
          <w:szCs w:val="20"/>
          <w:lang w:val="es-ES"/>
        </w:rPr>
      </w:pPr>
      <w:r w:rsidRPr="00C91286">
        <w:rPr>
          <w:rFonts w:ascii="Cambria" w:eastAsia="MS Mincho" w:hAnsi="Cambria"/>
          <w:color w:val="000000"/>
          <w:sz w:val="20"/>
          <w:szCs w:val="20"/>
          <w:lang w:val="es-ES" w:eastAsia="ja-JP"/>
        </w:rPr>
        <w:t xml:space="preserve">El 20 de enero de 2024, se realizó el acto de reconocimiento público de responsabilidad y su difusión en redes sociales y en el canal de YouTube de la </w:t>
      </w:r>
      <w:r w:rsidRPr="00C91286">
        <w:rPr>
          <w:rFonts w:ascii="Cambria" w:hAnsi="Cambria"/>
          <w:sz w:val="20"/>
          <w:szCs w:val="20"/>
          <w:lang w:val="es-AR"/>
        </w:rPr>
        <w:t>Secretaría de Gobernación</w:t>
      </w:r>
      <w:r w:rsidRPr="00C91286">
        <w:rPr>
          <w:rFonts w:ascii="Cambria" w:eastAsia="MS Mincho" w:hAnsi="Cambria"/>
          <w:color w:val="000000"/>
          <w:sz w:val="20"/>
          <w:szCs w:val="20"/>
          <w:lang w:val="es-ES" w:eastAsia="ja-JP"/>
        </w:rPr>
        <w:t>.</w:t>
      </w:r>
    </w:p>
    <w:p w14:paraId="7E836381" w14:textId="77777777" w:rsidR="00C91286" w:rsidRPr="00C91286" w:rsidRDefault="00C91286" w:rsidP="00C91286">
      <w:pPr>
        <w:spacing w:after="0" w:line="240" w:lineRule="auto"/>
        <w:ind w:left="1440"/>
        <w:contextualSpacing/>
        <w:jc w:val="both"/>
        <w:rPr>
          <w:rFonts w:ascii="Cambria" w:eastAsia="Batang" w:hAnsi="Cambria"/>
          <w:color w:val="000000"/>
          <w:sz w:val="20"/>
          <w:szCs w:val="20"/>
          <w:lang w:val="es-AR"/>
        </w:rPr>
      </w:pPr>
    </w:p>
    <w:p w14:paraId="118D3EE2" w14:textId="77777777" w:rsidR="00C91286" w:rsidRPr="00C91286" w:rsidRDefault="00C91286" w:rsidP="0026148D">
      <w:pPr>
        <w:numPr>
          <w:ilvl w:val="0"/>
          <w:numId w:val="3"/>
        </w:numPr>
        <w:suppressAutoHyphens/>
        <w:spacing w:after="0" w:line="240" w:lineRule="auto"/>
        <w:ind w:hanging="11"/>
        <w:contextualSpacing/>
        <w:jc w:val="both"/>
        <w:rPr>
          <w:rFonts w:ascii="Cambria" w:eastAsia="Batang" w:hAnsi="Cambria" w:cs="Calibri Light"/>
          <w:b/>
          <w:color w:val="000000"/>
          <w:sz w:val="20"/>
          <w:szCs w:val="20"/>
          <w:lang w:val="es-AR"/>
        </w:rPr>
      </w:pPr>
      <w:r w:rsidRPr="00C91286">
        <w:rPr>
          <w:rFonts w:ascii="Cambria" w:eastAsia="Batang" w:hAnsi="Cambria" w:cs="Calibri Light"/>
          <w:b/>
          <w:color w:val="000000"/>
          <w:sz w:val="20"/>
          <w:szCs w:val="20"/>
          <w:lang w:val="es-AR"/>
        </w:rPr>
        <w:t>Resultados estructurales del caso</w:t>
      </w:r>
    </w:p>
    <w:p w14:paraId="72B210AE" w14:textId="77777777" w:rsidR="00C91286" w:rsidRPr="00C91286" w:rsidRDefault="00C91286" w:rsidP="00C91286">
      <w:pPr>
        <w:suppressAutoHyphens/>
        <w:spacing w:after="0" w:line="240" w:lineRule="auto"/>
        <w:ind w:right="72"/>
        <w:jc w:val="both"/>
        <w:rPr>
          <w:rFonts w:ascii="Cambria" w:hAnsi="Cambria"/>
          <w:bCs/>
          <w:color w:val="000000"/>
          <w:kern w:val="36"/>
          <w:sz w:val="20"/>
          <w:szCs w:val="20"/>
          <w:lang w:val="es-AR"/>
        </w:rPr>
      </w:pPr>
    </w:p>
    <w:p w14:paraId="3B4E0DA4" w14:textId="03D329D8" w:rsidR="008E72CA" w:rsidRPr="00C4320C" w:rsidRDefault="00C91286" w:rsidP="0026148D">
      <w:pPr>
        <w:numPr>
          <w:ilvl w:val="0"/>
          <w:numId w:val="8"/>
        </w:numPr>
        <w:suppressAutoHyphens/>
        <w:spacing w:after="0" w:line="240" w:lineRule="auto"/>
        <w:ind w:hanging="731"/>
        <w:jc w:val="both"/>
        <w:rPr>
          <w:rFonts w:ascii="Cambria" w:hAnsi="Cambria"/>
          <w:sz w:val="20"/>
          <w:szCs w:val="20"/>
          <w:lang w:val="es-AR"/>
        </w:rPr>
      </w:pPr>
      <w:r w:rsidRPr="00C91286">
        <w:rPr>
          <w:rFonts w:ascii="Cambria" w:eastAsia="Batang" w:hAnsi="Cambria"/>
          <w:color w:val="000000"/>
          <w:sz w:val="20"/>
          <w:szCs w:val="20"/>
          <w:lang w:val="es-AR"/>
        </w:rPr>
        <w:t>Se llevaron a cabo cursos de capacitación para las autoridades de</w:t>
      </w:r>
      <w:r w:rsidRPr="00C91286">
        <w:rPr>
          <w:rFonts w:ascii="Cambria" w:hAnsi="Cambria"/>
          <w:sz w:val="20"/>
          <w:szCs w:val="20"/>
          <w:lang w:val="es-AR"/>
        </w:rPr>
        <w:t xml:space="preserve"> hospitales infantiles públicos del Estado de Sonora.</w:t>
      </w:r>
    </w:p>
    <w:sectPr w:rsidR="008E72CA" w:rsidRPr="00C4320C" w:rsidSect="007E4ED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49668" w14:textId="77777777" w:rsidR="00425CA8" w:rsidRDefault="00425CA8" w:rsidP="00A343FF">
      <w:pPr>
        <w:spacing w:after="0" w:line="240" w:lineRule="auto"/>
      </w:pPr>
      <w:r>
        <w:separator/>
      </w:r>
    </w:p>
  </w:endnote>
  <w:endnote w:type="continuationSeparator" w:id="0">
    <w:p w14:paraId="475B2602" w14:textId="77777777" w:rsidR="00425CA8" w:rsidRDefault="00425CA8" w:rsidP="00A343FF">
      <w:pPr>
        <w:spacing w:after="0" w:line="240" w:lineRule="auto"/>
      </w:pPr>
      <w:r>
        <w:continuationSeparator/>
      </w:r>
    </w:p>
  </w:endnote>
  <w:endnote w:type="continuationNotice" w:id="1">
    <w:p w14:paraId="0D5D39AA" w14:textId="77777777" w:rsidR="00425CA8" w:rsidRDefault="00425C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AF33" w14:textId="77777777" w:rsidR="00106C59" w:rsidRDefault="00106C59">
    <w:pPr>
      <w:pStyle w:val="Footer"/>
    </w:pPr>
  </w:p>
  <w:p w14:paraId="3AF0EA2E" w14:textId="77777777" w:rsidR="00FC0266" w:rsidRDefault="00FC02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540DD" w14:textId="77777777" w:rsidR="00A72869" w:rsidRPr="0073374A" w:rsidRDefault="00A72869">
    <w:pPr>
      <w:pStyle w:val="Footer"/>
      <w:jc w:val="center"/>
      <w:rPr>
        <w:rFonts w:ascii="Cambria" w:hAnsi="Cambria"/>
        <w:color w:val="7F7F7F"/>
        <w:sz w:val="16"/>
      </w:rPr>
    </w:pPr>
    <w:r w:rsidRPr="0073374A">
      <w:rPr>
        <w:rFonts w:ascii="Cambria" w:hAnsi="Cambria"/>
        <w:color w:val="7F7F7F"/>
        <w:sz w:val="16"/>
      </w:rPr>
      <w:fldChar w:fldCharType="begin"/>
    </w:r>
    <w:r w:rsidRPr="0073374A">
      <w:rPr>
        <w:rFonts w:ascii="Cambria" w:hAnsi="Cambria"/>
        <w:color w:val="7F7F7F"/>
        <w:sz w:val="16"/>
      </w:rPr>
      <w:instrText xml:space="preserve"> PAGE   \* MERGEFORMAT </w:instrText>
    </w:r>
    <w:r w:rsidRPr="0073374A">
      <w:rPr>
        <w:rFonts w:ascii="Cambria" w:hAnsi="Cambria"/>
        <w:color w:val="7F7F7F"/>
        <w:sz w:val="16"/>
      </w:rPr>
      <w:fldChar w:fldCharType="separate"/>
    </w:r>
    <w:r w:rsidR="00106C59" w:rsidRPr="0073374A">
      <w:rPr>
        <w:rFonts w:ascii="Cambria" w:hAnsi="Cambria"/>
        <w:noProof/>
        <w:color w:val="7F7F7F"/>
        <w:sz w:val="16"/>
      </w:rPr>
      <w:t>2</w:t>
    </w:r>
    <w:r w:rsidRPr="0073374A">
      <w:rPr>
        <w:rFonts w:ascii="Cambria" w:hAnsi="Cambria"/>
        <w:noProof/>
        <w:color w:val="7F7F7F"/>
        <w:sz w:val="16"/>
      </w:rPr>
      <w:fldChar w:fldCharType="end"/>
    </w:r>
  </w:p>
  <w:p w14:paraId="4E062864" w14:textId="77777777" w:rsidR="001C0A6D" w:rsidRDefault="001C0A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E2F0" w14:textId="301B7889" w:rsidR="00D222B7" w:rsidRDefault="008E15BE" w:rsidP="00CA3AA8">
    <w:pPr>
      <w:pStyle w:val="Footer"/>
      <w:spacing w:line="360" w:lineRule="auto"/>
      <w:jc w:val="right"/>
    </w:pPr>
    <w:r>
      <w:rPr>
        <w:noProof/>
      </w:rPr>
      <w:pict w14:anchorId="6B0B6B2C">
        <v:rect id="_x0000_i1027" alt="" style="width:441.9pt;height:.05pt;mso-width-percent:0;mso-height-percent:0;mso-width-percent:0;mso-height-percent:0" o:hralign="center" o:hrstd="t" o:hr="t" fillcolor="#a0a0a0" stroked="f"/>
      </w:pict>
    </w:r>
  </w:p>
  <w:p w14:paraId="48E8CE2E" w14:textId="77777777" w:rsidR="00D13990" w:rsidRDefault="00911130" w:rsidP="00604F1C">
    <w:pPr>
      <w:pStyle w:val="Footer"/>
      <w:jc w:val="center"/>
    </w:pPr>
    <w:r w:rsidRPr="008A5CB5">
      <w:rPr>
        <w:noProof/>
      </w:rPr>
      <w:drawing>
        <wp:inline distT="0" distB="0" distL="0" distR="0" wp14:anchorId="2F2E600E" wp14:editId="2127D52D">
          <wp:extent cx="5120640" cy="311150"/>
          <wp:effectExtent l="0" t="0" r="0" b="0"/>
          <wp:docPr id="7" name="Picture 35" descr="C:\Users\mfontana\Documents\Eva Fontana\GRAFICA CIDH\cartas\logos\footer-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11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886EA" w14:textId="77777777" w:rsidR="00425CA8" w:rsidRDefault="00425CA8" w:rsidP="00A343FF">
      <w:pPr>
        <w:spacing w:after="0" w:line="240" w:lineRule="auto"/>
      </w:pPr>
      <w:r>
        <w:separator/>
      </w:r>
    </w:p>
  </w:footnote>
  <w:footnote w:type="continuationSeparator" w:id="0">
    <w:p w14:paraId="13889B09" w14:textId="77777777" w:rsidR="00425CA8" w:rsidRDefault="00425CA8" w:rsidP="00A343FF">
      <w:pPr>
        <w:spacing w:after="0" w:line="240" w:lineRule="auto"/>
      </w:pPr>
      <w:r>
        <w:continuationSeparator/>
      </w:r>
    </w:p>
  </w:footnote>
  <w:footnote w:type="continuationNotice" w:id="1">
    <w:p w14:paraId="5C15708A" w14:textId="77777777" w:rsidR="00425CA8" w:rsidRDefault="00425CA8">
      <w:pPr>
        <w:spacing w:after="0" w:line="240" w:lineRule="auto"/>
      </w:pPr>
    </w:p>
  </w:footnote>
  <w:footnote w:id="2">
    <w:p w14:paraId="392F4623" w14:textId="50E0339B" w:rsidR="00C91286" w:rsidRPr="00606628" w:rsidRDefault="00C91286" w:rsidP="00606628">
      <w:pPr>
        <w:pStyle w:val="FootnoteText"/>
        <w:spacing w:after="0" w:line="240" w:lineRule="auto"/>
        <w:ind w:firstLine="709"/>
        <w:jc w:val="both"/>
        <w:rPr>
          <w:rFonts w:ascii="Cambria" w:hAnsi="Cambria"/>
          <w:sz w:val="16"/>
          <w:szCs w:val="16"/>
          <w:lang w:val="es-ES"/>
        </w:rPr>
      </w:pPr>
      <w:r w:rsidRPr="00606628">
        <w:rPr>
          <w:rStyle w:val="FootnoteReference"/>
          <w:rFonts w:ascii="Cambria" w:hAnsi="Cambria"/>
          <w:sz w:val="16"/>
          <w:szCs w:val="16"/>
        </w:rPr>
        <w:footnoteRef/>
      </w:r>
      <w:r w:rsidRPr="00606628">
        <w:rPr>
          <w:rFonts w:ascii="Cambria" w:hAnsi="Cambria"/>
          <w:sz w:val="16"/>
          <w:szCs w:val="16"/>
          <w:lang w:val="es-AR"/>
        </w:rPr>
        <w:t xml:space="preserve"> </w:t>
      </w:r>
      <w:r w:rsidRPr="00606628">
        <w:rPr>
          <w:rFonts w:ascii="Cambria" w:hAnsi="Cambria"/>
          <w:color w:val="000000"/>
          <w:sz w:val="16"/>
          <w:szCs w:val="16"/>
          <w:lang w:val="es-ES"/>
        </w:rPr>
        <w:t xml:space="preserve">Ver CIDH, Informe Anual 2021, Capítulo II, Sección F. </w:t>
      </w:r>
      <w:r w:rsidR="00606628">
        <w:rPr>
          <w:rFonts w:ascii="Cambria" w:hAnsi="Cambria"/>
          <w:color w:val="000000"/>
          <w:sz w:val="16"/>
          <w:szCs w:val="16"/>
          <w:lang w:val="es-ES"/>
        </w:rPr>
        <w:t>Avances y retrocesos en materia de n</w:t>
      </w:r>
      <w:r w:rsidRPr="00606628">
        <w:rPr>
          <w:rFonts w:ascii="Cambria" w:hAnsi="Cambria"/>
          <w:color w:val="000000"/>
          <w:sz w:val="16"/>
          <w:szCs w:val="16"/>
          <w:lang w:val="es-ES"/>
        </w:rPr>
        <w:t xml:space="preserve">egociación e implementación de acuerdos de solución amistosa. </w:t>
      </w:r>
      <w:r w:rsidRPr="00606628">
        <w:rPr>
          <w:rFonts w:ascii="Cambria" w:hAnsi="Cambria"/>
          <w:color w:val="000000"/>
          <w:sz w:val="16"/>
          <w:szCs w:val="16"/>
          <w:lang w:val="es-CO"/>
        </w:rPr>
        <w:t xml:space="preserve">Disponible en: </w:t>
      </w:r>
      <w:hyperlink r:id="rId1" w:history="1">
        <w:r w:rsidRPr="00606628">
          <w:rPr>
            <w:rStyle w:val="Hyperlink"/>
            <w:rFonts w:ascii="Cambria" w:hAnsi="Cambria"/>
            <w:sz w:val="16"/>
            <w:szCs w:val="16"/>
            <w:lang w:val="es-CO"/>
          </w:rPr>
          <w:t>https://www.oas.org/es/cidh/docs/anual/2021/capitulos/IA2021cap2-es.pdf</w:t>
        </w:r>
      </w:hyperlink>
      <w:r w:rsidR="00606628" w:rsidRPr="0072147B">
        <w:rPr>
          <w:rFonts w:ascii="Cambria" w:hAnsi="Cambria"/>
          <w:sz w:val="16"/>
          <w:szCs w:val="16"/>
          <w:lang w:val="es-CO"/>
        </w:rPr>
        <w:t>.</w:t>
      </w:r>
    </w:p>
  </w:footnote>
  <w:footnote w:id="3">
    <w:p w14:paraId="65A27ED6" w14:textId="75B16737" w:rsidR="00C91286" w:rsidRPr="00606628" w:rsidRDefault="00C91286" w:rsidP="00606628">
      <w:pPr>
        <w:pStyle w:val="NormalWeb"/>
        <w:spacing w:before="0" w:beforeAutospacing="0" w:after="0" w:afterAutospacing="0"/>
        <w:ind w:firstLine="709"/>
        <w:jc w:val="both"/>
        <w:rPr>
          <w:rFonts w:ascii="Cambria" w:hAnsi="Cambria"/>
          <w:color w:val="000000"/>
          <w:sz w:val="16"/>
          <w:szCs w:val="16"/>
          <w:lang w:val="es-AR"/>
        </w:rPr>
      </w:pPr>
      <w:r w:rsidRPr="00606628">
        <w:rPr>
          <w:rStyle w:val="FootnoteReference"/>
          <w:rFonts w:ascii="Cambria" w:hAnsi="Cambria"/>
          <w:color w:val="000000"/>
          <w:sz w:val="16"/>
          <w:szCs w:val="16"/>
        </w:rPr>
        <w:footnoteRef/>
      </w:r>
      <w:r w:rsidRPr="00606628">
        <w:rPr>
          <w:rFonts w:ascii="Cambria" w:hAnsi="Cambria"/>
          <w:color w:val="000000"/>
          <w:sz w:val="16"/>
          <w:szCs w:val="16"/>
          <w:lang w:val="es-VE"/>
        </w:rPr>
        <w:t xml:space="preserve"> </w:t>
      </w:r>
      <w:r w:rsidR="00606628">
        <w:rPr>
          <w:rFonts w:ascii="Cambria" w:hAnsi="Cambria"/>
          <w:color w:val="000000"/>
          <w:sz w:val="16"/>
          <w:szCs w:val="16"/>
          <w:lang w:val="es-VE"/>
        </w:rPr>
        <w:t xml:space="preserve">Ver </w:t>
      </w:r>
      <w:r w:rsidRPr="00606628">
        <w:rPr>
          <w:rFonts w:ascii="Cambria" w:hAnsi="Cambria"/>
          <w:color w:val="000000" w:themeColor="text1"/>
          <w:sz w:val="16"/>
          <w:szCs w:val="16"/>
          <w:lang w:val="es-MX"/>
        </w:rPr>
        <w:t xml:space="preserve">CIDH, Informe No. 110/2020, Petición 735-07 Solución Amistosa. Ismael Mondragón Molina. México. 9 de junio de 2020. </w:t>
      </w:r>
      <w:r w:rsidR="00606628" w:rsidRPr="00606628">
        <w:rPr>
          <w:rFonts w:ascii="Cambria" w:hAnsi="Cambria"/>
          <w:color w:val="000000" w:themeColor="text1"/>
          <w:sz w:val="16"/>
          <w:szCs w:val="16"/>
          <w:lang w:val="es-MX"/>
        </w:rPr>
        <w:t xml:space="preserve">Disponible en: </w:t>
      </w:r>
      <w:hyperlink r:id="rId2" w:history="1">
        <w:r w:rsidR="00606628" w:rsidRPr="0026347A">
          <w:rPr>
            <w:rStyle w:val="Hyperlink"/>
            <w:rFonts w:ascii="Cambria" w:hAnsi="Cambria"/>
            <w:sz w:val="16"/>
            <w:szCs w:val="16"/>
            <w:lang w:val="es-MX"/>
          </w:rPr>
          <w:t>http://www.oas.org/es/cidh/decisiones/2020/mxsa735-07es.pdf</w:t>
        </w:r>
      </w:hyperlink>
      <w:r w:rsidR="00606628">
        <w:rPr>
          <w:rFonts w:ascii="Cambria" w:hAnsi="Cambria"/>
          <w:sz w:val="16"/>
          <w:szCs w:val="16"/>
          <w:lang w:val="es-MX"/>
        </w:rPr>
        <w:t>.</w:t>
      </w:r>
    </w:p>
  </w:footnote>
  <w:footnote w:id="4">
    <w:p w14:paraId="25E8B495" w14:textId="5F38EF63" w:rsidR="00C91286" w:rsidRPr="00606628" w:rsidRDefault="00C91286" w:rsidP="00606628">
      <w:pPr>
        <w:pStyle w:val="NormalWeb"/>
        <w:spacing w:before="0" w:beforeAutospacing="0" w:after="0" w:afterAutospacing="0"/>
        <w:ind w:firstLine="709"/>
        <w:jc w:val="both"/>
        <w:rPr>
          <w:rFonts w:ascii="Cambria" w:hAnsi="Cambria"/>
          <w:color w:val="000000"/>
          <w:sz w:val="16"/>
          <w:szCs w:val="16"/>
          <w:lang w:val="es-AR"/>
        </w:rPr>
      </w:pPr>
      <w:r w:rsidRPr="00606628">
        <w:rPr>
          <w:rStyle w:val="FootnoteReference"/>
          <w:rFonts w:ascii="Cambria" w:hAnsi="Cambria"/>
          <w:sz w:val="16"/>
          <w:szCs w:val="16"/>
        </w:rPr>
        <w:footnoteRef/>
      </w:r>
      <w:r w:rsidRPr="00606628">
        <w:rPr>
          <w:rFonts w:ascii="Cambria" w:hAnsi="Cambria"/>
          <w:sz w:val="16"/>
          <w:szCs w:val="16"/>
          <w:lang w:val="es-VE"/>
        </w:rPr>
        <w:t xml:space="preserve"> </w:t>
      </w:r>
      <w:r w:rsidR="00606628">
        <w:rPr>
          <w:rFonts w:ascii="Cambria" w:hAnsi="Cambria"/>
          <w:sz w:val="16"/>
          <w:szCs w:val="16"/>
          <w:lang w:val="es-VE"/>
        </w:rPr>
        <w:t xml:space="preserve">Ver </w:t>
      </w:r>
      <w:r w:rsidRPr="00606628">
        <w:rPr>
          <w:rFonts w:ascii="Cambria" w:hAnsi="Cambria"/>
          <w:color w:val="000000"/>
          <w:sz w:val="16"/>
          <w:szCs w:val="16"/>
          <w:lang w:val="es-VE"/>
        </w:rPr>
        <w:t>C</w:t>
      </w:r>
      <w:r w:rsidRPr="00606628">
        <w:rPr>
          <w:rFonts w:ascii="Cambria" w:hAnsi="Cambria"/>
          <w:color w:val="000000"/>
          <w:sz w:val="16"/>
          <w:szCs w:val="16"/>
          <w:lang w:val="es-MX"/>
        </w:rPr>
        <w:t>IDH, Informe No. 110/2020, Petición 735-07 Solución Amistosa. Ismael Mondragón Molina. México. 9 de junio de 2020.</w:t>
      </w:r>
      <w:r w:rsidRPr="00606628">
        <w:rPr>
          <w:rFonts w:ascii="Cambria" w:hAnsi="Cambria"/>
          <w:color w:val="565656"/>
          <w:sz w:val="16"/>
          <w:szCs w:val="16"/>
          <w:lang w:val="es-MX"/>
        </w:rPr>
        <w:t xml:space="preserve"> </w:t>
      </w:r>
      <w:r w:rsidR="00606628" w:rsidRPr="00606628">
        <w:rPr>
          <w:rFonts w:ascii="Cambria" w:hAnsi="Cambria"/>
          <w:color w:val="000000" w:themeColor="text1"/>
          <w:sz w:val="16"/>
          <w:szCs w:val="16"/>
          <w:lang w:val="es-MX"/>
        </w:rPr>
        <w:t xml:space="preserve">Disponible en: </w:t>
      </w:r>
      <w:hyperlink r:id="rId3" w:history="1">
        <w:r w:rsidR="00606628" w:rsidRPr="0026347A">
          <w:rPr>
            <w:rStyle w:val="Hyperlink"/>
            <w:rFonts w:ascii="Cambria" w:hAnsi="Cambria"/>
            <w:sz w:val="16"/>
            <w:szCs w:val="16"/>
            <w:lang w:val="es-MX"/>
          </w:rPr>
          <w:t>http://www.oas.org/es/cidh/decisiones/2020/mxsa735-07es.pdf</w:t>
        </w:r>
      </w:hyperlink>
      <w:r w:rsidR="00606628">
        <w:rPr>
          <w:rFonts w:ascii="Cambria" w:hAnsi="Cambria"/>
          <w:sz w:val="16"/>
          <w:szCs w:val="16"/>
          <w:lang w:val="es-MX"/>
        </w:rPr>
        <w:t>.</w:t>
      </w:r>
    </w:p>
  </w:footnote>
  <w:footnote w:id="5">
    <w:p w14:paraId="742B8293" w14:textId="2CB7F362" w:rsidR="00606628" w:rsidRPr="00606628" w:rsidRDefault="00606628" w:rsidP="00606628">
      <w:pPr>
        <w:pStyle w:val="FootnoteText"/>
        <w:spacing w:after="0" w:line="240" w:lineRule="auto"/>
        <w:ind w:firstLine="709"/>
        <w:jc w:val="both"/>
        <w:rPr>
          <w:rFonts w:ascii="Cambria" w:hAnsi="Cambria"/>
          <w:sz w:val="16"/>
          <w:szCs w:val="16"/>
          <w:lang w:val="es-ES_tradnl"/>
        </w:rPr>
      </w:pPr>
      <w:r w:rsidRPr="00606628">
        <w:rPr>
          <w:rStyle w:val="FootnoteReference"/>
          <w:rFonts w:ascii="Cambria" w:hAnsi="Cambria"/>
          <w:sz w:val="16"/>
          <w:szCs w:val="16"/>
        </w:rPr>
        <w:footnoteRef/>
      </w:r>
      <w:r w:rsidRPr="0072147B">
        <w:rPr>
          <w:rFonts w:ascii="Cambria" w:hAnsi="Cambria"/>
          <w:sz w:val="16"/>
          <w:szCs w:val="16"/>
          <w:lang w:val="es-CO"/>
        </w:rPr>
        <w:t xml:space="preserve"> </w:t>
      </w:r>
      <w:r w:rsidRPr="00606628">
        <w:rPr>
          <w:rFonts w:ascii="Cambria" w:hAnsi="Cambria"/>
          <w:sz w:val="16"/>
          <w:szCs w:val="16"/>
          <w:lang w:val="es-ES_tradnl"/>
        </w:rPr>
        <w:t xml:space="preserve">Ver CIDH, Informe Anual 2024, Capítulo II, Sección C. Avances y retrocesos en materia de negociación e implementación de acuerdos de solución amistosa. Disponible en: </w:t>
      </w:r>
      <w:hyperlink r:id="rId4" w:history="1">
        <w:r w:rsidRPr="00606628">
          <w:rPr>
            <w:rStyle w:val="Hyperlink"/>
            <w:rFonts w:ascii="Cambria" w:hAnsi="Cambria"/>
            <w:sz w:val="16"/>
            <w:szCs w:val="16"/>
            <w:lang w:val="es-ES_tradnl"/>
          </w:rPr>
          <w:t>https://www.oas.org/es/cidh/docs/anual/2024/capitulos/IA2024_2_ES.pdf</w:t>
        </w:r>
      </w:hyperlink>
      <w:r w:rsidRPr="0072147B">
        <w:rPr>
          <w:rFonts w:ascii="Cambria" w:hAnsi="Cambria"/>
          <w:sz w:val="16"/>
          <w:szCs w:val="16"/>
          <w:lang w:val="es-CO"/>
        </w:rPr>
        <w:t>.</w:t>
      </w:r>
    </w:p>
  </w:footnote>
  <w:footnote w:id="6">
    <w:p w14:paraId="6B646DA0" w14:textId="77777777" w:rsidR="00606628" w:rsidRPr="00606628" w:rsidRDefault="00606628" w:rsidP="00606628">
      <w:pPr>
        <w:pStyle w:val="FootnoteText"/>
        <w:spacing w:after="0" w:line="240" w:lineRule="auto"/>
        <w:ind w:firstLine="709"/>
        <w:jc w:val="both"/>
        <w:rPr>
          <w:rFonts w:ascii="Cambria" w:hAnsi="Cambria"/>
          <w:sz w:val="16"/>
          <w:szCs w:val="16"/>
          <w:lang w:val="es-CO"/>
        </w:rPr>
      </w:pPr>
      <w:r w:rsidRPr="00606628">
        <w:rPr>
          <w:rStyle w:val="FootnoteReference"/>
          <w:rFonts w:ascii="Cambria" w:hAnsi="Cambria"/>
          <w:sz w:val="16"/>
          <w:szCs w:val="16"/>
        </w:rPr>
        <w:footnoteRef/>
      </w:r>
      <w:r w:rsidRPr="00606628">
        <w:rPr>
          <w:rFonts w:ascii="Cambria" w:hAnsi="Cambria"/>
          <w:sz w:val="16"/>
          <w:szCs w:val="16"/>
          <w:lang w:val="es-CO"/>
        </w:rPr>
        <w:t xml:space="preserve"> La Comisión observa que no obra en el expediente un anexo 2 del ASA suscrito el 14 de marzo de 2018. Por lo anterior, consultó informalmente al Estado y verificó que las partes, a lo largo del proceso de negociación, no elaboraron este documento, por lo que su alusión deviene abstracta. </w:t>
      </w:r>
    </w:p>
  </w:footnote>
  <w:footnote w:id="7">
    <w:p w14:paraId="673E6FB0" w14:textId="6373C5E7" w:rsidR="00606628" w:rsidRPr="00606628" w:rsidRDefault="00606628" w:rsidP="00606628">
      <w:pPr>
        <w:pStyle w:val="FootnoteText"/>
        <w:spacing w:after="0" w:line="240" w:lineRule="auto"/>
        <w:ind w:firstLine="709"/>
        <w:jc w:val="both"/>
        <w:rPr>
          <w:rFonts w:ascii="Cambria" w:hAnsi="Cambria"/>
          <w:sz w:val="16"/>
          <w:szCs w:val="16"/>
          <w:lang w:val="es-ES_tradnl"/>
        </w:rPr>
      </w:pPr>
      <w:r w:rsidRPr="00606628">
        <w:rPr>
          <w:rStyle w:val="FootnoteReference"/>
          <w:rFonts w:ascii="Cambria" w:hAnsi="Cambria"/>
          <w:sz w:val="16"/>
          <w:szCs w:val="16"/>
        </w:rPr>
        <w:footnoteRef/>
      </w:r>
      <w:r w:rsidRPr="0072147B">
        <w:rPr>
          <w:rFonts w:ascii="Cambria" w:hAnsi="Cambria"/>
          <w:sz w:val="16"/>
          <w:szCs w:val="16"/>
          <w:lang w:val="es-CO"/>
        </w:rPr>
        <w:t xml:space="preserve"> </w:t>
      </w:r>
      <w:r w:rsidRPr="00606628">
        <w:rPr>
          <w:rFonts w:ascii="Cambria" w:hAnsi="Cambria"/>
          <w:sz w:val="16"/>
          <w:szCs w:val="16"/>
          <w:lang w:val="es-ES_tradnl"/>
        </w:rPr>
        <w:t xml:space="preserve">Ver CIDH, Informe Anual 2024, Capítulo II, Sección C. Avances y retrocesos en materia de negociación e implementación de acuerdos de solución amistosa. Disponible en: </w:t>
      </w:r>
      <w:hyperlink r:id="rId5" w:history="1">
        <w:r w:rsidRPr="00606628">
          <w:rPr>
            <w:rStyle w:val="Hyperlink"/>
            <w:rFonts w:ascii="Cambria" w:hAnsi="Cambria"/>
            <w:sz w:val="16"/>
            <w:szCs w:val="16"/>
            <w:lang w:val="es-ES_tradnl"/>
          </w:rPr>
          <w:t>https://www.oas.org/es/cidh/docs/anual/2024/capitulos/IA2024_2_ES.pdf</w:t>
        </w:r>
      </w:hyperlink>
      <w:r w:rsidRPr="0072147B">
        <w:rPr>
          <w:rFonts w:ascii="Cambria" w:hAnsi="Cambria"/>
          <w:sz w:val="16"/>
          <w:szCs w:val="16"/>
          <w:lang w:val="es-CO"/>
        </w:rPr>
        <w:t>.</w:t>
      </w:r>
    </w:p>
  </w:footnote>
  <w:footnote w:id="8">
    <w:p w14:paraId="3C30A3B2" w14:textId="568AACBD" w:rsidR="00C91286" w:rsidRPr="00606628" w:rsidRDefault="00C91286" w:rsidP="00606628">
      <w:pPr>
        <w:pStyle w:val="FootnoteText"/>
        <w:spacing w:after="0" w:line="240" w:lineRule="auto"/>
        <w:ind w:firstLine="709"/>
        <w:jc w:val="both"/>
        <w:rPr>
          <w:rFonts w:ascii="Cambria" w:hAnsi="Cambria"/>
          <w:sz w:val="16"/>
          <w:szCs w:val="16"/>
          <w:lang w:val="es-AR"/>
        </w:rPr>
      </w:pPr>
      <w:r w:rsidRPr="00606628">
        <w:rPr>
          <w:rStyle w:val="FootnoteReference"/>
          <w:rFonts w:ascii="Cambria" w:hAnsi="Cambria"/>
          <w:sz w:val="16"/>
          <w:szCs w:val="16"/>
        </w:rPr>
        <w:footnoteRef/>
      </w:r>
      <w:r w:rsidRPr="00606628">
        <w:rPr>
          <w:rFonts w:ascii="Cambria" w:hAnsi="Cambria"/>
          <w:sz w:val="16"/>
          <w:szCs w:val="16"/>
          <w:lang w:val="es-AR"/>
        </w:rPr>
        <w:t xml:space="preserve"> Ver CIDH, Informe Anual 2023, Capítulo II, Sección C</w:t>
      </w:r>
      <w:r w:rsidR="00606628">
        <w:rPr>
          <w:rFonts w:ascii="Cambria" w:hAnsi="Cambria"/>
          <w:sz w:val="16"/>
          <w:szCs w:val="16"/>
          <w:lang w:val="es-AR"/>
        </w:rPr>
        <w:t>.</w:t>
      </w:r>
      <w:r w:rsidRPr="00606628">
        <w:rPr>
          <w:rFonts w:ascii="Cambria" w:hAnsi="Cambria"/>
          <w:sz w:val="16"/>
          <w:szCs w:val="16"/>
          <w:lang w:val="es-AR"/>
        </w:rPr>
        <w:t xml:space="preserve"> Avances y retrocesos en materia de negociación e implementación de acuerdos de solución amistosa.</w:t>
      </w:r>
      <w:r w:rsidR="00606628">
        <w:rPr>
          <w:rFonts w:ascii="Cambria" w:hAnsi="Cambria"/>
          <w:sz w:val="16"/>
          <w:szCs w:val="16"/>
          <w:lang w:val="es-AR"/>
        </w:rPr>
        <w:t xml:space="preserve"> Disponible en: </w:t>
      </w:r>
      <w:hyperlink r:id="rId6" w:history="1">
        <w:r w:rsidR="00606628" w:rsidRPr="0026347A">
          <w:rPr>
            <w:rStyle w:val="Hyperlink"/>
            <w:rFonts w:ascii="Cambria" w:hAnsi="Cambria"/>
            <w:sz w:val="16"/>
            <w:szCs w:val="16"/>
            <w:lang w:val="es-AR"/>
          </w:rPr>
          <w:t>https://www.oas.org/es/cidh/docs/anual/2023/capitulos/IA2023_Cap_2_SPA.PDF</w:t>
        </w:r>
      </w:hyperlink>
      <w:r w:rsidR="00606628">
        <w:rPr>
          <w:rFonts w:ascii="Cambria" w:hAnsi="Cambria"/>
          <w:sz w:val="16"/>
          <w:szCs w:val="16"/>
          <w:lang w:val="es-AR"/>
        </w:rPr>
        <w:t xml:space="preserve">. </w:t>
      </w:r>
    </w:p>
  </w:footnote>
  <w:footnote w:id="9">
    <w:p w14:paraId="3104C2F9" w14:textId="72CD5E2D" w:rsidR="00C91286" w:rsidRPr="00606628" w:rsidRDefault="00C91286" w:rsidP="00606628">
      <w:pPr>
        <w:pStyle w:val="NormalWeb"/>
        <w:spacing w:before="0" w:beforeAutospacing="0" w:after="0" w:afterAutospacing="0"/>
        <w:ind w:firstLine="709"/>
        <w:jc w:val="both"/>
        <w:rPr>
          <w:rFonts w:ascii="Cambria" w:hAnsi="Cambria"/>
          <w:color w:val="000000"/>
          <w:sz w:val="16"/>
          <w:szCs w:val="16"/>
          <w:lang w:val="es-AR"/>
        </w:rPr>
      </w:pPr>
      <w:r w:rsidRPr="00606628">
        <w:rPr>
          <w:rStyle w:val="FootnoteReference"/>
          <w:rFonts w:ascii="Cambria" w:hAnsi="Cambria"/>
          <w:sz w:val="16"/>
          <w:szCs w:val="16"/>
        </w:rPr>
        <w:footnoteRef/>
      </w:r>
      <w:r w:rsidRPr="00606628">
        <w:rPr>
          <w:rFonts w:ascii="Cambria" w:hAnsi="Cambria"/>
          <w:sz w:val="16"/>
          <w:szCs w:val="16"/>
          <w:lang w:val="es-CO"/>
        </w:rPr>
        <w:t xml:space="preserve"> </w:t>
      </w:r>
      <w:r w:rsidR="00606628">
        <w:rPr>
          <w:rFonts w:ascii="Cambria" w:hAnsi="Cambria"/>
          <w:sz w:val="16"/>
          <w:szCs w:val="16"/>
          <w:lang w:val="es-CO"/>
        </w:rPr>
        <w:t xml:space="preserve">Ver </w:t>
      </w:r>
      <w:r w:rsidRPr="00606628">
        <w:rPr>
          <w:rFonts w:ascii="Cambria" w:hAnsi="Cambria"/>
          <w:color w:val="000000"/>
          <w:sz w:val="16"/>
          <w:szCs w:val="16"/>
          <w:lang w:val="es-VE"/>
        </w:rPr>
        <w:t>C</w:t>
      </w:r>
      <w:r w:rsidRPr="00606628">
        <w:rPr>
          <w:rFonts w:ascii="Cambria" w:hAnsi="Cambria"/>
          <w:color w:val="000000"/>
          <w:sz w:val="16"/>
          <w:szCs w:val="16"/>
          <w:lang w:val="es-MX"/>
        </w:rPr>
        <w:t>IDH, Informe No. 110/2020, Petición 735-07 Solución Amistosa. Ismael Mondragón Molina. México. 9 de junio de 2020.</w:t>
      </w:r>
      <w:r w:rsidRPr="00606628">
        <w:rPr>
          <w:rFonts w:ascii="Cambria" w:hAnsi="Cambria"/>
          <w:color w:val="565656"/>
          <w:sz w:val="16"/>
          <w:szCs w:val="16"/>
          <w:lang w:val="es-MX"/>
        </w:rPr>
        <w:t xml:space="preserve"> </w:t>
      </w:r>
      <w:r w:rsidR="00606628" w:rsidRPr="00606628">
        <w:rPr>
          <w:rFonts w:ascii="Cambria" w:hAnsi="Cambria"/>
          <w:color w:val="000000" w:themeColor="text1"/>
          <w:sz w:val="16"/>
          <w:szCs w:val="16"/>
          <w:lang w:val="es-MX"/>
        </w:rPr>
        <w:t xml:space="preserve">Disponible en: </w:t>
      </w:r>
      <w:hyperlink r:id="rId7" w:history="1">
        <w:r w:rsidR="00606628" w:rsidRPr="0026347A">
          <w:rPr>
            <w:rStyle w:val="Hyperlink"/>
            <w:rFonts w:ascii="Cambria" w:hAnsi="Cambria"/>
            <w:sz w:val="16"/>
            <w:szCs w:val="16"/>
            <w:lang w:val="es-MX"/>
          </w:rPr>
          <w:t>http://www.oas.org/es/cidh/decisiones/2020/mxsa735-07es.pdf</w:t>
        </w:r>
      </w:hyperlink>
      <w:r w:rsidR="00606628">
        <w:rPr>
          <w:rFonts w:ascii="Cambria" w:hAnsi="Cambria"/>
          <w:sz w:val="16"/>
          <w:szCs w:val="16"/>
          <w:lang w:val="es-MX"/>
        </w:rPr>
        <w:t>.</w:t>
      </w:r>
    </w:p>
  </w:footnote>
  <w:footnote w:id="10">
    <w:p w14:paraId="1EB8A619" w14:textId="4B75273D" w:rsidR="00C91286" w:rsidRPr="00606628" w:rsidRDefault="00C91286" w:rsidP="00606628">
      <w:pPr>
        <w:pStyle w:val="NormalWeb"/>
        <w:spacing w:before="0" w:beforeAutospacing="0" w:after="0" w:afterAutospacing="0"/>
        <w:ind w:firstLine="709"/>
        <w:jc w:val="both"/>
        <w:rPr>
          <w:rFonts w:ascii="Cambria" w:hAnsi="Cambria"/>
          <w:color w:val="000000"/>
          <w:sz w:val="16"/>
          <w:szCs w:val="16"/>
          <w:lang w:val="es-AR"/>
        </w:rPr>
      </w:pPr>
      <w:r w:rsidRPr="00606628">
        <w:rPr>
          <w:rStyle w:val="FootnoteReference"/>
          <w:rFonts w:ascii="Cambria" w:hAnsi="Cambria"/>
          <w:sz w:val="16"/>
          <w:szCs w:val="16"/>
        </w:rPr>
        <w:footnoteRef/>
      </w:r>
      <w:r w:rsidRPr="00606628">
        <w:rPr>
          <w:rFonts w:ascii="Cambria" w:hAnsi="Cambria"/>
          <w:sz w:val="16"/>
          <w:szCs w:val="16"/>
          <w:lang w:val="es-VE"/>
        </w:rPr>
        <w:t xml:space="preserve"> </w:t>
      </w:r>
      <w:r w:rsidR="00606628">
        <w:rPr>
          <w:rFonts w:ascii="Cambria" w:hAnsi="Cambria"/>
          <w:sz w:val="16"/>
          <w:szCs w:val="16"/>
          <w:lang w:val="es-VE"/>
        </w:rPr>
        <w:t xml:space="preserve">Ver </w:t>
      </w:r>
      <w:r w:rsidRPr="00606628">
        <w:rPr>
          <w:rFonts w:ascii="Cambria" w:hAnsi="Cambria"/>
          <w:color w:val="000000"/>
          <w:sz w:val="16"/>
          <w:szCs w:val="16"/>
          <w:lang w:val="es-VE"/>
        </w:rPr>
        <w:t>C</w:t>
      </w:r>
      <w:r w:rsidRPr="00606628">
        <w:rPr>
          <w:rFonts w:ascii="Cambria" w:hAnsi="Cambria"/>
          <w:color w:val="000000"/>
          <w:sz w:val="16"/>
          <w:szCs w:val="16"/>
          <w:lang w:val="es-MX"/>
        </w:rPr>
        <w:t>IDH, Informe No. 110/2020, Petición 735-07 Solución Amistosa. Ismael Mondragón Molina. México. 9 de junio de 2020.</w:t>
      </w:r>
      <w:r w:rsidRPr="00606628">
        <w:rPr>
          <w:rFonts w:ascii="Cambria" w:hAnsi="Cambria"/>
          <w:color w:val="565656"/>
          <w:sz w:val="16"/>
          <w:szCs w:val="16"/>
          <w:lang w:val="es-MX"/>
        </w:rPr>
        <w:t xml:space="preserve"> </w:t>
      </w:r>
      <w:r w:rsidR="00606628" w:rsidRPr="00606628">
        <w:rPr>
          <w:rFonts w:ascii="Cambria" w:hAnsi="Cambria"/>
          <w:color w:val="000000" w:themeColor="text1"/>
          <w:sz w:val="16"/>
          <w:szCs w:val="16"/>
          <w:lang w:val="es-MX"/>
        </w:rPr>
        <w:t xml:space="preserve">Disponible en: </w:t>
      </w:r>
      <w:hyperlink r:id="rId8" w:history="1">
        <w:r w:rsidR="00606628" w:rsidRPr="0026347A">
          <w:rPr>
            <w:rStyle w:val="Hyperlink"/>
            <w:rFonts w:ascii="Cambria" w:hAnsi="Cambria"/>
            <w:sz w:val="16"/>
            <w:szCs w:val="16"/>
            <w:lang w:val="es-MX"/>
          </w:rPr>
          <w:t>http://www.oas.org/es/cidh/decisiones/2020/mxsa735-07es.pdf</w:t>
        </w:r>
      </w:hyperlink>
      <w:r w:rsidR="00606628">
        <w:rPr>
          <w:rFonts w:ascii="Cambria" w:hAnsi="Cambria"/>
          <w:sz w:val="16"/>
          <w:szCs w:val="16"/>
          <w:lang w:val="es-MX"/>
        </w:rPr>
        <w:t>.</w:t>
      </w:r>
    </w:p>
  </w:footnote>
  <w:footnote w:id="11">
    <w:p w14:paraId="2CC8C62E" w14:textId="210FDA6D" w:rsidR="00C91286" w:rsidRPr="00606628" w:rsidRDefault="00C91286" w:rsidP="00606628">
      <w:pPr>
        <w:pStyle w:val="NormalWeb"/>
        <w:spacing w:before="0" w:beforeAutospacing="0" w:after="0" w:afterAutospacing="0"/>
        <w:ind w:firstLine="709"/>
        <w:jc w:val="both"/>
        <w:rPr>
          <w:rFonts w:ascii="Cambria" w:hAnsi="Cambria"/>
          <w:color w:val="000000"/>
          <w:sz w:val="16"/>
          <w:szCs w:val="16"/>
          <w:lang w:val="es-AR"/>
        </w:rPr>
      </w:pPr>
      <w:r w:rsidRPr="00606628">
        <w:rPr>
          <w:rStyle w:val="FootnoteReference"/>
          <w:rFonts w:ascii="Cambria" w:hAnsi="Cambria"/>
          <w:sz w:val="16"/>
          <w:szCs w:val="16"/>
        </w:rPr>
        <w:footnoteRef/>
      </w:r>
      <w:r w:rsidRPr="00606628">
        <w:rPr>
          <w:rFonts w:ascii="Cambria" w:hAnsi="Cambria"/>
          <w:sz w:val="16"/>
          <w:szCs w:val="16"/>
          <w:lang w:val="es-VE"/>
        </w:rPr>
        <w:t xml:space="preserve"> </w:t>
      </w:r>
      <w:r w:rsidR="00606628">
        <w:rPr>
          <w:rFonts w:ascii="Cambria" w:hAnsi="Cambria"/>
          <w:sz w:val="16"/>
          <w:szCs w:val="16"/>
          <w:lang w:val="es-VE"/>
        </w:rPr>
        <w:t xml:space="preserve">Ver </w:t>
      </w:r>
      <w:r w:rsidRPr="00606628">
        <w:rPr>
          <w:rFonts w:ascii="Cambria" w:hAnsi="Cambria"/>
          <w:color w:val="000000"/>
          <w:sz w:val="16"/>
          <w:szCs w:val="16"/>
          <w:lang w:val="es-VE"/>
        </w:rPr>
        <w:t>C</w:t>
      </w:r>
      <w:r w:rsidRPr="00606628">
        <w:rPr>
          <w:rFonts w:ascii="Cambria" w:hAnsi="Cambria"/>
          <w:color w:val="000000"/>
          <w:sz w:val="16"/>
          <w:szCs w:val="16"/>
          <w:lang w:val="es-MX"/>
        </w:rPr>
        <w:t>IDH, Informe No. 110/2020, Petición 735-07 Solución Amistosa. Ismael Mondragón Molina. México. 9 de junio de 2020.</w:t>
      </w:r>
      <w:r w:rsidRPr="00606628">
        <w:rPr>
          <w:rFonts w:ascii="Cambria" w:hAnsi="Cambria"/>
          <w:color w:val="565656"/>
          <w:sz w:val="16"/>
          <w:szCs w:val="16"/>
          <w:lang w:val="es-MX"/>
        </w:rPr>
        <w:t xml:space="preserve"> </w:t>
      </w:r>
      <w:r w:rsidR="00606628" w:rsidRPr="00606628">
        <w:rPr>
          <w:rFonts w:ascii="Cambria" w:hAnsi="Cambria"/>
          <w:color w:val="000000" w:themeColor="text1"/>
          <w:sz w:val="16"/>
          <w:szCs w:val="16"/>
          <w:lang w:val="es-MX"/>
        </w:rPr>
        <w:t xml:space="preserve">Disponible en: </w:t>
      </w:r>
      <w:hyperlink r:id="rId9" w:history="1">
        <w:r w:rsidR="00606628" w:rsidRPr="0026347A">
          <w:rPr>
            <w:rStyle w:val="Hyperlink"/>
            <w:rFonts w:ascii="Cambria" w:hAnsi="Cambria"/>
            <w:sz w:val="16"/>
            <w:szCs w:val="16"/>
            <w:lang w:val="es-MX"/>
          </w:rPr>
          <w:t>http://www.oas.org/es/cidh/decisiones/2020/mxsa735-07es.pdf</w:t>
        </w:r>
      </w:hyperlink>
      <w:r w:rsidR="00606628">
        <w:rPr>
          <w:rFonts w:ascii="Cambria" w:hAnsi="Cambria"/>
          <w:sz w:val="16"/>
          <w:szCs w:val="16"/>
          <w:lang w:val="es-MX"/>
        </w:rPr>
        <w:t>.</w:t>
      </w:r>
    </w:p>
  </w:footnote>
  <w:footnote w:id="12">
    <w:p w14:paraId="2D6795EC" w14:textId="3A03DB81" w:rsidR="00C91286" w:rsidRPr="00606628" w:rsidRDefault="00C91286" w:rsidP="00606628">
      <w:pPr>
        <w:pStyle w:val="NormalWeb"/>
        <w:spacing w:before="0" w:beforeAutospacing="0" w:after="0" w:afterAutospacing="0"/>
        <w:ind w:firstLine="709"/>
        <w:jc w:val="both"/>
        <w:rPr>
          <w:rFonts w:ascii="Cambria" w:hAnsi="Cambria"/>
          <w:color w:val="000000"/>
          <w:sz w:val="16"/>
          <w:szCs w:val="16"/>
          <w:lang w:val="es-AR"/>
        </w:rPr>
      </w:pPr>
      <w:r w:rsidRPr="00606628">
        <w:rPr>
          <w:rStyle w:val="FootnoteReference"/>
          <w:rFonts w:ascii="Cambria" w:hAnsi="Cambria"/>
          <w:sz w:val="16"/>
          <w:szCs w:val="16"/>
        </w:rPr>
        <w:footnoteRef/>
      </w:r>
      <w:r w:rsidRPr="00606628">
        <w:rPr>
          <w:rFonts w:ascii="Cambria" w:hAnsi="Cambria"/>
          <w:sz w:val="16"/>
          <w:szCs w:val="16"/>
          <w:lang w:val="es-VE"/>
        </w:rPr>
        <w:t xml:space="preserve"> </w:t>
      </w:r>
      <w:r w:rsidR="00606628">
        <w:rPr>
          <w:rFonts w:ascii="Cambria" w:hAnsi="Cambria"/>
          <w:sz w:val="16"/>
          <w:szCs w:val="16"/>
          <w:lang w:val="es-VE"/>
        </w:rPr>
        <w:t xml:space="preserve">Ver </w:t>
      </w:r>
      <w:r w:rsidR="00606628" w:rsidRPr="00606628">
        <w:rPr>
          <w:rFonts w:ascii="Cambria" w:hAnsi="Cambria"/>
          <w:color w:val="000000"/>
          <w:sz w:val="16"/>
          <w:szCs w:val="16"/>
          <w:lang w:val="es-VE"/>
        </w:rPr>
        <w:t>C</w:t>
      </w:r>
      <w:r w:rsidR="00606628" w:rsidRPr="00606628">
        <w:rPr>
          <w:rFonts w:ascii="Cambria" w:hAnsi="Cambria"/>
          <w:color w:val="000000"/>
          <w:sz w:val="16"/>
          <w:szCs w:val="16"/>
          <w:lang w:val="es-MX"/>
        </w:rPr>
        <w:t>IDH, Informe No. 110/2020, Petición 735-07 Solución Amistosa. Ismael Mondragón Molina. México. 9 de junio de 2020.</w:t>
      </w:r>
      <w:r w:rsidR="00606628" w:rsidRPr="00606628">
        <w:rPr>
          <w:rFonts w:ascii="Cambria" w:hAnsi="Cambria"/>
          <w:color w:val="565656"/>
          <w:sz w:val="16"/>
          <w:szCs w:val="16"/>
          <w:lang w:val="es-MX"/>
        </w:rPr>
        <w:t xml:space="preserve"> </w:t>
      </w:r>
      <w:r w:rsidR="00606628" w:rsidRPr="00606628">
        <w:rPr>
          <w:rFonts w:ascii="Cambria" w:hAnsi="Cambria"/>
          <w:color w:val="000000" w:themeColor="text1"/>
          <w:sz w:val="16"/>
          <w:szCs w:val="16"/>
          <w:lang w:val="es-MX"/>
        </w:rPr>
        <w:t xml:space="preserve">Disponible en: </w:t>
      </w:r>
      <w:hyperlink r:id="rId10" w:history="1">
        <w:r w:rsidR="00606628" w:rsidRPr="0026347A">
          <w:rPr>
            <w:rStyle w:val="Hyperlink"/>
            <w:rFonts w:ascii="Cambria" w:hAnsi="Cambria"/>
            <w:sz w:val="16"/>
            <w:szCs w:val="16"/>
            <w:lang w:val="es-MX"/>
          </w:rPr>
          <w:t>http://www.oas.org/es/cidh/decisiones/2020/mxsa735-07es.pdf</w:t>
        </w:r>
      </w:hyperlink>
      <w:r w:rsidR="00606628">
        <w:rPr>
          <w:rFonts w:ascii="Cambria" w:hAnsi="Cambria"/>
          <w:sz w:val="16"/>
          <w:szCs w:val="16"/>
          <w:lang w:val="es-MX"/>
        </w:rPr>
        <w:t>.</w:t>
      </w:r>
    </w:p>
  </w:footnote>
  <w:footnote w:id="13">
    <w:p w14:paraId="79EF55F3" w14:textId="6B12483A" w:rsidR="00C91286" w:rsidRPr="00606628" w:rsidRDefault="00C91286" w:rsidP="00606628">
      <w:pPr>
        <w:pStyle w:val="FootnoteText"/>
        <w:spacing w:after="0" w:line="240" w:lineRule="auto"/>
        <w:ind w:firstLine="709"/>
        <w:jc w:val="both"/>
        <w:rPr>
          <w:rFonts w:ascii="Cambria" w:hAnsi="Cambria"/>
          <w:sz w:val="16"/>
          <w:szCs w:val="16"/>
          <w:lang w:val="es-CO"/>
        </w:rPr>
      </w:pPr>
      <w:r w:rsidRPr="00606628">
        <w:rPr>
          <w:rStyle w:val="FootnoteReference"/>
          <w:rFonts w:ascii="Cambria" w:hAnsi="Cambria"/>
          <w:sz w:val="16"/>
          <w:szCs w:val="16"/>
        </w:rPr>
        <w:footnoteRef/>
      </w:r>
      <w:r w:rsidRPr="00606628">
        <w:rPr>
          <w:rFonts w:ascii="Cambria" w:hAnsi="Cambria"/>
          <w:sz w:val="16"/>
          <w:szCs w:val="16"/>
          <w:lang w:val="es-CO"/>
        </w:rPr>
        <w:t xml:space="preserve"> </w:t>
      </w:r>
      <w:r w:rsidRPr="00606628">
        <w:rPr>
          <w:rStyle w:val="contentpasted0"/>
          <w:rFonts w:ascii="Cambria" w:hAnsi="Cambria"/>
          <w:color w:val="000000"/>
          <w:sz w:val="16"/>
          <w:szCs w:val="16"/>
          <w:lang w:val="es-ES"/>
        </w:rPr>
        <w:t xml:space="preserve">Ver CIDH, Informe Anual 2021, Capítulo II, Sección F. </w:t>
      </w:r>
      <w:r w:rsidR="00606628">
        <w:rPr>
          <w:rStyle w:val="contentpasted0"/>
          <w:rFonts w:ascii="Cambria" w:hAnsi="Cambria"/>
          <w:color w:val="000000"/>
          <w:sz w:val="16"/>
          <w:szCs w:val="16"/>
          <w:lang w:val="es-ES"/>
        </w:rPr>
        <w:t>Avances y retrocesos en materia de n</w:t>
      </w:r>
      <w:r w:rsidRPr="00606628">
        <w:rPr>
          <w:rStyle w:val="contentpasted0"/>
          <w:rFonts w:ascii="Cambria" w:hAnsi="Cambria"/>
          <w:color w:val="000000"/>
          <w:sz w:val="16"/>
          <w:szCs w:val="16"/>
          <w:lang w:val="es-ES"/>
        </w:rPr>
        <w:t xml:space="preserve">egociación e implementación de acuerdos de solución amistosa. </w:t>
      </w:r>
      <w:r w:rsidRPr="00606628">
        <w:rPr>
          <w:rStyle w:val="contentpasted0"/>
          <w:rFonts w:ascii="Cambria" w:hAnsi="Cambria"/>
          <w:color w:val="000000"/>
          <w:sz w:val="16"/>
          <w:szCs w:val="16"/>
          <w:lang w:val="es-CO"/>
        </w:rPr>
        <w:t>Disponible en: </w:t>
      </w:r>
      <w:hyperlink r:id="rId11" w:history="1">
        <w:r w:rsidRPr="00606628">
          <w:rPr>
            <w:rStyle w:val="Hyperlink"/>
            <w:rFonts w:ascii="Cambria" w:hAnsi="Cambria"/>
            <w:sz w:val="16"/>
            <w:szCs w:val="16"/>
            <w:lang w:val="es-CO"/>
          </w:rPr>
          <w:t>https://www.oas.org/es/cidh/docs/anual/2021/capitulos/IA2021cap2-es.pdf</w:t>
        </w:r>
      </w:hyperlink>
      <w:r w:rsidRPr="00606628">
        <w:rPr>
          <w:rStyle w:val="Hyperlink"/>
          <w:rFonts w:ascii="Cambria" w:hAnsi="Cambria"/>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A961C" w14:textId="77777777" w:rsidR="00106C59" w:rsidRDefault="00106C59">
    <w:pPr>
      <w:pStyle w:val="Header"/>
    </w:pPr>
  </w:p>
  <w:p w14:paraId="7A8D6957" w14:textId="77777777" w:rsidR="00FC0266" w:rsidRDefault="00FC02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A6343" w14:textId="51179071" w:rsidR="006F0429" w:rsidRDefault="00911130" w:rsidP="00234F67">
    <w:pPr>
      <w:pStyle w:val="Header"/>
      <w:jc w:val="center"/>
      <w:rPr>
        <w:lang w:val="es-ES_tradnl"/>
      </w:rPr>
    </w:pPr>
    <w:r>
      <w:rPr>
        <w:noProof/>
        <w:lang w:val="es-ES_tradnl"/>
      </w:rPr>
      <w:drawing>
        <wp:inline distT="0" distB="0" distL="0" distR="0" wp14:anchorId="4F57ACAC" wp14:editId="71881B59">
          <wp:extent cx="2286000" cy="12827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8270"/>
                  </a:xfrm>
                  <a:prstGeom prst="rect">
                    <a:avLst/>
                  </a:prstGeom>
                  <a:noFill/>
                  <a:ln>
                    <a:noFill/>
                  </a:ln>
                </pic:spPr>
              </pic:pic>
            </a:graphicData>
          </a:graphic>
        </wp:inline>
      </w:drawing>
    </w:r>
  </w:p>
  <w:p w14:paraId="190DAC23" w14:textId="32769CE3" w:rsidR="00E41592" w:rsidRPr="00234F67" w:rsidRDefault="008E15BE" w:rsidP="00234F67">
    <w:pPr>
      <w:pStyle w:val="Header"/>
      <w:jc w:val="center"/>
      <w:rPr>
        <w:lang w:val="es-ES_tradnl"/>
      </w:rPr>
    </w:pPr>
    <w:r>
      <w:rPr>
        <w:noProof/>
      </w:rPr>
      <w:pict w14:anchorId="3C916FB1">
        <v:rect id="_x0000_i1025" alt="" style="width:441.9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DC37" w14:textId="0FD5FDB0" w:rsidR="00234F67" w:rsidRDefault="00234F67" w:rsidP="00234F67">
    <w:pPr>
      <w:pStyle w:val="Header"/>
    </w:pPr>
    <w:r w:rsidRPr="008A5CB5">
      <w:rPr>
        <w:noProof/>
      </w:rPr>
      <w:drawing>
        <wp:inline distT="0" distB="0" distL="0" distR="0" wp14:anchorId="37DC95C8" wp14:editId="246AFE5D">
          <wp:extent cx="2352675" cy="452120"/>
          <wp:effectExtent l="0" t="0" r="0" b="0"/>
          <wp:docPr id="3" name="Picture 1" descr="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2120"/>
                  </a:xfrm>
                  <a:prstGeom prst="rect">
                    <a:avLst/>
                  </a:prstGeom>
                  <a:noFill/>
                  <a:ln>
                    <a:noFill/>
                  </a:ln>
                </pic:spPr>
              </pic:pic>
            </a:graphicData>
          </a:graphic>
        </wp:inline>
      </w:drawing>
    </w:r>
    <w:r>
      <w:tab/>
    </w:r>
    <w:r>
      <w:tab/>
    </w:r>
    <w:r>
      <w:rPr>
        <w:noProof/>
      </w:rPr>
      <w:drawing>
        <wp:inline distT="0" distB="0" distL="0" distR="0" wp14:anchorId="37ACEE0F" wp14:editId="003578BD">
          <wp:extent cx="1943100" cy="495300"/>
          <wp:effectExtent l="0" t="0" r="0" b="0"/>
          <wp:docPr id="55000548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780C5555" w14:textId="5C08CCEA" w:rsidR="00D13990" w:rsidRDefault="008E15BE" w:rsidP="00D13990">
    <w:pPr>
      <w:pStyle w:val="Header"/>
    </w:pPr>
    <w:r>
      <w:rPr>
        <w:noProof/>
      </w:rPr>
      <w:pict w14:anchorId="1E65A27C">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332C2"/>
    <w:multiLevelType w:val="hybridMultilevel"/>
    <w:tmpl w:val="D1368178"/>
    <w:lvl w:ilvl="0" w:tplc="319481B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470A71"/>
    <w:multiLevelType w:val="hybridMultilevel"/>
    <w:tmpl w:val="6760388E"/>
    <w:lvl w:ilvl="0" w:tplc="F57C282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1A141F"/>
    <w:multiLevelType w:val="hybridMultilevel"/>
    <w:tmpl w:val="BBF06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E254CB"/>
    <w:multiLevelType w:val="hybridMultilevel"/>
    <w:tmpl w:val="5F825A2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6" w15:restartNumberingAfterBreak="0">
    <w:nsid w:val="649570A6"/>
    <w:multiLevelType w:val="multilevel"/>
    <w:tmpl w:val="6EF4020A"/>
    <w:lvl w:ilvl="0">
      <w:start w:val="1"/>
      <w:numFmt w:val="decimal"/>
      <w:pStyle w:val="IASubttulo3"/>
      <w:lvlText w:val="%1."/>
      <w:lvlJc w:val="left"/>
      <w:pPr>
        <w:tabs>
          <w:tab w:val="num" w:pos="720"/>
        </w:tabs>
        <w:ind w:left="1440" w:hanging="72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CD87574"/>
    <w:multiLevelType w:val="hybridMultilevel"/>
    <w:tmpl w:val="63EE20F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326322">
    <w:abstractNumId w:val="1"/>
  </w:num>
  <w:num w:numId="2" w16cid:durableId="1741437431">
    <w:abstractNumId w:val="2"/>
  </w:num>
  <w:num w:numId="3" w16cid:durableId="2124180026">
    <w:abstractNumId w:val="4"/>
  </w:num>
  <w:num w:numId="4" w16cid:durableId="511534976">
    <w:abstractNumId w:val="6"/>
  </w:num>
  <w:num w:numId="5" w16cid:durableId="86342686">
    <w:abstractNumId w:val="3"/>
  </w:num>
  <w:num w:numId="6" w16cid:durableId="1843348883">
    <w:abstractNumId w:val="7"/>
  </w:num>
  <w:num w:numId="7" w16cid:durableId="1229993349">
    <w:abstractNumId w:val="0"/>
  </w:num>
  <w:num w:numId="8" w16cid:durableId="138741291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121F"/>
    <w:rsid w:val="00004375"/>
    <w:rsid w:val="0001720F"/>
    <w:rsid w:val="00031E01"/>
    <w:rsid w:val="00033393"/>
    <w:rsid w:val="00033B04"/>
    <w:rsid w:val="00035689"/>
    <w:rsid w:val="00037EE7"/>
    <w:rsid w:val="0005228B"/>
    <w:rsid w:val="0006625E"/>
    <w:rsid w:val="00070C5C"/>
    <w:rsid w:val="00074C00"/>
    <w:rsid w:val="00082741"/>
    <w:rsid w:val="00082B16"/>
    <w:rsid w:val="000840A1"/>
    <w:rsid w:val="000A1EFD"/>
    <w:rsid w:val="000D73E4"/>
    <w:rsid w:val="000F4520"/>
    <w:rsid w:val="00101A9F"/>
    <w:rsid w:val="0010578C"/>
    <w:rsid w:val="00106C59"/>
    <w:rsid w:val="00136D54"/>
    <w:rsid w:val="00151983"/>
    <w:rsid w:val="0015583C"/>
    <w:rsid w:val="00163E52"/>
    <w:rsid w:val="00183508"/>
    <w:rsid w:val="00193906"/>
    <w:rsid w:val="001C0A6D"/>
    <w:rsid w:val="001C230A"/>
    <w:rsid w:val="001F495A"/>
    <w:rsid w:val="0021669C"/>
    <w:rsid w:val="00217A39"/>
    <w:rsid w:val="00217F58"/>
    <w:rsid w:val="00234F67"/>
    <w:rsid w:val="00250058"/>
    <w:rsid w:val="0025651E"/>
    <w:rsid w:val="0026148D"/>
    <w:rsid w:val="002659F6"/>
    <w:rsid w:val="002A1ED6"/>
    <w:rsid w:val="002A39B2"/>
    <w:rsid w:val="002A7539"/>
    <w:rsid w:val="002B0B2A"/>
    <w:rsid w:val="002C446E"/>
    <w:rsid w:val="002C76AC"/>
    <w:rsid w:val="00300DA5"/>
    <w:rsid w:val="00301A2A"/>
    <w:rsid w:val="0030543F"/>
    <w:rsid w:val="0032092C"/>
    <w:rsid w:val="003358E6"/>
    <w:rsid w:val="00336E4E"/>
    <w:rsid w:val="003412B2"/>
    <w:rsid w:val="00360412"/>
    <w:rsid w:val="00363E14"/>
    <w:rsid w:val="00393310"/>
    <w:rsid w:val="003A00B1"/>
    <w:rsid w:val="003D4630"/>
    <w:rsid w:val="003E3690"/>
    <w:rsid w:val="003E4B42"/>
    <w:rsid w:val="003F417D"/>
    <w:rsid w:val="003F437F"/>
    <w:rsid w:val="0040037B"/>
    <w:rsid w:val="00403841"/>
    <w:rsid w:val="0041423F"/>
    <w:rsid w:val="00414346"/>
    <w:rsid w:val="00425CA8"/>
    <w:rsid w:val="00450646"/>
    <w:rsid w:val="004633EB"/>
    <w:rsid w:val="0047175E"/>
    <w:rsid w:val="00483B3C"/>
    <w:rsid w:val="00483CF7"/>
    <w:rsid w:val="00486911"/>
    <w:rsid w:val="004A15BA"/>
    <w:rsid w:val="004A29BC"/>
    <w:rsid w:val="004A4561"/>
    <w:rsid w:val="004A4FAC"/>
    <w:rsid w:val="004A7D63"/>
    <w:rsid w:val="004C4D9C"/>
    <w:rsid w:val="004D7999"/>
    <w:rsid w:val="004F3B49"/>
    <w:rsid w:val="00513A38"/>
    <w:rsid w:val="00525898"/>
    <w:rsid w:val="00537F2F"/>
    <w:rsid w:val="005664CA"/>
    <w:rsid w:val="0058688A"/>
    <w:rsid w:val="00590BCD"/>
    <w:rsid w:val="0059345C"/>
    <w:rsid w:val="005B23B6"/>
    <w:rsid w:val="005C4307"/>
    <w:rsid w:val="005C5563"/>
    <w:rsid w:val="005D1113"/>
    <w:rsid w:val="005D1DC2"/>
    <w:rsid w:val="005E11CE"/>
    <w:rsid w:val="005E6CF2"/>
    <w:rsid w:val="005F4AAA"/>
    <w:rsid w:val="00604132"/>
    <w:rsid w:val="00604F1C"/>
    <w:rsid w:val="00606628"/>
    <w:rsid w:val="0061516F"/>
    <w:rsid w:val="00627C9D"/>
    <w:rsid w:val="00650D57"/>
    <w:rsid w:val="006518D8"/>
    <w:rsid w:val="006753A9"/>
    <w:rsid w:val="006929AA"/>
    <w:rsid w:val="0069586A"/>
    <w:rsid w:val="006964C0"/>
    <w:rsid w:val="006A592E"/>
    <w:rsid w:val="006A6CAF"/>
    <w:rsid w:val="006B3D07"/>
    <w:rsid w:val="006D2360"/>
    <w:rsid w:val="006E0736"/>
    <w:rsid w:val="006E23B9"/>
    <w:rsid w:val="006F0429"/>
    <w:rsid w:val="006F2CC5"/>
    <w:rsid w:val="0070714C"/>
    <w:rsid w:val="0072147B"/>
    <w:rsid w:val="0073374A"/>
    <w:rsid w:val="00741FC9"/>
    <w:rsid w:val="00745807"/>
    <w:rsid w:val="007546B7"/>
    <w:rsid w:val="00774584"/>
    <w:rsid w:val="007779B2"/>
    <w:rsid w:val="0078116D"/>
    <w:rsid w:val="00783682"/>
    <w:rsid w:val="0078691F"/>
    <w:rsid w:val="007A6889"/>
    <w:rsid w:val="007B23CA"/>
    <w:rsid w:val="007B6F7C"/>
    <w:rsid w:val="007C2CC3"/>
    <w:rsid w:val="007C351D"/>
    <w:rsid w:val="007D543E"/>
    <w:rsid w:val="007E0A0A"/>
    <w:rsid w:val="007E3059"/>
    <w:rsid w:val="007E346D"/>
    <w:rsid w:val="007E4ED5"/>
    <w:rsid w:val="007E7421"/>
    <w:rsid w:val="007F5A92"/>
    <w:rsid w:val="007F5F4E"/>
    <w:rsid w:val="007F7616"/>
    <w:rsid w:val="0080116E"/>
    <w:rsid w:val="008012A4"/>
    <w:rsid w:val="008060DE"/>
    <w:rsid w:val="00807BAA"/>
    <w:rsid w:val="008134EF"/>
    <w:rsid w:val="00823877"/>
    <w:rsid w:val="008437F1"/>
    <w:rsid w:val="00853897"/>
    <w:rsid w:val="00854C6B"/>
    <w:rsid w:val="008550EF"/>
    <w:rsid w:val="00863192"/>
    <w:rsid w:val="008776EB"/>
    <w:rsid w:val="0089637D"/>
    <w:rsid w:val="008A3BA4"/>
    <w:rsid w:val="008D3166"/>
    <w:rsid w:val="008D4280"/>
    <w:rsid w:val="008E15BE"/>
    <w:rsid w:val="008E1A23"/>
    <w:rsid w:val="008E72CA"/>
    <w:rsid w:val="00911130"/>
    <w:rsid w:val="00913BF3"/>
    <w:rsid w:val="00917950"/>
    <w:rsid w:val="00931D14"/>
    <w:rsid w:val="009331A5"/>
    <w:rsid w:val="00933A89"/>
    <w:rsid w:val="00936FD6"/>
    <w:rsid w:val="00944F57"/>
    <w:rsid w:val="009477D5"/>
    <w:rsid w:val="009603DF"/>
    <w:rsid w:val="00977EF7"/>
    <w:rsid w:val="00996A1D"/>
    <w:rsid w:val="009A542A"/>
    <w:rsid w:val="009B480D"/>
    <w:rsid w:val="009C4D87"/>
    <w:rsid w:val="009D20DE"/>
    <w:rsid w:val="009D3412"/>
    <w:rsid w:val="009D3B59"/>
    <w:rsid w:val="009D4C34"/>
    <w:rsid w:val="009D50E2"/>
    <w:rsid w:val="009F0FEB"/>
    <w:rsid w:val="009F1C70"/>
    <w:rsid w:val="009F4D7F"/>
    <w:rsid w:val="009F5033"/>
    <w:rsid w:val="00A01DB8"/>
    <w:rsid w:val="00A04865"/>
    <w:rsid w:val="00A04F19"/>
    <w:rsid w:val="00A13D4B"/>
    <w:rsid w:val="00A25CA7"/>
    <w:rsid w:val="00A343FF"/>
    <w:rsid w:val="00A412C2"/>
    <w:rsid w:val="00A47FF7"/>
    <w:rsid w:val="00A558AC"/>
    <w:rsid w:val="00A72869"/>
    <w:rsid w:val="00A77EA6"/>
    <w:rsid w:val="00A84954"/>
    <w:rsid w:val="00A92CB9"/>
    <w:rsid w:val="00A942E0"/>
    <w:rsid w:val="00AC2BAD"/>
    <w:rsid w:val="00AC7559"/>
    <w:rsid w:val="00AD5A1F"/>
    <w:rsid w:val="00AE1B0F"/>
    <w:rsid w:val="00AE6BE2"/>
    <w:rsid w:val="00AF0CEC"/>
    <w:rsid w:val="00B036BC"/>
    <w:rsid w:val="00B056D9"/>
    <w:rsid w:val="00B2161A"/>
    <w:rsid w:val="00B22024"/>
    <w:rsid w:val="00B37978"/>
    <w:rsid w:val="00B46E94"/>
    <w:rsid w:val="00B5680B"/>
    <w:rsid w:val="00B65B1E"/>
    <w:rsid w:val="00B703B3"/>
    <w:rsid w:val="00B75824"/>
    <w:rsid w:val="00B806AC"/>
    <w:rsid w:val="00B90B9D"/>
    <w:rsid w:val="00B91D8E"/>
    <w:rsid w:val="00B93993"/>
    <w:rsid w:val="00BA4AC9"/>
    <w:rsid w:val="00BE2369"/>
    <w:rsid w:val="00BF33B2"/>
    <w:rsid w:val="00C04C07"/>
    <w:rsid w:val="00C12516"/>
    <w:rsid w:val="00C1382E"/>
    <w:rsid w:val="00C345B0"/>
    <w:rsid w:val="00C40F2C"/>
    <w:rsid w:val="00C4320C"/>
    <w:rsid w:val="00C5546C"/>
    <w:rsid w:val="00C5795A"/>
    <w:rsid w:val="00C6263A"/>
    <w:rsid w:val="00C70DD0"/>
    <w:rsid w:val="00C74AF5"/>
    <w:rsid w:val="00C87BE6"/>
    <w:rsid w:val="00C91286"/>
    <w:rsid w:val="00CA2777"/>
    <w:rsid w:val="00CA3AA8"/>
    <w:rsid w:val="00CB65EF"/>
    <w:rsid w:val="00CC4274"/>
    <w:rsid w:val="00CC722B"/>
    <w:rsid w:val="00CE08DC"/>
    <w:rsid w:val="00CE4E6F"/>
    <w:rsid w:val="00D05BCC"/>
    <w:rsid w:val="00D13990"/>
    <w:rsid w:val="00D222B7"/>
    <w:rsid w:val="00D36A3D"/>
    <w:rsid w:val="00D5166A"/>
    <w:rsid w:val="00D60CAC"/>
    <w:rsid w:val="00D65C8F"/>
    <w:rsid w:val="00D73768"/>
    <w:rsid w:val="00D82E91"/>
    <w:rsid w:val="00DA4CEB"/>
    <w:rsid w:val="00DD4F27"/>
    <w:rsid w:val="00DD5F5A"/>
    <w:rsid w:val="00DD7443"/>
    <w:rsid w:val="00DE5210"/>
    <w:rsid w:val="00DF0FE5"/>
    <w:rsid w:val="00E04605"/>
    <w:rsid w:val="00E06D52"/>
    <w:rsid w:val="00E2035C"/>
    <w:rsid w:val="00E24DFC"/>
    <w:rsid w:val="00E26E89"/>
    <w:rsid w:val="00E274AA"/>
    <w:rsid w:val="00E3040C"/>
    <w:rsid w:val="00E30888"/>
    <w:rsid w:val="00E41592"/>
    <w:rsid w:val="00E43B1F"/>
    <w:rsid w:val="00E5030A"/>
    <w:rsid w:val="00E52331"/>
    <w:rsid w:val="00E62255"/>
    <w:rsid w:val="00E77756"/>
    <w:rsid w:val="00E82EF8"/>
    <w:rsid w:val="00EB3ACF"/>
    <w:rsid w:val="00EC03C5"/>
    <w:rsid w:val="00EC64BF"/>
    <w:rsid w:val="00ED4C58"/>
    <w:rsid w:val="00ED518E"/>
    <w:rsid w:val="00EF1BD7"/>
    <w:rsid w:val="00F0294F"/>
    <w:rsid w:val="00F06E69"/>
    <w:rsid w:val="00F07B09"/>
    <w:rsid w:val="00F16469"/>
    <w:rsid w:val="00F254C9"/>
    <w:rsid w:val="00F267EC"/>
    <w:rsid w:val="00F306C1"/>
    <w:rsid w:val="00F3661B"/>
    <w:rsid w:val="00F47E8A"/>
    <w:rsid w:val="00F52F31"/>
    <w:rsid w:val="00F54F60"/>
    <w:rsid w:val="00F66FEE"/>
    <w:rsid w:val="00F72E41"/>
    <w:rsid w:val="00F80DF4"/>
    <w:rsid w:val="00F97DAB"/>
    <w:rsid w:val="00FB48F2"/>
    <w:rsid w:val="00FC0266"/>
    <w:rsid w:val="00FC66C2"/>
    <w:rsid w:val="00FD09E6"/>
    <w:rsid w:val="00FD7ED8"/>
    <w:rsid w:val="00FF46A4"/>
    <w:rsid w:val="00FF53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F1D97"/>
  <w15:chartTrackingRefBased/>
  <w15:docId w15:val="{F7221561-102B-004D-829C-7EDAF8C5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val="en-US"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E06D52"/>
    <w:rPr>
      <w:vertAlign w:val="superscript"/>
    </w:rPr>
  </w:style>
  <w:style w:type="paragraph" w:customStyle="1" w:styleId="Appelnotedebasde">
    <w:name w:val="Appel note de bas de..."/>
    <w:basedOn w:val="Normal"/>
    <w:link w:val="FootnoteReference"/>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basedOn w:val="Normal"/>
    <w:link w:val="FootnoteTextChar"/>
    <w:uiPriority w:val="99"/>
    <w:semiHidden/>
    <w:unhideWhenUsed/>
    <w:rsid w:val="007B23CA"/>
    <w:rPr>
      <w:sz w:val="20"/>
      <w:szCs w:val="20"/>
    </w:rPr>
  </w:style>
  <w:style w:type="character" w:customStyle="1" w:styleId="FootnoteTextChar">
    <w:name w:val="Footnote Text Char"/>
    <w:link w:val="FootnoteText"/>
    <w:uiPriority w:val="99"/>
    <w:semiHidden/>
    <w:rsid w:val="007B23CA"/>
    <w:rPr>
      <w:lang w:val="en-US" w:eastAsia="en-US"/>
    </w:rPr>
  </w:style>
  <w:style w:type="character" w:styleId="Hyperlink">
    <w:name w:val="Hyperlink"/>
    <w:uiPriority w:val="99"/>
    <w:unhideWhenUsed/>
    <w:rsid w:val="0073374A"/>
    <w:rPr>
      <w:color w:val="467886"/>
      <w:u w:val="single"/>
    </w:rPr>
  </w:style>
  <w:style w:type="character" w:styleId="UnresolvedMention">
    <w:name w:val="Unresolved Mention"/>
    <w:uiPriority w:val="99"/>
    <w:semiHidden/>
    <w:unhideWhenUsed/>
    <w:rsid w:val="0073374A"/>
    <w:rPr>
      <w:color w:val="605E5C"/>
      <w:shd w:val="clear" w:color="auto" w:fill="E1DFDD"/>
    </w:rPr>
  </w:style>
  <w:style w:type="paragraph" w:styleId="ListParagraph">
    <w:name w:val="List Paragraph"/>
    <w:aliases w:val="Párrafo de lista1,List Paragraph1,Colorful List - Accent 11,List Paragraph11,Lista vistosa - Énfasis 11,Parragrap,Superíndice,Dot pt,No Spacing1,List Paragraph Char Char Char,Indicator Text,Numbered Para 1,4 Párrafo de lista,Figuras"/>
    <w:basedOn w:val="Normal"/>
    <w:link w:val="ListParagraphChar"/>
    <w:uiPriority w:val="34"/>
    <w:qFormat/>
    <w:rsid w:val="00E43B1F"/>
    <w:pPr>
      <w:ind w:left="720"/>
      <w:contextualSpacing/>
    </w:pPr>
  </w:style>
  <w:style w:type="character" w:styleId="FollowedHyperlink">
    <w:name w:val="FollowedHyperlink"/>
    <w:basedOn w:val="DefaultParagraphFont"/>
    <w:uiPriority w:val="99"/>
    <w:semiHidden/>
    <w:unhideWhenUsed/>
    <w:rsid w:val="009F4D7F"/>
    <w:rPr>
      <w:color w:val="96607D" w:themeColor="followedHyperlink"/>
      <w:u w:val="single"/>
    </w:rPr>
  </w:style>
  <w:style w:type="character" w:customStyle="1" w:styleId="ListParagraphChar">
    <w:name w:val="List Paragraph Char"/>
    <w:aliases w:val="Párrafo de lista1 Char,List Paragraph1 Char,Colorful List - Accent 11 Char,List Paragraph11 Char,Lista vistosa - Énfasis 11 Char,Parragrap Char,Superíndice Char,Dot pt Char,No Spacing1 Char,List Paragraph Char Char Char Char"/>
    <w:link w:val="ListParagraph"/>
    <w:uiPriority w:val="34"/>
    <w:locked/>
    <w:rsid w:val="00627C9D"/>
    <w:rPr>
      <w:sz w:val="22"/>
      <w:szCs w:val="22"/>
      <w:lang w:val="en-US" w:eastAsia="en-US"/>
    </w:rPr>
  </w:style>
  <w:style w:type="paragraph" w:customStyle="1" w:styleId="IATtulo">
    <w:name w:val="IA   Título"/>
    <w:basedOn w:val="List"/>
    <w:link w:val="IATtuloChar"/>
    <w:qFormat/>
    <w:rsid w:val="00F3661B"/>
    <w:pPr>
      <w:suppressAutoHyphens/>
      <w:spacing w:after="240" w:line="240" w:lineRule="auto"/>
      <w:ind w:left="0" w:firstLine="0"/>
      <w:contextualSpacing w:val="0"/>
    </w:pPr>
    <w:rPr>
      <w:rFonts w:ascii="Cambria" w:hAnsi="Cambria"/>
      <w:b/>
      <w:caps/>
      <w:color w:val="000000"/>
    </w:rPr>
  </w:style>
  <w:style w:type="paragraph" w:customStyle="1" w:styleId="IASubttulo3">
    <w:name w:val="IA  Subtítulo 3"/>
    <w:basedOn w:val="List"/>
    <w:qFormat/>
    <w:rsid w:val="00F3661B"/>
    <w:pPr>
      <w:numPr>
        <w:numId w:val="4"/>
      </w:numPr>
      <w:tabs>
        <w:tab w:val="clear" w:pos="720"/>
        <w:tab w:val="num" w:pos="360"/>
      </w:tabs>
      <w:suppressAutoHyphens/>
      <w:spacing w:after="240" w:line="240" w:lineRule="auto"/>
      <w:ind w:left="283" w:hanging="283"/>
      <w:contextualSpacing w:val="0"/>
    </w:pPr>
    <w:rPr>
      <w:rFonts w:ascii="Cambria" w:hAnsi="Cambria"/>
      <w:b/>
      <w:color w:val="000000"/>
      <w:sz w:val="20"/>
    </w:rPr>
  </w:style>
  <w:style w:type="paragraph" w:styleId="List">
    <w:name w:val="List"/>
    <w:basedOn w:val="Normal"/>
    <w:uiPriority w:val="99"/>
    <w:semiHidden/>
    <w:unhideWhenUsed/>
    <w:rsid w:val="00F3661B"/>
    <w:pPr>
      <w:ind w:left="283" w:hanging="283"/>
      <w:contextualSpacing/>
    </w:pPr>
  </w:style>
  <w:style w:type="character" w:customStyle="1" w:styleId="IATtuloChar">
    <w:name w:val="IA   Título Char"/>
    <w:basedOn w:val="DefaultParagraphFont"/>
    <w:link w:val="IATtulo"/>
    <w:rsid w:val="00300DA5"/>
    <w:rPr>
      <w:rFonts w:ascii="Cambria" w:hAnsi="Cambria"/>
      <w:b/>
      <w:caps/>
      <w:color w:val="000000"/>
      <w:sz w:val="22"/>
      <w:szCs w:val="22"/>
      <w:lang w:val="en-US" w:eastAsia="en-US"/>
    </w:rPr>
  </w:style>
  <w:style w:type="character" w:styleId="CommentReference">
    <w:name w:val="annotation reference"/>
    <w:basedOn w:val="DefaultParagraphFont"/>
    <w:uiPriority w:val="99"/>
    <w:semiHidden/>
    <w:unhideWhenUsed/>
    <w:rsid w:val="003F417D"/>
    <w:rPr>
      <w:sz w:val="16"/>
      <w:szCs w:val="16"/>
    </w:rPr>
  </w:style>
  <w:style w:type="paragraph" w:styleId="CommentText">
    <w:name w:val="annotation text"/>
    <w:basedOn w:val="Normal"/>
    <w:link w:val="CommentTextChar"/>
    <w:uiPriority w:val="99"/>
    <w:semiHidden/>
    <w:unhideWhenUsed/>
    <w:rsid w:val="003F417D"/>
    <w:pPr>
      <w:spacing w:line="240" w:lineRule="auto"/>
    </w:pPr>
    <w:rPr>
      <w:sz w:val="20"/>
      <w:szCs w:val="20"/>
    </w:rPr>
  </w:style>
  <w:style w:type="character" w:customStyle="1" w:styleId="CommentTextChar">
    <w:name w:val="Comment Text Char"/>
    <w:basedOn w:val="DefaultParagraphFont"/>
    <w:link w:val="CommentText"/>
    <w:uiPriority w:val="99"/>
    <w:semiHidden/>
    <w:rsid w:val="003F417D"/>
    <w:rPr>
      <w:lang w:val="en-US" w:eastAsia="en-US"/>
    </w:rPr>
  </w:style>
  <w:style w:type="paragraph" w:styleId="CommentSubject">
    <w:name w:val="annotation subject"/>
    <w:basedOn w:val="CommentText"/>
    <w:next w:val="CommentText"/>
    <w:link w:val="CommentSubjectChar"/>
    <w:uiPriority w:val="99"/>
    <w:semiHidden/>
    <w:unhideWhenUsed/>
    <w:rsid w:val="003F417D"/>
    <w:rPr>
      <w:b/>
      <w:bCs/>
    </w:rPr>
  </w:style>
  <w:style w:type="character" w:customStyle="1" w:styleId="CommentSubjectChar">
    <w:name w:val="Comment Subject Char"/>
    <w:basedOn w:val="CommentTextChar"/>
    <w:link w:val="CommentSubject"/>
    <w:uiPriority w:val="99"/>
    <w:semiHidden/>
    <w:rsid w:val="003F417D"/>
    <w:rPr>
      <w:b/>
      <w:bCs/>
      <w:lang w:val="en-US" w:eastAsia="en-US"/>
    </w:rPr>
  </w:style>
  <w:style w:type="character" w:customStyle="1" w:styleId="normaltextrun">
    <w:name w:val="normaltextrun"/>
    <w:basedOn w:val="DefaultParagraphFont"/>
    <w:rsid w:val="00C6263A"/>
  </w:style>
  <w:style w:type="character" w:customStyle="1" w:styleId="ui-provider">
    <w:name w:val="ui-provider"/>
    <w:basedOn w:val="DefaultParagraphFont"/>
    <w:rsid w:val="008134EF"/>
  </w:style>
  <w:style w:type="character" w:customStyle="1" w:styleId="contentpasted0">
    <w:name w:val="contentpasted0"/>
    <w:basedOn w:val="DefaultParagraphFont"/>
    <w:rsid w:val="00C91286"/>
  </w:style>
  <w:style w:type="paragraph" w:customStyle="1" w:styleId="Corpo">
    <w:name w:val="Corpo"/>
    <w:rsid w:val="00C91286"/>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as.org/es/cidh/decisiones/2020/mxsa735-07e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oas.org/es/cidh/decisiones/2020/mxsa735-07e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decisiones/2020/mxsa735-07es.pdf" TargetMode="External"/><Relationship Id="rId3" Type="http://schemas.openxmlformats.org/officeDocument/2006/relationships/hyperlink" Target="http://www.oas.org/es/cidh/decisiones/2020/mxsa735-07es.pdf" TargetMode="External"/><Relationship Id="rId7" Type="http://schemas.openxmlformats.org/officeDocument/2006/relationships/hyperlink" Target="http://www.oas.org/es/cidh/decisiones/2020/mxsa735-07es.pdf" TargetMode="External"/><Relationship Id="rId2" Type="http://schemas.openxmlformats.org/officeDocument/2006/relationships/hyperlink" Target="http://www.oas.org/es/cidh/decisiones/2020/mxsa735-07es.pdf" TargetMode="External"/><Relationship Id="rId1" Type="http://schemas.openxmlformats.org/officeDocument/2006/relationships/hyperlink" Target="https://www.oas.org/es/cidh/docs/anual/2021/capitulos/IA2021cap2-es.pdf" TargetMode="External"/><Relationship Id="rId6" Type="http://schemas.openxmlformats.org/officeDocument/2006/relationships/hyperlink" Target="https://www.oas.org/es/cidh/docs/anual/2023/capitulos/IA2023_Cap_2_SPA.PDF" TargetMode="External"/><Relationship Id="rId11" Type="http://schemas.openxmlformats.org/officeDocument/2006/relationships/hyperlink" Target="https://www.oas.org/es/cidh/docs/anual/2021/capitulos/IA2021cap2-es.pdf" TargetMode="External"/><Relationship Id="rId5" Type="http://schemas.openxmlformats.org/officeDocument/2006/relationships/hyperlink" Target="https://www.oas.org/es/cidh/docs/anual/2024/capitulos/IA2024_2_ES.pdf" TargetMode="External"/><Relationship Id="rId10" Type="http://schemas.openxmlformats.org/officeDocument/2006/relationships/hyperlink" Target="http://www.oas.org/es/cidh/decisiones/2020/mxsa735-07es.pdf" TargetMode="External"/><Relationship Id="rId4" Type="http://schemas.openxmlformats.org/officeDocument/2006/relationships/hyperlink" Target="https://www.oas.org/es/cidh/docs/anual/2024/capitulos/IA2024_2_ES.pdf" TargetMode="External"/><Relationship Id="rId9" Type="http://schemas.openxmlformats.org/officeDocument/2006/relationships/hyperlink" Target="http://www.oas.org/es/cidh/decisiones/2020/mxsa735-07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2.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3.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4.xml><?xml version="1.0" encoding="utf-8"?>
<ds:datastoreItem xmlns:ds="http://schemas.openxmlformats.org/officeDocument/2006/customXml" ds:itemID="{C121D66F-5585-4282-BB05-F2F15F42063C}">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5.xml><?xml version="1.0" encoding="utf-8"?>
<ds:datastoreItem xmlns:ds="http://schemas.openxmlformats.org/officeDocument/2006/customXml" ds:itemID="{5CE80B41-BC95-451C-A7D2-93CCCD815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6</Pages>
  <Words>1792</Words>
  <Characters>10219</Characters>
  <Application>Microsoft Office Word</Application>
  <DocSecurity>0</DocSecurity>
  <Lines>85</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11988</CharactersWithSpaces>
  <SharedDoc>false</SharedDoc>
  <HLinks>
    <vt:vector size="72" baseType="variant">
      <vt:variant>
        <vt:i4>6357096</vt:i4>
      </vt:variant>
      <vt:variant>
        <vt:i4>6</vt:i4>
      </vt:variant>
      <vt:variant>
        <vt:i4>0</vt:i4>
      </vt:variant>
      <vt:variant>
        <vt:i4>5</vt:i4>
      </vt:variant>
      <vt:variant>
        <vt:lpwstr>http://www.oas.org/es/cidh/decisiones/2013/VESA12473ES.doc</vt:lpwstr>
      </vt:variant>
      <vt:variant>
        <vt:lpwstr/>
      </vt:variant>
      <vt:variant>
        <vt:i4>5505025</vt:i4>
      </vt:variant>
      <vt:variant>
        <vt:i4>3</vt:i4>
      </vt:variant>
      <vt:variant>
        <vt:i4>0</vt:i4>
      </vt:variant>
      <vt:variant>
        <vt:i4>5</vt:i4>
      </vt:variant>
      <vt:variant>
        <vt:lpwstr>http://www.cidh.oas.org/annualrep/2004sp/Venezuela.667.01.htm</vt:lpwstr>
      </vt:variant>
      <vt:variant>
        <vt:lpwstr/>
      </vt:variant>
      <vt:variant>
        <vt:i4>6684780</vt:i4>
      </vt:variant>
      <vt:variant>
        <vt:i4>0</vt:i4>
      </vt:variant>
      <vt:variant>
        <vt:i4>0</vt:i4>
      </vt:variant>
      <vt:variant>
        <vt:i4>5</vt:i4>
      </vt:variant>
      <vt:variant>
        <vt:lpwstr>http://www.oas.org/es/cidh/decisiones/2012/VESA11706ES.doc</vt:lpwstr>
      </vt:variant>
      <vt:variant>
        <vt:lpwstr/>
      </vt:variant>
      <vt:variant>
        <vt:i4>983041</vt:i4>
      </vt:variant>
      <vt:variant>
        <vt:i4>24</vt:i4>
      </vt:variant>
      <vt:variant>
        <vt:i4>0</vt:i4>
      </vt:variant>
      <vt:variant>
        <vt:i4>5</vt:i4>
      </vt:variant>
      <vt:variant>
        <vt:lpwstr>https://www.oas.org/es/cidh/docs/anual/2024/capitulos/IA2024_2_ES.pdf</vt:lpwstr>
      </vt:variant>
      <vt:variant>
        <vt:lpwstr/>
      </vt:variant>
      <vt:variant>
        <vt:i4>3276841</vt:i4>
      </vt:variant>
      <vt:variant>
        <vt:i4>21</vt:i4>
      </vt:variant>
      <vt:variant>
        <vt:i4>0</vt:i4>
      </vt:variant>
      <vt:variant>
        <vt:i4>5</vt:i4>
      </vt:variant>
      <vt:variant>
        <vt:lpwstr>http://www.oas.org/es/cidh/docs/anual/2018/docs/IA2018cap.2-es.pdf</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3276841</vt:i4>
      </vt:variant>
      <vt:variant>
        <vt:i4>15</vt:i4>
      </vt:variant>
      <vt:variant>
        <vt:i4>0</vt:i4>
      </vt:variant>
      <vt:variant>
        <vt:i4>5</vt:i4>
      </vt:variant>
      <vt:variant>
        <vt:lpwstr>http://www.oas.org/es/cidh/docs/anual/2018/docs/IA2018cap.2-es.pdf</vt:lpwstr>
      </vt:variant>
      <vt:variant>
        <vt:lpwstr/>
      </vt:variant>
      <vt:variant>
        <vt:i4>6815868</vt:i4>
      </vt:variant>
      <vt:variant>
        <vt:i4>12</vt:i4>
      </vt:variant>
      <vt:variant>
        <vt:i4>0</vt:i4>
      </vt:variant>
      <vt:variant>
        <vt:i4>5</vt:i4>
      </vt:variant>
      <vt:variant>
        <vt:lpwstr>http://www.oas.org/es/cidh/decisiones/amistosas.asp</vt:lpwstr>
      </vt:variant>
      <vt:variant>
        <vt:lpwstr/>
      </vt:variant>
      <vt:variant>
        <vt:i4>6815868</vt:i4>
      </vt:variant>
      <vt:variant>
        <vt:i4>9</vt:i4>
      </vt:variant>
      <vt:variant>
        <vt:i4>0</vt:i4>
      </vt:variant>
      <vt:variant>
        <vt:i4>5</vt:i4>
      </vt:variant>
      <vt:variant>
        <vt:lpwstr>http://www.oas.org/es/cidh/decisiones/amistosas.asp</vt:lpwstr>
      </vt:variant>
      <vt:variant>
        <vt:lpwstr/>
      </vt:variant>
      <vt:variant>
        <vt:i4>983041</vt:i4>
      </vt:variant>
      <vt:variant>
        <vt:i4>6</vt:i4>
      </vt:variant>
      <vt:variant>
        <vt:i4>0</vt:i4>
      </vt:variant>
      <vt:variant>
        <vt:i4>5</vt:i4>
      </vt:variant>
      <vt:variant>
        <vt:lpwstr>https://www.oas.org/es/cidh/docs/anual/2024/capitulos/IA2024_2_ES.pdf</vt:lpwstr>
      </vt:variant>
      <vt:variant>
        <vt:lpwstr/>
      </vt:variant>
      <vt:variant>
        <vt:i4>983041</vt:i4>
      </vt:variant>
      <vt:variant>
        <vt:i4>3</vt:i4>
      </vt:variant>
      <vt:variant>
        <vt:i4>0</vt:i4>
      </vt:variant>
      <vt:variant>
        <vt:i4>5</vt:i4>
      </vt:variant>
      <vt:variant>
        <vt:lpwstr>https://www.oas.org/es/cidh/docs/anual/2024/capitulos/IA2024_2_ES.pdf</vt:lpwstr>
      </vt:variant>
      <vt:variant>
        <vt:lpwstr/>
      </vt:variant>
      <vt:variant>
        <vt:i4>983041</vt:i4>
      </vt:variant>
      <vt:variant>
        <vt:i4>0</vt:i4>
      </vt:variant>
      <vt:variant>
        <vt:i4>0</vt:i4>
      </vt:variant>
      <vt:variant>
        <vt:i4>5</vt:i4>
      </vt:variant>
      <vt:variant>
        <vt:lpwstr>https://www.oas.org/es/cidh/docs/anual/2024/capitulos/IA2024_2_ES.pdf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Seminario, Javier</cp:lastModifiedBy>
  <cp:revision>6</cp:revision>
  <cp:lastPrinted>2025-08-26T18:24:00Z</cp:lastPrinted>
  <dcterms:created xsi:type="dcterms:W3CDTF">2025-08-01T14:25:00Z</dcterms:created>
  <dcterms:modified xsi:type="dcterms:W3CDTF">2025-08-26T18:24:00Z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Montero, Erika</vt:lpwstr>
  </property>
  <property fmtid="{D5CDD505-2E9C-101B-9397-08002B2CF9AE}" pid="3" name="Order">
    <vt:lpwstr>73200.0000000000</vt:lpwstr>
  </property>
  <property fmtid="{D5CDD505-2E9C-101B-9397-08002B2CF9AE}" pid="4" name="display_urn:schemas-microsoft-com:office:office#Author">
    <vt:lpwstr>Montero, Erika</vt:lpwstr>
  </property>
  <property fmtid="{D5CDD505-2E9C-101B-9397-08002B2CF9AE}" pid="5" name="ContentTypeId">
    <vt:lpwstr>0x010100D589DCDDB8A16B44BDC2A7128ECAC845</vt:lpwstr>
  </property>
</Properties>
</file>