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8C651D" w:rsidRDefault="00D306D1" w:rsidP="00627C9F">
      <w:pPr>
        <w:jc w:val="both"/>
        <w:rPr>
          <w:rFonts w:asciiTheme="majorHAnsi" w:hAnsiTheme="majorHAnsi" w:cs="Univers"/>
          <w:b/>
          <w:bCs/>
          <w:color w:val="000000" w:themeColor="text1"/>
          <w:sz w:val="22"/>
          <w:szCs w:val="22"/>
          <w:lang w:val="pt-BR"/>
        </w:rPr>
      </w:pPr>
      <w:r w:rsidRPr="008C651D">
        <w:rPr>
          <w:rFonts w:asciiTheme="majorHAnsi" w:hAnsiTheme="majorHAnsi"/>
          <w:noProof/>
          <w:color w:val="000000" w:themeColor="text1"/>
          <w:sz w:val="22"/>
          <w:szCs w:val="22"/>
        </w:rPr>
        <mc:AlternateContent>
          <mc:Choice Requires="wps">
            <w:drawing>
              <wp:anchor distT="0" distB="0" distL="114300" distR="114300" simplePos="0" relativeHeight="251658240" behindDoc="0" locked="0" layoutInCell="1" allowOverlap="1" wp14:anchorId="179A3F0F" wp14:editId="2578C0E7">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159D0"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" fillcolor="#ffc000" stroked="f" strokeweight="2pt"/>
            </w:pict>
          </mc:Fallback>
        </mc:AlternateContent>
      </w:r>
      <w:r w:rsidR="003E6CA1" w:rsidRPr="008C651D">
        <w:rPr>
          <w:rFonts w:asciiTheme="majorHAnsi" w:hAnsiTheme="majorHAnsi"/>
          <w:noProof/>
          <w:color w:val="000000" w:themeColor="text1"/>
          <w:sz w:val="22"/>
          <w:szCs w:val="22"/>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77777777" w:rsidR="00CB2660" w:rsidRDefault="00AE5488" w:rsidP="00AE5488">
                            <w:r>
                              <w:rPr>
                                <w:noProof/>
                              </w:rPr>
                              <w:drawing>
                                <wp:inline distT="0" distB="0" distL="0" distR="0" wp14:anchorId="7A21157D" wp14:editId="7554D5B3">
                                  <wp:extent cx="2164258" cy="510765"/>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64258"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77777777" w:rsidR="00CB2660" w:rsidRDefault="00AE5488" w:rsidP="00AE5488">
                      <w:r>
                        <w:rPr>
                          <w:noProof/>
                        </w:rPr>
                        <w:drawing>
                          <wp:inline distT="0" distB="0" distL="0" distR="0" wp14:anchorId="7A21157D" wp14:editId="7554D5B3">
                            <wp:extent cx="2164258" cy="510765"/>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64258"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47386BAF" w14:textId="77777777" w:rsidR="00040C3A" w:rsidRPr="008C651D" w:rsidRDefault="00040C3A" w:rsidP="00040C3A">
      <w:pPr>
        <w:tabs>
          <w:tab w:val="center" w:pos="5400"/>
        </w:tabs>
        <w:suppressAutoHyphens/>
        <w:jc w:val="both"/>
        <w:rPr>
          <w:rFonts w:asciiTheme="majorHAnsi" w:hAnsiTheme="majorHAnsi"/>
          <w:color w:val="000000" w:themeColor="text1"/>
          <w:sz w:val="22"/>
          <w:szCs w:val="22"/>
          <w:lang w:val="pt-BR"/>
        </w:rPr>
      </w:pPr>
    </w:p>
    <w:p w14:paraId="5A87E141" w14:textId="77777777" w:rsidR="00040C3A" w:rsidRPr="008C651D" w:rsidRDefault="00040C3A" w:rsidP="00040C3A">
      <w:pPr>
        <w:tabs>
          <w:tab w:val="center" w:pos="5400"/>
        </w:tabs>
        <w:suppressAutoHyphens/>
        <w:jc w:val="both"/>
        <w:rPr>
          <w:rFonts w:asciiTheme="majorHAnsi" w:hAnsiTheme="majorHAnsi"/>
          <w:color w:val="000000" w:themeColor="text1"/>
          <w:sz w:val="22"/>
          <w:szCs w:val="22"/>
          <w:lang w:val="pt-BR"/>
        </w:rPr>
      </w:pPr>
    </w:p>
    <w:p w14:paraId="29D95BCC" w14:textId="77777777" w:rsidR="005128E4" w:rsidRPr="008C651D" w:rsidRDefault="005128E4" w:rsidP="00040C3A">
      <w:pPr>
        <w:tabs>
          <w:tab w:val="center" w:pos="5400"/>
        </w:tabs>
        <w:suppressAutoHyphens/>
        <w:rPr>
          <w:rFonts w:asciiTheme="majorHAnsi" w:hAnsiTheme="majorHAnsi"/>
          <w:color w:val="000000" w:themeColor="text1"/>
          <w:sz w:val="22"/>
          <w:szCs w:val="22"/>
          <w:lang w:val="pt-BR"/>
        </w:rPr>
      </w:pPr>
    </w:p>
    <w:p w14:paraId="12A36B24" w14:textId="77777777" w:rsidR="005128E4" w:rsidRPr="008C651D" w:rsidRDefault="005128E4" w:rsidP="00040C3A">
      <w:pPr>
        <w:tabs>
          <w:tab w:val="center" w:pos="5400"/>
        </w:tabs>
        <w:suppressAutoHyphens/>
        <w:rPr>
          <w:rFonts w:asciiTheme="majorHAnsi" w:hAnsiTheme="majorHAnsi"/>
          <w:color w:val="000000" w:themeColor="text1"/>
          <w:sz w:val="22"/>
          <w:szCs w:val="22"/>
          <w:lang w:val="pt-BR"/>
        </w:rPr>
      </w:pPr>
    </w:p>
    <w:p w14:paraId="2252093D" w14:textId="77777777" w:rsidR="005128E4" w:rsidRPr="008C651D" w:rsidRDefault="005128E4" w:rsidP="00040C3A">
      <w:pPr>
        <w:tabs>
          <w:tab w:val="center" w:pos="5400"/>
        </w:tabs>
        <w:suppressAutoHyphens/>
        <w:rPr>
          <w:rFonts w:asciiTheme="majorHAnsi" w:hAnsiTheme="majorHAnsi"/>
          <w:color w:val="000000" w:themeColor="text1"/>
          <w:sz w:val="22"/>
          <w:szCs w:val="22"/>
          <w:lang w:val="pt-BR"/>
        </w:rPr>
      </w:pPr>
    </w:p>
    <w:p w14:paraId="403935BD" w14:textId="77777777" w:rsidR="00040C3A" w:rsidRPr="008C651D" w:rsidRDefault="00040C3A" w:rsidP="005128E4">
      <w:pPr>
        <w:tabs>
          <w:tab w:val="center" w:pos="5400"/>
        </w:tabs>
        <w:suppressAutoHyphens/>
        <w:jc w:val="center"/>
        <w:rPr>
          <w:rFonts w:asciiTheme="majorHAnsi" w:hAnsiTheme="majorHAnsi"/>
          <w:color w:val="000000" w:themeColor="text1"/>
          <w:sz w:val="22"/>
          <w:szCs w:val="22"/>
          <w:lang w:val="pt-BR"/>
        </w:rPr>
      </w:pPr>
    </w:p>
    <w:p w14:paraId="6DCF5F8F" w14:textId="77777777" w:rsidR="00040C3A" w:rsidRPr="008C651D" w:rsidRDefault="00040C3A" w:rsidP="005128E4">
      <w:pPr>
        <w:tabs>
          <w:tab w:val="center" w:pos="5400"/>
        </w:tabs>
        <w:suppressAutoHyphens/>
        <w:jc w:val="center"/>
        <w:rPr>
          <w:rFonts w:asciiTheme="majorHAnsi" w:hAnsiTheme="majorHAnsi"/>
          <w:color w:val="000000" w:themeColor="text1"/>
          <w:sz w:val="22"/>
          <w:szCs w:val="22"/>
          <w:lang w:val="pt-BR"/>
        </w:rPr>
      </w:pPr>
    </w:p>
    <w:p w14:paraId="4791F13A" w14:textId="27157892" w:rsidR="005B52B0" w:rsidRPr="008C651D" w:rsidRDefault="005B52B0" w:rsidP="005128E4">
      <w:pPr>
        <w:tabs>
          <w:tab w:val="center" w:pos="5400"/>
        </w:tabs>
        <w:suppressAutoHyphens/>
        <w:jc w:val="center"/>
        <w:rPr>
          <w:rFonts w:asciiTheme="majorHAnsi" w:hAnsiTheme="majorHAnsi"/>
          <w:color w:val="000000" w:themeColor="text1"/>
          <w:sz w:val="22"/>
          <w:szCs w:val="22"/>
          <w:lang w:val="pt-BR"/>
        </w:rPr>
      </w:pPr>
    </w:p>
    <w:p w14:paraId="44E016B6" w14:textId="77777777" w:rsidR="005B52B0" w:rsidRPr="008C651D" w:rsidRDefault="005B52B0" w:rsidP="005128E4">
      <w:pPr>
        <w:tabs>
          <w:tab w:val="center" w:pos="5400"/>
        </w:tabs>
        <w:suppressAutoHyphens/>
        <w:jc w:val="center"/>
        <w:rPr>
          <w:rFonts w:asciiTheme="majorHAnsi" w:hAnsiTheme="majorHAnsi"/>
          <w:color w:val="000000" w:themeColor="text1"/>
          <w:sz w:val="22"/>
          <w:szCs w:val="22"/>
          <w:lang w:val="pt-BR"/>
        </w:rPr>
      </w:pPr>
    </w:p>
    <w:p w14:paraId="63D41962" w14:textId="0F486491" w:rsidR="005B52B0" w:rsidRPr="008C651D" w:rsidRDefault="005B52B0" w:rsidP="005128E4">
      <w:pPr>
        <w:tabs>
          <w:tab w:val="center" w:pos="5400"/>
        </w:tabs>
        <w:suppressAutoHyphens/>
        <w:jc w:val="center"/>
        <w:rPr>
          <w:rFonts w:asciiTheme="majorHAnsi" w:hAnsiTheme="majorHAnsi"/>
          <w:color w:val="000000" w:themeColor="text1"/>
          <w:sz w:val="22"/>
          <w:szCs w:val="22"/>
          <w:lang w:val="pt-BR"/>
        </w:rPr>
      </w:pPr>
    </w:p>
    <w:p w14:paraId="5ADEB990" w14:textId="218D2950"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2D81B7E8" w14:textId="588D2230" w:rsidR="00040C3A" w:rsidRPr="008C651D" w:rsidRDefault="00AB27FF" w:rsidP="00040C3A">
      <w:pPr>
        <w:tabs>
          <w:tab w:val="center" w:pos="5400"/>
        </w:tabs>
        <w:suppressAutoHyphens/>
        <w:jc w:val="center"/>
        <w:rPr>
          <w:rFonts w:asciiTheme="majorHAnsi" w:hAnsiTheme="majorHAnsi"/>
          <w:color w:val="000000" w:themeColor="text1"/>
          <w:sz w:val="22"/>
          <w:szCs w:val="22"/>
          <w:lang w:val="pt-BR"/>
        </w:rPr>
      </w:pPr>
      <w:r w:rsidRPr="008C651D">
        <w:rPr>
          <w:rFonts w:asciiTheme="majorHAnsi" w:hAnsiTheme="majorHAnsi"/>
          <w:noProof/>
          <w:color w:val="000000" w:themeColor="text1"/>
          <w:sz w:val="22"/>
          <w:szCs w:val="22"/>
        </w:rPr>
        <mc:AlternateContent>
          <mc:Choice Requires="wps">
            <w:drawing>
              <wp:anchor distT="0" distB="0" distL="114300" distR="114300" simplePos="0" relativeHeight="251658243" behindDoc="0" locked="0" layoutInCell="1" allowOverlap="1" wp14:anchorId="73BE5919" wp14:editId="2D56CA9B">
                <wp:simplePos x="0" y="0"/>
                <wp:positionH relativeFrom="column">
                  <wp:posOffset>-342900</wp:posOffset>
                </wp:positionH>
                <wp:positionV relativeFrom="paragraph">
                  <wp:posOffset>249467</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60581275" w:rsidR="00627C9F" w:rsidRPr="00A75CC3" w:rsidRDefault="00834D49" w:rsidP="007A5817">
                            <w:pPr>
                              <w:spacing w:line="276" w:lineRule="auto"/>
                              <w:jc w:val="right"/>
                              <w:rPr>
                                <w:rFonts w:asciiTheme="minorHAnsi" w:hAnsiTheme="minorHAnsi"/>
                                <w:sz w:val="22"/>
                                <w:lang w:val="pt-BR"/>
                              </w:rPr>
                            </w:pPr>
                            <w:r w:rsidRPr="00A75CC3">
                              <w:rPr>
                                <w:rFonts w:asciiTheme="minorHAnsi" w:hAnsiTheme="minorHAnsi"/>
                                <w:sz w:val="22"/>
                                <w:lang w:val="pt-BR"/>
                              </w:rPr>
                              <w:t>OEA/Ser.L/V/II</w:t>
                            </w:r>
                          </w:p>
                          <w:p w14:paraId="6A41611B" w14:textId="444B1213" w:rsidR="00627C9F" w:rsidRPr="00A75CC3" w:rsidRDefault="00627C9F" w:rsidP="007A5817">
                            <w:pPr>
                              <w:spacing w:line="276" w:lineRule="auto"/>
                              <w:jc w:val="right"/>
                              <w:rPr>
                                <w:rFonts w:asciiTheme="minorHAnsi" w:hAnsiTheme="minorHAnsi"/>
                                <w:sz w:val="22"/>
                                <w:lang w:val="pt-BR"/>
                              </w:rPr>
                            </w:pPr>
                            <w:r w:rsidRPr="00A75CC3">
                              <w:rPr>
                                <w:rFonts w:asciiTheme="minorHAnsi" w:hAnsiTheme="minorHAnsi"/>
                                <w:sz w:val="22"/>
                                <w:lang w:val="pt-BR"/>
                              </w:rPr>
                              <w:t xml:space="preserve">Doc. </w:t>
                            </w:r>
                            <w:r w:rsidR="00FE0BA1">
                              <w:rPr>
                                <w:rFonts w:asciiTheme="minorHAnsi" w:hAnsiTheme="minorHAnsi"/>
                                <w:sz w:val="22"/>
                                <w:lang w:val="pt-BR"/>
                              </w:rPr>
                              <w:t>217</w:t>
                            </w:r>
                          </w:p>
                          <w:p w14:paraId="69373ED2" w14:textId="59CB6B1F" w:rsidR="00627C9F" w:rsidRPr="0072489E" w:rsidRDefault="003E7D36" w:rsidP="007A5817">
                            <w:pPr>
                              <w:spacing w:line="276" w:lineRule="auto"/>
                              <w:jc w:val="right"/>
                              <w:rPr>
                                <w:rFonts w:asciiTheme="minorHAnsi" w:hAnsiTheme="minorHAnsi"/>
                                <w:sz w:val="22"/>
                                <w:lang w:val="pt-BR"/>
                              </w:rPr>
                            </w:pPr>
                            <w:r>
                              <w:rPr>
                                <w:rFonts w:asciiTheme="minorHAnsi" w:hAnsiTheme="minorHAnsi"/>
                                <w:sz w:val="22"/>
                                <w:lang w:val="pt-BR"/>
                              </w:rPr>
                              <w:t>6 outubro</w:t>
                            </w:r>
                            <w:r w:rsidR="00627C9F" w:rsidRPr="0072489E">
                              <w:rPr>
                                <w:rFonts w:asciiTheme="minorHAnsi" w:hAnsiTheme="minorHAnsi"/>
                                <w:sz w:val="22"/>
                                <w:lang w:val="pt-BR"/>
                              </w:rPr>
                              <w:t xml:space="preserve"> 20</w:t>
                            </w:r>
                            <w:r w:rsidR="00D834AA">
                              <w:rPr>
                                <w:rFonts w:asciiTheme="minorHAnsi" w:hAnsiTheme="minorHAnsi"/>
                                <w:sz w:val="22"/>
                                <w:lang w:val="pt-BR"/>
                              </w:rPr>
                              <w:t>2</w:t>
                            </w:r>
                            <w:r w:rsidR="00274C86">
                              <w:rPr>
                                <w:rFonts w:asciiTheme="minorHAnsi" w:hAnsiTheme="minorHAnsi"/>
                                <w:sz w:val="22"/>
                                <w:lang w:val="pt-BR"/>
                              </w:rPr>
                              <w:t>5</w:t>
                            </w:r>
                          </w:p>
                          <w:p w14:paraId="0771DB5B" w14:textId="40CA6718" w:rsidR="00627C9F" w:rsidRPr="0072489E" w:rsidRDefault="00E0340B" w:rsidP="007A5817">
                            <w:pPr>
                              <w:spacing w:line="276" w:lineRule="auto"/>
                              <w:jc w:val="right"/>
                              <w:rPr>
                                <w:rFonts w:asciiTheme="minorHAnsi" w:hAnsiTheme="minorHAnsi"/>
                                <w:sz w:val="22"/>
                                <w:lang w:val="pt-BR"/>
                              </w:rPr>
                            </w:pPr>
                            <w:r w:rsidRPr="0072489E">
                              <w:rPr>
                                <w:rFonts w:asciiTheme="minorHAnsi" w:hAnsiTheme="minorHAnsi"/>
                                <w:sz w:val="22"/>
                                <w:lang w:val="pt-BR"/>
                              </w:rPr>
                              <w:t xml:space="preserve">Original: </w:t>
                            </w:r>
                            <w:r w:rsidR="00DA2224" w:rsidRPr="0072489E">
                              <w:rPr>
                                <w:rFonts w:asciiTheme="minorHAnsi" w:hAnsiTheme="minorHAnsi"/>
                                <w:sz w:val="22"/>
                                <w:lang w:val="pt-BR"/>
                              </w:rPr>
                              <w:t>português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7" type="#_x0000_t202" style="position:absolute;left:0;text-align:left;margin-left:-27pt;margin-top:19.6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" filled="f" stroked="f" strokeweight=".5pt">
                <v:textbox>
                  <w:txbxContent>
                    <w:p w14:paraId="6CF0BAF6" w14:textId="60581275" w:rsidR="00627C9F" w:rsidRPr="00A75CC3" w:rsidRDefault="00834D49" w:rsidP="007A5817">
                      <w:pPr>
                        <w:spacing w:line="276" w:lineRule="auto"/>
                        <w:jc w:val="right"/>
                        <w:rPr>
                          <w:rFonts w:asciiTheme="minorHAnsi" w:hAnsiTheme="minorHAnsi"/>
                          <w:sz w:val="22"/>
                          <w:lang w:val="pt-BR"/>
                        </w:rPr>
                      </w:pPr>
                      <w:r w:rsidRPr="00A75CC3">
                        <w:rPr>
                          <w:rFonts w:asciiTheme="minorHAnsi" w:hAnsiTheme="minorHAnsi"/>
                          <w:sz w:val="22"/>
                          <w:lang w:val="pt-BR"/>
                        </w:rPr>
                        <w:t>OEA/Ser.L/V/II</w:t>
                      </w:r>
                    </w:p>
                    <w:p w14:paraId="6A41611B" w14:textId="444B1213" w:rsidR="00627C9F" w:rsidRPr="00A75CC3" w:rsidRDefault="00627C9F" w:rsidP="007A5817">
                      <w:pPr>
                        <w:spacing w:line="276" w:lineRule="auto"/>
                        <w:jc w:val="right"/>
                        <w:rPr>
                          <w:rFonts w:asciiTheme="minorHAnsi" w:hAnsiTheme="minorHAnsi"/>
                          <w:sz w:val="22"/>
                          <w:lang w:val="pt-BR"/>
                        </w:rPr>
                      </w:pPr>
                      <w:r w:rsidRPr="00A75CC3">
                        <w:rPr>
                          <w:rFonts w:asciiTheme="minorHAnsi" w:hAnsiTheme="minorHAnsi"/>
                          <w:sz w:val="22"/>
                          <w:lang w:val="pt-BR"/>
                        </w:rPr>
                        <w:t xml:space="preserve">Doc. </w:t>
                      </w:r>
                      <w:r w:rsidR="00FE0BA1">
                        <w:rPr>
                          <w:rFonts w:asciiTheme="minorHAnsi" w:hAnsiTheme="minorHAnsi"/>
                          <w:sz w:val="22"/>
                          <w:lang w:val="pt-BR"/>
                        </w:rPr>
                        <w:t>217</w:t>
                      </w:r>
                    </w:p>
                    <w:p w14:paraId="69373ED2" w14:textId="59CB6B1F" w:rsidR="00627C9F" w:rsidRPr="0072489E" w:rsidRDefault="003E7D36" w:rsidP="007A5817">
                      <w:pPr>
                        <w:spacing w:line="276" w:lineRule="auto"/>
                        <w:jc w:val="right"/>
                        <w:rPr>
                          <w:rFonts w:asciiTheme="minorHAnsi" w:hAnsiTheme="minorHAnsi"/>
                          <w:sz w:val="22"/>
                          <w:lang w:val="pt-BR"/>
                        </w:rPr>
                      </w:pPr>
                      <w:r>
                        <w:rPr>
                          <w:rFonts w:asciiTheme="minorHAnsi" w:hAnsiTheme="minorHAnsi"/>
                          <w:sz w:val="22"/>
                          <w:lang w:val="pt-BR"/>
                        </w:rPr>
                        <w:t>6 outubro</w:t>
                      </w:r>
                      <w:r w:rsidR="00627C9F" w:rsidRPr="0072489E">
                        <w:rPr>
                          <w:rFonts w:asciiTheme="minorHAnsi" w:hAnsiTheme="minorHAnsi"/>
                          <w:sz w:val="22"/>
                          <w:lang w:val="pt-BR"/>
                        </w:rPr>
                        <w:t xml:space="preserve"> 20</w:t>
                      </w:r>
                      <w:r w:rsidR="00D834AA">
                        <w:rPr>
                          <w:rFonts w:asciiTheme="minorHAnsi" w:hAnsiTheme="minorHAnsi"/>
                          <w:sz w:val="22"/>
                          <w:lang w:val="pt-BR"/>
                        </w:rPr>
                        <w:t>2</w:t>
                      </w:r>
                      <w:r w:rsidR="00274C86">
                        <w:rPr>
                          <w:rFonts w:asciiTheme="minorHAnsi" w:hAnsiTheme="minorHAnsi"/>
                          <w:sz w:val="22"/>
                          <w:lang w:val="pt-BR"/>
                        </w:rPr>
                        <w:t>5</w:t>
                      </w:r>
                    </w:p>
                    <w:p w14:paraId="0771DB5B" w14:textId="40CA6718" w:rsidR="00627C9F" w:rsidRPr="0072489E" w:rsidRDefault="00E0340B" w:rsidP="007A5817">
                      <w:pPr>
                        <w:spacing w:line="276" w:lineRule="auto"/>
                        <w:jc w:val="right"/>
                        <w:rPr>
                          <w:rFonts w:asciiTheme="minorHAnsi" w:hAnsiTheme="minorHAnsi"/>
                          <w:sz w:val="22"/>
                          <w:lang w:val="pt-BR"/>
                        </w:rPr>
                      </w:pPr>
                      <w:r w:rsidRPr="0072489E">
                        <w:rPr>
                          <w:rFonts w:asciiTheme="minorHAnsi" w:hAnsiTheme="minorHAnsi"/>
                          <w:sz w:val="22"/>
                          <w:lang w:val="pt-BR"/>
                        </w:rPr>
                        <w:t xml:space="preserve">Original: </w:t>
                      </w:r>
                      <w:r w:rsidR="00DA2224" w:rsidRPr="0072489E">
                        <w:rPr>
                          <w:rFonts w:asciiTheme="minorHAnsi" w:hAnsiTheme="minorHAnsi"/>
                          <w:sz w:val="22"/>
                          <w:lang w:val="pt-BR"/>
                        </w:rPr>
                        <w:t>português</w:t>
                      </w:r>
                    </w:p>
                  </w:txbxContent>
                </v:textbox>
              </v:shape>
            </w:pict>
          </mc:Fallback>
        </mc:AlternateContent>
      </w:r>
    </w:p>
    <w:p w14:paraId="64791D04" w14:textId="2E283BDC" w:rsidR="00040C3A" w:rsidRPr="008C651D" w:rsidRDefault="00AB27FF" w:rsidP="00040C3A">
      <w:pPr>
        <w:tabs>
          <w:tab w:val="center" w:pos="5400"/>
        </w:tabs>
        <w:suppressAutoHyphens/>
        <w:jc w:val="center"/>
        <w:rPr>
          <w:rFonts w:asciiTheme="majorHAnsi" w:hAnsiTheme="majorHAnsi"/>
          <w:color w:val="000000" w:themeColor="text1"/>
          <w:sz w:val="22"/>
          <w:szCs w:val="22"/>
          <w:lang w:val="pt-BR"/>
        </w:rPr>
      </w:pPr>
      <w:r w:rsidRPr="008C651D">
        <w:rPr>
          <w:rFonts w:asciiTheme="majorHAnsi" w:hAnsiTheme="majorHAnsi"/>
          <w:noProof/>
          <w:color w:val="000000" w:themeColor="text1"/>
          <w:sz w:val="22"/>
          <w:szCs w:val="22"/>
        </w:rPr>
        <mc:AlternateContent>
          <mc:Choice Requires="wps">
            <w:drawing>
              <wp:anchor distT="0" distB="0" distL="114300" distR="114300" simplePos="0" relativeHeight="251658241" behindDoc="0" locked="0" layoutInCell="1" allowOverlap="1" wp14:anchorId="5980ED94" wp14:editId="300CD185">
                <wp:simplePos x="0" y="0"/>
                <wp:positionH relativeFrom="column">
                  <wp:posOffset>1340069</wp:posOffset>
                </wp:positionH>
                <wp:positionV relativeFrom="paragraph">
                  <wp:posOffset>14955</wp:posOffset>
                </wp:positionV>
                <wp:extent cx="4441190" cy="2475187"/>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4441190" cy="24751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1D19CEDB" w:rsidR="005B52B0" w:rsidRPr="007665A8" w:rsidRDefault="00DA2224" w:rsidP="00997BC5">
                            <w:pPr>
                              <w:spacing w:line="276" w:lineRule="auto"/>
                              <w:rPr>
                                <w:rFonts w:asciiTheme="majorHAnsi" w:hAnsiTheme="majorHAnsi" w:cs="Arial"/>
                                <w:b/>
                                <w:bCs/>
                                <w:color w:val="0D0D0D" w:themeColor="text1" w:themeTint="F2"/>
                                <w:sz w:val="36"/>
                                <w:szCs w:val="22"/>
                                <w:lang w:val="pt-BR"/>
                              </w:rPr>
                            </w:pPr>
                            <w:r w:rsidRPr="007665A8">
                              <w:rPr>
                                <w:rFonts w:asciiTheme="majorHAnsi" w:hAnsiTheme="majorHAnsi" w:cs="Arial"/>
                                <w:b/>
                                <w:bCs/>
                                <w:color w:val="0D0D0D" w:themeColor="text1" w:themeTint="F2"/>
                                <w:sz w:val="36"/>
                                <w:szCs w:val="22"/>
                                <w:lang w:val="pt-BR"/>
                              </w:rPr>
                              <w:t>RELA</w:t>
                            </w:r>
                            <w:r>
                              <w:rPr>
                                <w:rFonts w:asciiTheme="majorHAnsi" w:hAnsiTheme="majorHAnsi" w:cs="Arial"/>
                                <w:b/>
                                <w:bCs/>
                                <w:color w:val="0D0D0D" w:themeColor="text1" w:themeTint="F2"/>
                                <w:sz w:val="36"/>
                                <w:szCs w:val="22"/>
                                <w:lang w:val="pt-BR"/>
                              </w:rPr>
                              <w:t>TÓRIO</w:t>
                            </w:r>
                            <w:r w:rsidR="005B52B0" w:rsidRPr="007665A8">
                              <w:rPr>
                                <w:rFonts w:asciiTheme="majorHAnsi" w:hAnsiTheme="majorHAnsi" w:cs="Arial"/>
                                <w:b/>
                                <w:bCs/>
                                <w:color w:val="0D0D0D" w:themeColor="text1" w:themeTint="F2"/>
                                <w:sz w:val="36"/>
                                <w:szCs w:val="22"/>
                                <w:lang w:val="pt-BR"/>
                              </w:rPr>
                              <w:t xml:space="preserve"> </w:t>
                            </w:r>
                            <w:r w:rsidR="00477592" w:rsidRPr="007665A8">
                              <w:rPr>
                                <w:rFonts w:asciiTheme="majorHAnsi" w:hAnsiTheme="majorHAnsi" w:cs="Arial"/>
                                <w:b/>
                                <w:bCs/>
                                <w:color w:val="0D0D0D" w:themeColor="text1" w:themeTint="F2"/>
                                <w:sz w:val="36"/>
                                <w:szCs w:val="40"/>
                                <w:lang w:val="pt-BR"/>
                              </w:rPr>
                              <w:t>No.</w:t>
                            </w:r>
                            <w:r w:rsidR="007B05C4" w:rsidRPr="007665A8">
                              <w:rPr>
                                <w:rFonts w:asciiTheme="majorHAnsi" w:hAnsiTheme="majorHAnsi" w:cs="Arial"/>
                                <w:b/>
                                <w:bCs/>
                                <w:color w:val="0D0D0D" w:themeColor="text1" w:themeTint="F2"/>
                                <w:sz w:val="36"/>
                                <w:szCs w:val="22"/>
                                <w:lang w:val="pt-BR"/>
                              </w:rPr>
                              <w:t xml:space="preserve"> </w:t>
                            </w:r>
                            <w:r w:rsidR="00FE0BA1">
                              <w:rPr>
                                <w:rFonts w:asciiTheme="majorHAnsi" w:hAnsiTheme="majorHAnsi" w:cs="Arial"/>
                                <w:b/>
                                <w:bCs/>
                                <w:color w:val="0D0D0D" w:themeColor="text1" w:themeTint="F2"/>
                                <w:sz w:val="36"/>
                                <w:szCs w:val="22"/>
                                <w:lang w:val="pt-BR"/>
                              </w:rPr>
                              <w:t>206</w:t>
                            </w:r>
                            <w:r w:rsidR="007B05C4" w:rsidRPr="007665A8">
                              <w:rPr>
                                <w:rFonts w:asciiTheme="majorHAnsi" w:hAnsiTheme="majorHAnsi" w:cs="Arial"/>
                                <w:b/>
                                <w:bCs/>
                                <w:color w:val="0D0D0D" w:themeColor="text1" w:themeTint="F2"/>
                                <w:sz w:val="36"/>
                                <w:szCs w:val="22"/>
                                <w:lang w:val="pt-BR"/>
                              </w:rPr>
                              <w:t>/</w:t>
                            </w:r>
                            <w:r w:rsidR="00D834AA">
                              <w:rPr>
                                <w:rFonts w:asciiTheme="majorHAnsi" w:hAnsiTheme="majorHAnsi" w:cs="Arial"/>
                                <w:b/>
                                <w:bCs/>
                                <w:color w:val="0D0D0D" w:themeColor="text1" w:themeTint="F2"/>
                                <w:sz w:val="36"/>
                                <w:szCs w:val="22"/>
                                <w:lang w:val="pt-BR"/>
                              </w:rPr>
                              <w:t>2</w:t>
                            </w:r>
                            <w:r w:rsidR="00274C86">
                              <w:rPr>
                                <w:rFonts w:asciiTheme="majorHAnsi" w:hAnsiTheme="majorHAnsi" w:cs="Arial"/>
                                <w:b/>
                                <w:bCs/>
                                <w:color w:val="0D0D0D" w:themeColor="text1" w:themeTint="F2"/>
                                <w:sz w:val="36"/>
                                <w:szCs w:val="22"/>
                                <w:lang w:val="pt-BR"/>
                              </w:rPr>
                              <w:t>5</w:t>
                            </w:r>
                          </w:p>
                          <w:p w14:paraId="54CDA619" w14:textId="565BE0E4" w:rsidR="00C3078F" w:rsidRDefault="00DA2224" w:rsidP="00997BC5">
                            <w:pPr>
                              <w:spacing w:line="276" w:lineRule="auto"/>
                              <w:rPr>
                                <w:rFonts w:asciiTheme="majorHAnsi" w:hAnsiTheme="majorHAnsi" w:cs="Arial"/>
                                <w:b/>
                                <w:color w:val="0D0D0D" w:themeColor="text1" w:themeTint="F2"/>
                                <w:sz w:val="36"/>
                                <w:szCs w:val="22"/>
                                <w:lang w:val="pt-BR"/>
                              </w:rPr>
                            </w:pPr>
                            <w:r w:rsidRPr="00DA2224">
                              <w:rPr>
                                <w:rFonts w:asciiTheme="majorHAnsi" w:hAnsiTheme="majorHAnsi" w:cs="Arial"/>
                                <w:b/>
                                <w:color w:val="0D0D0D" w:themeColor="text1" w:themeTint="F2"/>
                                <w:sz w:val="36"/>
                                <w:szCs w:val="22"/>
                                <w:lang w:val="pt-BR"/>
                              </w:rPr>
                              <w:t>PETIÇÃO</w:t>
                            </w:r>
                            <w:r w:rsidR="005B52B0" w:rsidRPr="00DA2224">
                              <w:rPr>
                                <w:rFonts w:asciiTheme="majorHAnsi" w:hAnsiTheme="majorHAnsi" w:cs="Arial"/>
                                <w:b/>
                                <w:color w:val="0D0D0D" w:themeColor="text1" w:themeTint="F2"/>
                                <w:sz w:val="36"/>
                                <w:szCs w:val="22"/>
                                <w:lang w:val="pt-BR"/>
                              </w:rPr>
                              <w:t xml:space="preserve"> </w:t>
                            </w:r>
                            <w:r w:rsidR="005A1DAC">
                              <w:rPr>
                                <w:rFonts w:asciiTheme="majorHAnsi" w:hAnsiTheme="majorHAnsi" w:cs="Arial"/>
                                <w:b/>
                                <w:color w:val="0D0D0D" w:themeColor="text1" w:themeTint="F2"/>
                                <w:sz w:val="36"/>
                                <w:szCs w:val="22"/>
                                <w:lang w:val="pt-BR"/>
                              </w:rPr>
                              <w:t>2170</w:t>
                            </w:r>
                            <w:r w:rsidR="00AB27FF">
                              <w:rPr>
                                <w:rFonts w:asciiTheme="majorHAnsi" w:hAnsiTheme="majorHAnsi" w:cs="Arial"/>
                                <w:b/>
                                <w:color w:val="0D0D0D" w:themeColor="text1" w:themeTint="F2"/>
                                <w:sz w:val="36"/>
                                <w:szCs w:val="22"/>
                                <w:lang w:val="pt-BR"/>
                              </w:rPr>
                              <w:t>-1</w:t>
                            </w:r>
                            <w:r w:rsidR="005A1DAC">
                              <w:rPr>
                                <w:rFonts w:asciiTheme="majorHAnsi" w:hAnsiTheme="majorHAnsi" w:cs="Arial"/>
                                <w:b/>
                                <w:color w:val="0D0D0D" w:themeColor="text1" w:themeTint="F2"/>
                                <w:sz w:val="36"/>
                                <w:szCs w:val="22"/>
                                <w:lang w:val="pt-BR"/>
                              </w:rPr>
                              <w:t>6</w:t>
                            </w:r>
                            <w:r w:rsidR="00246D1F" w:rsidRPr="00DA2224">
                              <w:rPr>
                                <w:rFonts w:asciiTheme="majorHAnsi" w:hAnsiTheme="majorHAnsi" w:cs="Arial"/>
                                <w:b/>
                                <w:color w:val="0D0D0D" w:themeColor="text1" w:themeTint="F2"/>
                                <w:sz w:val="36"/>
                                <w:szCs w:val="22"/>
                                <w:lang w:val="pt-BR"/>
                              </w:rPr>
                              <w:t xml:space="preserve"> </w:t>
                            </w:r>
                          </w:p>
                          <w:p w14:paraId="70CF6833" w14:textId="1DCF6E56" w:rsidR="00CD046C" w:rsidRPr="00DA2224" w:rsidRDefault="00DA2224" w:rsidP="00997BC5">
                            <w:pPr>
                              <w:spacing w:line="276" w:lineRule="auto"/>
                              <w:rPr>
                                <w:rFonts w:asciiTheme="majorHAnsi" w:hAnsiTheme="majorHAnsi" w:cs="Arial"/>
                                <w:color w:val="0D0D0D" w:themeColor="text1" w:themeTint="F2"/>
                                <w:szCs w:val="22"/>
                                <w:lang w:val="pt-BR"/>
                              </w:rPr>
                            </w:pPr>
                            <w:r w:rsidRPr="00DA2224">
                              <w:rPr>
                                <w:rFonts w:asciiTheme="majorHAnsi" w:hAnsiTheme="majorHAnsi" w:cs="Arial"/>
                                <w:color w:val="0D0D0D" w:themeColor="text1" w:themeTint="F2"/>
                                <w:szCs w:val="22"/>
                                <w:lang w:val="pt-BR"/>
                              </w:rPr>
                              <w:t>RELATÓRIO</w:t>
                            </w:r>
                            <w:r w:rsidR="005B52B0" w:rsidRPr="00DA2224">
                              <w:rPr>
                                <w:rFonts w:asciiTheme="majorHAnsi" w:hAnsiTheme="majorHAnsi" w:cs="Arial"/>
                                <w:color w:val="0D0D0D" w:themeColor="text1" w:themeTint="F2"/>
                                <w:szCs w:val="22"/>
                                <w:lang w:val="pt-BR"/>
                              </w:rPr>
                              <w:t xml:space="preserve"> DE ADMIS</w:t>
                            </w:r>
                            <w:r w:rsidRPr="00DA2224">
                              <w:rPr>
                                <w:rFonts w:asciiTheme="majorHAnsi" w:hAnsiTheme="majorHAnsi" w:cs="Arial"/>
                                <w:color w:val="0D0D0D" w:themeColor="text1" w:themeTint="F2"/>
                                <w:szCs w:val="22"/>
                                <w:lang w:val="pt-BR"/>
                              </w:rPr>
                              <w:t>S</w:t>
                            </w:r>
                            <w:r w:rsidR="005B52B0" w:rsidRPr="00DA2224">
                              <w:rPr>
                                <w:rFonts w:asciiTheme="majorHAnsi" w:hAnsiTheme="majorHAnsi" w:cs="Arial"/>
                                <w:color w:val="0D0D0D" w:themeColor="text1" w:themeTint="F2"/>
                                <w:szCs w:val="22"/>
                                <w:lang w:val="pt-BR"/>
                              </w:rPr>
                              <w:t>IBILIDAD</w:t>
                            </w:r>
                            <w:r w:rsidRPr="00DA2224">
                              <w:rPr>
                                <w:rFonts w:asciiTheme="majorHAnsi" w:hAnsiTheme="majorHAnsi" w:cs="Arial"/>
                                <w:color w:val="0D0D0D" w:themeColor="text1" w:themeTint="F2"/>
                                <w:szCs w:val="22"/>
                                <w:lang w:val="pt-BR"/>
                              </w:rPr>
                              <w:t>E</w:t>
                            </w:r>
                          </w:p>
                          <w:p w14:paraId="09DE1013" w14:textId="77777777" w:rsidR="00AB27FF" w:rsidRDefault="00AB27FF" w:rsidP="00997BC5">
                            <w:pPr>
                              <w:spacing w:line="276" w:lineRule="auto"/>
                              <w:rPr>
                                <w:rFonts w:asciiTheme="majorHAnsi" w:hAnsiTheme="majorHAnsi" w:cs="Arial"/>
                                <w:color w:val="0D0D0D" w:themeColor="text1" w:themeTint="F2"/>
                                <w:szCs w:val="22"/>
                                <w:lang w:val="pt-BR"/>
                              </w:rPr>
                            </w:pPr>
                            <w:bookmarkStart w:id="0" w:name="_ftnref1"/>
                          </w:p>
                          <w:bookmarkEnd w:id="0"/>
                          <w:p w14:paraId="677FBA7C" w14:textId="77777777" w:rsidR="005A1DAC" w:rsidRDefault="005A1DAC" w:rsidP="00997BC5">
                            <w:pPr>
                              <w:spacing w:line="276" w:lineRule="auto"/>
                              <w:rPr>
                                <w:rFonts w:asciiTheme="majorHAnsi" w:hAnsiTheme="majorHAnsi" w:cs="Arial"/>
                                <w:color w:val="0D0D0D" w:themeColor="text1" w:themeTint="F2"/>
                                <w:szCs w:val="22"/>
                                <w:lang w:val="pt-BR"/>
                              </w:rPr>
                            </w:pPr>
                            <w:r w:rsidRPr="005A1DAC">
                              <w:rPr>
                                <w:rFonts w:asciiTheme="majorHAnsi" w:hAnsiTheme="majorHAnsi" w:cs="Arial"/>
                                <w:color w:val="0D0D0D" w:themeColor="text1" w:themeTint="F2"/>
                                <w:szCs w:val="22"/>
                                <w:lang w:val="pt-BR"/>
                              </w:rPr>
                              <w:t>NILSON ROBERTO DOS SANTOS</w:t>
                            </w:r>
                          </w:p>
                          <w:p w14:paraId="35068D0D" w14:textId="26B421C1" w:rsidR="005B52B0" w:rsidRPr="007665A8" w:rsidRDefault="006A20E7" w:rsidP="00997BC5">
                            <w:pPr>
                              <w:spacing w:line="276" w:lineRule="auto"/>
                              <w:rPr>
                                <w:rFonts w:asciiTheme="majorHAnsi" w:hAnsiTheme="majorHAnsi" w:cs="Arial"/>
                                <w:color w:val="0D0D0D" w:themeColor="text1" w:themeTint="F2"/>
                                <w:szCs w:val="22"/>
                                <w:lang w:val="pt-BR"/>
                              </w:rPr>
                            </w:pPr>
                            <w:r>
                              <w:rPr>
                                <w:rFonts w:asciiTheme="majorHAnsi" w:hAnsiTheme="majorHAnsi" w:cs="Arial"/>
                                <w:color w:val="0D0D0D" w:themeColor="text1" w:themeTint="F2"/>
                                <w:szCs w:val="22"/>
                                <w:lang w:val="pt-BR"/>
                              </w:rPr>
                              <w:t>BRASIL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8" type="#_x0000_t202" style="position:absolute;left:0;text-align:left;margin-left:105.5pt;margin-top:1.2pt;width:349.7pt;height:19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" filled="f" stroked="f" strokeweight=".5pt">
                <v:textbox>
                  <w:txbxContent>
                    <w:p w14:paraId="4D9FE29C" w14:textId="1D19CEDB" w:rsidR="005B52B0" w:rsidRPr="007665A8" w:rsidRDefault="00DA2224" w:rsidP="00997BC5">
                      <w:pPr>
                        <w:spacing w:line="276" w:lineRule="auto"/>
                        <w:rPr>
                          <w:rFonts w:asciiTheme="majorHAnsi" w:hAnsiTheme="majorHAnsi" w:cs="Arial"/>
                          <w:b/>
                          <w:bCs/>
                          <w:color w:val="0D0D0D" w:themeColor="text1" w:themeTint="F2"/>
                          <w:sz w:val="36"/>
                          <w:szCs w:val="22"/>
                          <w:lang w:val="pt-BR"/>
                        </w:rPr>
                      </w:pPr>
                      <w:r w:rsidRPr="007665A8">
                        <w:rPr>
                          <w:rFonts w:asciiTheme="majorHAnsi" w:hAnsiTheme="majorHAnsi" w:cs="Arial"/>
                          <w:b/>
                          <w:bCs/>
                          <w:color w:val="0D0D0D" w:themeColor="text1" w:themeTint="F2"/>
                          <w:sz w:val="36"/>
                          <w:szCs w:val="22"/>
                          <w:lang w:val="pt-BR"/>
                        </w:rPr>
                        <w:t>RELA</w:t>
                      </w:r>
                      <w:r>
                        <w:rPr>
                          <w:rFonts w:asciiTheme="majorHAnsi" w:hAnsiTheme="majorHAnsi" w:cs="Arial"/>
                          <w:b/>
                          <w:bCs/>
                          <w:color w:val="0D0D0D" w:themeColor="text1" w:themeTint="F2"/>
                          <w:sz w:val="36"/>
                          <w:szCs w:val="22"/>
                          <w:lang w:val="pt-BR"/>
                        </w:rPr>
                        <w:t>TÓRIO</w:t>
                      </w:r>
                      <w:r w:rsidR="005B52B0" w:rsidRPr="007665A8">
                        <w:rPr>
                          <w:rFonts w:asciiTheme="majorHAnsi" w:hAnsiTheme="majorHAnsi" w:cs="Arial"/>
                          <w:b/>
                          <w:bCs/>
                          <w:color w:val="0D0D0D" w:themeColor="text1" w:themeTint="F2"/>
                          <w:sz w:val="36"/>
                          <w:szCs w:val="22"/>
                          <w:lang w:val="pt-BR"/>
                        </w:rPr>
                        <w:t xml:space="preserve"> </w:t>
                      </w:r>
                      <w:r w:rsidR="00477592" w:rsidRPr="007665A8">
                        <w:rPr>
                          <w:rFonts w:asciiTheme="majorHAnsi" w:hAnsiTheme="majorHAnsi" w:cs="Arial"/>
                          <w:b/>
                          <w:bCs/>
                          <w:color w:val="0D0D0D" w:themeColor="text1" w:themeTint="F2"/>
                          <w:sz w:val="36"/>
                          <w:szCs w:val="40"/>
                          <w:lang w:val="pt-BR"/>
                        </w:rPr>
                        <w:t>No.</w:t>
                      </w:r>
                      <w:r w:rsidR="007B05C4" w:rsidRPr="007665A8">
                        <w:rPr>
                          <w:rFonts w:asciiTheme="majorHAnsi" w:hAnsiTheme="majorHAnsi" w:cs="Arial"/>
                          <w:b/>
                          <w:bCs/>
                          <w:color w:val="0D0D0D" w:themeColor="text1" w:themeTint="F2"/>
                          <w:sz w:val="36"/>
                          <w:szCs w:val="22"/>
                          <w:lang w:val="pt-BR"/>
                        </w:rPr>
                        <w:t xml:space="preserve"> </w:t>
                      </w:r>
                      <w:r w:rsidR="00FE0BA1">
                        <w:rPr>
                          <w:rFonts w:asciiTheme="majorHAnsi" w:hAnsiTheme="majorHAnsi" w:cs="Arial"/>
                          <w:b/>
                          <w:bCs/>
                          <w:color w:val="0D0D0D" w:themeColor="text1" w:themeTint="F2"/>
                          <w:sz w:val="36"/>
                          <w:szCs w:val="22"/>
                          <w:lang w:val="pt-BR"/>
                        </w:rPr>
                        <w:t>206</w:t>
                      </w:r>
                      <w:r w:rsidR="007B05C4" w:rsidRPr="007665A8">
                        <w:rPr>
                          <w:rFonts w:asciiTheme="majorHAnsi" w:hAnsiTheme="majorHAnsi" w:cs="Arial"/>
                          <w:b/>
                          <w:bCs/>
                          <w:color w:val="0D0D0D" w:themeColor="text1" w:themeTint="F2"/>
                          <w:sz w:val="36"/>
                          <w:szCs w:val="22"/>
                          <w:lang w:val="pt-BR"/>
                        </w:rPr>
                        <w:t>/</w:t>
                      </w:r>
                      <w:r w:rsidR="00D834AA">
                        <w:rPr>
                          <w:rFonts w:asciiTheme="majorHAnsi" w:hAnsiTheme="majorHAnsi" w:cs="Arial"/>
                          <w:b/>
                          <w:bCs/>
                          <w:color w:val="0D0D0D" w:themeColor="text1" w:themeTint="F2"/>
                          <w:sz w:val="36"/>
                          <w:szCs w:val="22"/>
                          <w:lang w:val="pt-BR"/>
                        </w:rPr>
                        <w:t>2</w:t>
                      </w:r>
                      <w:r w:rsidR="00274C86">
                        <w:rPr>
                          <w:rFonts w:asciiTheme="majorHAnsi" w:hAnsiTheme="majorHAnsi" w:cs="Arial"/>
                          <w:b/>
                          <w:bCs/>
                          <w:color w:val="0D0D0D" w:themeColor="text1" w:themeTint="F2"/>
                          <w:sz w:val="36"/>
                          <w:szCs w:val="22"/>
                          <w:lang w:val="pt-BR"/>
                        </w:rPr>
                        <w:t>5</w:t>
                      </w:r>
                    </w:p>
                    <w:p w14:paraId="54CDA619" w14:textId="565BE0E4" w:rsidR="00C3078F" w:rsidRDefault="00DA2224" w:rsidP="00997BC5">
                      <w:pPr>
                        <w:spacing w:line="276" w:lineRule="auto"/>
                        <w:rPr>
                          <w:rFonts w:asciiTheme="majorHAnsi" w:hAnsiTheme="majorHAnsi" w:cs="Arial"/>
                          <w:b/>
                          <w:color w:val="0D0D0D" w:themeColor="text1" w:themeTint="F2"/>
                          <w:sz w:val="36"/>
                          <w:szCs w:val="22"/>
                          <w:lang w:val="pt-BR"/>
                        </w:rPr>
                      </w:pPr>
                      <w:r w:rsidRPr="00DA2224">
                        <w:rPr>
                          <w:rFonts w:asciiTheme="majorHAnsi" w:hAnsiTheme="majorHAnsi" w:cs="Arial"/>
                          <w:b/>
                          <w:color w:val="0D0D0D" w:themeColor="text1" w:themeTint="F2"/>
                          <w:sz w:val="36"/>
                          <w:szCs w:val="22"/>
                          <w:lang w:val="pt-BR"/>
                        </w:rPr>
                        <w:t>PETIÇÃO</w:t>
                      </w:r>
                      <w:r w:rsidR="005B52B0" w:rsidRPr="00DA2224">
                        <w:rPr>
                          <w:rFonts w:asciiTheme="majorHAnsi" w:hAnsiTheme="majorHAnsi" w:cs="Arial"/>
                          <w:b/>
                          <w:color w:val="0D0D0D" w:themeColor="text1" w:themeTint="F2"/>
                          <w:sz w:val="36"/>
                          <w:szCs w:val="22"/>
                          <w:lang w:val="pt-BR"/>
                        </w:rPr>
                        <w:t xml:space="preserve"> </w:t>
                      </w:r>
                      <w:r w:rsidR="005A1DAC">
                        <w:rPr>
                          <w:rFonts w:asciiTheme="majorHAnsi" w:hAnsiTheme="majorHAnsi" w:cs="Arial"/>
                          <w:b/>
                          <w:color w:val="0D0D0D" w:themeColor="text1" w:themeTint="F2"/>
                          <w:sz w:val="36"/>
                          <w:szCs w:val="22"/>
                          <w:lang w:val="pt-BR"/>
                        </w:rPr>
                        <w:t>2170</w:t>
                      </w:r>
                      <w:r w:rsidR="00AB27FF">
                        <w:rPr>
                          <w:rFonts w:asciiTheme="majorHAnsi" w:hAnsiTheme="majorHAnsi" w:cs="Arial"/>
                          <w:b/>
                          <w:color w:val="0D0D0D" w:themeColor="text1" w:themeTint="F2"/>
                          <w:sz w:val="36"/>
                          <w:szCs w:val="22"/>
                          <w:lang w:val="pt-BR"/>
                        </w:rPr>
                        <w:t>-1</w:t>
                      </w:r>
                      <w:r w:rsidR="005A1DAC">
                        <w:rPr>
                          <w:rFonts w:asciiTheme="majorHAnsi" w:hAnsiTheme="majorHAnsi" w:cs="Arial"/>
                          <w:b/>
                          <w:color w:val="0D0D0D" w:themeColor="text1" w:themeTint="F2"/>
                          <w:sz w:val="36"/>
                          <w:szCs w:val="22"/>
                          <w:lang w:val="pt-BR"/>
                        </w:rPr>
                        <w:t>6</w:t>
                      </w:r>
                      <w:r w:rsidR="00246D1F" w:rsidRPr="00DA2224">
                        <w:rPr>
                          <w:rFonts w:asciiTheme="majorHAnsi" w:hAnsiTheme="majorHAnsi" w:cs="Arial"/>
                          <w:b/>
                          <w:color w:val="0D0D0D" w:themeColor="text1" w:themeTint="F2"/>
                          <w:sz w:val="36"/>
                          <w:szCs w:val="22"/>
                          <w:lang w:val="pt-BR"/>
                        </w:rPr>
                        <w:t xml:space="preserve"> </w:t>
                      </w:r>
                    </w:p>
                    <w:p w14:paraId="70CF6833" w14:textId="1DCF6E56" w:rsidR="00CD046C" w:rsidRPr="00DA2224" w:rsidRDefault="00DA2224" w:rsidP="00997BC5">
                      <w:pPr>
                        <w:spacing w:line="276" w:lineRule="auto"/>
                        <w:rPr>
                          <w:rFonts w:asciiTheme="majorHAnsi" w:hAnsiTheme="majorHAnsi" w:cs="Arial"/>
                          <w:color w:val="0D0D0D" w:themeColor="text1" w:themeTint="F2"/>
                          <w:szCs w:val="22"/>
                          <w:lang w:val="pt-BR"/>
                        </w:rPr>
                      </w:pPr>
                      <w:r w:rsidRPr="00DA2224">
                        <w:rPr>
                          <w:rFonts w:asciiTheme="majorHAnsi" w:hAnsiTheme="majorHAnsi" w:cs="Arial"/>
                          <w:color w:val="0D0D0D" w:themeColor="text1" w:themeTint="F2"/>
                          <w:szCs w:val="22"/>
                          <w:lang w:val="pt-BR"/>
                        </w:rPr>
                        <w:t>RELATÓRIO</w:t>
                      </w:r>
                      <w:r w:rsidR="005B52B0" w:rsidRPr="00DA2224">
                        <w:rPr>
                          <w:rFonts w:asciiTheme="majorHAnsi" w:hAnsiTheme="majorHAnsi" w:cs="Arial"/>
                          <w:color w:val="0D0D0D" w:themeColor="text1" w:themeTint="F2"/>
                          <w:szCs w:val="22"/>
                          <w:lang w:val="pt-BR"/>
                        </w:rPr>
                        <w:t xml:space="preserve"> DE ADMIS</w:t>
                      </w:r>
                      <w:r w:rsidRPr="00DA2224">
                        <w:rPr>
                          <w:rFonts w:asciiTheme="majorHAnsi" w:hAnsiTheme="majorHAnsi" w:cs="Arial"/>
                          <w:color w:val="0D0D0D" w:themeColor="text1" w:themeTint="F2"/>
                          <w:szCs w:val="22"/>
                          <w:lang w:val="pt-BR"/>
                        </w:rPr>
                        <w:t>S</w:t>
                      </w:r>
                      <w:r w:rsidR="005B52B0" w:rsidRPr="00DA2224">
                        <w:rPr>
                          <w:rFonts w:asciiTheme="majorHAnsi" w:hAnsiTheme="majorHAnsi" w:cs="Arial"/>
                          <w:color w:val="0D0D0D" w:themeColor="text1" w:themeTint="F2"/>
                          <w:szCs w:val="22"/>
                          <w:lang w:val="pt-BR"/>
                        </w:rPr>
                        <w:t>IBILIDAD</w:t>
                      </w:r>
                      <w:r w:rsidRPr="00DA2224">
                        <w:rPr>
                          <w:rFonts w:asciiTheme="majorHAnsi" w:hAnsiTheme="majorHAnsi" w:cs="Arial"/>
                          <w:color w:val="0D0D0D" w:themeColor="text1" w:themeTint="F2"/>
                          <w:szCs w:val="22"/>
                          <w:lang w:val="pt-BR"/>
                        </w:rPr>
                        <w:t>E</w:t>
                      </w:r>
                    </w:p>
                    <w:p w14:paraId="09DE1013" w14:textId="77777777" w:rsidR="00AB27FF" w:rsidRDefault="00AB27FF" w:rsidP="00997BC5">
                      <w:pPr>
                        <w:spacing w:line="276" w:lineRule="auto"/>
                        <w:rPr>
                          <w:rFonts w:asciiTheme="majorHAnsi" w:hAnsiTheme="majorHAnsi" w:cs="Arial"/>
                          <w:color w:val="0D0D0D" w:themeColor="text1" w:themeTint="F2"/>
                          <w:szCs w:val="22"/>
                          <w:lang w:val="pt-BR"/>
                        </w:rPr>
                      </w:pPr>
                      <w:bookmarkStart w:id="1" w:name="_ftnref1"/>
                    </w:p>
                    <w:bookmarkEnd w:id="1"/>
                    <w:p w14:paraId="677FBA7C" w14:textId="77777777" w:rsidR="005A1DAC" w:rsidRDefault="005A1DAC" w:rsidP="00997BC5">
                      <w:pPr>
                        <w:spacing w:line="276" w:lineRule="auto"/>
                        <w:rPr>
                          <w:rFonts w:asciiTheme="majorHAnsi" w:hAnsiTheme="majorHAnsi" w:cs="Arial"/>
                          <w:color w:val="0D0D0D" w:themeColor="text1" w:themeTint="F2"/>
                          <w:szCs w:val="22"/>
                          <w:lang w:val="pt-BR"/>
                        </w:rPr>
                      </w:pPr>
                      <w:r w:rsidRPr="005A1DAC">
                        <w:rPr>
                          <w:rFonts w:asciiTheme="majorHAnsi" w:hAnsiTheme="majorHAnsi" w:cs="Arial"/>
                          <w:color w:val="0D0D0D" w:themeColor="text1" w:themeTint="F2"/>
                          <w:szCs w:val="22"/>
                          <w:lang w:val="pt-BR"/>
                        </w:rPr>
                        <w:t>NILSON ROBERTO DOS SANTOS</w:t>
                      </w:r>
                    </w:p>
                    <w:p w14:paraId="35068D0D" w14:textId="26B421C1" w:rsidR="005B52B0" w:rsidRPr="007665A8" w:rsidRDefault="006A20E7" w:rsidP="00997BC5">
                      <w:pPr>
                        <w:spacing w:line="276" w:lineRule="auto"/>
                        <w:rPr>
                          <w:rFonts w:asciiTheme="majorHAnsi" w:hAnsiTheme="majorHAnsi" w:cs="Arial"/>
                          <w:color w:val="0D0D0D" w:themeColor="text1" w:themeTint="F2"/>
                          <w:szCs w:val="22"/>
                          <w:lang w:val="pt-BR"/>
                        </w:rPr>
                      </w:pPr>
                      <w:r>
                        <w:rPr>
                          <w:rFonts w:asciiTheme="majorHAnsi" w:hAnsiTheme="majorHAnsi" w:cs="Arial"/>
                          <w:color w:val="0D0D0D" w:themeColor="text1" w:themeTint="F2"/>
                          <w:szCs w:val="22"/>
                          <w:lang w:val="pt-BR"/>
                        </w:rPr>
                        <w:t>BRASIL</w:t>
                      </w:r>
                    </w:p>
                  </w:txbxContent>
                </v:textbox>
              </v:shape>
            </w:pict>
          </mc:Fallback>
        </mc:AlternateContent>
      </w:r>
    </w:p>
    <w:p w14:paraId="155B0536"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5FE3AB87"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3C383BC0" w14:textId="77777777" w:rsidR="00040C3A" w:rsidRPr="008C651D" w:rsidRDefault="00040C3A" w:rsidP="00040C3A">
      <w:pPr>
        <w:tabs>
          <w:tab w:val="center" w:pos="5400"/>
        </w:tabs>
        <w:suppressAutoHyphens/>
        <w:jc w:val="center"/>
        <w:rPr>
          <w:rFonts w:asciiTheme="majorHAnsi" w:hAnsiTheme="majorHAnsi" w:cs="Arial"/>
          <w:color w:val="000000" w:themeColor="text1"/>
          <w:sz w:val="22"/>
          <w:szCs w:val="22"/>
          <w:lang w:val="pt-BR"/>
        </w:rPr>
      </w:pPr>
    </w:p>
    <w:p w14:paraId="54590931"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76C291D6"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2161B44F"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3C4EEE07"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3B0E4647" w14:textId="77777777" w:rsidR="005128E4" w:rsidRPr="008C651D" w:rsidRDefault="005128E4" w:rsidP="00040C3A">
      <w:pPr>
        <w:tabs>
          <w:tab w:val="center" w:pos="5400"/>
        </w:tabs>
        <w:suppressAutoHyphens/>
        <w:jc w:val="center"/>
        <w:rPr>
          <w:rFonts w:asciiTheme="majorHAnsi" w:hAnsiTheme="majorHAnsi"/>
          <w:color w:val="000000" w:themeColor="text1"/>
          <w:sz w:val="22"/>
          <w:szCs w:val="22"/>
          <w:lang w:val="pt-BR"/>
        </w:rPr>
      </w:pPr>
    </w:p>
    <w:p w14:paraId="2DAAF36D"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12496A14" w14:textId="77777777" w:rsidR="005128E4" w:rsidRPr="008C651D" w:rsidRDefault="005128E4" w:rsidP="00040C3A">
      <w:pPr>
        <w:tabs>
          <w:tab w:val="center" w:pos="5400"/>
        </w:tabs>
        <w:suppressAutoHyphens/>
        <w:jc w:val="center"/>
        <w:rPr>
          <w:rFonts w:asciiTheme="majorHAnsi" w:hAnsiTheme="majorHAnsi"/>
          <w:color w:val="000000" w:themeColor="text1"/>
          <w:sz w:val="22"/>
          <w:szCs w:val="22"/>
          <w:lang w:val="pt-BR"/>
        </w:rPr>
      </w:pPr>
    </w:p>
    <w:p w14:paraId="25772DB3" w14:textId="77777777" w:rsidR="005128E4" w:rsidRPr="008C651D" w:rsidRDefault="005128E4" w:rsidP="00040C3A">
      <w:pPr>
        <w:tabs>
          <w:tab w:val="center" w:pos="5400"/>
        </w:tabs>
        <w:suppressAutoHyphens/>
        <w:jc w:val="center"/>
        <w:rPr>
          <w:rFonts w:asciiTheme="majorHAnsi" w:hAnsiTheme="majorHAnsi"/>
          <w:color w:val="000000" w:themeColor="text1"/>
          <w:sz w:val="22"/>
          <w:szCs w:val="22"/>
          <w:lang w:val="pt-BR"/>
        </w:rPr>
      </w:pPr>
    </w:p>
    <w:p w14:paraId="6820FADA" w14:textId="77777777" w:rsidR="005128E4" w:rsidRPr="008C651D" w:rsidRDefault="005128E4" w:rsidP="00040C3A">
      <w:pPr>
        <w:tabs>
          <w:tab w:val="center" w:pos="5400"/>
        </w:tabs>
        <w:suppressAutoHyphens/>
        <w:jc w:val="center"/>
        <w:rPr>
          <w:rFonts w:asciiTheme="majorHAnsi" w:hAnsiTheme="majorHAnsi"/>
          <w:color w:val="000000" w:themeColor="text1"/>
          <w:sz w:val="22"/>
          <w:szCs w:val="22"/>
          <w:lang w:val="pt-BR"/>
        </w:rPr>
      </w:pPr>
    </w:p>
    <w:p w14:paraId="54445A55"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5D4A4040" w14:textId="77777777" w:rsidR="00040C3A" w:rsidRPr="008C651D" w:rsidRDefault="00040C3A" w:rsidP="00040C3A">
      <w:pPr>
        <w:tabs>
          <w:tab w:val="center" w:pos="5400"/>
        </w:tabs>
        <w:suppressAutoHyphens/>
        <w:jc w:val="center"/>
        <w:rPr>
          <w:rFonts w:asciiTheme="majorHAnsi" w:hAnsiTheme="majorHAnsi"/>
          <w:color w:val="000000" w:themeColor="text1"/>
          <w:sz w:val="22"/>
          <w:szCs w:val="22"/>
          <w:lang w:val="pt-BR"/>
        </w:rPr>
      </w:pPr>
    </w:p>
    <w:p w14:paraId="048FBB22"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190ABFB3"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4C690048"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733CA438"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7874DEEB"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3698D0D6"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1F907823"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045D9AC1"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16068EE5"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14A4A430"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0B3B735F"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02C5C441"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7806A2B0"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319C392B"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514A0182" w14:textId="77777777" w:rsidR="00A50FCF" w:rsidRPr="008C651D" w:rsidRDefault="0090270B" w:rsidP="00040C3A">
      <w:pPr>
        <w:tabs>
          <w:tab w:val="center" w:pos="5400"/>
        </w:tabs>
        <w:suppressAutoHyphens/>
        <w:jc w:val="center"/>
        <w:rPr>
          <w:rFonts w:asciiTheme="majorHAnsi" w:hAnsiTheme="majorHAnsi"/>
          <w:color w:val="000000" w:themeColor="text1"/>
          <w:sz w:val="18"/>
          <w:szCs w:val="22"/>
          <w:lang w:val="pt-BR"/>
        </w:rPr>
      </w:pPr>
      <w:r w:rsidRPr="008C651D">
        <w:rPr>
          <w:rFonts w:asciiTheme="majorHAnsi" w:hAnsiTheme="majorHAnsi"/>
          <w:noProof/>
          <w:color w:val="000000" w:themeColor="text1"/>
          <w:sz w:val="22"/>
          <w:szCs w:val="22"/>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4B4F7" w14:textId="7E6A122E" w:rsidR="00DD3D86" w:rsidRPr="0038709A" w:rsidRDefault="0038709A" w:rsidP="00DD3D86">
                            <w:pPr>
                              <w:tabs>
                                <w:tab w:val="center" w:pos="5400"/>
                              </w:tabs>
                              <w:suppressAutoHyphens/>
                              <w:spacing w:before="60"/>
                              <w:rPr>
                                <w:rFonts w:asciiTheme="majorHAnsi" w:hAnsiTheme="majorHAnsi"/>
                                <w:color w:val="0D0D0D" w:themeColor="text1" w:themeTint="F2"/>
                                <w:sz w:val="18"/>
                                <w:szCs w:val="22"/>
                                <w:lang w:val="pt-BR"/>
                              </w:rPr>
                            </w:pPr>
                            <w:r w:rsidRPr="0038709A">
                              <w:rPr>
                                <w:rFonts w:asciiTheme="majorHAnsi" w:hAnsiTheme="majorHAnsi"/>
                                <w:color w:val="0D0D0D" w:themeColor="text1" w:themeTint="F2"/>
                                <w:sz w:val="18"/>
                                <w:szCs w:val="22"/>
                                <w:lang w:val="pt-BR"/>
                              </w:rPr>
                              <w:t>Aprovado</w:t>
                            </w:r>
                            <w:r w:rsidR="0022736D">
                              <w:rPr>
                                <w:rFonts w:asciiTheme="majorHAnsi" w:hAnsiTheme="majorHAnsi"/>
                                <w:color w:val="0D0D0D" w:themeColor="text1" w:themeTint="F2"/>
                                <w:sz w:val="18"/>
                                <w:szCs w:val="22"/>
                                <w:lang w:val="pt-BR"/>
                              </w:rPr>
                              <w:t xml:space="preserve"> ele</w:t>
                            </w:r>
                            <w:r w:rsidR="00DD3D86" w:rsidRPr="0038709A">
                              <w:rPr>
                                <w:rFonts w:asciiTheme="majorHAnsi" w:hAnsiTheme="majorHAnsi"/>
                                <w:color w:val="0D0D0D" w:themeColor="text1" w:themeTint="F2"/>
                                <w:sz w:val="18"/>
                                <w:szCs w:val="22"/>
                                <w:lang w:val="pt-BR"/>
                              </w:rPr>
                              <w:t>tr</w:t>
                            </w:r>
                            <w:r w:rsidRPr="0038709A">
                              <w:rPr>
                                <w:rFonts w:asciiTheme="majorHAnsi" w:hAnsiTheme="majorHAnsi"/>
                                <w:color w:val="0D0D0D" w:themeColor="text1" w:themeTint="F2"/>
                                <w:sz w:val="18"/>
                                <w:szCs w:val="22"/>
                                <w:lang w:val="pt-BR"/>
                              </w:rPr>
                              <w:t>o</w:t>
                            </w:r>
                            <w:r w:rsidR="00DD3D86" w:rsidRPr="0038709A">
                              <w:rPr>
                                <w:rFonts w:asciiTheme="majorHAnsi" w:hAnsiTheme="majorHAnsi"/>
                                <w:color w:val="0D0D0D" w:themeColor="text1" w:themeTint="F2"/>
                                <w:sz w:val="18"/>
                                <w:szCs w:val="22"/>
                                <w:lang w:val="pt-BR"/>
                              </w:rPr>
                              <w:t xml:space="preserve">nicamente </w:t>
                            </w:r>
                            <w:r w:rsidRPr="0038709A">
                              <w:rPr>
                                <w:rFonts w:asciiTheme="majorHAnsi" w:hAnsiTheme="majorHAnsi"/>
                                <w:color w:val="0D0D0D" w:themeColor="text1" w:themeTint="F2"/>
                                <w:sz w:val="18"/>
                                <w:szCs w:val="22"/>
                                <w:lang w:val="pt-BR"/>
                              </w:rPr>
                              <w:t>pel</w:t>
                            </w:r>
                            <w:r w:rsidR="00DD3D86" w:rsidRPr="0038709A">
                              <w:rPr>
                                <w:rFonts w:asciiTheme="majorHAnsi" w:hAnsiTheme="majorHAnsi"/>
                                <w:color w:val="0D0D0D" w:themeColor="text1" w:themeTint="F2"/>
                                <w:sz w:val="18"/>
                                <w:szCs w:val="22"/>
                                <w:lang w:val="pt-BR"/>
                              </w:rPr>
                              <w:t xml:space="preserve">a </w:t>
                            </w:r>
                            <w:r w:rsidRPr="0038709A">
                              <w:rPr>
                                <w:rFonts w:asciiTheme="majorHAnsi" w:hAnsiTheme="majorHAnsi"/>
                                <w:color w:val="0D0D0D" w:themeColor="text1" w:themeTint="F2"/>
                                <w:sz w:val="18"/>
                                <w:szCs w:val="22"/>
                                <w:lang w:val="pt-BR"/>
                              </w:rPr>
                              <w:t xml:space="preserve">Comissão em </w:t>
                            </w:r>
                            <w:r w:rsidR="003E7D36">
                              <w:rPr>
                                <w:rFonts w:asciiTheme="majorHAnsi" w:hAnsiTheme="majorHAnsi"/>
                                <w:color w:val="0D0D0D" w:themeColor="text1" w:themeTint="F2"/>
                                <w:sz w:val="18"/>
                                <w:szCs w:val="22"/>
                                <w:lang w:val="pt-BR"/>
                              </w:rPr>
                              <w:t>6</w:t>
                            </w:r>
                            <w:r w:rsidR="00DD3D86" w:rsidRPr="0038709A">
                              <w:rPr>
                                <w:rFonts w:asciiTheme="majorHAnsi" w:hAnsiTheme="majorHAnsi"/>
                                <w:color w:val="0D0D0D" w:themeColor="text1" w:themeTint="F2"/>
                                <w:sz w:val="18"/>
                                <w:szCs w:val="22"/>
                                <w:lang w:val="pt-BR"/>
                              </w:rPr>
                              <w:t xml:space="preserve"> de </w:t>
                            </w:r>
                            <w:r w:rsidR="003E7D36">
                              <w:rPr>
                                <w:rFonts w:asciiTheme="majorHAnsi" w:hAnsiTheme="majorHAnsi"/>
                                <w:color w:val="0D0D0D" w:themeColor="text1" w:themeTint="F2"/>
                                <w:sz w:val="18"/>
                                <w:szCs w:val="22"/>
                                <w:lang w:val="pt-BR"/>
                              </w:rPr>
                              <w:t>outubro</w:t>
                            </w:r>
                            <w:r w:rsidR="00F81BB8" w:rsidRPr="0038709A">
                              <w:rPr>
                                <w:rFonts w:asciiTheme="majorHAnsi" w:hAnsiTheme="majorHAnsi"/>
                                <w:color w:val="0D0D0D" w:themeColor="text1" w:themeTint="F2"/>
                                <w:sz w:val="18"/>
                                <w:szCs w:val="22"/>
                                <w:lang w:val="pt-BR"/>
                              </w:rPr>
                              <w:t xml:space="preserve"> </w:t>
                            </w:r>
                            <w:r w:rsidR="00D834AA">
                              <w:rPr>
                                <w:rFonts w:asciiTheme="majorHAnsi" w:hAnsiTheme="majorHAnsi"/>
                                <w:color w:val="0D0D0D" w:themeColor="text1" w:themeTint="F2"/>
                                <w:sz w:val="18"/>
                                <w:szCs w:val="22"/>
                                <w:lang w:val="pt-BR"/>
                              </w:rPr>
                              <w:t>de 202</w:t>
                            </w:r>
                            <w:r w:rsidR="00274C86">
                              <w:rPr>
                                <w:rFonts w:asciiTheme="majorHAnsi" w:hAnsiTheme="majorHAnsi"/>
                                <w:color w:val="0D0D0D" w:themeColor="text1" w:themeTint="F2"/>
                                <w:sz w:val="18"/>
                                <w:szCs w:val="22"/>
                                <w:lang w:val="pt-BR"/>
                              </w:rPr>
                              <w:t>5</w:t>
                            </w:r>
                            <w:r w:rsidR="00462688">
                              <w:rPr>
                                <w:rFonts w:asciiTheme="majorHAnsi" w:hAnsiTheme="majorHAnsi"/>
                                <w:color w:val="0D0D0D" w:themeColor="text1" w:themeTint="F2"/>
                                <w:sz w:val="18"/>
                                <w:szCs w:val="22"/>
                                <w:lang w:val="pt-BR"/>
                              </w:rPr>
                              <w:t>.</w:t>
                            </w:r>
                          </w:p>
                          <w:p w14:paraId="4BDF3581" w14:textId="77777777" w:rsidR="00DD3D86" w:rsidRPr="0038709A" w:rsidRDefault="00DD3D86" w:rsidP="00247403">
                            <w:pPr>
                              <w:tabs>
                                <w:tab w:val="center" w:pos="5400"/>
                              </w:tabs>
                              <w:suppressAutoHyphens/>
                              <w:spacing w:before="60"/>
                              <w:rPr>
                                <w:rFonts w:asciiTheme="minorHAnsi" w:hAnsiTheme="minorHAnsi" w:cs="Univers"/>
                                <w:color w:val="0D0D0D" w:themeColor="text1" w:themeTint="F2"/>
                                <w:sz w:val="20"/>
                                <w:szCs w:val="20"/>
                                <w:lang w:val="pt-BR"/>
                              </w:rPr>
                            </w:pPr>
                          </w:p>
                          <w:p w14:paraId="4D148488" w14:textId="77777777" w:rsidR="005B52B0" w:rsidRPr="0038709A" w:rsidRDefault="005B52B0" w:rsidP="0059191A">
                            <w:pPr>
                              <w:tabs>
                                <w:tab w:val="center" w:pos="5400"/>
                              </w:tabs>
                              <w:suppressAutoHyphens/>
                              <w:spacing w:before="60"/>
                              <w:rPr>
                                <w:rFonts w:ascii="Calibri" w:hAnsi="Calibri"/>
                                <w:color w:val="FFFFFF" w:themeColor="background1"/>
                                <w:spacing w:val="-2"/>
                                <w:sz w:val="16"/>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2944B4F7" w14:textId="7E6A122E" w:rsidR="00DD3D86" w:rsidRPr="0038709A" w:rsidRDefault="0038709A" w:rsidP="00DD3D86">
                      <w:pPr>
                        <w:tabs>
                          <w:tab w:val="center" w:pos="5400"/>
                        </w:tabs>
                        <w:suppressAutoHyphens/>
                        <w:spacing w:before="60"/>
                        <w:rPr>
                          <w:rFonts w:asciiTheme="majorHAnsi" w:hAnsiTheme="majorHAnsi"/>
                          <w:color w:val="0D0D0D" w:themeColor="text1" w:themeTint="F2"/>
                          <w:sz w:val="18"/>
                          <w:szCs w:val="22"/>
                          <w:lang w:val="pt-BR"/>
                        </w:rPr>
                      </w:pPr>
                      <w:r w:rsidRPr="0038709A">
                        <w:rPr>
                          <w:rFonts w:asciiTheme="majorHAnsi" w:hAnsiTheme="majorHAnsi"/>
                          <w:color w:val="0D0D0D" w:themeColor="text1" w:themeTint="F2"/>
                          <w:sz w:val="18"/>
                          <w:szCs w:val="22"/>
                          <w:lang w:val="pt-BR"/>
                        </w:rPr>
                        <w:t>Aprovado</w:t>
                      </w:r>
                      <w:r w:rsidR="0022736D">
                        <w:rPr>
                          <w:rFonts w:asciiTheme="majorHAnsi" w:hAnsiTheme="majorHAnsi"/>
                          <w:color w:val="0D0D0D" w:themeColor="text1" w:themeTint="F2"/>
                          <w:sz w:val="18"/>
                          <w:szCs w:val="22"/>
                          <w:lang w:val="pt-BR"/>
                        </w:rPr>
                        <w:t xml:space="preserve"> ele</w:t>
                      </w:r>
                      <w:r w:rsidR="00DD3D86" w:rsidRPr="0038709A">
                        <w:rPr>
                          <w:rFonts w:asciiTheme="majorHAnsi" w:hAnsiTheme="majorHAnsi"/>
                          <w:color w:val="0D0D0D" w:themeColor="text1" w:themeTint="F2"/>
                          <w:sz w:val="18"/>
                          <w:szCs w:val="22"/>
                          <w:lang w:val="pt-BR"/>
                        </w:rPr>
                        <w:t>tr</w:t>
                      </w:r>
                      <w:r w:rsidRPr="0038709A">
                        <w:rPr>
                          <w:rFonts w:asciiTheme="majorHAnsi" w:hAnsiTheme="majorHAnsi"/>
                          <w:color w:val="0D0D0D" w:themeColor="text1" w:themeTint="F2"/>
                          <w:sz w:val="18"/>
                          <w:szCs w:val="22"/>
                          <w:lang w:val="pt-BR"/>
                        </w:rPr>
                        <w:t>o</w:t>
                      </w:r>
                      <w:r w:rsidR="00DD3D86" w:rsidRPr="0038709A">
                        <w:rPr>
                          <w:rFonts w:asciiTheme="majorHAnsi" w:hAnsiTheme="majorHAnsi"/>
                          <w:color w:val="0D0D0D" w:themeColor="text1" w:themeTint="F2"/>
                          <w:sz w:val="18"/>
                          <w:szCs w:val="22"/>
                          <w:lang w:val="pt-BR"/>
                        </w:rPr>
                        <w:t xml:space="preserve">nicamente </w:t>
                      </w:r>
                      <w:r w:rsidRPr="0038709A">
                        <w:rPr>
                          <w:rFonts w:asciiTheme="majorHAnsi" w:hAnsiTheme="majorHAnsi"/>
                          <w:color w:val="0D0D0D" w:themeColor="text1" w:themeTint="F2"/>
                          <w:sz w:val="18"/>
                          <w:szCs w:val="22"/>
                          <w:lang w:val="pt-BR"/>
                        </w:rPr>
                        <w:t>pel</w:t>
                      </w:r>
                      <w:r w:rsidR="00DD3D86" w:rsidRPr="0038709A">
                        <w:rPr>
                          <w:rFonts w:asciiTheme="majorHAnsi" w:hAnsiTheme="majorHAnsi"/>
                          <w:color w:val="0D0D0D" w:themeColor="text1" w:themeTint="F2"/>
                          <w:sz w:val="18"/>
                          <w:szCs w:val="22"/>
                          <w:lang w:val="pt-BR"/>
                        </w:rPr>
                        <w:t xml:space="preserve">a </w:t>
                      </w:r>
                      <w:r w:rsidRPr="0038709A">
                        <w:rPr>
                          <w:rFonts w:asciiTheme="majorHAnsi" w:hAnsiTheme="majorHAnsi"/>
                          <w:color w:val="0D0D0D" w:themeColor="text1" w:themeTint="F2"/>
                          <w:sz w:val="18"/>
                          <w:szCs w:val="22"/>
                          <w:lang w:val="pt-BR"/>
                        </w:rPr>
                        <w:t xml:space="preserve">Comissão em </w:t>
                      </w:r>
                      <w:r w:rsidR="003E7D36">
                        <w:rPr>
                          <w:rFonts w:asciiTheme="majorHAnsi" w:hAnsiTheme="majorHAnsi"/>
                          <w:color w:val="0D0D0D" w:themeColor="text1" w:themeTint="F2"/>
                          <w:sz w:val="18"/>
                          <w:szCs w:val="22"/>
                          <w:lang w:val="pt-BR"/>
                        </w:rPr>
                        <w:t>6</w:t>
                      </w:r>
                      <w:r w:rsidR="00DD3D86" w:rsidRPr="0038709A">
                        <w:rPr>
                          <w:rFonts w:asciiTheme="majorHAnsi" w:hAnsiTheme="majorHAnsi"/>
                          <w:color w:val="0D0D0D" w:themeColor="text1" w:themeTint="F2"/>
                          <w:sz w:val="18"/>
                          <w:szCs w:val="22"/>
                          <w:lang w:val="pt-BR"/>
                        </w:rPr>
                        <w:t xml:space="preserve"> de </w:t>
                      </w:r>
                      <w:r w:rsidR="003E7D36">
                        <w:rPr>
                          <w:rFonts w:asciiTheme="majorHAnsi" w:hAnsiTheme="majorHAnsi"/>
                          <w:color w:val="0D0D0D" w:themeColor="text1" w:themeTint="F2"/>
                          <w:sz w:val="18"/>
                          <w:szCs w:val="22"/>
                          <w:lang w:val="pt-BR"/>
                        </w:rPr>
                        <w:t>outubro</w:t>
                      </w:r>
                      <w:r w:rsidR="00F81BB8" w:rsidRPr="0038709A">
                        <w:rPr>
                          <w:rFonts w:asciiTheme="majorHAnsi" w:hAnsiTheme="majorHAnsi"/>
                          <w:color w:val="0D0D0D" w:themeColor="text1" w:themeTint="F2"/>
                          <w:sz w:val="18"/>
                          <w:szCs w:val="22"/>
                          <w:lang w:val="pt-BR"/>
                        </w:rPr>
                        <w:t xml:space="preserve"> </w:t>
                      </w:r>
                      <w:r w:rsidR="00D834AA">
                        <w:rPr>
                          <w:rFonts w:asciiTheme="majorHAnsi" w:hAnsiTheme="majorHAnsi"/>
                          <w:color w:val="0D0D0D" w:themeColor="text1" w:themeTint="F2"/>
                          <w:sz w:val="18"/>
                          <w:szCs w:val="22"/>
                          <w:lang w:val="pt-BR"/>
                        </w:rPr>
                        <w:t>de 202</w:t>
                      </w:r>
                      <w:r w:rsidR="00274C86">
                        <w:rPr>
                          <w:rFonts w:asciiTheme="majorHAnsi" w:hAnsiTheme="majorHAnsi"/>
                          <w:color w:val="0D0D0D" w:themeColor="text1" w:themeTint="F2"/>
                          <w:sz w:val="18"/>
                          <w:szCs w:val="22"/>
                          <w:lang w:val="pt-BR"/>
                        </w:rPr>
                        <w:t>5</w:t>
                      </w:r>
                      <w:r w:rsidR="00462688">
                        <w:rPr>
                          <w:rFonts w:asciiTheme="majorHAnsi" w:hAnsiTheme="majorHAnsi"/>
                          <w:color w:val="0D0D0D" w:themeColor="text1" w:themeTint="F2"/>
                          <w:sz w:val="18"/>
                          <w:szCs w:val="22"/>
                          <w:lang w:val="pt-BR"/>
                        </w:rPr>
                        <w:t>.</w:t>
                      </w:r>
                    </w:p>
                    <w:p w14:paraId="4BDF3581" w14:textId="77777777" w:rsidR="00DD3D86" w:rsidRPr="0038709A" w:rsidRDefault="00DD3D86" w:rsidP="00247403">
                      <w:pPr>
                        <w:tabs>
                          <w:tab w:val="center" w:pos="5400"/>
                        </w:tabs>
                        <w:suppressAutoHyphens/>
                        <w:spacing w:before="60"/>
                        <w:rPr>
                          <w:rFonts w:asciiTheme="minorHAnsi" w:hAnsiTheme="minorHAnsi" w:cs="Univers"/>
                          <w:color w:val="0D0D0D" w:themeColor="text1" w:themeTint="F2"/>
                          <w:sz w:val="20"/>
                          <w:szCs w:val="20"/>
                          <w:lang w:val="pt-BR"/>
                        </w:rPr>
                      </w:pPr>
                    </w:p>
                    <w:p w14:paraId="4D148488" w14:textId="77777777" w:rsidR="005B52B0" w:rsidRPr="0038709A" w:rsidRDefault="005B52B0" w:rsidP="0059191A">
                      <w:pPr>
                        <w:tabs>
                          <w:tab w:val="center" w:pos="5400"/>
                        </w:tabs>
                        <w:suppressAutoHyphens/>
                        <w:spacing w:before="60"/>
                        <w:rPr>
                          <w:rFonts w:ascii="Calibri" w:hAnsi="Calibri"/>
                          <w:color w:val="FFFFFF" w:themeColor="background1"/>
                          <w:spacing w:val="-2"/>
                          <w:sz w:val="16"/>
                          <w:lang w:val="pt-BR"/>
                        </w:rPr>
                      </w:pPr>
                    </w:p>
                  </w:txbxContent>
                </v:textbox>
              </v:shape>
            </w:pict>
          </mc:Fallback>
        </mc:AlternateContent>
      </w:r>
    </w:p>
    <w:p w14:paraId="1F28BEBB"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7929D1FD"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5469D0BE"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7A79F059"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330672AE" w14:textId="77777777" w:rsidR="00A50FCF" w:rsidRPr="008C651D" w:rsidRDefault="0090270B" w:rsidP="00040C3A">
      <w:pPr>
        <w:tabs>
          <w:tab w:val="center" w:pos="5400"/>
        </w:tabs>
        <w:suppressAutoHyphens/>
        <w:jc w:val="center"/>
        <w:rPr>
          <w:rFonts w:asciiTheme="majorHAnsi" w:hAnsiTheme="majorHAnsi"/>
          <w:color w:val="000000" w:themeColor="text1"/>
          <w:sz w:val="18"/>
          <w:szCs w:val="22"/>
          <w:lang w:val="pt-BR"/>
        </w:rPr>
      </w:pPr>
      <w:r w:rsidRPr="008C651D">
        <w:rPr>
          <w:rFonts w:asciiTheme="majorHAnsi" w:hAnsiTheme="majorHAnsi"/>
          <w:noProof/>
          <w:color w:val="000000" w:themeColor="text1"/>
          <w:sz w:val="18"/>
          <w:szCs w:val="22"/>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0F550" w14:textId="4DE2AE80" w:rsidR="00462688" w:rsidRDefault="00113F73" w:rsidP="00113F73">
                            <w:pPr>
                              <w:spacing w:line="276" w:lineRule="auto"/>
                              <w:rPr>
                                <w:rFonts w:asciiTheme="majorHAnsi" w:hAnsiTheme="majorHAnsi"/>
                                <w:color w:val="595959" w:themeColor="text1" w:themeTint="A6"/>
                                <w:sz w:val="18"/>
                                <w:szCs w:val="18"/>
                                <w:lang w:val="pt-BR"/>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w:t>
                            </w:r>
                            <w:r w:rsidR="0038709A">
                              <w:rPr>
                                <w:rFonts w:asciiTheme="majorHAnsi" w:hAnsiTheme="majorHAnsi"/>
                                <w:color w:val="595959" w:themeColor="text1" w:themeTint="A6"/>
                                <w:sz w:val="18"/>
                                <w:szCs w:val="18"/>
                                <w:lang w:val="pt-BR"/>
                              </w:rPr>
                              <w:t>Relatório</w:t>
                            </w:r>
                            <w:r w:rsidRPr="00890650">
                              <w:rPr>
                                <w:rFonts w:asciiTheme="majorHAnsi" w:hAnsiTheme="majorHAnsi"/>
                                <w:color w:val="595959" w:themeColor="text1" w:themeTint="A6"/>
                                <w:sz w:val="18"/>
                                <w:szCs w:val="18"/>
                                <w:lang w:val="pt-BR"/>
                              </w:rPr>
                              <w:t xml:space="preserve"> No. </w:t>
                            </w:r>
                            <w:r w:rsidR="003E7D36">
                              <w:rPr>
                                <w:rFonts w:asciiTheme="majorHAnsi" w:hAnsiTheme="majorHAnsi"/>
                                <w:color w:val="595959" w:themeColor="text1" w:themeTint="A6"/>
                                <w:sz w:val="18"/>
                                <w:szCs w:val="18"/>
                                <w:lang w:val="pt-BR"/>
                              </w:rPr>
                              <w:t>206</w:t>
                            </w:r>
                            <w:r w:rsidR="0038709A" w:rsidRPr="0038709A">
                              <w:rPr>
                                <w:rFonts w:asciiTheme="majorHAnsi" w:hAnsiTheme="majorHAnsi"/>
                                <w:color w:val="595959" w:themeColor="text1" w:themeTint="A6"/>
                                <w:sz w:val="18"/>
                                <w:szCs w:val="18"/>
                                <w:lang w:val="pt-BR"/>
                              </w:rPr>
                              <w:t>/</w:t>
                            </w:r>
                            <w:r w:rsidR="003E7D36">
                              <w:rPr>
                                <w:rFonts w:asciiTheme="majorHAnsi" w:hAnsiTheme="majorHAnsi"/>
                                <w:color w:val="595959" w:themeColor="text1" w:themeTint="A6"/>
                                <w:sz w:val="18"/>
                                <w:szCs w:val="18"/>
                                <w:lang w:val="pt-BR"/>
                              </w:rPr>
                              <w:t>25</w:t>
                            </w:r>
                            <w:r w:rsidRPr="0038709A">
                              <w:rPr>
                                <w:rFonts w:asciiTheme="majorHAnsi" w:hAnsiTheme="majorHAnsi"/>
                                <w:color w:val="595959" w:themeColor="text1" w:themeTint="A6"/>
                                <w:sz w:val="18"/>
                                <w:szCs w:val="18"/>
                                <w:lang w:val="pt-BR"/>
                              </w:rPr>
                              <w:t xml:space="preserve">. </w:t>
                            </w:r>
                            <w:r w:rsidR="0038709A" w:rsidRPr="0038709A">
                              <w:rPr>
                                <w:rFonts w:asciiTheme="majorHAnsi" w:hAnsiTheme="majorHAnsi"/>
                                <w:color w:val="595959" w:themeColor="text1" w:themeTint="A6"/>
                                <w:sz w:val="18"/>
                                <w:szCs w:val="18"/>
                                <w:lang w:val="pt-BR"/>
                              </w:rPr>
                              <w:t>Petição</w:t>
                            </w:r>
                            <w:r w:rsidR="000433C9" w:rsidRPr="0038709A">
                              <w:rPr>
                                <w:rFonts w:asciiTheme="majorHAnsi" w:hAnsiTheme="majorHAnsi"/>
                                <w:color w:val="595959" w:themeColor="text1" w:themeTint="A6"/>
                                <w:sz w:val="18"/>
                                <w:szCs w:val="18"/>
                                <w:lang w:val="pt-BR"/>
                              </w:rPr>
                              <w:t xml:space="preserve"> </w:t>
                            </w:r>
                            <w:r w:rsidR="005A1DAC">
                              <w:rPr>
                                <w:rFonts w:asciiTheme="majorHAnsi" w:hAnsiTheme="majorHAnsi"/>
                                <w:color w:val="595959" w:themeColor="text1" w:themeTint="A6"/>
                                <w:sz w:val="18"/>
                                <w:szCs w:val="18"/>
                                <w:lang w:val="pt-BR"/>
                              </w:rPr>
                              <w:t>2170-16</w:t>
                            </w:r>
                            <w:r w:rsidR="000433C9" w:rsidRPr="0038709A">
                              <w:rPr>
                                <w:rFonts w:asciiTheme="majorHAnsi" w:hAnsiTheme="majorHAnsi"/>
                                <w:color w:val="595959" w:themeColor="text1" w:themeTint="A6"/>
                                <w:sz w:val="18"/>
                                <w:szCs w:val="18"/>
                                <w:lang w:val="pt-BR"/>
                              </w:rPr>
                              <w:t xml:space="preserve">. </w:t>
                            </w:r>
                            <w:r w:rsidR="005A1DAC">
                              <w:rPr>
                                <w:rFonts w:asciiTheme="majorHAnsi" w:hAnsiTheme="majorHAnsi"/>
                                <w:color w:val="595959" w:themeColor="text1" w:themeTint="A6"/>
                                <w:sz w:val="18"/>
                                <w:szCs w:val="18"/>
                                <w:lang w:val="pt-BR"/>
                              </w:rPr>
                              <w:t>A</w:t>
                            </w:r>
                            <w:r w:rsidRPr="0038709A">
                              <w:rPr>
                                <w:rFonts w:asciiTheme="majorHAnsi" w:hAnsiTheme="majorHAnsi"/>
                                <w:color w:val="595959" w:themeColor="text1" w:themeTint="A6"/>
                                <w:sz w:val="18"/>
                                <w:szCs w:val="18"/>
                                <w:lang w:val="pt-BR"/>
                              </w:rPr>
                              <w:t>dmi</w:t>
                            </w:r>
                            <w:r w:rsidR="0038709A" w:rsidRPr="0038709A">
                              <w:rPr>
                                <w:rFonts w:asciiTheme="majorHAnsi" w:hAnsiTheme="majorHAnsi"/>
                                <w:color w:val="595959" w:themeColor="text1" w:themeTint="A6"/>
                                <w:sz w:val="18"/>
                                <w:szCs w:val="18"/>
                                <w:lang w:val="pt-BR"/>
                              </w:rPr>
                              <w:t>s</w:t>
                            </w:r>
                            <w:r w:rsidRPr="0038709A">
                              <w:rPr>
                                <w:rFonts w:asciiTheme="majorHAnsi" w:hAnsiTheme="majorHAnsi"/>
                                <w:color w:val="595959" w:themeColor="text1" w:themeTint="A6"/>
                                <w:sz w:val="18"/>
                                <w:szCs w:val="18"/>
                                <w:lang w:val="pt-BR"/>
                              </w:rPr>
                              <w:t>sibilidad</w:t>
                            </w:r>
                            <w:r w:rsidR="0038709A" w:rsidRPr="0038709A">
                              <w:rPr>
                                <w:rFonts w:asciiTheme="majorHAnsi" w:hAnsiTheme="majorHAnsi"/>
                                <w:color w:val="595959" w:themeColor="text1" w:themeTint="A6"/>
                                <w:sz w:val="18"/>
                                <w:szCs w:val="18"/>
                                <w:lang w:val="pt-BR"/>
                              </w:rPr>
                              <w:t>e</w:t>
                            </w:r>
                            <w:r w:rsidR="004F1F31">
                              <w:rPr>
                                <w:rFonts w:asciiTheme="majorHAnsi" w:hAnsiTheme="majorHAnsi"/>
                                <w:color w:val="595959" w:themeColor="text1" w:themeTint="A6"/>
                                <w:sz w:val="18"/>
                                <w:szCs w:val="18"/>
                                <w:lang w:val="pt-BR"/>
                              </w:rPr>
                              <w:t xml:space="preserve">. </w:t>
                            </w:r>
                          </w:p>
                          <w:p w14:paraId="0D1B22CF" w14:textId="57DE41A8" w:rsidR="00113F73" w:rsidRPr="0038709A" w:rsidRDefault="005A1DAC" w:rsidP="00113F73">
                            <w:pPr>
                              <w:spacing w:line="276" w:lineRule="auto"/>
                              <w:rPr>
                                <w:rFonts w:asciiTheme="majorHAnsi" w:hAnsiTheme="majorHAnsi"/>
                                <w:color w:val="595959" w:themeColor="text1" w:themeTint="A6"/>
                                <w:sz w:val="18"/>
                                <w:szCs w:val="18"/>
                                <w:lang w:val="pt-BR"/>
                              </w:rPr>
                            </w:pPr>
                            <w:r>
                              <w:rPr>
                                <w:rFonts w:asciiTheme="majorHAnsi" w:hAnsiTheme="majorHAnsi"/>
                                <w:color w:val="595959" w:themeColor="text1" w:themeTint="A6"/>
                                <w:sz w:val="18"/>
                                <w:szCs w:val="18"/>
                                <w:lang w:val="pt-BR"/>
                              </w:rPr>
                              <w:t>Nilson Roberto dos Santos</w:t>
                            </w:r>
                            <w:r w:rsidR="001E1683">
                              <w:rPr>
                                <w:rFonts w:asciiTheme="majorHAnsi" w:hAnsiTheme="majorHAnsi"/>
                                <w:color w:val="595959" w:themeColor="text1" w:themeTint="A6"/>
                                <w:sz w:val="18"/>
                                <w:szCs w:val="18"/>
                                <w:lang w:val="pt-BR"/>
                              </w:rPr>
                              <w:t>.</w:t>
                            </w:r>
                            <w:r w:rsidR="004F1F31">
                              <w:rPr>
                                <w:rFonts w:asciiTheme="majorHAnsi" w:hAnsiTheme="majorHAnsi"/>
                                <w:color w:val="595959" w:themeColor="text1" w:themeTint="A6"/>
                                <w:sz w:val="18"/>
                                <w:szCs w:val="18"/>
                                <w:lang w:val="pt-BR"/>
                              </w:rPr>
                              <w:t xml:space="preserve"> Brasil.</w:t>
                            </w:r>
                            <w:r w:rsidR="00113F73" w:rsidRPr="0038709A">
                              <w:rPr>
                                <w:rFonts w:asciiTheme="majorHAnsi" w:hAnsiTheme="majorHAnsi"/>
                                <w:color w:val="595959" w:themeColor="text1" w:themeTint="A6"/>
                                <w:sz w:val="18"/>
                                <w:szCs w:val="18"/>
                                <w:lang w:val="pt-BR"/>
                              </w:rPr>
                              <w:t xml:space="preserve"> </w:t>
                            </w:r>
                            <w:r w:rsidR="003E7D36">
                              <w:rPr>
                                <w:rFonts w:asciiTheme="majorHAnsi" w:hAnsiTheme="majorHAnsi"/>
                                <w:color w:val="595959" w:themeColor="text1" w:themeTint="A6"/>
                                <w:sz w:val="18"/>
                                <w:szCs w:val="18"/>
                                <w:lang w:val="pt-BR"/>
                              </w:rPr>
                              <w:t>6 de outubro de 2025</w:t>
                            </w:r>
                            <w:r w:rsidR="00113F73" w:rsidRPr="0038709A">
                              <w:rPr>
                                <w:rFonts w:asciiTheme="majorHAnsi" w:hAnsiTheme="majorHAnsi"/>
                                <w:color w:val="595959" w:themeColor="text1" w:themeTint="A6"/>
                                <w:sz w:val="18"/>
                                <w:szCs w:val="18"/>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790F550" w14:textId="4DE2AE80" w:rsidR="00462688" w:rsidRDefault="00113F73" w:rsidP="00113F73">
                      <w:pPr>
                        <w:spacing w:line="276" w:lineRule="auto"/>
                        <w:rPr>
                          <w:rFonts w:asciiTheme="majorHAnsi" w:hAnsiTheme="majorHAnsi"/>
                          <w:color w:val="595959" w:themeColor="text1" w:themeTint="A6"/>
                          <w:sz w:val="18"/>
                          <w:szCs w:val="18"/>
                          <w:lang w:val="pt-BR"/>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w:t>
                      </w:r>
                      <w:r w:rsidR="0038709A">
                        <w:rPr>
                          <w:rFonts w:asciiTheme="majorHAnsi" w:hAnsiTheme="majorHAnsi"/>
                          <w:color w:val="595959" w:themeColor="text1" w:themeTint="A6"/>
                          <w:sz w:val="18"/>
                          <w:szCs w:val="18"/>
                          <w:lang w:val="pt-BR"/>
                        </w:rPr>
                        <w:t>Relatório</w:t>
                      </w:r>
                      <w:r w:rsidRPr="00890650">
                        <w:rPr>
                          <w:rFonts w:asciiTheme="majorHAnsi" w:hAnsiTheme="majorHAnsi"/>
                          <w:color w:val="595959" w:themeColor="text1" w:themeTint="A6"/>
                          <w:sz w:val="18"/>
                          <w:szCs w:val="18"/>
                          <w:lang w:val="pt-BR"/>
                        </w:rPr>
                        <w:t xml:space="preserve"> No. </w:t>
                      </w:r>
                      <w:r w:rsidR="003E7D36">
                        <w:rPr>
                          <w:rFonts w:asciiTheme="majorHAnsi" w:hAnsiTheme="majorHAnsi"/>
                          <w:color w:val="595959" w:themeColor="text1" w:themeTint="A6"/>
                          <w:sz w:val="18"/>
                          <w:szCs w:val="18"/>
                          <w:lang w:val="pt-BR"/>
                        </w:rPr>
                        <w:t>206</w:t>
                      </w:r>
                      <w:r w:rsidR="0038709A" w:rsidRPr="0038709A">
                        <w:rPr>
                          <w:rFonts w:asciiTheme="majorHAnsi" w:hAnsiTheme="majorHAnsi"/>
                          <w:color w:val="595959" w:themeColor="text1" w:themeTint="A6"/>
                          <w:sz w:val="18"/>
                          <w:szCs w:val="18"/>
                          <w:lang w:val="pt-BR"/>
                        </w:rPr>
                        <w:t>/</w:t>
                      </w:r>
                      <w:r w:rsidR="003E7D36">
                        <w:rPr>
                          <w:rFonts w:asciiTheme="majorHAnsi" w:hAnsiTheme="majorHAnsi"/>
                          <w:color w:val="595959" w:themeColor="text1" w:themeTint="A6"/>
                          <w:sz w:val="18"/>
                          <w:szCs w:val="18"/>
                          <w:lang w:val="pt-BR"/>
                        </w:rPr>
                        <w:t>25</w:t>
                      </w:r>
                      <w:r w:rsidRPr="0038709A">
                        <w:rPr>
                          <w:rFonts w:asciiTheme="majorHAnsi" w:hAnsiTheme="majorHAnsi"/>
                          <w:color w:val="595959" w:themeColor="text1" w:themeTint="A6"/>
                          <w:sz w:val="18"/>
                          <w:szCs w:val="18"/>
                          <w:lang w:val="pt-BR"/>
                        </w:rPr>
                        <w:t xml:space="preserve">. </w:t>
                      </w:r>
                      <w:r w:rsidR="0038709A" w:rsidRPr="0038709A">
                        <w:rPr>
                          <w:rFonts w:asciiTheme="majorHAnsi" w:hAnsiTheme="majorHAnsi"/>
                          <w:color w:val="595959" w:themeColor="text1" w:themeTint="A6"/>
                          <w:sz w:val="18"/>
                          <w:szCs w:val="18"/>
                          <w:lang w:val="pt-BR"/>
                        </w:rPr>
                        <w:t>Petição</w:t>
                      </w:r>
                      <w:r w:rsidR="000433C9" w:rsidRPr="0038709A">
                        <w:rPr>
                          <w:rFonts w:asciiTheme="majorHAnsi" w:hAnsiTheme="majorHAnsi"/>
                          <w:color w:val="595959" w:themeColor="text1" w:themeTint="A6"/>
                          <w:sz w:val="18"/>
                          <w:szCs w:val="18"/>
                          <w:lang w:val="pt-BR"/>
                        </w:rPr>
                        <w:t xml:space="preserve"> </w:t>
                      </w:r>
                      <w:r w:rsidR="005A1DAC">
                        <w:rPr>
                          <w:rFonts w:asciiTheme="majorHAnsi" w:hAnsiTheme="majorHAnsi"/>
                          <w:color w:val="595959" w:themeColor="text1" w:themeTint="A6"/>
                          <w:sz w:val="18"/>
                          <w:szCs w:val="18"/>
                          <w:lang w:val="pt-BR"/>
                        </w:rPr>
                        <w:t>2170-16</w:t>
                      </w:r>
                      <w:r w:rsidR="000433C9" w:rsidRPr="0038709A">
                        <w:rPr>
                          <w:rFonts w:asciiTheme="majorHAnsi" w:hAnsiTheme="majorHAnsi"/>
                          <w:color w:val="595959" w:themeColor="text1" w:themeTint="A6"/>
                          <w:sz w:val="18"/>
                          <w:szCs w:val="18"/>
                          <w:lang w:val="pt-BR"/>
                        </w:rPr>
                        <w:t xml:space="preserve">. </w:t>
                      </w:r>
                      <w:r w:rsidR="005A1DAC">
                        <w:rPr>
                          <w:rFonts w:asciiTheme="majorHAnsi" w:hAnsiTheme="majorHAnsi"/>
                          <w:color w:val="595959" w:themeColor="text1" w:themeTint="A6"/>
                          <w:sz w:val="18"/>
                          <w:szCs w:val="18"/>
                          <w:lang w:val="pt-BR"/>
                        </w:rPr>
                        <w:t>A</w:t>
                      </w:r>
                      <w:r w:rsidRPr="0038709A">
                        <w:rPr>
                          <w:rFonts w:asciiTheme="majorHAnsi" w:hAnsiTheme="majorHAnsi"/>
                          <w:color w:val="595959" w:themeColor="text1" w:themeTint="A6"/>
                          <w:sz w:val="18"/>
                          <w:szCs w:val="18"/>
                          <w:lang w:val="pt-BR"/>
                        </w:rPr>
                        <w:t>dmi</w:t>
                      </w:r>
                      <w:r w:rsidR="0038709A" w:rsidRPr="0038709A">
                        <w:rPr>
                          <w:rFonts w:asciiTheme="majorHAnsi" w:hAnsiTheme="majorHAnsi"/>
                          <w:color w:val="595959" w:themeColor="text1" w:themeTint="A6"/>
                          <w:sz w:val="18"/>
                          <w:szCs w:val="18"/>
                          <w:lang w:val="pt-BR"/>
                        </w:rPr>
                        <w:t>s</w:t>
                      </w:r>
                      <w:r w:rsidRPr="0038709A">
                        <w:rPr>
                          <w:rFonts w:asciiTheme="majorHAnsi" w:hAnsiTheme="majorHAnsi"/>
                          <w:color w:val="595959" w:themeColor="text1" w:themeTint="A6"/>
                          <w:sz w:val="18"/>
                          <w:szCs w:val="18"/>
                          <w:lang w:val="pt-BR"/>
                        </w:rPr>
                        <w:t>sibilidad</w:t>
                      </w:r>
                      <w:r w:rsidR="0038709A" w:rsidRPr="0038709A">
                        <w:rPr>
                          <w:rFonts w:asciiTheme="majorHAnsi" w:hAnsiTheme="majorHAnsi"/>
                          <w:color w:val="595959" w:themeColor="text1" w:themeTint="A6"/>
                          <w:sz w:val="18"/>
                          <w:szCs w:val="18"/>
                          <w:lang w:val="pt-BR"/>
                        </w:rPr>
                        <w:t>e</w:t>
                      </w:r>
                      <w:r w:rsidR="004F1F31">
                        <w:rPr>
                          <w:rFonts w:asciiTheme="majorHAnsi" w:hAnsiTheme="majorHAnsi"/>
                          <w:color w:val="595959" w:themeColor="text1" w:themeTint="A6"/>
                          <w:sz w:val="18"/>
                          <w:szCs w:val="18"/>
                          <w:lang w:val="pt-BR"/>
                        </w:rPr>
                        <w:t xml:space="preserve">. </w:t>
                      </w:r>
                    </w:p>
                    <w:p w14:paraId="0D1B22CF" w14:textId="57DE41A8" w:rsidR="00113F73" w:rsidRPr="0038709A" w:rsidRDefault="005A1DAC" w:rsidP="00113F73">
                      <w:pPr>
                        <w:spacing w:line="276" w:lineRule="auto"/>
                        <w:rPr>
                          <w:rFonts w:asciiTheme="majorHAnsi" w:hAnsiTheme="majorHAnsi"/>
                          <w:color w:val="595959" w:themeColor="text1" w:themeTint="A6"/>
                          <w:sz w:val="18"/>
                          <w:szCs w:val="18"/>
                          <w:lang w:val="pt-BR"/>
                        </w:rPr>
                      </w:pPr>
                      <w:r>
                        <w:rPr>
                          <w:rFonts w:asciiTheme="majorHAnsi" w:hAnsiTheme="majorHAnsi"/>
                          <w:color w:val="595959" w:themeColor="text1" w:themeTint="A6"/>
                          <w:sz w:val="18"/>
                          <w:szCs w:val="18"/>
                          <w:lang w:val="pt-BR"/>
                        </w:rPr>
                        <w:t>Nilson Roberto dos Santos</w:t>
                      </w:r>
                      <w:r w:rsidR="001E1683">
                        <w:rPr>
                          <w:rFonts w:asciiTheme="majorHAnsi" w:hAnsiTheme="majorHAnsi"/>
                          <w:color w:val="595959" w:themeColor="text1" w:themeTint="A6"/>
                          <w:sz w:val="18"/>
                          <w:szCs w:val="18"/>
                          <w:lang w:val="pt-BR"/>
                        </w:rPr>
                        <w:t>.</w:t>
                      </w:r>
                      <w:r w:rsidR="004F1F31">
                        <w:rPr>
                          <w:rFonts w:asciiTheme="majorHAnsi" w:hAnsiTheme="majorHAnsi"/>
                          <w:color w:val="595959" w:themeColor="text1" w:themeTint="A6"/>
                          <w:sz w:val="18"/>
                          <w:szCs w:val="18"/>
                          <w:lang w:val="pt-BR"/>
                        </w:rPr>
                        <w:t xml:space="preserve"> Brasil.</w:t>
                      </w:r>
                      <w:r w:rsidR="00113F73" w:rsidRPr="0038709A">
                        <w:rPr>
                          <w:rFonts w:asciiTheme="majorHAnsi" w:hAnsiTheme="majorHAnsi"/>
                          <w:color w:val="595959" w:themeColor="text1" w:themeTint="A6"/>
                          <w:sz w:val="18"/>
                          <w:szCs w:val="18"/>
                          <w:lang w:val="pt-BR"/>
                        </w:rPr>
                        <w:t xml:space="preserve"> </w:t>
                      </w:r>
                      <w:r w:rsidR="003E7D36">
                        <w:rPr>
                          <w:rFonts w:asciiTheme="majorHAnsi" w:hAnsiTheme="majorHAnsi"/>
                          <w:color w:val="595959" w:themeColor="text1" w:themeTint="A6"/>
                          <w:sz w:val="18"/>
                          <w:szCs w:val="18"/>
                          <w:lang w:val="pt-BR"/>
                        </w:rPr>
                        <w:t>6 de outubro de 2025</w:t>
                      </w:r>
                      <w:r w:rsidR="00113F73" w:rsidRPr="0038709A">
                        <w:rPr>
                          <w:rFonts w:asciiTheme="majorHAnsi" w:hAnsiTheme="majorHAnsi"/>
                          <w:color w:val="595959" w:themeColor="text1" w:themeTint="A6"/>
                          <w:sz w:val="18"/>
                          <w:szCs w:val="18"/>
                          <w:lang w:val="pt-BR"/>
                        </w:rPr>
                        <w:t>.</w:t>
                      </w:r>
                    </w:p>
                  </w:txbxContent>
                </v:textbox>
              </v:shape>
            </w:pict>
          </mc:Fallback>
        </mc:AlternateContent>
      </w:r>
    </w:p>
    <w:p w14:paraId="196A49DE" w14:textId="77777777" w:rsidR="00A50FCF" w:rsidRPr="008C651D" w:rsidRDefault="00A50FCF" w:rsidP="00040C3A">
      <w:pPr>
        <w:tabs>
          <w:tab w:val="center" w:pos="5400"/>
        </w:tabs>
        <w:suppressAutoHyphens/>
        <w:jc w:val="center"/>
        <w:rPr>
          <w:rFonts w:asciiTheme="majorHAnsi" w:hAnsiTheme="majorHAnsi"/>
          <w:color w:val="000000" w:themeColor="text1"/>
          <w:sz w:val="18"/>
          <w:szCs w:val="22"/>
          <w:lang w:val="pt-BR"/>
        </w:rPr>
      </w:pPr>
    </w:p>
    <w:p w14:paraId="1DA07629" w14:textId="0481156B" w:rsidR="0090270B" w:rsidRPr="008C651D" w:rsidRDefault="00D306D1" w:rsidP="005516A1">
      <w:pPr>
        <w:tabs>
          <w:tab w:val="center" w:pos="5400"/>
        </w:tabs>
        <w:suppressAutoHyphens/>
        <w:jc w:val="center"/>
        <w:rPr>
          <w:rFonts w:asciiTheme="majorHAnsi" w:hAnsiTheme="majorHAnsi"/>
          <w:b/>
          <w:color w:val="000000" w:themeColor="text1"/>
          <w:sz w:val="20"/>
          <w:lang w:val="pt-BR"/>
        </w:rPr>
      </w:pPr>
      <w:r w:rsidRPr="008C651D">
        <w:rPr>
          <w:rFonts w:asciiTheme="majorHAnsi" w:hAnsiTheme="majorHAnsi"/>
          <w:noProof/>
          <w:color w:val="000000" w:themeColor="text1"/>
          <w:sz w:val="22"/>
          <w:szCs w:val="22"/>
        </w:rPr>
        <mc:AlternateContent>
          <mc:Choice Requires="wps">
            <w:drawing>
              <wp:anchor distT="0" distB="0" distL="114300" distR="114300" simplePos="0" relativeHeight="251658247" behindDoc="0" locked="0" layoutInCell="1" allowOverlap="1" wp14:anchorId="02EDA5EE" wp14:editId="3BC65D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A75CC3" w:rsidRDefault="00D306D1" w:rsidP="00D306D1">
                            <w:pPr>
                              <w:jc w:val="center"/>
                              <w:rPr>
                                <w:rFonts w:asciiTheme="minorHAnsi" w:hAnsiTheme="minorHAnsi"/>
                                <w:b/>
                              </w:rPr>
                            </w:pPr>
                            <w:r w:rsidRPr="00A75CC3">
                              <w:rPr>
                                <w:rFonts w:asciiTheme="minorHAnsi" w:hAnsiTheme="minorHAnsi"/>
                                <w:b/>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A75CC3" w:rsidRDefault="00D306D1" w:rsidP="00D306D1">
                      <w:pPr>
                        <w:jc w:val="center"/>
                        <w:rPr>
                          <w:rFonts w:asciiTheme="minorHAnsi" w:hAnsiTheme="minorHAnsi"/>
                          <w:b/>
                        </w:rPr>
                      </w:pPr>
                      <w:r w:rsidRPr="00A75CC3">
                        <w:rPr>
                          <w:rFonts w:asciiTheme="minorHAnsi" w:hAnsiTheme="minorHAnsi"/>
                          <w:b/>
                          <w:lang w:val="pt-BR"/>
                        </w:rPr>
                        <w:t>www.cidh.org</w:t>
                      </w:r>
                    </w:p>
                  </w:txbxContent>
                </v:textbox>
              </v:shape>
            </w:pict>
          </mc:Fallback>
        </mc:AlternateContent>
      </w:r>
    </w:p>
    <w:p w14:paraId="2FE1B253" w14:textId="671F62F7" w:rsidR="0070697F" w:rsidRPr="008C651D" w:rsidRDefault="00462688" w:rsidP="005516A1">
      <w:pPr>
        <w:tabs>
          <w:tab w:val="center" w:pos="5400"/>
        </w:tabs>
        <w:suppressAutoHyphens/>
        <w:jc w:val="center"/>
        <w:rPr>
          <w:rFonts w:asciiTheme="majorHAnsi" w:hAnsiTheme="majorHAnsi"/>
          <w:b/>
          <w:color w:val="000000" w:themeColor="text1"/>
          <w:sz w:val="20"/>
          <w:lang w:val="pt-BR"/>
        </w:rPr>
        <w:sectPr w:rsidR="0070697F" w:rsidRPr="008C651D" w:rsidSect="008F5C54">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8C651D">
        <w:rPr>
          <w:rFonts w:asciiTheme="majorHAnsi" w:hAnsiTheme="majorHAnsi"/>
          <w:noProof/>
          <w:color w:val="000000" w:themeColor="text1"/>
          <w:sz w:val="18"/>
          <w:szCs w:val="22"/>
        </w:rPr>
        <mc:AlternateContent>
          <mc:Choice Requires="wps">
            <w:drawing>
              <wp:anchor distT="0" distB="0" distL="114300" distR="114300" simplePos="0" relativeHeight="251658246" behindDoc="0" locked="0" layoutInCell="1" allowOverlap="1" wp14:anchorId="50472543" wp14:editId="0674D937">
                <wp:simplePos x="0" y="0"/>
                <wp:positionH relativeFrom="column">
                  <wp:posOffset>1314401</wp:posOffset>
                </wp:positionH>
                <wp:positionV relativeFrom="paragraph">
                  <wp:posOffset>490220</wp:posOffset>
                </wp:positionV>
                <wp:extent cx="4096385" cy="682283"/>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4096385" cy="6822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77777777" w:rsidR="00D72DC6" w:rsidRPr="00D72DC6" w:rsidRDefault="00D72DC6"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266F0A37" wp14:editId="472A898C">
                                  <wp:extent cx="1962443" cy="5371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3109" cy="5482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3.5pt;margin-top:38.6pt;width:322.55pt;height:53.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" fillcolor="white [3201]" stroked="f" strokeweight=".5pt">
                <v:textbox>
                  <w:txbxContent>
                    <w:p w14:paraId="2A1ECD3C" w14:textId="77777777" w:rsidR="00D72DC6" w:rsidRPr="00D72DC6" w:rsidRDefault="00D72DC6"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266F0A37" wp14:editId="472A898C">
                            <wp:extent cx="1962443" cy="5371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3109" cy="548284"/>
                                    </a:xfrm>
                                    <a:prstGeom prst="rect">
                                      <a:avLst/>
                                    </a:prstGeom>
                                    <a:noFill/>
                                    <a:ln>
                                      <a:noFill/>
                                    </a:ln>
                                  </pic:spPr>
                                </pic:pic>
                              </a:graphicData>
                            </a:graphic>
                          </wp:inline>
                        </w:drawing>
                      </w:r>
                    </w:p>
                  </w:txbxContent>
                </v:textbox>
              </v:shape>
            </w:pict>
          </mc:Fallback>
        </mc:AlternateContent>
      </w:r>
      <w:r w:rsidR="004A6A54" w:rsidRPr="008C651D">
        <w:rPr>
          <w:rFonts w:asciiTheme="majorHAnsi" w:hAnsiTheme="majorHAnsi"/>
          <w:b/>
          <w:color w:val="000000" w:themeColor="text1"/>
          <w:sz w:val="20"/>
          <w:lang w:val="pt-BR"/>
        </w:rPr>
        <w:tab/>
      </w:r>
    </w:p>
    <w:p w14:paraId="376DDC8B" w14:textId="1B8154B1" w:rsidR="003239B8" w:rsidRPr="008C651D" w:rsidRDefault="00A37F2E" w:rsidP="004A6A54">
      <w:pPr>
        <w:spacing w:after="240"/>
        <w:ind w:firstLine="720"/>
        <w:jc w:val="both"/>
        <w:rPr>
          <w:rFonts w:asciiTheme="majorHAnsi" w:hAnsiTheme="majorHAnsi"/>
          <w:b/>
          <w:bCs/>
          <w:color w:val="000000" w:themeColor="text1"/>
          <w:sz w:val="20"/>
          <w:szCs w:val="20"/>
          <w:lang w:val="pt-BR"/>
        </w:rPr>
      </w:pPr>
      <w:r w:rsidRPr="008C651D">
        <w:rPr>
          <w:rFonts w:asciiTheme="majorHAnsi" w:hAnsiTheme="majorHAnsi"/>
          <w:b/>
          <w:bCs/>
          <w:color w:val="000000" w:themeColor="text1"/>
          <w:sz w:val="20"/>
          <w:szCs w:val="20"/>
          <w:lang w:val="pt-BR"/>
        </w:rPr>
        <w:lastRenderedPageBreak/>
        <w:t>I.</w:t>
      </w:r>
      <w:r w:rsidRPr="008C651D">
        <w:rPr>
          <w:rFonts w:asciiTheme="majorHAnsi" w:hAnsiTheme="majorHAnsi"/>
          <w:b/>
          <w:bCs/>
          <w:color w:val="000000" w:themeColor="text1"/>
          <w:sz w:val="20"/>
          <w:szCs w:val="20"/>
          <w:lang w:val="pt-BR"/>
        </w:rPr>
        <w:tab/>
        <w:t>DAD</w:t>
      </w:r>
      <w:r w:rsidR="003239B8" w:rsidRPr="008C651D">
        <w:rPr>
          <w:rFonts w:asciiTheme="majorHAnsi" w:hAnsiTheme="majorHAnsi"/>
          <w:b/>
          <w:bCs/>
          <w:color w:val="000000" w:themeColor="text1"/>
          <w:sz w:val="20"/>
          <w:szCs w:val="20"/>
          <w:lang w:val="pt-BR"/>
        </w:rPr>
        <w:t xml:space="preserve">OS </w:t>
      </w:r>
      <w:r w:rsidRPr="008C651D">
        <w:rPr>
          <w:rFonts w:asciiTheme="majorHAnsi" w:hAnsiTheme="majorHAnsi"/>
          <w:b/>
          <w:bCs/>
          <w:color w:val="000000" w:themeColor="text1"/>
          <w:sz w:val="20"/>
          <w:szCs w:val="20"/>
          <w:lang w:val="pt-BR"/>
        </w:rPr>
        <w:t>DA PETIÇÃO</w:t>
      </w:r>
      <w:r w:rsidR="003239B8" w:rsidRPr="008C651D">
        <w:rPr>
          <w:rFonts w:asciiTheme="majorHAnsi" w:hAnsiTheme="majorHAnsi"/>
          <w:b/>
          <w:bCs/>
          <w:color w:val="000000" w:themeColor="text1"/>
          <w:sz w:val="20"/>
          <w:szCs w:val="20"/>
          <w:lang w:val="pt-BR"/>
        </w:rPr>
        <w:t xml:space="preserve">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AB27FF" w:rsidRPr="005A1DAC" w14:paraId="5A79D1F7" w14:textId="77777777" w:rsidTr="0022736D">
        <w:tc>
          <w:tcPr>
            <w:tcW w:w="3600" w:type="dxa"/>
            <w:tcBorders>
              <w:top w:val="single" w:sz="4" w:space="0" w:color="auto"/>
              <w:bottom w:val="single" w:sz="6" w:space="0" w:color="auto"/>
            </w:tcBorders>
            <w:shd w:val="clear" w:color="auto" w:fill="FFC000"/>
            <w:vAlign w:val="center"/>
          </w:tcPr>
          <w:p w14:paraId="0CB2A43B" w14:textId="2CA35E64" w:rsidR="00AB27FF" w:rsidRPr="008C651D" w:rsidRDefault="00AB27FF" w:rsidP="00AB27FF">
            <w:pPr>
              <w:shd w:val="clear" w:color="auto" w:fill="FFC000"/>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Parte peticionária:</w:t>
            </w:r>
          </w:p>
        </w:tc>
        <w:tc>
          <w:tcPr>
            <w:tcW w:w="5760" w:type="dxa"/>
            <w:vAlign w:val="center"/>
          </w:tcPr>
          <w:p w14:paraId="3C5315D8" w14:textId="019F83E3" w:rsidR="00AB27FF" w:rsidRPr="00A27A6F" w:rsidRDefault="005A1DAC" w:rsidP="00AB27FF">
            <w:pPr>
              <w:jc w:val="both"/>
              <w:rPr>
                <w:rFonts w:ascii="Cambria" w:hAnsi="Cambria"/>
                <w:bCs/>
                <w:color w:val="000000" w:themeColor="text1"/>
                <w:sz w:val="20"/>
                <w:szCs w:val="20"/>
                <w:lang w:val="pt-BR"/>
              </w:rPr>
            </w:pPr>
            <w:r w:rsidRPr="005A1DAC">
              <w:rPr>
                <w:rFonts w:asciiTheme="majorHAnsi" w:hAnsiTheme="majorHAnsi"/>
                <w:sz w:val="20"/>
                <w:szCs w:val="20"/>
              </w:rPr>
              <w:t>Nilson Roberto Dos Santos</w:t>
            </w:r>
          </w:p>
        </w:tc>
      </w:tr>
      <w:tr w:rsidR="00AB27FF" w:rsidRPr="00247092" w14:paraId="593A7E45" w14:textId="77777777" w:rsidTr="0022736D">
        <w:tc>
          <w:tcPr>
            <w:tcW w:w="3600" w:type="dxa"/>
            <w:tcBorders>
              <w:top w:val="single" w:sz="6" w:space="0" w:color="auto"/>
              <w:bottom w:val="single" w:sz="6" w:space="0" w:color="auto"/>
            </w:tcBorders>
            <w:shd w:val="clear" w:color="auto" w:fill="FFC000"/>
            <w:vAlign w:val="center"/>
          </w:tcPr>
          <w:p w14:paraId="0E78CA0C" w14:textId="5C969906" w:rsidR="00AB27FF" w:rsidRPr="008C651D" w:rsidRDefault="00AB27FF" w:rsidP="00AB27FF">
            <w:pPr>
              <w:jc w:val="center"/>
              <w:rPr>
                <w:rFonts w:ascii="Cambria" w:hAnsi="Cambria"/>
                <w:b/>
                <w:bCs/>
                <w:color w:val="000000" w:themeColor="text1"/>
                <w:sz w:val="20"/>
                <w:szCs w:val="20"/>
                <w:lang w:val="pt-BR"/>
              </w:rPr>
            </w:pPr>
            <w:r>
              <w:rPr>
                <w:rFonts w:ascii="Cambria" w:hAnsi="Cambria"/>
                <w:b/>
                <w:bCs/>
                <w:color w:val="000000" w:themeColor="text1"/>
                <w:sz w:val="20"/>
                <w:szCs w:val="20"/>
                <w:lang w:val="pt-BR"/>
              </w:rPr>
              <w:t>Possíveis vítimas:</w:t>
            </w:r>
          </w:p>
        </w:tc>
        <w:tc>
          <w:tcPr>
            <w:tcW w:w="5760" w:type="dxa"/>
            <w:vAlign w:val="center"/>
          </w:tcPr>
          <w:p w14:paraId="4AEBF59E" w14:textId="19F2D0BC" w:rsidR="00AB27FF" w:rsidRPr="00B840D8" w:rsidRDefault="005A1DAC" w:rsidP="00AB27FF">
            <w:pPr>
              <w:jc w:val="both"/>
              <w:rPr>
                <w:rFonts w:ascii="Cambria" w:hAnsi="Cambria"/>
                <w:bCs/>
                <w:color w:val="000000" w:themeColor="text1"/>
                <w:sz w:val="20"/>
                <w:szCs w:val="20"/>
                <w:lang w:val="pt-BR"/>
              </w:rPr>
            </w:pPr>
            <w:r w:rsidRPr="005A1DAC">
              <w:rPr>
                <w:rFonts w:asciiTheme="majorHAnsi" w:hAnsiTheme="majorHAnsi"/>
                <w:sz w:val="20"/>
                <w:szCs w:val="20"/>
              </w:rPr>
              <w:t>Nilson Roberto Dos Santos</w:t>
            </w:r>
          </w:p>
        </w:tc>
      </w:tr>
      <w:tr w:rsidR="00AB27FF" w:rsidRPr="008C651D" w14:paraId="3E62E1D3" w14:textId="77777777" w:rsidTr="0022736D">
        <w:tc>
          <w:tcPr>
            <w:tcW w:w="3600" w:type="dxa"/>
            <w:tcBorders>
              <w:top w:val="single" w:sz="6" w:space="0" w:color="auto"/>
              <w:bottom w:val="single" w:sz="6" w:space="0" w:color="auto"/>
            </w:tcBorders>
            <w:shd w:val="clear" w:color="auto" w:fill="FFC000"/>
            <w:vAlign w:val="center"/>
          </w:tcPr>
          <w:p w14:paraId="340B0F09" w14:textId="77777777" w:rsidR="00AB27FF" w:rsidRPr="008C651D" w:rsidRDefault="00AB27FF" w:rsidP="00AB27FF">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Estado denunciado:</w:t>
            </w:r>
          </w:p>
        </w:tc>
        <w:tc>
          <w:tcPr>
            <w:tcW w:w="5760" w:type="dxa"/>
            <w:vAlign w:val="center"/>
          </w:tcPr>
          <w:p w14:paraId="274C8A50" w14:textId="5EDC15F5" w:rsidR="00AB27FF" w:rsidRPr="008C651D" w:rsidRDefault="00AB27FF" w:rsidP="00AB27FF">
            <w:pPr>
              <w:jc w:val="both"/>
              <w:rPr>
                <w:rFonts w:ascii="Cambria" w:hAnsi="Cambria"/>
                <w:bCs/>
                <w:color w:val="000000" w:themeColor="text1"/>
                <w:sz w:val="20"/>
                <w:szCs w:val="20"/>
                <w:lang w:val="pt-BR"/>
              </w:rPr>
            </w:pPr>
            <w:r>
              <w:rPr>
                <w:rFonts w:ascii="Cambria" w:hAnsi="Cambria"/>
                <w:bCs/>
                <w:color w:val="000000" w:themeColor="text1"/>
                <w:sz w:val="20"/>
                <w:szCs w:val="20"/>
                <w:lang w:val="pt-BR"/>
              </w:rPr>
              <w:t>Brasil</w:t>
            </w:r>
          </w:p>
        </w:tc>
      </w:tr>
      <w:tr w:rsidR="00AB27FF" w:rsidRPr="00D530FD" w14:paraId="632511BC" w14:textId="77777777" w:rsidTr="0022736D">
        <w:tc>
          <w:tcPr>
            <w:tcW w:w="3600" w:type="dxa"/>
            <w:tcBorders>
              <w:top w:val="single" w:sz="6" w:space="0" w:color="auto"/>
              <w:bottom w:val="single" w:sz="6" w:space="0" w:color="auto"/>
            </w:tcBorders>
            <w:shd w:val="clear" w:color="auto" w:fill="FFC000"/>
            <w:vAlign w:val="center"/>
          </w:tcPr>
          <w:p w14:paraId="727E2F6B" w14:textId="2C1BB426" w:rsidR="00AB27FF" w:rsidRPr="008C651D" w:rsidRDefault="00AB27FF" w:rsidP="00AB27FF">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Direitos alegados:</w:t>
            </w:r>
          </w:p>
        </w:tc>
        <w:tc>
          <w:tcPr>
            <w:tcW w:w="5760" w:type="dxa"/>
            <w:vAlign w:val="center"/>
          </w:tcPr>
          <w:p w14:paraId="6DEE1EEB" w14:textId="40E3320A" w:rsidR="00AB27FF" w:rsidRPr="005A1DAC" w:rsidRDefault="005A1DAC" w:rsidP="009B410C">
            <w:pPr>
              <w:jc w:val="both"/>
              <w:rPr>
                <w:rFonts w:ascii="Cambria" w:hAnsi="Cambria"/>
                <w:bCs/>
                <w:sz w:val="19"/>
                <w:szCs w:val="19"/>
                <w:lang w:val="pt-BR" w:bidi="es-ES"/>
              </w:rPr>
            </w:pPr>
            <w:r w:rsidRPr="00633E14">
              <w:rPr>
                <w:rFonts w:ascii="Cambria" w:hAnsi="Cambria"/>
                <w:bCs/>
                <w:sz w:val="20"/>
                <w:szCs w:val="20"/>
                <w:lang w:val="pt-BR" w:bidi="es-ES"/>
              </w:rPr>
              <w:t>O peticionário não invoca direitos específicos. No entanto, invoca os seguintes instrumentos interamericanos: Declaração Americana dos Direitos e Deveres do Homem</w:t>
            </w:r>
            <w:r w:rsidRPr="00633E14">
              <w:rPr>
                <w:rStyle w:val="FootnoteReference"/>
                <w:rFonts w:ascii="Cambria" w:hAnsi="Cambria"/>
                <w:bCs/>
                <w:sz w:val="20"/>
                <w:szCs w:val="20"/>
                <w:lang w:val="es-MX" w:bidi="es-ES"/>
              </w:rPr>
              <w:footnoteReference w:id="2"/>
            </w:r>
            <w:r w:rsidRPr="00633E14">
              <w:rPr>
                <w:rFonts w:ascii="Cambria" w:hAnsi="Cambria"/>
                <w:bCs/>
                <w:sz w:val="20"/>
                <w:szCs w:val="20"/>
                <w:lang w:val="pt-BR" w:bidi="es-ES"/>
              </w:rPr>
              <w:t>; Convenção Americana sobre Direitos Humanos</w:t>
            </w:r>
            <w:r w:rsidRPr="00633E14">
              <w:rPr>
                <w:rStyle w:val="FootnoteReference"/>
                <w:rFonts w:ascii="Cambria" w:hAnsi="Cambria"/>
                <w:bCs/>
                <w:sz w:val="20"/>
                <w:szCs w:val="20"/>
                <w:lang w:val="es-MX" w:bidi="es-ES"/>
              </w:rPr>
              <w:footnoteReference w:id="3"/>
            </w:r>
            <w:r w:rsidRPr="00633E14">
              <w:rPr>
                <w:rFonts w:ascii="Cambria" w:hAnsi="Cambria"/>
                <w:bCs/>
                <w:sz w:val="20"/>
                <w:szCs w:val="20"/>
                <w:lang w:val="pt-BR" w:bidi="es-ES"/>
              </w:rPr>
              <w:t>; e Convenção Interamericana para a Eliminação de todas as Formas de Discriminação contra as Pessoas com Deficiência</w:t>
            </w:r>
          </w:p>
        </w:tc>
      </w:tr>
    </w:tbl>
    <w:p w14:paraId="20263696" w14:textId="16F6DD53" w:rsidR="003239B8" w:rsidRPr="00462688" w:rsidRDefault="00A37F2E" w:rsidP="003239B8">
      <w:pPr>
        <w:spacing w:before="240" w:after="240"/>
        <w:ind w:firstLine="720"/>
        <w:jc w:val="both"/>
        <w:rPr>
          <w:rFonts w:asciiTheme="majorHAnsi" w:hAnsiTheme="majorHAnsi"/>
          <w:b/>
          <w:bCs/>
          <w:color w:val="000000" w:themeColor="text1"/>
          <w:sz w:val="20"/>
          <w:szCs w:val="20"/>
          <w:lang w:val="pt-BR"/>
        </w:rPr>
      </w:pPr>
      <w:r w:rsidRPr="008C651D">
        <w:rPr>
          <w:rFonts w:asciiTheme="majorHAnsi" w:hAnsiTheme="majorHAnsi"/>
          <w:b/>
          <w:bCs/>
          <w:color w:val="000000" w:themeColor="text1"/>
          <w:sz w:val="20"/>
          <w:szCs w:val="20"/>
          <w:lang w:val="pt-BR"/>
        </w:rPr>
        <w:t>II.</w:t>
      </w:r>
      <w:r w:rsidRPr="008C651D">
        <w:rPr>
          <w:rFonts w:asciiTheme="majorHAnsi" w:hAnsiTheme="majorHAnsi"/>
          <w:b/>
          <w:bCs/>
          <w:color w:val="000000" w:themeColor="text1"/>
          <w:sz w:val="20"/>
          <w:szCs w:val="20"/>
          <w:lang w:val="pt-BR"/>
        </w:rPr>
        <w:tab/>
        <w:t xml:space="preserve">TRÂMITE </w:t>
      </w:r>
      <w:r w:rsidR="00646423">
        <w:rPr>
          <w:rFonts w:asciiTheme="majorHAnsi" w:hAnsiTheme="majorHAnsi"/>
          <w:b/>
          <w:bCs/>
          <w:color w:val="000000" w:themeColor="text1"/>
          <w:sz w:val="20"/>
          <w:szCs w:val="20"/>
          <w:lang w:val="pt-BR"/>
        </w:rPr>
        <w:t>PER</w:t>
      </w:r>
      <w:r w:rsidRPr="008C651D">
        <w:rPr>
          <w:rFonts w:asciiTheme="majorHAnsi" w:hAnsiTheme="majorHAnsi"/>
          <w:b/>
          <w:bCs/>
          <w:color w:val="000000" w:themeColor="text1"/>
          <w:sz w:val="20"/>
          <w:szCs w:val="20"/>
          <w:lang w:val="pt-BR"/>
        </w:rPr>
        <w:t>ANTE A</w:t>
      </w:r>
      <w:r w:rsidR="003239B8" w:rsidRPr="008C651D">
        <w:rPr>
          <w:rFonts w:asciiTheme="majorHAnsi" w:hAnsiTheme="majorHAnsi"/>
          <w:b/>
          <w:bCs/>
          <w:color w:val="000000" w:themeColor="text1"/>
          <w:sz w:val="20"/>
          <w:szCs w:val="20"/>
          <w:lang w:val="pt-BR"/>
        </w:rPr>
        <w:t xml:space="preserve"> CIDH</w:t>
      </w:r>
      <w:r w:rsidR="005A1DAC" w:rsidRPr="005A1DAC">
        <w:rPr>
          <w:rFonts w:ascii="Cambria" w:hAnsi="Cambria"/>
          <w:b/>
          <w:bCs/>
          <w:color w:val="000000" w:themeColor="text1"/>
          <w:sz w:val="20"/>
          <w:szCs w:val="20"/>
          <w:vertAlign w:val="superscript"/>
          <w:lang w:val="es-MX"/>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247092" w:rsidRPr="003027EC" w14:paraId="306EFCB0" w14:textId="77777777" w:rsidTr="0022736D">
        <w:tc>
          <w:tcPr>
            <w:tcW w:w="3600" w:type="dxa"/>
            <w:tcBorders>
              <w:top w:val="single" w:sz="6" w:space="0" w:color="auto"/>
              <w:bottom w:val="single" w:sz="6" w:space="0" w:color="auto"/>
            </w:tcBorders>
            <w:shd w:val="clear" w:color="auto" w:fill="FFC000"/>
            <w:vAlign w:val="center"/>
          </w:tcPr>
          <w:p w14:paraId="7508D16F" w14:textId="7F75E762" w:rsidR="00247092" w:rsidRPr="008C651D" w:rsidRDefault="00247092" w:rsidP="00247092">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Apresentação da petição:</w:t>
            </w:r>
          </w:p>
        </w:tc>
        <w:tc>
          <w:tcPr>
            <w:tcW w:w="5760" w:type="dxa"/>
            <w:vAlign w:val="center"/>
          </w:tcPr>
          <w:p w14:paraId="6E579153" w14:textId="555D45D9" w:rsidR="00247092" w:rsidRPr="008C651D" w:rsidRDefault="005A1DAC" w:rsidP="00247092">
            <w:pPr>
              <w:jc w:val="both"/>
              <w:rPr>
                <w:rFonts w:ascii="Cambria" w:hAnsi="Cambria"/>
                <w:bCs/>
                <w:color w:val="000000" w:themeColor="text1"/>
                <w:sz w:val="20"/>
                <w:szCs w:val="20"/>
                <w:lang w:val="pt-BR"/>
              </w:rPr>
            </w:pPr>
            <w:r w:rsidRPr="005A1DAC">
              <w:rPr>
                <w:rFonts w:ascii="Cambria" w:hAnsi="Cambria"/>
                <w:bCs/>
                <w:color w:val="000000" w:themeColor="text1"/>
                <w:sz w:val="20"/>
                <w:szCs w:val="20"/>
                <w:lang w:val="pt-BR"/>
              </w:rPr>
              <w:t>31 de outubro de 2016</w:t>
            </w:r>
          </w:p>
        </w:tc>
      </w:tr>
      <w:tr w:rsidR="00247092" w:rsidRPr="0040528F" w14:paraId="603B94D4" w14:textId="77777777" w:rsidTr="0022736D">
        <w:tc>
          <w:tcPr>
            <w:tcW w:w="3600" w:type="dxa"/>
            <w:tcBorders>
              <w:top w:val="single" w:sz="6" w:space="0" w:color="auto"/>
              <w:bottom w:val="single" w:sz="6" w:space="0" w:color="auto"/>
            </w:tcBorders>
            <w:shd w:val="clear" w:color="auto" w:fill="FFC000"/>
            <w:vAlign w:val="center"/>
          </w:tcPr>
          <w:p w14:paraId="0E877126" w14:textId="7C0B1188" w:rsidR="00247092" w:rsidRPr="008C651D" w:rsidRDefault="00247092" w:rsidP="00247092">
            <w:pPr>
              <w:jc w:val="center"/>
              <w:rPr>
                <w:rFonts w:ascii="Cambria" w:hAnsi="Cambria"/>
                <w:b/>
                <w:bCs/>
                <w:color w:val="000000" w:themeColor="text1"/>
                <w:sz w:val="20"/>
                <w:szCs w:val="20"/>
                <w:lang w:val="pt-BR"/>
              </w:rPr>
            </w:pPr>
            <w:r>
              <w:rPr>
                <w:rFonts w:ascii="Cambria" w:hAnsi="Cambria"/>
                <w:b/>
                <w:bCs/>
                <w:color w:val="000000" w:themeColor="text1"/>
                <w:sz w:val="20"/>
                <w:szCs w:val="20"/>
                <w:lang w:val="pt-BR"/>
              </w:rPr>
              <w:t>Informação recebida durante a etapa de estudo:</w:t>
            </w:r>
          </w:p>
        </w:tc>
        <w:tc>
          <w:tcPr>
            <w:tcW w:w="5760" w:type="dxa"/>
            <w:vAlign w:val="center"/>
          </w:tcPr>
          <w:p w14:paraId="7D0C6996" w14:textId="4132622F" w:rsidR="00247092" w:rsidRPr="00304094" w:rsidRDefault="005A1DAC" w:rsidP="00247092">
            <w:pPr>
              <w:jc w:val="both"/>
              <w:rPr>
                <w:rFonts w:ascii="Cambria" w:hAnsi="Cambria"/>
                <w:bCs/>
                <w:color w:val="000000" w:themeColor="text1"/>
                <w:sz w:val="20"/>
                <w:szCs w:val="20"/>
                <w:lang w:val="pt-BR"/>
              </w:rPr>
            </w:pPr>
            <w:r w:rsidRPr="005A1DAC">
              <w:rPr>
                <w:rFonts w:ascii="Cambria" w:hAnsi="Cambria"/>
                <w:bCs/>
                <w:color w:val="000000" w:themeColor="text1"/>
                <w:sz w:val="20"/>
                <w:szCs w:val="20"/>
              </w:rPr>
              <w:t>18 de setembro de 2017</w:t>
            </w:r>
          </w:p>
        </w:tc>
      </w:tr>
      <w:tr w:rsidR="00247092" w:rsidRPr="0040528F" w14:paraId="1BDCD5C6" w14:textId="77777777" w:rsidTr="0022736D">
        <w:tc>
          <w:tcPr>
            <w:tcW w:w="3600" w:type="dxa"/>
            <w:tcBorders>
              <w:top w:val="single" w:sz="6" w:space="0" w:color="auto"/>
              <w:bottom w:val="single" w:sz="6" w:space="0" w:color="auto"/>
            </w:tcBorders>
            <w:shd w:val="clear" w:color="auto" w:fill="FFC000"/>
            <w:vAlign w:val="center"/>
          </w:tcPr>
          <w:p w14:paraId="7A18664F" w14:textId="3D89493A" w:rsidR="00247092" w:rsidRPr="008C651D" w:rsidRDefault="00247092" w:rsidP="00247092">
            <w:pPr>
              <w:jc w:val="center"/>
              <w:rPr>
                <w:rFonts w:ascii="Cambria" w:hAnsi="Cambria"/>
                <w:b/>
                <w:color w:val="000000" w:themeColor="text1"/>
                <w:sz w:val="20"/>
                <w:szCs w:val="20"/>
                <w:lang w:val="pt-BR"/>
              </w:rPr>
            </w:pPr>
            <w:r w:rsidRPr="008C651D">
              <w:rPr>
                <w:rFonts w:ascii="Cambria" w:hAnsi="Cambria"/>
                <w:b/>
                <w:color w:val="000000" w:themeColor="text1"/>
                <w:sz w:val="20"/>
                <w:szCs w:val="20"/>
                <w:lang w:val="pt-BR"/>
              </w:rPr>
              <w:t>Notificação da petição ao Estado:</w:t>
            </w:r>
          </w:p>
        </w:tc>
        <w:tc>
          <w:tcPr>
            <w:tcW w:w="5760" w:type="dxa"/>
            <w:vAlign w:val="center"/>
          </w:tcPr>
          <w:p w14:paraId="1519DA6A" w14:textId="3FDDE32D" w:rsidR="00247092" w:rsidRPr="008C651D" w:rsidRDefault="005A1DAC" w:rsidP="00247092">
            <w:pPr>
              <w:jc w:val="both"/>
              <w:rPr>
                <w:rFonts w:ascii="Cambria" w:hAnsi="Cambria"/>
                <w:bCs/>
                <w:color w:val="000000" w:themeColor="text1"/>
                <w:sz w:val="20"/>
                <w:szCs w:val="20"/>
                <w:lang w:val="pt-BR"/>
              </w:rPr>
            </w:pPr>
            <w:r w:rsidRPr="005A1DAC">
              <w:rPr>
                <w:rFonts w:ascii="Cambria" w:hAnsi="Cambria"/>
                <w:bCs/>
                <w:color w:val="000000" w:themeColor="text1"/>
                <w:sz w:val="20"/>
                <w:szCs w:val="20"/>
              </w:rPr>
              <w:t>15 de março de 2019</w:t>
            </w:r>
          </w:p>
        </w:tc>
      </w:tr>
      <w:tr w:rsidR="005A1DAC" w:rsidRPr="008C651D" w14:paraId="6147A8D5" w14:textId="77777777" w:rsidTr="0022736D">
        <w:tc>
          <w:tcPr>
            <w:tcW w:w="3600" w:type="dxa"/>
            <w:tcBorders>
              <w:top w:val="single" w:sz="6" w:space="0" w:color="auto"/>
              <w:bottom w:val="single" w:sz="6" w:space="0" w:color="auto"/>
            </w:tcBorders>
            <w:shd w:val="clear" w:color="auto" w:fill="FFC000"/>
            <w:vAlign w:val="center"/>
          </w:tcPr>
          <w:p w14:paraId="0201C86D" w14:textId="569610F0" w:rsidR="005A1DAC" w:rsidRPr="008C651D" w:rsidRDefault="005A1DAC" w:rsidP="005A1DAC">
            <w:pPr>
              <w:jc w:val="center"/>
              <w:rPr>
                <w:rFonts w:ascii="Cambria" w:hAnsi="Cambria"/>
                <w:b/>
                <w:bCs/>
                <w:color w:val="000000" w:themeColor="text1"/>
                <w:sz w:val="20"/>
                <w:szCs w:val="20"/>
                <w:lang w:val="pt-BR"/>
              </w:rPr>
            </w:pPr>
            <w:r w:rsidRPr="008C651D">
              <w:rPr>
                <w:rFonts w:ascii="Cambria" w:hAnsi="Cambria"/>
                <w:b/>
                <w:color w:val="000000" w:themeColor="text1"/>
                <w:sz w:val="20"/>
                <w:szCs w:val="20"/>
                <w:lang w:val="pt-BR"/>
              </w:rPr>
              <w:t>Primeira resposta do Estado:</w:t>
            </w:r>
          </w:p>
        </w:tc>
        <w:tc>
          <w:tcPr>
            <w:tcW w:w="5760" w:type="dxa"/>
            <w:vAlign w:val="center"/>
          </w:tcPr>
          <w:p w14:paraId="1972B99E" w14:textId="5D59B73C" w:rsidR="005A1DAC" w:rsidRPr="008C651D" w:rsidRDefault="005A1DAC" w:rsidP="005A1DAC">
            <w:pPr>
              <w:jc w:val="both"/>
              <w:rPr>
                <w:rFonts w:ascii="Cambria" w:hAnsi="Cambria"/>
                <w:bCs/>
                <w:color w:val="000000" w:themeColor="text1"/>
                <w:sz w:val="20"/>
                <w:szCs w:val="20"/>
                <w:lang w:val="pt-BR"/>
              </w:rPr>
            </w:pPr>
            <w:r w:rsidRPr="005A1DAC">
              <w:rPr>
                <w:rFonts w:ascii="Cambria" w:hAnsi="Cambria"/>
                <w:bCs/>
                <w:color w:val="000000" w:themeColor="text1"/>
                <w:sz w:val="20"/>
                <w:szCs w:val="20"/>
              </w:rPr>
              <w:t>21 de junho de 2019</w:t>
            </w:r>
          </w:p>
        </w:tc>
      </w:tr>
      <w:tr w:rsidR="005A1DAC" w:rsidRPr="00D530FD" w14:paraId="322668B6" w14:textId="77777777" w:rsidTr="0022736D">
        <w:tc>
          <w:tcPr>
            <w:tcW w:w="3600" w:type="dxa"/>
            <w:tcBorders>
              <w:top w:val="single" w:sz="6" w:space="0" w:color="auto"/>
              <w:bottom w:val="single" w:sz="6" w:space="0" w:color="auto"/>
            </w:tcBorders>
            <w:shd w:val="clear" w:color="auto" w:fill="FFC000"/>
            <w:vAlign w:val="center"/>
          </w:tcPr>
          <w:p w14:paraId="1524DA55" w14:textId="785FF5B5" w:rsidR="005A1DAC" w:rsidRPr="008C651D" w:rsidRDefault="005A1DAC" w:rsidP="005A1DAC">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Observações adicionais da parte peticionária:</w:t>
            </w:r>
          </w:p>
        </w:tc>
        <w:tc>
          <w:tcPr>
            <w:tcW w:w="5760" w:type="dxa"/>
            <w:vAlign w:val="center"/>
          </w:tcPr>
          <w:p w14:paraId="41D8B862" w14:textId="338A9046" w:rsidR="005A1DAC" w:rsidRPr="00462688" w:rsidRDefault="005A1DAC" w:rsidP="005A1DAC">
            <w:pPr>
              <w:jc w:val="both"/>
              <w:rPr>
                <w:rFonts w:ascii="Cambria" w:hAnsi="Cambria"/>
                <w:bCs/>
                <w:color w:val="000000" w:themeColor="text1"/>
                <w:sz w:val="20"/>
                <w:szCs w:val="20"/>
                <w:lang w:val="pt-BR"/>
              </w:rPr>
            </w:pPr>
            <w:r w:rsidRPr="005A1DAC">
              <w:rPr>
                <w:rFonts w:ascii="Cambria" w:hAnsi="Cambria"/>
                <w:bCs/>
                <w:color w:val="000000" w:themeColor="text1"/>
                <w:sz w:val="20"/>
                <w:szCs w:val="20"/>
                <w:lang w:val="pt-BR"/>
              </w:rPr>
              <w:t>26 de agosto de 2019, 20 de maio de 2020 e 21 de maio de 2020</w:t>
            </w:r>
          </w:p>
        </w:tc>
      </w:tr>
      <w:tr w:rsidR="005A1DAC" w:rsidRPr="005A1DAC" w14:paraId="07A452C6" w14:textId="77777777" w:rsidTr="0022736D">
        <w:tc>
          <w:tcPr>
            <w:tcW w:w="3600" w:type="dxa"/>
            <w:tcBorders>
              <w:top w:val="single" w:sz="6" w:space="0" w:color="auto"/>
              <w:bottom w:val="single" w:sz="6" w:space="0" w:color="auto"/>
            </w:tcBorders>
            <w:shd w:val="clear" w:color="auto" w:fill="FFC000"/>
            <w:vAlign w:val="center"/>
          </w:tcPr>
          <w:p w14:paraId="5E488E76" w14:textId="32DEF0C3" w:rsidR="005A1DAC" w:rsidRPr="008C651D" w:rsidRDefault="005A1DAC" w:rsidP="005A1DAC">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 xml:space="preserve">Observações adicionais </w:t>
            </w:r>
            <w:r w:rsidRPr="008C651D">
              <w:rPr>
                <w:rFonts w:ascii="Cambria" w:hAnsi="Cambria"/>
                <w:b/>
                <w:color w:val="000000" w:themeColor="text1"/>
                <w:sz w:val="20"/>
                <w:szCs w:val="20"/>
                <w:lang w:val="pt-BR"/>
              </w:rPr>
              <w:t>do Estado</w:t>
            </w:r>
            <w:r w:rsidRPr="008C651D">
              <w:rPr>
                <w:rFonts w:ascii="Cambria" w:hAnsi="Cambria"/>
                <w:b/>
                <w:bCs/>
                <w:color w:val="000000" w:themeColor="text1"/>
                <w:sz w:val="20"/>
                <w:szCs w:val="20"/>
                <w:lang w:val="pt-BR"/>
              </w:rPr>
              <w:t>:</w:t>
            </w:r>
          </w:p>
        </w:tc>
        <w:tc>
          <w:tcPr>
            <w:tcW w:w="5760" w:type="dxa"/>
            <w:vAlign w:val="center"/>
          </w:tcPr>
          <w:p w14:paraId="208E2168" w14:textId="5375A00F" w:rsidR="005A1DAC" w:rsidRPr="005A1DAC" w:rsidRDefault="005A1DAC" w:rsidP="005A1DAC">
            <w:pPr>
              <w:jc w:val="both"/>
              <w:rPr>
                <w:rFonts w:ascii="Cambria" w:hAnsi="Cambria"/>
                <w:bCs/>
                <w:color w:val="000000" w:themeColor="text1"/>
                <w:sz w:val="20"/>
                <w:szCs w:val="20"/>
                <w:lang w:val="pt-BR"/>
              </w:rPr>
            </w:pPr>
            <w:r w:rsidRPr="005A1DAC">
              <w:rPr>
                <w:rFonts w:ascii="Cambria" w:hAnsi="Cambria"/>
                <w:bCs/>
                <w:color w:val="000000" w:themeColor="text1"/>
                <w:sz w:val="20"/>
                <w:szCs w:val="20"/>
                <w:lang w:val="pt-BR"/>
              </w:rPr>
              <w:t>1 de março de 2021</w:t>
            </w:r>
          </w:p>
        </w:tc>
      </w:tr>
    </w:tbl>
    <w:p w14:paraId="21DAA666" w14:textId="3B44E0DA" w:rsidR="003239B8" w:rsidRPr="008C651D" w:rsidRDefault="00D358AF" w:rsidP="003239B8">
      <w:pPr>
        <w:spacing w:before="240" w:after="240"/>
        <w:ind w:firstLine="720"/>
        <w:jc w:val="both"/>
        <w:rPr>
          <w:rFonts w:asciiTheme="majorHAnsi" w:hAnsiTheme="majorHAnsi"/>
          <w:b/>
          <w:bCs/>
          <w:color w:val="000000" w:themeColor="text1"/>
          <w:sz w:val="20"/>
          <w:szCs w:val="20"/>
          <w:lang w:val="pt-BR"/>
        </w:rPr>
      </w:pPr>
      <w:r w:rsidRPr="008C651D">
        <w:rPr>
          <w:rFonts w:asciiTheme="majorHAnsi" w:hAnsiTheme="majorHAnsi"/>
          <w:b/>
          <w:bCs/>
          <w:color w:val="000000" w:themeColor="text1"/>
          <w:sz w:val="20"/>
          <w:szCs w:val="20"/>
          <w:lang w:val="pt-BR"/>
        </w:rPr>
        <w:t xml:space="preserve">III. </w:t>
      </w:r>
      <w:r w:rsidRPr="008C651D">
        <w:rPr>
          <w:rFonts w:asciiTheme="majorHAnsi" w:hAnsiTheme="majorHAnsi"/>
          <w:b/>
          <w:bCs/>
          <w:color w:val="000000" w:themeColor="text1"/>
          <w:sz w:val="20"/>
          <w:szCs w:val="20"/>
          <w:lang w:val="pt-BR"/>
        </w:rPr>
        <w:tab/>
        <w:t>COMPETÊ</w:t>
      </w:r>
      <w:r w:rsidR="003239B8" w:rsidRPr="008C651D">
        <w:rPr>
          <w:rFonts w:asciiTheme="majorHAnsi" w:hAnsiTheme="majorHAnsi"/>
          <w:b/>
          <w:bCs/>
          <w:color w:val="000000" w:themeColor="text1"/>
          <w:sz w:val="20"/>
          <w:szCs w:val="20"/>
          <w:lang w:val="pt-BR"/>
        </w:rPr>
        <w:t>NCIA</w:t>
      </w:r>
      <w:r w:rsidR="00EE00E9" w:rsidRPr="008C651D">
        <w:rPr>
          <w:rFonts w:asciiTheme="majorHAnsi" w:hAnsiTheme="majorHAnsi"/>
          <w:b/>
          <w:bCs/>
          <w:color w:val="000000" w:themeColor="text1"/>
          <w:sz w:val="20"/>
          <w:szCs w:val="20"/>
          <w:lang w:val="pt-BR"/>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E31933" w:rsidRPr="008C651D" w14:paraId="072532AD" w14:textId="77777777" w:rsidTr="0022736D">
        <w:trPr>
          <w:cantSplit/>
        </w:trPr>
        <w:tc>
          <w:tcPr>
            <w:tcW w:w="3600" w:type="dxa"/>
            <w:tcBorders>
              <w:top w:val="single" w:sz="4" w:space="0" w:color="auto"/>
              <w:bottom w:val="single" w:sz="6" w:space="0" w:color="auto"/>
            </w:tcBorders>
            <w:shd w:val="clear" w:color="auto" w:fill="FFC000"/>
            <w:vAlign w:val="center"/>
          </w:tcPr>
          <w:p w14:paraId="5C2E4B34" w14:textId="4428BC7E" w:rsidR="003239B8" w:rsidRPr="008C651D" w:rsidRDefault="00D21316" w:rsidP="008D2290">
            <w:pPr>
              <w:jc w:val="center"/>
              <w:rPr>
                <w:rFonts w:ascii="Cambria" w:hAnsi="Cambria"/>
                <w:b/>
                <w:bCs/>
                <w:i/>
                <w:color w:val="000000" w:themeColor="text1"/>
                <w:sz w:val="20"/>
                <w:szCs w:val="20"/>
                <w:lang w:val="pt-BR"/>
              </w:rPr>
            </w:pPr>
            <w:r w:rsidRPr="008C651D">
              <w:rPr>
                <w:rFonts w:ascii="Cambria" w:hAnsi="Cambria"/>
                <w:b/>
                <w:bCs/>
                <w:color w:val="000000" w:themeColor="text1"/>
                <w:sz w:val="20"/>
                <w:szCs w:val="20"/>
                <w:lang w:val="pt-BR"/>
              </w:rPr>
              <w:t>Competê</w:t>
            </w:r>
            <w:r w:rsidR="003239B8" w:rsidRPr="008C651D">
              <w:rPr>
                <w:rFonts w:ascii="Cambria" w:hAnsi="Cambria"/>
                <w:b/>
                <w:bCs/>
                <w:color w:val="000000" w:themeColor="text1"/>
                <w:sz w:val="20"/>
                <w:szCs w:val="20"/>
                <w:lang w:val="pt-BR"/>
              </w:rPr>
              <w:t>ncia</w:t>
            </w:r>
            <w:r w:rsidR="003239B8" w:rsidRPr="008C651D">
              <w:rPr>
                <w:rFonts w:ascii="Cambria" w:hAnsi="Cambria"/>
                <w:b/>
                <w:bCs/>
                <w:i/>
                <w:color w:val="000000" w:themeColor="text1"/>
                <w:sz w:val="20"/>
                <w:szCs w:val="20"/>
                <w:lang w:val="pt-BR"/>
              </w:rPr>
              <w:t xml:space="preserve"> Ratione personae:</w:t>
            </w:r>
          </w:p>
        </w:tc>
        <w:tc>
          <w:tcPr>
            <w:tcW w:w="5760" w:type="dxa"/>
            <w:vAlign w:val="center"/>
          </w:tcPr>
          <w:p w14:paraId="7707F3E9" w14:textId="4BF27876" w:rsidR="003239B8" w:rsidRPr="008C651D" w:rsidRDefault="009959F6" w:rsidP="008D2290">
            <w:pPr>
              <w:rPr>
                <w:rFonts w:ascii="Cambria" w:hAnsi="Cambria"/>
                <w:bCs/>
                <w:color w:val="000000" w:themeColor="text1"/>
                <w:sz w:val="20"/>
                <w:szCs w:val="20"/>
                <w:lang w:val="pt-BR"/>
              </w:rPr>
            </w:pPr>
            <w:r w:rsidRPr="008C651D">
              <w:rPr>
                <w:rFonts w:ascii="Cambria" w:hAnsi="Cambria"/>
                <w:bCs/>
                <w:color w:val="000000" w:themeColor="text1"/>
                <w:sz w:val="20"/>
                <w:szCs w:val="20"/>
                <w:lang w:val="pt-BR"/>
              </w:rPr>
              <w:t>Sim</w:t>
            </w:r>
          </w:p>
        </w:tc>
      </w:tr>
      <w:tr w:rsidR="00E31933" w:rsidRPr="008C651D" w14:paraId="4B8802DA" w14:textId="77777777" w:rsidTr="0022736D">
        <w:trPr>
          <w:cantSplit/>
        </w:trPr>
        <w:tc>
          <w:tcPr>
            <w:tcW w:w="3600" w:type="dxa"/>
            <w:tcBorders>
              <w:top w:val="single" w:sz="6" w:space="0" w:color="auto"/>
              <w:bottom w:val="single" w:sz="6" w:space="0" w:color="auto"/>
            </w:tcBorders>
            <w:shd w:val="clear" w:color="auto" w:fill="FFC000"/>
            <w:vAlign w:val="center"/>
          </w:tcPr>
          <w:p w14:paraId="3915C23B" w14:textId="5BC7D7BF" w:rsidR="003239B8" w:rsidRPr="008C651D" w:rsidRDefault="00D21316" w:rsidP="008D2290">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Competê</w:t>
            </w:r>
            <w:r w:rsidR="003239B8" w:rsidRPr="008C651D">
              <w:rPr>
                <w:rFonts w:ascii="Cambria" w:hAnsi="Cambria"/>
                <w:b/>
                <w:bCs/>
                <w:color w:val="000000" w:themeColor="text1"/>
                <w:sz w:val="20"/>
                <w:szCs w:val="20"/>
                <w:lang w:val="pt-BR"/>
              </w:rPr>
              <w:t>ncia</w:t>
            </w:r>
            <w:r w:rsidR="003239B8" w:rsidRPr="008C651D">
              <w:rPr>
                <w:rFonts w:ascii="Cambria" w:hAnsi="Cambria"/>
                <w:b/>
                <w:bCs/>
                <w:i/>
                <w:color w:val="000000" w:themeColor="text1"/>
                <w:sz w:val="20"/>
                <w:szCs w:val="20"/>
                <w:lang w:val="pt-BR"/>
              </w:rPr>
              <w:t xml:space="preserve"> Ratione loci</w:t>
            </w:r>
            <w:r w:rsidR="003239B8" w:rsidRPr="008C651D">
              <w:rPr>
                <w:rFonts w:ascii="Cambria" w:hAnsi="Cambria"/>
                <w:b/>
                <w:bCs/>
                <w:color w:val="000000" w:themeColor="text1"/>
                <w:sz w:val="20"/>
                <w:szCs w:val="20"/>
                <w:lang w:val="pt-BR"/>
              </w:rPr>
              <w:t>:</w:t>
            </w:r>
          </w:p>
        </w:tc>
        <w:tc>
          <w:tcPr>
            <w:tcW w:w="5760" w:type="dxa"/>
            <w:vAlign w:val="center"/>
          </w:tcPr>
          <w:p w14:paraId="12C931CB" w14:textId="30042222" w:rsidR="003239B8" w:rsidRPr="008C651D" w:rsidRDefault="009959F6" w:rsidP="008D2290">
            <w:pPr>
              <w:rPr>
                <w:rFonts w:ascii="Cambria" w:hAnsi="Cambria"/>
                <w:bCs/>
                <w:color w:val="000000" w:themeColor="text1"/>
                <w:sz w:val="20"/>
                <w:szCs w:val="20"/>
                <w:lang w:val="pt-BR"/>
              </w:rPr>
            </w:pPr>
            <w:r w:rsidRPr="008C651D">
              <w:rPr>
                <w:rFonts w:ascii="Cambria" w:hAnsi="Cambria"/>
                <w:bCs/>
                <w:color w:val="000000" w:themeColor="text1"/>
                <w:sz w:val="20"/>
                <w:szCs w:val="20"/>
                <w:lang w:val="pt-BR"/>
              </w:rPr>
              <w:t>Sim</w:t>
            </w:r>
          </w:p>
        </w:tc>
      </w:tr>
      <w:tr w:rsidR="00E31933" w:rsidRPr="008C651D" w14:paraId="4362FDF3" w14:textId="77777777" w:rsidTr="0022736D">
        <w:trPr>
          <w:cantSplit/>
        </w:trPr>
        <w:tc>
          <w:tcPr>
            <w:tcW w:w="3600" w:type="dxa"/>
            <w:tcBorders>
              <w:top w:val="single" w:sz="6" w:space="0" w:color="auto"/>
              <w:bottom w:val="single" w:sz="6" w:space="0" w:color="auto"/>
            </w:tcBorders>
            <w:shd w:val="clear" w:color="auto" w:fill="FFC000"/>
            <w:vAlign w:val="center"/>
          </w:tcPr>
          <w:p w14:paraId="3BE23153" w14:textId="0DA4396B" w:rsidR="003239B8" w:rsidRPr="008C651D" w:rsidRDefault="00D21316" w:rsidP="008D2290">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Competê</w:t>
            </w:r>
            <w:r w:rsidR="003239B8" w:rsidRPr="008C651D">
              <w:rPr>
                <w:rFonts w:ascii="Cambria" w:hAnsi="Cambria"/>
                <w:b/>
                <w:bCs/>
                <w:color w:val="000000" w:themeColor="text1"/>
                <w:sz w:val="20"/>
                <w:szCs w:val="20"/>
                <w:lang w:val="pt-BR"/>
              </w:rPr>
              <w:t>ncia</w:t>
            </w:r>
            <w:r w:rsidR="003239B8" w:rsidRPr="008C651D">
              <w:rPr>
                <w:rFonts w:ascii="Cambria" w:hAnsi="Cambria"/>
                <w:b/>
                <w:bCs/>
                <w:i/>
                <w:color w:val="000000" w:themeColor="text1"/>
                <w:sz w:val="20"/>
                <w:szCs w:val="20"/>
                <w:lang w:val="pt-BR"/>
              </w:rPr>
              <w:t xml:space="preserve"> Ratione temporis</w:t>
            </w:r>
            <w:r w:rsidR="003239B8" w:rsidRPr="008C651D">
              <w:rPr>
                <w:rFonts w:ascii="Cambria" w:hAnsi="Cambria"/>
                <w:b/>
                <w:bCs/>
                <w:color w:val="000000" w:themeColor="text1"/>
                <w:sz w:val="20"/>
                <w:szCs w:val="20"/>
                <w:lang w:val="pt-BR"/>
              </w:rPr>
              <w:t>:</w:t>
            </w:r>
          </w:p>
        </w:tc>
        <w:tc>
          <w:tcPr>
            <w:tcW w:w="5760" w:type="dxa"/>
            <w:vAlign w:val="center"/>
          </w:tcPr>
          <w:p w14:paraId="6F8B059B" w14:textId="299E2EF8" w:rsidR="003239B8" w:rsidRPr="008C651D" w:rsidRDefault="009959F6" w:rsidP="008D2290">
            <w:pPr>
              <w:rPr>
                <w:bCs/>
                <w:color w:val="000000" w:themeColor="text1"/>
                <w:sz w:val="20"/>
                <w:szCs w:val="20"/>
                <w:lang w:val="pt-BR"/>
              </w:rPr>
            </w:pPr>
            <w:r w:rsidRPr="008C651D">
              <w:rPr>
                <w:bCs/>
                <w:color w:val="000000" w:themeColor="text1"/>
                <w:sz w:val="20"/>
                <w:szCs w:val="20"/>
                <w:lang w:val="pt-BR"/>
              </w:rPr>
              <w:t>Sim</w:t>
            </w:r>
          </w:p>
        </w:tc>
      </w:tr>
      <w:tr w:rsidR="00E31933" w:rsidRPr="00D530FD" w14:paraId="30ABEC3E" w14:textId="77777777" w:rsidTr="0022736D">
        <w:trPr>
          <w:cantSplit/>
        </w:trPr>
        <w:tc>
          <w:tcPr>
            <w:tcW w:w="3600" w:type="dxa"/>
            <w:tcBorders>
              <w:top w:val="single" w:sz="6" w:space="0" w:color="auto"/>
              <w:bottom w:val="single" w:sz="6" w:space="0" w:color="auto"/>
            </w:tcBorders>
            <w:shd w:val="clear" w:color="auto" w:fill="FFC000"/>
            <w:vAlign w:val="center"/>
          </w:tcPr>
          <w:p w14:paraId="47B529D2" w14:textId="38F880CA" w:rsidR="003239B8" w:rsidRPr="008C651D" w:rsidRDefault="00D21316" w:rsidP="008D2290">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Competê</w:t>
            </w:r>
            <w:r w:rsidR="003239B8" w:rsidRPr="008C651D">
              <w:rPr>
                <w:rFonts w:ascii="Cambria" w:hAnsi="Cambria"/>
                <w:b/>
                <w:bCs/>
                <w:color w:val="000000" w:themeColor="text1"/>
                <w:sz w:val="20"/>
                <w:szCs w:val="20"/>
                <w:lang w:val="pt-BR"/>
              </w:rPr>
              <w:t>ncia</w:t>
            </w:r>
            <w:r w:rsidR="003239B8" w:rsidRPr="008C651D">
              <w:rPr>
                <w:rFonts w:ascii="Cambria" w:hAnsi="Cambria"/>
                <w:b/>
                <w:bCs/>
                <w:i/>
                <w:color w:val="000000" w:themeColor="text1"/>
                <w:sz w:val="20"/>
                <w:szCs w:val="20"/>
                <w:lang w:val="pt-BR"/>
              </w:rPr>
              <w:t xml:space="preserve"> Ratione materia</w:t>
            </w:r>
            <w:r w:rsidR="00EE00E9" w:rsidRPr="008C651D">
              <w:rPr>
                <w:rFonts w:ascii="Cambria" w:hAnsi="Cambria"/>
                <w:b/>
                <w:bCs/>
                <w:i/>
                <w:color w:val="000000" w:themeColor="text1"/>
                <w:sz w:val="20"/>
                <w:szCs w:val="20"/>
                <w:lang w:val="pt-BR"/>
              </w:rPr>
              <w:t>e</w:t>
            </w:r>
            <w:r w:rsidR="003239B8" w:rsidRPr="008C651D">
              <w:rPr>
                <w:rFonts w:ascii="Cambria" w:hAnsi="Cambria"/>
                <w:b/>
                <w:bCs/>
                <w:color w:val="000000" w:themeColor="text1"/>
                <w:sz w:val="20"/>
                <w:szCs w:val="20"/>
                <w:lang w:val="pt-BR"/>
              </w:rPr>
              <w:t>:</w:t>
            </w:r>
          </w:p>
        </w:tc>
        <w:tc>
          <w:tcPr>
            <w:tcW w:w="5760" w:type="dxa"/>
            <w:vAlign w:val="center"/>
          </w:tcPr>
          <w:p w14:paraId="0C122F44" w14:textId="386D8C51" w:rsidR="003239B8" w:rsidRPr="008C651D" w:rsidRDefault="0038429C" w:rsidP="008D2290">
            <w:pPr>
              <w:jc w:val="both"/>
              <w:rPr>
                <w:rFonts w:ascii="Cambria" w:hAnsi="Cambria"/>
                <w:bCs/>
                <w:color w:val="000000" w:themeColor="text1"/>
                <w:sz w:val="20"/>
                <w:szCs w:val="20"/>
                <w:lang w:val="pt-BR"/>
              </w:rPr>
            </w:pPr>
            <w:r w:rsidRPr="0038429C">
              <w:rPr>
                <w:rFonts w:asciiTheme="majorHAnsi" w:hAnsiTheme="majorHAnsi"/>
                <w:bCs/>
                <w:color w:val="000000" w:themeColor="text1"/>
                <w:sz w:val="20"/>
                <w:szCs w:val="20"/>
                <w:lang w:val="pt-BR"/>
              </w:rPr>
              <w:t>Sim, Convenção Americana</w:t>
            </w:r>
            <w:r w:rsidR="000D4267">
              <w:rPr>
                <w:rFonts w:asciiTheme="majorHAnsi" w:hAnsiTheme="majorHAnsi"/>
                <w:bCs/>
                <w:color w:val="000000" w:themeColor="text1"/>
                <w:sz w:val="20"/>
                <w:szCs w:val="20"/>
                <w:lang w:val="pt-BR"/>
              </w:rPr>
              <w:t xml:space="preserve"> </w:t>
            </w:r>
            <w:r w:rsidRPr="0038429C">
              <w:rPr>
                <w:rFonts w:asciiTheme="majorHAnsi" w:hAnsiTheme="majorHAnsi"/>
                <w:bCs/>
                <w:color w:val="000000" w:themeColor="text1"/>
                <w:sz w:val="20"/>
                <w:szCs w:val="20"/>
                <w:lang w:val="pt-BR"/>
              </w:rPr>
              <w:t>(</w:t>
            </w:r>
            <w:r w:rsidR="000D4267">
              <w:rPr>
                <w:rFonts w:asciiTheme="majorHAnsi" w:hAnsiTheme="majorHAnsi"/>
                <w:bCs/>
                <w:color w:val="000000" w:themeColor="text1"/>
                <w:sz w:val="20"/>
                <w:szCs w:val="20"/>
                <w:lang w:val="pt-BR"/>
              </w:rPr>
              <w:t xml:space="preserve">depósito de instrumento </w:t>
            </w:r>
            <w:r w:rsidR="00010AA2">
              <w:rPr>
                <w:rFonts w:asciiTheme="majorHAnsi" w:hAnsiTheme="majorHAnsi"/>
                <w:bCs/>
                <w:color w:val="000000" w:themeColor="text1"/>
                <w:sz w:val="20"/>
                <w:szCs w:val="20"/>
                <w:lang w:val="pt-BR"/>
              </w:rPr>
              <w:t>em</w:t>
            </w:r>
            <w:r w:rsidRPr="0038429C">
              <w:rPr>
                <w:rFonts w:asciiTheme="majorHAnsi" w:hAnsiTheme="majorHAnsi"/>
                <w:bCs/>
                <w:color w:val="000000" w:themeColor="text1"/>
                <w:sz w:val="20"/>
                <w:szCs w:val="20"/>
                <w:lang w:val="pt-BR"/>
              </w:rPr>
              <w:t xml:space="preserve"> 25 de setembro de 1992)</w:t>
            </w:r>
            <w:r w:rsidR="00010AA2">
              <w:rPr>
                <w:rFonts w:asciiTheme="majorHAnsi" w:hAnsiTheme="majorHAnsi"/>
                <w:bCs/>
                <w:color w:val="000000" w:themeColor="text1"/>
                <w:sz w:val="20"/>
                <w:szCs w:val="20"/>
                <w:lang w:val="pt-BR"/>
              </w:rPr>
              <w:t xml:space="preserve"> </w:t>
            </w:r>
          </w:p>
        </w:tc>
      </w:tr>
    </w:tbl>
    <w:p w14:paraId="4E92C444" w14:textId="3D685744" w:rsidR="003239B8" w:rsidRPr="008C651D" w:rsidRDefault="003239B8" w:rsidP="003239B8">
      <w:pPr>
        <w:spacing w:before="240" w:after="240"/>
        <w:ind w:firstLine="720"/>
        <w:jc w:val="both"/>
        <w:rPr>
          <w:rFonts w:asciiTheme="majorHAnsi" w:hAnsiTheme="majorHAnsi"/>
          <w:b/>
          <w:bCs/>
          <w:color w:val="000000" w:themeColor="text1"/>
          <w:sz w:val="20"/>
          <w:szCs w:val="20"/>
          <w:lang w:val="pt-BR"/>
        </w:rPr>
      </w:pPr>
      <w:r w:rsidRPr="008C651D">
        <w:rPr>
          <w:rFonts w:asciiTheme="majorHAnsi" w:hAnsiTheme="majorHAnsi"/>
          <w:b/>
          <w:bCs/>
          <w:color w:val="000000" w:themeColor="text1"/>
          <w:sz w:val="20"/>
          <w:szCs w:val="20"/>
          <w:lang w:val="pt-BR"/>
        </w:rPr>
        <w:t xml:space="preserve">IV. </w:t>
      </w:r>
      <w:r w:rsidRPr="008C651D">
        <w:rPr>
          <w:rFonts w:asciiTheme="majorHAnsi" w:hAnsiTheme="majorHAnsi"/>
          <w:b/>
          <w:bCs/>
          <w:color w:val="000000" w:themeColor="text1"/>
          <w:sz w:val="20"/>
          <w:szCs w:val="20"/>
          <w:lang w:val="pt-BR"/>
        </w:rPr>
        <w:tab/>
      </w:r>
      <w:r w:rsidR="00D21316" w:rsidRPr="008C651D">
        <w:rPr>
          <w:rFonts w:asciiTheme="majorHAnsi" w:hAnsiTheme="majorHAnsi"/>
          <w:b/>
          <w:bCs/>
          <w:color w:val="000000" w:themeColor="text1"/>
          <w:sz w:val="20"/>
          <w:szCs w:val="20"/>
          <w:lang w:val="pt-BR"/>
        </w:rPr>
        <w:t>DUPLICAÇÃO</w:t>
      </w:r>
      <w:r w:rsidR="00EE00E9" w:rsidRPr="008C651D">
        <w:rPr>
          <w:rFonts w:asciiTheme="majorHAnsi" w:hAnsiTheme="majorHAnsi"/>
          <w:b/>
          <w:bCs/>
          <w:color w:val="000000" w:themeColor="text1"/>
          <w:sz w:val="20"/>
          <w:szCs w:val="20"/>
          <w:lang w:val="pt-BR"/>
        </w:rPr>
        <w:t xml:space="preserve"> </w:t>
      </w:r>
      <w:r w:rsidR="00D21316" w:rsidRPr="008C651D">
        <w:rPr>
          <w:rFonts w:asciiTheme="majorHAnsi" w:hAnsiTheme="majorHAnsi"/>
          <w:b/>
          <w:bCs/>
          <w:color w:val="000000" w:themeColor="text1"/>
          <w:sz w:val="20"/>
          <w:szCs w:val="20"/>
          <w:lang w:val="pt-BR"/>
        </w:rPr>
        <w:t>DE PROCEDIMENTOS E</w:t>
      </w:r>
      <w:r w:rsidR="00EE00E9" w:rsidRPr="008C651D">
        <w:rPr>
          <w:rFonts w:asciiTheme="majorHAnsi" w:hAnsiTheme="majorHAnsi"/>
          <w:b/>
          <w:bCs/>
          <w:color w:val="000000" w:themeColor="text1"/>
          <w:sz w:val="20"/>
          <w:szCs w:val="20"/>
          <w:lang w:val="pt-BR"/>
        </w:rPr>
        <w:t xml:space="preserve"> CO</w:t>
      </w:r>
      <w:r w:rsidR="00D21316" w:rsidRPr="008C651D">
        <w:rPr>
          <w:rFonts w:asciiTheme="majorHAnsi" w:hAnsiTheme="majorHAnsi"/>
          <w:b/>
          <w:bCs/>
          <w:color w:val="000000" w:themeColor="text1"/>
          <w:sz w:val="20"/>
          <w:szCs w:val="20"/>
          <w:lang w:val="pt-BR"/>
        </w:rPr>
        <w:t>ISA JUL</w:t>
      </w:r>
      <w:r w:rsidR="00EE00E9" w:rsidRPr="008C651D">
        <w:rPr>
          <w:rFonts w:asciiTheme="majorHAnsi" w:hAnsiTheme="majorHAnsi"/>
          <w:b/>
          <w:bCs/>
          <w:color w:val="000000" w:themeColor="text1"/>
          <w:sz w:val="20"/>
          <w:szCs w:val="20"/>
          <w:lang w:val="pt-BR"/>
        </w:rPr>
        <w:t>GADA</w:t>
      </w:r>
      <w:r w:rsidR="00EE00E9" w:rsidRPr="008C651D">
        <w:rPr>
          <w:rFonts w:asciiTheme="majorHAnsi" w:hAnsiTheme="majorHAnsi"/>
          <w:b/>
          <w:bCs/>
          <w:i/>
          <w:color w:val="000000" w:themeColor="text1"/>
          <w:sz w:val="20"/>
          <w:szCs w:val="20"/>
          <w:lang w:val="pt-BR"/>
        </w:rPr>
        <w:t xml:space="preserve"> </w:t>
      </w:r>
      <w:r w:rsidR="00EE00E9" w:rsidRPr="008C651D">
        <w:rPr>
          <w:rFonts w:asciiTheme="majorHAnsi" w:hAnsiTheme="majorHAnsi"/>
          <w:b/>
          <w:bCs/>
          <w:color w:val="000000" w:themeColor="text1"/>
          <w:sz w:val="20"/>
          <w:szCs w:val="20"/>
          <w:lang w:val="pt-BR"/>
        </w:rPr>
        <w:t xml:space="preserve">INTERNACIONAL, </w:t>
      </w:r>
      <w:r w:rsidR="00D21316" w:rsidRPr="008C651D">
        <w:rPr>
          <w:rFonts w:asciiTheme="majorHAnsi" w:hAnsiTheme="majorHAnsi"/>
          <w:b/>
          <w:bCs/>
          <w:color w:val="000000" w:themeColor="text1"/>
          <w:sz w:val="20"/>
          <w:szCs w:val="20"/>
          <w:lang w:val="pt-BR"/>
        </w:rPr>
        <w:t>CARACTERIZAÇÃO</w:t>
      </w:r>
      <w:r w:rsidRPr="008C651D">
        <w:rPr>
          <w:rFonts w:asciiTheme="majorHAnsi" w:hAnsiTheme="majorHAnsi"/>
          <w:b/>
          <w:bCs/>
          <w:color w:val="000000" w:themeColor="text1"/>
          <w:sz w:val="20"/>
          <w:szCs w:val="20"/>
          <w:lang w:val="pt-BR"/>
        </w:rPr>
        <w:t xml:space="preserve">, </w:t>
      </w:r>
      <w:r w:rsidR="00D21316" w:rsidRPr="008C651D">
        <w:rPr>
          <w:rFonts w:asciiTheme="majorHAnsi" w:hAnsiTheme="majorHAnsi"/>
          <w:b/>
          <w:color w:val="000000" w:themeColor="text1"/>
          <w:sz w:val="20"/>
          <w:szCs w:val="20"/>
          <w:lang w:val="pt-BR"/>
        </w:rPr>
        <w:t>ESGOTAM</w:t>
      </w:r>
      <w:r w:rsidRPr="008C651D">
        <w:rPr>
          <w:rFonts w:asciiTheme="majorHAnsi" w:hAnsiTheme="majorHAnsi"/>
          <w:b/>
          <w:color w:val="000000" w:themeColor="text1"/>
          <w:sz w:val="20"/>
          <w:szCs w:val="20"/>
          <w:lang w:val="pt-BR"/>
        </w:rPr>
        <w:t>ENTO D</w:t>
      </w:r>
      <w:r w:rsidR="00D21316" w:rsidRPr="008C651D">
        <w:rPr>
          <w:rFonts w:asciiTheme="majorHAnsi" w:hAnsiTheme="majorHAnsi"/>
          <w:b/>
          <w:color w:val="000000" w:themeColor="text1"/>
          <w:sz w:val="20"/>
          <w:szCs w:val="20"/>
          <w:lang w:val="pt-BR"/>
        </w:rPr>
        <w:t>OS RECURSOS INTERNOS E PR</w:t>
      </w:r>
      <w:r w:rsidRPr="008C651D">
        <w:rPr>
          <w:rFonts w:asciiTheme="majorHAnsi" w:hAnsiTheme="majorHAnsi"/>
          <w:b/>
          <w:color w:val="000000" w:themeColor="text1"/>
          <w:sz w:val="20"/>
          <w:szCs w:val="20"/>
          <w:lang w:val="pt-BR"/>
        </w:rPr>
        <w:t xml:space="preserve">AZO DE </w:t>
      </w:r>
      <w:r w:rsidR="00D21316" w:rsidRPr="008C651D">
        <w:rPr>
          <w:rFonts w:asciiTheme="majorHAnsi" w:hAnsiTheme="majorHAnsi"/>
          <w:b/>
          <w:color w:val="000000" w:themeColor="text1"/>
          <w:sz w:val="20"/>
          <w:szCs w:val="20"/>
          <w:lang w:val="pt-BR"/>
        </w:rPr>
        <w:t>APRESENTAÇÃO</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4"/>
        <w:gridCol w:w="5678"/>
      </w:tblGrid>
      <w:tr w:rsidR="008C651D" w:rsidRPr="008C651D" w14:paraId="1231C988" w14:textId="77777777" w:rsidTr="0022736D">
        <w:trPr>
          <w:cantSplit/>
        </w:trPr>
        <w:tc>
          <w:tcPr>
            <w:tcW w:w="3600" w:type="dxa"/>
            <w:tcBorders>
              <w:top w:val="single" w:sz="4" w:space="0" w:color="auto"/>
              <w:bottom w:val="single" w:sz="6" w:space="0" w:color="auto"/>
            </w:tcBorders>
            <w:shd w:val="clear" w:color="auto" w:fill="FFC000"/>
            <w:vAlign w:val="center"/>
          </w:tcPr>
          <w:p w14:paraId="6F8031F4" w14:textId="7F2FBF91" w:rsidR="00EE00E9" w:rsidRPr="008C651D" w:rsidRDefault="00D21316" w:rsidP="008D2290">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Duplicação de procedimentos e</w:t>
            </w:r>
            <w:r w:rsidR="00EE00E9" w:rsidRPr="008C651D">
              <w:rPr>
                <w:rFonts w:ascii="Cambria" w:hAnsi="Cambria"/>
                <w:b/>
                <w:bCs/>
                <w:color w:val="000000" w:themeColor="text1"/>
                <w:sz w:val="20"/>
                <w:szCs w:val="20"/>
                <w:lang w:val="pt-BR"/>
              </w:rPr>
              <w:t xml:space="preserve"> co</w:t>
            </w:r>
            <w:r w:rsidRPr="008C651D">
              <w:rPr>
                <w:rFonts w:ascii="Cambria" w:hAnsi="Cambria"/>
                <w:b/>
                <w:bCs/>
                <w:color w:val="000000" w:themeColor="text1"/>
                <w:sz w:val="20"/>
                <w:szCs w:val="20"/>
                <w:lang w:val="pt-BR"/>
              </w:rPr>
              <w:t>isa jul</w:t>
            </w:r>
            <w:r w:rsidR="00EE00E9" w:rsidRPr="008C651D">
              <w:rPr>
                <w:rFonts w:ascii="Cambria" w:hAnsi="Cambria"/>
                <w:b/>
                <w:bCs/>
                <w:color w:val="000000" w:themeColor="text1"/>
                <w:sz w:val="20"/>
                <w:szCs w:val="20"/>
                <w:lang w:val="pt-BR"/>
              </w:rPr>
              <w:t>gada internacional:</w:t>
            </w:r>
          </w:p>
        </w:tc>
        <w:tc>
          <w:tcPr>
            <w:tcW w:w="5760" w:type="dxa"/>
            <w:vAlign w:val="center"/>
          </w:tcPr>
          <w:p w14:paraId="240941E6" w14:textId="2FA83AFD" w:rsidR="00EE00E9" w:rsidRPr="00727D2F" w:rsidRDefault="009959F6" w:rsidP="008D2290">
            <w:pPr>
              <w:jc w:val="both"/>
              <w:rPr>
                <w:rFonts w:ascii="Cambria" w:hAnsi="Cambria"/>
                <w:bCs/>
                <w:sz w:val="20"/>
                <w:szCs w:val="20"/>
                <w:lang w:val="pt-BR"/>
              </w:rPr>
            </w:pPr>
            <w:r w:rsidRPr="00727D2F">
              <w:rPr>
                <w:rFonts w:ascii="Cambria" w:hAnsi="Cambria"/>
                <w:bCs/>
                <w:sz w:val="20"/>
                <w:szCs w:val="20"/>
                <w:lang w:val="pt-BR"/>
              </w:rPr>
              <w:t>Não</w:t>
            </w:r>
          </w:p>
        </w:tc>
      </w:tr>
      <w:tr w:rsidR="008C651D" w:rsidRPr="00D530FD" w14:paraId="15FAA7D1" w14:textId="77777777" w:rsidTr="0022736D">
        <w:trPr>
          <w:cantSplit/>
        </w:trPr>
        <w:tc>
          <w:tcPr>
            <w:tcW w:w="3600" w:type="dxa"/>
            <w:tcBorders>
              <w:top w:val="single" w:sz="4" w:space="0" w:color="auto"/>
              <w:bottom w:val="single" w:sz="6" w:space="0" w:color="auto"/>
            </w:tcBorders>
            <w:shd w:val="clear" w:color="auto" w:fill="FFC000"/>
            <w:vAlign w:val="center"/>
          </w:tcPr>
          <w:p w14:paraId="1B0D29FF" w14:textId="577ED540" w:rsidR="003239B8" w:rsidRPr="008C651D" w:rsidRDefault="00D21316" w:rsidP="00D21316">
            <w:pPr>
              <w:jc w:val="center"/>
              <w:rPr>
                <w:rFonts w:ascii="Cambria" w:hAnsi="Cambria"/>
                <w:b/>
                <w:bCs/>
                <w:i/>
                <w:color w:val="000000" w:themeColor="text1"/>
                <w:sz w:val="20"/>
                <w:szCs w:val="20"/>
                <w:lang w:val="pt-BR"/>
              </w:rPr>
            </w:pPr>
            <w:r w:rsidRPr="008C651D">
              <w:rPr>
                <w:rFonts w:ascii="Cambria" w:hAnsi="Cambria"/>
                <w:b/>
                <w:bCs/>
                <w:color w:val="000000" w:themeColor="text1"/>
                <w:sz w:val="20"/>
                <w:szCs w:val="20"/>
                <w:lang w:val="pt-BR"/>
              </w:rPr>
              <w:t>Direitos</w:t>
            </w:r>
            <w:r w:rsidR="003239B8" w:rsidRPr="008C651D">
              <w:rPr>
                <w:rFonts w:ascii="Cambria" w:hAnsi="Cambria"/>
                <w:b/>
                <w:bCs/>
                <w:color w:val="000000" w:themeColor="text1"/>
                <w:sz w:val="20"/>
                <w:szCs w:val="20"/>
                <w:lang w:val="pt-BR"/>
              </w:rPr>
              <w:t xml:space="preserve"> declarados </w:t>
            </w:r>
            <w:r w:rsidRPr="008C651D">
              <w:rPr>
                <w:rFonts w:ascii="Cambria" w:hAnsi="Cambria"/>
                <w:b/>
                <w:bCs/>
                <w:color w:val="000000" w:themeColor="text1"/>
                <w:sz w:val="20"/>
                <w:szCs w:val="20"/>
                <w:lang w:val="pt-BR"/>
              </w:rPr>
              <w:t>admitidos</w:t>
            </w:r>
            <w:r w:rsidR="003239B8" w:rsidRPr="008C651D">
              <w:rPr>
                <w:rFonts w:ascii="Cambria" w:hAnsi="Cambria"/>
                <w:b/>
                <w:bCs/>
                <w:i/>
                <w:color w:val="000000" w:themeColor="text1"/>
                <w:sz w:val="20"/>
                <w:szCs w:val="20"/>
                <w:lang w:val="pt-BR"/>
              </w:rPr>
              <w:t>:</w:t>
            </w:r>
          </w:p>
        </w:tc>
        <w:tc>
          <w:tcPr>
            <w:tcW w:w="5760" w:type="dxa"/>
            <w:vAlign w:val="center"/>
          </w:tcPr>
          <w:p w14:paraId="6310C8F7" w14:textId="07656B74" w:rsidR="003239B8" w:rsidRPr="00727D2F" w:rsidRDefault="005A1DAC" w:rsidP="00C12F6B">
            <w:pPr>
              <w:jc w:val="both"/>
              <w:rPr>
                <w:rFonts w:ascii="Cambria" w:hAnsi="Cambria"/>
                <w:bCs/>
                <w:sz w:val="20"/>
                <w:szCs w:val="20"/>
                <w:lang w:val="pt-BR"/>
              </w:rPr>
            </w:pPr>
            <w:r w:rsidRPr="005A1DAC">
              <w:rPr>
                <w:rFonts w:ascii="Cambria" w:hAnsi="Cambria"/>
                <w:bCs/>
                <w:sz w:val="20"/>
                <w:szCs w:val="20"/>
                <w:lang w:val="pt-BR"/>
              </w:rPr>
              <w:t>Artigos 5 (integridade pessoal), 8 (garantias judiciais), 25 (proteção judicial) e 26 (direitos econômicos, sociais e culturais) da Convenção Americana, em relação ao seu artigo 1.1 (obrigação de respeitar os direitos)</w:t>
            </w:r>
          </w:p>
        </w:tc>
      </w:tr>
      <w:tr w:rsidR="008C651D" w:rsidRPr="00D530FD" w14:paraId="4EFD141E" w14:textId="77777777" w:rsidTr="0022736D">
        <w:trPr>
          <w:cantSplit/>
        </w:trPr>
        <w:tc>
          <w:tcPr>
            <w:tcW w:w="3600" w:type="dxa"/>
            <w:tcBorders>
              <w:top w:val="single" w:sz="6" w:space="0" w:color="auto"/>
              <w:bottom w:val="single" w:sz="6" w:space="0" w:color="auto"/>
            </w:tcBorders>
            <w:shd w:val="clear" w:color="auto" w:fill="FFC000"/>
            <w:vAlign w:val="center"/>
          </w:tcPr>
          <w:p w14:paraId="4C04A89C" w14:textId="4CDE326B" w:rsidR="003239B8" w:rsidRPr="008C651D" w:rsidRDefault="00D21316" w:rsidP="00D21316">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Esgotamento dos</w:t>
            </w:r>
            <w:r w:rsidR="003239B8" w:rsidRPr="008C651D">
              <w:rPr>
                <w:rFonts w:ascii="Cambria" w:hAnsi="Cambria"/>
                <w:b/>
                <w:bCs/>
                <w:color w:val="000000" w:themeColor="text1"/>
                <w:sz w:val="20"/>
                <w:szCs w:val="20"/>
                <w:lang w:val="pt-BR"/>
              </w:rPr>
              <w:t xml:space="preserve"> recursos internos</w:t>
            </w:r>
            <w:r w:rsidR="00EE00E9" w:rsidRPr="008C651D">
              <w:rPr>
                <w:rFonts w:ascii="Cambria" w:hAnsi="Cambria"/>
                <w:b/>
                <w:bCs/>
                <w:color w:val="000000" w:themeColor="text1"/>
                <w:sz w:val="20"/>
                <w:szCs w:val="20"/>
                <w:lang w:val="pt-BR"/>
              </w:rPr>
              <w:t xml:space="preserve"> o</w:t>
            </w:r>
            <w:r w:rsidRPr="008C651D">
              <w:rPr>
                <w:rFonts w:ascii="Cambria" w:hAnsi="Cambria"/>
                <w:b/>
                <w:bCs/>
                <w:color w:val="000000" w:themeColor="text1"/>
                <w:sz w:val="20"/>
                <w:szCs w:val="20"/>
                <w:lang w:val="pt-BR"/>
              </w:rPr>
              <w:t>u procedência de um</w:t>
            </w:r>
            <w:r w:rsidR="00EE00E9" w:rsidRPr="008C651D">
              <w:rPr>
                <w:rFonts w:ascii="Cambria" w:hAnsi="Cambria"/>
                <w:b/>
                <w:bCs/>
                <w:color w:val="000000" w:themeColor="text1"/>
                <w:sz w:val="20"/>
                <w:szCs w:val="20"/>
                <w:lang w:val="pt-BR"/>
              </w:rPr>
              <w:t xml:space="preserve">a </w:t>
            </w:r>
            <w:r w:rsidRPr="008C651D">
              <w:rPr>
                <w:rFonts w:ascii="Cambria" w:hAnsi="Cambria"/>
                <w:b/>
                <w:bCs/>
                <w:color w:val="000000" w:themeColor="text1"/>
                <w:sz w:val="20"/>
                <w:szCs w:val="20"/>
                <w:lang w:val="pt-BR"/>
              </w:rPr>
              <w:t>exceção</w:t>
            </w:r>
            <w:r w:rsidR="003239B8" w:rsidRPr="008C651D">
              <w:rPr>
                <w:rFonts w:ascii="Cambria" w:hAnsi="Cambria"/>
                <w:b/>
                <w:bCs/>
                <w:color w:val="000000" w:themeColor="text1"/>
                <w:sz w:val="20"/>
                <w:szCs w:val="20"/>
                <w:lang w:val="pt-BR"/>
              </w:rPr>
              <w:t>:</w:t>
            </w:r>
          </w:p>
        </w:tc>
        <w:tc>
          <w:tcPr>
            <w:tcW w:w="5760" w:type="dxa"/>
            <w:vAlign w:val="center"/>
          </w:tcPr>
          <w:p w14:paraId="69C53E8A" w14:textId="409C6D0C" w:rsidR="003239B8" w:rsidRPr="005A1DAC" w:rsidRDefault="005A1DAC" w:rsidP="008D2290">
            <w:pPr>
              <w:rPr>
                <w:rFonts w:ascii="Cambria" w:hAnsi="Cambria"/>
                <w:bCs/>
                <w:sz w:val="20"/>
                <w:szCs w:val="20"/>
                <w:lang w:val="pt-BR"/>
              </w:rPr>
            </w:pPr>
            <w:r w:rsidRPr="005A1DAC">
              <w:rPr>
                <w:rFonts w:ascii="Cambria" w:hAnsi="Cambria"/>
                <w:bCs/>
                <w:sz w:val="20"/>
                <w:szCs w:val="20"/>
                <w:lang w:val="pt-BR"/>
              </w:rPr>
              <w:t>Sim, em 18 de outubro de 2018</w:t>
            </w:r>
          </w:p>
        </w:tc>
      </w:tr>
      <w:tr w:rsidR="008C651D" w:rsidRPr="005A1DAC" w14:paraId="52B5BA17" w14:textId="77777777" w:rsidTr="0022736D">
        <w:trPr>
          <w:cantSplit/>
        </w:trPr>
        <w:tc>
          <w:tcPr>
            <w:tcW w:w="3600" w:type="dxa"/>
            <w:tcBorders>
              <w:top w:val="single" w:sz="6" w:space="0" w:color="auto"/>
              <w:bottom w:val="single" w:sz="6" w:space="0" w:color="auto"/>
            </w:tcBorders>
            <w:shd w:val="clear" w:color="auto" w:fill="FFC000"/>
            <w:vAlign w:val="center"/>
          </w:tcPr>
          <w:p w14:paraId="5DF99086" w14:textId="35473084" w:rsidR="003239B8" w:rsidRPr="008C651D" w:rsidRDefault="00D21316" w:rsidP="008D2290">
            <w:pPr>
              <w:jc w:val="center"/>
              <w:rPr>
                <w:rFonts w:ascii="Cambria" w:hAnsi="Cambria"/>
                <w:b/>
                <w:bCs/>
                <w:color w:val="000000" w:themeColor="text1"/>
                <w:sz w:val="20"/>
                <w:szCs w:val="20"/>
                <w:lang w:val="pt-BR"/>
              </w:rPr>
            </w:pPr>
            <w:r w:rsidRPr="008C651D">
              <w:rPr>
                <w:rFonts w:ascii="Cambria" w:hAnsi="Cambria"/>
                <w:b/>
                <w:bCs/>
                <w:color w:val="000000" w:themeColor="text1"/>
                <w:sz w:val="20"/>
                <w:szCs w:val="20"/>
                <w:lang w:val="pt-BR"/>
              </w:rPr>
              <w:t>Apresentação dentro do pr</w:t>
            </w:r>
            <w:r w:rsidR="003239B8" w:rsidRPr="008C651D">
              <w:rPr>
                <w:rFonts w:ascii="Cambria" w:hAnsi="Cambria"/>
                <w:b/>
                <w:bCs/>
                <w:color w:val="000000" w:themeColor="text1"/>
                <w:sz w:val="20"/>
                <w:szCs w:val="20"/>
                <w:lang w:val="pt-BR"/>
              </w:rPr>
              <w:t>azo:</w:t>
            </w:r>
          </w:p>
        </w:tc>
        <w:tc>
          <w:tcPr>
            <w:tcW w:w="5760" w:type="dxa"/>
            <w:vAlign w:val="center"/>
          </w:tcPr>
          <w:p w14:paraId="4A2A4569" w14:textId="40F506EC" w:rsidR="003239B8" w:rsidRPr="003216CC" w:rsidRDefault="000D4267" w:rsidP="008D2290">
            <w:pPr>
              <w:rPr>
                <w:rFonts w:ascii="Cambria" w:hAnsi="Cambria"/>
                <w:bCs/>
                <w:sz w:val="20"/>
                <w:szCs w:val="20"/>
                <w:lang w:val="pt-BR"/>
              </w:rPr>
            </w:pPr>
            <w:r w:rsidRPr="003216CC">
              <w:rPr>
                <w:rFonts w:ascii="Cambria" w:hAnsi="Cambria"/>
                <w:bCs/>
                <w:sz w:val="20"/>
                <w:szCs w:val="20"/>
                <w:lang w:val="pt-BR"/>
              </w:rPr>
              <w:t>Sim</w:t>
            </w:r>
          </w:p>
        </w:tc>
      </w:tr>
    </w:tbl>
    <w:p w14:paraId="30FBC442" w14:textId="77777777" w:rsidR="00F01BAB" w:rsidRDefault="00F01BAB" w:rsidP="00727D2F">
      <w:pPr>
        <w:ind w:firstLine="720"/>
        <w:jc w:val="both"/>
        <w:rPr>
          <w:rFonts w:asciiTheme="majorHAnsi" w:hAnsiTheme="majorHAnsi"/>
          <w:b/>
          <w:color w:val="000000" w:themeColor="text1"/>
          <w:sz w:val="20"/>
          <w:szCs w:val="20"/>
          <w:lang w:val="pt-BR"/>
        </w:rPr>
      </w:pPr>
    </w:p>
    <w:p w14:paraId="74265304" w14:textId="77777777" w:rsidR="005A1DAC" w:rsidRDefault="005A1DAC">
      <w:pPr>
        <w:rPr>
          <w:rFonts w:asciiTheme="majorHAnsi" w:hAnsiTheme="majorHAnsi"/>
          <w:b/>
          <w:color w:val="000000" w:themeColor="text1"/>
          <w:sz w:val="20"/>
          <w:szCs w:val="20"/>
          <w:lang w:val="pt-BR"/>
        </w:rPr>
      </w:pPr>
      <w:r>
        <w:rPr>
          <w:rFonts w:asciiTheme="majorHAnsi" w:hAnsiTheme="majorHAnsi"/>
          <w:b/>
          <w:color w:val="000000" w:themeColor="text1"/>
          <w:sz w:val="20"/>
          <w:szCs w:val="20"/>
          <w:lang w:val="pt-BR"/>
        </w:rPr>
        <w:br w:type="page"/>
      </w:r>
    </w:p>
    <w:p w14:paraId="18E6423B" w14:textId="25D4EA1E" w:rsidR="003239B8" w:rsidRPr="00F029D6" w:rsidRDefault="00223A29" w:rsidP="005A1DAC">
      <w:pPr>
        <w:spacing w:after="240"/>
        <w:ind w:firstLine="720"/>
        <w:jc w:val="both"/>
        <w:rPr>
          <w:rFonts w:asciiTheme="majorHAnsi" w:hAnsiTheme="majorHAnsi"/>
          <w:b/>
          <w:color w:val="000000" w:themeColor="text1"/>
          <w:sz w:val="20"/>
          <w:szCs w:val="20"/>
          <w:lang w:val="pt-BR"/>
        </w:rPr>
      </w:pPr>
      <w:r w:rsidRPr="00F029D6">
        <w:rPr>
          <w:rFonts w:asciiTheme="majorHAnsi" w:hAnsiTheme="majorHAnsi"/>
          <w:b/>
          <w:color w:val="000000" w:themeColor="text1"/>
          <w:sz w:val="20"/>
          <w:szCs w:val="20"/>
          <w:lang w:val="pt-BR"/>
        </w:rPr>
        <w:lastRenderedPageBreak/>
        <w:t xml:space="preserve">V. </w:t>
      </w:r>
      <w:r w:rsidRPr="00F029D6">
        <w:rPr>
          <w:rFonts w:asciiTheme="majorHAnsi" w:hAnsiTheme="majorHAnsi"/>
          <w:b/>
          <w:color w:val="000000" w:themeColor="text1"/>
          <w:sz w:val="20"/>
          <w:szCs w:val="20"/>
          <w:lang w:val="pt-BR"/>
        </w:rPr>
        <w:tab/>
      </w:r>
      <w:r w:rsidR="000D4267" w:rsidRPr="00F029D6">
        <w:rPr>
          <w:rFonts w:asciiTheme="majorHAnsi" w:hAnsiTheme="majorHAnsi"/>
          <w:b/>
          <w:color w:val="000000" w:themeColor="text1"/>
          <w:sz w:val="20"/>
          <w:szCs w:val="20"/>
          <w:lang w:val="pt-BR"/>
        </w:rPr>
        <w:t>POSIÇÃO DAS PARTES</w:t>
      </w:r>
      <w:r w:rsidR="003239B8" w:rsidRPr="00F029D6">
        <w:rPr>
          <w:rFonts w:asciiTheme="majorHAnsi" w:hAnsiTheme="majorHAnsi"/>
          <w:b/>
          <w:color w:val="000000" w:themeColor="text1"/>
          <w:sz w:val="20"/>
          <w:szCs w:val="20"/>
          <w:lang w:val="pt-BR"/>
        </w:rPr>
        <w:t xml:space="preserve"> </w:t>
      </w:r>
    </w:p>
    <w:p w14:paraId="616F3F0C" w14:textId="07640719" w:rsidR="000D4267" w:rsidRPr="00F029D6" w:rsidRDefault="000D4267" w:rsidP="005A1DAC">
      <w:pPr>
        <w:pStyle w:val="ListParagraph"/>
        <w:spacing w:after="240"/>
        <w:jc w:val="both"/>
        <w:rPr>
          <w:rFonts w:asciiTheme="majorHAnsi" w:hAnsiTheme="majorHAnsi"/>
          <w:b/>
          <w:bCs/>
          <w:sz w:val="20"/>
          <w:szCs w:val="20"/>
          <w:lang w:val="pt-BR"/>
        </w:rPr>
      </w:pPr>
      <w:r w:rsidRPr="00F029D6">
        <w:rPr>
          <w:rFonts w:asciiTheme="majorHAnsi" w:hAnsiTheme="majorHAnsi"/>
          <w:b/>
          <w:bCs/>
          <w:sz w:val="20"/>
          <w:szCs w:val="20"/>
          <w:lang w:val="pt-BR"/>
        </w:rPr>
        <w:t>Posição da parte peticionária</w:t>
      </w:r>
    </w:p>
    <w:p w14:paraId="2AD2D05A" w14:textId="77777777" w:rsidR="005A1DAC" w:rsidRDefault="005A1DAC" w:rsidP="005A1DAC">
      <w:pPr>
        <w:pStyle w:val="ListParagraph"/>
        <w:numPr>
          <w:ilvl w:val="0"/>
          <w:numId w:val="55"/>
        </w:numPr>
        <w:spacing w:after="240"/>
        <w:jc w:val="both"/>
        <w:rPr>
          <w:rFonts w:asciiTheme="majorHAnsi" w:hAnsiTheme="majorHAnsi"/>
          <w:color w:val="auto"/>
          <w:sz w:val="20"/>
          <w:szCs w:val="20"/>
          <w:lang w:val="pt-BR"/>
        </w:rPr>
      </w:pPr>
      <w:r w:rsidRPr="005A1DAC">
        <w:rPr>
          <w:rFonts w:asciiTheme="majorHAnsi" w:hAnsiTheme="majorHAnsi"/>
          <w:color w:val="auto"/>
          <w:sz w:val="20"/>
          <w:szCs w:val="20"/>
          <w:lang w:val="pt-BR"/>
        </w:rPr>
        <w:t>O senhor Nilson Roberto Dos Santos, na sua condição de peticionário e suposta vítima, acusa o Estado de negligência no tratamento da Síndrome Pós-Pólio (SPP). Alega que a conduta das autoridades em relação à poliomielite provocou contágios que poderiam ter sido evitados, incluindo o seu, e que décadas mais tarde resultaram no aparecimento da SPP. Denuncia que a doença lhe causou graves danos à sua saúde e à sua capacidade motora.</w:t>
      </w:r>
    </w:p>
    <w:p w14:paraId="608C20F8" w14:textId="7D4BC3A6" w:rsidR="005A1DAC" w:rsidRPr="005A1DAC" w:rsidRDefault="005A1DAC" w:rsidP="005A1DAC">
      <w:pPr>
        <w:pStyle w:val="ListParagraph"/>
        <w:spacing w:after="240"/>
        <w:jc w:val="both"/>
        <w:rPr>
          <w:rFonts w:asciiTheme="majorHAnsi" w:hAnsiTheme="majorHAnsi"/>
          <w:sz w:val="20"/>
          <w:szCs w:val="20"/>
          <w:lang w:val="pt-BR"/>
        </w:rPr>
      </w:pPr>
      <w:r w:rsidRPr="005A1DAC">
        <w:rPr>
          <w:rFonts w:asciiTheme="majorHAnsi" w:hAnsiTheme="majorHAnsi"/>
          <w:i/>
          <w:iCs/>
          <w:sz w:val="20"/>
          <w:szCs w:val="20"/>
          <w:lang w:val="pt-BR"/>
        </w:rPr>
        <w:t>Sobre a condição de saúde da suposta vítima e a alegada negligência do Estado</w:t>
      </w:r>
    </w:p>
    <w:p w14:paraId="7AD9B790"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O Sr. Dos Santos indica que começou a apresentar sintomas de SPP em 2002, e que a vacinação incompleta e inoportuna que recebeu em sua infância lhe provocou essa condição atualmente. Aduz que, embora a vacina estivesse disponível no Brasil desde 1962, os funcionários de saúde o imunizaram em 1966, 1967 e 1968, com intervalos excessivos entre as doses e contra as recomendações científicas indicadas como necessárias para a eficácia da vacina, resultando em sua contração de poliomielite em 1969. O peticionário alega que, entre 1969 e 1973, o Estado manipulou os dados oficiais em nível federal para ocultar o descontrole da doença no país.</w:t>
      </w:r>
    </w:p>
    <w:p w14:paraId="0D63F79E"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O peticionário informa que, desde 1969, quando contraiu pólio na infância, até 1974, foi atendido no Hospital das Clínicas de Botucatu, onde recebeu alta por não se tratar mais de um caso neurológico, sendo encaminhado ao serviço de ortopedia. Com esses tratamentos, recuperou sua mobilidade, mas com sequelas nas extremidades. Essas sequelas não o impediram de trabalhar na vida adulta. No entanto, a partir de 2002, começou a sentir os efeitos da chamada "síndrome pós-pólio", um distúrbio neurológico classificado como efeito tardio da pólio, caracterizado por fraqueza muscular renovada e fadiga muscular anormal. O diagnóstico de SPP, contudo, só foi confirmado em 2005, ano em que a síndrome recebeu a classificação CID-10 G-14 da Classificação Internacional de Doenças.</w:t>
      </w:r>
    </w:p>
    <w:p w14:paraId="4F1F15E1"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O peticionário alega que ele e outras pessoas em situação similar necessitam de uma atenção médica específica que o Estado não fornece: atendimento multidisciplinar, medicação para os sintomas, órteses, auxílios para locomoção (cadeiras de rodas e motorizadas) и ventilação mecânica não invasiva quando necessário. Assinala que, apesar dessas necessidades, existe apenas uma clínica pública especializada em SPP no país – o Ambulatório de SPP do Setor de Investigação de Doenças Neuromusculares da Universidade Federal de São Paulo –, cujos recursos financeiros e humanos são insuficientes para atender à demanda.</w:t>
      </w:r>
    </w:p>
    <w:p w14:paraId="76973C64" w14:textId="77777777" w:rsidR="005A1DAC" w:rsidRPr="005A1DAC" w:rsidRDefault="005A1DAC" w:rsidP="005A1DAC">
      <w:pPr>
        <w:pStyle w:val="ListParagraph"/>
        <w:spacing w:after="240"/>
        <w:jc w:val="both"/>
        <w:rPr>
          <w:rFonts w:asciiTheme="majorHAnsi" w:hAnsiTheme="majorHAnsi"/>
          <w:sz w:val="20"/>
          <w:szCs w:val="20"/>
          <w:lang w:val="pt-BR"/>
        </w:rPr>
      </w:pPr>
      <w:r w:rsidRPr="005A1DAC">
        <w:rPr>
          <w:rFonts w:asciiTheme="majorHAnsi" w:hAnsiTheme="majorHAnsi"/>
          <w:i/>
          <w:iCs/>
          <w:sz w:val="20"/>
          <w:szCs w:val="20"/>
          <w:lang w:val="pt-BR"/>
        </w:rPr>
        <w:t>Processo Administrativo nº 061/2011</w:t>
      </w:r>
    </w:p>
    <w:p w14:paraId="22F4B87F"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Com relação aos recursos internos, o peticionário indica que em 2011 procurou a Defensoria Pública do Estado de São Paulo e questionou a omissão estatal em relação à poliomielite nos anos 1960, seu próprio contágio de poliomielite e o posterior aparecimento da SPP. Essa denúncia originou o Processo Administrativo 061/2011 perante o Núcleo Especializado de Cidadania e Direitos Humanos da Defensoria Pública⁴.</w:t>
      </w:r>
    </w:p>
    <w:p w14:paraId="2156B6D5"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Em 2 de maio de 2012, a defensora pública responsável apresentou suas primeiras conclusões de que o caso apresentava um caráter estritamente individual, pois o Sr. dos Santos desenvolveu a SPP por erros atribuíveis ao Estado. Recomendou a propositura de uma ação individual para produzir provas no curso de um processo ordinário e assinalou que o diagnóstico de SPP já fornecia um início de prova favorável.</w:t>
      </w:r>
    </w:p>
    <w:p w14:paraId="16B0C2ED"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No curso do mesmo processo administrativo, em 17 de janeiro de 2013, a diretora técnica da Divisão de Doenças de Transmissão Hídrica e Alimentar (órgão estatal) informou, em resumo, que: i) o Sr. Dos Santos recebeu três doses de vacina em 1966, 1967 e 1968; e que ii) os intervalos entre as doses superaram os dois meses recomendados, uma diretriz essencial para imunizar a criança rapidamente.</w:t>
      </w:r>
    </w:p>
    <w:p w14:paraId="1632C4C2" w14:textId="4145F4DE"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lastRenderedPageBreak/>
        <w:t>Finalmente, em 24 de março de 2013, a defensora pública emitiu um novo parecer no qual confirmou que os intervalos vacinais foram excessivos. Acreditou que Nilson padece de SPP e explicou que a sobrecarga das unidades motoras danificadas poderia ter provocado fraqueza progressiva e fadiga muscular. No entanto, considerou que a pretensão de Nilson se refere aos danos que sofreu em nível individual, decidindo arquivar o procedimento, já que o Núcleo Especializado de Cidadania e Direitos Humanos da Defensoria Pública trata de demandas coletivas</w:t>
      </w:r>
      <w:r w:rsidR="00633E14" w:rsidRPr="00633E14">
        <w:rPr>
          <w:rStyle w:val="FootnoteReference"/>
          <w:bCs/>
          <w:sz w:val="20"/>
          <w:szCs w:val="20"/>
          <w:lang w:val="es-MX" w:bidi="es-ES"/>
        </w:rPr>
        <w:footnoteReference w:id="5"/>
      </w:r>
      <w:r w:rsidRPr="005A1DAC">
        <w:rPr>
          <w:rFonts w:asciiTheme="majorHAnsi" w:hAnsiTheme="majorHAnsi"/>
          <w:sz w:val="20"/>
          <w:szCs w:val="20"/>
          <w:lang w:val="pt-BR"/>
        </w:rPr>
        <w:t>.</w:t>
      </w:r>
    </w:p>
    <w:p w14:paraId="34B304F8" w14:textId="77777777" w:rsidR="005A1DAC" w:rsidRPr="005A1DAC" w:rsidRDefault="005A1DAC" w:rsidP="005A1DAC">
      <w:pPr>
        <w:pStyle w:val="ListParagraph"/>
        <w:spacing w:after="240"/>
        <w:jc w:val="both"/>
        <w:rPr>
          <w:rFonts w:asciiTheme="majorHAnsi" w:hAnsiTheme="majorHAnsi"/>
          <w:sz w:val="20"/>
          <w:szCs w:val="20"/>
          <w:lang w:val="pt-BR"/>
        </w:rPr>
      </w:pPr>
      <w:r w:rsidRPr="005A1DAC">
        <w:rPr>
          <w:rFonts w:asciiTheme="majorHAnsi" w:hAnsiTheme="majorHAnsi"/>
          <w:i/>
          <w:iCs/>
          <w:sz w:val="20"/>
          <w:szCs w:val="20"/>
          <w:lang w:val="pt-BR"/>
        </w:rPr>
        <w:t>Processo nº 0001668-53.2015.4.03.6307</w:t>
      </w:r>
    </w:p>
    <w:p w14:paraId="52D2644D" w14:textId="1781C301"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Em 13 de julho de 2015, Nilson processou o Estado perante o Juizado Especial Federal (cível) de Botucatu e solicitou que a Santa Casa de Jahu</w:t>
      </w:r>
      <w:r w:rsidR="00633E14" w:rsidRPr="00633E14">
        <w:rPr>
          <w:rStyle w:val="FootnoteReference"/>
          <w:bCs/>
          <w:sz w:val="20"/>
          <w:szCs w:val="20"/>
          <w:lang w:val="es-MX" w:bidi="es-ES"/>
        </w:rPr>
        <w:footnoteReference w:id="6"/>
      </w:r>
      <w:r w:rsidRPr="005A1DAC">
        <w:rPr>
          <w:rFonts w:asciiTheme="majorHAnsi" w:hAnsiTheme="majorHAnsi"/>
          <w:sz w:val="20"/>
          <w:szCs w:val="20"/>
          <w:lang w:val="pt-BR"/>
        </w:rPr>
        <w:t xml:space="preserve"> lhe fornecesse uma cadeira de rodas motorizada para enfrentar as limitações físicas decorrentes da SPP. Em 9 de setembro de 2015, uma perícia judicial</w:t>
      </w:r>
      <w:r w:rsidR="00633E14" w:rsidRPr="00633E14">
        <w:rPr>
          <w:rStyle w:val="FootnoteReference"/>
          <w:bCs/>
          <w:sz w:val="20"/>
          <w:szCs w:val="20"/>
          <w:lang w:val="es-MX" w:bidi="es-ES"/>
        </w:rPr>
        <w:footnoteReference w:id="7"/>
      </w:r>
      <w:r w:rsidRPr="005A1DAC">
        <w:rPr>
          <w:rFonts w:asciiTheme="majorHAnsi" w:hAnsiTheme="majorHAnsi"/>
          <w:sz w:val="20"/>
          <w:szCs w:val="20"/>
          <w:lang w:val="pt-BR"/>
        </w:rPr>
        <w:t xml:space="preserve"> certificou a sequela de poliomielite aguda, mas não observou comprometimento incapacitante nos membros superiores nem a necessidade exclusiva da cadeira motorizada.</w:t>
      </w:r>
    </w:p>
    <w:p w14:paraId="6C5EBF61"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Após tomar conhecimento dessa perícia, Nilson apresentou uma petição adicional e explicou que a SPP lhe dificulta tarefas cotidianas, provoca dores generalizadas e limita sua capacidade de caminhar ou permanecer de pé. Também descreveu tremores e perda de força nos braços, especialmente no esquerdo, e solicitou que o juiz avaliasse sua situação à luz desse diagnóstico. No entanto, em 29 de abril de 2016, o Juizado Especial Federal negou a cadeira motorizada, baseando a sentença na referida perícia. Posteriormente, a 5ª Turma Recursal de São Paulo confirmou a decisão em 31 de julho de 2017 pelos mesmos motivos, e a decisão transitou em julgado em 11 de setembro de 2017.</w:t>
      </w:r>
    </w:p>
    <w:p w14:paraId="09E0CB2D" w14:textId="77777777" w:rsidR="005A1DAC" w:rsidRPr="005A1DAC" w:rsidRDefault="005A1DAC" w:rsidP="005A1DAC">
      <w:pPr>
        <w:pStyle w:val="ListParagraph"/>
        <w:spacing w:after="240"/>
        <w:jc w:val="both"/>
        <w:rPr>
          <w:rFonts w:asciiTheme="majorHAnsi" w:hAnsiTheme="majorHAnsi"/>
          <w:sz w:val="20"/>
          <w:szCs w:val="20"/>
          <w:lang w:val="pt-BR"/>
        </w:rPr>
      </w:pPr>
      <w:r w:rsidRPr="005A1DAC">
        <w:rPr>
          <w:rFonts w:asciiTheme="majorHAnsi" w:hAnsiTheme="majorHAnsi"/>
          <w:i/>
          <w:iCs/>
          <w:sz w:val="20"/>
          <w:szCs w:val="20"/>
          <w:lang w:val="pt-BR"/>
        </w:rPr>
        <w:t>Inquérito Civil</w:t>
      </w:r>
    </w:p>
    <w:p w14:paraId="0FDF3639"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Em 31 de março de 2016, o peticionário denunciou ao Ministério Público Federal a responsabilidade do Estado pela síndrome pós-pólio que ele e inúmeras pessoas padecem devido às deficiências na prevenção da poliomielite. Além disso, solicitou que ele e outras pessoas afetadas pela SPP fossem incluídos nos serviços de assistência social, previdência e saúde, e que lhes fosse oferecida a atenção médica específica que, segundo alega, o Estado não proporciona.</w:t>
      </w:r>
    </w:p>
    <w:p w14:paraId="012FD704"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O Ministério Público Federal registrou a denúncia em 12 de abril e, mediante a Portaria nº 160 de 18 de maio de 2016, instaurou diligências para verificar a atenção à saúde para a SPP e as medidas de informação sobre a doença e os benefícios previdenciários (inquérito civil 1.34.003.000174/2015-01).</w:t>
      </w:r>
    </w:p>
    <w:p w14:paraId="235871AC"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Durante a investigação, o Ministério Público Federal solicitou dados às autoridades de saúde sobre sua atuação frente à SPP. O Ministério da Saúde respondeu que conta com um tratamento multidisciplinar para a SPP, conforme as necessidades de cada caso. No entanto, a Universidade Federal de São Paulo (responsável pela única clínica pública especializada em SPP) informou que atende os pacientes com SPP dentro da rotina do Sistema Único de Saúde, mas carece de apoio governamental específico para seu acompanhamento. Apesar disso, o procurador responsável determinou o arquivamento da investigação em 18 de outubro de 2018.</w:t>
      </w:r>
    </w:p>
    <w:p w14:paraId="03A929B1" w14:textId="77777777" w:rsidR="00255985" w:rsidRDefault="00255985">
      <w:pPr>
        <w:rPr>
          <w:rFonts w:asciiTheme="majorHAnsi" w:eastAsia="Cambria" w:hAnsiTheme="majorHAnsi" w:cs="Cambria"/>
          <w:i/>
          <w:iCs/>
          <w:color w:val="000000"/>
          <w:sz w:val="20"/>
          <w:szCs w:val="20"/>
          <w:u w:color="000000"/>
          <w:lang w:val="pt-BR" w:eastAsia="es-ES"/>
        </w:rPr>
      </w:pPr>
      <w:r>
        <w:rPr>
          <w:rFonts w:asciiTheme="majorHAnsi" w:hAnsiTheme="majorHAnsi"/>
          <w:i/>
          <w:iCs/>
          <w:sz w:val="20"/>
          <w:szCs w:val="20"/>
          <w:lang w:val="pt-BR"/>
        </w:rPr>
        <w:br w:type="page"/>
      </w:r>
    </w:p>
    <w:p w14:paraId="130D9653" w14:textId="131765CD" w:rsidR="005A1DAC" w:rsidRPr="005A1DAC" w:rsidRDefault="005A1DAC" w:rsidP="005A1DAC">
      <w:pPr>
        <w:pStyle w:val="ListParagraph"/>
        <w:spacing w:after="240"/>
        <w:jc w:val="both"/>
        <w:rPr>
          <w:rFonts w:asciiTheme="majorHAnsi" w:hAnsiTheme="majorHAnsi"/>
          <w:sz w:val="20"/>
          <w:szCs w:val="20"/>
          <w:lang w:val="pt-BR"/>
        </w:rPr>
      </w:pPr>
      <w:r w:rsidRPr="005A1DAC">
        <w:rPr>
          <w:rFonts w:asciiTheme="majorHAnsi" w:hAnsiTheme="majorHAnsi"/>
          <w:i/>
          <w:iCs/>
          <w:sz w:val="20"/>
          <w:szCs w:val="20"/>
          <w:lang w:val="pt-BR"/>
        </w:rPr>
        <w:lastRenderedPageBreak/>
        <w:t>Alegações finais</w:t>
      </w:r>
    </w:p>
    <w:p w14:paraId="0B4CAE08"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O peticionário argumenta que o Estado é responsável por sua atual condição de saúde. Aponta as falhas na campanha de vacinação que permitiram seu contágio por poliomielite em 1969, e destaca que a partir de 2002 começou a sofrer da síndrome pós-pólio, com uma progressiva deterioração de sua saúde nos anos seguintes. Denuncia a falta de uma política pública adequada para o diagnóstico, tratamento e apoio tanto a ele quanto a outras pessoas afetadas pela síndrome pós-pólio. Sustenta que essa omissão estatal o impediu de ter acesso aos tratamentos e equipamentos necessários, como a cadeira de rodas motorizada, violando assim seu direito a uma vida digna.</w:t>
      </w:r>
    </w:p>
    <w:p w14:paraId="17BD29C2" w14:textId="1CD0122C"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Adicionalmente, e para sustentar a falta de um critério estatal coerente e protetivo, o peticionário apresenta informações sobre diversos processos judiciais iniciados por outras pessoas com SPP. Explica que esses casos demonstram uma notória falta de uniformidade nas avaliações médicas e nas decisões judiciais. Diante de quadros clínicos e diagnósticos similares de SPP, os peritos e tribunais brasileiros chegam a conclusões contraditórias sobre o grau de incapacidade (temporária, permanente, total ou parcial) e sobre o direito de acesso a benefícios de assistência e previdência social ou aposentadorias por invalidez. A seu ver, essa disparidade de critérios evidencia a arbitrariedade do sistema e a ausência de uma política pública clara e previsível que garanta os direitos das pessoas que vivem com SPP</w:t>
      </w:r>
      <w:r w:rsidR="00633E14" w:rsidRPr="00633E14">
        <w:rPr>
          <w:rStyle w:val="FootnoteReference"/>
          <w:bCs/>
          <w:sz w:val="20"/>
          <w:szCs w:val="20"/>
          <w:lang w:val="es-MX" w:bidi="es-ES"/>
        </w:rPr>
        <w:footnoteReference w:id="8"/>
      </w:r>
      <w:r w:rsidRPr="005A1DAC">
        <w:rPr>
          <w:rFonts w:asciiTheme="majorHAnsi" w:hAnsiTheme="majorHAnsi"/>
          <w:sz w:val="20"/>
          <w:szCs w:val="20"/>
          <w:lang w:val="pt-BR"/>
        </w:rPr>
        <w:t>.</w:t>
      </w:r>
    </w:p>
    <w:p w14:paraId="4EF7C630" w14:textId="77777777" w:rsidR="005A1DAC" w:rsidRPr="005A1DAC" w:rsidRDefault="005A1DAC" w:rsidP="005A1DAC">
      <w:pPr>
        <w:pStyle w:val="ListParagraph"/>
        <w:spacing w:after="240"/>
        <w:jc w:val="both"/>
        <w:rPr>
          <w:rFonts w:asciiTheme="majorHAnsi" w:hAnsiTheme="majorHAnsi"/>
          <w:sz w:val="20"/>
          <w:szCs w:val="20"/>
          <w:lang w:val="pt-BR"/>
        </w:rPr>
      </w:pPr>
      <w:r w:rsidRPr="005A1DAC">
        <w:rPr>
          <w:rFonts w:asciiTheme="majorHAnsi" w:hAnsiTheme="majorHAnsi"/>
          <w:b/>
          <w:bCs/>
          <w:sz w:val="20"/>
          <w:szCs w:val="20"/>
          <w:lang w:val="pt-BR"/>
        </w:rPr>
        <w:t>O Estado brasileiro</w:t>
      </w:r>
    </w:p>
    <w:p w14:paraId="127B054E" w14:textId="44B411F8"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 xml:space="preserve">O Estado considera que o peticionário não esgotou os recursos internos. Assinala que o Código de Ética Médica, em seu capítulo XIV, prevê um procedimento administrativo para investigar e sancionar possíveis faltas dos médicos que emitem laudos para benefícios sociais; no entanto, o peticionário </w:t>
      </w:r>
      <w:r w:rsidR="00255985">
        <w:rPr>
          <w:rFonts w:asciiTheme="majorHAnsi" w:hAnsiTheme="majorHAnsi"/>
          <w:sz w:val="20"/>
          <w:szCs w:val="20"/>
          <w:lang w:val="pt-BR"/>
        </w:rPr>
        <w:t>não</w:t>
      </w:r>
      <w:r w:rsidRPr="005A1DAC">
        <w:rPr>
          <w:rFonts w:asciiTheme="majorHAnsi" w:hAnsiTheme="majorHAnsi"/>
          <w:sz w:val="20"/>
          <w:szCs w:val="20"/>
          <w:lang w:val="pt-BR"/>
        </w:rPr>
        <w:t xml:space="preserve"> iniciou esse trâmite. Acrescenta que o Ministério Público Federal arquivou o Inquérito Civil nº 1.34.003.000174/2015-01 por falta de elementos mínimos, e lembra que esse arquivamento administrativo não equivale ao esgotamento judicial. Insiste que o peticionário tampouco promoveu uma ação civil pública nem uma ação individual de responsabilidade e indenização contra gestores de políticas de saúde ou médicos supostamente negligentes.</w:t>
      </w:r>
    </w:p>
    <w:p w14:paraId="148745AC"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Além disso, o Estado invoca a intempestividade da queixa. Alega que as violações denunciadas ocorreram entre 1969 e 1973, de modo que o peticionário superou em muito o prazo de seis meses que a Convenção estabelece para apresentar o caso à Comissão.</w:t>
      </w:r>
    </w:p>
    <w:p w14:paraId="2488A423" w14:textId="77777777" w:rsid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O Estado também qualifica a petição como manifestamente infundada. Afirma que o escrito não descreve fatos concretos nem demonstra um nexo causal entre a conduta estatal e os prejuízos que sofrem as pessoas com SPP. Também reprova a ausência de datas e locais precisos, bem como a vagueza das solicitações que o peticionário formulou no inquérito civil 1.34.003.000174/2015-01.</w:t>
      </w:r>
    </w:p>
    <w:p w14:paraId="31042D6B" w14:textId="77777777" w:rsidR="00FE755A" w:rsidRDefault="00FE755A" w:rsidP="00FA2460">
      <w:pPr>
        <w:spacing w:after="240"/>
        <w:jc w:val="both"/>
        <w:rPr>
          <w:rFonts w:asciiTheme="majorHAnsi" w:hAnsiTheme="majorHAnsi"/>
          <w:sz w:val="20"/>
          <w:szCs w:val="20"/>
          <w:lang w:val="pt-BR"/>
        </w:rPr>
      </w:pPr>
    </w:p>
    <w:p w14:paraId="047BD553" w14:textId="77777777" w:rsidR="00FA2460" w:rsidRPr="00FA2460" w:rsidRDefault="00FA2460" w:rsidP="00FA2460">
      <w:pPr>
        <w:spacing w:after="240"/>
        <w:jc w:val="both"/>
        <w:rPr>
          <w:rFonts w:asciiTheme="majorHAnsi" w:hAnsiTheme="majorHAnsi"/>
          <w:sz w:val="20"/>
          <w:szCs w:val="20"/>
          <w:lang w:val="pt-BR"/>
        </w:rPr>
      </w:pPr>
    </w:p>
    <w:p w14:paraId="290DA596" w14:textId="5F1A034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lastRenderedPageBreak/>
        <w:t>O Estado argumenta que as pessoas com SPP receberam a devida atenção em matéria de saúde. Cita diversas sentenças de tribunais brasileiros nas quais se ordenou o fornecimento gratuito de medicamentos e/ou equipamentos médicos a pessoas com SPP</w:t>
      </w:r>
      <w:r w:rsidR="00633E14" w:rsidRPr="00633E14">
        <w:rPr>
          <w:rStyle w:val="FootnoteReference"/>
          <w:bCs/>
          <w:sz w:val="20"/>
          <w:szCs w:val="20"/>
          <w:lang w:val="es-MX" w:bidi="es-ES"/>
        </w:rPr>
        <w:footnoteReference w:id="9"/>
      </w:r>
      <w:r w:rsidRPr="005A1DAC">
        <w:rPr>
          <w:rFonts w:asciiTheme="majorHAnsi" w:hAnsiTheme="majorHAnsi"/>
          <w:sz w:val="20"/>
          <w:szCs w:val="20"/>
          <w:lang w:val="pt-BR"/>
        </w:rPr>
        <w:t>. Afirma ter cumprido suas obrigações mediante a concessão de aposentadoria por invalidez, auxílio-doença e/ou pensão por morte, segundo o grau de incapacidade do portador de SPP</w:t>
      </w:r>
      <w:r w:rsidR="00633E14" w:rsidRPr="00633E14">
        <w:rPr>
          <w:rStyle w:val="FootnoteReference"/>
          <w:bCs/>
          <w:sz w:val="20"/>
          <w:szCs w:val="20"/>
          <w:lang w:val="es-MX" w:bidi="es-ES"/>
        </w:rPr>
        <w:footnoteReference w:id="10"/>
      </w:r>
      <w:r w:rsidRPr="005A1DAC">
        <w:rPr>
          <w:rFonts w:asciiTheme="majorHAnsi" w:hAnsiTheme="majorHAnsi"/>
          <w:sz w:val="20"/>
          <w:szCs w:val="20"/>
          <w:lang w:val="pt-BR"/>
        </w:rPr>
        <w:t>. Além disso, assinala que as pessoas com SPP podem solicitar o benefício de prestação continuada, destinado a quem padece de deficiências que as impedem de manter a si mesmas ou suas famílias</w:t>
      </w:r>
      <w:r w:rsidR="00633E14" w:rsidRPr="00633E14">
        <w:rPr>
          <w:rStyle w:val="FootnoteReference"/>
          <w:bCs/>
          <w:sz w:val="20"/>
          <w:szCs w:val="20"/>
          <w:lang w:val="es-MX" w:bidi="es-ES"/>
        </w:rPr>
        <w:footnoteReference w:id="11"/>
      </w:r>
      <w:r w:rsidRPr="005A1DAC">
        <w:rPr>
          <w:rFonts w:asciiTheme="majorHAnsi" w:hAnsiTheme="majorHAnsi"/>
          <w:sz w:val="20"/>
          <w:szCs w:val="20"/>
          <w:lang w:val="pt-BR"/>
        </w:rPr>
        <w:t>. Finalmente, enumera outras garantias concedidas judicialmente a pessoas com SPP, como a isenção de impostos (processo 1.0000.15.056548-9/001, TJMG), o acesso facilitado a um cargo público (processo 20080020073804MSG, Tribunal de Justiça do Distrito Federal), e a gratuidade no transporte público (processo 0160448-51.2008.8.05.0001, Tribunal de Justiça da Bahia).</w:t>
      </w:r>
    </w:p>
    <w:p w14:paraId="0B96414A" w14:textId="77777777" w:rsidR="005A1DAC" w:rsidRP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Adicionalmente, o Brasil defende a suficiência de suas políticas de saúde. Destaca o Programa Nacional de Imunizações, vigente há 40 anos, e a Rede de Cuidados à Pessoa com Deficiência, criada em 2017, que financia tratamentos multidisciplinares. Sublinha o papel dos Centros Especializados em Reabilitação, responsáveis pelo diagnóstico, tratamento e fornecimento de tecnologias de assistência, incluindo os pacientes com SPP.</w:t>
      </w:r>
    </w:p>
    <w:p w14:paraId="1E536689" w14:textId="77777777" w:rsidR="005A1DAC" w:rsidRDefault="005A1DAC" w:rsidP="005A1DAC">
      <w:pPr>
        <w:pStyle w:val="ListParagraph"/>
        <w:numPr>
          <w:ilvl w:val="0"/>
          <w:numId w:val="55"/>
        </w:numPr>
        <w:spacing w:after="240"/>
        <w:jc w:val="both"/>
        <w:rPr>
          <w:rFonts w:asciiTheme="majorHAnsi" w:hAnsiTheme="majorHAnsi"/>
          <w:sz w:val="20"/>
          <w:szCs w:val="20"/>
          <w:lang w:val="pt-BR"/>
        </w:rPr>
      </w:pPr>
      <w:r w:rsidRPr="005A1DAC">
        <w:rPr>
          <w:rFonts w:asciiTheme="majorHAnsi" w:hAnsiTheme="majorHAnsi"/>
          <w:sz w:val="20"/>
          <w:szCs w:val="20"/>
          <w:lang w:val="pt-BR"/>
        </w:rPr>
        <w:t>Finalmente, o Estado alega a incompetência da Comissão para examinar possíveis violações de tratados ratificados após 1973. A respeito da Declaração Americana dos Direitos e Deveres do Homem, sustenta que tal instrumento possui caráter meramente declarativo e não gera obrigações jurídicas vinculantes para os Estados.</w:t>
      </w:r>
    </w:p>
    <w:p w14:paraId="0D3259B4" w14:textId="315F6E6B" w:rsidR="005A1DAC" w:rsidRPr="004B502B" w:rsidRDefault="005A1DAC" w:rsidP="005A1DAC">
      <w:pPr>
        <w:pStyle w:val="ListParagraph"/>
        <w:spacing w:before="240" w:after="240"/>
        <w:ind w:left="0" w:firstLine="720"/>
        <w:jc w:val="both"/>
        <w:rPr>
          <w:rFonts w:asciiTheme="majorHAnsi" w:hAnsiTheme="majorHAnsi"/>
          <w:b/>
          <w:bCs/>
          <w:color w:val="auto"/>
          <w:sz w:val="20"/>
          <w:szCs w:val="20"/>
          <w:lang w:val="pt-BR"/>
        </w:rPr>
      </w:pPr>
      <w:r w:rsidRPr="004B502B">
        <w:rPr>
          <w:rFonts w:asciiTheme="majorHAnsi" w:hAnsiTheme="majorHAnsi"/>
          <w:b/>
          <w:bCs/>
          <w:color w:val="auto"/>
          <w:sz w:val="20"/>
          <w:szCs w:val="20"/>
          <w:lang w:val="pt-BR"/>
        </w:rPr>
        <w:t>V</w:t>
      </w:r>
      <w:r>
        <w:rPr>
          <w:rFonts w:asciiTheme="majorHAnsi" w:hAnsiTheme="majorHAnsi"/>
          <w:b/>
          <w:bCs/>
          <w:color w:val="auto"/>
          <w:sz w:val="20"/>
          <w:szCs w:val="20"/>
          <w:lang w:val="pt-BR"/>
        </w:rPr>
        <w:t>I</w:t>
      </w:r>
      <w:r w:rsidRPr="004B502B">
        <w:rPr>
          <w:rFonts w:asciiTheme="majorHAnsi" w:hAnsiTheme="majorHAnsi"/>
          <w:b/>
          <w:bCs/>
          <w:color w:val="auto"/>
          <w:sz w:val="20"/>
          <w:szCs w:val="20"/>
          <w:lang w:val="pt-BR"/>
        </w:rPr>
        <w:t>.</w:t>
      </w:r>
      <w:r w:rsidRPr="004B502B">
        <w:rPr>
          <w:rFonts w:asciiTheme="majorHAnsi" w:hAnsiTheme="majorHAnsi"/>
          <w:b/>
          <w:bCs/>
          <w:color w:val="auto"/>
          <w:sz w:val="20"/>
          <w:szCs w:val="20"/>
          <w:lang w:val="pt-BR"/>
        </w:rPr>
        <w:tab/>
      </w:r>
      <w:r>
        <w:rPr>
          <w:rFonts w:asciiTheme="majorHAnsi" w:hAnsiTheme="majorHAnsi"/>
          <w:b/>
          <w:bCs/>
          <w:color w:val="auto"/>
          <w:sz w:val="20"/>
          <w:szCs w:val="20"/>
          <w:lang w:val="pt-BR"/>
        </w:rPr>
        <w:t xml:space="preserve">COMPETÊNCIA </w:t>
      </w:r>
      <w:r w:rsidRPr="005A1DAC">
        <w:rPr>
          <w:rFonts w:asciiTheme="majorHAnsi" w:hAnsiTheme="majorHAnsi"/>
          <w:b/>
          <w:bCs/>
          <w:i/>
          <w:iCs/>
          <w:color w:val="auto"/>
          <w:sz w:val="20"/>
          <w:szCs w:val="20"/>
          <w:lang w:val="pt-BR"/>
        </w:rPr>
        <w:t>RATIONE TEMPORIS</w:t>
      </w:r>
    </w:p>
    <w:p w14:paraId="52AD5DE1" w14:textId="1E14AB12"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A Comissão observa que o Estado do Brasil depositou seu instrumento de ratificação da Convenção Americana em 25 de setembro de 1992. Consequentemente, a análise do presente assunto se limitará aos fatos alegados ocorridos após essa data.</w:t>
      </w:r>
    </w:p>
    <w:p w14:paraId="5FF76B36" w14:textId="77777777"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Assim, o peticionário sustenta que a partir de 2002 começou a sofrer os efeitos da Síndrome Pós-Pólio (SPP), o que constituiria um fato novo e autônomo, distinto do contágio original de poliomielite nos anos sessenta. Alega, ademais, a falta de políticas públicas adequadas para o diagnóstico, tratamento e apoio das pessoas com SPP, bem como a ausência de uma resposta uniforme das autoridades de saúde e judiciais frente a essa condição.</w:t>
      </w:r>
    </w:p>
    <w:p w14:paraId="31D8D4BA" w14:textId="77777777"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Além disso, a Comissão adverte que os processos judiciais e administrativos impulsionados pelo peticionário entre 2011 e 2018 – incluindo o procedimento perante a Defensoria Pública, a ação individual perante o Juizado Especial Federal e o inquérito civil arquivado pelo Ministério Público Federal – ocorreram todos após a entrada em vigor da Convenção Americana para o Brasil. Nesse sentido, as alegações relativas à falta de tratamento adequado, ao acesso efetivo aos serviços de saúde e à proteção judicial frente às suas reclamações encontram-se plenamente compreendidas na competência temporal da CIDH. Em virtude do exposto, a Comissão conclui que possui competência </w:t>
      </w:r>
      <w:r w:rsidRPr="005A1DAC">
        <w:rPr>
          <w:rFonts w:asciiTheme="majorHAnsi" w:hAnsiTheme="majorHAnsi"/>
          <w:i/>
          <w:iCs/>
          <w:sz w:val="20"/>
          <w:szCs w:val="20"/>
          <w:lang w:val="pt-BR"/>
        </w:rPr>
        <w:t>ratione temporis</w:t>
      </w:r>
      <w:r w:rsidRPr="005A1DAC">
        <w:rPr>
          <w:rFonts w:asciiTheme="majorHAnsi" w:hAnsiTheme="majorHAnsi"/>
          <w:sz w:val="20"/>
          <w:szCs w:val="20"/>
          <w:lang w:val="pt-BR"/>
        </w:rPr>
        <w:t> para examinar as alegações do peticionário à luz da Convenção Americana.</w:t>
      </w:r>
    </w:p>
    <w:p w14:paraId="16CA13B5" w14:textId="309B8119" w:rsidR="004E39F6" w:rsidRPr="004B502B" w:rsidRDefault="004E39F6" w:rsidP="00A75799">
      <w:pPr>
        <w:pStyle w:val="ListParagraph"/>
        <w:spacing w:before="240" w:after="240"/>
        <w:ind w:left="0" w:firstLine="720"/>
        <w:jc w:val="both"/>
        <w:rPr>
          <w:rFonts w:asciiTheme="majorHAnsi" w:hAnsiTheme="majorHAnsi"/>
          <w:b/>
          <w:bCs/>
          <w:color w:val="auto"/>
          <w:sz w:val="20"/>
          <w:szCs w:val="20"/>
          <w:lang w:val="pt-BR"/>
        </w:rPr>
      </w:pPr>
      <w:r w:rsidRPr="004B502B">
        <w:rPr>
          <w:rFonts w:asciiTheme="majorHAnsi" w:hAnsiTheme="majorHAnsi"/>
          <w:b/>
          <w:bCs/>
          <w:color w:val="auto"/>
          <w:sz w:val="20"/>
          <w:szCs w:val="20"/>
          <w:lang w:val="pt-BR"/>
        </w:rPr>
        <w:t>V</w:t>
      </w:r>
      <w:r w:rsidR="005A1DAC">
        <w:rPr>
          <w:rFonts w:asciiTheme="majorHAnsi" w:hAnsiTheme="majorHAnsi"/>
          <w:b/>
          <w:bCs/>
          <w:color w:val="auto"/>
          <w:sz w:val="20"/>
          <w:szCs w:val="20"/>
          <w:lang w:val="pt-BR"/>
        </w:rPr>
        <w:t>II</w:t>
      </w:r>
      <w:r w:rsidRPr="004B502B">
        <w:rPr>
          <w:rFonts w:asciiTheme="majorHAnsi" w:hAnsiTheme="majorHAnsi"/>
          <w:b/>
          <w:bCs/>
          <w:color w:val="auto"/>
          <w:sz w:val="20"/>
          <w:szCs w:val="20"/>
          <w:lang w:val="pt-BR"/>
        </w:rPr>
        <w:t>.</w:t>
      </w:r>
      <w:r w:rsidRPr="004B502B">
        <w:rPr>
          <w:rFonts w:asciiTheme="majorHAnsi" w:hAnsiTheme="majorHAnsi"/>
          <w:b/>
          <w:bCs/>
          <w:color w:val="auto"/>
          <w:sz w:val="20"/>
          <w:szCs w:val="20"/>
          <w:lang w:val="pt-BR"/>
        </w:rPr>
        <w:tab/>
        <w:t>ANÁLISE DE ESGOTAMENTO DOS RECURSOS INTERNOS E PRAZO DE APRESENTAÇÃO</w:t>
      </w:r>
    </w:p>
    <w:p w14:paraId="2A8A0572" w14:textId="06ECAEA8" w:rsid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 xml:space="preserve">Para fins de avaliar a idoneidade dos recursos internos, a Comissão identifica, em primeiro lugar, a reclamação específica formulada e, em seguida, determina quais recursos judiciais estavam disponíveis e eram adequados para ventilar tal reclamação no âmbito nacional. Neste caso, observa que o objeto principal </w:t>
      </w:r>
      <w:r w:rsidRPr="005A1DAC">
        <w:rPr>
          <w:rFonts w:asciiTheme="majorHAnsi" w:hAnsiTheme="majorHAnsi"/>
          <w:sz w:val="20"/>
          <w:szCs w:val="20"/>
          <w:lang w:val="pt-BR"/>
        </w:rPr>
        <w:lastRenderedPageBreak/>
        <w:t>da petição se refere à suposta falta de tratamento adequado da Síndrome Pós-Pólio (SPP), em prejuízo da suposta vítima.</w:t>
      </w:r>
    </w:p>
    <w:p w14:paraId="0BFFACB3" w14:textId="6CBDAA31" w:rsidR="005A1DAC" w:rsidRPr="005A1DAC" w:rsidRDefault="005A1DAC" w:rsidP="00633E14">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 xml:space="preserve">O requisito do esgotamento prévio busca permitir que as autoridades nacionais </w:t>
      </w:r>
      <w:r w:rsidR="00633E14">
        <w:rPr>
          <w:rFonts w:asciiTheme="majorHAnsi" w:hAnsiTheme="majorHAnsi"/>
          <w:sz w:val="20"/>
          <w:szCs w:val="20"/>
          <w:lang w:val="pt-BR"/>
        </w:rPr>
        <w:t xml:space="preserve">possam conhecer a alegada violação e, de ser o caso, remediá-la </w:t>
      </w:r>
      <w:r w:rsidRPr="005A1DAC">
        <w:rPr>
          <w:rFonts w:asciiTheme="majorHAnsi" w:hAnsiTheme="majorHAnsi"/>
          <w:sz w:val="20"/>
          <w:szCs w:val="20"/>
          <w:lang w:val="pt-BR"/>
        </w:rPr>
        <w:t>antes que a questão seja submetida a uma instância internacional</w:t>
      </w:r>
      <w:r w:rsidR="00633E14" w:rsidRPr="00633E14">
        <w:rPr>
          <w:rStyle w:val="FootnoteReference"/>
          <w:rFonts w:ascii="Cambria" w:hAnsi="Cambria"/>
          <w:bCs/>
          <w:sz w:val="20"/>
          <w:szCs w:val="20"/>
          <w:lang w:val="es-MX" w:bidi="es-ES"/>
        </w:rPr>
        <w:footnoteReference w:id="12"/>
      </w:r>
      <w:r w:rsidRPr="005A1DAC">
        <w:rPr>
          <w:rFonts w:asciiTheme="majorHAnsi" w:hAnsiTheme="majorHAnsi"/>
          <w:sz w:val="20"/>
          <w:szCs w:val="20"/>
          <w:lang w:val="pt-BR"/>
        </w:rPr>
        <w:t>. Ademais, as pessoas com deficiência constituem um grupo em situação de vulnerabilidade, o que implica uma obrigação reforçada do Estado de garantir seu acesso à justiça em condições de igualdade. Nessa linha, as Regras de Brasília sobre Acesso à Justiça especificam o dever de adaptar os procedimentos e assegurar todas as garantias do devido processo para proteger efetivamente os direitos dessas pessoas</w:t>
      </w:r>
      <w:r w:rsidR="00633E14" w:rsidRPr="00633E14">
        <w:rPr>
          <w:rStyle w:val="FootnoteReference"/>
          <w:rFonts w:ascii="Cambria" w:hAnsi="Cambria"/>
          <w:bCs/>
          <w:sz w:val="20"/>
          <w:szCs w:val="20"/>
          <w:lang w:val="es-MX" w:bidi="es-ES"/>
        </w:rPr>
        <w:footnoteReference w:id="13"/>
      </w:r>
      <w:r w:rsidRPr="005A1DAC">
        <w:rPr>
          <w:rFonts w:asciiTheme="majorHAnsi" w:hAnsiTheme="majorHAnsi"/>
          <w:sz w:val="20"/>
          <w:szCs w:val="20"/>
          <w:lang w:val="pt-BR"/>
        </w:rPr>
        <w:t>.</w:t>
      </w:r>
    </w:p>
    <w:p w14:paraId="6A911109" w14:textId="77777777"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No presente caso, o peticionário interpôs uma ação judicial individual (Processo nº 0001668-53.2015.4.03.6307) perante o Juizado Especial Federal de Botucatu, solicitando o fornecimento de uma cadeira de rodas motorizada. Essa ação foi negada em primeira instância em 29 de abril de 2016, decisão confirmada pela 5ª Turma Recursal de São Paulo em 31 de julho de 2017, e que transitou em julgado em 11 de setembro de 2017. Desse modo, esgotou-se uma primeira via de reclamação judicial individual.</w:t>
      </w:r>
    </w:p>
    <w:p w14:paraId="5A478772" w14:textId="77777777"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Paralelamente, em 31 de março de 2016, o peticionário denunciou ao Ministério Público Federal a falta de prevenção e tratamento da SPP, em termos análogos aos apresentados na presente petição. Essa denúncia deu origem ao Inquérito Civil nº 1.34.003.000174/2015-01, que foi arquivado em 18 de outubro de 2018 após as respostas fornecidas pelas autoridades de saúde sobre a atenção médica disponível para as pessoas com SPP.</w:t>
      </w:r>
    </w:p>
    <w:p w14:paraId="0523FFF4" w14:textId="0DD554B5"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Nesse sentido, a Comissão lembra que a finalidade do requisito de esgotamento dos recursos internos se cumpre quando a suposta vítima apresenta sua reclamação por uma via judicial válida e adequada dentro do ordenamento jurídico nacional, e o Estado tem a oportunidade de remediá-la</w:t>
      </w:r>
      <w:r w:rsidR="00633E14" w:rsidRPr="00633E14">
        <w:rPr>
          <w:rStyle w:val="FootnoteReference"/>
          <w:rFonts w:ascii="Cambria" w:hAnsi="Cambria"/>
          <w:bCs/>
          <w:sz w:val="20"/>
          <w:szCs w:val="20"/>
          <w:lang w:val="es-MX" w:bidi="es-ES"/>
        </w:rPr>
        <w:footnoteReference w:id="14"/>
      </w:r>
      <w:r w:rsidRPr="005A1DAC">
        <w:rPr>
          <w:rFonts w:asciiTheme="majorHAnsi" w:hAnsiTheme="majorHAnsi"/>
          <w:sz w:val="20"/>
          <w:szCs w:val="20"/>
          <w:lang w:val="pt-BR"/>
        </w:rPr>
        <w:t>. No presente caso, as denúncias do peticionário abrangeram tanto sua situação individual quanto as alegadas falhas sistêmicas na atenção às pessoas com SPP. Frente a essa dimensão coletiva, o inquérito civil conduzido pelo Ministério Público Federal constituía o mecanismo idôneo para questionar a política de saúde pública. Como titular da ação civil pública, o MPF utiliza tal investigação para coletar elementos que fundamentem uma eventual ação judicial. Consequentemente, o arquivamento da investigação representa o esgotamento dessa via específica de tutela do direito à saúde invocado pelo peticionário.</w:t>
      </w:r>
    </w:p>
    <w:p w14:paraId="511ED775" w14:textId="77777777"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Além disso, a Comissão adverte que o ordenamento jurídico brasileiro não contempla um recurso judicial ordinário destinado a impugnar de mérito uma decisão de arquivamento proferida pelo Ministério Público Federal. Embora, em casos excepcionais, possa ser proposto um controle judicial de legalidade – por exemplo, mediante mandado de segurança –, tal mecanismo não constitui um recurso regular nem permite revisar a valoração discricionária do MPF sobre a suficiência de elementos para promover uma ação judicial.</w:t>
      </w:r>
    </w:p>
    <w:p w14:paraId="273C769A" w14:textId="77777777"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Em virtude do exposto, a Comissão considera que os recursos internos se encontram esgotados desde a decisão de arquivamento do inquérito civil em 18 de outubro de 2018, em cumprimento ao artigo 46.1.a) da Convenção Americana. Da mesma forma, dado que o peticionário apresentou sua denúncia à CIDH em 31 de outubro de 2016, a petição cumpre também com o requisito do artigo 46.1.b).</w:t>
      </w:r>
    </w:p>
    <w:p w14:paraId="559EB647" w14:textId="335E2F1F" w:rsidR="005A1DAC" w:rsidRPr="005A1DAC" w:rsidRDefault="005A1DAC" w:rsidP="005A1DAC">
      <w:pPr>
        <w:numPr>
          <w:ilvl w:val="0"/>
          <w:numId w:val="55"/>
        </w:numPr>
        <w:pBdr>
          <w:top w:val="none" w:sz="0" w:space="0" w:color="auto"/>
          <w:left w:val="none" w:sz="0" w:space="0" w:color="auto"/>
          <w:bottom w:val="none" w:sz="0" w:space="0" w:color="auto"/>
          <w:right w:val="none" w:sz="0" w:space="0" w:color="auto"/>
        </w:pBdr>
        <w:suppressAutoHyphens/>
        <w:spacing w:before="240" w:after="240"/>
        <w:jc w:val="both"/>
        <w:rPr>
          <w:rFonts w:asciiTheme="majorHAnsi" w:hAnsiTheme="majorHAnsi"/>
          <w:sz w:val="20"/>
          <w:szCs w:val="20"/>
          <w:lang w:val="pt-BR"/>
        </w:rPr>
      </w:pPr>
      <w:r w:rsidRPr="005A1DAC">
        <w:rPr>
          <w:rFonts w:asciiTheme="majorHAnsi" w:hAnsiTheme="majorHAnsi"/>
          <w:sz w:val="20"/>
          <w:szCs w:val="20"/>
          <w:lang w:val="pt-BR"/>
        </w:rPr>
        <w:t xml:space="preserve">A respeito dos outros recursos apontados pelo Estado como não esgotados, a Comissão observa que as gestões realizadas pelo peticionário – perante a Defensoria Pública, o Ministério Público Federal e a Justiça Federal – ofereceram ao Estado múltiplas oportunidades para conhecer e remediar a situação alegada. Quanto ao procedimento disciplinar previsto no Código de Ética Médica, a CIDH sublinha que tal </w:t>
      </w:r>
      <w:r w:rsidRPr="005A1DAC">
        <w:rPr>
          <w:rFonts w:asciiTheme="majorHAnsi" w:hAnsiTheme="majorHAnsi"/>
          <w:sz w:val="20"/>
          <w:szCs w:val="20"/>
          <w:lang w:val="pt-BR"/>
        </w:rPr>
        <w:lastRenderedPageBreak/>
        <w:t xml:space="preserve">mecanismo busca estabelecer a responsabilidade individual de profissionais da saúde e </w:t>
      </w:r>
      <w:r w:rsidR="00633E14">
        <w:rPr>
          <w:rFonts w:asciiTheme="majorHAnsi" w:hAnsiTheme="majorHAnsi"/>
          <w:sz w:val="20"/>
          <w:szCs w:val="20"/>
          <w:lang w:val="pt-BR"/>
        </w:rPr>
        <w:t>não</w:t>
      </w:r>
      <w:r w:rsidRPr="005A1DAC">
        <w:rPr>
          <w:rFonts w:asciiTheme="majorHAnsi" w:hAnsiTheme="majorHAnsi"/>
          <w:sz w:val="20"/>
          <w:szCs w:val="20"/>
          <w:lang w:val="pt-BR"/>
        </w:rPr>
        <w:t xml:space="preserve"> a responsabilidade estatal por falhas estruturais na política de atenção da SPP. Conforme sua jurisprudência constante, a obrigação de reparar violações de direitos humanos recai diretamente sobre o Estado e </w:t>
      </w:r>
      <w:r w:rsidR="00633E14">
        <w:rPr>
          <w:rFonts w:asciiTheme="majorHAnsi" w:hAnsiTheme="majorHAnsi"/>
          <w:sz w:val="20"/>
          <w:szCs w:val="20"/>
          <w:lang w:val="pt-BR"/>
        </w:rPr>
        <w:t>não</w:t>
      </w:r>
      <w:r w:rsidRPr="005A1DAC">
        <w:rPr>
          <w:rFonts w:asciiTheme="majorHAnsi" w:hAnsiTheme="majorHAnsi"/>
          <w:sz w:val="20"/>
          <w:szCs w:val="20"/>
          <w:lang w:val="pt-BR"/>
        </w:rPr>
        <w:t xml:space="preserve"> sobre seus agentes, de modo que não se exige das supostas vítimas que promovam ações pessoais contra eles. Em todo caso, os processos disciplinares não são considerados recursos idôneos em casos de violações graves de direitos humanos</w:t>
      </w:r>
      <w:r w:rsidR="00633E14" w:rsidRPr="00633E14">
        <w:rPr>
          <w:rStyle w:val="FootnoteReference"/>
          <w:rFonts w:ascii="Cambria" w:hAnsi="Cambria"/>
          <w:bCs/>
          <w:sz w:val="20"/>
          <w:szCs w:val="20"/>
          <w:lang w:val="es-MX" w:bidi="es-ES"/>
        </w:rPr>
        <w:footnoteReference w:id="15"/>
      </w:r>
      <w:r>
        <w:rPr>
          <w:rFonts w:asciiTheme="majorHAnsi" w:hAnsiTheme="majorHAnsi"/>
          <w:sz w:val="20"/>
          <w:szCs w:val="20"/>
          <w:lang w:val="pt-BR"/>
        </w:rPr>
        <w:t>.</w:t>
      </w:r>
    </w:p>
    <w:p w14:paraId="616B82A0" w14:textId="2D5F966A" w:rsidR="005E1672" w:rsidRPr="002E2426" w:rsidRDefault="005E1672" w:rsidP="00A75799">
      <w:pPr>
        <w:pStyle w:val="ListParagraph"/>
        <w:spacing w:before="240" w:after="240"/>
        <w:ind w:left="0" w:firstLine="720"/>
        <w:jc w:val="both"/>
        <w:rPr>
          <w:rFonts w:asciiTheme="majorHAnsi" w:hAnsiTheme="majorHAnsi"/>
          <w:b/>
          <w:bCs/>
          <w:color w:val="000000" w:themeColor="text1"/>
          <w:sz w:val="20"/>
          <w:szCs w:val="20"/>
          <w:lang w:val="pt-BR"/>
        </w:rPr>
      </w:pPr>
      <w:bookmarkStart w:id="2" w:name="_Hlk72954899"/>
      <w:r w:rsidRPr="002E2426">
        <w:rPr>
          <w:rFonts w:asciiTheme="majorHAnsi" w:hAnsiTheme="majorHAnsi"/>
          <w:b/>
          <w:bCs/>
          <w:color w:val="000000" w:themeColor="text1"/>
          <w:sz w:val="20"/>
          <w:szCs w:val="20"/>
          <w:lang w:val="pt-BR"/>
        </w:rPr>
        <w:t>V</w:t>
      </w:r>
      <w:r w:rsidR="00633E14">
        <w:rPr>
          <w:rFonts w:asciiTheme="majorHAnsi" w:hAnsiTheme="majorHAnsi"/>
          <w:b/>
          <w:bCs/>
          <w:color w:val="000000" w:themeColor="text1"/>
          <w:sz w:val="20"/>
          <w:szCs w:val="20"/>
          <w:lang w:val="pt-BR"/>
        </w:rPr>
        <w:t>II</w:t>
      </w:r>
      <w:r w:rsidRPr="002E2426">
        <w:rPr>
          <w:rFonts w:asciiTheme="majorHAnsi" w:hAnsiTheme="majorHAnsi"/>
          <w:b/>
          <w:bCs/>
          <w:color w:val="000000" w:themeColor="text1"/>
          <w:sz w:val="20"/>
          <w:szCs w:val="20"/>
          <w:lang w:val="pt-BR"/>
        </w:rPr>
        <w:t>I.</w:t>
      </w:r>
      <w:r w:rsidRPr="002E2426">
        <w:rPr>
          <w:rFonts w:asciiTheme="majorHAnsi" w:hAnsiTheme="majorHAnsi"/>
          <w:b/>
          <w:bCs/>
          <w:color w:val="000000" w:themeColor="text1"/>
          <w:sz w:val="20"/>
          <w:szCs w:val="20"/>
          <w:lang w:val="pt-BR"/>
        </w:rPr>
        <w:tab/>
        <w:t>ANÁLISE DE CARACTERIZAÇÃO DOS FATOS ALEGADOS</w:t>
      </w:r>
    </w:p>
    <w:p w14:paraId="60B54F2E" w14:textId="68E0E9EC" w:rsidR="00633E14" w:rsidRPr="00633E14" w:rsidRDefault="00633E14" w:rsidP="00633E14">
      <w:pPr>
        <w:pStyle w:val="ListParagraph"/>
        <w:numPr>
          <w:ilvl w:val="0"/>
          <w:numId w:val="55"/>
        </w:numPr>
        <w:suppressAutoHyphens/>
        <w:spacing w:before="240" w:after="240"/>
        <w:jc w:val="both"/>
        <w:rPr>
          <w:bCs/>
          <w:sz w:val="20"/>
          <w:szCs w:val="20"/>
          <w:lang w:val="pt-BR"/>
        </w:rPr>
      </w:pPr>
      <w:r w:rsidRPr="00633E14">
        <w:rPr>
          <w:bCs/>
          <w:sz w:val="20"/>
          <w:szCs w:val="20"/>
          <w:lang w:val="pt-BR"/>
        </w:rPr>
        <w:t>A Comissão deve decidir se os fatos alegados podem ser caracterizados como uma violação de direitos, nos termos do artigo 47.b da Convenção Americana, ou se a petição é "manifestamente infundada" ou "evidentemente infundada", segundo a alínea c) de tal artigo. O critério para analisar a admissibilidade difere do utilizado para analisar o mérito da petição, já que a Comissão realiza apenas uma análise </w:t>
      </w:r>
      <w:r w:rsidRPr="00633E14">
        <w:rPr>
          <w:bCs/>
          <w:i/>
          <w:iCs/>
          <w:sz w:val="20"/>
          <w:szCs w:val="20"/>
          <w:lang w:val="pt-BR"/>
        </w:rPr>
        <w:t>prima facie</w:t>
      </w:r>
      <w:r w:rsidRPr="00633E14">
        <w:rPr>
          <w:bCs/>
          <w:sz w:val="20"/>
          <w:szCs w:val="20"/>
          <w:lang w:val="pt-BR"/>
        </w:rPr>
        <w:t> para determinar se os peticionários estabelecem uma aparente ou possível violação de um direito garantido pela Convenção Americana. Trata-se de uma análise sumária que não implica pré-julgar nem emitir uma opinião preliminar sobre o mérito do assunto</w:t>
      </w:r>
      <w:r w:rsidRPr="00633E14">
        <w:rPr>
          <w:rStyle w:val="FootnoteReference"/>
          <w:bCs/>
          <w:sz w:val="20"/>
          <w:szCs w:val="20"/>
          <w:lang w:val="es-MX" w:bidi="es-ES"/>
        </w:rPr>
        <w:footnoteReference w:id="16"/>
      </w:r>
      <w:r w:rsidRPr="00633E14">
        <w:rPr>
          <w:bCs/>
          <w:sz w:val="20"/>
          <w:szCs w:val="20"/>
          <w:lang w:val="pt-BR"/>
        </w:rPr>
        <w:t>.</w:t>
      </w:r>
    </w:p>
    <w:p w14:paraId="26AB784C" w14:textId="6426EEA0" w:rsidR="00633E14" w:rsidRPr="00633E14" w:rsidRDefault="00633E14" w:rsidP="00633E14">
      <w:pPr>
        <w:pStyle w:val="ListParagraph"/>
        <w:numPr>
          <w:ilvl w:val="0"/>
          <w:numId w:val="55"/>
        </w:numPr>
        <w:suppressAutoHyphens/>
        <w:spacing w:before="240" w:after="240"/>
        <w:jc w:val="both"/>
        <w:rPr>
          <w:bCs/>
          <w:sz w:val="20"/>
          <w:szCs w:val="20"/>
          <w:lang w:val="pt-BR"/>
        </w:rPr>
      </w:pPr>
      <w:r w:rsidRPr="00633E14">
        <w:rPr>
          <w:bCs/>
          <w:sz w:val="20"/>
          <w:szCs w:val="20"/>
          <w:lang w:val="pt-BR"/>
        </w:rPr>
        <w:t>A Comissão reitera que a obrigação estatal de adotar medidas para garantir o acesso a um tratamento adequado deriva dos direitos à vida, à integridade pessoal e à saúde. Embora a suposta falha na imunização do Sr. Dos Santos tenha ocorrido antes da entrada em vigor da Convenção para o Estado, suas consequências para a saúde da suposta vítima, particularmente o desenvolvimento e a progressão da SPP, estendem-se até o presente. Além disso, os remédios judiciais utilizados não teriam sido eficazes para resolver esta situação. Por isso, se comprovados, os fatos alegados poderiam configurar uma situação de violação continuada de direitos</w:t>
      </w:r>
      <w:r w:rsidRPr="00633E14">
        <w:rPr>
          <w:rStyle w:val="FootnoteReference"/>
          <w:bCs/>
          <w:sz w:val="20"/>
          <w:szCs w:val="20"/>
          <w:lang w:val="es-MX" w:bidi="es-ES"/>
        </w:rPr>
        <w:footnoteReference w:id="17"/>
      </w:r>
      <w:r w:rsidRPr="00633E14">
        <w:rPr>
          <w:bCs/>
          <w:sz w:val="20"/>
          <w:szCs w:val="20"/>
          <w:lang w:val="pt-BR"/>
        </w:rPr>
        <w:t xml:space="preserve"> em relação à alegada falta de tratamento do contágio por poliomielite e à ausência de um efetivo acesso à justiça.</w:t>
      </w:r>
    </w:p>
    <w:p w14:paraId="1B32B442" w14:textId="77777777" w:rsidR="00633E14" w:rsidRPr="00633E14" w:rsidRDefault="00633E14" w:rsidP="00633E14">
      <w:pPr>
        <w:pStyle w:val="ListParagraph"/>
        <w:numPr>
          <w:ilvl w:val="0"/>
          <w:numId w:val="55"/>
        </w:numPr>
        <w:suppressAutoHyphens/>
        <w:spacing w:before="240" w:after="240"/>
        <w:jc w:val="both"/>
        <w:rPr>
          <w:bCs/>
          <w:sz w:val="20"/>
          <w:szCs w:val="20"/>
          <w:lang w:val="pt-BR"/>
        </w:rPr>
      </w:pPr>
      <w:r w:rsidRPr="00633E14">
        <w:rPr>
          <w:bCs/>
          <w:sz w:val="20"/>
          <w:szCs w:val="20"/>
          <w:lang w:val="pt-BR"/>
        </w:rPr>
        <w:t>Por isso, os fatos narrados, se provados, poderiam caracterizar violações aos direitos à integridade pessoal (artigo 5), às garantias judiciais (artigo 8), à proteção judicial (artigo 25) e ao direito à saúde como componente dos direitos econômicos, sociais e culturais (artigo 26), todos da Convenção Americana, em conexão com a obrigação geral de respeitar e garantir os direitos estabelecida em seu artigo 1.1, em prejuízo da suposta vítima.</w:t>
      </w:r>
    </w:p>
    <w:p w14:paraId="77CF99F9" w14:textId="658F47D5" w:rsidR="00633E14" w:rsidRPr="00633E14" w:rsidRDefault="00633E14" w:rsidP="00633E14">
      <w:pPr>
        <w:pStyle w:val="ListParagraph"/>
        <w:numPr>
          <w:ilvl w:val="0"/>
          <w:numId w:val="55"/>
        </w:numPr>
        <w:suppressAutoHyphens/>
        <w:spacing w:before="240" w:after="240"/>
        <w:jc w:val="both"/>
        <w:rPr>
          <w:bCs/>
          <w:sz w:val="20"/>
          <w:szCs w:val="20"/>
          <w:lang w:val="pt-BR"/>
        </w:rPr>
      </w:pPr>
      <w:r w:rsidRPr="00633E14">
        <w:rPr>
          <w:bCs/>
          <w:sz w:val="20"/>
          <w:szCs w:val="20"/>
          <w:lang w:val="pt-BR"/>
        </w:rPr>
        <w:t>Finalmente, a Comissão Interamericana nota que o Brasil ratificou a Convenção Interamericana para a Eliminação de Todas as Formas de Discriminação contra as Pessoas com Deficiência em 17 de julho de 2001, tendo depositado o respectivo instrumento em 15 de agosto de 2001. Embora não seja competente para conhecer casos individuais referentes a violações desse tratado, a Comissão poderá considerá-lo na etapa de mérito com o fim de interpretar e aplicar a Convenção Americana, nos termos do artigo 29 da Convenção Americana</w:t>
      </w:r>
      <w:r w:rsidRPr="00633E14">
        <w:rPr>
          <w:rStyle w:val="FootnoteReference"/>
          <w:bCs/>
          <w:sz w:val="20"/>
          <w:szCs w:val="20"/>
          <w:lang w:val="es-MX" w:bidi="es-ES"/>
        </w:rPr>
        <w:footnoteReference w:id="18"/>
      </w:r>
      <w:r w:rsidRPr="00633E14">
        <w:rPr>
          <w:bCs/>
          <w:sz w:val="20"/>
          <w:szCs w:val="20"/>
          <w:lang w:val="pt-BR"/>
        </w:rPr>
        <w:t>.</w:t>
      </w:r>
    </w:p>
    <w:bookmarkEnd w:id="2"/>
    <w:p w14:paraId="2555C28F" w14:textId="2FF667A1" w:rsidR="00985FD4" w:rsidRPr="00B00068" w:rsidRDefault="00633E14" w:rsidP="00A75799">
      <w:pPr>
        <w:pStyle w:val="ListParagraph"/>
        <w:spacing w:before="240" w:after="240"/>
        <w:ind w:left="0" w:firstLine="720"/>
        <w:jc w:val="both"/>
        <w:rPr>
          <w:rFonts w:asciiTheme="majorHAnsi" w:hAnsiTheme="majorHAnsi"/>
          <w:b/>
          <w:bCs/>
          <w:color w:val="auto"/>
          <w:sz w:val="20"/>
          <w:szCs w:val="20"/>
          <w:lang w:val="pt-BR"/>
        </w:rPr>
      </w:pPr>
      <w:r>
        <w:rPr>
          <w:rFonts w:asciiTheme="majorHAnsi" w:hAnsiTheme="majorHAnsi"/>
          <w:b/>
          <w:bCs/>
          <w:color w:val="auto"/>
          <w:sz w:val="20"/>
          <w:szCs w:val="20"/>
          <w:lang w:val="pt-BR"/>
        </w:rPr>
        <w:t>IX</w:t>
      </w:r>
      <w:r w:rsidR="00985FD4" w:rsidRPr="00B00068">
        <w:rPr>
          <w:rFonts w:asciiTheme="majorHAnsi" w:hAnsiTheme="majorHAnsi"/>
          <w:b/>
          <w:bCs/>
          <w:color w:val="auto"/>
          <w:sz w:val="20"/>
          <w:szCs w:val="20"/>
          <w:lang w:val="pt-BR"/>
        </w:rPr>
        <w:t xml:space="preserve">. </w:t>
      </w:r>
      <w:r w:rsidR="00985FD4" w:rsidRPr="00B00068">
        <w:rPr>
          <w:rFonts w:asciiTheme="majorHAnsi" w:hAnsiTheme="majorHAnsi"/>
          <w:b/>
          <w:bCs/>
          <w:color w:val="auto"/>
          <w:sz w:val="20"/>
          <w:szCs w:val="20"/>
          <w:lang w:val="pt-BR"/>
        </w:rPr>
        <w:tab/>
        <w:t>DECISÃO</w:t>
      </w:r>
    </w:p>
    <w:p w14:paraId="083D2E30" w14:textId="78F6F915" w:rsidR="00633E14" w:rsidRPr="00633E14" w:rsidRDefault="00633E14" w:rsidP="00633E1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pt-BR"/>
        </w:rPr>
      </w:pPr>
      <w:r w:rsidRPr="00633E14">
        <w:rPr>
          <w:rFonts w:asciiTheme="majorHAnsi" w:hAnsiTheme="majorHAnsi"/>
          <w:sz w:val="20"/>
          <w:szCs w:val="20"/>
          <w:lang w:val="pt-BR"/>
        </w:rPr>
        <w:t>Declarar admissível a presente petição em relação aos artigos 5, 8, 25 e 26 da Convenção Americana, em conexão com seu artigo 1.1; e</w:t>
      </w:r>
    </w:p>
    <w:p w14:paraId="65FB5623" w14:textId="70FF9080" w:rsidR="00985FD4" w:rsidRDefault="00633E14" w:rsidP="000B632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pt-BR"/>
        </w:rPr>
      </w:pPr>
      <w:r w:rsidRPr="00633E14">
        <w:rPr>
          <w:rFonts w:asciiTheme="majorHAnsi" w:hAnsiTheme="majorHAnsi"/>
          <w:sz w:val="20"/>
          <w:szCs w:val="20"/>
          <w:lang w:val="pt-BR"/>
        </w:rPr>
        <w:t>Notificar as partes desta decisão; continuar com a análise do mérito da questão; publicar esta decisão e incluí-la em seu Relatório Anual à Assembleia Geral da Organização dos Estados Americanos.</w:t>
      </w:r>
    </w:p>
    <w:p w14:paraId="6F746A14" w14:textId="2A7D78F5" w:rsidR="00FA2460" w:rsidRPr="00D530FD" w:rsidRDefault="00651D50" w:rsidP="00D530FD">
      <w:pPr>
        <w:ind w:firstLine="720"/>
        <w:jc w:val="both"/>
        <w:rPr>
          <w:rFonts w:ascii="Cambria" w:hAnsi="Cambria"/>
          <w:sz w:val="20"/>
          <w:lang w:val="pt-BR"/>
        </w:rPr>
      </w:pPr>
      <w:bookmarkStart w:id="3" w:name="_Hlk89363282"/>
      <w:r w:rsidRPr="006F60BE">
        <w:rPr>
          <w:rFonts w:ascii="Cambria" w:hAnsi="Cambria"/>
          <w:sz w:val="20"/>
          <w:lang w:val="pt-BR"/>
        </w:rPr>
        <w:lastRenderedPageBreak/>
        <w:t>Aprovado pela Comissão Inte</w:t>
      </w:r>
      <w:r w:rsidRPr="005A7000">
        <w:rPr>
          <w:rFonts w:ascii="Cambria" w:hAnsi="Cambria"/>
          <w:sz w:val="20"/>
          <w:lang w:val="pt-BR"/>
        </w:rPr>
        <w:t xml:space="preserve">ramericana de Direitos Humanos aos 6 dias do mês de outubro de 2025. (Assinado): </w:t>
      </w:r>
      <w:r w:rsidRPr="005A7000">
        <w:rPr>
          <w:rStyle w:val="normaltextrun"/>
          <w:rFonts w:ascii="Cambria" w:hAnsi="Cambria" w:cs="Segoe UI"/>
          <w:sz w:val="20"/>
          <w:szCs w:val="20"/>
          <w:lang w:val="pt-BR"/>
        </w:rPr>
        <w:t>José Luis Caballero Ochoa</w:t>
      </w:r>
      <w:r w:rsidRPr="005A7000">
        <w:rPr>
          <w:rFonts w:ascii="Cambria" w:hAnsi="Cambria"/>
          <w:sz w:val="20"/>
          <w:lang w:val="pt-BR"/>
        </w:rPr>
        <w:t xml:space="preserve">, Presidenta; Arif Bulkan, Segundo Vicepresidente; </w:t>
      </w:r>
      <w:r w:rsidRPr="005A7000">
        <w:rPr>
          <w:rStyle w:val="normaltextrun"/>
          <w:rFonts w:ascii="Cambria" w:hAnsi="Cambria" w:cs="Segoe UI"/>
          <w:sz w:val="20"/>
          <w:szCs w:val="20"/>
          <w:lang w:val="pt-BR"/>
        </w:rPr>
        <w:t>Roberta Clarke, Carlos Bernal Pulido e Gloria Monique de Mees</w:t>
      </w:r>
      <w:r w:rsidRPr="005A7000">
        <w:rPr>
          <w:rFonts w:ascii="Cambria" w:hAnsi="Cambria"/>
          <w:sz w:val="20"/>
          <w:lang w:val="pt-BR"/>
        </w:rPr>
        <w:t>, membros da Comissão.</w:t>
      </w:r>
      <w:bookmarkEnd w:id="3"/>
    </w:p>
    <w:sectPr w:rsidR="00FA2460" w:rsidRPr="00D530FD" w:rsidSect="008F5C54">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FB7B" w14:textId="77777777" w:rsidR="002B57CC" w:rsidRDefault="002B57CC">
      <w:r>
        <w:separator/>
      </w:r>
    </w:p>
  </w:endnote>
  <w:endnote w:type="continuationSeparator" w:id="0">
    <w:p w14:paraId="7CBD0656" w14:textId="77777777" w:rsidR="002B57CC" w:rsidRDefault="002B57CC">
      <w:r>
        <w:continuationSeparator/>
      </w:r>
    </w:p>
  </w:endnote>
  <w:endnote w:type="continuationNotice" w:id="1">
    <w:p w14:paraId="4165A74D" w14:textId="77777777" w:rsidR="002B57CC" w:rsidRDefault="002B5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69F94744"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6C5675">
          <w:rPr>
            <w:noProof/>
            <w:sz w:val="16"/>
            <w:szCs w:val="22"/>
          </w:rPr>
          <w:t>3</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6D75" w14:textId="77777777" w:rsidR="002B57CC" w:rsidRPr="000F35ED" w:rsidRDefault="002B57CC">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3F36B478" w14:textId="77777777" w:rsidR="002B57CC" w:rsidRPr="000F35ED" w:rsidRDefault="002B57CC" w:rsidP="000F35ED">
      <w:pPr>
        <w:rPr>
          <w:rFonts w:asciiTheme="majorHAnsi" w:hAnsiTheme="majorHAnsi"/>
          <w:sz w:val="16"/>
          <w:szCs w:val="16"/>
        </w:rPr>
      </w:pPr>
      <w:r w:rsidRPr="000F35ED">
        <w:rPr>
          <w:rFonts w:asciiTheme="majorHAnsi" w:hAnsiTheme="majorHAnsi"/>
          <w:sz w:val="16"/>
          <w:szCs w:val="16"/>
        </w:rPr>
        <w:separator/>
      </w:r>
    </w:p>
    <w:p w14:paraId="30B632C4" w14:textId="77777777" w:rsidR="002B57CC" w:rsidRPr="000F35ED" w:rsidRDefault="002B57CC"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4BA4C7C2" w14:textId="77777777" w:rsidR="002B57CC" w:rsidRPr="000F35ED" w:rsidRDefault="002B57CC"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FCBF014" w14:textId="2E7CABDE" w:rsidR="005A1DAC" w:rsidRPr="00633E14" w:rsidRDefault="005A1DAC"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00633E14" w:rsidRPr="00633E14">
        <w:rPr>
          <w:rFonts w:asciiTheme="majorHAnsi" w:hAnsiTheme="majorHAnsi"/>
          <w:sz w:val="16"/>
          <w:szCs w:val="16"/>
          <w:lang w:val="pt-BR"/>
        </w:rPr>
        <w:t>Doravante, "a Declaração Americana" ou "a Declaração".</w:t>
      </w:r>
    </w:p>
  </w:footnote>
  <w:footnote w:id="3">
    <w:p w14:paraId="2E5A6867" w14:textId="5124A5E8" w:rsidR="005A1DAC" w:rsidRPr="00633E14" w:rsidRDefault="005A1DAC"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00633E14" w:rsidRPr="00633E14">
        <w:rPr>
          <w:rFonts w:asciiTheme="majorHAnsi" w:hAnsiTheme="majorHAnsi"/>
          <w:sz w:val="16"/>
          <w:szCs w:val="16"/>
          <w:lang w:val="pt-BR"/>
        </w:rPr>
        <w:t>Doravante, "a Convenção Americana" ou "a Convenção".</w:t>
      </w:r>
    </w:p>
  </w:footnote>
  <w:footnote w:id="4">
    <w:p w14:paraId="1795654A" w14:textId="53EC68D2" w:rsidR="005A1DAC" w:rsidRPr="00633E14" w:rsidRDefault="005A1DAC"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00633E14" w:rsidRPr="00633E14">
        <w:rPr>
          <w:rFonts w:asciiTheme="majorHAnsi" w:hAnsiTheme="majorHAnsi"/>
          <w:sz w:val="16"/>
          <w:szCs w:val="16"/>
          <w:lang w:val="pt-BR"/>
        </w:rPr>
        <w:t>As observações de cada parte foram devidamente encaminhadas à parte contrária. Mediante petição de 13 de fevereiro de 2024, a parte peticionária manifestou seu interesse em continuar com a tramitação do assunto.</w:t>
      </w:r>
    </w:p>
  </w:footnote>
  <w:footnote w:id="5">
    <w:p w14:paraId="33CFC15D" w14:textId="0122E408"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O Núcleo Especializado de Cidadania e Direitos Humanos da Defensoria Pública é um departamento da Defensoria Pública que atua estrategicamente para proteger e promover os direitos humanos, com especial atenção aos grupos sociais vulneráveis. Complementa e apoia as atividades dos demais Centros Especializados da Defensoria Pública, trabalhando em questões coletivas.</w:t>
      </w:r>
    </w:p>
  </w:footnote>
  <w:footnote w:id="6">
    <w:p w14:paraId="20BBFD01" w14:textId="250BEAC0"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Hospital filantrópico que atende às necessidades tanto do sistema de saúde público quanto do privado. Neste último caso, está legal e administrativamente integrado ao sistema público.</w:t>
      </w:r>
    </w:p>
  </w:footnote>
  <w:footnote w:id="7">
    <w:p w14:paraId="6822BE06" w14:textId="06AE7001"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A perícia judicial, neste contexto, refere-se ao meio de prova técnico que se realiza para esclarecer fatos que excedem os conhecimentos ordinários do juiz. É um procedimento comum. A autoridade judicial a ordena quando a controvérsia envolve questões que requerem a análise de um profissional com formação específica (por exemplo, um médico). O juiz designa um perito – geralmente, um médico vinculado ao Juizado Especial Federal – para examinar o autor, analisar laudos e estudos complementares e avaliar seu estado de saúde.</w:t>
      </w:r>
    </w:p>
  </w:footnote>
  <w:footnote w:id="8">
    <w:p w14:paraId="7555DC0D" w14:textId="2A8A4844"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Nesse sentido, o peticionário menciona, por exemplo, os seguintes casos com reconhecimento de incapacidade total e permanente: Antônio Matias Silva (Processo 0001158-27.2012.4.03.6119); Denize Aparecida Roncari (Processo 0003124-25.2012.4.03.6119); Jurandir D’Ávila Amorim (Processo 2009.61.19.008617-1); Maria dos Santos Patrício Tenório (Processo 0070235-91.2014.4.03.6301); Washington Barros de Azevedo (Processo 0006791-79.2016.4.03.6183); e Maria de Fátima da Silva (Processo 0008518-73.2017.4.03.6301), no qual se reconheceu a incapacidade total e permanente apenas após uma segunda perícia que contradisse a primeira, que havia diagnosticado unicamente fibromialgia. Da mesma forma, menciona os seguintes casos com resultados contraditórios, parciais ou negativos: Silvia Helena Brazan Begosso (Processo 0038089-70.2009.4.03.6301), a quem foi negada a aposentadoria por invalidez apesar de uma perícia que a declarou incapaz de forma total e permanente, ordenando-se sua readaptação profissional; Evandro Faria dos Anjos (Processo 0004545-85.2015.4.03.6332), no qual a perícia concluiu que conservava plena capacidade laboral e lhe foram negados os benefícios; Neusa da Silva Araújo (Processo 0002811-76.2017.4.03.6317), onde se declarou unicamente uma incapacidade temporária por seis meses; e Marinalva da Costa Fonseca (Processo 0010247-71.2015.4.03.6183), cuja perícia avaliou uma incapacidade total mas de caráter temporário.</w:t>
      </w:r>
    </w:p>
  </w:footnote>
  <w:footnote w:id="9">
    <w:p w14:paraId="4A21E890" w14:textId="6FF2684F"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Como, segundo o Estado, os processos nº 2160508-56.2018.8.26.0000, 2092335-77.2018.8.26.0000 e 0000855-57.2016.8.26.0603, do Tribunal de Justiça de São Paulo; o processo nº 1.0145.14.053985-2/001, do Tribunal de Justiça de Minas Gerais; o processo nº 0002782-37.2011.8.05.0112, do Tribunal de Justiça da Bahia; e o processo nº 0018197-87.2015.8.19.0061, do Tribunal de Justiça do Rio de Janeiro.</w:t>
      </w:r>
    </w:p>
  </w:footnote>
  <w:footnote w:id="10">
    <w:p w14:paraId="2CA2CD4E" w14:textId="484F22C1"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Pr>
          <w:rFonts w:asciiTheme="majorHAnsi" w:hAnsiTheme="majorHAnsi"/>
          <w:sz w:val="16"/>
          <w:szCs w:val="16"/>
          <w:lang w:val="pt-BR"/>
        </w:rPr>
        <w:t>N</w:t>
      </w:r>
      <w:r w:rsidRPr="00633E14">
        <w:rPr>
          <w:rFonts w:asciiTheme="majorHAnsi" w:hAnsiTheme="majorHAnsi"/>
          <w:sz w:val="16"/>
          <w:szCs w:val="16"/>
          <w:lang w:val="pt-BR"/>
        </w:rPr>
        <w:t>esse sentido, menciona decisões favoráveis nos processos nº 2303340/SP, 378960/SP e 1642443/SP, perante o Tribunal Regional Federal da 3ª Região.</w:t>
      </w:r>
    </w:p>
  </w:footnote>
  <w:footnote w:id="11">
    <w:p w14:paraId="03FCAB0A" w14:textId="1F6EBA7B"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Cita como exemplo sua concessão no processo nº 1591715/SP, também perante o Tribunal Regional Federal da 3ª Região.</w:t>
      </w:r>
    </w:p>
  </w:footnote>
  <w:footnote w:id="12">
    <w:p w14:paraId="54726049" w14:textId="255E9BF5" w:rsidR="00633E14" w:rsidRPr="00A14B51"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CIDH, Relatório nº 82/17, Petição 1067-07, Admissibilidade, Rosa Ángela Martino e María Cristina González, Argentina, 7 de julho de 2017, párr. 12.</w:t>
      </w:r>
    </w:p>
  </w:footnote>
  <w:footnote w:id="13">
    <w:p w14:paraId="4BFC8761" w14:textId="0FA83F86"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CIDH, Relatório nº 89/13, Petição 879-07, Admissibilidade, Loni Edmonds e filhos, Canadá, 4 de novembro de 2013, párr. 59; CIDH, Compêndio de decisões sobre admissibilidade e competência da CIDH, OEA/Ser.L/V/II.175 Doc. 20, 4 de março de 2020, p. 40.</w:t>
      </w:r>
    </w:p>
  </w:footnote>
  <w:footnote w:id="14">
    <w:p w14:paraId="4C1F53DC" w14:textId="5B442359"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CIDH, Relatório nº 16/18, Petição 884-07, Admissibilidade, Victoria Piedad Palacios Tejada de Saavedra, Peru. 24 de fevereiro de 2018, párr. 12; CIDH, Compêndio de decisões sobre admissibilidade e competência da CIDH, OEA/Ser.L/V/II.175 Doc. 20, 4 de março de 2020, p. 35.</w:t>
      </w:r>
    </w:p>
  </w:footnote>
  <w:footnote w:id="15">
    <w:p w14:paraId="59A79A3F" w14:textId="67957AFE"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CIDH, Compêndio de decisões sobre admissibilidade e competência da CIDH, OEA/Ser.L/V/II.175 Doc. 20, 4 de março de 2020, pp. 15, 56.</w:t>
      </w:r>
    </w:p>
  </w:footnote>
  <w:footnote w:id="16">
    <w:p w14:paraId="177AFC1F" w14:textId="4930CD93" w:rsidR="00633E14" w:rsidRPr="00A14B51"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Pr>
          <w:rFonts w:asciiTheme="majorHAnsi" w:hAnsiTheme="majorHAnsi"/>
          <w:sz w:val="16"/>
          <w:szCs w:val="16"/>
          <w:lang w:val="pt-BR"/>
        </w:rPr>
        <w:t xml:space="preserve"> </w:t>
      </w:r>
      <w:r w:rsidRPr="00633E14">
        <w:rPr>
          <w:rFonts w:asciiTheme="majorHAnsi" w:hAnsiTheme="majorHAnsi"/>
          <w:sz w:val="16"/>
          <w:szCs w:val="16"/>
          <w:lang w:val="pt-BR"/>
        </w:rPr>
        <w:t>CIDH, Relatório nº 11/16, Petição 362-09, Admissibilidade, Luisa Melinho, Brasil, 14 de abril de 2016, párr. 46.</w:t>
      </w:r>
    </w:p>
  </w:footnote>
  <w:footnote w:id="17">
    <w:p w14:paraId="449D6743" w14:textId="67EA174C" w:rsidR="00633E14" w:rsidRPr="00633E14"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CIDH, Relatório nº 80/12, Admissibilidade, Vladimir Herzog e outros, Brasil, 8 de novembro de 2012, párr. 25 (“para aqueles [fatos] que pudessem ser considerados em seu momento como uma situação de violação continuada de direitos que continuaram existindo após tais datas, a Comissão Interamericana tem competência ratione temporis para examinar a petição, de conformidade com a Convenção Americana”).</w:t>
      </w:r>
    </w:p>
  </w:footnote>
  <w:footnote w:id="18">
    <w:p w14:paraId="44C3B60F" w14:textId="78470D94" w:rsidR="00633E14" w:rsidRPr="00A14B51" w:rsidRDefault="00633E14" w:rsidP="00633E14">
      <w:pPr>
        <w:pStyle w:val="FootnoteText"/>
        <w:ind w:firstLine="709"/>
        <w:jc w:val="both"/>
        <w:rPr>
          <w:rFonts w:asciiTheme="majorHAnsi" w:hAnsiTheme="majorHAnsi"/>
          <w:sz w:val="16"/>
          <w:szCs w:val="16"/>
          <w:lang w:val="pt-BR"/>
        </w:rPr>
      </w:pPr>
      <w:r w:rsidRPr="00FD237E">
        <w:rPr>
          <w:rStyle w:val="FootnoteReference"/>
          <w:rFonts w:asciiTheme="majorHAnsi" w:hAnsiTheme="majorHAnsi"/>
          <w:sz w:val="16"/>
          <w:szCs w:val="16"/>
        </w:rPr>
        <w:footnoteRef/>
      </w:r>
      <w:r w:rsidRPr="00A14B51">
        <w:rPr>
          <w:rFonts w:asciiTheme="majorHAnsi" w:hAnsiTheme="majorHAnsi"/>
          <w:sz w:val="16"/>
          <w:szCs w:val="16"/>
          <w:lang w:val="pt-BR"/>
        </w:rPr>
        <w:t xml:space="preserve"> </w:t>
      </w:r>
      <w:r w:rsidRPr="00633E14">
        <w:rPr>
          <w:rFonts w:asciiTheme="majorHAnsi" w:hAnsiTheme="majorHAnsi"/>
          <w:sz w:val="16"/>
          <w:szCs w:val="16"/>
          <w:lang w:val="pt-BR"/>
        </w:rPr>
        <w:t xml:space="preserve">Similarmente: CIDH, Relatório nº 76/19, Admissibilidade, Hugo Eduardo Ibarbuden, Argentina, 21 de maio de 2019, párr. </w:t>
      </w:r>
      <w:r w:rsidRPr="00633E14">
        <w:rPr>
          <w:rFonts w:asciiTheme="majorHAnsi" w:hAnsiTheme="majorHAnsi"/>
          <w:sz w:val="16"/>
          <w:szCs w:val="16"/>
        </w:rP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49B70CC6" wp14:editId="09B9CAEE">
          <wp:extent cx="1972237" cy="9861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2237" cy="98611"/>
                  </a:xfrm>
                  <a:prstGeom prst="rect">
                    <a:avLst/>
                  </a:prstGeom>
                  <a:noFill/>
                  <a:ln>
                    <a:noFill/>
                  </a:ln>
                </pic:spPr>
              </pic:pic>
            </a:graphicData>
          </a:graphic>
        </wp:inline>
      </w:drawing>
    </w:r>
  </w:p>
  <w:p w14:paraId="1CF3204D" w14:textId="77777777" w:rsidR="00040C3A" w:rsidRPr="00EC7D62" w:rsidRDefault="00DB038E" w:rsidP="00A50FCF">
    <w:pPr>
      <w:pStyle w:val="Header"/>
      <w:tabs>
        <w:tab w:val="clear" w:pos="4320"/>
        <w:tab w:val="clear" w:pos="8640"/>
      </w:tabs>
      <w:jc w:val="center"/>
      <w:rPr>
        <w:sz w:val="22"/>
        <w:szCs w:val="22"/>
      </w:rPr>
    </w:pPr>
    <w:r>
      <w:rPr>
        <w:noProof/>
        <w:sz w:val="22"/>
        <w:szCs w:val="22"/>
        <w:bdr w:val="nil"/>
      </w:rPr>
      <w:pict w14:anchorId="241D2EC4">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7BB89FEE"/>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711415443">
    <w:abstractNumId w:val="3"/>
  </w:num>
  <w:num w:numId="2" w16cid:durableId="218593413">
    <w:abstractNumId w:val="5"/>
  </w:num>
  <w:num w:numId="3" w16cid:durableId="473913312">
    <w:abstractNumId w:val="50"/>
  </w:num>
  <w:num w:numId="4" w16cid:durableId="1615093887">
    <w:abstractNumId w:val="20"/>
  </w:num>
  <w:num w:numId="5" w16cid:durableId="487482738">
    <w:abstractNumId w:val="44"/>
  </w:num>
  <w:num w:numId="6" w16cid:durableId="173963807">
    <w:abstractNumId w:val="25"/>
  </w:num>
  <w:num w:numId="7" w16cid:durableId="752627363">
    <w:abstractNumId w:val="6"/>
  </w:num>
  <w:num w:numId="8" w16cid:durableId="1630161499">
    <w:abstractNumId w:val="16"/>
  </w:num>
  <w:num w:numId="9" w16cid:durableId="1613590790">
    <w:abstractNumId w:val="35"/>
  </w:num>
  <w:num w:numId="10" w16cid:durableId="1587424966">
    <w:abstractNumId w:val="39"/>
  </w:num>
  <w:num w:numId="11" w16cid:durableId="2075466315">
    <w:abstractNumId w:val="0"/>
  </w:num>
  <w:num w:numId="12" w16cid:durableId="867909075">
    <w:abstractNumId w:val="34"/>
  </w:num>
  <w:num w:numId="13" w16cid:durableId="1366447746">
    <w:abstractNumId w:val="41"/>
  </w:num>
  <w:num w:numId="14" w16cid:durableId="361327519">
    <w:abstractNumId w:val="1"/>
  </w:num>
  <w:num w:numId="15" w16cid:durableId="1884368821">
    <w:abstractNumId w:val="2"/>
  </w:num>
  <w:num w:numId="16" w16cid:durableId="937754664">
    <w:abstractNumId w:val="7"/>
  </w:num>
  <w:num w:numId="17" w16cid:durableId="1141264887">
    <w:abstractNumId w:val="8"/>
  </w:num>
  <w:num w:numId="18" w16cid:durableId="264115336">
    <w:abstractNumId w:val="9"/>
  </w:num>
  <w:num w:numId="19" w16cid:durableId="582379774">
    <w:abstractNumId w:val="10"/>
  </w:num>
  <w:num w:numId="20" w16cid:durableId="516424886">
    <w:abstractNumId w:val="11"/>
  </w:num>
  <w:num w:numId="21" w16cid:durableId="1533107980">
    <w:abstractNumId w:val="12"/>
  </w:num>
  <w:num w:numId="22" w16cid:durableId="1074744522">
    <w:abstractNumId w:val="13"/>
  </w:num>
  <w:num w:numId="23" w16cid:durableId="1572888533">
    <w:abstractNumId w:val="14"/>
  </w:num>
  <w:num w:numId="24" w16cid:durableId="265161765">
    <w:abstractNumId w:val="15"/>
  </w:num>
  <w:num w:numId="25" w16cid:durableId="1522209471">
    <w:abstractNumId w:val="17"/>
  </w:num>
  <w:num w:numId="26" w16cid:durableId="641887249">
    <w:abstractNumId w:val="18"/>
  </w:num>
  <w:num w:numId="27" w16cid:durableId="2122869005">
    <w:abstractNumId w:val="21"/>
  </w:num>
  <w:num w:numId="28" w16cid:durableId="1245920740">
    <w:abstractNumId w:val="22"/>
  </w:num>
  <w:num w:numId="29" w16cid:durableId="420682487">
    <w:abstractNumId w:val="23"/>
  </w:num>
  <w:num w:numId="30" w16cid:durableId="908883137">
    <w:abstractNumId w:val="24"/>
  </w:num>
  <w:num w:numId="31" w16cid:durableId="606695322">
    <w:abstractNumId w:val="26"/>
  </w:num>
  <w:num w:numId="32" w16cid:durableId="1111053784">
    <w:abstractNumId w:val="27"/>
  </w:num>
  <w:num w:numId="33" w16cid:durableId="1345085023">
    <w:abstractNumId w:val="28"/>
  </w:num>
  <w:num w:numId="34" w16cid:durableId="1818843194">
    <w:abstractNumId w:val="29"/>
  </w:num>
  <w:num w:numId="35" w16cid:durableId="112603432">
    <w:abstractNumId w:val="30"/>
  </w:num>
  <w:num w:numId="36" w16cid:durableId="1312373127">
    <w:abstractNumId w:val="31"/>
  </w:num>
  <w:num w:numId="37" w16cid:durableId="1076632600">
    <w:abstractNumId w:val="32"/>
  </w:num>
  <w:num w:numId="38" w16cid:durableId="1769622567">
    <w:abstractNumId w:val="33"/>
  </w:num>
  <w:num w:numId="39" w16cid:durableId="308947549">
    <w:abstractNumId w:val="36"/>
  </w:num>
  <w:num w:numId="40" w16cid:durableId="2066875243">
    <w:abstractNumId w:val="37"/>
  </w:num>
  <w:num w:numId="41" w16cid:durableId="1082526017">
    <w:abstractNumId w:val="43"/>
  </w:num>
  <w:num w:numId="42" w16cid:durableId="1404327507">
    <w:abstractNumId w:val="45"/>
  </w:num>
  <w:num w:numId="43" w16cid:durableId="877619288">
    <w:abstractNumId w:val="46"/>
  </w:num>
  <w:num w:numId="44" w16cid:durableId="131945523">
    <w:abstractNumId w:val="48"/>
  </w:num>
  <w:num w:numId="45" w16cid:durableId="1061371418">
    <w:abstractNumId w:val="49"/>
  </w:num>
  <w:num w:numId="46" w16cid:durableId="519046197">
    <w:abstractNumId w:val="51"/>
  </w:num>
  <w:num w:numId="47" w16cid:durableId="1483960415">
    <w:abstractNumId w:val="52"/>
  </w:num>
  <w:num w:numId="48" w16cid:durableId="18971292">
    <w:abstractNumId w:val="53"/>
  </w:num>
  <w:num w:numId="49" w16cid:durableId="2074619888">
    <w:abstractNumId w:val="54"/>
  </w:num>
  <w:num w:numId="50" w16cid:durableId="1401054583">
    <w:abstractNumId w:val="55"/>
  </w:num>
  <w:num w:numId="51" w16cid:durableId="897206185">
    <w:abstractNumId w:val="19"/>
  </w:num>
  <w:num w:numId="52" w16cid:durableId="768238786">
    <w:abstractNumId w:val="38"/>
  </w:num>
  <w:num w:numId="53" w16cid:durableId="872887196">
    <w:abstractNumId w:val="47"/>
  </w:num>
  <w:num w:numId="54" w16cid:durableId="1180776320">
    <w:abstractNumId w:val="42"/>
  </w:num>
  <w:num w:numId="55" w16cid:durableId="979114738">
    <w:abstractNumId w:val="4"/>
  </w:num>
  <w:num w:numId="56" w16cid:durableId="1650671320">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s-US" w:vendorID="64" w:dllVersion="6" w:nlCheck="1" w:checkStyle="0"/>
  <w:activeWritingStyle w:appName="MSWord" w:lang="pt-BR" w:vendorID="64" w:dllVersion="0" w:nlCheck="1" w:checkStyle="0"/>
  <w:activeWritingStyle w:appName="MSWord" w:lang="es-ES" w:vendorID="64" w:dllVersion="0" w:nlCheck="1" w:checkStyle="0"/>
  <w:activeWritingStyle w:appName="MSWord" w:lang="es-US" w:vendorID="64" w:dllVersion="0" w:nlCheck="1" w:checkStyle="0"/>
  <w:activeWritingStyle w:appName="MSWord" w:lang="en-ZA"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3NDYzNjM0M7YwNTZQ0lEKTi0uzszPAykwNK4FAE3omOctAAAA"/>
  </w:docVars>
  <w:rsids>
    <w:rsidRoot w:val="006B2D5C"/>
    <w:rsid w:val="0000036F"/>
    <w:rsid w:val="00000CDA"/>
    <w:rsid w:val="0000115C"/>
    <w:rsid w:val="00006E1F"/>
    <w:rsid w:val="000070D7"/>
    <w:rsid w:val="00010AA2"/>
    <w:rsid w:val="000131C1"/>
    <w:rsid w:val="0001788C"/>
    <w:rsid w:val="00020C18"/>
    <w:rsid w:val="00023CCC"/>
    <w:rsid w:val="000246EA"/>
    <w:rsid w:val="00026C06"/>
    <w:rsid w:val="000337EF"/>
    <w:rsid w:val="00034F98"/>
    <w:rsid w:val="00035B1D"/>
    <w:rsid w:val="000364FC"/>
    <w:rsid w:val="000379A8"/>
    <w:rsid w:val="00040C3A"/>
    <w:rsid w:val="000419AD"/>
    <w:rsid w:val="000433C9"/>
    <w:rsid w:val="00050063"/>
    <w:rsid w:val="000529AD"/>
    <w:rsid w:val="000541A2"/>
    <w:rsid w:val="0005538C"/>
    <w:rsid w:val="000607B7"/>
    <w:rsid w:val="00061197"/>
    <w:rsid w:val="000647B8"/>
    <w:rsid w:val="00066076"/>
    <w:rsid w:val="0006641F"/>
    <w:rsid w:val="000716C5"/>
    <w:rsid w:val="00073049"/>
    <w:rsid w:val="00073665"/>
    <w:rsid w:val="00074FB3"/>
    <w:rsid w:val="00075E23"/>
    <w:rsid w:val="000815E7"/>
    <w:rsid w:val="00083FAF"/>
    <w:rsid w:val="000865AB"/>
    <w:rsid w:val="0009280F"/>
    <w:rsid w:val="0009344A"/>
    <w:rsid w:val="00097AF4"/>
    <w:rsid w:val="000A1AC3"/>
    <w:rsid w:val="000A392E"/>
    <w:rsid w:val="000A575F"/>
    <w:rsid w:val="000A5B01"/>
    <w:rsid w:val="000B2BEB"/>
    <w:rsid w:val="000B43BB"/>
    <w:rsid w:val="000C2F1A"/>
    <w:rsid w:val="000C4640"/>
    <w:rsid w:val="000C5C69"/>
    <w:rsid w:val="000D10DB"/>
    <w:rsid w:val="000D4267"/>
    <w:rsid w:val="000D7963"/>
    <w:rsid w:val="000E040B"/>
    <w:rsid w:val="000E0A9B"/>
    <w:rsid w:val="000E5EB5"/>
    <w:rsid w:val="000F34D0"/>
    <w:rsid w:val="000F35ED"/>
    <w:rsid w:val="000F651B"/>
    <w:rsid w:val="001069B6"/>
    <w:rsid w:val="00107131"/>
    <w:rsid w:val="0010736F"/>
    <w:rsid w:val="001112AC"/>
    <w:rsid w:val="00113F73"/>
    <w:rsid w:val="00121CC2"/>
    <w:rsid w:val="0012356F"/>
    <w:rsid w:val="00126384"/>
    <w:rsid w:val="0012736F"/>
    <w:rsid w:val="001304DA"/>
    <w:rsid w:val="00131110"/>
    <w:rsid w:val="00133BA3"/>
    <w:rsid w:val="00133EE5"/>
    <w:rsid w:val="0014089D"/>
    <w:rsid w:val="00140D77"/>
    <w:rsid w:val="00141C48"/>
    <w:rsid w:val="00143883"/>
    <w:rsid w:val="001441FE"/>
    <w:rsid w:val="001449E6"/>
    <w:rsid w:val="001457EE"/>
    <w:rsid w:val="0014706B"/>
    <w:rsid w:val="00147DD4"/>
    <w:rsid w:val="00150313"/>
    <w:rsid w:val="00161EA8"/>
    <w:rsid w:val="00164DD1"/>
    <w:rsid w:val="00167A34"/>
    <w:rsid w:val="00173666"/>
    <w:rsid w:val="00186AF9"/>
    <w:rsid w:val="00187F23"/>
    <w:rsid w:val="001934A4"/>
    <w:rsid w:val="001A0DBF"/>
    <w:rsid w:val="001A7870"/>
    <w:rsid w:val="001B3949"/>
    <w:rsid w:val="001B3A00"/>
    <w:rsid w:val="001C1B41"/>
    <w:rsid w:val="001C3709"/>
    <w:rsid w:val="001C55DF"/>
    <w:rsid w:val="001C7ECC"/>
    <w:rsid w:val="001D2206"/>
    <w:rsid w:val="001D65EF"/>
    <w:rsid w:val="001E1683"/>
    <w:rsid w:val="001E426A"/>
    <w:rsid w:val="001E448E"/>
    <w:rsid w:val="001E49E7"/>
    <w:rsid w:val="001E5934"/>
    <w:rsid w:val="001E7F07"/>
    <w:rsid w:val="001F3189"/>
    <w:rsid w:val="001F4ECB"/>
    <w:rsid w:val="001F6FFA"/>
    <w:rsid w:val="001F7201"/>
    <w:rsid w:val="002008D3"/>
    <w:rsid w:val="00204009"/>
    <w:rsid w:val="0022340D"/>
    <w:rsid w:val="00223A29"/>
    <w:rsid w:val="002250A3"/>
    <w:rsid w:val="002271FD"/>
    <w:rsid w:val="0022736D"/>
    <w:rsid w:val="002311A1"/>
    <w:rsid w:val="00231FD8"/>
    <w:rsid w:val="00233CFB"/>
    <w:rsid w:val="00235217"/>
    <w:rsid w:val="00235691"/>
    <w:rsid w:val="00246D1F"/>
    <w:rsid w:val="00247092"/>
    <w:rsid w:val="00247403"/>
    <w:rsid w:val="00247542"/>
    <w:rsid w:val="0025182B"/>
    <w:rsid w:val="00253B95"/>
    <w:rsid w:val="00253E93"/>
    <w:rsid w:val="00255985"/>
    <w:rsid w:val="0025620B"/>
    <w:rsid w:val="00257978"/>
    <w:rsid w:val="00263B77"/>
    <w:rsid w:val="00266B61"/>
    <w:rsid w:val="0026712A"/>
    <w:rsid w:val="002704DB"/>
    <w:rsid w:val="0027100F"/>
    <w:rsid w:val="00273C62"/>
    <w:rsid w:val="00274C86"/>
    <w:rsid w:val="00284DC1"/>
    <w:rsid w:val="00286769"/>
    <w:rsid w:val="0029100F"/>
    <w:rsid w:val="002917D7"/>
    <w:rsid w:val="00291ED7"/>
    <w:rsid w:val="00296900"/>
    <w:rsid w:val="0029716A"/>
    <w:rsid w:val="002A0AAE"/>
    <w:rsid w:val="002A0C19"/>
    <w:rsid w:val="002A4763"/>
    <w:rsid w:val="002A5820"/>
    <w:rsid w:val="002B08D2"/>
    <w:rsid w:val="002B09A7"/>
    <w:rsid w:val="002B25EB"/>
    <w:rsid w:val="002B57CC"/>
    <w:rsid w:val="002B63B0"/>
    <w:rsid w:val="002B6870"/>
    <w:rsid w:val="002C30BC"/>
    <w:rsid w:val="002C507C"/>
    <w:rsid w:val="002D19CC"/>
    <w:rsid w:val="002D2B26"/>
    <w:rsid w:val="002D7EA2"/>
    <w:rsid w:val="002E1290"/>
    <w:rsid w:val="002E187C"/>
    <w:rsid w:val="002E2426"/>
    <w:rsid w:val="002E24CF"/>
    <w:rsid w:val="002E678C"/>
    <w:rsid w:val="002F31E4"/>
    <w:rsid w:val="002F379B"/>
    <w:rsid w:val="002F3916"/>
    <w:rsid w:val="002F43B4"/>
    <w:rsid w:val="002F445B"/>
    <w:rsid w:val="002F7E89"/>
    <w:rsid w:val="00300939"/>
    <w:rsid w:val="00302733"/>
    <w:rsid w:val="003027EC"/>
    <w:rsid w:val="003039E4"/>
    <w:rsid w:val="00303ABC"/>
    <w:rsid w:val="00304094"/>
    <w:rsid w:val="003104A0"/>
    <w:rsid w:val="00311C9C"/>
    <w:rsid w:val="00312AC2"/>
    <w:rsid w:val="00312C63"/>
    <w:rsid w:val="0031300C"/>
    <w:rsid w:val="00314078"/>
    <w:rsid w:val="0031535D"/>
    <w:rsid w:val="00320AF3"/>
    <w:rsid w:val="00321052"/>
    <w:rsid w:val="003216CC"/>
    <w:rsid w:val="003239B8"/>
    <w:rsid w:val="0033169F"/>
    <w:rsid w:val="00342894"/>
    <w:rsid w:val="00343C15"/>
    <w:rsid w:val="00344977"/>
    <w:rsid w:val="00344C44"/>
    <w:rsid w:val="00346517"/>
    <w:rsid w:val="00346C95"/>
    <w:rsid w:val="003535A3"/>
    <w:rsid w:val="00354756"/>
    <w:rsid w:val="00356185"/>
    <w:rsid w:val="00360380"/>
    <w:rsid w:val="00362989"/>
    <w:rsid w:val="00363F62"/>
    <w:rsid w:val="003642D6"/>
    <w:rsid w:val="00367765"/>
    <w:rsid w:val="0037123D"/>
    <w:rsid w:val="0037519E"/>
    <w:rsid w:val="0037551B"/>
    <w:rsid w:val="003756D0"/>
    <w:rsid w:val="00377667"/>
    <w:rsid w:val="0038429C"/>
    <w:rsid w:val="00386CF0"/>
    <w:rsid w:val="0038709A"/>
    <w:rsid w:val="00392F80"/>
    <w:rsid w:val="003B3A8F"/>
    <w:rsid w:val="003B70FB"/>
    <w:rsid w:val="003C1E7F"/>
    <w:rsid w:val="003C2955"/>
    <w:rsid w:val="003C37CD"/>
    <w:rsid w:val="003C499C"/>
    <w:rsid w:val="003C5EF0"/>
    <w:rsid w:val="003C676B"/>
    <w:rsid w:val="003D3BC2"/>
    <w:rsid w:val="003D69C1"/>
    <w:rsid w:val="003D7924"/>
    <w:rsid w:val="003E644D"/>
    <w:rsid w:val="003E6CA1"/>
    <w:rsid w:val="003E76DB"/>
    <w:rsid w:val="003E7D36"/>
    <w:rsid w:val="003F1230"/>
    <w:rsid w:val="003F544B"/>
    <w:rsid w:val="004023EB"/>
    <w:rsid w:val="0040528F"/>
    <w:rsid w:val="004065A8"/>
    <w:rsid w:val="004067C8"/>
    <w:rsid w:val="00410139"/>
    <w:rsid w:val="00411485"/>
    <w:rsid w:val="004165C2"/>
    <w:rsid w:val="00420EC6"/>
    <w:rsid w:val="00422745"/>
    <w:rsid w:val="004236F0"/>
    <w:rsid w:val="00424F4B"/>
    <w:rsid w:val="004253A6"/>
    <w:rsid w:val="00433114"/>
    <w:rsid w:val="004409FF"/>
    <w:rsid w:val="00441DD5"/>
    <w:rsid w:val="00441ECB"/>
    <w:rsid w:val="00445193"/>
    <w:rsid w:val="00447C46"/>
    <w:rsid w:val="00450AC0"/>
    <w:rsid w:val="00453B13"/>
    <w:rsid w:val="00455296"/>
    <w:rsid w:val="004570EE"/>
    <w:rsid w:val="00457B5D"/>
    <w:rsid w:val="00462688"/>
    <w:rsid w:val="00462C1B"/>
    <w:rsid w:val="004656CD"/>
    <w:rsid w:val="00467753"/>
    <w:rsid w:val="00467B7E"/>
    <w:rsid w:val="00467C01"/>
    <w:rsid w:val="00473BB4"/>
    <w:rsid w:val="004761B8"/>
    <w:rsid w:val="00477592"/>
    <w:rsid w:val="00477B74"/>
    <w:rsid w:val="00486F1C"/>
    <w:rsid w:val="0048726D"/>
    <w:rsid w:val="0049419D"/>
    <w:rsid w:val="00495243"/>
    <w:rsid w:val="00495BDC"/>
    <w:rsid w:val="00496970"/>
    <w:rsid w:val="004A278B"/>
    <w:rsid w:val="004A29C0"/>
    <w:rsid w:val="004A3499"/>
    <w:rsid w:val="004A6A54"/>
    <w:rsid w:val="004B332B"/>
    <w:rsid w:val="004B502B"/>
    <w:rsid w:val="004C1508"/>
    <w:rsid w:val="004C1BCC"/>
    <w:rsid w:val="004C20D2"/>
    <w:rsid w:val="004C2312"/>
    <w:rsid w:val="004C4B62"/>
    <w:rsid w:val="004C54C9"/>
    <w:rsid w:val="004D4ABA"/>
    <w:rsid w:val="004D6025"/>
    <w:rsid w:val="004E2649"/>
    <w:rsid w:val="004E36A9"/>
    <w:rsid w:val="004E39F6"/>
    <w:rsid w:val="004E7298"/>
    <w:rsid w:val="004F1F31"/>
    <w:rsid w:val="00501399"/>
    <w:rsid w:val="005013E5"/>
    <w:rsid w:val="0050276E"/>
    <w:rsid w:val="0050633D"/>
    <w:rsid w:val="00507BC4"/>
    <w:rsid w:val="0051078D"/>
    <w:rsid w:val="005118B1"/>
    <w:rsid w:val="005128E4"/>
    <w:rsid w:val="005133DB"/>
    <w:rsid w:val="00514311"/>
    <w:rsid w:val="00516A0D"/>
    <w:rsid w:val="00522115"/>
    <w:rsid w:val="0052234F"/>
    <w:rsid w:val="00525560"/>
    <w:rsid w:val="00527F9C"/>
    <w:rsid w:val="005326EB"/>
    <w:rsid w:val="00533AEE"/>
    <w:rsid w:val="00537F33"/>
    <w:rsid w:val="005408AF"/>
    <w:rsid w:val="0054211B"/>
    <w:rsid w:val="005427A7"/>
    <w:rsid w:val="0054302F"/>
    <w:rsid w:val="00544C49"/>
    <w:rsid w:val="00547CCB"/>
    <w:rsid w:val="005516A1"/>
    <w:rsid w:val="00563557"/>
    <w:rsid w:val="00564472"/>
    <w:rsid w:val="00567F67"/>
    <w:rsid w:val="00570308"/>
    <w:rsid w:val="0057402A"/>
    <w:rsid w:val="005769C8"/>
    <w:rsid w:val="005771D0"/>
    <w:rsid w:val="00577678"/>
    <w:rsid w:val="005776AC"/>
    <w:rsid w:val="0057795E"/>
    <w:rsid w:val="00580EF0"/>
    <w:rsid w:val="00583714"/>
    <w:rsid w:val="00584073"/>
    <w:rsid w:val="00585625"/>
    <w:rsid w:val="005904C8"/>
    <w:rsid w:val="0059191A"/>
    <w:rsid w:val="005921FF"/>
    <w:rsid w:val="00596FFC"/>
    <w:rsid w:val="005A133A"/>
    <w:rsid w:val="005A1DAC"/>
    <w:rsid w:val="005A23BC"/>
    <w:rsid w:val="005A24ED"/>
    <w:rsid w:val="005A6D0E"/>
    <w:rsid w:val="005A7000"/>
    <w:rsid w:val="005A7BFD"/>
    <w:rsid w:val="005B180B"/>
    <w:rsid w:val="005B421D"/>
    <w:rsid w:val="005B45DC"/>
    <w:rsid w:val="005B52B0"/>
    <w:rsid w:val="005B60BB"/>
    <w:rsid w:val="005B6806"/>
    <w:rsid w:val="005B6A07"/>
    <w:rsid w:val="005C15D6"/>
    <w:rsid w:val="005C4225"/>
    <w:rsid w:val="005D13F5"/>
    <w:rsid w:val="005D3DFB"/>
    <w:rsid w:val="005D7FAD"/>
    <w:rsid w:val="005E1672"/>
    <w:rsid w:val="005E2197"/>
    <w:rsid w:val="005E4951"/>
    <w:rsid w:val="005F0DAD"/>
    <w:rsid w:val="005F0F33"/>
    <w:rsid w:val="005F0F36"/>
    <w:rsid w:val="005F1251"/>
    <w:rsid w:val="006006EA"/>
    <w:rsid w:val="00600DEB"/>
    <w:rsid w:val="00614BEA"/>
    <w:rsid w:val="00625702"/>
    <w:rsid w:val="0062595C"/>
    <w:rsid w:val="00627C9F"/>
    <w:rsid w:val="006311E9"/>
    <w:rsid w:val="00631D05"/>
    <w:rsid w:val="00632354"/>
    <w:rsid w:val="00632B93"/>
    <w:rsid w:val="00633E14"/>
    <w:rsid w:val="00636440"/>
    <w:rsid w:val="00642671"/>
    <w:rsid w:val="00642810"/>
    <w:rsid w:val="00643864"/>
    <w:rsid w:val="00643DB5"/>
    <w:rsid w:val="00644925"/>
    <w:rsid w:val="00646423"/>
    <w:rsid w:val="00646EEB"/>
    <w:rsid w:val="0064780D"/>
    <w:rsid w:val="006514B8"/>
    <w:rsid w:val="00651D50"/>
    <w:rsid w:val="00652333"/>
    <w:rsid w:val="00652A08"/>
    <w:rsid w:val="00654B53"/>
    <w:rsid w:val="0065685C"/>
    <w:rsid w:val="00662DA3"/>
    <w:rsid w:val="00664F8A"/>
    <w:rsid w:val="006660E3"/>
    <w:rsid w:val="00666F7F"/>
    <w:rsid w:val="00666F84"/>
    <w:rsid w:val="00671900"/>
    <w:rsid w:val="00674295"/>
    <w:rsid w:val="00677F73"/>
    <w:rsid w:val="0068009E"/>
    <w:rsid w:val="00685204"/>
    <w:rsid w:val="00692219"/>
    <w:rsid w:val="0069474E"/>
    <w:rsid w:val="006A01C5"/>
    <w:rsid w:val="006A17D2"/>
    <w:rsid w:val="006A17F5"/>
    <w:rsid w:val="006A192C"/>
    <w:rsid w:val="006A20E7"/>
    <w:rsid w:val="006A2CA5"/>
    <w:rsid w:val="006A73E6"/>
    <w:rsid w:val="006B0897"/>
    <w:rsid w:val="006B1E15"/>
    <w:rsid w:val="006B2D5C"/>
    <w:rsid w:val="006B4BF0"/>
    <w:rsid w:val="006B5A25"/>
    <w:rsid w:val="006B5EE6"/>
    <w:rsid w:val="006B65F4"/>
    <w:rsid w:val="006C15B2"/>
    <w:rsid w:val="006C4EB1"/>
    <w:rsid w:val="006C5675"/>
    <w:rsid w:val="006D1983"/>
    <w:rsid w:val="006E0166"/>
    <w:rsid w:val="006E22A3"/>
    <w:rsid w:val="006E30C3"/>
    <w:rsid w:val="006E422D"/>
    <w:rsid w:val="006E7B34"/>
    <w:rsid w:val="006F1AFF"/>
    <w:rsid w:val="006F7B50"/>
    <w:rsid w:val="0070185B"/>
    <w:rsid w:val="00704E90"/>
    <w:rsid w:val="0070578D"/>
    <w:rsid w:val="0070697F"/>
    <w:rsid w:val="00710AE8"/>
    <w:rsid w:val="00712D6A"/>
    <w:rsid w:val="007169FF"/>
    <w:rsid w:val="00716DDC"/>
    <w:rsid w:val="0072199C"/>
    <w:rsid w:val="00722C2C"/>
    <w:rsid w:val="00722C9F"/>
    <w:rsid w:val="00723E6A"/>
    <w:rsid w:val="0072489E"/>
    <w:rsid w:val="007253B8"/>
    <w:rsid w:val="00727D2F"/>
    <w:rsid w:val="0073741F"/>
    <w:rsid w:val="00752FB6"/>
    <w:rsid w:val="00753B0C"/>
    <w:rsid w:val="00756E31"/>
    <w:rsid w:val="00760838"/>
    <w:rsid w:val="00763A93"/>
    <w:rsid w:val="0076643F"/>
    <w:rsid w:val="007665A8"/>
    <w:rsid w:val="00771ABF"/>
    <w:rsid w:val="00773448"/>
    <w:rsid w:val="007768E9"/>
    <w:rsid w:val="0077698F"/>
    <w:rsid w:val="00777F63"/>
    <w:rsid w:val="00784F24"/>
    <w:rsid w:val="0078580C"/>
    <w:rsid w:val="00790EC3"/>
    <w:rsid w:val="00791074"/>
    <w:rsid w:val="00791A37"/>
    <w:rsid w:val="00793E05"/>
    <w:rsid w:val="00795A4E"/>
    <w:rsid w:val="007A3A6B"/>
    <w:rsid w:val="007A5817"/>
    <w:rsid w:val="007B05C4"/>
    <w:rsid w:val="007B0CAB"/>
    <w:rsid w:val="007B167D"/>
    <w:rsid w:val="007B177C"/>
    <w:rsid w:val="007B3021"/>
    <w:rsid w:val="007B319F"/>
    <w:rsid w:val="007B389A"/>
    <w:rsid w:val="007B60E9"/>
    <w:rsid w:val="007B6CC3"/>
    <w:rsid w:val="007B76D3"/>
    <w:rsid w:val="007C3334"/>
    <w:rsid w:val="007D1725"/>
    <w:rsid w:val="007D2B98"/>
    <w:rsid w:val="007D5B29"/>
    <w:rsid w:val="007D7605"/>
    <w:rsid w:val="007E21BC"/>
    <w:rsid w:val="007E5572"/>
    <w:rsid w:val="007E5D1F"/>
    <w:rsid w:val="007E7C82"/>
    <w:rsid w:val="007F25B3"/>
    <w:rsid w:val="007F588D"/>
    <w:rsid w:val="0080214D"/>
    <w:rsid w:val="00803F1C"/>
    <w:rsid w:val="00803F42"/>
    <w:rsid w:val="0080600E"/>
    <w:rsid w:val="00806C00"/>
    <w:rsid w:val="00807BAF"/>
    <w:rsid w:val="00811EDB"/>
    <w:rsid w:val="0081630F"/>
    <w:rsid w:val="00817612"/>
    <w:rsid w:val="008338A4"/>
    <w:rsid w:val="00834D49"/>
    <w:rsid w:val="00837778"/>
    <w:rsid w:val="00837C45"/>
    <w:rsid w:val="00842C98"/>
    <w:rsid w:val="00844730"/>
    <w:rsid w:val="008457C2"/>
    <w:rsid w:val="00855486"/>
    <w:rsid w:val="00857A82"/>
    <w:rsid w:val="00860DC6"/>
    <w:rsid w:val="008652C5"/>
    <w:rsid w:val="00873836"/>
    <w:rsid w:val="00885737"/>
    <w:rsid w:val="00890650"/>
    <w:rsid w:val="00890943"/>
    <w:rsid w:val="00897E12"/>
    <w:rsid w:val="008A5C7F"/>
    <w:rsid w:val="008A7E0F"/>
    <w:rsid w:val="008B12F5"/>
    <w:rsid w:val="008B3786"/>
    <w:rsid w:val="008B53E7"/>
    <w:rsid w:val="008B59C3"/>
    <w:rsid w:val="008B6B7B"/>
    <w:rsid w:val="008C651D"/>
    <w:rsid w:val="008D768D"/>
    <w:rsid w:val="008E18AF"/>
    <w:rsid w:val="008E3759"/>
    <w:rsid w:val="008E3BFE"/>
    <w:rsid w:val="008F1912"/>
    <w:rsid w:val="008F5C54"/>
    <w:rsid w:val="00900A8E"/>
    <w:rsid w:val="0090270B"/>
    <w:rsid w:val="00904186"/>
    <w:rsid w:val="009041DC"/>
    <w:rsid w:val="00904D68"/>
    <w:rsid w:val="009116E8"/>
    <w:rsid w:val="00917A75"/>
    <w:rsid w:val="00917B5A"/>
    <w:rsid w:val="00920A58"/>
    <w:rsid w:val="00920A8C"/>
    <w:rsid w:val="00920E6D"/>
    <w:rsid w:val="00933BE8"/>
    <w:rsid w:val="00933F91"/>
    <w:rsid w:val="00934A2C"/>
    <w:rsid w:val="00936647"/>
    <w:rsid w:val="00937C45"/>
    <w:rsid w:val="009404EB"/>
    <w:rsid w:val="00942945"/>
    <w:rsid w:val="0094523F"/>
    <w:rsid w:val="00945327"/>
    <w:rsid w:val="009456E1"/>
    <w:rsid w:val="00945902"/>
    <w:rsid w:val="0094602B"/>
    <w:rsid w:val="0094699A"/>
    <w:rsid w:val="00946ACD"/>
    <w:rsid w:val="00950761"/>
    <w:rsid w:val="0095180E"/>
    <w:rsid w:val="00951C2A"/>
    <w:rsid w:val="00953DBA"/>
    <w:rsid w:val="00957130"/>
    <w:rsid w:val="0096706E"/>
    <w:rsid w:val="009675CA"/>
    <w:rsid w:val="00974491"/>
    <w:rsid w:val="00974709"/>
    <w:rsid w:val="00975889"/>
    <w:rsid w:val="00975A0B"/>
    <w:rsid w:val="00975C4E"/>
    <w:rsid w:val="00980282"/>
    <w:rsid w:val="00981571"/>
    <w:rsid w:val="00981F2C"/>
    <w:rsid w:val="00981FBA"/>
    <w:rsid w:val="00982E32"/>
    <w:rsid w:val="009840FA"/>
    <w:rsid w:val="00984B40"/>
    <w:rsid w:val="00985868"/>
    <w:rsid w:val="00985FD4"/>
    <w:rsid w:val="009959F6"/>
    <w:rsid w:val="00997BC5"/>
    <w:rsid w:val="009A11F0"/>
    <w:rsid w:val="009A4F41"/>
    <w:rsid w:val="009B23A8"/>
    <w:rsid w:val="009B381B"/>
    <w:rsid w:val="009B410C"/>
    <w:rsid w:val="009B7165"/>
    <w:rsid w:val="009C563B"/>
    <w:rsid w:val="009C5AF2"/>
    <w:rsid w:val="009C6479"/>
    <w:rsid w:val="009D1200"/>
    <w:rsid w:val="009D1753"/>
    <w:rsid w:val="009D3249"/>
    <w:rsid w:val="009D7611"/>
    <w:rsid w:val="009E0B61"/>
    <w:rsid w:val="009E204C"/>
    <w:rsid w:val="009E4A68"/>
    <w:rsid w:val="009E53DE"/>
    <w:rsid w:val="009E592E"/>
    <w:rsid w:val="009E6C91"/>
    <w:rsid w:val="009F3A7E"/>
    <w:rsid w:val="009F618A"/>
    <w:rsid w:val="00A009A7"/>
    <w:rsid w:val="00A11212"/>
    <w:rsid w:val="00A11E44"/>
    <w:rsid w:val="00A12A72"/>
    <w:rsid w:val="00A14B51"/>
    <w:rsid w:val="00A20E1B"/>
    <w:rsid w:val="00A2749A"/>
    <w:rsid w:val="00A27A6F"/>
    <w:rsid w:val="00A27CDF"/>
    <w:rsid w:val="00A30795"/>
    <w:rsid w:val="00A323B5"/>
    <w:rsid w:val="00A328B3"/>
    <w:rsid w:val="00A357BE"/>
    <w:rsid w:val="00A35EA2"/>
    <w:rsid w:val="00A372DA"/>
    <w:rsid w:val="00A37F2E"/>
    <w:rsid w:val="00A440C3"/>
    <w:rsid w:val="00A456C0"/>
    <w:rsid w:val="00A50FCF"/>
    <w:rsid w:val="00A528D1"/>
    <w:rsid w:val="00A53003"/>
    <w:rsid w:val="00A558F5"/>
    <w:rsid w:val="00A610CD"/>
    <w:rsid w:val="00A6189A"/>
    <w:rsid w:val="00A735CD"/>
    <w:rsid w:val="00A75799"/>
    <w:rsid w:val="00A758AA"/>
    <w:rsid w:val="00A75CC3"/>
    <w:rsid w:val="00A76D93"/>
    <w:rsid w:val="00A8174B"/>
    <w:rsid w:val="00A84B77"/>
    <w:rsid w:val="00A92649"/>
    <w:rsid w:val="00A934A2"/>
    <w:rsid w:val="00A96E5F"/>
    <w:rsid w:val="00AA09A2"/>
    <w:rsid w:val="00AA39A8"/>
    <w:rsid w:val="00AA4BEF"/>
    <w:rsid w:val="00AA6416"/>
    <w:rsid w:val="00AA7996"/>
    <w:rsid w:val="00AB0171"/>
    <w:rsid w:val="00AB27FF"/>
    <w:rsid w:val="00AB325A"/>
    <w:rsid w:val="00AC118A"/>
    <w:rsid w:val="00AC1419"/>
    <w:rsid w:val="00AC19CB"/>
    <w:rsid w:val="00AD1410"/>
    <w:rsid w:val="00AD3B33"/>
    <w:rsid w:val="00AE26D0"/>
    <w:rsid w:val="00AE2A26"/>
    <w:rsid w:val="00AE5488"/>
    <w:rsid w:val="00AE6D2B"/>
    <w:rsid w:val="00AE6E01"/>
    <w:rsid w:val="00AE6F91"/>
    <w:rsid w:val="00AE7A89"/>
    <w:rsid w:val="00AE7C9A"/>
    <w:rsid w:val="00AF064B"/>
    <w:rsid w:val="00AF3067"/>
    <w:rsid w:val="00AF5571"/>
    <w:rsid w:val="00B00068"/>
    <w:rsid w:val="00B00746"/>
    <w:rsid w:val="00B02389"/>
    <w:rsid w:val="00B07341"/>
    <w:rsid w:val="00B15DE1"/>
    <w:rsid w:val="00B17094"/>
    <w:rsid w:val="00B30539"/>
    <w:rsid w:val="00B314DB"/>
    <w:rsid w:val="00B358AC"/>
    <w:rsid w:val="00B361F2"/>
    <w:rsid w:val="00B3718B"/>
    <w:rsid w:val="00B44BCA"/>
    <w:rsid w:val="00B45456"/>
    <w:rsid w:val="00B45654"/>
    <w:rsid w:val="00B4632A"/>
    <w:rsid w:val="00B47E68"/>
    <w:rsid w:val="00B51266"/>
    <w:rsid w:val="00B51940"/>
    <w:rsid w:val="00B530F1"/>
    <w:rsid w:val="00B6505B"/>
    <w:rsid w:val="00B650D5"/>
    <w:rsid w:val="00B74BF9"/>
    <w:rsid w:val="00B840D8"/>
    <w:rsid w:val="00B85AC3"/>
    <w:rsid w:val="00B86604"/>
    <w:rsid w:val="00B86788"/>
    <w:rsid w:val="00B878DB"/>
    <w:rsid w:val="00B95931"/>
    <w:rsid w:val="00BA276C"/>
    <w:rsid w:val="00BA2A06"/>
    <w:rsid w:val="00BA5ACD"/>
    <w:rsid w:val="00BA660D"/>
    <w:rsid w:val="00BB306F"/>
    <w:rsid w:val="00BB3B20"/>
    <w:rsid w:val="00BB7541"/>
    <w:rsid w:val="00BC2A79"/>
    <w:rsid w:val="00BC2D7E"/>
    <w:rsid w:val="00BC69C5"/>
    <w:rsid w:val="00BD4B89"/>
    <w:rsid w:val="00BD5922"/>
    <w:rsid w:val="00BD6291"/>
    <w:rsid w:val="00BE00EE"/>
    <w:rsid w:val="00BE4B9C"/>
    <w:rsid w:val="00BE5F4F"/>
    <w:rsid w:val="00BF02CB"/>
    <w:rsid w:val="00BF49A6"/>
    <w:rsid w:val="00BF6FD8"/>
    <w:rsid w:val="00C00262"/>
    <w:rsid w:val="00C03680"/>
    <w:rsid w:val="00C04151"/>
    <w:rsid w:val="00C04DC2"/>
    <w:rsid w:val="00C05133"/>
    <w:rsid w:val="00C054DF"/>
    <w:rsid w:val="00C0639D"/>
    <w:rsid w:val="00C106FD"/>
    <w:rsid w:val="00C111FF"/>
    <w:rsid w:val="00C12F6B"/>
    <w:rsid w:val="00C164FD"/>
    <w:rsid w:val="00C21657"/>
    <w:rsid w:val="00C21762"/>
    <w:rsid w:val="00C21FEF"/>
    <w:rsid w:val="00C24543"/>
    <w:rsid w:val="00C25049"/>
    <w:rsid w:val="00C25420"/>
    <w:rsid w:val="00C256A2"/>
    <w:rsid w:val="00C26C90"/>
    <w:rsid w:val="00C3078F"/>
    <w:rsid w:val="00C33C38"/>
    <w:rsid w:val="00C33CE7"/>
    <w:rsid w:val="00C36409"/>
    <w:rsid w:val="00C412FC"/>
    <w:rsid w:val="00C45BC6"/>
    <w:rsid w:val="00C51515"/>
    <w:rsid w:val="00C5660B"/>
    <w:rsid w:val="00C66B72"/>
    <w:rsid w:val="00C67DD9"/>
    <w:rsid w:val="00C7503D"/>
    <w:rsid w:val="00C80795"/>
    <w:rsid w:val="00C81501"/>
    <w:rsid w:val="00C84505"/>
    <w:rsid w:val="00C87AC4"/>
    <w:rsid w:val="00C90C8F"/>
    <w:rsid w:val="00C9438F"/>
    <w:rsid w:val="00C94B07"/>
    <w:rsid w:val="00C9567A"/>
    <w:rsid w:val="00C96AA4"/>
    <w:rsid w:val="00C96AFF"/>
    <w:rsid w:val="00CB0A52"/>
    <w:rsid w:val="00CB212D"/>
    <w:rsid w:val="00CB2660"/>
    <w:rsid w:val="00CB48E5"/>
    <w:rsid w:val="00CC0249"/>
    <w:rsid w:val="00CC1094"/>
    <w:rsid w:val="00CC1C92"/>
    <w:rsid w:val="00CC2C0C"/>
    <w:rsid w:val="00CC5E90"/>
    <w:rsid w:val="00CD046C"/>
    <w:rsid w:val="00CD5CEE"/>
    <w:rsid w:val="00CD6CCF"/>
    <w:rsid w:val="00CE076C"/>
    <w:rsid w:val="00CE5185"/>
    <w:rsid w:val="00CE5199"/>
    <w:rsid w:val="00CE66D5"/>
    <w:rsid w:val="00CF0816"/>
    <w:rsid w:val="00CF4EAE"/>
    <w:rsid w:val="00CF637A"/>
    <w:rsid w:val="00CF6976"/>
    <w:rsid w:val="00CF6DDF"/>
    <w:rsid w:val="00D02838"/>
    <w:rsid w:val="00D02CD8"/>
    <w:rsid w:val="00D03E48"/>
    <w:rsid w:val="00D04835"/>
    <w:rsid w:val="00D059DE"/>
    <w:rsid w:val="00D05ABD"/>
    <w:rsid w:val="00D1117E"/>
    <w:rsid w:val="00D13FCE"/>
    <w:rsid w:val="00D16BB5"/>
    <w:rsid w:val="00D202EB"/>
    <w:rsid w:val="00D21316"/>
    <w:rsid w:val="00D26228"/>
    <w:rsid w:val="00D306D1"/>
    <w:rsid w:val="00D30800"/>
    <w:rsid w:val="00D3226D"/>
    <w:rsid w:val="00D34786"/>
    <w:rsid w:val="00D358AF"/>
    <w:rsid w:val="00D37BFC"/>
    <w:rsid w:val="00D42F1E"/>
    <w:rsid w:val="00D44270"/>
    <w:rsid w:val="00D47A8E"/>
    <w:rsid w:val="00D51692"/>
    <w:rsid w:val="00D52C24"/>
    <w:rsid w:val="00D52D14"/>
    <w:rsid w:val="00D530FD"/>
    <w:rsid w:val="00D56A62"/>
    <w:rsid w:val="00D63BD0"/>
    <w:rsid w:val="00D65118"/>
    <w:rsid w:val="00D712D3"/>
    <w:rsid w:val="00D71422"/>
    <w:rsid w:val="00D723DD"/>
    <w:rsid w:val="00D72DC6"/>
    <w:rsid w:val="00D74A63"/>
    <w:rsid w:val="00D7558D"/>
    <w:rsid w:val="00D80439"/>
    <w:rsid w:val="00D81D92"/>
    <w:rsid w:val="00D834AA"/>
    <w:rsid w:val="00D86434"/>
    <w:rsid w:val="00D87689"/>
    <w:rsid w:val="00D876F9"/>
    <w:rsid w:val="00D8772D"/>
    <w:rsid w:val="00D91630"/>
    <w:rsid w:val="00D91AF2"/>
    <w:rsid w:val="00D97B60"/>
    <w:rsid w:val="00DA0FEE"/>
    <w:rsid w:val="00DA2224"/>
    <w:rsid w:val="00DA7B5F"/>
    <w:rsid w:val="00DB038E"/>
    <w:rsid w:val="00DB577F"/>
    <w:rsid w:val="00DB7F79"/>
    <w:rsid w:val="00DC01F4"/>
    <w:rsid w:val="00DC04D7"/>
    <w:rsid w:val="00DC11E7"/>
    <w:rsid w:val="00DC15CF"/>
    <w:rsid w:val="00DC1F54"/>
    <w:rsid w:val="00DC2CFD"/>
    <w:rsid w:val="00DC2DFA"/>
    <w:rsid w:val="00DC7023"/>
    <w:rsid w:val="00DC769A"/>
    <w:rsid w:val="00DD0687"/>
    <w:rsid w:val="00DD145E"/>
    <w:rsid w:val="00DD189E"/>
    <w:rsid w:val="00DD3D4D"/>
    <w:rsid w:val="00DD3D86"/>
    <w:rsid w:val="00DD4AD2"/>
    <w:rsid w:val="00DD7E53"/>
    <w:rsid w:val="00DE34D7"/>
    <w:rsid w:val="00DE7593"/>
    <w:rsid w:val="00DF1E04"/>
    <w:rsid w:val="00DF1EC4"/>
    <w:rsid w:val="00DF266C"/>
    <w:rsid w:val="00DF3401"/>
    <w:rsid w:val="00DF4D70"/>
    <w:rsid w:val="00E01C23"/>
    <w:rsid w:val="00E02ED6"/>
    <w:rsid w:val="00E0340B"/>
    <w:rsid w:val="00E04A90"/>
    <w:rsid w:val="00E0551F"/>
    <w:rsid w:val="00E05E20"/>
    <w:rsid w:val="00E072AB"/>
    <w:rsid w:val="00E07F16"/>
    <w:rsid w:val="00E10DE6"/>
    <w:rsid w:val="00E10EDB"/>
    <w:rsid w:val="00E1172C"/>
    <w:rsid w:val="00E1328D"/>
    <w:rsid w:val="00E167CE"/>
    <w:rsid w:val="00E219C7"/>
    <w:rsid w:val="00E2260E"/>
    <w:rsid w:val="00E2348E"/>
    <w:rsid w:val="00E25984"/>
    <w:rsid w:val="00E31013"/>
    <w:rsid w:val="00E31933"/>
    <w:rsid w:val="00E32FA9"/>
    <w:rsid w:val="00E3322A"/>
    <w:rsid w:val="00E3460C"/>
    <w:rsid w:val="00E40376"/>
    <w:rsid w:val="00E4118C"/>
    <w:rsid w:val="00E43157"/>
    <w:rsid w:val="00E43335"/>
    <w:rsid w:val="00E44F46"/>
    <w:rsid w:val="00E45224"/>
    <w:rsid w:val="00E45C69"/>
    <w:rsid w:val="00E461CE"/>
    <w:rsid w:val="00E50178"/>
    <w:rsid w:val="00E526D9"/>
    <w:rsid w:val="00E539B3"/>
    <w:rsid w:val="00E54396"/>
    <w:rsid w:val="00E5568B"/>
    <w:rsid w:val="00E55F62"/>
    <w:rsid w:val="00E70755"/>
    <w:rsid w:val="00E714FB"/>
    <w:rsid w:val="00E720CA"/>
    <w:rsid w:val="00E75398"/>
    <w:rsid w:val="00E756E1"/>
    <w:rsid w:val="00E757F9"/>
    <w:rsid w:val="00E77B2D"/>
    <w:rsid w:val="00E77E10"/>
    <w:rsid w:val="00E812CC"/>
    <w:rsid w:val="00E81D12"/>
    <w:rsid w:val="00E83A19"/>
    <w:rsid w:val="00E84EB5"/>
    <w:rsid w:val="00E84FA1"/>
    <w:rsid w:val="00E85662"/>
    <w:rsid w:val="00E86F7E"/>
    <w:rsid w:val="00E8789F"/>
    <w:rsid w:val="00E97B71"/>
    <w:rsid w:val="00E97CB1"/>
    <w:rsid w:val="00EA1A34"/>
    <w:rsid w:val="00EA3D34"/>
    <w:rsid w:val="00EA7537"/>
    <w:rsid w:val="00EB1A15"/>
    <w:rsid w:val="00EB3CE2"/>
    <w:rsid w:val="00EB4223"/>
    <w:rsid w:val="00EB454D"/>
    <w:rsid w:val="00EB6142"/>
    <w:rsid w:val="00EC3C4B"/>
    <w:rsid w:val="00EC54F1"/>
    <w:rsid w:val="00EC69CB"/>
    <w:rsid w:val="00EC72E3"/>
    <w:rsid w:val="00ED2B12"/>
    <w:rsid w:val="00ED3F88"/>
    <w:rsid w:val="00ED43D9"/>
    <w:rsid w:val="00ED549D"/>
    <w:rsid w:val="00ED76BE"/>
    <w:rsid w:val="00EE00E9"/>
    <w:rsid w:val="00EE0AA6"/>
    <w:rsid w:val="00EE10AD"/>
    <w:rsid w:val="00EE2674"/>
    <w:rsid w:val="00EE2C30"/>
    <w:rsid w:val="00EE4573"/>
    <w:rsid w:val="00EE4B73"/>
    <w:rsid w:val="00EF619B"/>
    <w:rsid w:val="00EF634D"/>
    <w:rsid w:val="00EF73DD"/>
    <w:rsid w:val="00F00B55"/>
    <w:rsid w:val="00F01BAB"/>
    <w:rsid w:val="00F02753"/>
    <w:rsid w:val="00F029D6"/>
    <w:rsid w:val="00F02AD1"/>
    <w:rsid w:val="00F03F87"/>
    <w:rsid w:val="00F07C05"/>
    <w:rsid w:val="00F11AE5"/>
    <w:rsid w:val="00F17F2E"/>
    <w:rsid w:val="00F21187"/>
    <w:rsid w:val="00F253CC"/>
    <w:rsid w:val="00F26DFA"/>
    <w:rsid w:val="00F26F6B"/>
    <w:rsid w:val="00F270A4"/>
    <w:rsid w:val="00F27918"/>
    <w:rsid w:val="00F34727"/>
    <w:rsid w:val="00F34D16"/>
    <w:rsid w:val="00F37106"/>
    <w:rsid w:val="00F372FC"/>
    <w:rsid w:val="00F41CDE"/>
    <w:rsid w:val="00F42983"/>
    <w:rsid w:val="00F4461F"/>
    <w:rsid w:val="00F4466B"/>
    <w:rsid w:val="00F45663"/>
    <w:rsid w:val="00F468DB"/>
    <w:rsid w:val="00F519CF"/>
    <w:rsid w:val="00F52001"/>
    <w:rsid w:val="00F539D8"/>
    <w:rsid w:val="00F56BA5"/>
    <w:rsid w:val="00F603A8"/>
    <w:rsid w:val="00F60E22"/>
    <w:rsid w:val="00F62569"/>
    <w:rsid w:val="00F64D6A"/>
    <w:rsid w:val="00F72F63"/>
    <w:rsid w:val="00F74313"/>
    <w:rsid w:val="00F74F6E"/>
    <w:rsid w:val="00F75CCD"/>
    <w:rsid w:val="00F81395"/>
    <w:rsid w:val="00F81BB8"/>
    <w:rsid w:val="00F91275"/>
    <w:rsid w:val="00F917D1"/>
    <w:rsid w:val="00F9653B"/>
    <w:rsid w:val="00FA134D"/>
    <w:rsid w:val="00FA2460"/>
    <w:rsid w:val="00FA47D7"/>
    <w:rsid w:val="00FA4AB8"/>
    <w:rsid w:val="00FA66C4"/>
    <w:rsid w:val="00FB0910"/>
    <w:rsid w:val="00FB62CF"/>
    <w:rsid w:val="00FC3E04"/>
    <w:rsid w:val="00FC7F77"/>
    <w:rsid w:val="00FD36AD"/>
    <w:rsid w:val="00FD3C3B"/>
    <w:rsid w:val="00FE07DD"/>
    <w:rsid w:val="00FE089D"/>
    <w:rsid w:val="00FE0BA1"/>
    <w:rsid w:val="00FE4C93"/>
    <w:rsid w:val="00FE5E34"/>
    <w:rsid w:val="00FE6B45"/>
    <w:rsid w:val="00FE755A"/>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List Paragraph11,List Paragraph2,Lista vistosa - Énfasis 11,Colorful List - Accent 11,Subtle Emphasis1,Footnote1,Grade Clara - Ênfase 31"/>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NoList"/>
    <w:pPr>
      <w:numPr>
        <w:numId w:val="31"/>
      </w:numPr>
    </w:pPr>
  </w:style>
  <w:style w:type="numbering" w:customStyle="1" w:styleId="List1">
    <w:name w:val="List 1"/>
    <w:basedOn w:val="NoList"/>
    <w:pPr>
      <w:numPr>
        <w:numId w:val="1"/>
      </w:numPr>
    </w:pPr>
  </w:style>
  <w:style w:type="numbering" w:customStyle="1" w:styleId="List210">
    <w:name w:val="List 21"/>
    <w:basedOn w:val="NoList"/>
    <w:pPr>
      <w:numPr>
        <w:numId w:val="52"/>
      </w:numPr>
    </w:pPr>
  </w:style>
  <w:style w:type="numbering" w:customStyle="1" w:styleId="List31">
    <w:name w:val="List 31"/>
    <w:basedOn w:val="NoList"/>
    <w:pPr>
      <w:numPr>
        <w:numId w:val="51"/>
      </w:numPr>
    </w:pPr>
  </w:style>
  <w:style w:type="numbering" w:customStyle="1" w:styleId="List41">
    <w:name w:val="List 41"/>
    <w:basedOn w:val="NoList"/>
    <w:pPr>
      <w:numPr>
        <w:numId w:val="2"/>
      </w:numPr>
    </w:pPr>
  </w:style>
  <w:style w:type="numbering" w:customStyle="1" w:styleId="List510">
    <w:name w:val="List 51"/>
    <w:basedOn w:val="NoList"/>
    <w:pPr>
      <w:numPr>
        <w:numId w:val="54"/>
      </w:numPr>
    </w:pPr>
  </w:style>
  <w:style w:type="numbering" w:customStyle="1" w:styleId="List6">
    <w:name w:val="List 6"/>
    <w:basedOn w:val="NoList"/>
    <w:pPr>
      <w:numPr>
        <w:numId w:val="3"/>
      </w:numPr>
    </w:pPr>
  </w:style>
  <w:style w:type="numbering" w:customStyle="1" w:styleId="List7">
    <w:name w:val="List 7"/>
    <w:basedOn w:val="NoList"/>
    <w:pPr>
      <w:numPr>
        <w:numId w:val="4"/>
      </w:numPr>
    </w:pPr>
  </w:style>
  <w:style w:type="numbering" w:customStyle="1" w:styleId="List8">
    <w:name w:val="List 8"/>
    <w:basedOn w:val="NoList"/>
    <w:pPr>
      <w:numPr>
        <w:numId w:val="5"/>
      </w:numPr>
    </w:pPr>
  </w:style>
  <w:style w:type="numbering" w:customStyle="1" w:styleId="List9">
    <w:name w:val="List 9"/>
    <w:basedOn w:val="NoList"/>
    <w:pPr>
      <w:numPr>
        <w:numId w:val="22"/>
      </w:numPr>
    </w:pPr>
  </w:style>
  <w:style w:type="numbering" w:customStyle="1" w:styleId="List10">
    <w:name w:val="List 10"/>
    <w:basedOn w:val="NoList"/>
    <w:pPr>
      <w:numPr>
        <w:numId w:val="6"/>
      </w:numPr>
    </w:pPr>
  </w:style>
  <w:style w:type="numbering" w:customStyle="1" w:styleId="List11">
    <w:name w:val="List 11"/>
    <w:basedOn w:val="NoList"/>
    <w:pPr>
      <w:numPr>
        <w:numId w:val="7"/>
      </w:numPr>
    </w:pPr>
  </w:style>
  <w:style w:type="numbering" w:customStyle="1" w:styleId="List12">
    <w:name w:val="List 12"/>
    <w:basedOn w:val="NoList"/>
    <w:pPr>
      <w:numPr>
        <w:numId w:val="36"/>
      </w:numPr>
    </w:pPr>
  </w:style>
  <w:style w:type="numbering" w:customStyle="1" w:styleId="List13">
    <w:name w:val="List 13"/>
    <w:basedOn w:val="NoList"/>
    <w:pPr>
      <w:numPr>
        <w:numId w:val="42"/>
      </w:numPr>
    </w:pPr>
  </w:style>
  <w:style w:type="numbering" w:customStyle="1" w:styleId="List14">
    <w:name w:val="List 14"/>
    <w:basedOn w:val="NoList"/>
    <w:pPr>
      <w:numPr>
        <w:numId w:val="17"/>
      </w:numPr>
    </w:pPr>
  </w:style>
  <w:style w:type="numbering" w:customStyle="1" w:styleId="List15">
    <w:name w:val="List 15"/>
    <w:basedOn w:val="NoList"/>
    <w:pPr>
      <w:numPr>
        <w:numId w:val="16"/>
      </w:numPr>
    </w:pPr>
  </w:style>
  <w:style w:type="numbering" w:customStyle="1" w:styleId="List16">
    <w:name w:val="List 16"/>
    <w:basedOn w:val="NoList"/>
    <w:pPr>
      <w:numPr>
        <w:numId w:val="11"/>
      </w:numPr>
    </w:pPr>
  </w:style>
  <w:style w:type="numbering" w:customStyle="1" w:styleId="List17">
    <w:name w:val="List 17"/>
    <w:basedOn w:val="NoList"/>
    <w:pPr>
      <w:numPr>
        <w:numId w:val="25"/>
      </w:numPr>
    </w:pPr>
  </w:style>
  <w:style w:type="numbering" w:customStyle="1" w:styleId="List18">
    <w:name w:val="List 18"/>
    <w:basedOn w:val="NoList"/>
    <w:pPr>
      <w:numPr>
        <w:numId w:val="27"/>
      </w:numPr>
    </w:pPr>
  </w:style>
  <w:style w:type="numbering" w:customStyle="1" w:styleId="List19">
    <w:name w:val="List 19"/>
    <w:basedOn w:val="NoList"/>
    <w:pPr>
      <w:numPr>
        <w:numId w:val="19"/>
      </w:numPr>
    </w:pPr>
  </w:style>
  <w:style w:type="numbering" w:customStyle="1" w:styleId="List20">
    <w:name w:val="List 20"/>
    <w:basedOn w:val="NoList"/>
    <w:pPr>
      <w:numPr>
        <w:numId w:val="43"/>
      </w:numPr>
    </w:pPr>
  </w:style>
  <w:style w:type="numbering" w:customStyle="1" w:styleId="List21">
    <w:name w:val="List 21"/>
    <w:basedOn w:val="NoList"/>
    <w:pPr>
      <w:numPr>
        <w:numId w:val="38"/>
      </w:numPr>
    </w:pPr>
  </w:style>
  <w:style w:type="numbering" w:customStyle="1" w:styleId="List22">
    <w:name w:val="List 22"/>
    <w:basedOn w:val="NoList"/>
    <w:pPr>
      <w:numPr>
        <w:numId w:val="28"/>
      </w:numPr>
    </w:pPr>
  </w:style>
  <w:style w:type="numbering" w:customStyle="1" w:styleId="List23">
    <w:name w:val="List 23"/>
    <w:basedOn w:val="NoList"/>
    <w:pPr>
      <w:numPr>
        <w:numId w:val="18"/>
      </w:numPr>
    </w:pPr>
  </w:style>
  <w:style w:type="numbering" w:customStyle="1" w:styleId="List24">
    <w:name w:val="List 24"/>
    <w:basedOn w:val="NoList"/>
    <w:pPr>
      <w:numPr>
        <w:numId w:val="13"/>
      </w:numPr>
    </w:pPr>
  </w:style>
  <w:style w:type="numbering" w:customStyle="1" w:styleId="List25">
    <w:name w:val="List 25"/>
    <w:basedOn w:val="NoList"/>
    <w:pPr>
      <w:numPr>
        <w:numId w:val="15"/>
      </w:numPr>
    </w:pPr>
  </w:style>
  <w:style w:type="numbering" w:customStyle="1" w:styleId="List26">
    <w:name w:val="List 26"/>
    <w:basedOn w:val="NoList"/>
    <w:pPr>
      <w:numPr>
        <w:numId w:val="49"/>
      </w:numPr>
    </w:pPr>
  </w:style>
  <w:style w:type="numbering" w:customStyle="1" w:styleId="List27">
    <w:name w:val="List 27"/>
    <w:basedOn w:val="NoList"/>
    <w:pPr>
      <w:numPr>
        <w:numId w:val="41"/>
      </w:numPr>
    </w:pPr>
  </w:style>
  <w:style w:type="numbering" w:customStyle="1" w:styleId="List28">
    <w:name w:val="List 28"/>
    <w:basedOn w:val="NoList"/>
    <w:pPr>
      <w:numPr>
        <w:numId w:val="30"/>
      </w:numPr>
    </w:pPr>
  </w:style>
  <w:style w:type="numbering" w:customStyle="1" w:styleId="List29">
    <w:name w:val="List 29"/>
    <w:basedOn w:val="NoList"/>
    <w:pPr>
      <w:numPr>
        <w:numId w:val="34"/>
      </w:numPr>
    </w:pPr>
  </w:style>
  <w:style w:type="numbering" w:customStyle="1" w:styleId="List30">
    <w:name w:val="List 30"/>
    <w:basedOn w:val="NoList"/>
    <w:pPr>
      <w:numPr>
        <w:numId w:val="32"/>
      </w:numPr>
    </w:pPr>
  </w:style>
  <w:style w:type="numbering" w:customStyle="1" w:styleId="List310">
    <w:name w:val="List 31"/>
    <w:basedOn w:val="NoList"/>
    <w:pPr>
      <w:numPr>
        <w:numId w:val="45"/>
      </w:numPr>
    </w:pPr>
  </w:style>
  <w:style w:type="numbering" w:customStyle="1" w:styleId="List32">
    <w:name w:val="List 32"/>
    <w:basedOn w:val="NoList"/>
    <w:pPr>
      <w:numPr>
        <w:numId w:val="48"/>
      </w:numPr>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C"/>
    <w:link w:val="FootnoteTextChar"/>
    <w:qFormat/>
    <w:rPr>
      <w:rFonts w:ascii="Calibri" w:eastAsia="Calibri" w:hAnsi="Calibri" w:cs="Calibri"/>
      <w:color w:val="000000"/>
      <w:u w:color="000000"/>
      <w:lang w:val="en-US"/>
    </w:rPr>
  </w:style>
  <w:style w:type="numbering" w:customStyle="1" w:styleId="List33">
    <w:name w:val="List 33"/>
    <w:basedOn w:val="NoList"/>
    <w:pPr>
      <w:numPr>
        <w:numId w:val="26"/>
      </w:numPr>
    </w:pPr>
  </w:style>
  <w:style w:type="numbering" w:customStyle="1" w:styleId="List34">
    <w:name w:val="List 34"/>
    <w:basedOn w:val="NoList"/>
    <w:pPr>
      <w:numPr>
        <w:numId w:val="12"/>
      </w:numPr>
    </w:pPr>
  </w:style>
  <w:style w:type="numbering" w:customStyle="1" w:styleId="List35">
    <w:name w:val="List 35"/>
    <w:basedOn w:val="NoList"/>
    <w:pPr>
      <w:numPr>
        <w:numId w:val="8"/>
      </w:numPr>
    </w:pPr>
  </w:style>
  <w:style w:type="numbering" w:customStyle="1" w:styleId="List36">
    <w:name w:val="List 36"/>
    <w:basedOn w:val="NoList"/>
    <w:pPr>
      <w:numPr>
        <w:numId w:val="14"/>
      </w:numPr>
    </w:pPr>
  </w:style>
  <w:style w:type="numbering" w:customStyle="1" w:styleId="List37">
    <w:name w:val="List 37"/>
    <w:basedOn w:val="NoList"/>
    <w:pPr>
      <w:numPr>
        <w:numId w:val="47"/>
      </w:numPr>
    </w:pPr>
  </w:style>
  <w:style w:type="numbering" w:customStyle="1" w:styleId="List38">
    <w:name w:val="List 38"/>
    <w:basedOn w:val="NoList"/>
    <w:pPr>
      <w:numPr>
        <w:numId w:val="35"/>
      </w:numPr>
    </w:pPr>
  </w:style>
  <w:style w:type="numbering" w:customStyle="1" w:styleId="List39">
    <w:name w:val="List 39"/>
    <w:basedOn w:val="NoList"/>
    <w:pPr>
      <w:numPr>
        <w:numId w:val="46"/>
      </w:numPr>
    </w:pPr>
  </w:style>
  <w:style w:type="numbering" w:customStyle="1" w:styleId="List40">
    <w:name w:val="List 40"/>
    <w:basedOn w:val="NoList"/>
    <w:pPr>
      <w:numPr>
        <w:numId w:val="21"/>
      </w:numPr>
    </w:pPr>
  </w:style>
  <w:style w:type="numbering" w:customStyle="1" w:styleId="List410">
    <w:name w:val="List 41"/>
    <w:basedOn w:val="NoList"/>
    <w:pPr>
      <w:numPr>
        <w:numId w:val="44"/>
      </w:numPr>
    </w:pPr>
  </w:style>
  <w:style w:type="numbering" w:customStyle="1" w:styleId="List42">
    <w:name w:val="List 42"/>
    <w:basedOn w:val="NoList"/>
    <w:pPr>
      <w:numPr>
        <w:numId w:val="9"/>
      </w:numPr>
    </w:pPr>
  </w:style>
  <w:style w:type="numbering" w:customStyle="1" w:styleId="List43">
    <w:name w:val="List 43"/>
    <w:basedOn w:val="NoList"/>
    <w:pPr>
      <w:numPr>
        <w:numId w:val="23"/>
      </w:numPr>
    </w:pPr>
  </w:style>
  <w:style w:type="numbering" w:customStyle="1" w:styleId="List44">
    <w:name w:val="List 44"/>
    <w:basedOn w:val="NoList"/>
    <w:pPr>
      <w:numPr>
        <w:numId w:val="40"/>
      </w:numPr>
    </w:pPr>
  </w:style>
  <w:style w:type="numbering" w:customStyle="1" w:styleId="List45">
    <w:name w:val="List 45"/>
    <w:basedOn w:val="NoList"/>
    <w:pPr>
      <w:numPr>
        <w:numId w:val="20"/>
      </w:numPr>
    </w:pPr>
  </w:style>
  <w:style w:type="numbering" w:customStyle="1" w:styleId="List46">
    <w:name w:val="List 46"/>
    <w:basedOn w:val="NoList"/>
    <w:pPr>
      <w:numPr>
        <w:numId w:val="24"/>
      </w:numPr>
    </w:pPr>
  </w:style>
  <w:style w:type="numbering" w:customStyle="1" w:styleId="List47">
    <w:name w:val="List 47"/>
    <w:basedOn w:val="NoList"/>
    <w:pPr>
      <w:numPr>
        <w:numId w:val="29"/>
      </w:numPr>
    </w:pPr>
  </w:style>
  <w:style w:type="numbering" w:customStyle="1" w:styleId="List48">
    <w:name w:val="List 48"/>
    <w:basedOn w:val="NoList"/>
    <w:pPr>
      <w:numPr>
        <w:numId w:val="50"/>
      </w:numPr>
    </w:pPr>
  </w:style>
  <w:style w:type="numbering" w:customStyle="1" w:styleId="List49">
    <w:name w:val="List 49"/>
    <w:basedOn w:val="NoList"/>
    <w:pPr>
      <w:numPr>
        <w:numId w:val="39"/>
      </w:numPr>
    </w:pPr>
  </w:style>
  <w:style w:type="numbering" w:customStyle="1" w:styleId="List50">
    <w:name w:val="List 50"/>
    <w:basedOn w:val="NoList"/>
    <w:pPr>
      <w:numPr>
        <w:numId w:val="37"/>
      </w:numPr>
    </w:pPr>
  </w:style>
  <w:style w:type="numbering" w:customStyle="1" w:styleId="List51">
    <w:name w:val="List 51"/>
    <w:basedOn w:val="NoList"/>
    <w:pPr>
      <w:numPr>
        <w:numId w:val="33"/>
      </w:numPr>
    </w:pPr>
  </w:style>
  <w:style w:type="numbering" w:customStyle="1" w:styleId="List52">
    <w:name w:val="List 52"/>
    <w:basedOn w:val="NoList"/>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R"/>
    <w:basedOn w:val="DefaultParagraphFont"/>
    <w:link w:val="1"/>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72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SimSun" w:hAnsi="Calibri"/>
      <w:sz w:val="22"/>
      <w:szCs w:val="22"/>
      <w:bdr w:val="none" w:sz="0" w:space="0" w:color="auto"/>
      <w:lang w:val="en-US" w:eastAsia="zh-CN"/>
    </w:rPr>
  </w:style>
  <w:style w:type="character" w:styleId="Emphasis">
    <w:name w:val="Emphasis"/>
    <w:basedOn w:val="DefaultParagraphFont"/>
    <w:uiPriority w:val="20"/>
    <w:qFormat/>
    <w:rsid w:val="00547CCB"/>
    <w:rPr>
      <w:i/>
      <w:iCs/>
    </w:rPr>
  </w:style>
  <w:style w:type="character" w:styleId="CommentReference">
    <w:name w:val="annotation reference"/>
    <w:basedOn w:val="DefaultParagraphFont"/>
    <w:uiPriority w:val="99"/>
    <w:semiHidden/>
    <w:unhideWhenUsed/>
    <w:rsid w:val="00E167CE"/>
    <w:rPr>
      <w:sz w:val="16"/>
      <w:szCs w:val="16"/>
    </w:rPr>
  </w:style>
  <w:style w:type="paragraph" w:styleId="CommentText">
    <w:name w:val="annotation text"/>
    <w:basedOn w:val="Normal"/>
    <w:link w:val="CommentTextChar"/>
    <w:uiPriority w:val="99"/>
    <w:semiHidden/>
    <w:unhideWhenUsed/>
    <w:rsid w:val="00E167CE"/>
    <w:rPr>
      <w:sz w:val="20"/>
      <w:szCs w:val="20"/>
    </w:rPr>
  </w:style>
  <w:style w:type="character" w:customStyle="1" w:styleId="CommentTextChar">
    <w:name w:val="Comment Text Char"/>
    <w:basedOn w:val="DefaultParagraphFont"/>
    <w:link w:val="CommentText"/>
    <w:uiPriority w:val="99"/>
    <w:semiHidden/>
    <w:rsid w:val="00E167CE"/>
    <w:rPr>
      <w:lang w:val="en-US" w:eastAsia="en-US"/>
    </w:rPr>
  </w:style>
  <w:style w:type="paragraph" w:styleId="CommentSubject">
    <w:name w:val="annotation subject"/>
    <w:basedOn w:val="CommentText"/>
    <w:next w:val="CommentText"/>
    <w:link w:val="CommentSubjectChar"/>
    <w:uiPriority w:val="99"/>
    <w:semiHidden/>
    <w:unhideWhenUsed/>
    <w:rsid w:val="00E167CE"/>
    <w:rPr>
      <w:b/>
      <w:bCs/>
    </w:rPr>
  </w:style>
  <w:style w:type="character" w:customStyle="1" w:styleId="CommentSubjectChar">
    <w:name w:val="Comment Subject Char"/>
    <w:basedOn w:val="CommentTextChar"/>
    <w:link w:val="CommentSubject"/>
    <w:uiPriority w:val="99"/>
    <w:semiHidden/>
    <w:rsid w:val="00E167CE"/>
    <w:rPr>
      <w:b/>
      <w:bCs/>
      <w:lang w:val="en-US" w:eastAsia="en-US"/>
    </w:rPr>
  </w:style>
  <w:style w:type="character" w:customStyle="1" w:styleId="apple-converted-space">
    <w:name w:val="apple-converted-space"/>
    <w:basedOn w:val="DefaultParagraphFont"/>
    <w:rsid w:val="00E167CE"/>
  </w:style>
  <w:style w:type="character" w:customStyle="1" w:styleId="rwrro">
    <w:name w:val="rwrro"/>
    <w:basedOn w:val="DefaultParagraphFont"/>
    <w:rsid w:val="00E167CE"/>
  </w:style>
  <w:style w:type="character" w:customStyle="1" w:styleId="spncelf">
    <w:name w:val="spncelf"/>
    <w:basedOn w:val="DefaultParagraphFont"/>
    <w:rsid w:val="00E167CE"/>
  </w:style>
  <w:style w:type="paragraph" w:styleId="NormalWeb">
    <w:name w:val="Normal (Web)"/>
    <w:basedOn w:val="Normal"/>
    <w:uiPriority w:val="99"/>
    <w:unhideWhenUsed/>
    <w:rsid w:val="00D262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1">
    <w:name w:val="1"/>
    <w:basedOn w:val="Normal"/>
    <w:link w:val="FootnoteReference"/>
    <w:rsid w:val="00646EE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UnresolvedMention">
    <w:name w:val="Unresolved Mention"/>
    <w:basedOn w:val="DefaultParagraphFont"/>
    <w:uiPriority w:val="99"/>
    <w:semiHidden/>
    <w:unhideWhenUsed/>
    <w:rsid w:val="00942945"/>
    <w:rPr>
      <w:color w:val="605E5C"/>
      <w:shd w:val="clear" w:color="auto" w:fill="E1DFDD"/>
    </w:rPr>
  </w:style>
  <w:style w:type="character" w:customStyle="1" w:styleId="normaltextrun">
    <w:name w:val="normaltextrun"/>
    <w:basedOn w:val="DefaultParagraphFont"/>
    <w:rsid w:val="0065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72">
      <w:bodyDiv w:val="1"/>
      <w:marLeft w:val="0"/>
      <w:marRight w:val="0"/>
      <w:marTop w:val="0"/>
      <w:marBottom w:val="0"/>
      <w:divBdr>
        <w:top w:val="none" w:sz="0" w:space="0" w:color="auto"/>
        <w:left w:val="none" w:sz="0" w:space="0" w:color="auto"/>
        <w:bottom w:val="none" w:sz="0" w:space="0" w:color="auto"/>
        <w:right w:val="none" w:sz="0" w:space="0" w:color="auto"/>
      </w:divBdr>
    </w:div>
    <w:div w:id="30540012">
      <w:bodyDiv w:val="1"/>
      <w:marLeft w:val="0"/>
      <w:marRight w:val="0"/>
      <w:marTop w:val="0"/>
      <w:marBottom w:val="0"/>
      <w:divBdr>
        <w:top w:val="none" w:sz="0" w:space="0" w:color="auto"/>
        <w:left w:val="none" w:sz="0" w:space="0" w:color="auto"/>
        <w:bottom w:val="none" w:sz="0" w:space="0" w:color="auto"/>
        <w:right w:val="none" w:sz="0" w:space="0" w:color="auto"/>
      </w:divBdr>
    </w:div>
    <w:div w:id="136846231">
      <w:bodyDiv w:val="1"/>
      <w:marLeft w:val="0"/>
      <w:marRight w:val="0"/>
      <w:marTop w:val="0"/>
      <w:marBottom w:val="0"/>
      <w:divBdr>
        <w:top w:val="none" w:sz="0" w:space="0" w:color="auto"/>
        <w:left w:val="none" w:sz="0" w:space="0" w:color="auto"/>
        <w:bottom w:val="none" w:sz="0" w:space="0" w:color="auto"/>
        <w:right w:val="none" w:sz="0" w:space="0" w:color="auto"/>
      </w:divBdr>
    </w:div>
    <w:div w:id="154806942">
      <w:bodyDiv w:val="1"/>
      <w:marLeft w:val="0"/>
      <w:marRight w:val="0"/>
      <w:marTop w:val="0"/>
      <w:marBottom w:val="0"/>
      <w:divBdr>
        <w:top w:val="none" w:sz="0" w:space="0" w:color="auto"/>
        <w:left w:val="none" w:sz="0" w:space="0" w:color="auto"/>
        <w:bottom w:val="none" w:sz="0" w:space="0" w:color="auto"/>
        <w:right w:val="none" w:sz="0" w:space="0" w:color="auto"/>
      </w:divBdr>
    </w:div>
    <w:div w:id="155346548">
      <w:bodyDiv w:val="1"/>
      <w:marLeft w:val="0"/>
      <w:marRight w:val="0"/>
      <w:marTop w:val="0"/>
      <w:marBottom w:val="0"/>
      <w:divBdr>
        <w:top w:val="none" w:sz="0" w:space="0" w:color="auto"/>
        <w:left w:val="none" w:sz="0" w:space="0" w:color="auto"/>
        <w:bottom w:val="none" w:sz="0" w:space="0" w:color="auto"/>
        <w:right w:val="none" w:sz="0" w:space="0" w:color="auto"/>
      </w:divBdr>
    </w:div>
    <w:div w:id="178079696">
      <w:bodyDiv w:val="1"/>
      <w:marLeft w:val="0"/>
      <w:marRight w:val="0"/>
      <w:marTop w:val="0"/>
      <w:marBottom w:val="0"/>
      <w:divBdr>
        <w:top w:val="none" w:sz="0" w:space="0" w:color="auto"/>
        <w:left w:val="none" w:sz="0" w:space="0" w:color="auto"/>
        <w:bottom w:val="none" w:sz="0" w:space="0" w:color="auto"/>
        <w:right w:val="none" w:sz="0" w:space="0" w:color="auto"/>
      </w:divBdr>
    </w:div>
    <w:div w:id="268705062">
      <w:bodyDiv w:val="1"/>
      <w:marLeft w:val="0"/>
      <w:marRight w:val="0"/>
      <w:marTop w:val="0"/>
      <w:marBottom w:val="0"/>
      <w:divBdr>
        <w:top w:val="none" w:sz="0" w:space="0" w:color="auto"/>
        <w:left w:val="none" w:sz="0" w:space="0" w:color="auto"/>
        <w:bottom w:val="none" w:sz="0" w:space="0" w:color="auto"/>
        <w:right w:val="none" w:sz="0" w:space="0" w:color="auto"/>
      </w:divBdr>
    </w:div>
    <w:div w:id="360326356">
      <w:bodyDiv w:val="1"/>
      <w:marLeft w:val="0"/>
      <w:marRight w:val="0"/>
      <w:marTop w:val="0"/>
      <w:marBottom w:val="0"/>
      <w:divBdr>
        <w:top w:val="none" w:sz="0" w:space="0" w:color="auto"/>
        <w:left w:val="none" w:sz="0" w:space="0" w:color="auto"/>
        <w:bottom w:val="none" w:sz="0" w:space="0" w:color="auto"/>
        <w:right w:val="none" w:sz="0" w:space="0" w:color="auto"/>
      </w:divBdr>
    </w:div>
    <w:div w:id="370617681">
      <w:bodyDiv w:val="1"/>
      <w:marLeft w:val="0"/>
      <w:marRight w:val="0"/>
      <w:marTop w:val="0"/>
      <w:marBottom w:val="0"/>
      <w:divBdr>
        <w:top w:val="none" w:sz="0" w:space="0" w:color="auto"/>
        <w:left w:val="none" w:sz="0" w:space="0" w:color="auto"/>
        <w:bottom w:val="none" w:sz="0" w:space="0" w:color="auto"/>
        <w:right w:val="none" w:sz="0" w:space="0" w:color="auto"/>
      </w:divBdr>
    </w:div>
    <w:div w:id="507258363">
      <w:bodyDiv w:val="1"/>
      <w:marLeft w:val="0"/>
      <w:marRight w:val="0"/>
      <w:marTop w:val="0"/>
      <w:marBottom w:val="0"/>
      <w:divBdr>
        <w:top w:val="none" w:sz="0" w:space="0" w:color="auto"/>
        <w:left w:val="none" w:sz="0" w:space="0" w:color="auto"/>
        <w:bottom w:val="none" w:sz="0" w:space="0" w:color="auto"/>
        <w:right w:val="none" w:sz="0" w:space="0" w:color="auto"/>
      </w:divBdr>
    </w:div>
    <w:div w:id="549996746">
      <w:bodyDiv w:val="1"/>
      <w:marLeft w:val="0"/>
      <w:marRight w:val="0"/>
      <w:marTop w:val="0"/>
      <w:marBottom w:val="0"/>
      <w:divBdr>
        <w:top w:val="none" w:sz="0" w:space="0" w:color="auto"/>
        <w:left w:val="none" w:sz="0" w:space="0" w:color="auto"/>
        <w:bottom w:val="none" w:sz="0" w:space="0" w:color="auto"/>
        <w:right w:val="none" w:sz="0" w:space="0" w:color="auto"/>
      </w:divBdr>
    </w:div>
    <w:div w:id="583952605">
      <w:bodyDiv w:val="1"/>
      <w:marLeft w:val="0"/>
      <w:marRight w:val="0"/>
      <w:marTop w:val="0"/>
      <w:marBottom w:val="0"/>
      <w:divBdr>
        <w:top w:val="none" w:sz="0" w:space="0" w:color="auto"/>
        <w:left w:val="none" w:sz="0" w:space="0" w:color="auto"/>
        <w:bottom w:val="none" w:sz="0" w:space="0" w:color="auto"/>
        <w:right w:val="none" w:sz="0" w:space="0" w:color="auto"/>
      </w:divBdr>
    </w:div>
    <w:div w:id="592586796">
      <w:bodyDiv w:val="1"/>
      <w:marLeft w:val="0"/>
      <w:marRight w:val="0"/>
      <w:marTop w:val="0"/>
      <w:marBottom w:val="0"/>
      <w:divBdr>
        <w:top w:val="none" w:sz="0" w:space="0" w:color="auto"/>
        <w:left w:val="none" w:sz="0" w:space="0" w:color="auto"/>
        <w:bottom w:val="none" w:sz="0" w:space="0" w:color="auto"/>
        <w:right w:val="none" w:sz="0" w:space="0" w:color="auto"/>
      </w:divBdr>
    </w:div>
    <w:div w:id="597449050">
      <w:bodyDiv w:val="1"/>
      <w:marLeft w:val="0"/>
      <w:marRight w:val="0"/>
      <w:marTop w:val="0"/>
      <w:marBottom w:val="0"/>
      <w:divBdr>
        <w:top w:val="none" w:sz="0" w:space="0" w:color="auto"/>
        <w:left w:val="none" w:sz="0" w:space="0" w:color="auto"/>
        <w:bottom w:val="none" w:sz="0" w:space="0" w:color="auto"/>
        <w:right w:val="none" w:sz="0" w:space="0" w:color="auto"/>
      </w:divBdr>
    </w:div>
    <w:div w:id="690768289">
      <w:bodyDiv w:val="1"/>
      <w:marLeft w:val="0"/>
      <w:marRight w:val="0"/>
      <w:marTop w:val="0"/>
      <w:marBottom w:val="0"/>
      <w:divBdr>
        <w:top w:val="none" w:sz="0" w:space="0" w:color="auto"/>
        <w:left w:val="none" w:sz="0" w:space="0" w:color="auto"/>
        <w:bottom w:val="none" w:sz="0" w:space="0" w:color="auto"/>
        <w:right w:val="none" w:sz="0" w:space="0" w:color="auto"/>
      </w:divBdr>
    </w:div>
    <w:div w:id="722216869">
      <w:bodyDiv w:val="1"/>
      <w:marLeft w:val="0"/>
      <w:marRight w:val="0"/>
      <w:marTop w:val="0"/>
      <w:marBottom w:val="0"/>
      <w:divBdr>
        <w:top w:val="none" w:sz="0" w:space="0" w:color="auto"/>
        <w:left w:val="none" w:sz="0" w:space="0" w:color="auto"/>
        <w:bottom w:val="none" w:sz="0" w:space="0" w:color="auto"/>
        <w:right w:val="none" w:sz="0" w:space="0" w:color="auto"/>
      </w:divBdr>
    </w:div>
    <w:div w:id="763572163">
      <w:bodyDiv w:val="1"/>
      <w:marLeft w:val="0"/>
      <w:marRight w:val="0"/>
      <w:marTop w:val="0"/>
      <w:marBottom w:val="0"/>
      <w:divBdr>
        <w:top w:val="none" w:sz="0" w:space="0" w:color="auto"/>
        <w:left w:val="none" w:sz="0" w:space="0" w:color="auto"/>
        <w:bottom w:val="none" w:sz="0" w:space="0" w:color="auto"/>
        <w:right w:val="none" w:sz="0" w:space="0" w:color="auto"/>
      </w:divBdr>
    </w:div>
    <w:div w:id="793445511">
      <w:bodyDiv w:val="1"/>
      <w:marLeft w:val="0"/>
      <w:marRight w:val="0"/>
      <w:marTop w:val="0"/>
      <w:marBottom w:val="0"/>
      <w:divBdr>
        <w:top w:val="none" w:sz="0" w:space="0" w:color="auto"/>
        <w:left w:val="none" w:sz="0" w:space="0" w:color="auto"/>
        <w:bottom w:val="none" w:sz="0" w:space="0" w:color="auto"/>
        <w:right w:val="none" w:sz="0" w:space="0" w:color="auto"/>
      </w:divBdr>
    </w:div>
    <w:div w:id="825121981">
      <w:bodyDiv w:val="1"/>
      <w:marLeft w:val="0"/>
      <w:marRight w:val="0"/>
      <w:marTop w:val="0"/>
      <w:marBottom w:val="0"/>
      <w:divBdr>
        <w:top w:val="none" w:sz="0" w:space="0" w:color="auto"/>
        <w:left w:val="none" w:sz="0" w:space="0" w:color="auto"/>
        <w:bottom w:val="none" w:sz="0" w:space="0" w:color="auto"/>
        <w:right w:val="none" w:sz="0" w:space="0" w:color="auto"/>
      </w:divBdr>
    </w:div>
    <w:div w:id="853690819">
      <w:bodyDiv w:val="1"/>
      <w:marLeft w:val="0"/>
      <w:marRight w:val="0"/>
      <w:marTop w:val="0"/>
      <w:marBottom w:val="0"/>
      <w:divBdr>
        <w:top w:val="none" w:sz="0" w:space="0" w:color="auto"/>
        <w:left w:val="none" w:sz="0" w:space="0" w:color="auto"/>
        <w:bottom w:val="none" w:sz="0" w:space="0" w:color="auto"/>
        <w:right w:val="none" w:sz="0" w:space="0" w:color="auto"/>
      </w:divBdr>
    </w:div>
    <w:div w:id="874124724">
      <w:bodyDiv w:val="1"/>
      <w:marLeft w:val="0"/>
      <w:marRight w:val="0"/>
      <w:marTop w:val="0"/>
      <w:marBottom w:val="0"/>
      <w:divBdr>
        <w:top w:val="none" w:sz="0" w:space="0" w:color="auto"/>
        <w:left w:val="none" w:sz="0" w:space="0" w:color="auto"/>
        <w:bottom w:val="none" w:sz="0" w:space="0" w:color="auto"/>
        <w:right w:val="none" w:sz="0" w:space="0" w:color="auto"/>
      </w:divBdr>
    </w:div>
    <w:div w:id="880172815">
      <w:bodyDiv w:val="1"/>
      <w:marLeft w:val="0"/>
      <w:marRight w:val="0"/>
      <w:marTop w:val="0"/>
      <w:marBottom w:val="0"/>
      <w:divBdr>
        <w:top w:val="none" w:sz="0" w:space="0" w:color="auto"/>
        <w:left w:val="none" w:sz="0" w:space="0" w:color="auto"/>
        <w:bottom w:val="none" w:sz="0" w:space="0" w:color="auto"/>
        <w:right w:val="none" w:sz="0" w:space="0" w:color="auto"/>
      </w:divBdr>
    </w:div>
    <w:div w:id="914510880">
      <w:bodyDiv w:val="1"/>
      <w:marLeft w:val="0"/>
      <w:marRight w:val="0"/>
      <w:marTop w:val="0"/>
      <w:marBottom w:val="0"/>
      <w:divBdr>
        <w:top w:val="none" w:sz="0" w:space="0" w:color="auto"/>
        <w:left w:val="none" w:sz="0" w:space="0" w:color="auto"/>
        <w:bottom w:val="none" w:sz="0" w:space="0" w:color="auto"/>
        <w:right w:val="none" w:sz="0" w:space="0" w:color="auto"/>
      </w:divBdr>
    </w:div>
    <w:div w:id="986056356">
      <w:bodyDiv w:val="1"/>
      <w:marLeft w:val="0"/>
      <w:marRight w:val="0"/>
      <w:marTop w:val="0"/>
      <w:marBottom w:val="0"/>
      <w:divBdr>
        <w:top w:val="none" w:sz="0" w:space="0" w:color="auto"/>
        <w:left w:val="none" w:sz="0" w:space="0" w:color="auto"/>
        <w:bottom w:val="none" w:sz="0" w:space="0" w:color="auto"/>
        <w:right w:val="none" w:sz="0" w:space="0" w:color="auto"/>
      </w:divBdr>
    </w:div>
    <w:div w:id="1030254960">
      <w:bodyDiv w:val="1"/>
      <w:marLeft w:val="0"/>
      <w:marRight w:val="0"/>
      <w:marTop w:val="0"/>
      <w:marBottom w:val="0"/>
      <w:divBdr>
        <w:top w:val="none" w:sz="0" w:space="0" w:color="auto"/>
        <w:left w:val="none" w:sz="0" w:space="0" w:color="auto"/>
        <w:bottom w:val="none" w:sz="0" w:space="0" w:color="auto"/>
        <w:right w:val="none" w:sz="0" w:space="0" w:color="auto"/>
      </w:divBdr>
    </w:div>
    <w:div w:id="1063331177">
      <w:bodyDiv w:val="1"/>
      <w:marLeft w:val="0"/>
      <w:marRight w:val="0"/>
      <w:marTop w:val="0"/>
      <w:marBottom w:val="0"/>
      <w:divBdr>
        <w:top w:val="none" w:sz="0" w:space="0" w:color="auto"/>
        <w:left w:val="none" w:sz="0" w:space="0" w:color="auto"/>
        <w:bottom w:val="none" w:sz="0" w:space="0" w:color="auto"/>
        <w:right w:val="none" w:sz="0" w:space="0" w:color="auto"/>
      </w:divBdr>
    </w:div>
    <w:div w:id="1081369583">
      <w:bodyDiv w:val="1"/>
      <w:marLeft w:val="0"/>
      <w:marRight w:val="0"/>
      <w:marTop w:val="0"/>
      <w:marBottom w:val="0"/>
      <w:divBdr>
        <w:top w:val="none" w:sz="0" w:space="0" w:color="auto"/>
        <w:left w:val="none" w:sz="0" w:space="0" w:color="auto"/>
        <w:bottom w:val="none" w:sz="0" w:space="0" w:color="auto"/>
        <w:right w:val="none" w:sz="0" w:space="0" w:color="auto"/>
      </w:divBdr>
    </w:div>
    <w:div w:id="1109355852">
      <w:bodyDiv w:val="1"/>
      <w:marLeft w:val="0"/>
      <w:marRight w:val="0"/>
      <w:marTop w:val="0"/>
      <w:marBottom w:val="0"/>
      <w:divBdr>
        <w:top w:val="none" w:sz="0" w:space="0" w:color="auto"/>
        <w:left w:val="none" w:sz="0" w:space="0" w:color="auto"/>
        <w:bottom w:val="none" w:sz="0" w:space="0" w:color="auto"/>
        <w:right w:val="none" w:sz="0" w:space="0" w:color="auto"/>
      </w:divBdr>
    </w:div>
    <w:div w:id="1148472260">
      <w:bodyDiv w:val="1"/>
      <w:marLeft w:val="0"/>
      <w:marRight w:val="0"/>
      <w:marTop w:val="0"/>
      <w:marBottom w:val="0"/>
      <w:divBdr>
        <w:top w:val="none" w:sz="0" w:space="0" w:color="auto"/>
        <w:left w:val="none" w:sz="0" w:space="0" w:color="auto"/>
        <w:bottom w:val="none" w:sz="0" w:space="0" w:color="auto"/>
        <w:right w:val="none" w:sz="0" w:space="0" w:color="auto"/>
      </w:divBdr>
      <w:divsChild>
        <w:div w:id="1267536830">
          <w:marLeft w:val="0"/>
          <w:marRight w:val="150"/>
          <w:marTop w:val="0"/>
          <w:marBottom w:val="150"/>
          <w:divBdr>
            <w:top w:val="none" w:sz="0" w:space="0" w:color="auto"/>
            <w:left w:val="none" w:sz="0" w:space="0" w:color="auto"/>
            <w:bottom w:val="none" w:sz="0" w:space="0" w:color="auto"/>
            <w:right w:val="none" w:sz="0" w:space="0" w:color="auto"/>
          </w:divBdr>
          <w:divsChild>
            <w:div w:id="424962704">
              <w:marLeft w:val="60"/>
              <w:marRight w:val="0"/>
              <w:marTop w:val="0"/>
              <w:marBottom w:val="0"/>
              <w:divBdr>
                <w:top w:val="none" w:sz="0" w:space="0" w:color="auto"/>
                <w:left w:val="none" w:sz="0" w:space="0" w:color="auto"/>
                <w:bottom w:val="none" w:sz="0" w:space="0" w:color="auto"/>
                <w:right w:val="none" w:sz="0" w:space="0" w:color="auto"/>
              </w:divBdr>
              <w:divsChild>
                <w:div w:id="223179131">
                  <w:marLeft w:val="0"/>
                  <w:marRight w:val="0"/>
                  <w:marTop w:val="0"/>
                  <w:marBottom w:val="0"/>
                  <w:divBdr>
                    <w:top w:val="none" w:sz="0" w:space="0" w:color="auto"/>
                    <w:left w:val="none" w:sz="0" w:space="0" w:color="auto"/>
                    <w:bottom w:val="none" w:sz="0" w:space="0" w:color="auto"/>
                    <w:right w:val="none" w:sz="0" w:space="0" w:color="auto"/>
                  </w:divBdr>
                  <w:divsChild>
                    <w:div w:id="450516471">
                      <w:marLeft w:val="0"/>
                      <w:marRight w:val="0"/>
                      <w:marTop w:val="0"/>
                      <w:marBottom w:val="0"/>
                      <w:divBdr>
                        <w:top w:val="none" w:sz="0" w:space="0" w:color="auto"/>
                        <w:left w:val="none" w:sz="0" w:space="0" w:color="auto"/>
                        <w:bottom w:val="none" w:sz="0" w:space="0" w:color="auto"/>
                        <w:right w:val="none" w:sz="0" w:space="0" w:color="auto"/>
                      </w:divBdr>
                      <w:divsChild>
                        <w:div w:id="1704091889">
                          <w:marLeft w:val="0"/>
                          <w:marRight w:val="0"/>
                          <w:marTop w:val="0"/>
                          <w:marBottom w:val="0"/>
                          <w:divBdr>
                            <w:top w:val="none" w:sz="0" w:space="0" w:color="auto"/>
                            <w:left w:val="none" w:sz="0" w:space="0" w:color="auto"/>
                            <w:bottom w:val="none" w:sz="0" w:space="0" w:color="auto"/>
                            <w:right w:val="none" w:sz="0" w:space="0" w:color="auto"/>
                          </w:divBdr>
                          <w:divsChild>
                            <w:div w:id="2106612511">
                              <w:marLeft w:val="0"/>
                              <w:marRight w:val="0"/>
                              <w:marTop w:val="0"/>
                              <w:marBottom w:val="0"/>
                              <w:divBdr>
                                <w:top w:val="none" w:sz="0" w:space="0" w:color="auto"/>
                                <w:left w:val="none" w:sz="0" w:space="0" w:color="auto"/>
                                <w:bottom w:val="none" w:sz="0" w:space="0" w:color="auto"/>
                                <w:right w:val="none" w:sz="0" w:space="0" w:color="auto"/>
                              </w:divBdr>
                              <w:divsChild>
                                <w:div w:id="1504541220">
                                  <w:marLeft w:val="0"/>
                                  <w:marRight w:val="0"/>
                                  <w:marTop w:val="0"/>
                                  <w:marBottom w:val="0"/>
                                  <w:divBdr>
                                    <w:top w:val="none" w:sz="0" w:space="0" w:color="auto"/>
                                    <w:left w:val="none" w:sz="0" w:space="0" w:color="auto"/>
                                    <w:bottom w:val="none" w:sz="0" w:space="0" w:color="auto"/>
                                    <w:right w:val="none" w:sz="0" w:space="0" w:color="auto"/>
                                  </w:divBdr>
                                </w:div>
                                <w:div w:id="1370569890">
                                  <w:marLeft w:val="0"/>
                                  <w:marRight w:val="0"/>
                                  <w:marTop w:val="0"/>
                                  <w:marBottom w:val="0"/>
                                  <w:divBdr>
                                    <w:top w:val="none" w:sz="0" w:space="0" w:color="auto"/>
                                    <w:left w:val="none" w:sz="0" w:space="0" w:color="auto"/>
                                    <w:bottom w:val="none" w:sz="0" w:space="0" w:color="auto"/>
                                    <w:right w:val="none" w:sz="0" w:space="0" w:color="auto"/>
                                  </w:divBdr>
                                </w:div>
                                <w:div w:id="990409675">
                                  <w:marLeft w:val="0"/>
                                  <w:marRight w:val="0"/>
                                  <w:marTop w:val="0"/>
                                  <w:marBottom w:val="0"/>
                                  <w:divBdr>
                                    <w:top w:val="none" w:sz="0" w:space="0" w:color="auto"/>
                                    <w:left w:val="none" w:sz="0" w:space="0" w:color="auto"/>
                                    <w:bottom w:val="none" w:sz="0" w:space="0" w:color="auto"/>
                                    <w:right w:val="none" w:sz="0" w:space="0" w:color="auto"/>
                                  </w:divBdr>
                                </w:div>
                                <w:div w:id="812719666">
                                  <w:marLeft w:val="0"/>
                                  <w:marRight w:val="0"/>
                                  <w:marTop w:val="0"/>
                                  <w:marBottom w:val="0"/>
                                  <w:divBdr>
                                    <w:top w:val="none" w:sz="0" w:space="0" w:color="auto"/>
                                    <w:left w:val="none" w:sz="0" w:space="0" w:color="auto"/>
                                    <w:bottom w:val="none" w:sz="0" w:space="0" w:color="auto"/>
                                    <w:right w:val="none" w:sz="0" w:space="0" w:color="auto"/>
                                  </w:divBdr>
                                  <w:divsChild>
                                    <w:div w:id="1755936011">
                                      <w:marLeft w:val="0"/>
                                      <w:marRight w:val="0"/>
                                      <w:marTop w:val="0"/>
                                      <w:marBottom w:val="0"/>
                                      <w:divBdr>
                                        <w:top w:val="none" w:sz="0" w:space="0" w:color="auto"/>
                                        <w:left w:val="none" w:sz="0" w:space="0" w:color="auto"/>
                                        <w:bottom w:val="none" w:sz="0" w:space="0" w:color="auto"/>
                                        <w:right w:val="none" w:sz="0" w:space="0" w:color="auto"/>
                                      </w:divBdr>
                                    </w:div>
                                    <w:div w:id="1430929381">
                                      <w:marLeft w:val="0"/>
                                      <w:marRight w:val="0"/>
                                      <w:marTop w:val="0"/>
                                      <w:marBottom w:val="0"/>
                                      <w:divBdr>
                                        <w:top w:val="none" w:sz="0" w:space="0" w:color="auto"/>
                                        <w:left w:val="none" w:sz="0" w:space="0" w:color="auto"/>
                                        <w:bottom w:val="none" w:sz="0" w:space="0" w:color="auto"/>
                                        <w:right w:val="none" w:sz="0" w:space="0" w:color="auto"/>
                                      </w:divBdr>
                                    </w:div>
                                    <w:div w:id="1627159628">
                                      <w:marLeft w:val="0"/>
                                      <w:marRight w:val="0"/>
                                      <w:marTop w:val="0"/>
                                      <w:marBottom w:val="0"/>
                                      <w:divBdr>
                                        <w:top w:val="none" w:sz="0" w:space="0" w:color="auto"/>
                                        <w:left w:val="none" w:sz="0" w:space="0" w:color="auto"/>
                                        <w:bottom w:val="none" w:sz="0" w:space="0" w:color="auto"/>
                                        <w:right w:val="none" w:sz="0" w:space="0" w:color="auto"/>
                                      </w:divBdr>
                                    </w:div>
                                    <w:div w:id="1732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011839">
          <w:marLeft w:val="0"/>
          <w:marRight w:val="150"/>
          <w:marTop w:val="0"/>
          <w:marBottom w:val="150"/>
          <w:divBdr>
            <w:top w:val="none" w:sz="0" w:space="0" w:color="auto"/>
            <w:left w:val="none" w:sz="0" w:space="0" w:color="auto"/>
            <w:bottom w:val="none" w:sz="0" w:space="0" w:color="auto"/>
            <w:right w:val="none" w:sz="0" w:space="0" w:color="auto"/>
          </w:divBdr>
          <w:divsChild>
            <w:div w:id="236131173">
              <w:marLeft w:val="60"/>
              <w:marRight w:val="0"/>
              <w:marTop w:val="0"/>
              <w:marBottom w:val="0"/>
              <w:divBdr>
                <w:top w:val="none" w:sz="0" w:space="0" w:color="auto"/>
                <w:left w:val="none" w:sz="0" w:space="0" w:color="auto"/>
                <w:bottom w:val="none" w:sz="0" w:space="0" w:color="auto"/>
                <w:right w:val="none" w:sz="0" w:space="0" w:color="auto"/>
              </w:divBdr>
              <w:divsChild>
                <w:div w:id="968241993">
                  <w:marLeft w:val="0"/>
                  <w:marRight w:val="0"/>
                  <w:marTop w:val="0"/>
                  <w:marBottom w:val="0"/>
                  <w:divBdr>
                    <w:top w:val="none" w:sz="0" w:space="0" w:color="auto"/>
                    <w:left w:val="none" w:sz="0" w:space="0" w:color="auto"/>
                    <w:bottom w:val="none" w:sz="0" w:space="0" w:color="auto"/>
                    <w:right w:val="none" w:sz="0" w:space="0" w:color="auto"/>
                  </w:divBdr>
                  <w:divsChild>
                    <w:div w:id="1623610248">
                      <w:marLeft w:val="0"/>
                      <w:marRight w:val="0"/>
                      <w:marTop w:val="0"/>
                      <w:marBottom w:val="0"/>
                      <w:divBdr>
                        <w:top w:val="none" w:sz="0" w:space="0" w:color="auto"/>
                        <w:left w:val="none" w:sz="0" w:space="0" w:color="auto"/>
                        <w:bottom w:val="none" w:sz="0" w:space="0" w:color="auto"/>
                        <w:right w:val="none" w:sz="0" w:space="0" w:color="auto"/>
                      </w:divBdr>
                    </w:div>
                    <w:div w:id="826478526">
                      <w:marLeft w:val="0"/>
                      <w:marRight w:val="0"/>
                      <w:marTop w:val="0"/>
                      <w:marBottom w:val="0"/>
                      <w:divBdr>
                        <w:top w:val="none" w:sz="0" w:space="0" w:color="auto"/>
                        <w:left w:val="none" w:sz="0" w:space="0" w:color="auto"/>
                        <w:bottom w:val="none" w:sz="0" w:space="0" w:color="auto"/>
                        <w:right w:val="none" w:sz="0" w:space="0" w:color="auto"/>
                      </w:divBdr>
                    </w:div>
                    <w:div w:id="1350794163">
                      <w:marLeft w:val="0"/>
                      <w:marRight w:val="0"/>
                      <w:marTop w:val="0"/>
                      <w:marBottom w:val="0"/>
                      <w:divBdr>
                        <w:top w:val="none" w:sz="0" w:space="0" w:color="auto"/>
                        <w:left w:val="none" w:sz="0" w:space="0" w:color="auto"/>
                        <w:bottom w:val="none" w:sz="0" w:space="0" w:color="auto"/>
                        <w:right w:val="none" w:sz="0" w:space="0" w:color="auto"/>
                      </w:divBdr>
                      <w:divsChild>
                        <w:div w:id="543293984">
                          <w:marLeft w:val="0"/>
                          <w:marRight w:val="0"/>
                          <w:marTop w:val="0"/>
                          <w:marBottom w:val="0"/>
                          <w:divBdr>
                            <w:top w:val="none" w:sz="0" w:space="0" w:color="auto"/>
                            <w:left w:val="none" w:sz="0" w:space="0" w:color="auto"/>
                            <w:bottom w:val="none" w:sz="0" w:space="0" w:color="auto"/>
                            <w:right w:val="none" w:sz="0" w:space="0" w:color="auto"/>
                          </w:divBdr>
                          <w:divsChild>
                            <w:div w:id="208612933">
                              <w:marLeft w:val="0"/>
                              <w:marRight w:val="0"/>
                              <w:marTop w:val="0"/>
                              <w:marBottom w:val="0"/>
                              <w:divBdr>
                                <w:top w:val="none" w:sz="0" w:space="0" w:color="auto"/>
                                <w:left w:val="none" w:sz="0" w:space="0" w:color="auto"/>
                                <w:bottom w:val="none" w:sz="0" w:space="0" w:color="auto"/>
                                <w:right w:val="none" w:sz="0" w:space="0" w:color="auto"/>
                              </w:divBdr>
                              <w:divsChild>
                                <w:div w:id="1185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5088">
                          <w:marLeft w:val="0"/>
                          <w:marRight w:val="0"/>
                          <w:marTop w:val="0"/>
                          <w:marBottom w:val="0"/>
                          <w:divBdr>
                            <w:top w:val="none" w:sz="0" w:space="0" w:color="auto"/>
                            <w:left w:val="none" w:sz="0" w:space="0" w:color="auto"/>
                            <w:bottom w:val="none" w:sz="0" w:space="0" w:color="auto"/>
                            <w:right w:val="none" w:sz="0" w:space="0" w:color="auto"/>
                          </w:divBdr>
                          <w:divsChild>
                            <w:div w:id="1689870815">
                              <w:marLeft w:val="0"/>
                              <w:marRight w:val="0"/>
                              <w:marTop w:val="0"/>
                              <w:marBottom w:val="0"/>
                              <w:divBdr>
                                <w:top w:val="none" w:sz="0" w:space="0" w:color="auto"/>
                                <w:left w:val="none" w:sz="0" w:space="0" w:color="auto"/>
                                <w:bottom w:val="none" w:sz="0" w:space="0" w:color="auto"/>
                                <w:right w:val="none" w:sz="0" w:space="0" w:color="auto"/>
                              </w:divBdr>
                              <w:divsChild>
                                <w:div w:id="978262681">
                                  <w:marLeft w:val="0"/>
                                  <w:marRight w:val="0"/>
                                  <w:marTop w:val="0"/>
                                  <w:marBottom w:val="0"/>
                                  <w:divBdr>
                                    <w:top w:val="none" w:sz="0" w:space="0" w:color="auto"/>
                                    <w:left w:val="none" w:sz="0" w:space="0" w:color="auto"/>
                                    <w:bottom w:val="none" w:sz="0" w:space="0" w:color="auto"/>
                                    <w:right w:val="none" w:sz="0" w:space="0" w:color="auto"/>
                                  </w:divBdr>
                                  <w:divsChild>
                                    <w:div w:id="440413656">
                                      <w:marLeft w:val="0"/>
                                      <w:marRight w:val="0"/>
                                      <w:marTop w:val="0"/>
                                      <w:marBottom w:val="0"/>
                                      <w:divBdr>
                                        <w:top w:val="none" w:sz="0" w:space="0" w:color="auto"/>
                                        <w:left w:val="none" w:sz="0" w:space="0" w:color="auto"/>
                                        <w:bottom w:val="none" w:sz="0" w:space="0" w:color="auto"/>
                                        <w:right w:val="none" w:sz="0" w:space="0" w:color="auto"/>
                                      </w:divBdr>
                                      <w:divsChild>
                                        <w:div w:id="324626918">
                                          <w:marLeft w:val="0"/>
                                          <w:marRight w:val="0"/>
                                          <w:marTop w:val="0"/>
                                          <w:marBottom w:val="0"/>
                                          <w:divBdr>
                                            <w:top w:val="none" w:sz="0" w:space="0" w:color="auto"/>
                                            <w:left w:val="none" w:sz="0" w:space="0" w:color="auto"/>
                                            <w:bottom w:val="none" w:sz="0" w:space="0" w:color="auto"/>
                                            <w:right w:val="none" w:sz="0" w:space="0" w:color="auto"/>
                                          </w:divBdr>
                                        </w:div>
                                        <w:div w:id="1123234386">
                                          <w:marLeft w:val="0"/>
                                          <w:marRight w:val="0"/>
                                          <w:marTop w:val="0"/>
                                          <w:marBottom w:val="0"/>
                                          <w:divBdr>
                                            <w:top w:val="none" w:sz="0" w:space="0" w:color="auto"/>
                                            <w:left w:val="none" w:sz="0" w:space="0" w:color="auto"/>
                                            <w:bottom w:val="none" w:sz="0" w:space="0" w:color="auto"/>
                                            <w:right w:val="none" w:sz="0" w:space="0" w:color="auto"/>
                                          </w:divBdr>
                                        </w:div>
                                        <w:div w:id="106312966">
                                          <w:marLeft w:val="0"/>
                                          <w:marRight w:val="0"/>
                                          <w:marTop w:val="0"/>
                                          <w:marBottom w:val="0"/>
                                          <w:divBdr>
                                            <w:top w:val="none" w:sz="0" w:space="0" w:color="auto"/>
                                            <w:left w:val="none" w:sz="0" w:space="0" w:color="auto"/>
                                            <w:bottom w:val="none" w:sz="0" w:space="0" w:color="auto"/>
                                            <w:right w:val="none" w:sz="0" w:space="0" w:color="auto"/>
                                          </w:divBdr>
                                        </w:div>
                                        <w:div w:id="1247493568">
                                          <w:marLeft w:val="0"/>
                                          <w:marRight w:val="0"/>
                                          <w:marTop w:val="0"/>
                                          <w:marBottom w:val="0"/>
                                          <w:divBdr>
                                            <w:top w:val="none" w:sz="0" w:space="0" w:color="auto"/>
                                            <w:left w:val="none" w:sz="0" w:space="0" w:color="auto"/>
                                            <w:bottom w:val="none" w:sz="0" w:space="0" w:color="auto"/>
                                            <w:right w:val="none" w:sz="0" w:space="0" w:color="auto"/>
                                          </w:divBdr>
                                        </w:div>
                                        <w:div w:id="459808814">
                                          <w:marLeft w:val="0"/>
                                          <w:marRight w:val="0"/>
                                          <w:marTop w:val="0"/>
                                          <w:marBottom w:val="0"/>
                                          <w:divBdr>
                                            <w:top w:val="none" w:sz="0" w:space="0" w:color="auto"/>
                                            <w:left w:val="none" w:sz="0" w:space="0" w:color="auto"/>
                                            <w:bottom w:val="none" w:sz="0" w:space="0" w:color="auto"/>
                                            <w:right w:val="none" w:sz="0" w:space="0" w:color="auto"/>
                                          </w:divBdr>
                                        </w:div>
                                        <w:div w:id="595022241">
                                          <w:marLeft w:val="0"/>
                                          <w:marRight w:val="0"/>
                                          <w:marTop w:val="0"/>
                                          <w:marBottom w:val="0"/>
                                          <w:divBdr>
                                            <w:top w:val="none" w:sz="0" w:space="0" w:color="auto"/>
                                            <w:left w:val="none" w:sz="0" w:space="0" w:color="auto"/>
                                            <w:bottom w:val="none" w:sz="0" w:space="0" w:color="auto"/>
                                            <w:right w:val="none" w:sz="0" w:space="0" w:color="auto"/>
                                          </w:divBdr>
                                        </w:div>
                                        <w:div w:id="817845443">
                                          <w:marLeft w:val="0"/>
                                          <w:marRight w:val="0"/>
                                          <w:marTop w:val="0"/>
                                          <w:marBottom w:val="0"/>
                                          <w:divBdr>
                                            <w:top w:val="none" w:sz="0" w:space="0" w:color="auto"/>
                                            <w:left w:val="none" w:sz="0" w:space="0" w:color="auto"/>
                                            <w:bottom w:val="none" w:sz="0" w:space="0" w:color="auto"/>
                                            <w:right w:val="none" w:sz="0" w:space="0" w:color="auto"/>
                                          </w:divBdr>
                                        </w:div>
                                        <w:div w:id="1405370001">
                                          <w:marLeft w:val="0"/>
                                          <w:marRight w:val="0"/>
                                          <w:marTop w:val="0"/>
                                          <w:marBottom w:val="0"/>
                                          <w:divBdr>
                                            <w:top w:val="none" w:sz="0" w:space="0" w:color="auto"/>
                                            <w:left w:val="none" w:sz="0" w:space="0" w:color="auto"/>
                                            <w:bottom w:val="none" w:sz="0" w:space="0" w:color="auto"/>
                                            <w:right w:val="none" w:sz="0" w:space="0" w:color="auto"/>
                                          </w:divBdr>
                                        </w:div>
                                        <w:div w:id="1664431231">
                                          <w:marLeft w:val="0"/>
                                          <w:marRight w:val="0"/>
                                          <w:marTop w:val="0"/>
                                          <w:marBottom w:val="0"/>
                                          <w:divBdr>
                                            <w:top w:val="none" w:sz="0" w:space="0" w:color="auto"/>
                                            <w:left w:val="none" w:sz="0" w:space="0" w:color="auto"/>
                                            <w:bottom w:val="none" w:sz="0" w:space="0" w:color="auto"/>
                                            <w:right w:val="none" w:sz="0" w:space="0" w:color="auto"/>
                                          </w:divBdr>
                                        </w:div>
                                        <w:div w:id="196936380">
                                          <w:marLeft w:val="0"/>
                                          <w:marRight w:val="0"/>
                                          <w:marTop w:val="0"/>
                                          <w:marBottom w:val="0"/>
                                          <w:divBdr>
                                            <w:top w:val="none" w:sz="0" w:space="0" w:color="auto"/>
                                            <w:left w:val="none" w:sz="0" w:space="0" w:color="auto"/>
                                            <w:bottom w:val="none" w:sz="0" w:space="0" w:color="auto"/>
                                            <w:right w:val="none" w:sz="0" w:space="0" w:color="auto"/>
                                          </w:divBdr>
                                        </w:div>
                                        <w:div w:id="1904562528">
                                          <w:marLeft w:val="0"/>
                                          <w:marRight w:val="0"/>
                                          <w:marTop w:val="0"/>
                                          <w:marBottom w:val="0"/>
                                          <w:divBdr>
                                            <w:top w:val="none" w:sz="0" w:space="0" w:color="auto"/>
                                            <w:left w:val="none" w:sz="0" w:space="0" w:color="auto"/>
                                            <w:bottom w:val="none" w:sz="0" w:space="0" w:color="auto"/>
                                            <w:right w:val="none" w:sz="0" w:space="0" w:color="auto"/>
                                          </w:divBdr>
                                        </w:div>
                                        <w:div w:id="1916820014">
                                          <w:marLeft w:val="0"/>
                                          <w:marRight w:val="0"/>
                                          <w:marTop w:val="0"/>
                                          <w:marBottom w:val="0"/>
                                          <w:divBdr>
                                            <w:top w:val="none" w:sz="0" w:space="0" w:color="auto"/>
                                            <w:left w:val="none" w:sz="0" w:space="0" w:color="auto"/>
                                            <w:bottom w:val="none" w:sz="0" w:space="0" w:color="auto"/>
                                            <w:right w:val="none" w:sz="0" w:space="0" w:color="auto"/>
                                          </w:divBdr>
                                        </w:div>
                                        <w:div w:id="1052117557">
                                          <w:marLeft w:val="0"/>
                                          <w:marRight w:val="0"/>
                                          <w:marTop w:val="0"/>
                                          <w:marBottom w:val="0"/>
                                          <w:divBdr>
                                            <w:top w:val="none" w:sz="0" w:space="0" w:color="auto"/>
                                            <w:left w:val="none" w:sz="0" w:space="0" w:color="auto"/>
                                            <w:bottom w:val="none" w:sz="0" w:space="0" w:color="auto"/>
                                            <w:right w:val="none" w:sz="0" w:space="0" w:color="auto"/>
                                          </w:divBdr>
                                        </w:div>
                                        <w:div w:id="688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102046">
      <w:bodyDiv w:val="1"/>
      <w:marLeft w:val="0"/>
      <w:marRight w:val="0"/>
      <w:marTop w:val="0"/>
      <w:marBottom w:val="0"/>
      <w:divBdr>
        <w:top w:val="none" w:sz="0" w:space="0" w:color="auto"/>
        <w:left w:val="none" w:sz="0" w:space="0" w:color="auto"/>
        <w:bottom w:val="none" w:sz="0" w:space="0" w:color="auto"/>
        <w:right w:val="none" w:sz="0" w:space="0" w:color="auto"/>
      </w:divBdr>
    </w:div>
    <w:div w:id="1157720017">
      <w:bodyDiv w:val="1"/>
      <w:marLeft w:val="0"/>
      <w:marRight w:val="0"/>
      <w:marTop w:val="0"/>
      <w:marBottom w:val="0"/>
      <w:divBdr>
        <w:top w:val="none" w:sz="0" w:space="0" w:color="auto"/>
        <w:left w:val="none" w:sz="0" w:space="0" w:color="auto"/>
        <w:bottom w:val="none" w:sz="0" w:space="0" w:color="auto"/>
        <w:right w:val="none" w:sz="0" w:space="0" w:color="auto"/>
      </w:divBdr>
    </w:div>
    <w:div w:id="1203900776">
      <w:bodyDiv w:val="1"/>
      <w:marLeft w:val="0"/>
      <w:marRight w:val="0"/>
      <w:marTop w:val="0"/>
      <w:marBottom w:val="0"/>
      <w:divBdr>
        <w:top w:val="none" w:sz="0" w:space="0" w:color="auto"/>
        <w:left w:val="none" w:sz="0" w:space="0" w:color="auto"/>
        <w:bottom w:val="none" w:sz="0" w:space="0" w:color="auto"/>
        <w:right w:val="none" w:sz="0" w:space="0" w:color="auto"/>
      </w:divBdr>
    </w:div>
    <w:div w:id="1215198054">
      <w:bodyDiv w:val="1"/>
      <w:marLeft w:val="0"/>
      <w:marRight w:val="0"/>
      <w:marTop w:val="0"/>
      <w:marBottom w:val="0"/>
      <w:divBdr>
        <w:top w:val="none" w:sz="0" w:space="0" w:color="auto"/>
        <w:left w:val="none" w:sz="0" w:space="0" w:color="auto"/>
        <w:bottom w:val="none" w:sz="0" w:space="0" w:color="auto"/>
        <w:right w:val="none" w:sz="0" w:space="0" w:color="auto"/>
      </w:divBdr>
    </w:div>
    <w:div w:id="1216813699">
      <w:bodyDiv w:val="1"/>
      <w:marLeft w:val="0"/>
      <w:marRight w:val="0"/>
      <w:marTop w:val="0"/>
      <w:marBottom w:val="0"/>
      <w:divBdr>
        <w:top w:val="none" w:sz="0" w:space="0" w:color="auto"/>
        <w:left w:val="none" w:sz="0" w:space="0" w:color="auto"/>
        <w:bottom w:val="none" w:sz="0" w:space="0" w:color="auto"/>
        <w:right w:val="none" w:sz="0" w:space="0" w:color="auto"/>
      </w:divBdr>
    </w:div>
    <w:div w:id="1226641035">
      <w:bodyDiv w:val="1"/>
      <w:marLeft w:val="0"/>
      <w:marRight w:val="0"/>
      <w:marTop w:val="0"/>
      <w:marBottom w:val="0"/>
      <w:divBdr>
        <w:top w:val="none" w:sz="0" w:space="0" w:color="auto"/>
        <w:left w:val="none" w:sz="0" w:space="0" w:color="auto"/>
        <w:bottom w:val="none" w:sz="0" w:space="0" w:color="auto"/>
        <w:right w:val="none" w:sz="0" w:space="0" w:color="auto"/>
      </w:divBdr>
    </w:div>
    <w:div w:id="1256593173">
      <w:bodyDiv w:val="1"/>
      <w:marLeft w:val="0"/>
      <w:marRight w:val="0"/>
      <w:marTop w:val="0"/>
      <w:marBottom w:val="0"/>
      <w:divBdr>
        <w:top w:val="none" w:sz="0" w:space="0" w:color="auto"/>
        <w:left w:val="none" w:sz="0" w:space="0" w:color="auto"/>
        <w:bottom w:val="none" w:sz="0" w:space="0" w:color="auto"/>
        <w:right w:val="none" w:sz="0" w:space="0" w:color="auto"/>
      </w:divBdr>
    </w:div>
    <w:div w:id="1318994855">
      <w:bodyDiv w:val="1"/>
      <w:marLeft w:val="0"/>
      <w:marRight w:val="0"/>
      <w:marTop w:val="0"/>
      <w:marBottom w:val="0"/>
      <w:divBdr>
        <w:top w:val="none" w:sz="0" w:space="0" w:color="auto"/>
        <w:left w:val="none" w:sz="0" w:space="0" w:color="auto"/>
        <w:bottom w:val="none" w:sz="0" w:space="0" w:color="auto"/>
        <w:right w:val="none" w:sz="0" w:space="0" w:color="auto"/>
      </w:divBdr>
    </w:div>
    <w:div w:id="1380012922">
      <w:bodyDiv w:val="1"/>
      <w:marLeft w:val="0"/>
      <w:marRight w:val="0"/>
      <w:marTop w:val="0"/>
      <w:marBottom w:val="0"/>
      <w:divBdr>
        <w:top w:val="none" w:sz="0" w:space="0" w:color="auto"/>
        <w:left w:val="none" w:sz="0" w:space="0" w:color="auto"/>
        <w:bottom w:val="none" w:sz="0" w:space="0" w:color="auto"/>
        <w:right w:val="none" w:sz="0" w:space="0" w:color="auto"/>
      </w:divBdr>
    </w:div>
    <w:div w:id="1402827553">
      <w:bodyDiv w:val="1"/>
      <w:marLeft w:val="0"/>
      <w:marRight w:val="0"/>
      <w:marTop w:val="0"/>
      <w:marBottom w:val="0"/>
      <w:divBdr>
        <w:top w:val="none" w:sz="0" w:space="0" w:color="auto"/>
        <w:left w:val="none" w:sz="0" w:space="0" w:color="auto"/>
        <w:bottom w:val="none" w:sz="0" w:space="0" w:color="auto"/>
        <w:right w:val="none" w:sz="0" w:space="0" w:color="auto"/>
      </w:divBdr>
    </w:div>
    <w:div w:id="1440105163">
      <w:bodyDiv w:val="1"/>
      <w:marLeft w:val="0"/>
      <w:marRight w:val="0"/>
      <w:marTop w:val="0"/>
      <w:marBottom w:val="0"/>
      <w:divBdr>
        <w:top w:val="none" w:sz="0" w:space="0" w:color="auto"/>
        <w:left w:val="none" w:sz="0" w:space="0" w:color="auto"/>
        <w:bottom w:val="none" w:sz="0" w:space="0" w:color="auto"/>
        <w:right w:val="none" w:sz="0" w:space="0" w:color="auto"/>
      </w:divBdr>
    </w:div>
    <w:div w:id="1493134428">
      <w:bodyDiv w:val="1"/>
      <w:marLeft w:val="0"/>
      <w:marRight w:val="0"/>
      <w:marTop w:val="0"/>
      <w:marBottom w:val="0"/>
      <w:divBdr>
        <w:top w:val="none" w:sz="0" w:space="0" w:color="auto"/>
        <w:left w:val="none" w:sz="0" w:space="0" w:color="auto"/>
        <w:bottom w:val="none" w:sz="0" w:space="0" w:color="auto"/>
        <w:right w:val="none" w:sz="0" w:space="0" w:color="auto"/>
      </w:divBdr>
    </w:div>
    <w:div w:id="1510292601">
      <w:bodyDiv w:val="1"/>
      <w:marLeft w:val="0"/>
      <w:marRight w:val="0"/>
      <w:marTop w:val="0"/>
      <w:marBottom w:val="0"/>
      <w:divBdr>
        <w:top w:val="none" w:sz="0" w:space="0" w:color="auto"/>
        <w:left w:val="none" w:sz="0" w:space="0" w:color="auto"/>
        <w:bottom w:val="none" w:sz="0" w:space="0" w:color="auto"/>
        <w:right w:val="none" w:sz="0" w:space="0" w:color="auto"/>
      </w:divBdr>
    </w:div>
    <w:div w:id="1533415778">
      <w:bodyDiv w:val="1"/>
      <w:marLeft w:val="0"/>
      <w:marRight w:val="0"/>
      <w:marTop w:val="0"/>
      <w:marBottom w:val="0"/>
      <w:divBdr>
        <w:top w:val="none" w:sz="0" w:space="0" w:color="auto"/>
        <w:left w:val="none" w:sz="0" w:space="0" w:color="auto"/>
        <w:bottom w:val="none" w:sz="0" w:space="0" w:color="auto"/>
        <w:right w:val="none" w:sz="0" w:space="0" w:color="auto"/>
      </w:divBdr>
    </w:div>
    <w:div w:id="1539659892">
      <w:bodyDiv w:val="1"/>
      <w:marLeft w:val="0"/>
      <w:marRight w:val="0"/>
      <w:marTop w:val="0"/>
      <w:marBottom w:val="0"/>
      <w:divBdr>
        <w:top w:val="none" w:sz="0" w:space="0" w:color="auto"/>
        <w:left w:val="none" w:sz="0" w:space="0" w:color="auto"/>
        <w:bottom w:val="none" w:sz="0" w:space="0" w:color="auto"/>
        <w:right w:val="none" w:sz="0" w:space="0" w:color="auto"/>
      </w:divBdr>
    </w:div>
    <w:div w:id="1655330252">
      <w:bodyDiv w:val="1"/>
      <w:marLeft w:val="0"/>
      <w:marRight w:val="0"/>
      <w:marTop w:val="0"/>
      <w:marBottom w:val="0"/>
      <w:divBdr>
        <w:top w:val="none" w:sz="0" w:space="0" w:color="auto"/>
        <w:left w:val="none" w:sz="0" w:space="0" w:color="auto"/>
        <w:bottom w:val="none" w:sz="0" w:space="0" w:color="auto"/>
        <w:right w:val="none" w:sz="0" w:space="0" w:color="auto"/>
      </w:divBdr>
    </w:div>
    <w:div w:id="1676688809">
      <w:bodyDiv w:val="1"/>
      <w:marLeft w:val="0"/>
      <w:marRight w:val="0"/>
      <w:marTop w:val="0"/>
      <w:marBottom w:val="0"/>
      <w:divBdr>
        <w:top w:val="none" w:sz="0" w:space="0" w:color="auto"/>
        <w:left w:val="none" w:sz="0" w:space="0" w:color="auto"/>
        <w:bottom w:val="none" w:sz="0" w:space="0" w:color="auto"/>
        <w:right w:val="none" w:sz="0" w:space="0" w:color="auto"/>
      </w:divBdr>
    </w:div>
    <w:div w:id="1711102354">
      <w:bodyDiv w:val="1"/>
      <w:marLeft w:val="0"/>
      <w:marRight w:val="0"/>
      <w:marTop w:val="0"/>
      <w:marBottom w:val="0"/>
      <w:divBdr>
        <w:top w:val="none" w:sz="0" w:space="0" w:color="auto"/>
        <w:left w:val="none" w:sz="0" w:space="0" w:color="auto"/>
        <w:bottom w:val="none" w:sz="0" w:space="0" w:color="auto"/>
        <w:right w:val="none" w:sz="0" w:space="0" w:color="auto"/>
      </w:divBdr>
    </w:div>
    <w:div w:id="1711496405">
      <w:bodyDiv w:val="1"/>
      <w:marLeft w:val="0"/>
      <w:marRight w:val="0"/>
      <w:marTop w:val="0"/>
      <w:marBottom w:val="0"/>
      <w:divBdr>
        <w:top w:val="none" w:sz="0" w:space="0" w:color="auto"/>
        <w:left w:val="none" w:sz="0" w:space="0" w:color="auto"/>
        <w:bottom w:val="none" w:sz="0" w:space="0" w:color="auto"/>
        <w:right w:val="none" w:sz="0" w:space="0" w:color="auto"/>
      </w:divBdr>
    </w:div>
    <w:div w:id="172105289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794788748">
      <w:bodyDiv w:val="1"/>
      <w:marLeft w:val="0"/>
      <w:marRight w:val="0"/>
      <w:marTop w:val="0"/>
      <w:marBottom w:val="0"/>
      <w:divBdr>
        <w:top w:val="none" w:sz="0" w:space="0" w:color="auto"/>
        <w:left w:val="none" w:sz="0" w:space="0" w:color="auto"/>
        <w:bottom w:val="none" w:sz="0" w:space="0" w:color="auto"/>
        <w:right w:val="none" w:sz="0" w:space="0" w:color="auto"/>
      </w:divBdr>
    </w:div>
    <w:div w:id="1820532709">
      <w:bodyDiv w:val="1"/>
      <w:marLeft w:val="0"/>
      <w:marRight w:val="0"/>
      <w:marTop w:val="0"/>
      <w:marBottom w:val="0"/>
      <w:divBdr>
        <w:top w:val="none" w:sz="0" w:space="0" w:color="auto"/>
        <w:left w:val="none" w:sz="0" w:space="0" w:color="auto"/>
        <w:bottom w:val="none" w:sz="0" w:space="0" w:color="auto"/>
        <w:right w:val="none" w:sz="0" w:space="0" w:color="auto"/>
      </w:divBdr>
    </w:div>
    <w:div w:id="1906523837">
      <w:bodyDiv w:val="1"/>
      <w:marLeft w:val="0"/>
      <w:marRight w:val="0"/>
      <w:marTop w:val="0"/>
      <w:marBottom w:val="0"/>
      <w:divBdr>
        <w:top w:val="none" w:sz="0" w:space="0" w:color="auto"/>
        <w:left w:val="none" w:sz="0" w:space="0" w:color="auto"/>
        <w:bottom w:val="none" w:sz="0" w:space="0" w:color="auto"/>
        <w:right w:val="none" w:sz="0" w:space="0" w:color="auto"/>
      </w:divBdr>
    </w:div>
    <w:div w:id="1946034260">
      <w:bodyDiv w:val="1"/>
      <w:marLeft w:val="0"/>
      <w:marRight w:val="0"/>
      <w:marTop w:val="0"/>
      <w:marBottom w:val="0"/>
      <w:divBdr>
        <w:top w:val="none" w:sz="0" w:space="0" w:color="auto"/>
        <w:left w:val="none" w:sz="0" w:space="0" w:color="auto"/>
        <w:bottom w:val="none" w:sz="0" w:space="0" w:color="auto"/>
        <w:right w:val="none" w:sz="0" w:space="0" w:color="auto"/>
      </w:divBdr>
    </w:div>
    <w:div w:id="1946770702">
      <w:bodyDiv w:val="1"/>
      <w:marLeft w:val="0"/>
      <w:marRight w:val="0"/>
      <w:marTop w:val="0"/>
      <w:marBottom w:val="0"/>
      <w:divBdr>
        <w:top w:val="none" w:sz="0" w:space="0" w:color="auto"/>
        <w:left w:val="none" w:sz="0" w:space="0" w:color="auto"/>
        <w:bottom w:val="none" w:sz="0" w:space="0" w:color="auto"/>
        <w:right w:val="none" w:sz="0" w:space="0" w:color="auto"/>
      </w:divBdr>
    </w:div>
    <w:div w:id="1970549580">
      <w:bodyDiv w:val="1"/>
      <w:marLeft w:val="0"/>
      <w:marRight w:val="0"/>
      <w:marTop w:val="0"/>
      <w:marBottom w:val="0"/>
      <w:divBdr>
        <w:top w:val="none" w:sz="0" w:space="0" w:color="auto"/>
        <w:left w:val="none" w:sz="0" w:space="0" w:color="auto"/>
        <w:bottom w:val="none" w:sz="0" w:space="0" w:color="auto"/>
        <w:right w:val="none" w:sz="0" w:space="0" w:color="auto"/>
      </w:divBdr>
    </w:div>
    <w:div w:id="1979411510">
      <w:bodyDiv w:val="1"/>
      <w:marLeft w:val="0"/>
      <w:marRight w:val="0"/>
      <w:marTop w:val="0"/>
      <w:marBottom w:val="0"/>
      <w:divBdr>
        <w:top w:val="none" w:sz="0" w:space="0" w:color="auto"/>
        <w:left w:val="none" w:sz="0" w:space="0" w:color="auto"/>
        <w:bottom w:val="none" w:sz="0" w:space="0" w:color="auto"/>
        <w:right w:val="none" w:sz="0" w:space="0" w:color="auto"/>
      </w:divBdr>
    </w:div>
    <w:div w:id="2065516426">
      <w:bodyDiv w:val="1"/>
      <w:marLeft w:val="0"/>
      <w:marRight w:val="0"/>
      <w:marTop w:val="0"/>
      <w:marBottom w:val="0"/>
      <w:divBdr>
        <w:top w:val="none" w:sz="0" w:space="0" w:color="auto"/>
        <w:left w:val="none" w:sz="0" w:space="0" w:color="auto"/>
        <w:bottom w:val="none" w:sz="0" w:space="0" w:color="auto"/>
        <w:right w:val="none" w:sz="0" w:space="0" w:color="auto"/>
      </w:divBdr>
    </w:div>
    <w:div w:id="213917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333F7-7913-4212-90AC-2CDD255825CF}">
  <ds:schemaRefs>
    <ds:schemaRef ds:uri="http://schemas.openxmlformats.org/officeDocument/2006/bibliography"/>
  </ds:schemaRefs>
</ds:datastoreItem>
</file>

<file path=customXml/itemProps2.xml><?xml version="1.0" encoding="utf-8"?>
<ds:datastoreItem xmlns:ds="http://schemas.openxmlformats.org/officeDocument/2006/customXml" ds:itemID="{A9ED0AE9-B878-4839-ADC5-F558446BFC6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2AD6D4E-4E60-4721-B781-65EFB727F528}">
  <ds:schemaRefs>
    <ds:schemaRef ds:uri="http://schemas.microsoft.com/sharepoint/v3/contenttype/forms"/>
  </ds:schemaRefs>
</ds:datastoreItem>
</file>

<file path=customXml/itemProps4.xml><?xml version="1.0" encoding="utf-8"?>
<ds:datastoreItem xmlns:ds="http://schemas.openxmlformats.org/officeDocument/2006/customXml" ds:itemID="{234529C3-E03D-4EC0-86E9-8369FFE42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3384</Words>
  <Characters>19293</Characters>
  <Application>Microsoft Office Word</Application>
  <DocSecurity>0</DocSecurity>
  <Lines>160</Lines>
  <Paragraphs>45</Paragraphs>
  <ScaleCrop>false</ScaleCrop>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2025-12-12T14:48:00Z</dcterms:created>
  <dcterms:modified xsi:type="dcterms:W3CDTF">2025-12-12T14:48:00Z</dcterms:modified>
</cp:coreProperties>
</file>